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10CC7CE8" w:rsidR="00B60939" w:rsidRPr="00D64CBE" w:rsidRDefault="00F173B2" w:rsidP="33AD911E">
      <w:pPr>
        <w:pStyle w:val="Title"/>
      </w:pPr>
      <w:bookmarkStart w:id="0" w:name="_Toc208928144"/>
      <w:r>
        <w:t>5.0</w:t>
      </w:r>
      <w:r w:rsidR="00FC3C1B">
        <w:t>7</w:t>
      </w:r>
      <w:r>
        <w:tab/>
      </w:r>
      <w:r w:rsidR="00C91FBC">
        <w:t>LURBINECTEDIN</w:t>
      </w:r>
      <w:r w:rsidR="00163F66">
        <w:t>,</w:t>
      </w:r>
      <w:r>
        <w:br/>
      </w:r>
      <w:r w:rsidR="00B51792">
        <w:t>Powder for I</w:t>
      </w:r>
      <w:r w:rsidR="000C09FB">
        <w:t>.</w:t>
      </w:r>
      <w:r w:rsidR="00B51792">
        <w:t>V</w:t>
      </w:r>
      <w:r w:rsidR="000C09FB">
        <w:t>.</w:t>
      </w:r>
      <w:r w:rsidR="007B773B">
        <w:t xml:space="preserve"> infusion</w:t>
      </w:r>
      <w:r w:rsidR="000C09FB">
        <w:t xml:space="preserve"> 2 mg</w:t>
      </w:r>
      <w:r w:rsidR="00F527B2">
        <w:t>,</w:t>
      </w:r>
      <w:r>
        <w:br/>
      </w:r>
      <w:r w:rsidR="000C09FB">
        <w:t>Powder for I.V. infusion</w:t>
      </w:r>
      <w:r w:rsidR="007B773B">
        <w:t xml:space="preserve"> 4 mg</w:t>
      </w:r>
      <w:r w:rsidR="00F527B2">
        <w:t>,</w:t>
      </w:r>
      <w:r>
        <w:br/>
      </w:r>
      <w:r w:rsidR="007B773B">
        <w:t>Zepzelca</w:t>
      </w:r>
      <w:r w:rsidR="00B60939">
        <w:t>®</w:t>
      </w:r>
      <w:r w:rsidR="00F527B2">
        <w:t>,</w:t>
      </w:r>
      <w:r>
        <w:br/>
      </w:r>
      <w:r w:rsidR="00685547">
        <w:t>Specialised Therapeutics Pharma Pty Ltd</w:t>
      </w:r>
      <w:bookmarkEnd w:id="0"/>
    </w:p>
    <w:p w14:paraId="11C00795" w14:textId="3DFB6D23" w:rsidR="00B50DB8" w:rsidRPr="00F92AC3" w:rsidRDefault="00B50DB8" w:rsidP="002B2723">
      <w:pPr>
        <w:pStyle w:val="COMESH2"/>
      </w:pPr>
      <w:bookmarkStart w:id="1" w:name="_Toc208928146"/>
      <w:r w:rsidRPr="00F92AC3">
        <w:t xml:space="preserve">Purpose of </w:t>
      </w:r>
      <w:r w:rsidR="00CD7193" w:rsidRPr="00F92AC3">
        <w:t>s</w:t>
      </w:r>
      <w:r w:rsidR="00BB3A45" w:rsidRPr="00F92AC3">
        <w:t>ubmission</w:t>
      </w:r>
      <w:bookmarkEnd w:id="1"/>
    </w:p>
    <w:p w14:paraId="19414AA1" w14:textId="2C151B02" w:rsidR="002C2775" w:rsidRPr="00F92AC3" w:rsidRDefault="008D31B5" w:rsidP="006E5ED4">
      <w:pPr>
        <w:pStyle w:val="COMESnumberedpara"/>
      </w:pPr>
      <w:r w:rsidRPr="00F92AC3">
        <w:t>The Category 1 submission requested a Section 100 Efficient Funding of Chemotherapy, Authority Required (STREAMLINED) listing for lurbinectedin for use in combination with atezolizumab for first-line maintenance treatment of extensive-stage small cell lung cancer (ES-SCLC) for patients who have not progressed on or after first line induction therapy with atezolizumab, a platinum-based antineoplastic drug, and etoposide.</w:t>
      </w:r>
    </w:p>
    <w:p w14:paraId="4E9FBCB5" w14:textId="7AFACD1D" w:rsidR="00C2778B" w:rsidRPr="00F92AC3" w:rsidRDefault="005750C5" w:rsidP="004E18E9">
      <w:pPr>
        <w:pStyle w:val="COMESnumberedpara"/>
      </w:pPr>
      <w:r w:rsidRPr="00F92AC3">
        <w:t xml:space="preserve">Listing was requested on the basis of a cost-effectiveness analysis versus </w:t>
      </w:r>
      <w:r w:rsidR="00CE67F2" w:rsidRPr="00F92AC3">
        <w:t>atezolizumab monotherapy</w:t>
      </w:r>
      <w:r w:rsidRPr="00F92AC3">
        <w:t xml:space="preserve">. </w:t>
      </w:r>
    </w:p>
    <w:p w14:paraId="3718DE61" w14:textId="241C4EED" w:rsidR="008B1757" w:rsidRPr="00F92AC3" w:rsidRDefault="00696EF9" w:rsidP="004A6040">
      <w:pPr>
        <w:pStyle w:val="COMTableFigurecaption"/>
        <w:rPr>
          <w:b w:val="0"/>
        </w:rPr>
      </w:pPr>
      <w:bookmarkStart w:id="2" w:name="_Ref208230521"/>
      <w:r w:rsidRPr="00F92AC3">
        <w:t xml:space="preserve">Table </w:t>
      </w:r>
      <w:r w:rsidR="00FF30BC">
        <w:fldChar w:fldCharType="begin"/>
      </w:r>
      <w:r w:rsidR="00FF30BC">
        <w:instrText xml:space="preserve"> SEQ Table \* ARABIC </w:instrText>
      </w:r>
      <w:r w:rsidR="00FF30BC">
        <w:fldChar w:fldCharType="separate"/>
      </w:r>
      <w:r w:rsidR="00CC5A50">
        <w:rPr>
          <w:noProof/>
        </w:rPr>
        <w:t>1</w:t>
      </w:r>
      <w:r w:rsidR="00FF30BC">
        <w:rPr>
          <w:noProof/>
        </w:rPr>
        <w:fldChar w:fldCharType="end"/>
      </w:r>
      <w:bookmarkEnd w:id="2"/>
      <w:r w:rsidRPr="00F92AC3">
        <w:t>:</w:t>
      </w:r>
      <w:r w:rsidR="00BC591F" w:rsidRPr="00F92AC3">
        <w:t xml:space="preserve"> </w:t>
      </w:r>
      <w:r w:rsidR="008B1757" w:rsidRPr="00F92AC3">
        <w:t>Key components of the clinical issue addressed by the submission</w:t>
      </w:r>
      <w:r w:rsidR="007170DA" w:rsidRPr="00F92AC3">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414"/>
        <w:gridCol w:w="7603"/>
      </w:tblGrid>
      <w:tr w:rsidR="008B1757" w:rsidRPr="00F92AC3" w14:paraId="569F5103" w14:textId="77777777" w:rsidTr="00553A4E">
        <w:trPr>
          <w:cantSplit/>
          <w:tblHeader/>
        </w:trPr>
        <w:tc>
          <w:tcPr>
            <w:tcW w:w="784" w:type="pct"/>
          </w:tcPr>
          <w:p w14:paraId="501803FB" w14:textId="77777777" w:rsidR="008B1757" w:rsidRPr="00F92AC3" w:rsidRDefault="008B1757" w:rsidP="00AA7BC2">
            <w:pPr>
              <w:pStyle w:val="COMTableheadingrow"/>
            </w:pPr>
            <w:r w:rsidRPr="00F92AC3">
              <w:t>Component</w:t>
            </w:r>
          </w:p>
        </w:tc>
        <w:tc>
          <w:tcPr>
            <w:tcW w:w="4216" w:type="pct"/>
          </w:tcPr>
          <w:p w14:paraId="445D9EBB" w14:textId="77777777" w:rsidR="008B1757" w:rsidRPr="00F92AC3" w:rsidRDefault="008B1757" w:rsidP="00AA7BC2">
            <w:pPr>
              <w:pStyle w:val="COMTableheadingrow"/>
            </w:pPr>
            <w:r w:rsidRPr="00F92AC3">
              <w:t>Description</w:t>
            </w:r>
          </w:p>
        </w:tc>
      </w:tr>
      <w:tr w:rsidR="00CE67F2" w:rsidRPr="00F92AC3" w14:paraId="2EB546E2" w14:textId="77777777" w:rsidTr="00553A4E">
        <w:trPr>
          <w:cantSplit/>
        </w:trPr>
        <w:tc>
          <w:tcPr>
            <w:tcW w:w="784" w:type="pct"/>
          </w:tcPr>
          <w:p w14:paraId="38F3BB34" w14:textId="77777777" w:rsidR="00CE67F2" w:rsidRPr="00F92AC3" w:rsidRDefault="00CE67F2" w:rsidP="00CE67F2">
            <w:pPr>
              <w:pStyle w:val="COMTabletext"/>
            </w:pPr>
            <w:r w:rsidRPr="00F92AC3">
              <w:t>Population</w:t>
            </w:r>
          </w:p>
        </w:tc>
        <w:tc>
          <w:tcPr>
            <w:tcW w:w="4216" w:type="pct"/>
            <w:vAlign w:val="center"/>
          </w:tcPr>
          <w:p w14:paraId="79618EEE" w14:textId="6B7ADF11" w:rsidR="00CE67F2" w:rsidRPr="00F92AC3" w:rsidRDefault="00CE67F2" w:rsidP="00CE67F2">
            <w:pPr>
              <w:pStyle w:val="COMTabletext"/>
              <w:rPr>
                <w:szCs w:val="20"/>
              </w:rPr>
            </w:pPr>
            <w:r w:rsidRPr="00F92AC3">
              <w:t>Extensive-stage small cell lung cancer that has not progressed on or after first-line induction therapy with atezolizumab, a platinum-based antineoplastic drug, and etoposide.</w:t>
            </w:r>
          </w:p>
        </w:tc>
      </w:tr>
      <w:tr w:rsidR="00CE67F2" w:rsidRPr="00F92AC3" w14:paraId="0CA523AF" w14:textId="77777777" w:rsidTr="00553A4E">
        <w:trPr>
          <w:cantSplit/>
        </w:trPr>
        <w:tc>
          <w:tcPr>
            <w:tcW w:w="784" w:type="pct"/>
          </w:tcPr>
          <w:p w14:paraId="7B6D20D8" w14:textId="77777777" w:rsidR="00CE67F2" w:rsidRPr="00F92AC3" w:rsidRDefault="00CE67F2" w:rsidP="00CE67F2">
            <w:pPr>
              <w:pStyle w:val="COMTabletext"/>
            </w:pPr>
            <w:r w:rsidRPr="00F92AC3">
              <w:t>Intervention</w:t>
            </w:r>
          </w:p>
        </w:tc>
        <w:tc>
          <w:tcPr>
            <w:tcW w:w="4216" w:type="pct"/>
            <w:vAlign w:val="center"/>
          </w:tcPr>
          <w:p w14:paraId="2491E905" w14:textId="70856638" w:rsidR="00957E34" w:rsidRPr="00F92AC3" w:rsidRDefault="00CE67F2" w:rsidP="00CE67F2">
            <w:pPr>
              <w:pStyle w:val="COMTabletext"/>
            </w:pPr>
            <w:r w:rsidRPr="00F92AC3">
              <w:t>Lurbinectedin + atezolizumab (maintenance therapy).</w:t>
            </w:r>
          </w:p>
        </w:tc>
      </w:tr>
      <w:tr w:rsidR="00CE67F2" w:rsidRPr="00F92AC3" w14:paraId="0F81EBE4" w14:textId="77777777" w:rsidTr="00553A4E">
        <w:trPr>
          <w:cantSplit/>
        </w:trPr>
        <w:tc>
          <w:tcPr>
            <w:tcW w:w="784" w:type="pct"/>
          </w:tcPr>
          <w:p w14:paraId="3656B343" w14:textId="77777777" w:rsidR="00CE67F2" w:rsidRPr="00F92AC3" w:rsidRDefault="00CE67F2" w:rsidP="00CE67F2">
            <w:pPr>
              <w:pStyle w:val="COMTabletext"/>
            </w:pPr>
            <w:r w:rsidRPr="00F92AC3">
              <w:t>Comparator</w:t>
            </w:r>
          </w:p>
        </w:tc>
        <w:tc>
          <w:tcPr>
            <w:tcW w:w="4216" w:type="pct"/>
            <w:vAlign w:val="center"/>
          </w:tcPr>
          <w:p w14:paraId="3727DE24" w14:textId="55C9FCBE" w:rsidR="00CE67F2" w:rsidRPr="00F92AC3" w:rsidRDefault="00CE67F2" w:rsidP="00CE67F2">
            <w:pPr>
              <w:pStyle w:val="COMTabletext"/>
            </w:pPr>
            <w:r w:rsidRPr="00F92AC3">
              <w:t>Atezolizumab (maintenance therapy).</w:t>
            </w:r>
          </w:p>
        </w:tc>
      </w:tr>
      <w:tr w:rsidR="00CE67F2" w:rsidRPr="00F92AC3" w14:paraId="02F86F0D" w14:textId="77777777" w:rsidTr="00553A4E">
        <w:trPr>
          <w:cantSplit/>
        </w:trPr>
        <w:tc>
          <w:tcPr>
            <w:tcW w:w="784" w:type="pct"/>
          </w:tcPr>
          <w:p w14:paraId="06433105" w14:textId="77777777" w:rsidR="00CE67F2" w:rsidRPr="00F92AC3" w:rsidRDefault="00CE67F2" w:rsidP="00CE67F2">
            <w:pPr>
              <w:pStyle w:val="COMTabletext"/>
            </w:pPr>
            <w:r w:rsidRPr="00F92AC3">
              <w:t>Outcomes</w:t>
            </w:r>
          </w:p>
        </w:tc>
        <w:tc>
          <w:tcPr>
            <w:tcW w:w="4216" w:type="pct"/>
            <w:vAlign w:val="center"/>
          </w:tcPr>
          <w:p w14:paraId="5ABC4037" w14:textId="1D27519E" w:rsidR="00CE67F2" w:rsidRPr="00F92AC3" w:rsidRDefault="00CE67F2" w:rsidP="00CE67F2">
            <w:pPr>
              <w:pStyle w:val="COMTabletext"/>
              <w:rPr>
                <w:rFonts w:eastAsia="Times New Roman" w:cs="Arial"/>
                <w:bCs w:val="0"/>
                <w:snapToGrid w:val="0"/>
                <w:color w:val="0066FF"/>
                <w:szCs w:val="20"/>
              </w:rPr>
            </w:pPr>
            <w:r w:rsidRPr="00F92AC3">
              <w:t>Progression free survival, overall survival, objective response rate, duration of response, time to confirmed deterioration, quality of life, adverse events.</w:t>
            </w:r>
          </w:p>
        </w:tc>
      </w:tr>
      <w:tr w:rsidR="00CE67F2" w:rsidRPr="00F92AC3" w14:paraId="22223890" w14:textId="77777777" w:rsidTr="00553A4E">
        <w:trPr>
          <w:cantSplit/>
        </w:trPr>
        <w:tc>
          <w:tcPr>
            <w:tcW w:w="784" w:type="pct"/>
          </w:tcPr>
          <w:p w14:paraId="0FC8FCE0" w14:textId="77777777" w:rsidR="00CE67F2" w:rsidRPr="00F92AC3" w:rsidRDefault="00CE67F2" w:rsidP="00CE67F2">
            <w:pPr>
              <w:pStyle w:val="COMTabletext"/>
            </w:pPr>
            <w:r w:rsidRPr="00F92AC3">
              <w:t>Clinical claim</w:t>
            </w:r>
          </w:p>
        </w:tc>
        <w:tc>
          <w:tcPr>
            <w:tcW w:w="4216" w:type="pct"/>
            <w:vAlign w:val="center"/>
          </w:tcPr>
          <w:p w14:paraId="2C99C4DE" w14:textId="3BEE46E5" w:rsidR="00CE67F2" w:rsidRPr="00F92AC3" w:rsidRDefault="00CE67F2" w:rsidP="00CE67F2">
            <w:pPr>
              <w:pStyle w:val="COMTabletext"/>
              <w:rPr>
                <w:rFonts w:eastAsia="Times New Roman" w:cs="Arial"/>
                <w:bCs w:val="0"/>
                <w:snapToGrid w:val="0"/>
                <w:color w:val="0066FF"/>
                <w:szCs w:val="20"/>
              </w:rPr>
            </w:pPr>
            <w:r w:rsidRPr="00F92AC3">
              <w:t>Lurbinectedin + atezolizumab (maintenance therapy) is superior in terms of efficacy and inferior in terms of safety compared to atezolizumab (maintenance therapy).</w:t>
            </w:r>
          </w:p>
        </w:tc>
      </w:tr>
    </w:tbl>
    <w:p w14:paraId="527CA7F0" w14:textId="773FD723" w:rsidR="004E43B2" w:rsidRPr="00F92AC3" w:rsidRDefault="008B1757" w:rsidP="004A6040">
      <w:pPr>
        <w:pStyle w:val="COMTablefooter"/>
        <w:rPr>
          <w:sz w:val="20"/>
        </w:rPr>
      </w:pPr>
      <w:r w:rsidRPr="00F92AC3">
        <w:t xml:space="preserve">Source: </w:t>
      </w:r>
      <w:r w:rsidR="00CE67F2" w:rsidRPr="00F92AC3">
        <w:t>Table 1, p17 of the submission</w:t>
      </w:r>
      <w:r w:rsidRPr="00F92AC3">
        <w:t>.</w:t>
      </w:r>
    </w:p>
    <w:p w14:paraId="6B4AB6C2" w14:textId="7F01D731" w:rsidR="005C25FF" w:rsidRPr="00F92AC3" w:rsidRDefault="005C25FF" w:rsidP="001C6B82">
      <w:pPr>
        <w:pStyle w:val="COMESH2"/>
      </w:pPr>
      <w:bookmarkStart w:id="3" w:name="_Toc208928147"/>
      <w:r w:rsidRPr="00F92AC3">
        <w:t>Background</w:t>
      </w:r>
      <w:bookmarkEnd w:id="3"/>
    </w:p>
    <w:p w14:paraId="2C521D6D" w14:textId="78CF03EE" w:rsidR="005C25FF" w:rsidRPr="00F92AC3" w:rsidRDefault="005C25FF" w:rsidP="00B2525F">
      <w:pPr>
        <w:pStyle w:val="COMESSubsectionheading"/>
      </w:pPr>
      <w:bookmarkStart w:id="4" w:name="_Toc22897638"/>
      <w:bookmarkStart w:id="5" w:name="_Toc208928148"/>
      <w:r w:rsidRPr="00F92AC3">
        <w:t>Registration status</w:t>
      </w:r>
      <w:bookmarkEnd w:id="4"/>
      <w:bookmarkEnd w:id="5"/>
    </w:p>
    <w:p w14:paraId="04857AFF" w14:textId="3A5B9849" w:rsidR="00CF6BF9" w:rsidRPr="0026799A" w:rsidRDefault="00CE67F2" w:rsidP="004D589A">
      <w:pPr>
        <w:pStyle w:val="COMESnumberedpara"/>
      </w:pPr>
      <w:r w:rsidRPr="00F92AC3">
        <w:t xml:space="preserve">Lurbinectedin 4 mg (powder for injection) was submitted under the TGA/PBAC parallel process, with US Federal Drug Administration (FDA) international collaboration via Project Orbis, for the following indication: in combination with atezolizumab, for the maintenance treatment of ES-SCLC in adult patients whose </w:t>
      </w:r>
      <w:r w:rsidRPr="0026799A">
        <w:t>disease has not progressed after first line induction therapy with atezolizumab, carboplatin and etoposide.</w:t>
      </w:r>
    </w:p>
    <w:p w14:paraId="3BC1C654" w14:textId="0D9CD362" w:rsidR="003D4EB3" w:rsidRPr="0026799A" w:rsidRDefault="006A0B5D" w:rsidP="004D589A">
      <w:pPr>
        <w:pStyle w:val="COMESnumberedpara"/>
        <w:rPr>
          <w:i/>
        </w:rPr>
      </w:pPr>
      <w:r w:rsidRPr="0026799A">
        <w:t xml:space="preserve">The </w:t>
      </w:r>
      <w:r w:rsidR="007C4162" w:rsidRPr="0026799A">
        <w:t xml:space="preserve">pre-PBAC response stated that the </w:t>
      </w:r>
      <w:r w:rsidR="00FB2D57" w:rsidRPr="0026799A">
        <w:t xml:space="preserve">submission for the 2 mg formulation was submitted </w:t>
      </w:r>
      <w:r w:rsidR="00C17F85">
        <w:t xml:space="preserve">to the TGA </w:t>
      </w:r>
      <w:r w:rsidR="00FB2D57" w:rsidRPr="0026799A">
        <w:t xml:space="preserve">in October 2025. </w:t>
      </w:r>
    </w:p>
    <w:p w14:paraId="408A314C" w14:textId="3CFF5133" w:rsidR="00281D65" w:rsidRPr="0026799A" w:rsidRDefault="00893517" w:rsidP="004D589A">
      <w:pPr>
        <w:pStyle w:val="COMESnumberedpara"/>
      </w:pPr>
      <w:r w:rsidRPr="0026799A">
        <w:t xml:space="preserve">At the time of </w:t>
      </w:r>
      <w:r w:rsidR="00FB2D57" w:rsidRPr="0026799A">
        <w:t xml:space="preserve">PBAC </w:t>
      </w:r>
      <w:r w:rsidRPr="0026799A">
        <w:t>consideration, n</w:t>
      </w:r>
      <w:r w:rsidR="0015509F" w:rsidRPr="0026799A">
        <w:t>o TGA documents were available</w:t>
      </w:r>
      <w:r w:rsidR="00FB2D57" w:rsidRPr="0026799A">
        <w:t xml:space="preserve">. </w:t>
      </w:r>
      <w:r w:rsidR="0015509F" w:rsidRPr="0026799A">
        <w:t xml:space="preserve"> </w:t>
      </w:r>
    </w:p>
    <w:p w14:paraId="72ECACE6" w14:textId="0DE90319" w:rsidR="00C44B2C" w:rsidRPr="00F92AC3" w:rsidRDefault="00D01A7C" w:rsidP="004D589A">
      <w:pPr>
        <w:pStyle w:val="COMESnumberedpara"/>
      </w:pPr>
      <w:r w:rsidRPr="0026799A">
        <w:t>Lurbinectedin 4 mg (powder for injection) has provisional TGA approval for the treatment of patients with metastatic SCLC that has progressed on or after prior platinum-containing</w:t>
      </w:r>
      <w:r w:rsidRPr="00EF1189">
        <w:t xml:space="preserve"> therapy</w:t>
      </w:r>
      <w:r>
        <w:t xml:space="preserve"> (13 September 2021), </w:t>
      </w:r>
      <w:r w:rsidRPr="00E627A4">
        <w:t xml:space="preserve">based on </w:t>
      </w:r>
      <w:r>
        <w:t xml:space="preserve">the results of a </w:t>
      </w:r>
      <w:r w:rsidRPr="00E627A4">
        <w:t xml:space="preserve">single </w:t>
      </w:r>
      <w:r w:rsidRPr="00E627A4">
        <w:lastRenderedPageBreak/>
        <w:t>arm trial (Study B-005), with continued approval dependent on verification of clinical benefit in the confirmatory LAGOON trial</w:t>
      </w:r>
      <w:r w:rsidR="00C44B2C">
        <w:t>.</w:t>
      </w:r>
    </w:p>
    <w:p w14:paraId="3E2A9526" w14:textId="3C784998" w:rsidR="004D1045" w:rsidRDefault="004D1045" w:rsidP="00B2525F">
      <w:pPr>
        <w:pStyle w:val="COMESSubsectionheading"/>
      </w:pPr>
      <w:bookmarkStart w:id="6" w:name="_Toc208928149"/>
      <w:r>
        <w:t>Previous PBAC consideration</w:t>
      </w:r>
      <w:r w:rsidR="00675E67">
        <w:t>s</w:t>
      </w:r>
      <w:bookmarkEnd w:id="6"/>
      <w:r>
        <w:t xml:space="preserve"> </w:t>
      </w:r>
    </w:p>
    <w:p w14:paraId="3AC4C76E" w14:textId="2C43C007" w:rsidR="005C25FF" w:rsidRPr="00F92AC3" w:rsidRDefault="00361292" w:rsidP="00361292">
      <w:pPr>
        <w:pStyle w:val="COMESnumberedpara"/>
      </w:pPr>
      <w:r w:rsidRPr="00F92AC3">
        <w:t xml:space="preserve">This is the first time </w:t>
      </w:r>
      <w:r w:rsidR="004C3D0D" w:rsidRPr="00F92AC3">
        <w:t xml:space="preserve">lurbinectedin has been considered by </w:t>
      </w:r>
      <w:r w:rsidRPr="00F92AC3">
        <w:t xml:space="preserve">the PBAC </w:t>
      </w:r>
      <w:r w:rsidR="004C3D0D" w:rsidRPr="00F92AC3">
        <w:t>for listing on the PBS</w:t>
      </w:r>
      <w:r w:rsidR="005C25FF" w:rsidRPr="00F92AC3">
        <w:t>.</w:t>
      </w:r>
      <w:r w:rsidR="004C3D0D" w:rsidRPr="00F92AC3">
        <w:t xml:space="preserve"> </w:t>
      </w:r>
    </w:p>
    <w:p w14:paraId="452F5604" w14:textId="1A2DE12C" w:rsidR="004D1045" w:rsidRDefault="004D1045" w:rsidP="00361292">
      <w:pPr>
        <w:pStyle w:val="COMESnumberedpara"/>
      </w:pPr>
      <w:r>
        <w:t xml:space="preserve">The PBAC recommended </w:t>
      </w:r>
      <w:r w:rsidR="003B1AE4" w:rsidRPr="003B1AE4">
        <w:t>durvalumab for the treatment of limited-stage small cell lung cancer in patients whose disease has not progressed during or following chemoradiation therapy (CRT)</w:t>
      </w:r>
      <w:r w:rsidR="003B1AE4">
        <w:t xml:space="preserve"> at the </w:t>
      </w:r>
      <w:r w:rsidR="00A005C6">
        <w:t xml:space="preserve">November 2020 </w:t>
      </w:r>
      <w:r w:rsidR="003B1AE4">
        <w:t>PBAC meeting</w:t>
      </w:r>
      <w:r w:rsidR="0094446A">
        <w:rPr>
          <w:rStyle w:val="FootnoteReference"/>
        </w:rPr>
        <w:footnoteReference w:id="1"/>
      </w:r>
      <w:r w:rsidR="003B1AE4" w:rsidRPr="003B1AE4">
        <w:t>.</w:t>
      </w:r>
      <w:r w:rsidR="003B1AE4">
        <w:t xml:space="preserve"> </w:t>
      </w:r>
    </w:p>
    <w:p w14:paraId="7CBB2DE7" w14:textId="7F46E57F" w:rsidR="00984D87" w:rsidRPr="00C238FC" w:rsidRDefault="00C238FC" w:rsidP="00795F6A">
      <w:pPr>
        <w:pStyle w:val="COMESnumberedpara"/>
        <w:numPr>
          <w:ilvl w:val="0"/>
          <w:numId w:val="0"/>
        </w:numPr>
        <w:ind w:left="720"/>
        <w:rPr>
          <w:i/>
          <w:iCs/>
        </w:rPr>
      </w:pPr>
      <w:r w:rsidRPr="00C238FC">
        <w:rPr>
          <w:i/>
          <w:iCs/>
        </w:rPr>
        <w:t>For more detail on PBAC’s view, see section 7 PBAC outcome.</w:t>
      </w:r>
    </w:p>
    <w:p w14:paraId="76E4EF3C" w14:textId="265C43E0" w:rsidR="00B60939" w:rsidRDefault="00B50DB8" w:rsidP="4B25A7EE">
      <w:pPr>
        <w:pStyle w:val="COMESH2"/>
      </w:pPr>
      <w:bookmarkStart w:id="7" w:name="_Toc208928150"/>
      <w:r>
        <w:t>Requested listing</w:t>
      </w:r>
      <w:bookmarkEnd w:id="7"/>
    </w:p>
    <w:p w14:paraId="160AED5D" w14:textId="0C3A57A0" w:rsidR="00A90FAC" w:rsidRDefault="007A5C45" w:rsidP="00A90FAC">
      <w:pPr>
        <w:pStyle w:val="COMESnumberedpara"/>
        <w:spacing w:after="120"/>
      </w:pPr>
      <w:r w:rsidRPr="007A5C45">
        <w:t>S</w:t>
      </w:r>
      <w:r w:rsidR="00FB2D57">
        <w:t>ecretariat s</w:t>
      </w:r>
      <w:r w:rsidRPr="007A5C45">
        <w:t>uggested additions are in </w:t>
      </w:r>
      <w:r w:rsidRPr="0026799A">
        <w:t>italics </w:t>
      </w:r>
      <w:r w:rsidRPr="007A5C45">
        <w:t>and deletions are in strikethrough. </w:t>
      </w:r>
    </w:p>
    <w:p w14:paraId="4DB3F7E8" w14:textId="2CA1B6A1" w:rsidR="00A90FAC" w:rsidRPr="00A90FAC" w:rsidRDefault="00A90FAC" w:rsidP="00A90FAC">
      <w:pPr>
        <w:jc w:val="left"/>
        <w:rPr>
          <w:rFonts w:asciiTheme="minorHAnsi" w:eastAsiaTheme="minorHAnsi" w:hAnsiTheme="minorHAnsi" w:cstheme="minorBidi"/>
          <w:szCs w:val="22"/>
        </w:rPr>
      </w:pPr>
      <w:r>
        <w:br w:type="page"/>
      </w:r>
    </w:p>
    <w:tbl>
      <w:tblPr>
        <w:tblW w:w="90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quested listing"/>
      </w:tblPr>
      <w:tblGrid>
        <w:gridCol w:w="3089"/>
        <w:gridCol w:w="1964"/>
        <w:gridCol w:w="1964"/>
        <w:gridCol w:w="1994"/>
      </w:tblGrid>
      <w:tr w:rsidR="003E0D33" w:rsidRPr="003E0D33" w14:paraId="04E63474" w14:textId="77777777" w:rsidTr="0026799A">
        <w:trPr>
          <w:trHeight w:val="15"/>
        </w:trPr>
        <w:tc>
          <w:tcPr>
            <w:tcW w:w="3089" w:type="dxa"/>
            <w:tcBorders>
              <w:top w:val="single" w:sz="6" w:space="0" w:color="auto"/>
              <w:left w:val="single" w:sz="6" w:space="0" w:color="auto"/>
              <w:bottom w:val="single" w:sz="6" w:space="0" w:color="auto"/>
              <w:right w:val="single" w:sz="6" w:space="0" w:color="auto"/>
            </w:tcBorders>
            <w:vAlign w:val="center"/>
            <w:hideMark/>
          </w:tcPr>
          <w:p w14:paraId="7C07100A" w14:textId="77777777" w:rsidR="003E0D33" w:rsidRPr="003E0D33" w:rsidRDefault="003E0D33" w:rsidP="003E0D33">
            <w:pPr>
              <w:textAlignment w:val="baseline"/>
              <w:rPr>
                <w:rFonts w:ascii="Segoe UI" w:hAnsi="Segoe UI" w:cs="Segoe UI"/>
                <w:sz w:val="18"/>
                <w:szCs w:val="18"/>
              </w:rPr>
            </w:pPr>
            <w:r w:rsidRPr="003E0D33">
              <w:rPr>
                <w:rFonts w:ascii="Arial Narrow" w:hAnsi="Arial Narrow" w:cs="Segoe UI"/>
                <w:b/>
                <w:bCs/>
                <w:sz w:val="20"/>
                <w:szCs w:val="20"/>
              </w:rPr>
              <w:lastRenderedPageBreak/>
              <w:t>MEDICINAL PRODUCT</w:t>
            </w:r>
            <w:r w:rsidRPr="003E0D33">
              <w:rPr>
                <w:rFonts w:ascii="Arial Narrow" w:hAnsi="Arial Narrow" w:cs="Segoe UI"/>
                <w:sz w:val="20"/>
                <w:szCs w:val="20"/>
              </w:rPr>
              <w:t> </w:t>
            </w:r>
          </w:p>
          <w:p w14:paraId="35FF4785" w14:textId="77777777" w:rsidR="003E0D33" w:rsidRPr="003E0D33" w:rsidRDefault="003E0D33" w:rsidP="003E0D33">
            <w:pPr>
              <w:textAlignment w:val="baseline"/>
              <w:rPr>
                <w:rFonts w:ascii="Segoe UI" w:hAnsi="Segoe UI" w:cs="Segoe UI"/>
                <w:sz w:val="18"/>
                <w:szCs w:val="18"/>
              </w:rPr>
            </w:pPr>
            <w:r w:rsidRPr="003E0D33">
              <w:rPr>
                <w:rFonts w:ascii="Arial Narrow" w:hAnsi="Arial Narrow" w:cs="Segoe UI"/>
                <w:b/>
                <w:bCs/>
                <w:sz w:val="20"/>
                <w:szCs w:val="20"/>
              </w:rPr>
              <w:t>Form</w:t>
            </w:r>
            <w:r w:rsidRPr="003E0D33">
              <w:rPr>
                <w:rFonts w:ascii="Arial Narrow" w:hAnsi="Arial Narrow" w:cs="Segoe UI"/>
                <w:sz w:val="20"/>
                <w:szCs w:val="20"/>
              </w:rPr>
              <w:t> </w:t>
            </w:r>
          </w:p>
        </w:tc>
        <w:tc>
          <w:tcPr>
            <w:tcW w:w="1964" w:type="dxa"/>
            <w:tcBorders>
              <w:top w:val="single" w:sz="6" w:space="0" w:color="auto"/>
              <w:left w:val="single" w:sz="6" w:space="0" w:color="auto"/>
              <w:bottom w:val="single" w:sz="6" w:space="0" w:color="auto"/>
              <w:right w:val="single" w:sz="6" w:space="0" w:color="auto"/>
            </w:tcBorders>
            <w:vAlign w:val="center"/>
            <w:hideMark/>
          </w:tcPr>
          <w:p w14:paraId="1D6784C6" w14:textId="5B7798F8" w:rsidR="003E0D33" w:rsidRPr="003E0D33" w:rsidRDefault="003E0727" w:rsidP="003E0D33">
            <w:pPr>
              <w:jc w:val="center"/>
              <w:textAlignment w:val="baseline"/>
              <w:rPr>
                <w:rFonts w:ascii="Segoe UI" w:hAnsi="Segoe UI" w:cs="Segoe UI"/>
                <w:sz w:val="18"/>
                <w:szCs w:val="18"/>
              </w:rPr>
            </w:pPr>
            <w:r>
              <w:rPr>
                <w:rFonts w:ascii="Arial Narrow" w:hAnsi="Arial Narrow" w:cs="Segoe UI"/>
                <w:b/>
                <w:bCs/>
                <w:sz w:val="20"/>
                <w:szCs w:val="20"/>
              </w:rPr>
              <w:t>DPMQ</w:t>
            </w:r>
            <w:r w:rsidR="003E0D33" w:rsidRPr="003E0D33">
              <w:rPr>
                <w:rFonts w:ascii="Arial Narrow" w:hAnsi="Arial Narrow" w:cs="Segoe UI"/>
                <w:sz w:val="20"/>
                <w:szCs w:val="20"/>
              </w:rPr>
              <w:t> </w:t>
            </w:r>
          </w:p>
        </w:tc>
        <w:tc>
          <w:tcPr>
            <w:tcW w:w="1964" w:type="dxa"/>
            <w:tcBorders>
              <w:top w:val="single" w:sz="6" w:space="0" w:color="auto"/>
              <w:left w:val="single" w:sz="6" w:space="0" w:color="auto"/>
              <w:bottom w:val="single" w:sz="6" w:space="0" w:color="auto"/>
              <w:right w:val="single" w:sz="6" w:space="0" w:color="auto"/>
            </w:tcBorders>
            <w:vAlign w:val="center"/>
            <w:hideMark/>
          </w:tcPr>
          <w:p w14:paraId="275D5009" w14:textId="77777777" w:rsidR="003E0D33" w:rsidRPr="003E0D33" w:rsidRDefault="003E0D33" w:rsidP="003E0D33">
            <w:pPr>
              <w:jc w:val="center"/>
              <w:textAlignment w:val="baseline"/>
              <w:rPr>
                <w:rFonts w:ascii="Segoe UI" w:hAnsi="Segoe UI" w:cs="Segoe UI"/>
                <w:sz w:val="18"/>
                <w:szCs w:val="18"/>
              </w:rPr>
            </w:pPr>
            <w:r w:rsidRPr="003E0D33">
              <w:rPr>
                <w:rFonts w:ascii="Arial Narrow" w:hAnsi="Arial Narrow" w:cs="Segoe UI"/>
                <w:b/>
                <w:bCs/>
                <w:sz w:val="20"/>
                <w:szCs w:val="20"/>
              </w:rPr>
              <w:t>Max. Amount</w:t>
            </w:r>
            <w:r w:rsidRPr="003E0D33">
              <w:rPr>
                <w:rFonts w:ascii="Arial Narrow" w:hAnsi="Arial Narrow" w:cs="Segoe UI"/>
                <w:sz w:val="20"/>
                <w:szCs w:val="20"/>
              </w:rPr>
              <w:t> </w:t>
            </w:r>
          </w:p>
        </w:tc>
        <w:tc>
          <w:tcPr>
            <w:tcW w:w="1994" w:type="dxa"/>
            <w:tcBorders>
              <w:top w:val="single" w:sz="6" w:space="0" w:color="auto"/>
              <w:left w:val="single" w:sz="6" w:space="0" w:color="auto"/>
              <w:bottom w:val="single" w:sz="6" w:space="0" w:color="auto"/>
              <w:right w:val="single" w:sz="6" w:space="0" w:color="auto"/>
            </w:tcBorders>
            <w:vAlign w:val="center"/>
            <w:hideMark/>
          </w:tcPr>
          <w:p w14:paraId="41D43446" w14:textId="77777777" w:rsidR="003E0D33" w:rsidRPr="003E0D33" w:rsidRDefault="003E0D33" w:rsidP="003E0D33">
            <w:pPr>
              <w:jc w:val="center"/>
              <w:textAlignment w:val="baseline"/>
              <w:rPr>
                <w:rFonts w:ascii="Segoe UI" w:hAnsi="Segoe UI" w:cs="Segoe UI"/>
                <w:sz w:val="18"/>
                <w:szCs w:val="18"/>
              </w:rPr>
            </w:pPr>
            <w:r w:rsidRPr="003E0D33">
              <w:rPr>
                <w:rFonts w:ascii="Arial Narrow" w:hAnsi="Arial Narrow" w:cs="Segoe UI"/>
                <w:b/>
                <w:bCs/>
                <w:sz w:val="20"/>
                <w:szCs w:val="20"/>
              </w:rPr>
              <w:t>№.of </w:t>
            </w:r>
            <w:proofErr w:type="spellStart"/>
            <w:r w:rsidRPr="003E0D33">
              <w:rPr>
                <w:rFonts w:ascii="Arial Narrow" w:hAnsi="Arial Narrow" w:cs="Segoe UI"/>
                <w:b/>
                <w:bCs/>
                <w:sz w:val="20"/>
                <w:szCs w:val="20"/>
              </w:rPr>
              <w:t>Rpts</w:t>
            </w:r>
            <w:proofErr w:type="spellEnd"/>
            <w:r w:rsidRPr="003E0D33">
              <w:rPr>
                <w:rFonts w:ascii="Arial Narrow" w:hAnsi="Arial Narrow" w:cs="Segoe UI"/>
                <w:sz w:val="20"/>
                <w:szCs w:val="20"/>
              </w:rPr>
              <w:t> </w:t>
            </w:r>
          </w:p>
        </w:tc>
      </w:tr>
      <w:tr w:rsidR="003E0D33" w:rsidRPr="003E0D33" w14:paraId="3CEF93EE" w14:textId="77777777" w:rsidTr="0026799A">
        <w:trPr>
          <w:trHeight w:val="15"/>
        </w:trPr>
        <w:tc>
          <w:tcPr>
            <w:tcW w:w="3089" w:type="dxa"/>
            <w:tcBorders>
              <w:top w:val="single" w:sz="6" w:space="0" w:color="auto"/>
              <w:left w:val="single" w:sz="6" w:space="0" w:color="auto"/>
              <w:bottom w:val="single" w:sz="6" w:space="0" w:color="auto"/>
              <w:right w:val="single" w:sz="6" w:space="0" w:color="auto"/>
            </w:tcBorders>
            <w:vAlign w:val="center"/>
            <w:hideMark/>
          </w:tcPr>
          <w:p w14:paraId="0E770383" w14:textId="77777777" w:rsidR="003E0D33" w:rsidRPr="003E0D33" w:rsidRDefault="003E0D33" w:rsidP="003E0D33">
            <w:pPr>
              <w:textAlignment w:val="baseline"/>
              <w:rPr>
                <w:rFonts w:ascii="Segoe UI" w:hAnsi="Segoe UI" w:cs="Segoe UI"/>
                <w:sz w:val="18"/>
                <w:szCs w:val="18"/>
              </w:rPr>
            </w:pPr>
            <w:r w:rsidRPr="003E0D33">
              <w:rPr>
                <w:rFonts w:ascii="Arial Narrow" w:hAnsi="Arial Narrow" w:cs="Segoe UI"/>
                <w:sz w:val="20"/>
                <w:szCs w:val="20"/>
              </w:rPr>
              <w:t>LURBINECTEDIN Injection </w:t>
            </w:r>
          </w:p>
        </w:tc>
        <w:tc>
          <w:tcPr>
            <w:tcW w:w="1964" w:type="dxa"/>
            <w:tcBorders>
              <w:top w:val="single" w:sz="6" w:space="0" w:color="auto"/>
              <w:left w:val="single" w:sz="6" w:space="0" w:color="auto"/>
              <w:bottom w:val="single" w:sz="6" w:space="0" w:color="auto"/>
              <w:right w:val="single" w:sz="6" w:space="0" w:color="auto"/>
            </w:tcBorders>
            <w:vAlign w:val="center"/>
            <w:hideMark/>
          </w:tcPr>
          <w:p w14:paraId="330EEE62" w14:textId="77777777" w:rsidR="00312B71" w:rsidRPr="00F92AC3" w:rsidRDefault="00312B71" w:rsidP="00312B71">
            <w:pPr>
              <w:pStyle w:val="COMTabletext"/>
              <w:keepNext w:val="0"/>
              <w:keepLines w:val="0"/>
              <w:jc w:val="center"/>
              <w:rPr>
                <w:b/>
                <w:bCs w:val="0"/>
              </w:rPr>
            </w:pPr>
            <w:r w:rsidRPr="00F92AC3">
              <w:rPr>
                <w:b/>
                <w:bCs w:val="0"/>
              </w:rPr>
              <w:t xml:space="preserve">Published </w:t>
            </w:r>
          </w:p>
          <w:p w14:paraId="5EDBE451" w14:textId="2EEBC2AB" w:rsidR="00312B71" w:rsidRPr="00F92AC3" w:rsidRDefault="00312B71" w:rsidP="00312B71">
            <w:pPr>
              <w:pStyle w:val="COMTabletext"/>
              <w:keepNext w:val="0"/>
              <w:keepLines w:val="0"/>
              <w:jc w:val="center"/>
            </w:pPr>
            <w:r w:rsidRPr="00F92AC3">
              <w:t>Public: $</w:t>
            </w:r>
            <w:r w:rsidR="00C8249A" w:rsidRPr="00C8249A">
              <w:rPr>
                <w:highlight w:val="black"/>
              </w:rPr>
              <w:t>&amp;&amp;&amp;&amp;</w:t>
            </w:r>
          </w:p>
          <w:p w14:paraId="34D2D28A" w14:textId="2597F396" w:rsidR="00312B71" w:rsidRPr="00F92AC3" w:rsidRDefault="00312B71" w:rsidP="00312B71">
            <w:pPr>
              <w:pStyle w:val="COMTabletext"/>
              <w:keepNext w:val="0"/>
              <w:keepLines w:val="0"/>
              <w:jc w:val="center"/>
            </w:pPr>
            <w:r w:rsidRPr="00F92AC3">
              <w:t>Private: $</w:t>
            </w:r>
            <w:r w:rsidR="00C8249A" w:rsidRPr="00C8249A">
              <w:rPr>
                <w:highlight w:val="black"/>
              </w:rPr>
              <w:t>&amp;&amp;&amp;&amp;</w:t>
            </w:r>
          </w:p>
          <w:p w14:paraId="16E3CD2E" w14:textId="77777777" w:rsidR="00312B71" w:rsidRPr="00F92AC3" w:rsidRDefault="00312B71" w:rsidP="00312B71">
            <w:pPr>
              <w:pStyle w:val="COMTabletext"/>
              <w:keepNext w:val="0"/>
              <w:keepLines w:val="0"/>
              <w:jc w:val="center"/>
              <w:rPr>
                <w:b/>
                <w:bCs w:val="0"/>
              </w:rPr>
            </w:pPr>
            <w:r w:rsidRPr="00F92AC3">
              <w:rPr>
                <w:b/>
                <w:bCs w:val="0"/>
              </w:rPr>
              <w:t xml:space="preserve">Effective </w:t>
            </w:r>
          </w:p>
          <w:p w14:paraId="3C431768" w14:textId="516896AF" w:rsidR="00312B71" w:rsidRPr="00F92AC3" w:rsidRDefault="00312B71" w:rsidP="00312B71">
            <w:pPr>
              <w:pStyle w:val="COMTabletext"/>
              <w:keepNext w:val="0"/>
              <w:keepLines w:val="0"/>
              <w:jc w:val="center"/>
            </w:pPr>
            <w:r w:rsidRPr="00F92AC3">
              <w:t>Public: $</w:t>
            </w:r>
            <w:r w:rsidR="00C8249A" w:rsidRPr="00C8249A">
              <w:rPr>
                <w:highlight w:val="black"/>
              </w:rPr>
              <w:t>&amp;&amp;&amp;&amp;</w:t>
            </w:r>
          </w:p>
          <w:p w14:paraId="36B8C97F" w14:textId="3469A592" w:rsidR="003E0D33" w:rsidRPr="00312B71" w:rsidRDefault="00312B71" w:rsidP="003E0D33">
            <w:pPr>
              <w:jc w:val="center"/>
              <w:textAlignment w:val="baseline"/>
              <w:rPr>
                <w:rFonts w:ascii="Arial Narrow" w:hAnsi="Arial Narrow" w:cs="Segoe UI"/>
                <w:sz w:val="20"/>
                <w:szCs w:val="20"/>
              </w:rPr>
            </w:pPr>
            <w:r w:rsidRPr="00312B71">
              <w:rPr>
                <w:rFonts w:ascii="Arial Narrow" w:hAnsi="Arial Narrow"/>
                <w:sz w:val="20"/>
                <w:szCs w:val="20"/>
              </w:rPr>
              <w:t>Private: $</w:t>
            </w:r>
            <w:r w:rsidR="00C8249A" w:rsidRPr="00C8249A">
              <w:rPr>
                <w:rFonts w:ascii="Arial Narrow" w:hAnsi="Arial Narrow"/>
                <w:sz w:val="20"/>
                <w:szCs w:val="20"/>
                <w:highlight w:val="black"/>
              </w:rPr>
              <w:t>&amp;&amp;&amp;&amp;</w:t>
            </w:r>
          </w:p>
        </w:tc>
        <w:tc>
          <w:tcPr>
            <w:tcW w:w="1964" w:type="dxa"/>
            <w:tcBorders>
              <w:top w:val="single" w:sz="6" w:space="0" w:color="auto"/>
              <w:left w:val="single" w:sz="6" w:space="0" w:color="auto"/>
              <w:bottom w:val="single" w:sz="6" w:space="0" w:color="auto"/>
              <w:right w:val="single" w:sz="6" w:space="0" w:color="auto"/>
            </w:tcBorders>
            <w:vAlign w:val="center"/>
            <w:hideMark/>
          </w:tcPr>
          <w:p w14:paraId="6A16E673" w14:textId="77777777" w:rsidR="003E0D33" w:rsidRPr="003E0D33" w:rsidRDefault="003E0D33" w:rsidP="003E0D33">
            <w:pPr>
              <w:jc w:val="center"/>
              <w:textAlignment w:val="baseline"/>
              <w:rPr>
                <w:rFonts w:ascii="Segoe UI" w:hAnsi="Segoe UI" w:cs="Segoe UI"/>
                <w:sz w:val="18"/>
                <w:szCs w:val="18"/>
              </w:rPr>
            </w:pPr>
            <w:r w:rsidRPr="003E0D33">
              <w:rPr>
                <w:rFonts w:ascii="Arial Narrow" w:hAnsi="Arial Narrow" w:cs="Segoe UI"/>
                <w:sz w:val="20"/>
                <w:szCs w:val="20"/>
              </w:rPr>
              <w:t>8mg </w:t>
            </w:r>
          </w:p>
        </w:tc>
        <w:tc>
          <w:tcPr>
            <w:tcW w:w="1994" w:type="dxa"/>
            <w:tcBorders>
              <w:top w:val="single" w:sz="6" w:space="0" w:color="auto"/>
              <w:left w:val="single" w:sz="6" w:space="0" w:color="auto"/>
              <w:bottom w:val="single" w:sz="6" w:space="0" w:color="auto"/>
              <w:right w:val="single" w:sz="6" w:space="0" w:color="auto"/>
            </w:tcBorders>
            <w:vAlign w:val="center"/>
            <w:hideMark/>
          </w:tcPr>
          <w:p w14:paraId="0B93B767" w14:textId="77777777" w:rsidR="003E0D33" w:rsidRPr="003E0D33" w:rsidRDefault="003E0D33" w:rsidP="003E0D33">
            <w:pPr>
              <w:jc w:val="center"/>
              <w:textAlignment w:val="baseline"/>
              <w:rPr>
                <w:rFonts w:ascii="Segoe UI" w:hAnsi="Segoe UI" w:cs="Segoe UI"/>
                <w:sz w:val="18"/>
                <w:szCs w:val="18"/>
              </w:rPr>
            </w:pPr>
            <w:r w:rsidRPr="003E0D33">
              <w:rPr>
                <w:rFonts w:ascii="Arial Narrow" w:hAnsi="Arial Narrow" w:cs="Segoe UI"/>
                <w:sz w:val="20"/>
                <w:szCs w:val="20"/>
              </w:rPr>
              <w:t>4 </w:t>
            </w:r>
          </w:p>
        </w:tc>
      </w:tr>
      <w:tr w:rsidR="003E0D33" w:rsidRPr="003E0D33" w14:paraId="11CF9338" w14:textId="77777777" w:rsidTr="0026799A">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hideMark/>
          </w:tcPr>
          <w:p w14:paraId="4E0ADD10" w14:textId="77777777" w:rsidR="003E0D33" w:rsidRPr="003E0D33" w:rsidRDefault="003E0D33" w:rsidP="003E0D33">
            <w:pPr>
              <w:textAlignment w:val="baseline"/>
              <w:rPr>
                <w:rFonts w:ascii="Segoe UI" w:hAnsi="Segoe UI" w:cs="Segoe UI"/>
                <w:sz w:val="18"/>
                <w:szCs w:val="18"/>
              </w:rPr>
            </w:pPr>
            <w:r w:rsidRPr="003E0D33">
              <w:rPr>
                <w:rFonts w:ascii="Arial Narrow" w:hAnsi="Arial Narrow" w:cs="Segoe UI"/>
                <w:b/>
                <w:bCs/>
                <w:sz w:val="20"/>
                <w:szCs w:val="20"/>
              </w:rPr>
              <w:t>Available brands </w:t>
            </w:r>
            <w:r w:rsidRPr="003E0D33">
              <w:rPr>
                <w:rFonts w:ascii="Arial Narrow" w:hAnsi="Arial Narrow" w:cs="Segoe UI"/>
                <w:sz w:val="20"/>
                <w:szCs w:val="20"/>
              </w:rPr>
              <w:t> </w:t>
            </w:r>
          </w:p>
        </w:tc>
      </w:tr>
      <w:tr w:rsidR="003E0D33" w:rsidRPr="00FB2D57" w14:paraId="18AA8B74" w14:textId="77777777" w:rsidTr="0026799A">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hideMark/>
          </w:tcPr>
          <w:p w14:paraId="634F8E1A" w14:textId="77777777" w:rsidR="003E0D33" w:rsidRPr="00FB2D57" w:rsidRDefault="003E0D33" w:rsidP="003E0D33">
            <w:pPr>
              <w:textAlignment w:val="baseline"/>
              <w:rPr>
                <w:rFonts w:ascii="Segoe UI" w:hAnsi="Segoe UI" w:cs="Segoe UI"/>
                <w:sz w:val="18"/>
                <w:szCs w:val="18"/>
              </w:rPr>
            </w:pPr>
            <w:r w:rsidRPr="00FB2D57">
              <w:rPr>
                <w:rFonts w:ascii="Arial Narrow" w:hAnsi="Arial Narrow" w:cs="Segoe UI"/>
                <w:sz w:val="20"/>
                <w:szCs w:val="20"/>
              </w:rPr>
              <w:t>Zepzelca  </w:t>
            </w:r>
          </w:p>
          <w:p w14:paraId="7E0B7593" w14:textId="77777777" w:rsidR="003E0D33" w:rsidRPr="00FB2D57" w:rsidRDefault="003E0D33" w:rsidP="003E0D33">
            <w:pPr>
              <w:textAlignment w:val="baseline"/>
              <w:rPr>
                <w:rFonts w:ascii="Segoe UI" w:hAnsi="Segoe UI" w:cs="Segoe UI"/>
                <w:sz w:val="18"/>
                <w:szCs w:val="18"/>
              </w:rPr>
            </w:pPr>
            <w:r w:rsidRPr="00FB2D57">
              <w:rPr>
                <w:rFonts w:ascii="Arial Narrow" w:hAnsi="Arial Narrow" w:cs="Segoe UI"/>
                <w:sz w:val="20"/>
                <w:szCs w:val="20"/>
              </w:rPr>
              <w:t>(lurbinectedin 2 mg powder for solution for IV infusion, vial) </w:t>
            </w:r>
          </w:p>
        </w:tc>
      </w:tr>
      <w:tr w:rsidR="003E0D33" w:rsidRPr="003E0D33" w14:paraId="53965039" w14:textId="77777777" w:rsidTr="0026799A">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hideMark/>
          </w:tcPr>
          <w:p w14:paraId="61B4AF24" w14:textId="77777777" w:rsidR="003E0D33" w:rsidRPr="003E0D33" w:rsidRDefault="003E0D33" w:rsidP="003E0D33">
            <w:pPr>
              <w:textAlignment w:val="baseline"/>
              <w:rPr>
                <w:rFonts w:ascii="Segoe UI" w:hAnsi="Segoe UI" w:cs="Segoe UI"/>
                <w:sz w:val="18"/>
                <w:szCs w:val="18"/>
              </w:rPr>
            </w:pPr>
            <w:r w:rsidRPr="003E0D33">
              <w:rPr>
                <w:rFonts w:ascii="Arial Narrow" w:hAnsi="Arial Narrow" w:cs="Segoe UI"/>
                <w:sz w:val="20"/>
                <w:szCs w:val="20"/>
              </w:rPr>
              <w:t>Zepzelca </w:t>
            </w:r>
          </w:p>
          <w:p w14:paraId="6BAFD549" w14:textId="77777777" w:rsidR="003E0D33" w:rsidRPr="003E0D33" w:rsidRDefault="003E0D33" w:rsidP="003E0D33">
            <w:pPr>
              <w:textAlignment w:val="baseline"/>
              <w:rPr>
                <w:rFonts w:ascii="Segoe UI" w:hAnsi="Segoe UI" w:cs="Segoe UI"/>
                <w:sz w:val="18"/>
                <w:szCs w:val="18"/>
              </w:rPr>
            </w:pPr>
            <w:r w:rsidRPr="003E0D33">
              <w:rPr>
                <w:rFonts w:ascii="Arial Narrow" w:hAnsi="Arial Narrow" w:cs="Segoe UI"/>
                <w:sz w:val="20"/>
                <w:szCs w:val="20"/>
              </w:rPr>
              <w:t>(lurbinectedin 4 mg powder for solution for IV infusion, vial) </w:t>
            </w:r>
          </w:p>
        </w:tc>
      </w:tr>
      <w:tr w:rsidR="003E0D33" w:rsidRPr="003E0D33" w14:paraId="69B9E62F" w14:textId="77777777" w:rsidTr="0026799A">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hideMark/>
          </w:tcPr>
          <w:p w14:paraId="48907A8A" w14:textId="77777777" w:rsidR="003E0D33" w:rsidRPr="003E0D33" w:rsidRDefault="003E0D33" w:rsidP="003E0D33">
            <w:pPr>
              <w:textAlignment w:val="baseline"/>
              <w:rPr>
                <w:rFonts w:ascii="Segoe UI" w:hAnsi="Segoe UI" w:cs="Segoe UI"/>
                <w:sz w:val="18"/>
                <w:szCs w:val="18"/>
              </w:rPr>
            </w:pPr>
            <w:r w:rsidRPr="003E0D33">
              <w:rPr>
                <w:rFonts w:ascii="Arial Narrow" w:hAnsi="Arial Narrow" w:cs="Segoe UI"/>
                <w:sz w:val="20"/>
                <w:szCs w:val="20"/>
              </w:rPr>
              <w:t> </w:t>
            </w:r>
          </w:p>
        </w:tc>
      </w:tr>
      <w:tr w:rsidR="003E0D33" w:rsidRPr="003E0D33" w14:paraId="4349F28E" w14:textId="77777777" w:rsidTr="0026799A">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hideMark/>
          </w:tcPr>
          <w:p w14:paraId="1BC0820D" w14:textId="77777777" w:rsidR="003E0D33" w:rsidRPr="003E0D33" w:rsidRDefault="003E0D33" w:rsidP="003E0D33">
            <w:pPr>
              <w:textAlignment w:val="baseline"/>
              <w:rPr>
                <w:rFonts w:ascii="Segoe UI" w:hAnsi="Segoe UI" w:cs="Segoe UI"/>
                <w:sz w:val="18"/>
                <w:szCs w:val="18"/>
              </w:rPr>
            </w:pPr>
            <w:r w:rsidRPr="003E0D33">
              <w:rPr>
                <w:rFonts w:ascii="Arial Narrow" w:hAnsi="Arial Narrow" w:cs="Segoe UI"/>
                <w:b/>
                <w:bCs/>
                <w:sz w:val="20"/>
                <w:szCs w:val="20"/>
              </w:rPr>
              <w:t>Restriction Summary [new1]/ Treatment of Concept: [new1A]</w:t>
            </w:r>
            <w:r w:rsidRPr="003E0D33">
              <w:rPr>
                <w:rFonts w:ascii="Arial Narrow" w:hAnsi="Arial Narrow" w:cs="Segoe UI"/>
                <w:sz w:val="20"/>
                <w:szCs w:val="20"/>
              </w:rPr>
              <w:t> </w:t>
            </w:r>
          </w:p>
        </w:tc>
      </w:tr>
      <w:tr w:rsidR="00864D96" w:rsidRPr="003E0D33" w14:paraId="33D83646" w14:textId="77777777" w:rsidTr="00864D96">
        <w:trPr>
          <w:trHeight w:val="15"/>
        </w:trPr>
        <w:tc>
          <w:tcPr>
            <w:tcW w:w="9011" w:type="dxa"/>
            <w:gridSpan w:val="4"/>
            <w:tcBorders>
              <w:top w:val="single" w:sz="6" w:space="0" w:color="auto"/>
              <w:left w:val="single" w:sz="6" w:space="0" w:color="auto"/>
              <w:bottom w:val="single" w:sz="6" w:space="0" w:color="auto"/>
              <w:right w:val="single" w:sz="6" w:space="0" w:color="auto"/>
            </w:tcBorders>
            <w:hideMark/>
          </w:tcPr>
          <w:p w14:paraId="03CB9322" w14:textId="77777777" w:rsidR="00864D96" w:rsidRPr="003E0D33" w:rsidRDefault="00864D96" w:rsidP="003E0D33">
            <w:pPr>
              <w:textAlignment w:val="baseline"/>
              <w:rPr>
                <w:rFonts w:ascii="Segoe UI" w:hAnsi="Segoe UI" w:cs="Segoe UI"/>
                <w:sz w:val="18"/>
                <w:szCs w:val="18"/>
              </w:rPr>
            </w:pPr>
            <w:r w:rsidRPr="003E0D33">
              <w:rPr>
                <w:rFonts w:ascii="Arial Narrow" w:hAnsi="Arial Narrow" w:cs="Segoe UI"/>
                <w:b/>
                <w:bCs/>
                <w:sz w:val="20"/>
                <w:szCs w:val="20"/>
              </w:rPr>
              <w:t>Category / Program: </w:t>
            </w:r>
            <w:r w:rsidRPr="003E0D33">
              <w:rPr>
                <w:rFonts w:ascii="Arial Narrow" w:hAnsi="Arial Narrow" w:cs="Segoe UI"/>
                <w:sz w:val="20"/>
                <w:szCs w:val="20"/>
              </w:rPr>
              <w:t>Section 100 – Efficient Funding of Chemotherapy Public/Private hospitals  </w:t>
            </w:r>
          </w:p>
        </w:tc>
      </w:tr>
      <w:tr w:rsidR="00864D96" w:rsidRPr="003E0D33" w14:paraId="2D8E4312" w14:textId="77777777" w:rsidTr="00864D96">
        <w:trPr>
          <w:trHeight w:val="15"/>
        </w:trPr>
        <w:tc>
          <w:tcPr>
            <w:tcW w:w="9011" w:type="dxa"/>
            <w:gridSpan w:val="4"/>
            <w:tcBorders>
              <w:top w:val="single" w:sz="6" w:space="0" w:color="auto"/>
              <w:left w:val="single" w:sz="6" w:space="0" w:color="auto"/>
              <w:bottom w:val="single" w:sz="6" w:space="0" w:color="auto"/>
              <w:right w:val="single" w:sz="6" w:space="0" w:color="auto"/>
            </w:tcBorders>
            <w:hideMark/>
          </w:tcPr>
          <w:p w14:paraId="08EE004D" w14:textId="77777777" w:rsidR="00864D96" w:rsidRPr="003E0D33" w:rsidRDefault="00864D96" w:rsidP="003E0D33">
            <w:pPr>
              <w:textAlignment w:val="baseline"/>
              <w:rPr>
                <w:rFonts w:ascii="Segoe UI" w:hAnsi="Segoe UI" w:cs="Segoe UI"/>
                <w:sz w:val="18"/>
                <w:szCs w:val="18"/>
              </w:rPr>
            </w:pPr>
            <w:r w:rsidRPr="003E0D33">
              <w:rPr>
                <w:rFonts w:ascii="Arial Narrow" w:hAnsi="Arial Narrow" w:cs="Segoe UI"/>
                <w:b/>
                <w:bCs/>
                <w:sz w:val="20"/>
                <w:szCs w:val="20"/>
              </w:rPr>
              <w:t>Prescriber type: </w:t>
            </w:r>
            <w:r w:rsidRPr="003E0D33">
              <w:rPr>
                <w:rFonts w:ascii="Arial Narrow" w:hAnsi="Arial Narrow" w:cs="Segoe UI"/>
                <w:sz w:val="20"/>
                <w:szCs w:val="20"/>
              </w:rPr>
              <w:t>Medical Practitioners  </w:t>
            </w:r>
          </w:p>
        </w:tc>
      </w:tr>
      <w:tr w:rsidR="00864D96" w:rsidRPr="003E0D33" w14:paraId="5B1AC60D" w14:textId="77777777" w:rsidTr="00864D96">
        <w:trPr>
          <w:trHeight w:val="15"/>
        </w:trPr>
        <w:tc>
          <w:tcPr>
            <w:tcW w:w="9011" w:type="dxa"/>
            <w:gridSpan w:val="4"/>
            <w:tcBorders>
              <w:top w:val="single" w:sz="6" w:space="0" w:color="auto"/>
              <w:left w:val="single" w:sz="6" w:space="0" w:color="auto"/>
              <w:bottom w:val="single" w:sz="6" w:space="0" w:color="auto"/>
              <w:right w:val="single" w:sz="6" w:space="0" w:color="auto"/>
            </w:tcBorders>
            <w:hideMark/>
          </w:tcPr>
          <w:p w14:paraId="044EB8F8" w14:textId="77777777" w:rsidR="00864D96" w:rsidRPr="003E0D33" w:rsidRDefault="00864D96" w:rsidP="003E0D33">
            <w:pPr>
              <w:textAlignment w:val="baseline"/>
              <w:rPr>
                <w:rFonts w:ascii="Segoe UI" w:hAnsi="Segoe UI" w:cs="Segoe UI"/>
                <w:sz w:val="18"/>
                <w:szCs w:val="18"/>
              </w:rPr>
            </w:pPr>
            <w:r w:rsidRPr="003E0D33">
              <w:rPr>
                <w:rFonts w:ascii="Arial Narrow" w:hAnsi="Arial Narrow" w:cs="Segoe UI"/>
                <w:b/>
                <w:bCs/>
                <w:sz w:val="20"/>
                <w:szCs w:val="20"/>
              </w:rPr>
              <w:t>Restriction type: </w:t>
            </w:r>
            <w:r w:rsidRPr="003E0D33">
              <w:rPr>
                <w:rFonts w:ascii="Arial Narrow" w:hAnsi="Arial Narrow" w:cs="Segoe UI"/>
                <w:sz w:val="20"/>
                <w:szCs w:val="20"/>
              </w:rPr>
              <w:t>Authority Required (STREAMLINED) [NEW]  </w:t>
            </w:r>
          </w:p>
        </w:tc>
      </w:tr>
      <w:tr w:rsidR="00864D96" w:rsidRPr="003E0D33" w14:paraId="5077C40F" w14:textId="77777777" w:rsidTr="00864D96">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hideMark/>
          </w:tcPr>
          <w:p w14:paraId="2C4AE674" w14:textId="77777777" w:rsidR="00864D96" w:rsidRPr="003E0D33" w:rsidRDefault="00864D96" w:rsidP="003E0D33">
            <w:pPr>
              <w:textAlignment w:val="baseline"/>
              <w:rPr>
                <w:rFonts w:ascii="Segoe UI" w:hAnsi="Segoe UI" w:cs="Segoe UI"/>
                <w:sz w:val="18"/>
                <w:szCs w:val="18"/>
              </w:rPr>
            </w:pPr>
            <w:proofErr w:type="spellStart"/>
            <w:r w:rsidRPr="003E0D33">
              <w:rPr>
                <w:rFonts w:ascii="Arial Narrow" w:hAnsi="Arial Narrow" w:cs="Segoe UI"/>
                <w:b/>
                <w:bCs/>
                <w:sz w:val="20"/>
                <w:szCs w:val="20"/>
              </w:rPr>
              <w:t>Episodicity</w:t>
            </w:r>
            <w:proofErr w:type="spellEnd"/>
            <w:r w:rsidRPr="003E0D33">
              <w:rPr>
                <w:rFonts w:ascii="Arial Narrow" w:hAnsi="Arial Narrow" w:cs="Segoe UI"/>
                <w:b/>
                <w:bCs/>
                <w:sz w:val="20"/>
                <w:szCs w:val="20"/>
              </w:rPr>
              <w:t>:</w:t>
            </w:r>
            <w:r w:rsidRPr="003E0D33">
              <w:rPr>
                <w:rFonts w:ascii="Arial Narrow" w:hAnsi="Arial Narrow" w:cs="Segoe UI"/>
                <w:sz w:val="20"/>
                <w:szCs w:val="20"/>
              </w:rPr>
              <w:t> [blank] </w:t>
            </w:r>
          </w:p>
        </w:tc>
      </w:tr>
      <w:tr w:rsidR="00864D96" w:rsidRPr="003E0D33" w14:paraId="37A4857C" w14:textId="77777777" w:rsidTr="00864D96">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hideMark/>
          </w:tcPr>
          <w:p w14:paraId="058AC497" w14:textId="77777777" w:rsidR="00864D96" w:rsidRPr="003E0D33" w:rsidRDefault="00864D96" w:rsidP="003E0D33">
            <w:pPr>
              <w:textAlignment w:val="baseline"/>
              <w:rPr>
                <w:rFonts w:ascii="Segoe UI" w:hAnsi="Segoe UI" w:cs="Segoe UI"/>
                <w:sz w:val="18"/>
                <w:szCs w:val="18"/>
              </w:rPr>
            </w:pPr>
            <w:r w:rsidRPr="003E0D33">
              <w:rPr>
                <w:rFonts w:ascii="Arial Narrow" w:hAnsi="Arial Narrow" w:cs="Segoe UI"/>
                <w:b/>
                <w:bCs/>
                <w:sz w:val="20"/>
                <w:szCs w:val="20"/>
              </w:rPr>
              <w:t>Severity: </w:t>
            </w:r>
            <w:r w:rsidRPr="003E0D33">
              <w:rPr>
                <w:rFonts w:ascii="Arial Narrow" w:hAnsi="Arial Narrow" w:cs="Segoe UI"/>
                <w:sz w:val="20"/>
                <w:szCs w:val="20"/>
              </w:rPr>
              <w:t>[blank] </w:t>
            </w:r>
          </w:p>
        </w:tc>
      </w:tr>
      <w:tr w:rsidR="00864D96" w:rsidRPr="003E0D33" w14:paraId="53A1658E" w14:textId="77777777" w:rsidTr="00864D96">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hideMark/>
          </w:tcPr>
          <w:p w14:paraId="00A1A0C5"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b/>
                <w:bCs/>
                <w:sz w:val="20"/>
                <w:szCs w:val="20"/>
              </w:rPr>
              <w:t>Condition: </w:t>
            </w:r>
            <w:r w:rsidRPr="004F7C31">
              <w:rPr>
                <w:rFonts w:ascii="Arial Narrow" w:hAnsi="Arial Narrow" w:cs="Segoe UI"/>
                <w:sz w:val="20"/>
                <w:szCs w:val="20"/>
              </w:rPr>
              <w:t>Extensive-stage small cell lung cancer </w:t>
            </w:r>
          </w:p>
        </w:tc>
      </w:tr>
      <w:tr w:rsidR="00864D96" w:rsidRPr="003E0D33" w14:paraId="1675AEF8"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3464B4B7"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b/>
                <w:bCs/>
                <w:sz w:val="20"/>
                <w:szCs w:val="20"/>
              </w:rPr>
              <w:t>Indication:</w:t>
            </w:r>
            <w:r w:rsidRPr="004F7C31">
              <w:rPr>
                <w:rFonts w:ascii="Arial Narrow" w:hAnsi="Arial Narrow" w:cs="Segoe UI"/>
                <w:sz w:val="20"/>
                <w:szCs w:val="20"/>
              </w:rPr>
              <w:t> Extensive-stage small cell lung cancer </w:t>
            </w:r>
          </w:p>
        </w:tc>
      </w:tr>
      <w:tr w:rsidR="00864D96" w:rsidRPr="003E0D33" w14:paraId="399B0BC6"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3931767A"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b/>
                <w:bCs/>
                <w:sz w:val="20"/>
                <w:szCs w:val="20"/>
              </w:rPr>
              <w:t>Treatment Phase:</w:t>
            </w:r>
            <w:r w:rsidRPr="004F7C31">
              <w:rPr>
                <w:rFonts w:ascii="Arial Narrow" w:hAnsi="Arial Narrow" w:cs="Segoe UI"/>
                <w:sz w:val="20"/>
                <w:szCs w:val="20"/>
              </w:rPr>
              <w:t> Maintenance therapy</w:t>
            </w:r>
            <w:r w:rsidRPr="004F7C31">
              <w:rPr>
                <w:rFonts w:ascii="Arial Narrow" w:hAnsi="Arial Narrow" w:cs="Segoe UI"/>
                <w:strike/>
                <w:sz w:val="20"/>
                <w:szCs w:val="20"/>
              </w:rPr>
              <w:t> </w:t>
            </w:r>
            <w:r w:rsidRPr="004F7C31">
              <w:rPr>
                <w:rFonts w:ascii="Arial Narrow" w:hAnsi="Arial Narrow" w:cs="Segoe UI"/>
                <w:sz w:val="20"/>
                <w:szCs w:val="20"/>
              </w:rPr>
              <w:t> </w:t>
            </w:r>
          </w:p>
        </w:tc>
      </w:tr>
      <w:tr w:rsidR="00864D96" w:rsidRPr="003E0D33" w14:paraId="1B53D3D5"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2FDF0F1F"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b/>
                <w:bCs/>
                <w:sz w:val="20"/>
                <w:szCs w:val="20"/>
              </w:rPr>
              <w:t>Clinical criteria: </w:t>
            </w:r>
            <w:r w:rsidRPr="004F7C31">
              <w:rPr>
                <w:rFonts w:ascii="Arial Narrow" w:hAnsi="Arial Narrow" w:cs="Segoe UI"/>
                <w:sz w:val="20"/>
                <w:szCs w:val="20"/>
              </w:rPr>
              <w:t> </w:t>
            </w:r>
          </w:p>
        </w:tc>
      </w:tr>
      <w:tr w:rsidR="00864D96" w:rsidRPr="003E0D33" w14:paraId="02F4B445"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60C1B975"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sz w:val="20"/>
                <w:szCs w:val="20"/>
              </w:rPr>
              <w:t>Patient must have previously received PBS-subsidised treatment with atezolizumab, a platinum-based antineoplastic drug and etoposide as induction for this condition. </w:t>
            </w:r>
          </w:p>
        </w:tc>
      </w:tr>
      <w:tr w:rsidR="00864D96" w:rsidRPr="003E0D33" w14:paraId="51C9F595"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246F02C5"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b/>
                <w:bCs/>
                <w:sz w:val="20"/>
                <w:szCs w:val="20"/>
              </w:rPr>
              <w:t>Clinical criteria: </w:t>
            </w:r>
            <w:r w:rsidRPr="004F7C31">
              <w:rPr>
                <w:rFonts w:ascii="Arial Narrow" w:hAnsi="Arial Narrow" w:cs="Segoe UI"/>
                <w:sz w:val="20"/>
                <w:szCs w:val="20"/>
              </w:rPr>
              <w:t> </w:t>
            </w:r>
          </w:p>
        </w:tc>
      </w:tr>
      <w:tr w:rsidR="00864D96" w:rsidRPr="003E0D33" w14:paraId="5F1A328F"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4EC46316"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sz w:val="20"/>
                <w:szCs w:val="20"/>
              </w:rPr>
              <w:t>Patient must not have developed disease progression while being treated with atezolizumab, a platinum-based antineoplastic drug and etoposide as induction for this condition. </w:t>
            </w:r>
          </w:p>
        </w:tc>
      </w:tr>
      <w:tr w:rsidR="00864D96" w:rsidRPr="003E0D33" w14:paraId="14380E91"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604D6567"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b/>
                <w:bCs/>
                <w:sz w:val="20"/>
                <w:szCs w:val="20"/>
              </w:rPr>
              <w:t>AND</w:t>
            </w:r>
            <w:r w:rsidRPr="004F7C31">
              <w:rPr>
                <w:rFonts w:ascii="Arial Narrow" w:hAnsi="Arial Narrow" w:cs="Segoe UI"/>
                <w:sz w:val="20"/>
                <w:szCs w:val="20"/>
              </w:rPr>
              <w:t> </w:t>
            </w:r>
          </w:p>
        </w:tc>
      </w:tr>
      <w:tr w:rsidR="00864D96" w:rsidRPr="003E0D33" w14:paraId="50F795D7"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4752DD10"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b/>
                <w:bCs/>
                <w:sz w:val="20"/>
                <w:szCs w:val="20"/>
              </w:rPr>
              <w:t>Clinical criteria: </w:t>
            </w:r>
            <w:r w:rsidRPr="004F7C31">
              <w:rPr>
                <w:rFonts w:ascii="Arial Narrow" w:hAnsi="Arial Narrow" w:cs="Segoe UI"/>
                <w:sz w:val="20"/>
                <w:szCs w:val="20"/>
              </w:rPr>
              <w:t> </w:t>
            </w:r>
          </w:p>
        </w:tc>
      </w:tr>
      <w:tr w:rsidR="00864D96" w:rsidRPr="003E0D33" w14:paraId="07E1828D"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3013EFC1"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i/>
                <w:iCs/>
                <w:sz w:val="20"/>
                <w:szCs w:val="20"/>
              </w:rPr>
              <w:t>Patient must not have developed disease progression while being treated with this drug for this condition</w:t>
            </w:r>
            <w:r w:rsidRPr="004F7C31">
              <w:rPr>
                <w:rFonts w:ascii="Arial Narrow" w:hAnsi="Arial Narrow" w:cs="Segoe UI"/>
                <w:sz w:val="20"/>
                <w:szCs w:val="20"/>
              </w:rPr>
              <w:t> </w:t>
            </w:r>
          </w:p>
        </w:tc>
      </w:tr>
      <w:tr w:rsidR="00864D96" w:rsidRPr="003E0D33" w14:paraId="640E2BE3"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29B01B25"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b/>
                <w:bCs/>
                <w:sz w:val="20"/>
                <w:szCs w:val="20"/>
              </w:rPr>
              <w:t>AND</w:t>
            </w:r>
            <w:r w:rsidRPr="004F7C31">
              <w:rPr>
                <w:rFonts w:ascii="Arial Narrow" w:hAnsi="Arial Narrow" w:cs="Segoe UI"/>
                <w:sz w:val="20"/>
                <w:szCs w:val="20"/>
              </w:rPr>
              <w:t> </w:t>
            </w:r>
          </w:p>
        </w:tc>
      </w:tr>
      <w:tr w:rsidR="00864D96" w:rsidRPr="003E0D33" w14:paraId="69416A4B"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0C7E6DA7"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b/>
                <w:bCs/>
                <w:sz w:val="20"/>
                <w:szCs w:val="20"/>
              </w:rPr>
              <w:t>Clinical criteria: </w:t>
            </w:r>
            <w:r w:rsidRPr="004F7C31">
              <w:rPr>
                <w:rFonts w:ascii="Arial Narrow" w:hAnsi="Arial Narrow" w:cs="Segoe UI"/>
                <w:sz w:val="20"/>
                <w:szCs w:val="20"/>
              </w:rPr>
              <w:t> </w:t>
            </w:r>
          </w:p>
        </w:tc>
      </w:tr>
      <w:tr w:rsidR="00864D96" w:rsidRPr="003E0D33" w14:paraId="2C0491FB"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1119F625"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sz w:val="20"/>
                <w:szCs w:val="20"/>
              </w:rPr>
              <w:t>Treatment must be </w:t>
            </w:r>
            <w:r w:rsidRPr="004F7C31">
              <w:rPr>
                <w:rFonts w:ascii="Arial Narrow" w:hAnsi="Arial Narrow" w:cs="Segoe UI"/>
                <w:strike/>
                <w:sz w:val="20"/>
                <w:szCs w:val="20"/>
              </w:rPr>
              <w:t>initiated</w:t>
            </w:r>
            <w:r w:rsidRPr="004F7C31">
              <w:rPr>
                <w:rFonts w:ascii="Arial Narrow" w:hAnsi="Arial Narrow" w:cs="Segoe UI"/>
                <w:sz w:val="20"/>
                <w:szCs w:val="20"/>
              </w:rPr>
              <w:t> in combination therapy with atezolizumab for this condition; or </w:t>
            </w:r>
          </w:p>
        </w:tc>
      </w:tr>
      <w:tr w:rsidR="00864D96" w:rsidRPr="003E0D33" w14:paraId="45072696"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1379DC5A"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i/>
                <w:iCs/>
                <w:sz w:val="20"/>
                <w:szCs w:val="20"/>
              </w:rPr>
              <w:t>Patient must have developed an intolerance/toxicity to atezolizumab preventing the use of combination therapy</w:t>
            </w:r>
            <w:r w:rsidRPr="004F7C31">
              <w:rPr>
                <w:rFonts w:ascii="Arial Narrow" w:hAnsi="Arial Narrow" w:cs="Segoe UI"/>
                <w:sz w:val="20"/>
                <w:szCs w:val="20"/>
              </w:rPr>
              <w:t> </w:t>
            </w:r>
          </w:p>
        </w:tc>
      </w:tr>
      <w:tr w:rsidR="00864D96" w:rsidRPr="003E0D33" w14:paraId="2C4CF2E9"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hideMark/>
          </w:tcPr>
          <w:p w14:paraId="0945A63A" w14:textId="2F370D0C" w:rsidR="00864D96" w:rsidRPr="004F7C31" w:rsidRDefault="00864D96" w:rsidP="00217F04">
            <w:pPr>
              <w:textAlignment w:val="baseline"/>
              <w:rPr>
                <w:rFonts w:ascii="Segoe UI" w:hAnsi="Segoe UI" w:cs="Segoe UI"/>
                <w:sz w:val="18"/>
                <w:szCs w:val="18"/>
              </w:rPr>
            </w:pPr>
            <w:r w:rsidRPr="004F7C31">
              <w:rPr>
                <w:rFonts w:ascii="Arial Narrow" w:hAnsi="Arial Narrow" w:cs="Segoe UI"/>
                <w:b/>
                <w:bCs/>
                <w:sz w:val="20"/>
                <w:szCs w:val="20"/>
              </w:rPr>
              <w:t>Prescribing instruction: </w:t>
            </w:r>
            <w:r w:rsidRPr="004F7C31">
              <w:rPr>
                <w:rFonts w:ascii="Arial Narrow" w:hAnsi="Arial Narrow" w:cs="Segoe UI"/>
                <w:sz w:val="20"/>
                <w:szCs w:val="20"/>
              </w:rPr>
              <w:t> </w:t>
            </w:r>
          </w:p>
          <w:p w14:paraId="5006B4A5"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sz w:val="20"/>
                <w:szCs w:val="20"/>
              </w:rPr>
              <w:t>The patient’s body surface area must be documented in the patient’s medical records at the time treatment is initiated. </w:t>
            </w:r>
          </w:p>
        </w:tc>
      </w:tr>
      <w:tr w:rsidR="00864D96" w:rsidRPr="003E0D33" w14:paraId="18B9F554"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3788DE03"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b/>
                <w:bCs/>
                <w:sz w:val="20"/>
                <w:szCs w:val="20"/>
              </w:rPr>
              <w:t>Administrative Advice: </w:t>
            </w:r>
            <w:r w:rsidRPr="004F7C31">
              <w:rPr>
                <w:rFonts w:ascii="Arial Narrow" w:hAnsi="Arial Narrow" w:cs="Segoe UI"/>
                <w:sz w:val="20"/>
                <w:szCs w:val="20"/>
              </w:rPr>
              <w:t>No increase in the maximum number of repeats may be authorised. </w:t>
            </w:r>
          </w:p>
        </w:tc>
      </w:tr>
      <w:tr w:rsidR="00864D96" w:rsidRPr="003E0D33" w14:paraId="634CF0BC" w14:textId="77777777">
        <w:trPr>
          <w:trHeight w:val="15"/>
        </w:trPr>
        <w:tc>
          <w:tcPr>
            <w:tcW w:w="9011" w:type="dxa"/>
            <w:gridSpan w:val="4"/>
            <w:tcBorders>
              <w:top w:val="single" w:sz="6" w:space="0" w:color="auto"/>
              <w:left w:val="single" w:sz="6" w:space="0" w:color="auto"/>
              <w:bottom w:val="single" w:sz="6" w:space="0" w:color="auto"/>
              <w:right w:val="single" w:sz="6" w:space="0" w:color="auto"/>
            </w:tcBorders>
            <w:vAlign w:val="center"/>
          </w:tcPr>
          <w:p w14:paraId="368D3C3E" w14:textId="77777777" w:rsidR="00864D96" w:rsidRPr="004F7C31" w:rsidRDefault="00864D96" w:rsidP="003E0D33">
            <w:pPr>
              <w:textAlignment w:val="baseline"/>
              <w:rPr>
                <w:rFonts w:ascii="Segoe UI" w:hAnsi="Segoe UI" w:cs="Segoe UI"/>
                <w:sz w:val="18"/>
                <w:szCs w:val="18"/>
              </w:rPr>
            </w:pPr>
            <w:r w:rsidRPr="004F7C31">
              <w:rPr>
                <w:rFonts w:ascii="Arial Narrow" w:hAnsi="Arial Narrow" w:cs="Segoe UI"/>
                <w:b/>
                <w:bCs/>
                <w:sz w:val="20"/>
                <w:szCs w:val="20"/>
              </w:rPr>
              <w:t>Administrative Advice: </w:t>
            </w:r>
            <w:r w:rsidRPr="004F7C31">
              <w:rPr>
                <w:rFonts w:ascii="Arial Narrow" w:hAnsi="Arial Narrow" w:cs="Segoe UI"/>
                <w:sz w:val="20"/>
                <w:szCs w:val="20"/>
              </w:rPr>
              <w:t>Special Pricing Arrangements apply</w:t>
            </w:r>
            <w:r w:rsidRPr="004F7C31">
              <w:rPr>
                <w:rFonts w:ascii="Arial Narrow" w:hAnsi="Arial Narrow" w:cs="Segoe UI"/>
                <w:b/>
                <w:bCs/>
                <w:sz w:val="20"/>
                <w:szCs w:val="20"/>
              </w:rPr>
              <w:t>.</w:t>
            </w:r>
            <w:r w:rsidRPr="004F7C31">
              <w:rPr>
                <w:rFonts w:ascii="Arial Narrow" w:hAnsi="Arial Narrow" w:cs="Segoe UI"/>
                <w:sz w:val="20"/>
                <w:szCs w:val="20"/>
              </w:rPr>
              <w:t> </w:t>
            </w:r>
          </w:p>
        </w:tc>
      </w:tr>
    </w:tbl>
    <w:p w14:paraId="3578576F" w14:textId="1F662938" w:rsidR="00FB72AC" w:rsidRPr="00F92AC3" w:rsidRDefault="00FB72AC" w:rsidP="005C4C1E">
      <w:pPr>
        <w:pStyle w:val="COMESnumberedpara"/>
        <w:rPr>
          <w:i/>
          <w:iCs/>
        </w:rPr>
      </w:pPr>
      <w:r w:rsidRPr="00F92AC3">
        <w:t xml:space="preserve">The submission requested a special pricing arrangement, with an effective </w:t>
      </w:r>
      <w:r w:rsidR="00AA3B7D">
        <w:t>ex</w:t>
      </w:r>
      <w:r w:rsidR="00217F04">
        <w:noBreakHyphen/>
      </w:r>
      <w:r w:rsidR="00AA3B7D">
        <w:t>manufacturer price (</w:t>
      </w:r>
      <w:r w:rsidRPr="00F92AC3">
        <w:t>EMP</w:t>
      </w:r>
      <w:r w:rsidR="00AA3B7D">
        <w:t>)</w:t>
      </w:r>
      <w:r w:rsidRPr="00F92AC3">
        <w:t xml:space="preserve"> for lurbinectedin 2 mg of $</w:t>
      </w:r>
      <w:r w:rsidR="00C8249A" w:rsidRPr="00C8249A">
        <w:rPr>
          <w:highlight w:val="black"/>
        </w:rPr>
        <w:t>&amp;&amp;&amp;&amp;</w:t>
      </w:r>
      <w:r w:rsidRPr="00F92AC3">
        <w:t xml:space="preserve"> per vial, and an effective EMP for lurbinectedin 4 mg of $</w:t>
      </w:r>
      <w:r w:rsidR="00C8249A" w:rsidRPr="00C8249A">
        <w:rPr>
          <w:highlight w:val="black"/>
        </w:rPr>
        <w:t>&amp;&amp;&amp;&amp;</w:t>
      </w:r>
      <w:r w:rsidRPr="00F92AC3">
        <w:t xml:space="preserve"> per vial.</w:t>
      </w:r>
      <w:r w:rsidR="002F1085">
        <w:t xml:space="preserve"> The proposed</w:t>
      </w:r>
      <w:r w:rsidR="00E41B72">
        <w:t xml:space="preserve"> </w:t>
      </w:r>
      <w:r w:rsidR="00B16962">
        <w:t xml:space="preserve">effective </w:t>
      </w:r>
      <w:r w:rsidR="00E41B72">
        <w:t>EMP</w:t>
      </w:r>
      <w:r w:rsidR="002F1085">
        <w:t xml:space="preserve"> of the </w:t>
      </w:r>
      <w:r w:rsidR="00B16962">
        <w:t>2</w:t>
      </w:r>
      <w:r w:rsidR="00217F04">
        <w:t> </w:t>
      </w:r>
      <w:r w:rsidR="002F1085">
        <w:t>mg vial was reduced to $</w:t>
      </w:r>
      <w:r w:rsidR="00C8249A" w:rsidRPr="00C8249A">
        <w:rPr>
          <w:highlight w:val="black"/>
        </w:rPr>
        <w:t>&amp;&amp;&amp;&amp;</w:t>
      </w:r>
      <w:r w:rsidR="002F1085">
        <w:t xml:space="preserve"> in the pre-PBAC </w:t>
      </w:r>
      <w:r w:rsidR="004C7C45">
        <w:t>response (the economic and financial models were based on the price of the 2 mg vial).</w:t>
      </w:r>
    </w:p>
    <w:p w14:paraId="78FD4C41" w14:textId="024F77F7" w:rsidR="0064434C" w:rsidRPr="00F92AC3" w:rsidRDefault="00015E56" w:rsidP="00F9393E">
      <w:pPr>
        <w:pStyle w:val="COMESnumberedpara"/>
        <w:rPr>
          <w:color w:val="0066FF"/>
        </w:rPr>
      </w:pPr>
      <w:r w:rsidRPr="00F92AC3">
        <w:t xml:space="preserve">The </w:t>
      </w:r>
      <w:r w:rsidR="00DB7273">
        <w:t xml:space="preserve">proposed </w:t>
      </w:r>
      <w:r w:rsidRPr="00F92AC3">
        <w:t xml:space="preserve">maximum amount of lurbinectedin </w:t>
      </w:r>
      <w:r w:rsidR="00DB7273">
        <w:t>(</w:t>
      </w:r>
      <w:r w:rsidRPr="00F92AC3">
        <w:t>8 mg</w:t>
      </w:r>
      <w:r w:rsidR="00DB7273">
        <w:t>)</w:t>
      </w:r>
      <w:r w:rsidRPr="00F92AC3">
        <w:t xml:space="preserve"> </w:t>
      </w:r>
      <w:r w:rsidR="00DB7273">
        <w:t>with</w:t>
      </w:r>
      <w:r w:rsidR="00DB7273" w:rsidRPr="00F92AC3">
        <w:t xml:space="preserve"> </w:t>
      </w:r>
      <w:r w:rsidR="00C93506" w:rsidRPr="00F92AC3">
        <w:t xml:space="preserve">4 </w:t>
      </w:r>
      <w:r w:rsidRPr="00F92AC3">
        <w:t>repeats is sufficient for 3 months of maintenance treatment, assuming an average body surface area (BSA) of 1.83 m</w:t>
      </w:r>
      <w:r w:rsidRPr="00F92AC3">
        <w:rPr>
          <w:vertAlign w:val="superscript"/>
        </w:rPr>
        <w:t>2</w:t>
      </w:r>
      <w:r w:rsidRPr="00F92AC3">
        <w:t xml:space="preserve"> and an equivalent maximum dose of 5.9 mg per course of treatment</w:t>
      </w:r>
      <w:r w:rsidR="00F82853">
        <w:t xml:space="preserve">. </w:t>
      </w:r>
    </w:p>
    <w:p w14:paraId="059997BC" w14:textId="6FBFA1C6" w:rsidR="00F67A69" w:rsidRPr="00F92AC3" w:rsidRDefault="003D4EB3" w:rsidP="00F9393E">
      <w:pPr>
        <w:pStyle w:val="COMESnumberedpara"/>
        <w:rPr>
          <w:color w:val="0066FF"/>
        </w:rPr>
      </w:pPr>
      <w:r w:rsidRPr="00F92AC3">
        <w:t>The proposed restriction is</w:t>
      </w:r>
      <w:r w:rsidR="00994ABE" w:rsidRPr="00F92AC3">
        <w:t xml:space="preserve"> </w:t>
      </w:r>
      <w:r w:rsidRPr="00F92AC3">
        <w:t>less specific in terms of prior induction therapy (atezolizumab, a platinum-based antineoplastic drug and etoposide) compared to the proposed TGA indication (atezolizumab, carboplatin and etoposide)</w:t>
      </w:r>
      <w:r w:rsidR="00994ABE" w:rsidRPr="00F92AC3">
        <w:t xml:space="preserve"> but</w:t>
      </w:r>
      <w:r w:rsidRPr="00F92AC3">
        <w:t xml:space="preserve"> </w:t>
      </w:r>
      <w:r w:rsidR="005954BD">
        <w:t xml:space="preserve">it </w:t>
      </w:r>
      <w:r w:rsidRPr="00F92AC3">
        <w:t>is consistent with the current PBS listings for atezolizumab and durvalumab in ES-SCLC post</w:t>
      </w:r>
      <w:r w:rsidR="00A66956">
        <w:noBreakHyphen/>
      </w:r>
      <w:r w:rsidRPr="00F92AC3">
        <w:t>induction maintenance therapy.</w:t>
      </w:r>
    </w:p>
    <w:p w14:paraId="50DF3000" w14:textId="51C7B165" w:rsidR="00CC35EA" w:rsidRPr="00F92AC3" w:rsidRDefault="003D4EB3" w:rsidP="00F9393E">
      <w:pPr>
        <w:pStyle w:val="COMESnumberedpara"/>
        <w:rPr>
          <w:color w:val="0066FF"/>
        </w:rPr>
      </w:pPr>
      <w:r w:rsidRPr="00F92AC3">
        <w:t xml:space="preserve">The proposed restriction is </w:t>
      </w:r>
      <w:r w:rsidR="00F917CB" w:rsidRPr="00F92AC3">
        <w:t>broader than</w:t>
      </w:r>
      <w:r w:rsidRPr="00F92AC3">
        <w:t xml:space="preserve"> the key clinical trial (IMforte) </w:t>
      </w:r>
      <w:r w:rsidR="007E4E88" w:rsidRPr="00F92AC3">
        <w:t xml:space="preserve">eligibility </w:t>
      </w:r>
      <w:r w:rsidRPr="00F92AC3">
        <w:t xml:space="preserve">criteria, which required patients </w:t>
      </w:r>
      <w:r w:rsidR="002C207F">
        <w:t xml:space="preserve">to have </w:t>
      </w:r>
      <w:r w:rsidRPr="00F92AC3">
        <w:t>complet</w:t>
      </w:r>
      <w:r w:rsidR="002C207F">
        <w:t>ed</w:t>
      </w:r>
      <w:r w:rsidRPr="00F92AC3">
        <w:t xml:space="preserve"> induction therapy </w:t>
      </w:r>
      <w:r w:rsidR="00254F2F">
        <w:t xml:space="preserve">(rather than received) </w:t>
      </w:r>
      <w:r w:rsidR="002C207F">
        <w:t>and</w:t>
      </w:r>
      <w:r w:rsidRPr="00F92AC3">
        <w:t xml:space="preserve"> maintained </w:t>
      </w:r>
      <w:r w:rsidR="0051143C" w:rsidRPr="00F92AC3">
        <w:t>Eastern Cooperative Oncology Group Performance Status (</w:t>
      </w:r>
      <w:r w:rsidRPr="00F92AC3">
        <w:t>ECOG PS</w:t>
      </w:r>
      <w:r w:rsidR="0051143C" w:rsidRPr="00F92AC3">
        <w:t>)</w:t>
      </w:r>
      <w:r w:rsidRPr="00F92AC3">
        <w:t xml:space="preserve"> 0-1 status to be eligible for randomisation into the maintenance treatment phase, and excluded patients with central nervous system metastases</w:t>
      </w:r>
      <w:r w:rsidR="00FD5116" w:rsidRPr="00F92AC3">
        <w:t>.</w:t>
      </w:r>
      <w:r w:rsidR="009F1544">
        <w:t xml:space="preserve"> </w:t>
      </w:r>
    </w:p>
    <w:p w14:paraId="170E9EAE" w14:textId="59DC54AB" w:rsidR="00FD5116" w:rsidRPr="00F92AC3" w:rsidRDefault="00FD5116" w:rsidP="00F9393E">
      <w:pPr>
        <w:pStyle w:val="COMESnumberedpara"/>
        <w:rPr>
          <w:color w:val="0066FF"/>
        </w:rPr>
      </w:pPr>
      <w:r w:rsidRPr="00F92AC3">
        <w:t xml:space="preserve">The submission included a grandfathering restriction for patients receiving non-PBS funded lurbinectedin as part of the sponsor’s special access program, to transition to PBS subsidised lurbinectedin, </w:t>
      </w:r>
      <w:r w:rsidR="005C7968" w:rsidRPr="00F92AC3">
        <w:t xml:space="preserve">with an </w:t>
      </w:r>
      <w:r w:rsidRPr="00F92AC3">
        <w:t xml:space="preserve">estimated 50 </w:t>
      </w:r>
      <w:r w:rsidR="00DB5B80" w:rsidRPr="00F92AC3">
        <w:t xml:space="preserve">eligible </w:t>
      </w:r>
      <w:r w:rsidRPr="00F92AC3">
        <w:t>patients.</w:t>
      </w:r>
    </w:p>
    <w:p w14:paraId="4AA60D41" w14:textId="4EF38F76" w:rsidR="00B5236E" w:rsidRPr="00893517" w:rsidRDefault="00B5236E" w:rsidP="00F9393E">
      <w:pPr>
        <w:pStyle w:val="COMESnumberedpara"/>
        <w:rPr>
          <w:color w:val="0066FF"/>
        </w:rPr>
      </w:pPr>
      <w:r w:rsidRPr="00F92AC3">
        <w:t xml:space="preserve">The current atezolizumab PBS listing for ES-SCLC in the maintenance setting includes specific items for 3-weekly and 4-weekly treatment regimens. Given the administration of lurbinectedin is 3-weekly, the submission assumed that any use of atezolizumab </w:t>
      </w:r>
      <w:r w:rsidR="005E1B9B" w:rsidRPr="00F92AC3">
        <w:t>because of</w:t>
      </w:r>
      <w:r w:rsidRPr="00F92AC3">
        <w:t xml:space="preserve"> the lurbinectedin listing would only affect the atezolizumab 3-weekly regimen listing.</w:t>
      </w:r>
    </w:p>
    <w:p w14:paraId="5D3867A0" w14:textId="4BB144D6" w:rsidR="00893517" w:rsidRDefault="00893517" w:rsidP="00893517">
      <w:pPr>
        <w:pStyle w:val="COMESnumberedpara"/>
      </w:pPr>
      <w:r w:rsidRPr="000229B1">
        <w:t>The ESC noted that</w:t>
      </w:r>
      <w:r>
        <w:t xml:space="preserve"> patients receiving first-line induction therapy with PBS subsidised durvalumab would not be eligible for adjunctive lurbinectedin maintenance therapy under the proposed restriction or TGA indication. The PBAC </w:t>
      </w:r>
      <w:r w:rsidR="00373CF6">
        <w:t xml:space="preserve">previously </w:t>
      </w:r>
      <w:r>
        <w:t>considered durvalumab was non-inferior to atezolizumab in initial (induction) and continuing (maintenance) treatment of ES-SCLC, and recommended durvalumab on a cost-minimisation basis versus atezolizumab (para</w:t>
      </w:r>
      <w:r w:rsidR="009D3234">
        <w:t>graph</w:t>
      </w:r>
      <w:r>
        <w:t xml:space="preserve"> 7.1, </w:t>
      </w:r>
      <w:r w:rsidR="00CE167E">
        <w:t>d</w:t>
      </w:r>
      <w:r>
        <w:t xml:space="preserve">urvalumab </w:t>
      </w:r>
      <w:r w:rsidR="008C553B">
        <w:t>Public Summary Document [</w:t>
      </w:r>
      <w:r>
        <w:t>PSD</w:t>
      </w:r>
      <w:r w:rsidR="008C553B">
        <w:t>]</w:t>
      </w:r>
      <w:r>
        <w:t>, November 2020 PBAC meeting). Both atezolizumab and durvalumab monotherapy were replaced by lurbinectedin plus atezolizumab in the submission’s estimated financial impact to the PBS.</w:t>
      </w:r>
    </w:p>
    <w:p w14:paraId="56881D49" w14:textId="43A9A160" w:rsidR="00C238FC" w:rsidRPr="00C238FC" w:rsidRDefault="00C238FC" w:rsidP="000B0B33">
      <w:pPr>
        <w:pStyle w:val="COMESnumberedpara"/>
        <w:numPr>
          <w:ilvl w:val="0"/>
          <w:numId w:val="0"/>
        </w:numPr>
        <w:ind w:left="720"/>
        <w:rPr>
          <w:i/>
          <w:iCs/>
        </w:rPr>
      </w:pPr>
      <w:r w:rsidRPr="00C238FC">
        <w:rPr>
          <w:i/>
          <w:iCs/>
        </w:rPr>
        <w:t>For more detail on PBAC’s view, see section 7 PBAC outcome.</w:t>
      </w:r>
    </w:p>
    <w:p w14:paraId="7075B85C" w14:textId="62A47B7B" w:rsidR="00B50DB8" w:rsidRPr="00F92AC3" w:rsidDel="00195452" w:rsidRDefault="00203181" w:rsidP="004E18E9">
      <w:pPr>
        <w:pStyle w:val="COMESH2"/>
      </w:pPr>
      <w:bookmarkStart w:id="8" w:name="_Toc208928151"/>
      <w:r w:rsidRPr="00F92AC3" w:rsidDel="00195452">
        <w:t xml:space="preserve">Population and </w:t>
      </w:r>
      <w:r w:rsidR="008E0D3C" w:rsidRPr="00F92AC3" w:rsidDel="00195452">
        <w:t>d</w:t>
      </w:r>
      <w:r w:rsidRPr="00F92AC3" w:rsidDel="00195452">
        <w:t>isease</w:t>
      </w:r>
      <w:bookmarkEnd w:id="8"/>
    </w:p>
    <w:p w14:paraId="3F03E3B7" w14:textId="3D7B4B59" w:rsidR="00B5236E" w:rsidRPr="00F92AC3" w:rsidRDefault="00B5236E" w:rsidP="004E18E9">
      <w:pPr>
        <w:pStyle w:val="COMESnumberedpara"/>
        <w:rPr>
          <w:color w:val="0066FF"/>
        </w:rPr>
      </w:pPr>
      <w:r w:rsidRPr="00F92AC3">
        <w:t xml:space="preserve">SCLC is an aggressive, poorly differentiated neuroendocrine lung cancer, characterised by </w:t>
      </w:r>
      <w:r w:rsidRPr="00F92AC3">
        <w:rPr>
          <w:rFonts w:cstheme="minorHAnsi"/>
        </w:rPr>
        <w:t>rapid proliferation and early widespread metastases.</w:t>
      </w:r>
      <w:r w:rsidRPr="00F92AC3">
        <w:t xml:space="preserve"> SCLC accounts for approximately 10-14% of all lung cancer diagnoses.</w:t>
      </w:r>
    </w:p>
    <w:p w14:paraId="2AFD2592" w14:textId="6B39013F" w:rsidR="00204FA4" w:rsidRPr="00F92AC3" w:rsidRDefault="00204FA4" w:rsidP="003F4AAD">
      <w:pPr>
        <w:pStyle w:val="COMESnumberedpara"/>
        <w:keepLines/>
        <w:rPr>
          <w:color w:val="0066FF"/>
        </w:rPr>
      </w:pPr>
      <w:r w:rsidRPr="00F92AC3">
        <w:t>Most ES-SCLC patients are symptomatic at diagnosis, reporting substantial impairment of physical, cognitive, emotional, and social functioning, and a broad range of disease and/or metastases related symptoms (dyspnoea, chest pain, cough, fatigue, anorexia, weight loss, bone pain, neurological symptoms, depression, anxiety; Sugimura et al. 2006)</w:t>
      </w:r>
      <w:r w:rsidR="006D51CA">
        <w:rPr>
          <w:rStyle w:val="FootnoteReference"/>
        </w:rPr>
        <w:footnoteReference w:id="2"/>
      </w:r>
      <w:r w:rsidR="002413FF">
        <w:t xml:space="preserve">. </w:t>
      </w:r>
    </w:p>
    <w:p w14:paraId="43D9E5B4" w14:textId="74219837" w:rsidR="00204FA4" w:rsidRPr="00F92AC3" w:rsidRDefault="00204FA4" w:rsidP="004E18E9">
      <w:pPr>
        <w:pStyle w:val="COMESnumberedpara"/>
        <w:rPr>
          <w:color w:val="0066FF"/>
        </w:rPr>
      </w:pPr>
      <w:r w:rsidRPr="00F92AC3">
        <w:t xml:space="preserve">ES-SCLC is highly sensitive to initial systemic </w:t>
      </w:r>
      <w:r w:rsidR="003D11F4" w:rsidRPr="00F92AC3">
        <w:t>platinum-based</w:t>
      </w:r>
      <w:r w:rsidRPr="00F92AC3">
        <w:t xml:space="preserve"> chemotherapies, but progressive or relapsed disease is common, with a median survival of </w:t>
      </w:r>
      <w:r w:rsidRPr="00F92AC3">
        <w:rPr>
          <w:rFonts w:cs="Calibri"/>
        </w:rPr>
        <w:t>≤</w:t>
      </w:r>
      <w:r w:rsidRPr="00F92AC3">
        <w:t xml:space="preserve">10 months and a </w:t>
      </w:r>
      <w:r w:rsidR="005A0058" w:rsidRPr="00F92AC3">
        <w:t>5-year</w:t>
      </w:r>
      <w:r w:rsidRPr="00F92AC3">
        <w:t xml:space="preserve"> survival of approximately 2% (National Cancer Institute 202</w:t>
      </w:r>
      <w:r w:rsidR="00DE5C6B">
        <w:t>5</w:t>
      </w:r>
      <w:r w:rsidR="002D112F">
        <w:rPr>
          <w:rStyle w:val="FootnoteReference"/>
        </w:rPr>
        <w:footnoteReference w:id="3"/>
      </w:r>
      <w:r w:rsidRPr="00F92AC3">
        <w:t>; Reck 2024</w:t>
      </w:r>
      <w:r w:rsidR="00241BD3">
        <w:rPr>
          <w:rStyle w:val="FootnoteReference"/>
        </w:rPr>
        <w:footnoteReference w:id="4"/>
      </w:r>
      <w:r w:rsidRPr="00F92AC3">
        <w:t xml:space="preserve">). The introduction of immunotherapies in combination with first-line </w:t>
      </w:r>
      <w:r w:rsidR="005A0058" w:rsidRPr="00F92AC3">
        <w:t>platinum-based</w:t>
      </w:r>
      <w:r w:rsidRPr="00F92AC3">
        <w:t xml:space="preserve"> chemotherapies has improved median overall survival to approximately 12.3 months with atezolizumab (IMpower133 trial) and 13.0 months with durvalumab (CASPIAN trial; para</w:t>
      </w:r>
      <w:r w:rsidR="009D3234">
        <w:t>graph</w:t>
      </w:r>
      <w:r w:rsidRPr="00F92AC3">
        <w:t xml:space="preserve"> 6.08, </w:t>
      </w:r>
      <w:r w:rsidR="00CE167E">
        <w:t>d</w:t>
      </w:r>
      <w:r w:rsidRPr="00F92AC3">
        <w:t>urvalumab PSD, November 2020 PBAC meeting)</w:t>
      </w:r>
      <w:r w:rsidR="0023164E">
        <w:rPr>
          <w:rStyle w:val="FootnoteReference"/>
        </w:rPr>
        <w:footnoteReference w:id="5"/>
      </w:r>
      <w:r w:rsidRPr="00F92AC3">
        <w:t>.</w:t>
      </w:r>
    </w:p>
    <w:p w14:paraId="79F70BD9" w14:textId="0E74C134" w:rsidR="003D3928" w:rsidRPr="00F92AC3" w:rsidRDefault="00204FA4" w:rsidP="004E18E9">
      <w:pPr>
        <w:pStyle w:val="COMESnumberedpara"/>
        <w:rPr>
          <w:color w:val="0066FF"/>
        </w:rPr>
      </w:pPr>
      <w:bookmarkStart w:id="9" w:name="_Hlk208845372"/>
      <w:r w:rsidRPr="00F92AC3">
        <w:t>Lurbinectedin is a synthetic alkylating agent that inhibits oncogenic transcription, promoting cancer cell death.</w:t>
      </w:r>
      <w:r w:rsidR="00A4594B">
        <w:t xml:space="preserve"> </w:t>
      </w:r>
      <w:r w:rsidR="00D53E73" w:rsidRPr="000D6D17">
        <w:t xml:space="preserve">The ESC noted lurbinectedin is a chemotherapy agent and its use in the maintenance treatment setting effectively extends the duration of treatment with chemotherapy. </w:t>
      </w:r>
    </w:p>
    <w:bookmarkEnd w:id="9"/>
    <w:p w14:paraId="7A494FEA" w14:textId="3E936B6F" w:rsidR="00C238FC" w:rsidRPr="00F92AC3" w:rsidRDefault="00D732CE" w:rsidP="00066688">
      <w:pPr>
        <w:pStyle w:val="COMESnumberedpara"/>
        <w:numPr>
          <w:ilvl w:val="0"/>
          <w:numId w:val="0"/>
        </w:numPr>
        <w:ind w:left="720"/>
      </w:pPr>
      <w:r w:rsidRPr="00C238FC">
        <w:rPr>
          <w:i/>
          <w:iCs/>
        </w:rPr>
        <w:t>For more detail on PBAC’s view, see section 7 PBAC outcome.</w:t>
      </w:r>
    </w:p>
    <w:p w14:paraId="51E5AE96" w14:textId="136A63B1" w:rsidR="00B50DB8" w:rsidRPr="00F92AC3" w:rsidRDefault="00B50DB8" w:rsidP="004E18E9">
      <w:pPr>
        <w:pStyle w:val="COMESH2"/>
      </w:pPr>
      <w:bookmarkStart w:id="10" w:name="_Toc208928152"/>
      <w:r w:rsidRPr="00F92AC3">
        <w:t>Comparator</w:t>
      </w:r>
      <w:bookmarkEnd w:id="10"/>
    </w:p>
    <w:p w14:paraId="747A75CC" w14:textId="15191E53" w:rsidR="00A05472" w:rsidRPr="00F01C7D" w:rsidRDefault="004160EC" w:rsidP="00882E3C">
      <w:pPr>
        <w:pStyle w:val="COMESnumberedpara"/>
      </w:pPr>
      <w:r w:rsidRPr="00F01C7D">
        <w:t xml:space="preserve">The submission nominated atezolizumab monotherapy as the main comparator. The main argument provided in support of this nomination was that lurbinectedin is proposed as an add-on to </w:t>
      </w:r>
      <w:r w:rsidR="000229B1">
        <w:t xml:space="preserve">atezolizumab </w:t>
      </w:r>
      <w:r w:rsidRPr="00F01C7D">
        <w:t xml:space="preserve">maintenance immunotherapy in patients responding to first-line treatment with a </w:t>
      </w:r>
      <w:r w:rsidR="00B461F3" w:rsidRPr="00F01C7D">
        <w:t>platinum-based</w:t>
      </w:r>
      <w:r w:rsidRPr="00F01C7D">
        <w:t xml:space="preserve"> chemotherapy regimen with etoposide in combination with an immunotherapy.</w:t>
      </w:r>
      <w:r w:rsidR="00E311EF" w:rsidRPr="00F01C7D">
        <w:t xml:space="preserve"> </w:t>
      </w:r>
    </w:p>
    <w:p w14:paraId="0E6522E6" w14:textId="41D7CF5C" w:rsidR="00663AA8" w:rsidRPr="00893517" w:rsidRDefault="004160EC" w:rsidP="007C782B">
      <w:pPr>
        <w:pStyle w:val="COMESnumberedpara"/>
        <w:keepLines/>
        <w:rPr>
          <w:i/>
          <w:iCs/>
        </w:rPr>
      </w:pPr>
      <w:r w:rsidRPr="00F01C7D">
        <w:t>The submission acknowledged that both atezolizumab and durvalumab are preferred immunotherapy options for first-line induction and subsequent maintenance therapy for ES-</w:t>
      </w:r>
      <w:r w:rsidR="00B461F3" w:rsidRPr="00F01C7D">
        <w:t>SCLC but</w:t>
      </w:r>
      <w:r w:rsidRPr="00F01C7D">
        <w:t xml:space="preserve"> noted that PBS services for the 2024 calendar year showed </w:t>
      </w:r>
      <w:r w:rsidR="00663AA8" w:rsidRPr="00F01C7D">
        <w:t xml:space="preserve">low </w:t>
      </w:r>
      <w:r w:rsidRPr="00F01C7D">
        <w:t xml:space="preserve">uptake of durvalumab for both induction (8%) and maintenance therapy (4%) compared with atezolizumab (92% and 96% respectively). </w:t>
      </w:r>
      <w:r w:rsidR="00EC3146" w:rsidRPr="00F01C7D">
        <w:t>The submission argued that</w:t>
      </w:r>
      <w:r w:rsidRPr="00F01C7D">
        <w:t xml:space="preserve"> atezolizumab is the therapy most likely to be replaced by lurbinectedin plus atezolizumab in the proposed population. </w:t>
      </w:r>
      <w:r w:rsidR="00893517" w:rsidRPr="000D6D17">
        <w:t>The ESC noted that the proposed restriction for lurbinectedin specified use should follow an atezolizumab-based induction.</w:t>
      </w:r>
    </w:p>
    <w:p w14:paraId="0523F74E" w14:textId="3D5F617D" w:rsidR="003D483A" w:rsidRPr="000D6D17" w:rsidRDefault="00BC4FB7" w:rsidP="002E4F02">
      <w:pPr>
        <w:pStyle w:val="COMESnumberedpara"/>
      </w:pPr>
      <w:r w:rsidRPr="000D6D17">
        <w:t xml:space="preserve">The </w:t>
      </w:r>
      <w:r w:rsidR="008C553B">
        <w:t>Pre-Sub-Committee Response (</w:t>
      </w:r>
      <w:r w:rsidRPr="000D6D17">
        <w:t>PSCR</w:t>
      </w:r>
      <w:r w:rsidR="008C553B">
        <w:t>)</w:t>
      </w:r>
      <w:r w:rsidRPr="000D6D17">
        <w:t xml:space="preserve"> noted that the most recent NCCN guidelines for SCLC</w:t>
      </w:r>
      <w:r w:rsidR="000C3FB3" w:rsidRPr="000D6D17">
        <w:t xml:space="preserve"> (version 2.2026 – September 16, 2025) </w:t>
      </w:r>
      <w:r w:rsidR="007B5F12" w:rsidRPr="000D6D17">
        <w:t xml:space="preserve">includes lurbinectedin </w:t>
      </w:r>
      <w:r w:rsidR="00962750" w:rsidRPr="000D6D17">
        <w:t>with atezolizumab as a preferred primary maintenance therapy for ES-SCLC</w:t>
      </w:r>
      <w:r w:rsidR="00DE18DD" w:rsidRPr="000D6D17">
        <w:t xml:space="preserve">. This recommendation was based on the results from the IMforte </w:t>
      </w:r>
      <w:r w:rsidR="007C6E11" w:rsidRPr="000D6D17">
        <w:t>trial</w:t>
      </w:r>
      <w:r w:rsidR="00EA6BDE" w:rsidRPr="000D6D17">
        <w:t xml:space="preserve"> and establishes lurbinectedin plus atezolizumab as a new standard of care internationally for these patients. </w:t>
      </w:r>
      <w:r w:rsidR="003D483A" w:rsidRPr="000D6D17">
        <w:t xml:space="preserve">Current Australian </w:t>
      </w:r>
      <w:r w:rsidR="00957E34">
        <w:t xml:space="preserve">guidelines </w:t>
      </w:r>
      <w:r w:rsidR="003D483A" w:rsidRPr="000D6D17">
        <w:t xml:space="preserve">do not include the use of lurbinectedin in first-line chemotherapy regimens for ES-SCLC. </w:t>
      </w:r>
    </w:p>
    <w:p w14:paraId="7CE54D1B" w14:textId="77777777" w:rsidR="00F106C8" w:rsidRDefault="00D8061D" w:rsidP="002E4F02">
      <w:pPr>
        <w:pStyle w:val="COMESnumberedpara"/>
      </w:pPr>
      <w:r w:rsidRPr="00F01C7D">
        <w:t xml:space="preserve">Treatment options for patients with disease progression on or after prior platinum-containing induction therapy include retreatment with a platinum-based chemotherapy, as well as novel therapies as part of a clinical trial. Lurbinectedin has a provisional TGA listing for patients who have progressed on or after prior platinum-containing induction </w:t>
      </w:r>
      <w:r w:rsidR="00D447CA" w:rsidRPr="00F01C7D">
        <w:t>therapy and</w:t>
      </w:r>
      <w:r w:rsidRPr="00F01C7D">
        <w:t xml:space="preserve"> is recommended as a treatment option for patients with relapsed SCLC in the NCCN (202</w:t>
      </w:r>
      <w:r w:rsidR="00C91BFA">
        <w:t>6</w:t>
      </w:r>
      <w:r w:rsidRPr="00F01C7D">
        <w:t>), ASCO (2025)</w:t>
      </w:r>
      <w:r w:rsidR="008158FA" w:rsidRPr="00F01C7D">
        <w:rPr>
          <w:rStyle w:val="FootnoteReference"/>
        </w:rPr>
        <w:footnoteReference w:id="6"/>
      </w:r>
      <w:r w:rsidRPr="00F01C7D">
        <w:t xml:space="preserve"> and ESMO (2021)</w:t>
      </w:r>
      <w:r w:rsidR="00B72B11" w:rsidRPr="00F01C7D">
        <w:rPr>
          <w:rStyle w:val="FootnoteReference"/>
        </w:rPr>
        <w:footnoteReference w:id="7"/>
      </w:r>
      <w:r w:rsidRPr="00F01C7D">
        <w:t xml:space="preserve"> guidelines.</w:t>
      </w:r>
    </w:p>
    <w:p w14:paraId="54E544F5" w14:textId="462B0ED8" w:rsidR="00D8061D" w:rsidRDefault="00D8061D" w:rsidP="00F106C8">
      <w:pPr>
        <w:pStyle w:val="COMESnumberedpara"/>
        <w:numPr>
          <w:ilvl w:val="0"/>
          <w:numId w:val="0"/>
        </w:numPr>
      </w:pPr>
      <w:r w:rsidRPr="00F01C7D">
        <w:t xml:space="preserve"> </w:t>
      </w:r>
    </w:p>
    <w:p w14:paraId="793D0A41" w14:textId="320D790C" w:rsidR="00D732CE" w:rsidRPr="00D732CE" w:rsidRDefault="00D732CE" w:rsidP="00587520">
      <w:pPr>
        <w:pStyle w:val="COMESnumberedpara"/>
        <w:numPr>
          <w:ilvl w:val="0"/>
          <w:numId w:val="0"/>
        </w:numPr>
        <w:ind w:left="720"/>
        <w:rPr>
          <w:i/>
          <w:iCs/>
        </w:rPr>
      </w:pPr>
      <w:r w:rsidRPr="00C238FC">
        <w:rPr>
          <w:i/>
          <w:iCs/>
        </w:rPr>
        <w:t>For more detail on PBAC’s view, see section 7 PBAC outcome.</w:t>
      </w:r>
    </w:p>
    <w:p w14:paraId="7F9C27C8" w14:textId="77777777" w:rsidR="00223D5A" w:rsidRDefault="00223D5A" w:rsidP="00223D5A">
      <w:pPr>
        <w:pStyle w:val="COMESH2"/>
        <w:numPr>
          <w:ilvl w:val="0"/>
          <w:numId w:val="6"/>
        </w:numPr>
      </w:pPr>
      <w:bookmarkStart w:id="11" w:name="_Toc208928153"/>
      <w:bookmarkStart w:id="12" w:name="_Toc22897640"/>
      <w:r w:rsidRPr="00F92AC3">
        <w:t>Consideration of the evidence</w:t>
      </w:r>
      <w:bookmarkEnd w:id="11"/>
    </w:p>
    <w:p w14:paraId="1091B9CD" w14:textId="77777777" w:rsidR="00380EB4" w:rsidRPr="006E1229" w:rsidRDefault="00380EB4" w:rsidP="00B2525F">
      <w:pPr>
        <w:pStyle w:val="COMESSubsectionheading"/>
      </w:pPr>
      <w:bookmarkStart w:id="13" w:name="_Hlk76375935"/>
      <w:r w:rsidRPr="006E1229">
        <w:t>Sponsor hearing</w:t>
      </w:r>
    </w:p>
    <w:p w14:paraId="4191A97E" w14:textId="221627CD" w:rsidR="00380EB4" w:rsidRPr="00836F75" w:rsidRDefault="004B7C00" w:rsidP="00380EB4">
      <w:pPr>
        <w:pStyle w:val="COMESnumberedpara"/>
      </w:pPr>
      <w:bookmarkStart w:id="14" w:name="_Hlk76382586"/>
      <w:r w:rsidRPr="004B7C00">
        <w:rPr>
          <w:snapToGrid w:val="0"/>
        </w:rPr>
        <w:t xml:space="preserve">The sponsor requested a hearing for this item. </w:t>
      </w:r>
      <w:r w:rsidR="000229B1">
        <w:rPr>
          <w:snapToGrid w:val="0"/>
        </w:rPr>
        <w:t>T</w:t>
      </w:r>
      <w:r w:rsidRPr="004B7C00">
        <w:rPr>
          <w:snapToGrid w:val="0"/>
        </w:rPr>
        <w:t xml:space="preserve">he clinician </w:t>
      </w:r>
      <w:r w:rsidR="63514DF7" w:rsidRPr="004B7C00">
        <w:rPr>
          <w:snapToGrid w:val="0"/>
        </w:rPr>
        <w:t>highlighted</w:t>
      </w:r>
      <w:r w:rsidRPr="004B7C00">
        <w:rPr>
          <w:snapToGrid w:val="0"/>
        </w:rPr>
        <w:t xml:space="preserve"> the </w:t>
      </w:r>
      <w:r w:rsidR="00352E97">
        <w:rPr>
          <w:snapToGrid w:val="0"/>
        </w:rPr>
        <w:t xml:space="preserve">need for </w:t>
      </w:r>
      <w:r w:rsidR="00E96528">
        <w:rPr>
          <w:snapToGrid w:val="0"/>
        </w:rPr>
        <w:t>effective first line treatments</w:t>
      </w:r>
      <w:r w:rsidR="007C470A">
        <w:rPr>
          <w:snapToGrid w:val="0"/>
        </w:rPr>
        <w:t xml:space="preserve">, noting the </w:t>
      </w:r>
      <w:r w:rsidRPr="004B7C00">
        <w:rPr>
          <w:snapToGrid w:val="0"/>
        </w:rPr>
        <w:t>aggressive nature of ES-SCLC, which leads to poor outcomes</w:t>
      </w:r>
      <w:r w:rsidR="00221843">
        <w:rPr>
          <w:snapToGrid w:val="0"/>
        </w:rPr>
        <w:t xml:space="preserve"> for patients</w:t>
      </w:r>
      <w:r w:rsidR="008B1824">
        <w:rPr>
          <w:snapToGrid w:val="0"/>
        </w:rPr>
        <w:t>.</w:t>
      </w:r>
      <w:r w:rsidRPr="004B7C00">
        <w:rPr>
          <w:snapToGrid w:val="0"/>
        </w:rPr>
        <w:t xml:space="preserve"> The clinician </w:t>
      </w:r>
      <w:r w:rsidR="0F195FEB" w:rsidRPr="004B7C00">
        <w:rPr>
          <w:snapToGrid w:val="0"/>
        </w:rPr>
        <w:t>outline</w:t>
      </w:r>
      <w:r w:rsidRPr="004B7C00">
        <w:rPr>
          <w:snapToGrid w:val="0"/>
        </w:rPr>
        <w:t xml:space="preserve">d how the drug would be </w:t>
      </w:r>
      <w:r w:rsidR="00221843">
        <w:rPr>
          <w:snapToGrid w:val="0"/>
        </w:rPr>
        <w:t>used</w:t>
      </w:r>
      <w:r w:rsidR="00221843" w:rsidRPr="004B7C00">
        <w:rPr>
          <w:snapToGrid w:val="0"/>
        </w:rPr>
        <w:t xml:space="preserve"> </w:t>
      </w:r>
      <w:r w:rsidRPr="004B7C00">
        <w:rPr>
          <w:snapToGrid w:val="0"/>
        </w:rPr>
        <w:t xml:space="preserve">in practice and </w:t>
      </w:r>
      <w:r w:rsidR="00221843">
        <w:rPr>
          <w:snapToGrid w:val="0"/>
        </w:rPr>
        <w:t>discussed the results of the IMforte trial</w:t>
      </w:r>
      <w:r w:rsidR="004F256E">
        <w:rPr>
          <w:snapToGrid w:val="0"/>
        </w:rPr>
        <w:t>. The clinician also noted that lurbinectedin is used internationally as monotherapy in the second-line setting</w:t>
      </w:r>
      <w:r w:rsidR="0031741E">
        <w:rPr>
          <w:snapToGrid w:val="0"/>
        </w:rPr>
        <w:t xml:space="preserve">. </w:t>
      </w:r>
      <w:r w:rsidRPr="004B7C00">
        <w:rPr>
          <w:snapToGrid w:val="0"/>
        </w:rPr>
        <w:t>The PBAC considered the hearing informative</w:t>
      </w:r>
      <w:r w:rsidR="0031741E">
        <w:rPr>
          <w:snapToGrid w:val="0"/>
        </w:rPr>
        <w:t>.</w:t>
      </w:r>
    </w:p>
    <w:bookmarkEnd w:id="14"/>
    <w:p w14:paraId="6807EF76" w14:textId="77777777" w:rsidR="00380EB4" w:rsidRPr="006E1229" w:rsidRDefault="00380EB4" w:rsidP="00B2525F">
      <w:pPr>
        <w:pStyle w:val="COMESSubsectionheading"/>
      </w:pPr>
      <w:r w:rsidRPr="006E1229">
        <w:t xml:space="preserve">Consumer </w:t>
      </w:r>
      <w:r>
        <w:t>input</w:t>
      </w:r>
      <w:r w:rsidRPr="006E1229">
        <w:t>s</w:t>
      </w:r>
    </w:p>
    <w:p w14:paraId="137A6227" w14:textId="0B340D96" w:rsidR="00380EB4" w:rsidRPr="00836F75" w:rsidRDefault="00380EB4" w:rsidP="00380EB4">
      <w:pPr>
        <w:pStyle w:val="COMESnumberedpara"/>
      </w:pPr>
      <w:bookmarkStart w:id="15" w:name="_Hlk76382618"/>
      <w:r w:rsidRPr="00836F75">
        <w:rPr>
          <w:snapToGrid w:val="0"/>
        </w:rPr>
        <w:t>The PBAC noted and welcomed the input from health care professionals (1</w:t>
      </w:r>
      <w:r w:rsidR="00EE639A">
        <w:rPr>
          <w:snapToGrid w:val="0"/>
        </w:rPr>
        <w:t>3</w:t>
      </w:r>
      <w:r w:rsidRPr="00836F75">
        <w:rPr>
          <w:snapToGrid w:val="0"/>
        </w:rPr>
        <w:t>) and organisations (</w:t>
      </w:r>
      <w:r w:rsidR="00EE639A">
        <w:rPr>
          <w:snapToGrid w:val="0"/>
        </w:rPr>
        <w:t>4</w:t>
      </w:r>
      <w:r w:rsidRPr="00836F75">
        <w:rPr>
          <w:snapToGrid w:val="0"/>
        </w:rPr>
        <w:t xml:space="preserve">) via the </w:t>
      </w:r>
      <w:r w:rsidRPr="00A46D6F">
        <w:rPr>
          <w:snapToGrid w:val="0"/>
        </w:rPr>
        <w:t>Office of Health Technology Assessment Consultation Hub</w:t>
      </w:r>
      <w:r w:rsidRPr="00836F75">
        <w:rPr>
          <w:snapToGrid w:val="0"/>
        </w:rPr>
        <w:t>.</w:t>
      </w:r>
      <w:r w:rsidR="009A5719">
        <w:rPr>
          <w:snapToGrid w:val="0"/>
        </w:rPr>
        <w:t xml:space="preserve"> The input</w:t>
      </w:r>
      <w:r w:rsidR="000C273E">
        <w:rPr>
          <w:snapToGrid w:val="0"/>
        </w:rPr>
        <w:t xml:space="preserve"> from the health professionals noted the high unmet need for effective ES-SCLC </w:t>
      </w:r>
      <w:r w:rsidR="004924E3">
        <w:rPr>
          <w:snapToGrid w:val="0"/>
        </w:rPr>
        <w:t>treatment</w:t>
      </w:r>
      <w:r w:rsidR="009A5719">
        <w:rPr>
          <w:snapToGrid w:val="0"/>
        </w:rPr>
        <w:t>s</w:t>
      </w:r>
      <w:r w:rsidR="004924E3">
        <w:rPr>
          <w:snapToGrid w:val="0"/>
        </w:rPr>
        <w:t>, highlighting the aggressive nature of the disease, limited treatment options</w:t>
      </w:r>
      <w:r w:rsidR="00E5006E">
        <w:rPr>
          <w:snapToGrid w:val="0"/>
        </w:rPr>
        <w:t>, poor prognosis and high mortality rates.</w:t>
      </w:r>
      <w:r w:rsidR="009A5719">
        <w:rPr>
          <w:snapToGrid w:val="0"/>
        </w:rPr>
        <w:t xml:space="preserve"> </w:t>
      </w:r>
      <w:r w:rsidR="00FF1469">
        <w:rPr>
          <w:snapToGrid w:val="0"/>
        </w:rPr>
        <w:t xml:space="preserve">The input </w:t>
      </w:r>
      <w:r w:rsidR="009A5719">
        <w:rPr>
          <w:snapToGrid w:val="0"/>
        </w:rPr>
        <w:t xml:space="preserve">noted </w:t>
      </w:r>
      <w:r w:rsidR="5E891B6B">
        <w:rPr>
          <w:snapToGrid w:val="0"/>
        </w:rPr>
        <w:t xml:space="preserve">that while </w:t>
      </w:r>
      <w:r w:rsidR="009A5719" w:rsidRPr="009A5719">
        <w:rPr>
          <w:snapToGrid w:val="0"/>
        </w:rPr>
        <w:t>current first-line treatment is initially effective</w:t>
      </w:r>
      <w:r w:rsidR="009A5719">
        <w:rPr>
          <w:snapToGrid w:val="0"/>
        </w:rPr>
        <w:t>,</w:t>
      </w:r>
      <w:r w:rsidR="009A5719" w:rsidRPr="009A5719">
        <w:rPr>
          <w:snapToGrid w:val="0"/>
        </w:rPr>
        <w:t xml:space="preserve"> progression of the disease is inevitable, and existing second-line chemotherapies have low response rates (approximately 10-20%) and limited effectivenes</w:t>
      </w:r>
      <w:r w:rsidR="009A5719">
        <w:rPr>
          <w:snapToGrid w:val="0"/>
        </w:rPr>
        <w:t>s.</w:t>
      </w:r>
      <w:r w:rsidR="000E3091">
        <w:rPr>
          <w:snapToGrid w:val="0"/>
        </w:rPr>
        <w:t xml:space="preserve"> The </w:t>
      </w:r>
      <w:r w:rsidR="003F5439">
        <w:rPr>
          <w:snapToGrid w:val="0"/>
        </w:rPr>
        <w:t>health professionals</w:t>
      </w:r>
      <w:r w:rsidR="000E3091">
        <w:rPr>
          <w:snapToGrid w:val="0"/>
        </w:rPr>
        <w:t xml:space="preserve"> noted</w:t>
      </w:r>
      <w:r w:rsidRPr="00836F75">
        <w:rPr>
          <w:snapToGrid w:val="0"/>
        </w:rPr>
        <w:t xml:space="preserve"> </w:t>
      </w:r>
      <w:r w:rsidR="000E3091">
        <w:rPr>
          <w:snapToGrid w:val="0"/>
        </w:rPr>
        <w:t xml:space="preserve">that </w:t>
      </w:r>
      <w:r w:rsidR="00AD1CD7" w:rsidRPr="00AD1CD7">
        <w:rPr>
          <w:snapToGrid w:val="0"/>
        </w:rPr>
        <w:t>adding maintenance lurbinectedin to atezolizumab, (after completion of first-line chemotherapy), significantly improves progression-free survival and overall survival</w:t>
      </w:r>
      <w:r w:rsidR="00AD1CD7">
        <w:rPr>
          <w:snapToGrid w:val="0"/>
        </w:rPr>
        <w:t xml:space="preserve">, describing this combination as </w:t>
      </w:r>
      <w:r w:rsidR="5BCD8EEF">
        <w:rPr>
          <w:snapToGrid w:val="0"/>
        </w:rPr>
        <w:t>an</w:t>
      </w:r>
      <w:r w:rsidR="00AD1CD7">
        <w:rPr>
          <w:snapToGrid w:val="0"/>
        </w:rPr>
        <w:t xml:space="preserve"> incremental step forward in </w:t>
      </w:r>
      <w:r w:rsidR="00A46416">
        <w:rPr>
          <w:snapToGrid w:val="0"/>
        </w:rPr>
        <w:t>ES-SCLC</w:t>
      </w:r>
      <w:r w:rsidR="008A364B">
        <w:rPr>
          <w:snapToGrid w:val="0"/>
        </w:rPr>
        <w:t xml:space="preserve"> therapy</w:t>
      </w:r>
      <w:r w:rsidR="00445A0F">
        <w:rPr>
          <w:snapToGrid w:val="0"/>
        </w:rPr>
        <w:t xml:space="preserve"> and stated that even modest improvements in survival are meaningful and allow patients to manage personal affairs.</w:t>
      </w:r>
      <w:r w:rsidRPr="00836F75">
        <w:rPr>
          <w:snapToGrid w:val="0"/>
        </w:rPr>
        <w:t xml:space="preserve"> The </w:t>
      </w:r>
      <w:r>
        <w:rPr>
          <w:snapToGrid w:val="0"/>
        </w:rPr>
        <w:t>input</w:t>
      </w:r>
      <w:r w:rsidR="009130B1">
        <w:rPr>
          <w:snapToGrid w:val="0"/>
        </w:rPr>
        <w:t xml:space="preserve"> noted that lurbinectedin has a tolerable safety profile</w:t>
      </w:r>
      <w:r w:rsidR="00445A0F">
        <w:rPr>
          <w:snapToGrid w:val="0"/>
        </w:rPr>
        <w:t>.</w:t>
      </w:r>
      <w:r w:rsidR="009403C8">
        <w:rPr>
          <w:snapToGrid w:val="0"/>
        </w:rPr>
        <w:t xml:space="preserve"> </w:t>
      </w:r>
    </w:p>
    <w:p w14:paraId="5914354D" w14:textId="704C5C1F" w:rsidR="00380EB4" w:rsidRDefault="00380EB4" w:rsidP="00380EB4">
      <w:pPr>
        <w:pStyle w:val="COMESnumberedpara"/>
        <w:rPr>
          <w:snapToGrid w:val="0"/>
        </w:rPr>
      </w:pPr>
      <w:r w:rsidRPr="00836F75">
        <w:rPr>
          <w:snapToGrid w:val="0"/>
        </w:rPr>
        <w:t xml:space="preserve">The PBAC noted the advice received from </w:t>
      </w:r>
      <w:r w:rsidR="00D70995">
        <w:rPr>
          <w:snapToGrid w:val="0"/>
        </w:rPr>
        <w:t>Lung Foundation Australia,</w:t>
      </w:r>
      <w:r w:rsidRPr="00836F75">
        <w:rPr>
          <w:snapToGrid w:val="0"/>
        </w:rPr>
        <w:t xml:space="preserve"> </w:t>
      </w:r>
      <w:r w:rsidR="005C0CE6">
        <w:rPr>
          <w:snapToGrid w:val="0"/>
        </w:rPr>
        <w:t xml:space="preserve">which stated that </w:t>
      </w:r>
      <w:r w:rsidR="00DD538B">
        <w:rPr>
          <w:snapToGrid w:val="0"/>
        </w:rPr>
        <w:t>improving prognosis is one of the most important outcomes of lung cancer medications</w:t>
      </w:r>
      <w:r w:rsidR="00445A0F">
        <w:rPr>
          <w:snapToGrid w:val="0"/>
        </w:rPr>
        <w:t xml:space="preserve"> for patients</w:t>
      </w:r>
      <w:r w:rsidRPr="00836F75">
        <w:rPr>
          <w:snapToGrid w:val="0"/>
        </w:rPr>
        <w:t xml:space="preserve">.  </w:t>
      </w:r>
      <w:r w:rsidR="00DC4E8A">
        <w:rPr>
          <w:snapToGrid w:val="0"/>
        </w:rPr>
        <w:t>The PBAC also noted</w:t>
      </w:r>
      <w:r w:rsidR="00F86661">
        <w:rPr>
          <w:snapToGrid w:val="0"/>
        </w:rPr>
        <w:t xml:space="preserve"> the advice received from Rare Cancers Australia</w:t>
      </w:r>
      <w:r w:rsidR="00A73393">
        <w:rPr>
          <w:snapToGrid w:val="0"/>
        </w:rPr>
        <w:t xml:space="preserve"> (RCA)</w:t>
      </w:r>
      <w:r w:rsidR="008E128A">
        <w:rPr>
          <w:snapToGrid w:val="0"/>
        </w:rPr>
        <w:t xml:space="preserve">, which </w:t>
      </w:r>
      <w:r w:rsidR="00C735E3">
        <w:rPr>
          <w:snapToGrid w:val="0"/>
        </w:rPr>
        <w:t>emphasised the sense of worry patients with ES-SCLC feel about their diagnosis</w:t>
      </w:r>
      <w:r w:rsidR="00D859AF">
        <w:rPr>
          <w:snapToGrid w:val="0"/>
        </w:rPr>
        <w:t xml:space="preserve">, and the </w:t>
      </w:r>
      <w:r w:rsidR="009301D4">
        <w:rPr>
          <w:snapToGrid w:val="0"/>
        </w:rPr>
        <w:t>unfavourable side-effects of systemic therapies.</w:t>
      </w:r>
      <w:r w:rsidRPr="00836F75">
        <w:rPr>
          <w:snapToGrid w:val="0"/>
        </w:rPr>
        <w:t xml:space="preserve"> The PBAC noted that </w:t>
      </w:r>
      <w:r w:rsidR="00F82003">
        <w:rPr>
          <w:snapToGrid w:val="0"/>
        </w:rPr>
        <w:t xml:space="preserve">the </w:t>
      </w:r>
      <w:r w:rsidRPr="00836F75">
        <w:rPr>
          <w:snapToGrid w:val="0"/>
        </w:rPr>
        <w:t>advice was supportive of the evidence provided in the submission.</w:t>
      </w:r>
    </w:p>
    <w:p w14:paraId="4A7F4737" w14:textId="1809172A" w:rsidR="00F47F15" w:rsidRDefault="00F47F15" w:rsidP="00380EB4">
      <w:pPr>
        <w:pStyle w:val="COMESnumberedpara"/>
        <w:rPr>
          <w:snapToGrid w:val="0"/>
        </w:rPr>
      </w:pPr>
      <w:r>
        <w:rPr>
          <w:snapToGrid w:val="0"/>
        </w:rPr>
        <w:t>The</w:t>
      </w:r>
      <w:r w:rsidR="00317600">
        <w:rPr>
          <w:snapToGrid w:val="0"/>
        </w:rPr>
        <w:t xml:space="preserve"> PBAC also noted the advice received from the</w:t>
      </w:r>
      <w:r>
        <w:rPr>
          <w:snapToGrid w:val="0"/>
        </w:rPr>
        <w:t xml:space="preserve"> Thoracic </w:t>
      </w:r>
      <w:r w:rsidR="00A73393">
        <w:rPr>
          <w:snapToGrid w:val="0"/>
        </w:rPr>
        <w:t>Group of Australia (TOGA)</w:t>
      </w:r>
      <w:r w:rsidR="00C37F32">
        <w:rPr>
          <w:snapToGrid w:val="0"/>
        </w:rPr>
        <w:t xml:space="preserve">, which </w:t>
      </w:r>
      <w:r w:rsidR="00F82003">
        <w:rPr>
          <w:snapToGrid w:val="0"/>
        </w:rPr>
        <w:t xml:space="preserve">noted that </w:t>
      </w:r>
      <w:r w:rsidR="00F82003" w:rsidRPr="00E56549">
        <w:rPr>
          <w:snapToGrid w:val="0"/>
        </w:rPr>
        <w:t xml:space="preserve">in a disease with such </w:t>
      </w:r>
      <w:r w:rsidR="00F82003">
        <w:rPr>
          <w:snapToGrid w:val="0"/>
        </w:rPr>
        <w:t xml:space="preserve">a </w:t>
      </w:r>
      <w:r w:rsidR="00F82003" w:rsidRPr="00E56549">
        <w:rPr>
          <w:snapToGrid w:val="0"/>
        </w:rPr>
        <w:t>poor prognosis, the IMforte study provide</w:t>
      </w:r>
      <w:r w:rsidR="00F82003">
        <w:rPr>
          <w:snapToGrid w:val="0"/>
        </w:rPr>
        <w:t>d</w:t>
      </w:r>
      <w:r w:rsidR="00F82003" w:rsidRPr="00E56549">
        <w:rPr>
          <w:snapToGrid w:val="0"/>
        </w:rPr>
        <w:t xml:space="preserve"> evidence to support a new maintenance option as SoC for patients who do not progress on induction therapy</w:t>
      </w:r>
      <w:r w:rsidR="00F82003">
        <w:rPr>
          <w:snapToGrid w:val="0"/>
        </w:rPr>
        <w:t xml:space="preserve">. The TOGA also noted </w:t>
      </w:r>
      <w:r w:rsidR="00F1134C">
        <w:rPr>
          <w:snapToGrid w:val="0"/>
        </w:rPr>
        <w:t xml:space="preserve">that the </w:t>
      </w:r>
      <w:r w:rsidR="008F7160">
        <w:rPr>
          <w:snapToGrid w:val="0"/>
        </w:rPr>
        <w:t xml:space="preserve">modest benefit received from lurbinectedin </w:t>
      </w:r>
      <w:r w:rsidR="00012E99">
        <w:rPr>
          <w:snapToGrid w:val="0"/>
        </w:rPr>
        <w:t>plus atezolizumab must</w:t>
      </w:r>
      <w:r w:rsidR="00363787">
        <w:rPr>
          <w:snapToGrid w:val="0"/>
        </w:rPr>
        <w:t xml:space="preserve"> </w:t>
      </w:r>
      <w:r w:rsidR="00E97500">
        <w:rPr>
          <w:snapToGrid w:val="0"/>
        </w:rPr>
        <w:t xml:space="preserve">be </w:t>
      </w:r>
      <w:r w:rsidR="001860BB">
        <w:rPr>
          <w:snapToGrid w:val="0"/>
        </w:rPr>
        <w:t>considered in conjunction with the</w:t>
      </w:r>
      <w:r w:rsidR="00E444FE">
        <w:rPr>
          <w:snapToGrid w:val="0"/>
        </w:rPr>
        <w:t xml:space="preserve"> higher rates of h</w:t>
      </w:r>
      <w:r w:rsidR="003E624B">
        <w:rPr>
          <w:snapToGrid w:val="0"/>
        </w:rPr>
        <w:t>a</w:t>
      </w:r>
      <w:r w:rsidR="00E444FE">
        <w:rPr>
          <w:snapToGrid w:val="0"/>
        </w:rPr>
        <w:t>ematologic and infections toxicities.</w:t>
      </w:r>
    </w:p>
    <w:p w14:paraId="609C0765" w14:textId="17BDEC8C" w:rsidR="00B60939" w:rsidRPr="00FE4878" w:rsidRDefault="00F5390F" w:rsidP="00044E89">
      <w:pPr>
        <w:pStyle w:val="COMESnumberedpara"/>
      </w:pPr>
      <w:r w:rsidRPr="00F5390F">
        <w:rPr>
          <w:snapToGrid w:val="0"/>
        </w:rPr>
        <w:t>The Medical Oncology Group of Australia (MOGA) also expressed its strong support for the lurbinectedin submission, categorising it as one of the therapies of “high priority for PBS listing” based on the IMforte trial. The PBAC noted that the MOGA presented a European Society for Medical Oncology Magnitude of Clinical Benefit Scale (ESMO-MCBS) for lurbinectedin, which was limited to 3 (out of a maximum of 5, where 5 and 4 represent the grades with substantial improvement)</w:t>
      </w:r>
      <w:r>
        <w:rPr>
          <w:rStyle w:val="FootnoteReference"/>
          <w:snapToGrid w:val="0"/>
        </w:rPr>
        <w:footnoteReference w:id="8"/>
      </w:r>
      <w:r w:rsidRPr="00F5390F">
        <w:rPr>
          <w:snapToGrid w:val="0"/>
        </w:rPr>
        <w:t xml:space="preserve">, based on a comparison with atezolizumab monotherapy. </w:t>
      </w:r>
      <w:bookmarkEnd w:id="12"/>
      <w:bookmarkEnd w:id="13"/>
      <w:bookmarkEnd w:id="15"/>
    </w:p>
    <w:p w14:paraId="67E6C87D" w14:textId="77AB2775" w:rsidR="00FE4878" w:rsidRPr="00F92AC3" w:rsidRDefault="00FE4878" w:rsidP="00B2525F">
      <w:pPr>
        <w:pStyle w:val="COMESSubsectionheading"/>
      </w:pPr>
      <w:bookmarkStart w:id="16" w:name="_Toc208928154"/>
      <w:r w:rsidRPr="00F92AC3">
        <w:t>Clinical trials</w:t>
      </w:r>
      <w:bookmarkEnd w:id="16"/>
    </w:p>
    <w:p w14:paraId="17DE34DC" w14:textId="37CA144B" w:rsidR="007F1017" w:rsidRPr="00F92AC3" w:rsidRDefault="00FC4BFB" w:rsidP="002E4F02">
      <w:pPr>
        <w:pStyle w:val="COMESnumberedpara"/>
        <w:rPr>
          <w:color w:val="0066FF"/>
        </w:rPr>
      </w:pPr>
      <w:r w:rsidRPr="00F92AC3">
        <w:t>The submission was based on one randomised, controlled trial comparing lurbinectedin</w:t>
      </w:r>
      <w:r w:rsidR="00C65C23">
        <w:t>,</w:t>
      </w:r>
      <w:r w:rsidRPr="00F92AC3">
        <w:t xml:space="preserve"> in combination with atezolizumab</w:t>
      </w:r>
      <w:r w:rsidR="00C65C23">
        <w:t>,</w:t>
      </w:r>
      <w:r w:rsidRPr="00F92AC3">
        <w:t xml:space="preserve"> to atezolizumab monotherapy </w:t>
      </w:r>
      <w:r w:rsidR="00C65C23">
        <w:t>as a</w:t>
      </w:r>
      <w:r w:rsidRPr="00F92AC3">
        <w:t xml:space="preserve"> maintenance treatment </w:t>
      </w:r>
      <w:r w:rsidR="00C65C23">
        <w:t>for</w:t>
      </w:r>
      <w:r w:rsidR="00C65C23" w:rsidRPr="00F92AC3">
        <w:t xml:space="preserve"> </w:t>
      </w:r>
      <w:r w:rsidRPr="00F92AC3">
        <w:t>ES-SCLC in adult patients whose disease ha</w:t>
      </w:r>
      <w:r w:rsidR="00C65C23">
        <w:t>d</w:t>
      </w:r>
      <w:r w:rsidRPr="00F92AC3">
        <w:t xml:space="preserve"> not progressed after first-line induction therapy with atezolizumab, carboplatin and etoposide (IMforte trial). </w:t>
      </w:r>
    </w:p>
    <w:p w14:paraId="2B59ABAC" w14:textId="0996094B" w:rsidR="00862502" w:rsidRPr="00F92AC3" w:rsidRDefault="00A73134" w:rsidP="002E4F02">
      <w:pPr>
        <w:pStyle w:val="COMESnumberedpara"/>
      </w:pPr>
      <w:r w:rsidRPr="00F92AC3">
        <w:t xml:space="preserve">Details of the </w:t>
      </w:r>
      <w:r w:rsidR="00FC4BFB" w:rsidRPr="00F92AC3">
        <w:t>IMforte trial are</w:t>
      </w:r>
      <w:r w:rsidRPr="00F92AC3">
        <w:t xml:space="preserve"> provided in </w:t>
      </w:r>
      <w:r w:rsidR="00696EF9" w:rsidRPr="00F92AC3">
        <w:fldChar w:fldCharType="begin"/>
      </w:r>
      <w:r w:rsidR="00696EF9" w:rsidRPr="00F92AC3">
        <w:instrText xml:space="preserve"> REF _Ref104803956 \h </w:instrText>
      </w:r>
      <w:r w:rsidR="00696EF9" w:rsidRPr="00F92AC3">
        <w:fldChar w:fldCharType="separate"/>
      </w:r>
      <w:r w:rsidR="00CC5A50" w:rsidRPr="00F92AC3">
        <w:t xml:space="preserve">Table </w:t>
      </w:r>
      <w:r w:rsidR="00CC5A50">
        <w:rPr>
          <w:noProof/>
        </w:rPr>
        <w:t>2</w:t>
      </w:r>
      <w:r w:rsidR="00696EF9" w:rsidRPr="00F92AC3">
        <w:fldChar w:fldCharType="end"/>
      </w:r>
      <w:r w:rsidRPr="00F92AC3">
        <w:t>.</w:t>
      </w:r>
      <w:r w:rsidR="00BC591F" w:rsidRPr="00F92AC3">
        <w:t xml:space="preserve"> </w:t>
      </w:r>
    </w:p>
    <w:p w14:paraId="7DE3A286" w14:textId="64781B4D" w:rsidR="008E0D3C" w:rsidRPr="00F92AC3" w:rsidRDefault="00696EF9" w:rsidP="002E4F02">
      <w:pPr>
        <w:pStyle w:val="COMTableFigurecaption"/>
        <w:rPr>
          <w:b w:val="0"/>
        </w:rPr>
      </w:pPr>
      <w:bookmarkStart w:id="17" w:name="_Ref104803956"/>
      <w:r w:rsidRPr="00F92AC3">
        <w:t xml:space="preserve">Table </w:t>
      </w:r>
      <w:r w:rsidR="00FF30BC">
        <w:fldChar w:fldCharType="begin"/>
      </w:r>
      <w:r w:rsidR="00FF30BC">
        <w:instrText xml:space="preserve"> SEQ Table \* ARABIC </w:instrText>
      </w:r>
      <w:r w:rsidR="00FF30BC">
        <w:fldChar w:fldCharType="separate"/>
      </w:r>
      <w:r w:rsidR="00CC5A50">
        <w:rPr>
          <w:noProof/>
        </w:rPr>
        <w:t>2</w:t>
      </w:r>
      <w:r w:rsidR="00FF30BC">
        <w:rPr>
          <w:noProof/>
        </w:rPr>
        <w:fldChar w:fldCharType="end"/>
      </w:r>
      <w:bookmarkEnd w:id="17"/>
      <w:r w:rsidRPr="00F92AC3">
        <w:t>:</w:t>
      </w:r>
      <w:r w:rsidR="00BC591F" w:rsidRPr="00F92AC3">
        <w:t xml:space="preserve"> </w:t>
      </w:r>
      <w:r w:rsidR="008E0D3C" w:rsidRPr="00F92AC3">
        <w:t>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presented in the submission"/>
      </w:tblPr>
      <w:tblGrid>
        <w:gridCol w:w="1434"/>
        <w:gridCol w:w="5055"/>
        <w:gridCol w:w="2528"/>
      </w:tblGrid>
      <w:tr w:rsidR="008E0D3C" w:rsidRPr="00F92AC3" w14:paraId="6ACD35C4" w14:textId="77777777" w:rsidTr="00682BA6">
        <w:trPr>
          <w:cantSplit/>
          <w:tblHeader/>
        </w:trPr>
        <w:tc>
          <w:tcPr>
            <w:tcW w:w="795" w:type="pct"/>
            <w:vAlign w:val="center"/>
          </w:tcPr>
          <w:p w14:paraId="20DEEB23" w14:textId="77777777" w:rsidR="008E0D3C" w:rsidRPr="00F92AC3" w:rsidRDefault="008E0D3C" w:rsidP="0066497C">
            <w:pPr>
              <w:pStyle w:val="COMTableheadingrow"/>
            </w:pPr>
            <w:r w:rsidRPr="00F92AC3">
              <w:t>Trial ID</w:t>
            </w:r>
          </w:p>
        </w:tc>
        <w:tc>
          <w:tcPr>
            <w:tcW w:w="2803" w:type="pct"/>
            <w:vAlign w:val="center"/>
          </w:tcPr>
          <w:p w14:paraId="22EF6C51" w14:textId="77777777" w:rsidR="008E0D3C" w:rsidRPr="00F92AC3" w:rsidRDefault="008E0D3C" w:rsidP="0066497C">
            <w:pPr>
              <w:pStyle w:val="COMTableheadingrow"/>
            </w:pPr>
            <w:r w:rsidRPr="00F92AC3">
              <w:t>Protocol title/ Publication title</w:t>
            </w:r>
          </w:p>
        </w:tc>
        <w:tc>
          <w:tcPr>
            <w:tcW w:w="1402" w:type="pct"/>
            <w:vAlign w:val="center"/>
          </w:tcPr>
          <w:p w14:paraId="561B27A8" w14:textId="77777777" w:rsidR="008E0D3C" w:rsidRPr="00F92AC3" w:rsidRDefault="008E0D3C" w:rsidP="0066497C">
            <w:pPr>
              <w:pStyle w:val="COMTableheadingrow"/>
            </w:pPr>
            <w:r w:rsidRPr="00F92AC3">
              <w:t>Publication citation</w:t>
            </w:r>
          </w:p>
        </w:tc>
      </w:tr>
      <w:tr w:rsidR="00B04C30" w:rsidRPr="00F92AC3" w14:paraId="298351BA" w14:textId="77777777" w:rsidTr="008C2B67">
        <w:trPr>
          <w:cantSplit/>
        </w:trPr>
        <w:tc>
          <w:tcPr>
            <w:tcW w:w="795" w:type="pct"/>
            <w:vMerge w:val="restart"/>
            <w:vAlign w:val="center"/>
          </w:tcPr>
          <w:p w14:paraId="0E1CC6B0" w14:textId="77777777" w:rsidR="00B04C30" w:rsidRPr="00F92AC3" w:rsidRDefault="00B04C30" w:rsidP="00B04C30">
            <w:pPr>
              <w:pStyle w:val="COMTabletext"/>
              <w:jc w:val="center"/>
              <w:rPr>
                <w:szCs w:val="20"/>
              </w:rPr>
            </w:pPr>
            <w:r w:rsidRPr="00F92AC3">
              <w:rPr>
                <w:rFonts w:eastAsiaTheme="minorHAnsi"/>
              </w:rPr>
              <w:t>IMforte (NCT05091567)</w:t>
            </w:r>
          </w:p>
          <w:p w14:paraId="5D9482F5" w14:textId="5FA31300" w:rsidR="00B04C30" w:rsidRPr="00F92AC3" w:rsidRDefault="00B04C30" w:rsidP="00B04C30">
            <w:pPr>
              <w:pStyle w:val="COMTabletext"/>
              <w:jc w:val="center"/>
              <w:rPr>
                <w:szCs w:val="20"/>
              </w:rPr>
            </w:pPr>
          </w:p>
        </w:tc>
        <w:tc>
          <w:tcPr>
            <w:tcW w:w="2803" w:type="pct"/>
            <w:tcBorders>
              <w:bottom w:val="nil"/>
            </w:tcBorders>
          </w:tcPr>
          <w:p w14:paraId="2570DA6E" w14:textId="3FC6A5CF" w:rsidR="00B04C30" w:rsidRPr="00F92AC3" w:rsidRDefault="00B04C30" w:rsidP="00B04C30">
            <w:pPr>
              <w:pStyle w:val="COMTabletext"/>
            </w:pPr>
            <w:r w:rsidRPr="00F92AC3">
              <w:rPr>
                <w:rFonts w:eastAsiaTheme="minorHAnsi"/>
              </w:rPr>
              <w:t>Primary CSR for the IMforte trial. A phase III, open-label study of maintenance lurbinectedin in combination with atezolizumab compared with atezolizumab in participants with extensive stage small cell lung cancer (IMforte).</w:t>
            </w:r>
          </w:p>
        </w:tc>
        <w:tc>
          <w:tcPr>
            <w:tcW w:w="1402" w:type="pct"/>
            <w:tcBorders>
              <w:bottom w:val="nil"/>
            </w:tcBorders>
          </w:tcPr>
          <w:p w14:paraId="7578773D" w14:textId="407B8747" w:rsidR="00B04C30" w:rsidRPr="00F92AC3" w:rsidRDefault="00B04C30" w:rsidP="00B04C30">
            <w:pPr>
              <w:pStyle w:val="COMTabletext"/>
              <w:rPr>
                <w:rFonts w:ascii="Times" w:hAnsi="Times"/>
              </w:rPr>
            </w:pPr>
            <w:r w:rsidRPr="00F92AC3">
              <w:t>Clinical Study Report March 2025.</w:t>
            </w:r>
          </w:p>
        </w:tc>
      </w:tr>
      <w:tr w:rsidR="009C05CD" w:rsidRPr="00F92AC3" w14:paraId="7F06C7BE" w14:textId="77777777" w:rsidTr="008C2B67">
        <w:trPr>
          <w:cantSplit/>
        </w:trPr>
        <w:tc>
          <w:tcPr>
            <w:tcW w:w="795" w:type="pct"/>
            <w:vMerge/>
            <w:vAlign w:val="center"/>
          </w:tcPr>
          <w:p w14:paraId="2DE31C12" w14:textId="7BFA1DAD" w:rsidR="009C05CD" w:rsidRPr="00F92AC3" w:rsidRDefault="009C05CD" w:rsidP="00B04C30">
            <w:pPr>
              <w:pStyle w:val="COMTabletext"/>
              <w:jc w:val="center"/>
            </w:pPr>
          </w:p>
        </w:tc>
        <w:tc>
          <w:tcPr>
            <w:tcW w:w="2803" w:type="pct"/>
            <w:tcBorders>
              <w:top w:val="nil"/>
            </w:tcBorders>
          </w:tcPr>
          <w:p w14:paraId="7CB8ADA9" w14:textId="7E9BBFEB" w:rsidR="009C05CD" w:rsidRPr="00F92AC3" w:rsidRDefault="009C05CD" w:rsidP="00B04C30">
            <w:pPr>
              <w:pStyle w:val="COMTabletext"/>
            </w:pPr>
            <w:r w:rsidRPr="00F92AC3">
              <w:rPr>
                <w:rFonts w:eastAsiaTheme="minorHAnsi"/>
              </w:rPr>
              <w:t xml:space="preserve">Paz-Ares L, et al. Efficacy and safety of first-line maintenance therapy with lurbinectedin plus atezolizumab in extensive stage small cell lung cancer (IMforte): a randomised, multicentre, open-label, phase 3 trial. </w:t>
            </w:r>
          </w:p>
        </w:tc>
        <w:tc>
          <w:tcPr>
            <w:tcW w:w="1402" w:type="pct"/>
            <w:tcBorders>
              <w:top w:val="nil"/>
            </w:tcBorders>
          </w:tcPr>
          <w:p w14:paraId="53EB2567" w14:textId="0AC917CF" w:rsidR="009C05CD" w:rsidRPr="00F92AC3" w:rsidRDefault="009C05CD" w:rsidP="00B04C30">
            <w:pPr>
              <w:pStyle w:val="COMTabletext"/>
            </w:pPr>
            <w:r w:rsidRPr="00F92AC3">
              <w:rPr>
                <w:rFonts w:eastAsiaTheme="minorHAnsi"/>
                <w:i/>
                <w:iCs/>
              </w:rPr>
              <w:t>The Lancet</w:t>
            </w:r>
            <w:r w:rsidRPr="00F92AC3">
              <w:rPr>
                <w:rFonts w:eastAsiaTheme="minorHAnsi"/>
              </w:rPr>
              <w:t>. 2025; 405(10495):2129-2143.</w:t>
            </w:r>
          </w:p>
        </w:tc>
      </w:tr>
    </w:tbl>
    <w:p w14:paraId="51D8173A" w14:textId="06F77EC0" w:rsidR="008E0D3C" w:rsidRPr="00F92AC3" w:rsidRDefault="008E0D3C" w:rsidP="00EC5836">
      <w:pPr>
        <w:pStyle w:val="COMTablefooter"/>
        <w:rPr>
          <w:sz w:val="20"/>
        </w:rPr>
      </w:pPr>
      <w:r w:rsidRPr="00F92AC3">
        <w:t xml:space="preserve">Source: </w:t>
      </w:r>
      <w:r w:rsidR="00B04C30" w:rsidRPr="00F92AC3">
        <w:t>Table 17, p45 of the submission</w:t>
      </w:r>
      <w:r w:rsidRPr="00F92AC3">
        <w:t>.</w:t>
      </w:r>
    </w:p>
    <w:p w14:paraId="1DD06D7D" w14:textId="6A7613A2" w:rsidR="007F1017" w:rsidRPr="00F92AC3" w:rsidRDefault="008F120A" w:rsidP="00EC5836">
      <w:pPr>
        <w:pStyle w:val="COMESnumberedpara"/>
        <w:rPr>
          <w:color w:val="0066FF"/>
        </w:rPr>
      </w:pPr>
      <w:r w:rsidRPr="00F92AC3">
        <w:t xml:space="preserve">The key features of the </w:t>
      </w:r>
      <w:r w:rsidR="002544DD" w:rsidRPr="00F92AC3">
        <w:t>IMforte trial</w:t>
      </w:r>
      <w:r w:rsidRPr="00F92AC3">
        <w:t xml:space="preserve"> are summarised in</w:t>
      </w:r>
      <w:r w:rsidR="00D6076E" w:rsidRPr="00F92AC3">
        <w:t xml:space="preserve"> </w:t>
      </w:r>
      <w:r w:rsidR="00D6076E" w:rsidRPr="00F92AC3">
        <w:fldChar w:fldCharType="begin"/>
      </w:r>
      <w:r w:rsidR="00D6076E" w:rsidRPr="00F92AC3">
        <w:instrText xml:space="preserve"> REF _Ref104804098 \h  \* MERGEFORMAT </w:instrText>
      </w:r>
      <w:r w:rsidR="00D6076E" w:rsidRPr="00F92AC3">
        <w:fldChar w:fldCharType="separate"/>
      </w:r>
      <w:r w:rsidR="00CC5A50" w:rsidRPr="00F92AC3">
        <w:t xml:space="preserve">Table </w:t>
      </w:r>
      <w:r w:rsidR="00CC5A50">
        <w:t>3</w:t>
      </w:r>
      <w:r w:rsidR="00D6076E" w:rsidRPr="00F92AC3">
        <w:fldChar w:fldCharType="end"/>
      </w:r>
      <w:r w:rsidRPr="00F92AC3">
        <w:t>.</w:t>
      </w:r>
      <w:r w:rsidR="00BC591F" w:rsidRPr="00F92AC3">
        <w:t xml:space="preserve"> </w:t>
      </w:r>
    </w:p>
    <w:p w14:paraId="355E2F15" w14:textId="3B89D8A9" w:rsidR="007F1017" w:rsidRPr="00F92AC3" w:rsidRDefault="00696EF9" w:rsidP="0066497C">
      <w:pPr>
        <w:pStyle w:val="COMTableFigurecaption"/>
      </w:pPr>
      <w:bookmarkStart w:id="18" w:name="_Ref104804098"/>
      <w:r w:rsidRPr="00F92AC3">
        <w:t xml:space="preserve">Table </w:t>
      </w:r>
      <w:r w:rsidR="00FF30BC">
        <w:fldChar w:fldCharType="begin"/>
      </w:r>
      <w:r w:rsidR="00FF30BC">
        <w:instrText xml:space="preserve"> SEQ Table \* ARABIC </w:instrText>
      </w:r>
      <w:r w:rsidR="00FF30BC">
        <w:fldChar w:fldCharType="separate"/>
      </w:r>
      <w:r w:rsidR="00CC5A50">
        <w:rPr>
          <w:noProof/>
        </w:rPr>
        <w:t>3</w:t>
      </w:r>
      <w:r w:rsidR="00FF30BC">
        <w:rPr>
          <w:noProof/>
        </w:rPr>
        <w:fldChar w:fldCharType="end"/>
      </w:r>
      <w:bookmarkEnd w:id="18"/>
      <w:r w:rsidR="00D6076E" w:rsidRPr="00F92AC3">
        <w:t xml:space="preserve">: </w:t>
      </w:r>
      <w:r w:rsidR="007F1017" w:rsidRPr="00F92AC3">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704"/>
        <w:gridCol w:w="570"/>
        <w:gridCol w:w="1558"/>
        <w:gridCol w:w="851"/>
        <w:gridCol w:w="2692"/>
        <w:gridCol w:w="1417"/>
        <w:gridCol w:w="1225"/>
      </w:tblGrid>
      <w:tr w:rsidR="00B41614" w:rsidRPr="00F92AC3" w14:paraId="53DD7CC6" w14:textId="77777777" w:rsidTr="009B57BE">
        <w:trPr>
          <w:cantSplit/>
          <w:tblHeader/>
        </w:trPr>
        <w:tc>
          <w:tcPr>
            <w:tcW w:w="390" w:type="pct"/>
            <w:vAlign w:val="center"/>
          </w:tcPr>
          <w:p w14:paraId="794116BC" w14:textId="77777777" w:rsidR="007F1017" w:rsidRPr="00F92AC3" w:rsidRDefault="007F1017" w:rsidP="0066497C">
            <w:pPr>
              <w:pStyle w:val="COMTableheadingrow"/>
            </w:pPr>
            <w:r w:rsidRPr="00F92AC3">
              <w:t>Trial</w:t>
            </w:r>
          </w:p>
        </w:tc>
        <w:tc>
          <w:tcPr>
            <w:tcW w:w="316" w:type="pct"/>
            <w:vAlign w:val="center"/>
          </w:tcPr>
          <w:p w14:paraId="51122FE5" w14:textId="77777777" w:rsidR="007F1017" w:rsidRPr="00F92AC3" w:rsidRDefault="007F1017" w:rsidP="0066497C">
            <w:pPr>
              <w:pStyle w:val="COMTableheadingrow"/>
              <w:jc w:val="center"/>
            </w:pPr>
            <w:r w:rsidRPr="00F92AC3">
              <w:t>N</w:t>
            </w:r>
          </w:p>
        </w:tc>
        <w:tc>
          <w:tcPr>
            <w:tcW w:w="864" w:type="pct"/>
            <w:vAlign w:val="center"/>
          </w:tcPr>
          <w:p w14:paraId="41C438EF" w14:textId="77777777" w:rsidR="007F1017" w:rsidRPr="00F92AC3" w:rsidRDefault="007F1017" w:rsidP="0066497C">
            <w:pPr>
              <w:pStyle w:val="COMTableheadingrow"/>
              <w:jc w:val="center"/>
            </w:pPr>
            <w:r w:rsidRPr="00F92AC3">
              <w:t>Design/ duration</w:t>
            </w:r>
          </w:p>
        </w:tc>
        <w:tc>
          <w:tcPr>
            <w:tcW w:w="472" w:type="pct"/>
            <w:vAlign w:val="center"/>
          </w:tcPr>
          <w:p w14:paraId="1FC91360" w14:textId="77777777" w:rsidR="007F1017" w:rsidRPr="00F92AC3" w:rsidRDefault="007F1017" w:rsidP="0066497C">
            <w:pPr>
              <w:pStyle w:val="COMTableheadingrow"/>
              <w:jc w:val="center"/>
            </w:pPr>
            <w:r w:rsidRPr="00F92AC3">
              <w:t>Risk of bias</w:t>
            </w:r>
          </w:p>
        </w:tc>
        <w:tc>
          <w:tcPr>
            <w:tcW w:w="1493" w:type="pct"/>
            <w:vAlign w:val="center"/>
          </w:tcPr>
          <w:p w14:paraId="7FF90896" w14:textId="77777777" w:rsidR="007F1017" w:rsidRPr="00F92AC3" w:rsidRDefault="007F1017" w:rsidP="0066497C">
            <w:pPr>
              <w:pStyle w:val="COMTableheadingrow"/>
              <w:jc w:val="center"/>
            </w:pPr>
            <w:r w:rsidRPr="00F92AC3">
              <w:t>Patient population</w:t>
            </w:r>
          </w:p>
        </w:tc>
        <w:tc>
          <w:tcPr>
            <w:tcW w:w="786" w:type="pct"/>
            <w:vAlign w:val="center"/>
          </w:tcPr>
          <w:p w14:paraId="0FCB63F9" w14:textId="5DA0F910" w:rsidR="007F1017" w:rsidRPr="00F92AC3" w:rsidRDefault="007F1017" w:rsidP="0066497C">
            <w:pPr>
              <w:pStyle w:val="COMTableheadingrow"/>
              <w:jc w:val="center"/>
            </w:pPr>
            <w:r w:rsidRPr="00F92AC3">
              <w:t>Outcomes</w:t>
            </w:r>
          </w:p>
        </w:tc>
        <w:tc>
          <w:tcPr>
            <w:tcW w:w="679" w:type="pct"/>
            <w:vAlign w:val="center"/>
          </w:tcPr>
          <w:p w14:paraId="08C6F624" w14:textId="5617A707" w:rsidR="007F1017" w:rsidRPr="00F92AC3" w:rsidRDefault="007F1017" w:rsidP="0066497C">
            <w:pPr>
              <w:pStyle w:val="COMTableheadingrow"/>
              <w:jc w:val="center"/>
            </w:pPr>
            <w:r w:rsidRPr="00F92AC3">
              <w:t xml:space="preserve">Use in </w:t>
            </w:r>
            <w:r w:rsidR="00BD050D" w:rsidRPr="00F92AC3">
              <w:t xml:space="preserve">economic </w:t>
            </w:r>
            <w:r w:rsidRPr="00F92AC3">
              <w:t>model</w:t>
            </w:r>
          </w:p>
        </w:tc>
      </w:tr>
      <w:tr w:rsidR="009B57BE" w:rsidRPr="00F92AC3" w14:paraId="76FCE4CD" w14:textId="77777777" w:rsidTr="009B57BE">
        <w:trPr>
          <w:cantSplit/>
          <w:tblHeader/>
        </w:trPr>
        <w:tc>
          <w:tcPr>
            <w:tcW w:w="5000" w:type="pct"/>
            <w:gridSpan w:val="7"/>
            <w:vAlign w:val="center"/>
          </w:tcPr>
          <w:p w14:paraId="3D1C051C" w14:textId="60B53094" w:rsidR="009B57BE" w:rsidRPr="00F92AC3" w:rsidRDefault="009B57BE" w:rsidP="009B57BE">
            <w:pPr>
              <w:pStyle w:val="COMTableheadingrow"/>
            </w:pPr>
            <w:r>
              <w:t>Direct randomised trials</w:t>
            </w:r>
          </w:p>
        </w:tc>
      </w:tr>
      <w:tr w:rsidR="00B41614" w:rsidRPr="00F92AC3" w14:paraId="4EE88DCB" w14:textId="77777777" w:rsidTr="009B57BE">
        <w:trPr>
          <w:cantSplit/>
        </w:trPr>
        <w:tc>
          <w:tcPr>
            <w:tcW w:w="390" w:type="pct"/>
            <w:vAlign w:val="center"/>
          </w:tcPr>
          <w:p w14:paraId="6EE77D33" w14:textId="3295E0BE" w:rsidR="007F1017" w:rsidRPr="00F92AC3" w:rsidRDefault="005F1F58" w:rsidP="00EC5836">
            <w:pPr>
              <w:pStyle w:val="COMTabletext"/>
            </w:pPr>
            <w:r w:rsidRPr="00F92AC3">
              <w:t>IMforte</w:t>
            </w:r>
          </w:p>
        </w:tc>
        <w:tc>
          <w:tcPr>
            <w:tcW w:w="316" w:type="pct"/>
            <w:vAlign w:val="center"/>
          </w:tcPr>
          <w:p w14:paraId="41BB0E41" w14:textId="621E6517" w:rsidR="007F1017" w:rsidRPr="00F92AC3" w:rsidRDefault="004D671D" w:rsidP="00EC5836">
            <w:pPr>
              <w:pStyle w:val="COMTabletext"/>
              <w:jc w:val="center"/>
            </w:pPr>
            <w:r w:rsidRPr="00F92AC3">
              <w:t>483</w:t>
            </w:r>
          </w:p>
        </w:tc>
        <w:tc>
          <w:tcPr>
            <w:tcW w:w="864" w:type="pct"/>
            <w:vAlign w:val="center"/>
          </w:tcPr>
          <w:p w14:paraId="1C7D5382" w14:textId="2CB375EE" w:rsidR="007F1017" w:rsidRPr="00F92AC3" w:rsidRDefault="00BD050D" w:rsidP="00EC5836">
            <w:pPr>
              <w:pStyle w:val="COMTabletext"/>
              <w:jc w:val="center"/>
            </w:pPr>
            <w:r w:rsidRPr="00F92AC3">
              <w:t>R</w:t>
            </w:r>
            <w:r w:rsidR="0028187C" w:rsidRPr="00F92AC3">
              <w:t xml:space="preserve">, </w:t>
            </w:r>
            <w:r w:rsidRPr="00F92AC3">
              <w:t>C, OL, MC study</w:t>
            </w:r>
          </w:p>
          <w:p w14:paraId="744D08AC" w14:textId="3756096C" w:rsidR="00BD050D" w:rsidRPr="00F92AC3" w:rsidRDefault="00BD050D" w:rsidP="00A00939">
            <w:pPr>
              <w:pStyle w:val="COMTabletext"/>
              <w:jc w:val="center"/>
            </w:pPr>
            <w:r w:rsidRPr="00F92AC3">
              <w:t>Median follow-up 15</w:t>
            </w:r>
            <w:r w:rsidR="00A00939" w:rsidRPr="00F92AC3">
              <w:t> </w:t>
            </w:r>
            <w:r w:rsidRPr="00F92AC3">
              <w:t>months</w:t>
            </w:r>
            <w:r w:rsidR="002F7D75" w:rsidRPr="00F92AC3">
              <w:t>.</w:t>
            </w:r>
          </w:p>
        </w:tc>
        <w:tc>
          <w:tcPr>
            <w:tcW w:w="472" w:type="pct"/>
            <w:vAlign w:val="center"/>
          </w:tcPr>
          <w:p w14:paraId="4A529D74" w14:textId="794B8986" w:rsidR="007F1017" w:rsidRPr="001B0A35" w:rsidRDefault="00BD050D" w:rsidP="00EC5836">
            <w:pPr>
              <w:pStyle w:val="COMTabletext"/>
              <w:jc w:val="center"/>
              <w:rPr>
                <w:iCs/>
              </w:rPr>
            </w:pPr>
            <w:r w:rsidRPr="001B0A35">
              <w:rPr>
                <w:iCs/>
              </w:rPr>
              <w:t>Unclear</w:t>
            </w:r>
          </w:p>
        </w:tc>
        <w:tc>
          <w:tcPr>
            <w:tcW w:w="1493" w:type="pct"/>
            <w:vAlign w:val="center"/>
          </w:tcPr>
          <w:p w14:paraId="79A73DA1" w14:textId="330252F0" w:rsidR="00BD050D" w:rsidRPr="00F92AC3" w:rsidRDefault="00BD050D" w:rsidP="00EC5836">
            <w:pPr>
              <w:pStyle w:val="COMTabletext"/>
              <w:jc w:val="center"/>
            </w:pPr>
            <w:r w:rsidRPr="00F92AC3">
              <w:t xml:space="preserve">Adults </w:t>
            </w:r>
            <w:r w:rsidR="00B233AC" w:rsidRPr="00F92AC3">
              <w:t xml:space="preserve">with </w:t>
            </w:r>
            <w:r w:rsidRPr="00F92AC3">
              <w:t>ES-SCLC</w:t>
            </w:r>
            <w:r w:rsidR="00484C07" w:rsidRPr="00F92AC3">
              <w:t>.</w:t>
            </w:r>
            <w:r w:rsidRPr="00F92AC3">
              <w:t xml:space="preserve"> </w:t>
            </w:r>
          </w:p>
          <w:p w14:paraId="3DA7491D" w14:textId="66DC785C" w:rsidR="007F1017" w:rsidRPr="00F92AC3" w:rsidRDefault="00EC1D12" w:rsidP="00EC5836">
            <w:pPr>
              <w:pStyle w:val="COMTabletext"/>
              <w:jc w:val="center"/>
            </w:pPr>
            <w:r w:rsidRPr="00F92AC3">
              <w:t>R</w:t>
            </w:r>
            <w:r w:rsidR="008805A0" w:rsidRPr="00F92AC3">
              <w:t>espon</w:t>
            </w:r>
            <w:r w:rsidRPr="00F92AC3">
              <w:t>ders to</w:t>
            </w:r>
            <w:r w:rsidR="00BD050D" w:rsidRPr="00F92AC3">
              <w:t xml:space="preserve"> first-line induction therapy with </w:t>
            </w:r>
            <w:r w:rsidR="00B233AC" w:rsidRPr="00F92AC3">
              <w:t xml:space="preserve">platinum-based chemotherapy </w:t>
            </w:r>
            <w:r w:rsidRPr="00F92AC3">
              <w:t>+</w:t>
            </w:r>
            <w:r w:rsidR="00B233AC" w:rsidRPr="00F92AC3">
              <w:t xml:space="preserve"> etoposide </w:t>
            </w:r>
            <w:r w:rsidRPr="00F92AC3">
              <w:t>+</w:t>
            </w:r>
            <w:r w:rsidR="00B233AC" w:rsidRPr="00F92AC3">
              <w:t xml:space="preserve"> </w:t>
            </w:r>
            <w:r w:rsidR="00BD050D" w:rsidRPr="00F92AC3">
              <w:t>atezolizumab</w:t>
            </w:r>
            <w:r w:rsidR="00484C07" w:rsidRPr="00F92AC3">
              <w:t>.</w:t>
            </w:r>
          </w:p>
          <w:p w14:paraId="03CBAC4F" w14:textId="78E79217" w:rsidR="00484C07" w:rsidRPr="00F92AC3" w:rsidRDefault="00484C07" w:rsidP="00EC5836">
            <w:pPr>
              <w:pStyle w:val="COMTabletext"/>
              <w:jc w:val="center"/>
            </w:pPr>
            <w:r w:rsidRPr="00F92AC3">
              <w:t>ECOG PS 0-1.</w:t>
            </w:r>
          </w:p>
          <w:p w14:paraId="5E6F456D" w14:textId="7B34A224" w:rsidR="00484C07" w:rsidRPr="00F92AC3" w:rsidRDefault="00484C07" w:rsidP="00EC5836">
            <w:pPr>
              <w:pStyle w:val="COMTabletext"/>
              <w:jc w:val="center"/>
            </w:pPr>
            <w:r w:rsidRPr="00F92AC3">
              <w:t>CNS metastases excluded.</w:t>
            </w:r>
          </w:p>
        </w:tc>
        <w:tc>
          <w:tcPr>
            <w:tcW w:w="786" w:type="pct"/>
            <w:vAlign w:val="center"/>
          </w:tcPr>
          <w:p w14:paraId="6DC76214" w14:textId="2D3D40EE" w:rsidR="007F1017" w:rsidRPr="00F92AC3" w:rsidRDefault="007F1017" w:rsidP="00EC5836">
            <w:pPr>
              <w:pStyle w:val="COMTabletext"/>
              <w:jc w:val="center"/>
            </w:pPr>
            <w:r w:rsidRPr="00F92AC3">
              <w:t>OS</w:t>
            </w:r>
            <w:r w:rsidR="00EC1D12" w:rsidRPr="00F92AC3">
              <w:t xml:space="preserve"> (interim), PFS, CORR, DOR, TTCD</w:t>
            </w:r>
            <w:r w:rsidR="00A00939" w:rsidRPr="00F92AC3">
              <w:t>, QoL, Safety</w:t>
            </w:r>
            <w:r w:rsidR="00484C07" w:rsidRPr="00F92AC3">
              <w:t>.</w:t>
            </w:r>
          </w:p>
        </w:tc>
        <w:tc>
          <w:tcPr>
            <w:tcW w:w="679" w:type="pct"/>
            <w:vAlign w:val="center"/>
          </w:tcPr>
          <w:p w14:paraId="150A804C" w14:textId="37D2CE52" w:rsidR="007F1017" w:rsidRPr="00F92AC3" w:rsidRDefault="008C2B67" w:rsidP="00EC5836">
            <w:pPr>
              <w:pStyle w:val="COMTabletext"/>
              <w:jc w:val="center"/>
            </w:pPr>
            <w:r w:rsidRPr="00F92AC3">
              <w:t>Patient characteristics, PFS, OS, mean duration of treatment, incidence of adverse event.</w:t>
            </w:r>
          </w:p>
        </w:tc>
      </w:tr>
    </w:tbl>
    <w:p w14:paraId="79B6B21B" w14:textId="77777777" w:rsidR="00C50C96" w:rsidRPr="00F92AC3" w:rsidRDefault="00045017" w:rsidP="00EC5836">
      <w:pPr>
        <w:pStyle w:val="COMTablefooter"/>
      </w:pPr>
      <w:r w:rsidRPr="00893517">
        <w:t xml:space="preserve">Source: </w:t>
      </w:r>
      <w:r w:rsidR="002F7D75" w:rsidRPr="00893517">
        <w:t>Section 2</w:t>
      </w:r>
      <w:r w:rsidRPr="00893517">
        <w:t xml:space="preserve"> of the submission.</w:t>
      </w:r>
      <w:r w:rsidR="002F7D75" w:rsidRPr="00F92AC3">
        <w:t xml:space="preserve"> </w:t>
      </w:r>
    </w:p>
    <w:p w14:paraId="1095487C" w14:textId="3C204346" w:rsidR="00620C25" w:rsidRPr="00F92AC3" w:rsidRDefault="002F7D75" w:rsidP="00EC5836">
      <w:pPr>
        <w:pStyle w:val="COMTablefooter"/>
      </w:pPr>
      <w:r w:rsidRPr="00F92AC3">
        <w:t xml:space="preserve">Abbreviations: </w:t>
      </w:r>
      <w:proofErr w:type="gramStart"/>
      <w:r w:rsidR="00C50C96" w:rsidRPr="00F92AC3">
        <w:t>C,</w:t>
      </w:r>
      <w:proofErr w:type="gramEnd"/>
      <w:r w:rsidR="00C50C96" w:rsidRPr="00F92AC3">
        <w:t xml:space="preserve"> controlled; </w:t>
      </w:r>
      <w:r w:rsidR="00C237A6" w:rsidRPr="00F92AC3">
        <w:t xml:space="preserve">CORR, confirmed objective response rate; DOR, duration of response; </w:t>
      </w:r>
      <w:r w:rsidR="00C50C96" w:rsidRPr="00F92AC3">
        <w:t xml:space="preserve">ECOG PS, Eastern Cooperative Oncology Group </w:t>
      </w:r>
      <w:r w:rsidR="00D351BD" w:rsidRPr="00F92AC3">
        <w:t>Performance Status</w:t>
      </w:r>
      <w:r w:rsidR="00C50C96" w:rsidRPr="00F92AC3">
        <w:t xml:space="preserve">; </w:t>
      </w:r>
      <w:r w:rsidR="00620C25" w:rsidRPr="00F92AC3">
        <w:t>MC</w:t>
      </w:r>
      <w:r w:rsidR="00C50C96" w:rsidRPr="00F92AC3">
        <w:t>,</w:t>
      </w:r>
      <w:r w:rsidR="00620C25" w:rsidRPr="00F92AC3">
        <w:t xml:space="preserve"> multi-centre; OL</w:t>
      </w:r>
      <w:r w:rsidR="00C50C96" w:rsidRPr="00F92AC3">
        <w:t>,</w:t>
      </w:r>
      <w:r w:rsidR="00620C25" w:rsidRPr="00F92AC3">
        <w:t xml:space="preserve"> open label; OS</w:t>
      </w:r>
      <w:r w:rsidR="00C50C96" w:rsidRPr="00F92AC3">
        <w:t>,</w:t>
      </w:r>
      <w:r w:rsidR="00620C25" w:rsidRPr="00F92AC3">
        <w:t xml:space="preserve"> overall survival; PFS</w:t>
      </w:r>
      <w:r w:rsidR="00C50C96" w:rsidRPr="00F92AC3">
        <w:t>,</w:t>
      </w:r>
      <w:r w:rsidR="00620C25" w:rsidRPr="00F92AC3">
        <w:t xml:space="preserve"> progression-free survival; </w:t>
      </w:r>
      <w:r w:rsidR="004A6E2C" w:rsidRPr="00F92AC3">
        <w:t xml:space="preserve">QoL, quality of life; </w:t>
      </w:r>
      <w:r w:rsidR="00620C25" w:rsidRPr="00F92AC3">
        <w:t>R</w:t>
      </w:r>
      <w:r w:rsidR="00C50C96" w:rsidRPr="00F92AC3">
        <w:t>,</w:t>
      </w:r>
      <w:r w:rsidR="00620C25" w:rsidRPr="00F92AC3">
        <w:t xml:space="preserve"> randomised</w:t>
      </w:r>
      <w:r w:rsidR="004A6E2C" w:rsidRPr="00F92AC3">
        <w:t>; TTCD, time to confirmed deterioration.</w:t>
      </w:r>
    </w:p>
    <w:p w14:paraId="4899E35E" w14:textId="228D8723" w:rsidR="007F1017" w:rsidRPr="00F01C7D" w:rsidRDefault="002544DD" w:rsidP="00EC5836">
      <w:pPr>
        <w:pStyle w:val="COMESnumberedpara"/>
        <w:rPr>
          <w:color w:val="0066FF"/>
        </w:rPr>
      </w:pPr>
      <w:r w:rsidRPr="00F01C7D">
        <w:t xml:space="preserve">The risk of bias in the IMforte trial was unclear. The open label design may have impacted assessment of </w:t>
      </w:r>
      <w:r w:rsidR="000A2FF1" w:rsidRPr="00F01C7D">
        <w:t>quality-of-life</w:t>
      </w:r>
      <w:r w:rsidRPr="00F01C7D">
        <w:t xml:space="preserve"> outcomes</w:t>
      </w:r>
      <w:r w:rsidR="00014580">
        <w:t xml:space="preserve"> and </w:t>
      </w:r>
      <w:r w:rsidR="005124F6">
        <w:t xml:space="preserve">assessment of </w:t>
      </w:r>
      <w:r w:rsidR="0075479E">
        <w:t>response to treatment</w:t>
      </w:r>
      <w:r w:rsidRPr="00F01C7D">
        <w:t xml:space="preserve">. However, this may have been mitigated </w:t>
      </w:r>
      <w:r w:rsidR="000A2FF1" w:rsidRPr="00F01C7D">
        <w:t>using</w:t>
      </w:r>
      <w:r w:rsidRPr="00F01C7D">
        <w:t xml:space="preserve"> the centralised independent review of clinical data and trial integrity/safety oversight by an independent data monitoring committee.</w:t>
      </w:r>
    </w:p>
    <w:p w14:paraId="078C12A5" w14:textId="549391AD" w:rsidR="002544DD" w:rsidRPr="00F01C7D" w:rsidRDefault="002544DD" w:rsidP="0043751B">
      <w:pPr>
        <w:pStyle w:val="COMESnumberedpara"/>
        <w:keepNext/>
        <w:keepLines/>
        <w:rPr>
          <w:color w:val="0066FF"/>
        </w:rPr>
      </w:pPr>
      <w:r w:rsidRPr="00F01C7D">
        <w:t xml:space="preserve">The IMforte trial includes 2 treatment phases: </w:t>
      </w:r>
    </w:p>
    <w:p w14:paraId="499D9BC0" w14:textId="1730F1FD" w:rsidR="002544DD" w:rsidRPr="00F01C7D" w:rsidRDefault="002544DD" w:rsidP="0043751B">
      <w:pPr>
        <w:pStyle w:val="COMESmainissuesbullets"/>
        <w:keepLines/>
        <w:ind w:left="993" w:hanging="284"/>
      </w:pPr>
      <w:r w:rsidRPr="00F01C7D">
        <w:t xml:space="preserve">Induction therapy (Phase 1): A single arm treatment phase including </w:t>
      </w:r>
      <w:r w:rsidR="00D5665A" w:rsidRPr="00F01C7D">
        <w:t xml:space="preserve">adults with treatment naïve ES-SCLC, measurable tumours (RECIST v1.1), and </w:t>
      </w:r>
      <w:r w:rsidR="00D5665A" w:rsidRPr="00F01C7D">
        <w:rPr>
          <w:rFonts w:eastAsiaTheme="minorHAnsi"/>
        </w:rPr>
        <w:t xml:space="preserve">ECOG </w:t>
      </w:r>
      <w:r w:rsidR="00503C2E" w:rsidRPr="00F01C7D">
        <w:rPr>
          <w:rFonts w:eastAsiaTheme="minorHAnsi"/>
        </w:rPr>
        <w:t>PS</w:t>
      </w:r>
      <w:r w:rsidR="00D5665A" w:rsidRPr="00F01C7D">
        <w:rPr>
          <w:rFonts w:eastAsiaTheme="minorHAnsi"/>
        </w:rPr>
        <w:t xml:space="preserve"> 0 or 1. Patients previously treated for LS-SCLC were included</w:t>
      </w:r>
      <w:r w:rsidR="000E5FC2" w:rsidRPr="00F01C7D">
        <w:rPr>
          <w:rFonts w:eastAsiaTheme="minorHAnsi"/>
        </w:rPr>
        <w:t xml:space="preserve"> (4.1%)</w:t>
      </w:r>
      <w:r w:rsidR="00D5665A" w:rsidRPr="00F01C7D">
        <w:rPr>
          <w:rFonts w:eastAsiaTheme="minorHAnsi"/>
        </w:rPr>
        <w:t xml:space="preserve">, </w:t>
      </w:r>
      <w:r w:rsidR="005F2EA3" w:rsidRPr="00F01C7D">
        <w:rPr>
          <w:rFonts w:eastAsiaTheme="minorHAnsi"/>
        </w:rPr>
        <w:t xml:space="preserve">after </w:t>
      </w:r>
      <w:r w:rsidR="00D5665A" w:rsidRPr="00F01C7D">
        <w:rPr>
          <w:rFonts w:eastAsiaTheme="minorHAnsi"/>
        </w:rPr>
        <w:t xml:space="preserve">a treatment-free interval of at least 6 months prior to diagnosis of ES-SCLC. </w:t>
      </w:r>
      <w:r w:rsidR="00D5665A" w:rsidRPr="00F01C7D">
        <w:t xml:space="preserve">Patients with </w:t>
      </w:r>
      <w:r w:rsidR="00D5665A" w:rsidRPr="00F01C7D">
        <w:rPr>
          <w:rFonts w:eastAsiaTheme="minorHAnsi"/>
        </w:rPr>
        <w:t>CNS metastases, uncontrolled tumour-related pain, or uncontrolled pleural effusion were excluded</w:t>
      </w:r>
      <w:r w:rsidRPr="00F01C7D">
        <w:t>. All enrolled patients received 4 cycles of first-line induction therapy with atezolizumab, carboplatin and etoposide.</w:t>
      </w:r>
    </w:p>
    <w:p w14:paraId="74DE9EF4" w14:textId="31594024" w:rsidR="002544DD" w:rsidRPr="00F01C7D" w:rsidRDefault="002544DD" w:rsidP="002544DD">
      <w:pPr>
        <w:pStyle w:val="COMESmainissuesbullets"/>
        <w:ind w:left="993" w:hanging="284"/>
      </w:pPr>
      <w:r w:rsidRPr="00F01C7D">
        <w:t xml:space="preserve">Maintenance therapy (Phase 2): Patients achieving ongoing treatment response or stable disease after completion of 4 × </w:t>
      </w:r>
      <w:r w:rsidR="00AA4B02" w:rsidRPr="00F01C7D">
        <w:t>21-day</w:t>
      </w:r>
      <w:r w:rsidRPr="00F01C7D">
        <w:t xml:space="preserve"> cycles of first-line induction therapy</w:t>
      </w:r>
      <w:r w:rsidR="000E5FC2" w:rsidRPr="00F01C7D">
        <w:t xml:space="preserve"> and maintained ECOG performance status 0 or 1</w:t>
      </w:r>
      <w:r w:rsidRPr="00F01C7D">
        <w:t xml:space="preserve">, were randomised to receive lurbinectedin plus atezolizumab or atezolizumab monotherapy until disease progression or unacceptable toxicity. </w:t>
      </w:r>
      <w:r w:rsidR="000E5FC2" w:rsidRPr="00F01C7D">
        <w:t xml:space="preserve">Patients with </w:t>
      </w:r>
      <w:r w:rsidR="000E5FC2" w:rsidRPr="00F01C7D">
        <w:rPr>
          <w:rFonts w:eastAsiaTheme="minorHAnsi"/>
        </w:rPr>
        <w:t>CNS metastases, uncontrolled tumour-related pain, uncontrolled pleural effusion or clinically significant adverse events expected to interfere with study treatments, were excluded.</w:t>
      </w:r>
      <w:r w:rsidR="000E5FC2" w:rsidRPr="00F01C7D">
        <w:t xml:space="preserve"> </w:t>
      </w:r>
      <w:r w:rsidRPr="00F01C7D">
        <w:t>Crossover between therapies was not permitted.</w:t>
      </w:r>
    </w:p>
    <w:p w14:paraId="716851CC" w14:textId="0E436508" w:rsidR="002544DD" w:rsidRPr="00595994" w:rsidRDefault="2C2189AF" w:rsidP="002544DD">
      <w:pPr>
        <w:pStyle w:val="COMESnumberedpara"/>
        <w:rPr>
          <w:color w:val="0066FF"/>
        </w:rPr>
      </w:pPr>
      <w:r>
        <w:t>A total of 483</w:t>
      </w:r>
      <w:r w:rsidR="0965EBB2">
        <w:t>/660</w:t>
      </w:r>
      <w:r>
        <w:t xml:space="preserve"> </w:t>
      </w:r>
      <w:r w:rsidR="0965EBB2">
        <w:t xml:space="preserve">(73.2%) </w:t>
      </w:r>
      <w:r>
        <w:t xml:space="preserve">patients completed </w:t>
      </w:r>
      <w:r w:rsidR="0965EBB2">
        <w:t xml:space="preserve">the </w:t>
      </w:r>
      <w:r>
        <w:t xml:space="preserve">induction therapy </w:t>
      </w:r>
      <w:r w:rsidR="0965EBB2">
        <w:t xml:space="preserve">and </w:t>
      </w:r>
      <w:r>
        <w:t>were randomised to the lurbinectedin plus atezolizumab or atezolizumab monotherapy treatment arms at the commencement of the maintenance phase. Large proportions of patients discontinued treatment in both the lurbinectedin plus atezolizumab (n=197, 81.4%) and atezolizumab monotherapy (n=208, 86.7%) treatment arms.</w:t>
      </w:r>
      <w:r w:rsidR="6AA9AB89">
        <w:t xml:space="preserve"> </w:t>
      </w:r>
    </w:p>
    <w:p w14:paraId="4F31216A" w14:textId="65A9724E" w:rsidR="00893517" w:rsidRPr="00893517" w:rsidRDefault="000E5FC2" w:rsidP="002544DD">
      <w:pPr>
        <w:pStyle w:val="COMESnumberedpara"/>
        <w:rPr>
          <w:color w:val="0066FF"/>
        </w:rPr>
      </w:pPr>
      <w:r w:rsidRPr="00F01C7D" w:rsidDel="005E5B54">
        <w:t>Patients in the lurbinectedin plus atezolizumab arm reported less advanced ES-SCLC compared to atezolizumab monotherapy in terms of tumour size (T4: lurbinectedin + atezolizumab 50.8%; atezolizumab 58.8%) and metastases (</w:t>
      </w:r>
      <w:r w:rsidR="00365519" w:rsidRPr="00F01C7D" w:rsidDel="005E5B54">
        <w:t>M1c</w:t>
      </w:r>
      <w:r w:rsidRPr="00F01C7D" w:rsidDel="005E5B54">
        <w:t>: 47.5%; 58.9%)</w:t>
      </w:r>
      <w:r w:rsidR="00346CCB">
        <w:t xml:space="preserve"> at baseline</w:t>
      </w:r>
      <w:r w:rsidRPr="00F01C7D" w:rsidDel="005E5B54">
        <w:t xml:space="preserve">. </w:t>
      </w:r>
    </w:p>
    <w:p w14:paraId="53FD56F7" w14:textId="18DDD3D7" w:rsidR="00786D1B" w:rsidRPr="00562BF2" w:rsidRDefault="00893517" w:rsidP="00786D1B">
      <w:pPr>
        <w:pStyle w:val="COMESnumberedpara"/>
        <w:rPr>
          <w:color w:val="0066FF"/>
        </w:rPr>
      </w:pPr>
      <w:r w:rsidRPr="00562BF2">
        <w:t>The ESC also noted that the lurbinectedin plus atezolizumab arm population</w:t>
      </w:r>
      <w:r w:rsidR="00062EFA" w:rsidRPr="00562BF2">
        <w:t xml:space="preserve"> included</w:t>
      </w:r>
      <w:r w:rsidR="00786D1B" w:rsidRPr="00562BF2">
        <w:t xml:space="preserve"> </w:t>
      </w:r>
      <w:r w:rsidRPr="00562BF2">
        <w:t xml:space="preserve">a higher proportion of younger patients (&lt;65 years; 49%) as compared to the atezolizumab only group (37%). It further observed that the overall </w:t>
      </w:r>
      <w:proofErr w:type="spellStart"/>
      <w:r w:rsidRPr="00562BF2">
        <w:t>IMForte</w:t>
      </w:r>
      <w:proofErr w:type="spellEnd"/>
      <w:r w:rsidRPr="00562BF2">
        <w:t xml:space="preserve"> trial cohort was unusually young (35% older than 65 and 9% older than 70 in the lurbinectedin and atezolizumab group). This was not considered to be reflective of the Australian population with ES-SCLC. Victorian Lung Cancer Registry data (2011–19) found a median age of diagnosis of SCLC of 69 years (Huang et al. 2023)</w:t>
      </w:r>
      <w:r w:rsidRPr="00562BF2">
        <w:rPr>
          <w:rStyle w:val="FootnoteReference"/>
        </w:rPr>
        <w:footnoteReference w:id="9"/>
      </w:r>
      <w:r w:rsidRPr="00562BF2">
        <w:t xml:space="preserve"> . </w:t>
      </w:r>
      <w:r w:rsidRPr="00562BF2">
        <w:rPr>
          <w:rFonts w:ascii="Calibri" w:eastAsia="Calibri" w:hAnsi="Calibri" w:cs="Calibri"/>
        </w:rPr>
        <w:t>The ESC also noted that some patients in the clinical trial had prior exposure to prophylactic cranial irradiation which is not routinely used in Australian clinical practice.</w:t>
      </w:r>
    </w:p>
    <w:p w14:paraId="4A52E305" w14:textId="517D6E4D" w:rsidR="00EE5B84" w:rsidRPr="00786D1B" w:rsidRDefault="00C2102C" w:rsidP="00786D1B">
      <w:pPr>
        <w:pStyle w:val="COMESnumberedpara"/>
        <w:rPr>
          <w:color w:val="0066FF"/>
        </w:rPr>
      </w:pPr>
      <w:r w:rsidRPr="00F01C7D">
        <w:t xml:space="preserve">The dosing and administration of </w:t>
      </w:r>
      <w:r w:rsidR="00E701DB" w:rsidRPr="00F01C7D">
        <w:t>lurbinectedin and atezolizumab in the IMforte trial were broadly consistent with the related Product Information.</w:t>
      </w:r>
      <w:r w:rsidRPr="00F01C7D">
        <w:t xml:space="preserve"> </w:t>
      </w:r>
      <w:r w:rsidR="00294E17" w:rsidRPr="00F01C7D">
        <w:t>A</w:t>
      </w:r>
      <w:r w:rsidR="00E17422" w:rsidRPr="00F01C7D">
        <w:t xml:space="preserve"> maximum of 2 </w:t>
      </w:r>
      <w:r w:rsidR="00294E17" w:rsidRPr="00F01C7D">
        <w:t xml:space="preserve">lurbinectedin </w:t>
      </w:r>
      <w:r w:rsidR="00E17422" w:rsidRPr="00F01C7D">
        <w:t>dose reductions (2.6 mg/m</w:t>
      </w:r>
      <w:r w:rsidR="00E17422" w:rsidRPr="00786D1B">
        <w:rPr>
          <w:vertAlign w:val="superscript"/>
        </w:rPr>
        <w:t>2</w:t>
      </w:r>
      <w:r w:rsidR="00E17422" w:rsidRPr="00F01C7D">
        <w:t>; 2 mg/m</w:t>
      </w:r>
      <w:r w:rsidR="00E17422" w:rsidRPr="00786D1B">
        <w:rPr>
          <w:vertAlign w:val="superscript"/>
        </w:rPr>
        <w:t>2</w:t>
      </w:r>
      <w:r w:rsidR="00E17422" w:rsidRPr="00F01C7D">
        <w:t>) were allowed during the randomised maintenance treatment phase.</w:t>
      </w:r>
      <w:r w:rsidR="00C7727B" w:rsidRPr="00F01C7D">
        <w:t xml:space="preserve"> Lurbinectedin and atezolizumab treatment could be interrupted or discontinued independently from each other. Dose modifications were not permitted for atezolizumab, but treatment was temporarily or permanently suspended for the management of treatment related toxicity and immune mediated adverse events.</w:t>
      </w:r>
      <w:r w:rsidR="00893517">
        <w:t xml:space="preserve"> </w:t>
      </w:r>
      <w:r w:rsidR="00893517" w:rsidRPr="00562BF2">
        <w:t xml:space="preserve">The ESC noted that a median of 7 doses </w:t>
      </w:r>
      <w:proofErr w:type="gramStart"/>
      <w:r w:rsidR="00893517" w:rsidRPr="00562BF2">
        <w:t>were</w:t>
      </w:r>
      <w:proofErr w:type="gramEnd"/>
      <w:r w:rsidR="00893517" w:rsidRPr="00562BF2">
        <w:t xml:space="preserve"> given in the lurbinectedin plus atezolizumab group over 4.1 months and a median of 4 doses were given in the atezolizumab only group over 2.1 months.</w:t>
      </w:r>
      <w:r w:rsidR="00893517" w:rsidRPr="00786D1B">
        <w:rPr>
          <w:i/>
          <w:iCs/>
        </w:rPr>
        <w:t xml:space="preserve"> </w:t>
      </w:r>
    </w:p>
    <w:p w14:paraId="5AE81F81" w14:textId="6AD0739A" w:rsidR="00636031" w:rsidRPr="00F01C7D" w:rsidRDefault="00BB1C05" w:rsidP="002544DD">
      <w:pPr>
        <w:pStyle w:val="COMESnumberedpara"/>
        <w:rPr>
          <w:color w:val="0066FF"/>
        </w:rPr>
      </w:pPr>
      <w:r w:rsidRPr="00F01C7D">
        <w:t xml:space="preserve">All patients in the lurbinectedin plus atezolizumab treatment arm received </w:t>
      </w:r>
      <w:r w:rsidR="00EE5B84" w:rsidRPr="00F01C7D">
        <w:t xml:space="preserve">prespecified </w:t>
      </w:r>
      <w:r w:rsidRPr="00F01C7D">
        <w:t xml:space="preserve">anti-emetic treatment and primary G-CSF prophylactic medications </w:t>
      </w:r>
      <w:r w:rsidR="00EE5B84" w:rsidRPr="00F01C7D">
        <w:t xml:space="preserve">in Cycle 1 of treatment. Premedication was not prespecified for patients in the IMforte maintenance phase atezolizumab monotherapy </w:t>
      </w:r>
      <w:r w:rsidR="008D4C2C" w:rsidRPr="00F01C7D">
        <w:t>arm but</w:t>
      </w:r>
      <w:r w:rsidR="00EE5B84" w:rsidRPr="00F01C7D">
        <w:t xml:space="preserve"> was given </w:t>
      </w:r>
      <w:r w:rsidR="00127237" w:rsidRPr="00F01C7D">
        <w:t>in accord</w:t>
      </w:r>
      <w:r w:rsidR="008E6BFE">
        <w:t>ance</w:t>
      </w:r>
      <w:r w:rsidR="00127237" w:rsidRPr="00F01C7D">
        <w:t xml:space="preserve"> with the atezolizumab Product Information. Substantially larger proportions of patients in the lurbinectedin plus atezolizumab treatment arm received concomitant premedications compared to the atezolizumab monotherapy arm.</w:t>
      </w:r>
    </w:p>
    <w:p w14:paraId="4A4FE085" w14:textId="2A9AE1F6" w:rsidR="00B60939" w:rsidRPr="00F92AC3" w:rsidRDefault="00B60939" w:rsidP="00B2525F">
      <w:pPr>
        <w:pStyle w:val="COMESSubsectionheading"/>
      </w:pPr>
      <w:bookmarkStart w:id="19" w:name="_Toc22897641"/>
      <w:bookmarkStart w:id="20" w:name="_Toc208928155"/>
      <w:r w:rsidRPr="00F92AC3">
        <w:t>Comparative effectiveness</w:t>
      </w:r>
      <w:bookmarkEnd w:id="19"/>
      <w:bookmarkEnd w:id="20"/>
    </w:p>
    <w:p w14:paraId="25E72A25" w14:textId="16249435" w:rsidR="009709CA" w:rsidRPr="00F01C7D" w:rsidRDefault="009709CA" w:rsidP="00EC5836">
      <w:pPr>
        <w:pStyle w:val="COMESnumberedpara"/>
        <w:rPr>
          <w:color w:val="0066FF"/>
        </w:rPr>
      </w:pPr>
      <w:r w:rsidRPr="00F01C7D">
        <w:t>Overall survival data available at the 29 July 2024 clinical cutoff date were presented as an interim analysis. To mitigate the potential impact on overall survival of non-protocol anti-cancer treatments following discontinuation of study treatment, the statistical stopping boundary for overall survival at the interim analysis was determined by the Hwang–Shih–</w:t>
      </w:r>
      <w:proofErr w:type="spellStart"/>
      <w:r w:rsidRPr="00F01C7D">
        <w:t>DeCani</w:t>
      </w:r>
      <w:proofErr w:type="spellEnd"/>
      <w:r w:rsidRPr="00F01C7D">
        <w:t xml:space="preserve"> α spending function, using the γ parameter of −1.5, and the actual number of overall survival events observed. Further analyses of overall survival data were not reported, and the </w:t>
      </w:r>
      <w:r w:rsidR="00E6517B" w:rsidRPr="00F01C7D">
        <w:t xml:space="preserve">sponsor </w:t>
      </w:r>
      <w:r w:rsidRPr="00F01C7D">
        <w:t>advised that the results presented for the data cutoff of 29 July 2024 are considered final for regulatory purposes.</w:t>
      </w:r>
    </w:p>
    <w:p w14:paraId="28593FB8" w14:textId="0A97BC72" w:rsidR="002C2775" w:rsidRPr="00F01C7D" w:rsidRDefault="00565BE9" w:rsidP="00EC5836">
      <w:pPr>
        <w:pStyle w:val="COMESnumberedpara"/>
        <w:rPr>
          <w:color w:val="0066FF"/>
        </w:rPr>
      </w:pPr>
      <w:r w:rsidRPr="00F01C7D">
        <w:fldChar w:fldCharType="begin"/>
      </w:r>
      <w:r w:rsidRPr="00F01C7D">
        <w:instrText xml:space="preserve"> REF _Ref208229696 \h </w:instrText>
      </w:r>
      <w:r w:rsidR="00F01C7D" w:rsidRPr="00F01C7D">
        <w:instrText xml:space="preserve"> \* MERGEFORMAT </w:instrText>
      </w:r>
      <w:r w:rsidRPr="00F01C7D">
        <w:fldChar w:fldCharType="separate"/>
      </w:r>
      <w:r w:rsidR="00CC5A50" w:rsidRPr="00F92AC3">
        <w:t xml:space="preserve">Table </w:t>
      </w:r>
      <w:r w:rsidR="00CC5A50">
        <w:rPr>
          <w:noProof/>
        </w:rPr>
        <w:t>4</w:t>
      </w:r>
      <w:r w:rsidRPr="00F01C7D">
        <w:fldChar w:fldCharType="end"/>
      </w:r>
      <w:r w:rsidRPr="00F01C7D">
        <w:t xml:space="preserve"> </w:t>
      </w:r>
      <w:r w:rsidR="008A792B" w:rsidRPr="00F01C7D">
        <w:t xml:space="preserve">and </w:t>
      </w:r>
      <w:r w:rsidRPr="00F01C7D">
        <w:fldChar w:fldCharType="begin"/>
      </w:r>
      <w:r w:rsidRPr="00F01C7D">
        <w:instrText xml:space="preserve"> REF _Ref208229727 \h </w:instrText>
      </w:r>
      <w:r w:rsidR="00F01C7D" w:rsidRPr="00F01C7D">
        <w:instrText xml:space="preserve"> \* MERGEFORMAT </w:instrText>
      </w:r>
      <w:r w:rsidRPr="00F01C7D">
        <w:fldChar w:fldCharType="separate"/>
      </w:r>
      <w:r w:rsidR="00CC5A50" w:rsidRPr="00F92AC3">
        <w:t xml:space="preserve">Figure </w:t>
      </w:r>
      <w:r w:rsidR="00CC5A50">
        <w:rPr>
          <w:noProof/>
        </w:rPr>
        <w:t>1</w:t>
      </w:r>
      <w:r w:rsidRPr="00F01C7D">
        <w:fldChar w:fldCharType="end"/>
      </w:r>
      <w:r w:rsidR="008A792B" w:rsidRPr="00F01C7D">
        <w:t xml:space="preserve"> summarise the results for the IMforte maintenance phase interim analysis for the primary outcome of overall survival</w:t>
      </w:r>
      <w:r w:rsidR="008E6BFE">
        <w:t xml:space="preserve"> </w:t>
      </w:r>
      <w:r w:rsidR="008A792B" w:rsidRPr="00F01C7D">
        <w:t>and secondary outcomes of 12</w:t>
      </w:r>
      <w:r w:rsidR="006E22D6">
        <w:t> </w:t>
      </w:r>
      <w:r w:rsidR="008A792B" w:rsidRPr="00F01C7D">
        <w:t xml:space="preserve">month and </w:t>
      </w:r>
      <w:proofErr w:type="gramStart"/>
      <w:r w:rsidR="008A792B" w:rsidRPr="00F01C7D">
        <w:t>24 month</w:t>
      </w:r>
      <w:proofErr w:type="gramEnd"/>
      <w:r w:rsidR="008A792B" w:rsidRPr="00F01C7D">
        <w:t xml:space="preserve"> event rates.</w:t>
      </w:r>
    </w:p>
    <w:p w14:paraId="7BBAE834" w14:textId="2E413BBA" w:rsidR="00336CCE" w:rsidRPr="00F92AC3" w:rsidRDefault="00FC7C06" w:rsidP="00336CCE">
      <w:pPr>
        <w:pStyle w:val="COMTableFigurecaption"/>
        <w:keepLines/>
      </w:pPr>
      <w:bookmarkStart w:id="21" w:name="_Ref208229696"/>
      <w:r w:rsidRPr="00F92AC3">
        <w:t xml:space="preserve">Table </w:t>
      </w:r>
      <w:r w:rsidR="00FF30BC">
        <w:fldChar w:fldCharType="begin"/>
      </w:r>
      <w:r w:rsidR="00FF30BC">
        <w:instrText xml:space="preserve"> SEQ Table \* ARABIC </w:instrText>
      </w:r>
      <w:r w:rsidR="00FF30BC">
        <w:fldChar w:fldCharType="separate"/>
      </w:r>
      <w:r w:rsidR="00CC5A50">
        <w:rPr>
          <w:noProof/>
        </w:rPr>
        <w:t>4</w:t>
      </w:r>
      <w:r w:rsidR="00FF30BC">
        <w:rPr>
          <w:noProof/>
        </w:rPr>
        <w:fldChar w:fldCharType="end"/>
      </w:r>
      <w:bookmarkEnd w:id="21"/>
      <w:r w:rsidR="00336CCE" w:rsidRPr="00F92AC3">
        <w:t>: Time to overall survival in the IMforte trial maintenance phase (interim analysis 29 July 2024; FAS)</w:t>
      </w:r>
    </w:p>
    <w:tbl>
      <w:tblPr>
        <w:tblStyle w:val="TableGrid"/>
        <w:tblW w:w="5000" w:type="pct"/>
        <w:tblCellMar>
          <w:left w:w="57" w:type="dxa"/>
          <w:right w:w="57" w:type="dxa"/>
        </w:tblCellMar>
        <w:tblLook w:val="04A0" w:firstRow="1" w:lastRow="0" w:firstColumn="1" w:lastColumn="0" w:noHBand="0" w:noVBand="1"/>
        <w:tblCaption w:val="Table 4: Time to overall survival in the IMforte trial maintenance phase (interim analysis 29 July 2024; FAS)"/>
      </w:tblPr>
      <w:tblGrid>
        <w:gridCol w:w="3397"/>
        <w:gridCol w:w="2810"/>
        <w:gridCol w:w="2810"/>
      </w:tblGrid>
      <w:tr w:rsidR="00336CCE" w:rsidRPr="00F92AC3" w14:paraId="1DED7711" w14:textId="77777777">
        <w:trPr>
          <w:tblHeader/>
        </w:trPr>
        <w:tc>
          <w:tcPr>
            <w:tcW w:w="1884" w:type="pct"/>
          </w:tcPr>
          <w:p w14:paraId="4C6B084E" w14:textId="77777777" w:rsidR="00336CCE" w:rsidRPr="00F92AC3" w:rsidRDefault="00336CCE">
            <w:pPr>
              <w:pStyle w:val="In-tableHeading"/>
              <w:keepLines/>
              <w:jc w:val="center"/>
              <w:rPr>
                <w:lang w:val="en-AU"/>
              </w:rPr>
            </w:pPr>
          </w:p>
        </w:tc>
        <w:tc>
          <w:tcPr>
            <w:tcW w:w="1558" w:type="pct"/>
          </w:tcPr>
          <w:p w14:paraId="412A6417" w14:textId="77777777" w:rsidR="00336CCE" w:rsidRPr="00F92AC3" w:rsidRDefault="00336CCE">
            <w:pPr>
              <w:pStyle w:val="In-tableHeading"/>
              <w:keepLines/>
              <w:jc w:val="center"/>
              <w:rPr>
                <w:lang w:val="en-AU"/>
              </w:rPr>
            </w:pPr>
            <w:r w:rsidRPr="00F92AC3">
              <w:rPr>
                <w:lang w:val="en-AU"/>
              </w:rPr>
              <w:t>LUR+ATE</w:t>
            </w:r>
          </w:p>
          <w:p w14:paraId="124E9256" w14:textId="77777777" w:rsidR="00336CCE" w:rsidRPr="00F92AC3" w:rsidRDefault="00336CCE">
            <w:pPr>
              <w:pStyle w:val="In-tableHeading"/>
              <w:keepLines/>
              <w:jc w:val="center"/>
              <w:rPr>
                <w:lang w:val="en-AU"/>
              </w:rPr>
            </w:pPr>
            <w:r w:rsidRPr="00F92AC3">
              <w:rPr>
                <w:lang w:val="en-AU"/>
              </w:rPr>
              <w:t>N=242</w:t>
            </w:r>
          </w:p>
        </w:tc>
        <w:tc>
          <w:tcPr>
            <w:tcW w:w="1558" w:type="pct"/>
          </w:tcPr>
          <w:p w14:paraId="6B50A7C2" w14:textId="77777777" w:rsidR="00336CCE" w:rsidRPr="00F92AC3" w:rsidRDefault="00336CCE">
            <w:pPr>
              <w:pStyle w:val="In-tableHeading"/>
              <w:keepLines/>
              <w:jc w:val="center"/>
              <w:rPr>
                <w:lang w:val="en-AU"/>
              </w:rPr>
            </w:pPr>
            <w:r w:rsidRPr="00F92AC3">
              <w:rPr>
                <w:lang w:val="en-AU"/>
              </w:rPr>
              <w:t>ATE</w:t>
            </w:r>
          </w:p>
          <w:p w14:paraId="1040B85D" w14:textId="77777777" w:rsidR="00336CCE" w:rsidRPr="00F92AC3" w:rsidRDefault="00336CCE">
            <w:pPr>
              <w:pStyle w:val="In-tableHeading"/>
              <w:keepLines/>
              <w:jc w:val="center"/>
              <w:rPr>
                <w:lang w:val="en-AU"/>
              </w:rPr>
            </w:pPr>
            <w:r w:rsidRPr="00F92AC3">
              <w:rPr>
                <w:lang w:val="en-AU"/>
              </w:rPr>
              <w:t>N=241</w:t>
            </w:r>
          </w:p>
        </w:tc>
      </w:tr>
      <w:tr w:rsidR="00336CCE" w:rsidRPr="00F92AC3" w14:paraId="7A7EC8BB" w14:textId="77777777">
        <w:tc>
          <w:tcPr>
            <w:tcW w:w="1884" w:type="pct"/>
          </w:tcPr>
          <w:p w14:paraId="39FD9241" w14:textId="77777777" w:rsidR="00336CCE" w:rsidRPr="00F92AC3" w:rsidRDefault="00336CCE">
            <w:pPr>
              <w:keepNext/>
              <w:keepLines/>
              <w:rPr>
                <w:rFonts w:ascii="Arial Narrow" w:hAnsi="Arial Narrow"/>
                <w:sz w:val="20"/>
                <w:szCs w:val="20"/>
              </w:rPr>
            </w:pPr>
            <w:r w:rsidRPr="00F92AC3">
              <w:rPr>
                <w:rFonts w:ascii="Arial Narrow" w:hAnsi="Arial Narrow"/>
                <w:sz w:val="20"/>
                <w:szCs w:val="20"/>
              </w:rPr>
              <w:t>Median follow-up, months (range)</w:t>
            </w:r>
          </w:p>
        </w:tc>
        <w:tc>
          <w:tcPr>
            <w:tcW w:w="1558" w:type="pct"/>
          </w:tcPr>
          <w:p w14:paraId="4FE0A19A" w14:textId="77777777" w:rsidR="00336CCE" w:rsidRPr="00F92AC3" w:rsidRDefault="00336CCE">
            <w:pPr>
              <w:pStyle w:val="COMTabletext"/>
              <w:jc w:val="center"/>
            </w:pPr>
            <w:r w:rsidRPr="00F92AC3">
              <w:t>14.78 (0.2-26.1)</w:t>
            </w:r>
          </w:p>
        </w:tc>
        <w:tc>
          <w:tcPr>
            <w:tcW w:w="1558" w:type="pct"/>
          </w:tcPr>
          <w:p w14:paraId="77A4708D" w14:textId="77777777" w:rsidR="00336CCE" w:rsidRPr="00F92AC3" w:rsidRDefault="00336CCE">
            <w:pPr>
              <w:pStyle w:val="COMTabletext"/>
              <w:jc w:val="center"/>
            </w:pPr>
            <w:r w:rsidRPr="00F92AC3">
              <w:t>15.18 (0.6-23.7)</w:t>
            </w:r>
          </w:p>
        </w:tc>
      </w:tr>
      <w:tr w:rsidR="00336CCE" w:rsidRPr="00F92AC3" w14:paraId="34F426D9" w14:textId="77777777">
        <w:tc>
          <w:tcPr>
            <w:tcW w:w="1884" w:type="pct"/>
          </w:tcPr>
          <w:p w14:paraId="6CE7A358" w14:textId="77777777" w:rsidR="00336CCE" w:rsidRPr="00F92AC3" w:rsidRDefault="00336CCE">
            <w:pPr>
              <w:keepNext/>
              <w:keepLines/>
              <w:rPr>
                <w:rFonts w:ascii="Arial Narrow" w:hAnsi="Arial Narrow"/>
                <w:sz w:val="20"/>
                <w:szCs w:val="20"/>
              </w:rPr>
            </w:pPr>
            <w:r w:rsidRPr="00F92AC3">
              <w:rPr>
                <w:rFonts w:ascii="Arial Narrow" w:hAnsi="Arial Narrow"/>
                <w:sz w:val="20"/>
                <w:szCs w:val="20"/>
              </w:rPr>
              <w:t xml:space="preserve">Deaths, n (%) </w:t>
            </w:r>
          </w:p>
        </w:tc>
        <w:tc>
          <w:tcPr>
            <w:tcW w:w="1558" w:type="pct"/>
          </w:tcPr>
          <w:p w14:paraId="0D725917" w14:textId="77777777" w:rsidR="00336CCE" w:rsidRPr="00F92AC3" w:rsidRDefault="00336CCE">
            <w:pPr>
              <w:pStyle w:val="COMTabletext"/>
              <w:jc w:val="center"/>
            </w:pPr>
            <w:r w:rsidRPr="00F92AC3">
              <w:t>113 (46.7%)</w:t>
            </w:r>
          </w:p>
        </w:tc>
        <w:tc>
          <w:tcPr>
            <w:tcW w:w="1558" w:type="pct"/>
          </w:tcPr>
          <w:p w14:paraId="76D06D0B" w14:textId="77777777" w:rsidR="00336CCE" w:rsidRPr="00F92AC3" w:rsidRDefault="00336CCE">
            <w:pPr>
              <w:pStyle w:val="COMTabletext"/>
              <w:jc w:val="center"/>
            </w:pPr>
            <w:r w:rsidRPr="00F92AC3">
              <w:t>136 (56.4%)</w:t>
            </w:r>
          </w:p>
        </w:tc>
      </w:tr>
      <w:tr w:rsidR="00336CCE" w:rsidRPr="00F92AC3" w14:paraId="0570A1D2" w14:textId="77777777" w:rsidTr="00CC5474">
        <w:tc>
          <w:tcPr>
            <w:tcW w:w="1884" w:type="pct"/>
            <w:tcBorders>
              <w:bottom w:val="single" w:sz="4" w:space="0" w:color="auto"/>
            </w:tcBorders>
          </w:tcPr>
          <w:p w14:paraId="15832362" w14:textId="77777777" w:rsidR="00336CCE" w:rsidRPr="00F92AC3" w:rsidRDefault="00336CCE">
            <w:pPr>
              <w:keepNext/>
              <w:keepLines/>
              <w:rPr>
                <w:rFonts w:ascii="Arial Narrow" w:hAnsi="Arial Narrow"/>
                <w:sz w:val="20"/>
                <w:szCs w:val="20"/>
              </w:rPr>
            </w:pPr>
            <w:r w:rsidRPr="00F92AC3">
              <w:rPr>
                <w:rFonts w:ascii="Arial Narrow" w:hAnsi="Arial Narrow"/>
                <w:sz w:val="20"/>
                <w:szCs w:val="20"/>
              </w:rPr>
              <w:t>Median OS, months (95% CI)</w:t>
            </w:r>
          </w:p>
        </w:tc>
        <w:tc>
          <w:tcPr>
            <w:tcW w:w="1558" w:type="pct"/>
            <w:tcBorders>
              <w:bottom w:val="single" w:sz="4" w:space="0" w:color="auto"/>
            </w:tcBorders>
          </w:tcPr>
          <w:p w14:paraId="62F12431" w14:textId="77777777" w:rsidR="00336CCE" w:rsidRPr="00F92AC3" w:rsidRDefault="00336CCE">
            <w:pPr>
              <w:keepNext/>
              <w:keepLines/>
              <w:jc w:val="center"/>
              <w:rPr>
                <w:rFonts w:ascii="Arial Narrow" w:hAnsi="Arial Narrow"/>
                <w:sz w:val="20"/>
                <w:szCs w:val="20"/>
              </w:rPr>
            </w:pPr>
            <w:r w:rsidRPr="00F92AC3">
              <w:rPr>
                <w:rFonts w:ascii="Arial Narrow" w:hAnsi="Arial Narrow"/>
                <w:sz w:val="20"/>
                <w:szCs w:val="20"/>
              </w:rPr>
              <w:t>13.24 (11.89, 16.36)</w:t>
            </w:r>
          </w:p>
        </w:tc>
        <w:tc>
          <w:tcPr>
            <w:tcW w:w="1558" w:type="pct"/>
            <w:tcBorders>
              <w:bottom w:val="single" w:sz="4" w:space="0" w:color="auto"/>
            </w:tcBorders>
          </w:tcPr>
          <w:p w14:paraId="5806517A" w14:textId="77777777" w:rsidR="00336CCE" w:rsidRPr="00F92AC3" w:rsidRDefault="00336CCE">
            <w:pPr>
              <w:keepNext/>
              <w:keepLines/>
              <w:jc w:val="center"/>
              <w:rPr>
                <w:rFonts w:ascii="Arial Narrow" w:hAnsi="Arial Narrow"/>
                <w:sz w:val="20"/>
                <w:szCs w:val="20"/>
              </w:rPr>
            </w:pPr>
            <w:r w:rsidRPr="00F92AC3">
              <w:rPr>
                <w:rFonts w:ascii="Arial Narrow" w:hAnsi="Arial Narrow"/>
                <w:sz w:val="20"/>
                <w:szCs w:val="20"/>
              </w:rPr>
              <w:t>10.64 (9.49, 12.16)</w:t>
            </w:r>
          </w:p>
        </w:tc>
      </w:tr>
      <w:tr w:rsidR="00336CCE" w:rsidRPr="00F92AC3" w14:paraId="013D11E5" w14:textId="77777777" w:rsidTr="00CC5474">
        <w:tc>
          <w:tcPr>
            <w:tcW w:w="1884" w:type="pct"/>
            <w:tcBorders>
              <w:bottom w:val="double" w:sz="4" w:space="0" w:color="auto"/>
            </w:tcBorders>
          </w:tcPr>
          <w:p w14:paraId="4CFCA95D" w14:textId="6929C207" w:rsidR="00336CCE" w:rsidRPr="00F92AC3" w:rsidRDefault="00336CCE">
            <w:pPr>
              <w:keepNext/>
              <w:keepLines/>
              <w:rPr>
                <w:rFonts w:ascii="Arial Narrow" w:hAnsi="Arial Narrow"/>
                <w:sz w:val="20"/>
                <w:szCs w:val="20"/>
                <w:vertAlign w:val="superscript"/>
              </w:rPr>
            </w:pPr>
            <w:r w:rsidRPr="00F92AC3">
              <w:rPr>
                <w:rFonts w:ascii="Arial Narrow" w:hAnsi="Arial Narrow"/>
                <w:sz w:val="20"/>
                <w:szCs w:val="20"/>
              </w:rPr>
              <w:t xml:space="preserve">Hazard ratio (95% CI) </w:t>
            </w:r>
            <w:proofErr w:type="spellStart"/>
            <w:r w:rsidRPr="00F92AC3">
              <w:rPr>
                <w:rFonts w:ascii="Arial Narrow" w:hAnsi="Arial Narrow"/>
                <w:sz w:val="20"/>
                <w:szCs w:val="20"/>
              </w:rPr>
              <w:t>stratified</w:t>
            </w:r>
            <w:r w:rsidR="003E252D" w:rsidRPr="003E252D">
              <w:rPr>
                <w:rFonts w:ascii="Arial Narrow" w:hAnsi="Arial Narrow"/>
                <w:sz w:val="20"/>
                <w:szCs w:val="20"/>
                <w:vertAlign w:val="superscript"/>
              </w:rPr>
              <w:t>a</w:t>
            </w:r>
            <w:proofErr w:type="spellEnd"/>
          </w:p>
        </w:tc>
        <w:tc>
          <w:tcPr>
            <w:tcW w:w="3116" w:type="pct"/>
            <w:gridSpan w:val="2"/>
            <w:tcBorders>
              <w:bottom w:val="double" w:sz="4" w:space="0" w:color="auto"/>
            </w:tcBorders>
          </w:tcPr>
          <w:p w14:paraId="13FA37D8" w14:textId="04EB151A" w:rsidR="00336CCE" w:rsidRPr="00F92AC3" w:rsidRDefault="00336CCE">
            <w:pPr>
              <w:keepNext/>
              <w:keepLines/>
              <w:jc w:val="center"/>
              <w:rPr>
                <w:rFonts w:ascii="Arial Narrow" w:hAnsi="Arial Narrow"/>
                <w:b/>
                <w:bCs/>
                <w:sz w:val="20"/>
                <w:szCs w:val="20"/>
              </w:rPr>
            </w:pPr>
            <w:r w:rsidRPr="00F92AC3">
              <w:rPr>
                <w:rFonts w:ascii="Arial Narrow" w:hAnsi="Arial Narrow"/>
                <w:b/>
                <w:bCs/>
                <w:sz w:val="20"/>
                <w:szCs w:val="20"/>
              </w:rPr>
              <w:t>0.73 (0.57, 0.95)</w:t>
            </w:r>
          </w:p>
        </w:tc>
      </w:tr>
      <w:tr w:rsidR="00CC5474" w:rsidRPr="00F92AC3" w14:paraId="31D200C6" w14:textId="77777777" w:rsidTr="00CC5474">
        <w:tc>
          <w:tcPr>
            <w:tcW w:w="5000" w:type="pct"/>
            <w:gridSpan w:val="3"/>
            <w:tcBorders>
              <w:top w:val="double" w:sz="4" w:space="0" w:color="auto"/>
            </w:tcBorders>
          </w:tcPr>
          <w:p w14:paraId="6B9E4535" w14:textId="04A5656E" w:rsidR="00CC5474" w:rsidRPr="00F92AC3" w:rsidRDefault="00CC5474" w:rsidP="00CC5474">
            <w:pPr>
              <w:keepNext/>
              <w:keepLines/>
              <w:jc w:val="left"/>
              <w:rPr>
                <w:rFonts w:ascii="Arial Narrow" w:hAnsi="Arial Narrow"/>
                <w:sz w:val="20"/>
                <w:szCs w:val="20"/>
              </w:rPr>
            </w:pPr>
            <w:r w:rsidRPr="00F92AC3">
              <w:rPr>
                <w:rFonts w:ascii="Arial Narrow" w:hAnsi="Arial Narrow"/>
                <w:sz w:val="20"/>
                <w:szCs w:val="20"/>
              </w:rPr>
              <w:t xml:space="preserve">Time point analysis at 12 months </w:t>
            </w:r>
          </w:p>
        </w:tc>
      </w:tr>
      <w:tr w:rsidR="00336CCE" w:rsidRPr="00F92AC3" w14:paraId="7CB4EDCA" w14:textId="77777777">
        <w:tc>
          <w:tcPr>
            <w:tcW w:w="1884" w:type="pct"/>
          </w:tcPr>
          <w:p w14:paraId="60746732" w14:textId="77777777" w:rsidR="00336CCE" w:rsidRPr="00F92AC3" w:rsidRDefault="00336CCE">
            <w:pPr>
              <w:keepNext/>
              <w:keepLines/>
              <w:rPr>
                <w:rFonts w:ascii="Arial Narrow" w:hAnsi="Arial Narrow"/>
                <w:sz w:val="20"/>
                <w:szCs w:val="20"/>
              </w:rPr>
            </w:pPr>
            <w:r w:rsidRPr="00F92AC3">
              <w:rPr>
                <w:rFonts w:ascii="Arial Narrow" w:hAnsi="Arial Narrow"/>
                <w:sz w:val="20"/>
                <w:szCs w:val="20"/>
              </w:rPr>
              <w:t xml:space="preserve">    Patients remaining at risk</w:t>
            </w:r>
          </w:p>
        </w:tc>
        <w:tc>
          <w:tcPr>
            <w:tcW w:w="1558" w:type="pct"/>
          </w:tcPr>
          <w:p w14:paraId="6CA7DD00" w14:textId="77777777" w:rsidR="00336CCE" w:rsidRPr="00F92AC3" w:rsidRDefault="00336CCE">
            <w:pPr>
              <w:keepNext/>
              <w:keepLines/>
              <w:jc w:val="center"/>
              <w:rPr>
                <w:rFonts w:ascii="Arial Narrow" w:hAnsi="Arial Narrow"/>
                <w:sz w:val="20"/>
                <w:szCs w:val="20"/>
              </w:rPr>
            </w:pPr>
            <w:r w:rsidRPr="00F92AC3">
              <w:rPr>
                <w:rFonts w:ascii="Arial Narrow" w:hAnsi="Arial Narrow"/>
                <w:sz w:val="20"/>
                <w:szCs w:val="20"/>
              </w:rPr>
              <w:t>N=81</w:t>
            </w:r>
          </w:p>
        </w:tc>
        <w:tc>
          <w:tcPr>
            <w:tcW w:w="1558" w:type="pct"/>
          </w:tcPr>
          <w:p w14:paraId="7ED64228" w14:textId="77777777" w:rsidR="00336CCE" w:rsidRPr="00F92AC3" w:rsidRDefault="00336CCE">
            <w:pPr>
              <w:keepNext/>
              <w:keepLines/>
              <w:jc w:val="center"/>
              <w:rPr>
                <w:rFonts w:ascii="Arial Narrow" w:hAnsi="Arial Narrow"/>
                <w:sz w:val="20"/>
                <w:szCs w:val="20"/>
              </w:rPr>
            </w:pPr>
            <w:r w:rsidRPr="00F92AC3">
              <w:rPr>
                <w:rFonts w:ascii="Arial Narrow" w:hAnsi="Arial Narrow"/>
                <w:sz w:val="20"/>
                <w:szCs w:val="20"/>
              </w:rPr>
              <w:t>N=69</w:t>
            </w:r>
          </w:p>
        </w:tc>
      </w:tr>
      <w:tr w:rsidR="00336CCE" w:rsidRPr="00F92AC3" w14:paraId="7F7EEA66" w14:textId="77777777">
        <w:tc>
          <w:tcPr>
            <w:tcW w:w="1884" w:type="pct"/>
            <w:tcBorders>
              <w:bottom w:val="single" w:sz="4" w:space="0" w:color="auto"/>
            </w:tcBorders>
          </w:tcPr>
          <w:p w14:paraId="441368ED" w14:textId="77777777" w:rsidR="00336CCE" w:rsidRPr="00F92AC3" w:rsidRDefault="00336CCE">
            <w:pPr>
              <w:keepNext/>
              <w:keepLines/>
              <w:rPr>
                <w:rFonts w:ascii="Arial Narrow" w:hAnsi="Arial Narrow"/>
                <w:sz w:val="20"/>
                <w:szCs w:val="20"/>
              </w:rPr>
            </w:pPr>
            <w:r w:rsidRPr="00F92AC3">
              <w:rPr>
                <w:rFonts w:ascii="Arial Narrow" w:hAnsi="Arial Narrow"/>
                <w:sz w:val="20"/>
                <w:szCs w:val="20"/>
              </w:rPr>
              <w:t xml:space="preserve">    Event free rate, % (95% CI)</w:t>
            </w:r>
          </w:p>
        </w:tc>
        <w:tc>
          <w:tcPr>
            <w:tcW w:w="1558" w:type="pct"/>
            <w:tcBorders>
              <w:bottom w:val="single" w:sz="4" w:space="0" w:color="auto"/>
            </w:tcBorders>
          </w:tcPr>
          <w:p w14:paraId="37AD2065" w14:textId="77777777" w:rsidR="00336CCE" w:rsidRPr="00F92AC3" w:rsidRDefault="00336CCE">
            <w:pPr>
              <w:keepNext/>
              <w:keepLines/>
              <w:jc w:val="center"/>
              <w:rPr>
                <w:rFonts w:ascii="Arial Narrow" w:hAnsi="Arial Narrow"/>
                <w:sz w:val="20"/>
                <w:szCs w:val="20"/>
              </w:rPr>
            </w:pPr>
            <w:r w:rsidRPr="00F92AC3">
              <w:rPr>
                <w:rFonts w:ascii="Arial Narrow" w:hAnsi="Arial Narrow"/>
                <w:sz w:val="20"/>
                <w:szCs w:val="20"/>
              </w:rPr>
              <w:t>56.25 (48.97, 63.53)</w:t>
            </w:r>
          </w:p>
        </w:tc>
        <w:tc>
          <w:tcPr>
            <w:tcW w:w="1558" w:type="pct"/>
            <w:tcBorders>
              <w:bottom w:val="single" w:sz="4" w:space="0" w:color="auto"/>
            </w:tcBorders>
          </w:tcPr>
          <w:p w14:paraId="07C0836F" w14:textId="77777777" w:rsidR="00336CCE" w:rsidRPr="00F92AC3" w:rsidRDefault="00336CCE">
            <w:pPr>
              <w:keepNext/>
              <w:keepLines/>
              <w:jc w:val="center"/>
              <w:rPr>
                <w:rFonts w:ascii="Arial Narrow" w:hAnsi="Arial Narrow"/>
                <w:sz w:val="20"/>
                <w:szCs w:val="20"/>
              </w:rPr>
            </w:pPr>
            <w:r w:rsidRPr="00F92AC3">
              <w:rPr>
                <w:rFonts w:ascii="Arial Narrow" w:hAnsi="Arial Narrow"/>
                <w:sz w:val="20"/>
                <w:szCs w:val="20"/>
              </w:rPr>
              <w:t>44.10 (37.00, 51.21)</w:t>
            </w:r>
          </w:p>
        </w:tc>
      </w:tr>
      <w:tr w:rsidR="00336CCE" w:rsidRPr="00F92AC3" w14:paraId="5C1ABCDB" w14:textId="77777777">
        <w:trPr>
          <w:trHeight w:val="193"/>
        </w:trPr>
        <w:tc>
          <w:tcPr>
            <w:tcW w:w="1884" w:type="pct"/>
            <w:tcBorders>
              <w:bottom w:val="double" w:sz="4" w:space="0" w:color="auto"/>
            </w:tcBorders>
          </w:tcPr>
          <w:p w14:paraId="42F34A48" w14:textId="77777777" w:rsidR="00336CCE" w:rsidRPr="00F92AC3" w:rsidRDefault="00336CCE">
            <w:pPr>
              <w:keepNext/>
              <w:keepLines/>
              <w:rPr>
                <w:rFonts w:ascii="Arial Narrow" w:hAnsi="Arial Narrow"/>
                <w:sz w:val="20"/>
                <w:szCs w:val="20"/>
              </w:rPr>
            </w:pPr>
            <w:r w:rsidRPr="00F92AC3">
              <w:rPr>
                <w:rFonts w:ascii="Arial Narrow" w:hAnsi="Arial Narrow"/>
                <w:sz w:val="20"/>
                <w:szCs w:val="20"/>
              </w:rPr>
              <w:t xml:space="preserve">    Difference in event free rate, % (95% CI)</w:t>
            </w:r>
          </w:p>
        </w:tc>
        <w:tc>
          <w:tcPr>
            <w:tcW w:w="3116" w:type="pct"/>
            <w:gridSpan w:val="2"/>
            <w:tcBorders>
              <w:bottom w:val="double" w:sz="4" w:space="0" w:color="auto"/>
            </w:tcBorders>
          </w:tcPr>
          <w:p w14:paraId="0A75967C" w14:textId="49953A38" w:rsidR="00336CCE" w:rsidRPr="00F92AC3" w:rsidRDefault="00336CCE">
            <w:pPr>
              <w:keepNext/>
              <w:keepLines/>
              <w:jc w:val="center"/>
              <w:rPr>
                <w:rFonts w:ascii="Arial Narrow" w:hAnsi="Arial Narrow"/>
                <w:b/>
                <w:bCs/>
                <w:sz w:val="20"/>
                <w:szCs w:val="20"/>
              </w:rPr>
            </w:pPr>
            <w:r w:rsidRPr="00F92AC3">
              <w:rPr>
                <w:rFonts w:ascii="Arial Narrow" w:hAnsi="Arial Narrow"/>
                <w:b/>
                <w:bCs/>
                <w:sz w:val="20"/>
                <w:szCs w:val="20"/>
              </w:rPr>
              <w:t>12.14 (1.97, 22.31)</w:t>
            </w:r>
          </w:p>
        </w:tc>
      </w:tr>
      <w:tr w:rsidR="00CC5474" w:rsidRPr="00F92AC3" w14:paraId="64C3C57E" w14:textId="77777777" w:rsidTr="00CC5474">
        <w:tc>
          <w:tcPr>
            <w:tcW w:w="5000" w:type="pct"/>
            <w:gridSpan w:val="3"/>
          </w:tcPr>
          <w:p w14:paraId="4CC9620F" w14:textId="1CE8D8AF" w:rsidR="00CC5474" w:rsidRPr="00F92AC3" w:rsidRDefault="00CC5474" w:rsidP="00CC5474">
            <w:pPr>
              <w:keepNext/>
              <w:keepLines/>
              <w:jc w:val="left"/>
              <w:rPr>
                <w:rFonts w:ascii="Arial Narrow" w:hAnsi="Arial Narrow"/>
                <w:sz w:val="20"/>
                <w:szCs w:val="20"/>
              </w:rPr>
            </w:pPr>
            <w:r w:rsidRPr="00F92AC3">
              <w:rPr>
                <w:rFonts w:ascii="Arial Narrow" w:hAnsi="Arial Narrow"/>
                <w:sz w:val="20"/>
                <w:szCs w:val="20"/>
              </w:rPr>
              <w:t xml:space="preserve">Time point analysis at 24 Months </w:t>
            </w:r>
          </w:p>
        </w:tc>
      </w:tr>
      <w:tr w:rsidR="00336CCE" w:rsidRPr="00F92AC3" w14:paraId="6A28E2C7" w14:textId="77777777">
        <w:tc>
          <w:tcPr>
            <w:tcW w:w="1884" w:type="pct"/>
          </w:tcPr>
          <w:p w14:paraId="457C7021" w14:textId="77777777" w:rsidR="00336CCE" w:rsidRPr="00F92AC3" w:rsidRDefault="00336CCE">
            <w:pPr>
              <w:keepNext/>
              <w:keepLines/>
              <w:rPr>
                <w:rFonts w:ascii="Arial Narrow" w:hAnsi="Arial Narrow"/>
                <w:sz w:val="20"/>
                <w:szCs w:val="20"/>
              </w:rPr>
            </w:pPr>
            <w:r w:rsidRPr="00F92AC3">
              <w:rPr>
                <w:rFonts w:ascii="Arial Narrow" w:hAnsi="Arial Narrow"/>
                <w:sz w:val="20"/>
                <w:szCs w:val="20"/>
              </w:rPr>
              <w:t xml:space="preserve">    Patients remaining at risk</w:t>
            </w:r>
          </w:p>
        </w:tc>
        <w:tc>
          <w:tcPr>
            <w:tcW w:w="1558" w:type="pct"/>
          </w:tcPr>
          <w:p w14:paraId="51E67768" w14:textId="77777777" w:rsidR="00336CCE" w:rsidRPr="00F92AC3" w:rsidRDefault="00336CCE">
            <w:pPr>
              <w:keepNext/>
              <w:keepLines/>
              <w:jc w:val="center"/>
              <w:rPr>
                <w:rFonts w:ascii="Arial Narrow" w:hAnsi="Arial Narrow"/>
                <w:sz w:val="20"/>
                <w:szCs w:val="20"/>
              </w:rPr>
            </w:pPr>
            <w:r w:rsidRPr="00F92AC3">
              <w:rPr>
                <w:rFonts w:ascii="Arial Narrow" w:hAnsi="Arial Narrow"/>
                <w:sz w:val="20"/>
                <w:szCs w:val="20"/>
              </w:rPr>
              <w:t>N=1</w:t>
            </w:r>
          </w:p>
        </w:tc>
        <w:tc>
          <w:tcPr>
            <w:tcW w:w="1558" w:type="pct"/>
          </w:tcPr>
          <w:p w14:paraId="117FAD52" w14:textId="77777777" w:rsidR="00336CCE" w:rsidRPr="00F92AC3" w:rsidRDefault="00336CCE">
            <w:pPr>
              <w:keepNext/>
              <w:keepLines/>
              <w:jc w:val="center"/>
              <w:rPr>
                <w:rFonts w:ascii="Arial Narrow" w:hAnsi="Arial Narrow"/>
                <w:sz w:val="20"/>
                <w:szCs w:val="20"/>
              </w:rPr>
            </w:pPr>
            <w:r w:rsidRPr="00F92AC3">
              <w:rPr>
                <w:rFonts w:ascii="Arial Narrow" w:hAnsi="Arial Narrow"/>
                <w:sz w:val="20"/>
                <w:szCs w:val="20"/>
              </w:rPr>
              <w:t>N=0</w:t>
            </w:r>
          </w:p>
        </w:tc>
      </w:tr>
      <w:tr w:rsidR="00336CCE" w:rsidRPr="00F92AC3" w14:paraId="574D16E9" w14:textId="77777777">
        <w:tc>
          <w:tcPr>
            <w:tcW w:w="1884" w:type="pct"/>
          </w:tcPr>
          <w:p w14:paraId="3D90CAC7" w14:textId="77777777" w:rsidR="00336CCE" w:rsidRPr="00F92AC3" w:rsidRDefault="00336CCE">
            <w:pPr>
              <w:keepNext/>
              <w:keepLines/>
              <w:rPr>
                <w:rFonts w:ascii="Arial Narrow" w:hAnsi="Arial Narrow"/>
                <w:sz w:val="20"/>
                <w:szCs w:val="20"/>
              </w:rPr>
            </w:pPr>
            <w:r w:rsidRPr="00F92AC3">
              <w:rPr>
                <w:rFonts w:ascii="Arial Narrow" w:hAnsi="Arial Narrow"/>
                <w:sz w:val="20"/>
                <w:szCs w:val="20"/>
              </w:rPr>
              <w:t xml:space="preserve">    Event free rate, % (95%, CI) </w:t>
            </w:r>
          </w:p>
        </w:tc>
        <w:tc>
          <w:tcPr>
            <w:tcW w:w="1558" w:type="pct"/>
          </w:tcPr>
          <w:p w14:paraId="76C01001" w14:textId="77777777" w:rsidR="00336CCE" w:rsidRPr="00F92AC3" w:rsidRDefault="00336CCE">
            <w:pPr>
              <w:keepNext/>
              <w:keepLines/>
              <w:jc w:val="center"/>
              <w:rPr>
                <w:rFonts w:ascii="Arial Narrow" w:hAnsi="Arial Narrow"/>
                <w:sz w:val="20"/>
                <w:szCs w:val="20"/>
              </w:rPr>
            </w:pPr>
            <w:r w:rsidRPr="00F92AC3">
              <w:rPr>
                <w:rFonts w:ascii="Arial Narrow" w:hAnsi="Arial Narrow"/>
                <w:sz w:val="20"/>
                <w:szCs w:val="20"/>
              </w:rPr>
              <w:t>28.32 (19.28, 37.36)</w:t>
            </w:r>
          </w:p>
        </w:tc>
        <w:tc>
          <w:tcPr>
            <w:tcW w:w="1558" w:type="pct"/>
          </w:tcPr>
          <w:p w14:paraId="4132DCCA" w14:textId="77777777" w:rsidR="00336CCE" w:rsidRPr="00F92AC3" w:rsidRDefault="00336CCE">
            <w:pPr>
              <w:keepNext/>
              <w:keepLines/>
              <w:jc w:val="center"/>
              <w:rPr>
                <w:rFonts w:ascii="Arial Narrow" w:hAnsi="Arial Narrow"/>
                <w:sz w:val="20"/>
                <w:szCs w:val="20"/>
              </w:rPr>
            </w:pPr>
            <w:r w:rsidRPr="00F92AC3">
              <w:rPr>
                <w:rFonts w:ascii="Arial Narrow" w:hAnsi="Arial Narrow"/>
                <w:sz w:val="20"/>
                <w:szCs w:val="20"/>
              </w:rPr>
              <w:t>NE</w:t>
            </w:r>
          </w:p>
        </w:tc>
      </w:tr>
      <w:tr w:rsidR="00336CCE" w:rsidRPr="00F92AC3" w14:paraId="29EEDB59" w14:textId="77777777">
        <w:tc>
          <w:tcPr>
            <w:tcW w:w="1884" w:type="pct"/>
          </w:tcPr>
          <w:p w14:paraId="4374C734" w14:textId="77777777" w:rsidR="00336CCE" w:rsidRPr="00F92AC3" w:rsidRDefault="00336CCE">
            <w:pPr>
              <w:keepNext/>
              <w:keepLines/>
              <w:rPr>
                <w:rFonts w:ascii="Arial Narrow" w:hAnsi="Arial Narrow"/>
                <w:sz w:val="20"/>
                <w:szCs w:val="20"/>
              </w:rPr>
            </w:pPr>
            <w:r w:rsidRPr="00F92AC3">
              <w:rPr>
                <w:rFonts w:ascii="Arial Narrow" w:hAnsi="Arial Narrow"/>
                <w:sz w:val="20"/>
                <w:szCs w:val="20"/>
              </w:rPr>
              <w:t xml:space="preserve">    Difference in event free rate, % (95%, CI)</w:t>
            </w:r>
          </w:p>
        </w:tc>
        <w:tc>
          <w:tcPr>
            <w:tcW w:w="3116" w:type="pct"/>
            <w:gridSpan w:val="2"/>
          </w:tcPr>
          <w:p w14:paraId="720AF892" w14:textId="77777777" w:rsidR="00336CCE" w:rsidRPr="00F92AC3" w:rsidRDefault="00336CCE">
            <w:pPr>
              <w:keepNext/>
              <w:keepLines/>
              <w:jc w:val="center"/>
              <w:rPr>
                <w:rFonts w:ascii="Arial Narrow" w:hAnsi="Arial Narrow"/>
                <w:sz w:val="20"/>
                <w:szCs w:val="20"/>
              </w:rPr>
            </w:pPr>
            <w:r w:rsidRPr="00F92AC3">
              <w:rPr>
                <w:rFonts w:ascii="Arial Narrow" w:hAnsi="Arial Narrow"/>
                <w:sz w:val="20"/>
                <w:szCs w:val="20"/>
              </w:rPr>
              <w:t>NE</w:t>
            </w:r>
          </w:p>
        </w:tc>
      </w:tr>
    </w:tbl>
    <w:p w14:paraId="4B61A4CC" w14:textId="77777777" w:rsidR="00336CCE" w:rsidRPr="00F92AC3" w:rsidRDefault="00336CCE" w:rsidP="00336CCE">
      <w:pPr>
        <w:pStyle w:val="COMTablefooter"/>
        <w:keepNext/>
        <w:keepLines/>
      </w:pPr>
      <w:r w:rsidRPr="00F92AC3">
        <w:t xml:space="preserve">Source: Table 38, p83 of the submission. </w:t>
      </w:r>
    </w:p>
    <w:p w14:paraId="7BFBFA2D" w14:textId="3049C3B7" w:rsidR="00336CCE" w:rsidRPr="00F92AC3" w:rsidRDefault="00336CCE" w:rsidP="00336CCE">
      <w:pPr>
        <w:pStyle w:val="COMTablefooter"/>
        <w:keepNext/>
        <w:keepLines/>
      </w:pPr>
      <w:r w:rsidRPr="00F92AC3">
        <w:t>Abbreviations: ATE, atezolizumab; CI, confidence interval;</w:t>
      </w:r>
      <w:r w:rsidR="00A65586">
        <w:t xml:space="preserve"> ECOG, E</w:t>
      </w:r>
      <w:r w:rsidR="00531280">
        <w:t>astern Cooperative Oncology Group;</w:t>
      </w:r>
      <w:r w:rsidRPr="00F92AC3">
        <w:t xml:space="preserve"> FAS, full analysis set; </w:t>
      </w:r>
      <w:r w:rsidR="00531280">
        <w:t>LDH, lactate dehydrogenase</w:t>
      </w:r>
      <w:r w:rsidR="00727EF2">
        <w:t xml:space="preserve">; </w:t>
      </w:r>
      <w:r w:rsidRPr="00F92AC3">
        <w:t>LUR, lurbinectedin; NE, not estimable; OS, overall survival</w:t>
      </w:r>
      <w:r w:rsidR="00727EF2">
        <w:t>;</w:t>
      </w:r>
      <w:r w:rsidR="00531280">
        <w:t xml:space="preserve"> </w:t>
      </w:r>
      <w:r w:rsidR="00727EF2">
        <w:t xml:space="preserve">PCI, </w:t>
      </w:r>
      <w:r w:rsidR="006E77B4">
        <w:t xml:space="preserve">prophylactic cranial irradiation; </w:t>
      </w:r>
      <w:r w:rsidR="00531280">
        <w:t>PS, performance status</w:t>
      </w:r>
      <w:r w:rsidR="00727EF2">
        <w:t>; ULN, upper limit of normal</w:t>
      </w:r>
      <w:r w:rsidRPr="00F92AC3">
        <w:t>.</w:t>
      </w:r>
    </w:p>
    <w:p w14:paraId="0CB988E9" w14:textId="77777777" w:rsidR="00336CCE" w:rsidRDefault="00336CCE" w:rsidP="00336CCE">
      <w:pPr>
        <w:pStyle w:val="COMTablefooter"/>
        <w:keepNext/>
        <w:keepLines/>
      </w:pPr>
      <w:r w:rsidRPr="00F92AC3">
        <w:t>Note: Statistically significant results in bold.</w:t>
      </w:r>
    </w:p>
    <w:p w14:paraId="3BDE5122" w14:textId="2BB72591" w:rsidR="003E252D" w:rsidRPr="00F92AC3" w:rsidRDefault="003E252D" w:rsidP="00336CCE">
      <w:pPr>
        <w:pStyle w:val="COMTablefooter"/>
        <w:keepNext/>
        <w:keepLines/>
      </w:pPr>
      <w:r>
        <w:t xml:space="preserve">a Stratification </w:t>
      </w:r>
      <w:r w:rsidR="008F653D">
        <w:t>factors are ECOG PS at randomisation (0 vs 1, LDH at randomisation (≤</w:t>
      </w:r>
      <w:r w:rsidR="00985F42">
        <w:t xml:space="preserve"> ULN vs &gt; ULN) via laboratory test, presence of liver metastases at enrolment (yes vs no), prior receipt of PCI (yes vs no)</w:t>
      </w:r>
    </w:p>
    <w:p w14:paraId="53504CAA" w14:textId="161BB1BE" w:rsidR="00336CCE" w:rsidRPr="00F92AC3" w:rsidRDefault="00382A31" w:rsidP="00764253">
      <w:pPr>
        <w:pStyle w:val="COMTableFigurecaption"/>
      </w:pPr>
      <w:bookmarkStart w:id="22" w:name="_Ref208229727"/>
      <w:r w:rsidRPr="00F92AC3">
        <w:t xml:space="preserve">Figure </w:t>
      </w:r>
      <w:r w:rsidR="006163FE">
        <w:fldChar w:fldCharType="begin"/>
      </w:r>
      <w:r w:rsidR="006163FE">
        <w:instrText xml:space="preserve"> SEQ Figure \* ARABIC </w:instrText>
      </w:r>
      <w:r w:rsidR="006163FE">
        <w:fldChar w:fldCharType="separate"/>
      </w:r>
      <w:r w:rsidR="00CC5A50">
        <w:rPr>
          <w:noProof/>
        </w:rPr>
        <w:t>1</w:t>
      </w:r>
      <w:r w:rsidR="006163FE">
        <w:rPr>
          <w:noProof/>
        </w:rPr>
        <w:fldChar w:fldCharType="end"/>
      </w:r>
      <w:bookmarkEnd w:id="22"/>
      <w:r w:rsidR="00336CCE" w:rsidRPr="00F92AC3">
        <w:t>: Kaplan Meier plot of interim overall survival in the IMforte trial maintenance phase (FAS)</w:t>
      </w:r>
    </w:p>
    <w:p w14:paraId="4A99FE6F" w14:textId="77777777" w:rsidR="00336CCE" w:rsidRPr="00F92AC3" w:rsidRDefault="00336CCE" w:rsidP="00336CCE">
      <w:pPr>
        <w:rPr>
          <w:color w:val="3366FF"/>
        </w:rPr>
      </w:pPr>
      <w:r w:rsidRPr="00F92AC3">
        <w:rPr>
          <w:noProof/>
        </w:rPr>
        <w:drawing>
          <wp:inline distT="0" distB="0" distL="0" distR="0" wp14:anchorId="427F79BD" wp14:editId="7C75778F">
            <wp:extent cx="5731510" cy="3118485"/>
            <wp:effectExtent l="0" t="0" r="2540" b="5715"/>
            <wp:docPr id="79702599" name="Picture 1" descr="Figure 1: Kaplan Meier plot of interim overall survival in the IMforte trial maintenance phase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2599" name="Picture 1" descr="Figure 1: Kaplan Meier plot of interim overall survival in the IMforte trial maintenance phase (FAS)"/>
                    <pic:cNvPicPr/>
                  </pic:nvPicPr>
                  <pic:blipFill>
                    <a:blip r:embed="rId11"/>
                    <a:stretch>
                      <a:fillRect/>
                    </a:stretch>
                  </pic:blipFill>
                  <pic:spPr>
                    <a:xfrm>
                      <a:off x="0" y="0"/>
                      <a:ext cx="5731510" cy="3118485"/>
                    </a:xfrm>
                    <a:prstGeom prst="rect">
                      <a:avLst/>
                    </a:prstGeom>
                  </pic:spPr>
                </pic:pic>
              </a:graphicData>
            </a:graphic>
          </wp:inline>
        </w:drawing>
      </w:r>
    </w:p>
    <w:p w14:paraId="10C2B8A7" w14:textId="77777777" w:rsidR="00336CCE" w:rsidRPr="00F92AC3" w:rsidRDefault="00336CCE" w:rsidP="00336CCE">
      <w:pPr>
        <w:pStyle w:val="COMTablefooter"/>
      </w:pPr>
      <w:r w:rsidRPr="00F92AC3">
        <w:t>Source</w:t>
      </w:r>
      <w:r w:rsidRPr="00893517">
        <w:t>: Figure 7, p84 of the submission.</w:t>
      </w:r>
    </w:p>
    <w:p w14:paraId="71B3045A" w14:textId="48303940" w:rsidR="00336CCE" w:rsidRPr="00F92AC3" w:rsidRDefault="00336CCE" w:rsidP="00565BE9">
      <w:pPr>
        <w:pStyle w:val="COMTablefooter"/>
      </w:pPr>
      <w:r w:rsidRPr="00F92AC3">
        <w:t>Abbreviations: CI, confidence interval; FAS, full analysis set; HR, hazard ratio; OS, overall survival.</w:t>
      </w:r>
    </w:p>
    <w:p w14:paraId="6529ABF5" w14:textId="20B681DD" w:rsidR="00DF6341" w:rsidRPr="00F92AC3" w:rsidRDefault="00565BE9" w:rsidP="006E22D6">
      <w:pPr>
        <w:pStyle w:val="COMESnumberedpara"/>
        <w:keepLines/>
        <w:rPr>
          <w:color w:val="0066FF"/>
        </w:rPr>
      </w:pPr>
      <w:r w:rsidRPr="00F92AC3">
        <w:t xml:space="preserve">Based on a median follow-up of 14.78 months in the lurbinectedin plus atezolizumab arm and 15.18 months in the atezolizumab arm, patients in the lurbinectedin plus atezolizumab arm demonstrated statistically significantly longer median overall survival (13.24 months) compared to the atezolizumab arm (10.64 months; stratified HR </w:t>
      </w:r>
      <w:r w:rsidR="00893517">
        <w:t xml:space="preserve">= </w:t>
      </w:r>
      <w:r w:rsidRPr="00F92AC3">
        <w:t>0.73; 95% CI: 0.57</w:t>
      </w:r>
      <w:r w:rsidRPr="00F92AC3">
        <w:rPr>
          <w:rFonts w:cs="Calibri"/>
        </w:rPr>
        <w:t>, 0.95</w:t>
      </w:r>
      <w:r w:rsidRPr="00F92AC3">
        <w:t xml:space="preserve">). Results based on the unstratified analysis were consistent with the stratified analysis (HR </w:t>
      </w:r>
      <w:r w:rsidR="00893517">
        <w:t xml:space="preserve">= </w:t>
      </w:r>
      <w:r w:rsidRPr="00F92AC3">
        <w:t>0.74; 95% CI: 0.58, 0.96).</w:t>
      </w:r>
    </w:p>
    <w:p w14:paraId="1ED4206C" w14:textId="1731858C" w:rsidR="00636729" w:rsidRPr="00F92AC3" w:rsidRDefault="00631EC8" w:rsidP="00EC5836">
      <w:pPr>
        <w:pStyle w:val="COMESnumberedpara"/>
        <w:rPr>
          <w:color w:val="0066FF"/>
        </w:rPr>
      </w:pPr>
      <w:r w:rsidRPr="00F92AC3">
        <w:fldChar w:fldCharType="begin"/>
      </w:r>
      <w:r w:rsidRPr="00F92AC3">
        <w:instrText xml:space="preserve"> REF _Ref208229891 \h </w:instrText>
      </w:r>
      <w:r w:rsidRPr="00F92AC3">
        <w:fldChar w:fldCharType="separate"/>
      </w:r>
      <w:r w:rsidR="00CC5A50" w:rsidRPr="00F92AC3">
        <w:t xml:space="preserve">Table </w:t>
      </w:r>
      <w:r w:rsidR="00CC5A50">
        <w:rPr>
          <w:noProof/>
        </w:rPr>
        <w:t>5</w:t>
      </w:r>
      <w:r w:rsidRPr="00F92AC3">
        <w:fldChar w:fldCharType="end"/>
      </w:r>
      <w:r w:rsidR="00636729" w:rsidRPr="00F92AC3">
        <w:t xml:space="preserve"> and </w:t>
      </w:r>
      <w:r w:rsidR="00F67CB3" w:rsidRPr="00F92AC3">
        <w:fldChar w:fldCharType="begin"/>
      </w:r>
      <w:r w:rsidR="00F67CB3" w:rsidRPr="00F92AC3">
        <w:instrText xml:space="preserve"> REF _Ref208229910 \h </w:instrText>
      </w:r>
      <w:r w:rsidR="00F67CB3" w:rsidRPr="00F92AC3">
        <w:fldChar w:fldCharType="separate"/>
      </w:r>
      <w:r w:rsidR="00CC5A50" w:rsidRPr="00F92AC3">
        <w:t xml:space="preserve">Figure </w:t>
      </w:r>
      <w:r w:rsidR="00CC5A50">
        <w:rPr>
          <w:noProof/>
        </w:rPr>
        <w:t>2</w:t>
      </w:r>
      <w:r w:rsidR="00F67CB3" w:rsidRPr="00F92AC3">
        <w:fldChar w:fldCharType="end"/>
      </w:r>
      <w:r w:rsidR="00636729" w:rsidRPr="00F92AC3">
        <w:t xml:space="preserve"> summarise the results for the IMforte maintenance phase analysis </w:t>
      </w:r>
      <w:r w:rsidR="00F209EE" w:rsidRPr="00F92AC3">
        <w:t xml:space="preserve">for the primary outcome of </w:t>
      </w:r>
      <w:r w:rsidR="00AD27D9" w:rsidRPr="00F92AC3">
        <w:t>independent review facility (</w:t>
      </w:r>
      <w:r w:rsidR="00636729" w:rsidRPr="00F92AC3">
        <w:t>IRF</w:t>
      </w:r>
      <w:r w:rsidR="00AD27D9" w:rsidRPr="00F92AC3">
        <w:t>)</w:t>
      </w:r>
      <w:r w:rsidR="00636729" w:rsidRPr="00F92AC3">
        <w:t xml:space="preserve"> assessed progression free survival, and event rates at 6 and 12 months.</w:t>
      </w:r>
    </w:p>
    <w:p w14:paraId="5ED939AF" w14:textId="6C73EDF6" w:rsidR="00636729" w:rsidRPr="00F92AC3" w:rsidRDefault="00631EC8" w:rsidP="00636729">
      <w:pPr>
        <w:pStyle w:val="COMTableFigurecaption"/>
        <w:keepNext w:val="0"/>
      </w:pPr>
      <w:bookmarkStart w:id="23" w:name="_Ref208229891"/>
      <w:bookmarkStart w:id="24" w:name="_Hlk208230508"/>
      <w:r w:rsidRPr="00F92AC3">
        <w:t xml:space="preserve">Table </w:t>
      </w:r>
      <w:r w:rsidR="00FF30BC">
        <w:fldChar w:fldCharType="begin"/>
      </w:r>
      <w:r w:rsidR="00FF30BC">
        <w:instrText xml:space="preserve"> SEQ Table \* ARABIC </w:instrText>
      </w:r>
      <w:r w:rsidR="00FF30BC">
        <w:fldChar w:fldCharType="separate"/>
      </w:r>
      <w:r w:rsidR="00CC5A50">
        <w:rPr>
          <w:noProof/>
        </w:rPr>
        <w:t>5</w:t>
      </w:r>
      <w:r w:rsidR="00FF30BC">
        <w:rPr>
          <w:noProof/>
        </w:rPr>
        <w:fldChar w:fldCharType="end"/>
      </w:r>
      <w:bookmarkEnd w:id="23"/>
      <w:r w:rsidR="00636729" w:rsidRPr="00F92AC3">
        <w:t>:</w:t>
      </w:r>
      <w:bookmarkEnd w:id="24"/>
      <w:r w:rsidR="00636729" w:rsidRPr="00F92AC3">
        <w:t xml:space="preserve"> Time to PFS in the IMforte trial maintenance phase (FAS)</w:t>
      </w:r>
    </w:p>
    <w:tbl>
      <w:tblPr>
        <w:tblStyle w:val="TableGrid"/>
        <w:tblW w:w="5000" w:type="pct"/>
        <w:tblCellMar>
          <w:left w:w="57" w:type="dxa"/>
          <w:right w:w="57" w:type="dxa"/>
        </w:tblCellMar>
        <w:tblLook w:val="04A0" w:firstRow="1" w:lastRow="0" w:firstColumn="1" w:lastColumn="0" w:noHBand="0" w:noVBand="1"/>
        <w:tblCaption w:val="Table 5: Time to PFS in the IMforte trial maintenance phase (FAS)"/>
      </w:tblPr>
      <w:tblGrid>
        <w:gridCol w:w="3411"/>
        <w:gridCol w:w="2802"/>
        <w:gridCol w:w="2804"/>
      </w:tblGrid>
      <w:tr w:rsidR="00636729" w:rsidRPr="00F92AC3" w14:paraId="405D84B5" w14:textId="77777777">
        <w:trPr>
          <w:tblHeader/>
        </w:trPr>
        <w:tc>
          <w:tcPr>
            <w:tcW w:w="1891" w:type="pct"/>
          </w:tcPr>
          <w:p w14:paraId="4E86E3FC" w14:textId="77777777" w:rsidR="00636729" w:rsidRPr="00F92AC3" w:rsidRDefault="00636729">
            <w:pPr>
              <w:pStyle w:val="In-tableHeading"/>
              <w:keepNext w:val="0"/>
              <w:jc w:val="center"/>
              <w:rPr>
                <w:lang w:val="en-AU"/>
              </w:rPr>
            </w:pPr>
          </w:p>
        </w:tc>
        <w:tc>
          <w:tcPr>
            <w:tcW w:w="1554" w:type="pct"/>
          </w:tcPr>
          <w:p w14:paraId="27E52C97" w14:textId="77777777" w:rsidR="00636729" w:rsidRPr="00F92AC3" w:rsidRDefault="00636729">
            <w:pPr>
              <w:pStyle w:val="In-tableHeading"/>
              <w:keepNext w:val="0"/>
              <w:jc w:val="center"/>
              <w:rPr>
                <w:lang w:val="en-AU"/>
              </w:rPr>
            </w:pPr>
            <w:r w:rsidRPr="00F92AC3">
              <w:rPr>
                <w:lang w:val="en-AU"/>
              </w:rPr>
              <w:t>LUR+ATE</w:t>
            </w:r>
          </w:p>
          <w:p w14:paraId="1DEC61DE" w14:textId="77777777" w:rsidR="00636729" w:rsidRPr="00F92AC3" w:rsidRDefault="00636729">
            <w:pPr>
              <w:pStyle w:val="In-tableHeading"/>
              <w:keepNext w:val="0"/>
              <w:jc w:val="center"/>
              <w:rPr>
                <w:lang w:val="en-AU"/>
              </w:rPr>
            </w:pPr>
            <w:r w:rsidRPr="00F92AC3">
              <w:rPr>
                <w:lang w:val="en-AU"/>
              </w:rPr>
              <w:t>N=242</w:t>
            </w:r>
          </w:p>
        </w:tc>
        <w:tc>
          <w:tcPr>
            <w:tcW w:w="1555" w:type="pct"/>
          </w:tcPr>
          <w:p w14:paraId="1073404B" w14:textId="77777777" w:rsidR="00636729" w:rsidRPr="00F92AC3" w:rsidRDefault="00636729">
            <w:pPr>
              <w:pStyle w:val="In-tableHeading"/>
              <w:keepNext w:val="0"/>
              <w:jc w:val="center"/>
              <w:rPr>
                <w:lang w:val="en-AU"/>
              </w:rPr>
            </w:pPr>
            <w:r w:rsidRPr="00F92AC3">
              <w:rPr>
                <w:lang w:val="en-AU"/>
              </w:rPr>
              <w:t>ATE</w:t>
            </w:r>
          </w:p>
          <w:p w14:paraId="30762B07" w14:textId="77777777" w:rsidR="00636729" w:rsidRPr="00F92AC3" w:rsidRDefault="00636729">
            <w:pPr>
              <w:pStyle w:val="In-tableHeading"/>
              <w:keepNext w:val="0"/>
              <w:jc w:val="center"/>
              <w:rPr>
                <w:lang w:val="en-AU"/>
              </w:rPr>
            </w:pPr>
            <w:r w:rsidRPr="00F92AC3">
              <w:rPr>
                <w:lang w:val="en-AU"/>
              </w:rPr>
              <w:t>N=241</w:t>
            </w:r>
          </w:p>
        </w:tc>
      </w:tr>
      <w:tr w:rsidR="00636729" w:rsidRPr="00F92AC3" w14:paraId="1EF10F76" w14:textId="77777777">
        <w:tc>
          <w:tcPr>
            <w:tcW w:w="1891" w:type="pct"/>
          </w:tcPr>
          <w:p w14:paraId="5EB8F370" w14:textId="77777777" w:rsidR="00636729" w:rsidRPr="00F92AC3" w:rsidRDefault="00636729">
            <w:pPr>
              <w:rPr>
                <w:rFonts w:ascii="Arial Narrow" w:hAnsi="Arial Narrow"/>
                <w:sz w:val="20"/>
                <w:szCs w:val="20"/>
              </w:rPr>
            </w:pPr>
            <w:r w:rsidRPr="00F92AC3">
              <w:rPr>
                <w:rFonts w:ascii="Arial Narrow" w:hAnsi="Arial Narrow"/>
                <w:sz w:val="20"/>
                <w:szCs w:val="20"/>
              </w:rPr>
              <w:t>Median follow-up, months (range)</w:t>
            </w:r>
          </w:p>
        </w:tc>
        <w:tc>
          <w:tcPr>
            <w:tcW w:w="1554" w:type="pct"/>
          </w:tcPr>
          <w:p w14:paraId="785FE7CD"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14.78 (0.2-26.1)</w:t>
            </w:r>
          </w:p>
        </w:tc>
        <w:tc>
          <w:tcPr>
            <w:tcW w:w="1555" w:type="pct"/>
          </w:tcPr>
          <w:p w14:paraId="124C94B1"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15.18 (0.6-23.7)</w:t>
            </w:r>
          </w:p>
        </w:tc>
      </w:tr>
      <w:tr w:rsidR="00636729" w:rsidRPr="00F92AC3" w14:paraId="39D51A3F" w14:textId="77777777">
        <w:tc>
          <w:tcPr>
            <w:tcW w:w="1891" w:type="pct"/>
          </w:tcPr>
          <w:p w14:paraId="20EAEE72" w14:textId="77777777" w:rsidR="00636729" w:rsidRPr="00F92AC3" w:rsidRDefault="00636729">
            <w:pPr>
              <w:rPr>
                <w:rFonts w:ascii="Arial Narrow" w:hAnsi="Arial Narrow"/>
                <w:sz w:val="20"/>
                <w:szCs w:val="20"/>
              </w:rPr>
            </w:pPr>
            <w:r w:rsidRPr="00F92AC3">
              <w:rPr>
                <w:rFonts w:ascii="Arial Narrow" w:hAnsi="Arial Narrow"/>
                <w:sz w:val="20"/>
                <w:szCs w:val="20"/>
              </w:rPr>
              <w:t xml:space="preserve">PFS events, n (%) </w:t>
            </w:r>
          </w:p>
        </w:tc>
        <w:tc>
          <w:tcPr>
            <w:tcW w:w="1554" w:type="pct"/>
          </w:tcPr>
          <w:p w14:paraId="6FCA5750"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174 (71.9%)</w:t>
            </w:r>
          </w:p>
        </w:tc>
        <w:tc>
          <w:tcPr>
            <w:tcW w:w="1555" w:type="pct"/>
          </w:tcPr>
          <w:p w14:paraId="40849857"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202 (83.8%)</w:t>
            </w:r>
          </w:p>
        </w:tc>
      </w:tr>
      <w:tr w:rsidR="00636729" w:rsidRPr="00F92AC3" w14:paraId="028D1EDE" w14:textId="77777777">
        <w:tc>
          <w:tcPr>
            <w:tcW w:w="1891" w:type="pct"/>
          </w:tcPr>
          <w:p w14:paraId="3F5CB828" w14:textId="77777777" w:rsidR="00636729" w:rsidRPr="00F92AC3" w:rsidRDefault="00636729">
            <w:pPr>
              <w:rPr>
                <w:rFonts w:ascii="Arial Narrow" w:hAnsi="Arial Narrow"/>
                <w:sz w:val="20"/>
                <w:szCs w:val="20"/>
              </w:rPr>
            </w:pPr>
            <w:r w:rsidRPr="00F92AC3">
              <w:rPr>
                <w:rFonts w:ascii="Arial Narrow" w:hAnsi="Arial Narrow"/>
                <w:sz w:val="20"/>
                <w:szCs w:val="20"/>
              </w:rPr>
              <w:t xml:space="preserve">    Death </w:t>
            </w:r>
          </w:p>
        </w:tc>
        <w:tc>
          <w:tcPr>
            <w:tcW w:w="1554" w:type="pct"/>
          </w:tcPr>
          <w:p w14:paraId="6311A521"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31 (12.8%)</w:t>
            </w:r>
          </w:p>
        </w:tc>
        <w:tc>
          <w:tcPr>
            <w:tcW w:w="1555" w:type="pct"/>
          </w:tcPr>
          <w:p w14:paraId="36F8D195"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19 (7.9%)</w:t>
            </w:r>
          </w:p>
        </w:tc>
      </w:tr>
      <w:tr w:rsidR="00636729" w:rsidRPr="00F92AC3" w14:paraId="727F52A6" w14:textId="77777777">
        <w:tc>
          <w:tcPr>
            <w:tcW w:w="1891" w:type="pct"/>
          </w:tcPr>
          <w:p w14:paraId="7AE5E70A" w14:textId="77777777" w:rsidR="00636729" w:rsidRPr="00F92AC3" w:rsidRDefault="00636729">
            <w:pPr>
              <w:rPr>
                <w:rFonts w:ascii="Arial Narrow" w:hAnsi="Arial Narrow"/>
                <w:sz w:val="20"/>
                <w:szCs w:val="20"/>
              </w:rPr>
            </w:pPr>
            <w:r w:rsidRPr="00F92AC3">
              <w:rPr>
                <w:rFonts w:ascii="Arial Narrow" w:hAnsi="Arial Narrow"/>
                <w:sz w:val="20"/>
                <w:szCs w:val="20"/>
              </w:rPr>
              <w:t xml:space="preserve">    Disease Progression </w:t>
            </w:r>
          </w:p>
        </w:tc>
        <w:tc>
          <w:tcPr>
            <w:tcW w:w="1554" w:type="pct"/>
          </w:tcPr>
          <w:p w14:paraId="60DD53E8"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143 (59.1%)</w:t>
            </w:r>
          </w:p>
        </w:tc>
        <w:tc>
          <w:tcPr>
            <w:tcW w:w="1555" w:type="pct"/>
          </w:tcPr>
          <w:p w14:paraId="25E8E3FE"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183 (75.9%)</w:t>
            </w:r>
          </w:p>
        </w:tc>
      </w:tr>
      <w:tr w:rsidR="00636729" w:rsidRPr="00F92AC3" w14:paraId="33894E0D" w14:textId="77777777">
        <w:tc>
          <w:tcPr>
            <w:tcW w:w="1891" w:type="pct"/>
          </w:tcPr>
          <w:p w14:paraId="1992A02B" w14:textId="77777777" w:rsidR="00636729" w:rsidRPr="00F92AC3" w:rsidRDefault="00636729">
            <w:pPr>
              <w:rPr>
                <w:rFonts w:ascii="Arial Narrow" w:hAnsi="Arial Narrow"/>
                <w:sz w:val="20"/>
                <w:szCs w:val="20"/>
              </w:rPr>
            </w:pPr>
            <w:r w:rsidRPr="00F92AC3">
              <w:rPr>
                <w:rFonts w:ascii="Arial Narrow" w:hAnsi="Arial Narrow"/>
                <w:sz w:val="20"/>
                <w:szCs w:val="20"/>
              </w:rPr>
              <w:t>Median PFS, months (95% CI)</w:t>
            </w:r>
          </w:p>
        </w:tc>
        <w:tc>
          <w:tcPr>
            <w:tcW w:w="1554" w:type="pct"/>
          </w:tcPr>
          <w:p w14:paraId="291760D2"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5.36 (4.24, 5.75)</w:t>
            </w:r>
          </w:p>
        </w:tc>
        <w:tc>
          <w:tcPr>
            <w:tcW w:w="1555" w:type="pct"/>
          </w:tcPr>
          <w:p w14:paraId="00EA31E8"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2.14 (1.64, 2.73)</w:t>
            </w:r>
          </w:p>
        </w:tc>
      </w:tr>
      <w:tr w:rsidR="00636729" w:rsidRPr="00F92AC3" w14:paraId="742938B7" w14:textId="77777777">
        <w:tc>
          <w:tcPr>
            <w:tcW w:w="1891" w:type="pct"/>
            <w:tcBorders>
              <w:bottom w:val="single" w:sz="4" w:space="0" w:color="auto"/>
            </w:tcBorders>
          </w:tcPr>
          <w:p w14:paraId="3584081D" w14:textId="10A33128" w:rsidR="00636729" w:rsidRPr="00F92AC3" w:rsidRDefault="00636729">
            <w:pPr>
              <w:rPr>
                <w:rFonts w:ascii="Arial Narrow" w:hAnsi="Arial Narrow"/>
                <w:sz w:val="20"/>
                <w:szCs w:val="20"/>
                <w:vertAlign w:val="superscript"/>
              </w:rPr>
            </w:pPr>
            <w:r w:rsidRPr="00F92AC3">
              <w:rPr>
                <w:rFonts w:ascii="Arial Narrow" w:hAnsi="Arial Narrow"/>
                <w:sz w:val="20"/>
                <w:szCs w:val="20"/>
              </w:rPr>
              <w:t xml:space="preserve">Hazard ratio (95% CI) </w:t>
            </w:r>
            <w:proofErr w:type="spellStart"/>
            <w:r w:rsidRPr="00F92AC3">
              <w:rPr>
                <w:rFonts w:ascii="Arial Narrow" w:hAnsi="Arial Narrow"/>
                <w:sz w:val="20"/>
                <w:szCs w:val="20"/>
              </w:rPr>
              <w:t>stratified</w:t>
            </w:r>
            <w:r w:rsidR="00432D93" w:rsidRPr="00432D93">
              <w:rPr>
                <w:rFonts w:ascii="Arial Narrow" w:hAnsi="Arial Narrow"/>
                <w:sz w:val="20"/>
                <w:szCs w:val="20"/>
                <w:vertAlign w:val="superscript"/>
              </w:rPr>
              <w:t>a</w:t>
            </w:r>
            <w:proofErr w:type="spellEnd"/>
          </w:p>
        </w:tc>
        <w:tc>
          <w:tcPr>
            <w:tcW w:w="3109" w:type="pct"/>
            <w:gridSpan w:val="2"/>
            <w:tcBorders>
              <w:bottom w:val="single" w:sz="4" w:space="0" w:color="auto"/>
            </w:tcBorders>
          </w:tcPr>
          <w:p w14:paraId="25381924" w14:textId="77777777" w:rsidR="00636729" w:rsidRPr="00F92AC3" w:rsidRDefault="00636729">
            <w:pPr>
              <w:jc w:val="center"/>
              <w:rPr>
                <w:rFonts w:ascii="Arial Narrow" w:hAnsi="Arial Narrow"/>
                <w:b/>
                <w:bCs/>
                <w:sz w:val="20"/>
                <w:szCs w:val="20"/>
              </w:rPr>
            </w:pPr>
            <w:r w:rsidRPr="00F92AC3">
              <w:rPr>
                <w:rFonts w:ascii="Arial Narrow" w:hAnsi="Arial Narrow"/>
                <w:b/>
                <w:bCs/>
                <w:sz w:val="20"/>
                <w:szCs w:val="20"/>
              </w:rPr>
              <w:t>0.54 (0.43, 0.67)</w:t>
            </w:r>
          </w:p>
        </w:tc>
      </w:tr>
      <w:tr w:rsidR="003522DF" w:rsidRPr="00F92AC3" w14:paraId="19ED455F" w14:textId="77777777" w:rsidTr="003522DF">
        <w:tc>
          <w:tcPr>
            <w:tcW w:w="5000" w:type="pct"/>
            <w:gridSpan w:val="3"/>
            <w:tcBorders>
              <w:top w:val="double" w:sz="4" w:space="0" w:color="auto"/>
              <w:bottom w:val="single" w:sz="4" w:space="0" w:color="auto"/>
            </w:tcBorders>
          </w:tcPr>
          <w:p w14:paraId="66099D88" w14:textId="376CBA35" w:rsidR="003522DF" w:rsidRPr="00F92AC3" w:rsidRDefault="003522DF" w:rsidP="003522DF">
            <w:pPr>
              <w:jc w:val="left"/>
              <w:rPr>
                <w:rFonts w:ascii="Arial Narrow" w:hAnsi="Arial Narrow"/>
                <w:sz w:val="20"/>
                <w:szCs w:val="20"/>
              </w:rPr>
            </w:pPr>
            <w:r w:rsidRPr="00F92AC3">
              <w:rPr>
                <w:rFonts w:ascii="Arial Narrow" w:hAnsi="Arial Narrow"/>
                <w:sz w:val="20"/>
                <w:szCs w:val="20"/>
              </w:rPr>
              <w:t xml:space="preserve">Time point analysis at 6 months </w:t>
            </w:r>
          </w:p>
        </w:tc>
      </w:tr>
      <w:tr w:rsidR="00636729" w:rsidRPr="00F92AC3" w14:paraId="344AFDBE" w14:textId="77777777">
        <w:tc>
          <w:tcPr>
            <w:tcW w:w="1891" w:type="pct"/>
            <w:tcBorders>
              <w:top w:val="single" w:sz="4" w:space="0" w:color="auto"/>
            </w:tcBorders>
          </w:tcPr>
          <w:p w14:paraId="3E8B149E" w14:textId="77777777" w:rsidR="00636729" w:rsidRPr="00F92AC3" w:rsidRDefault="00636729">
            <w:pPr>
              <w:rPr>
                <w:rFonts w:ascii="Arial Narrow" w:hAnsi="Arial Narrow"/>
                <w:sz w:val="20"/>
                <w:szCs w:val="20"/>
              </w:rPr>
            </w:pPr>
            <w:r w:rsidRPr="00F92AC3">
              <w:rPr>
                <w:rFonts w:ascii="Arial Narrow" w:hAnsi="Arial Narrow"/>
                <w:sz w:val="20"/>
                <w:szCs w:val="20"/>
              </w:rPr>
              <w:t xml:space="preserve">    Patients remaining at risk</w:t>
            </w:r>
          </w:p>
        </w:tc>
        <w:tc>
          <w:tcPr>
            <w:tcW w:w="1554" w:type="pct"/>
            <w:tcBorders>
              <w:top w:val="single" w:sz="4" w:space="0" w:color="auto"/>
            </w:tcBorders>
          </w:tcPr>
          <w:p w14:paraId="78A2D9B2"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N=76</w:t>
            </w:r>
          </w:p>
        </w:tc>
        <w:tc>
          <w:tcPr>
            <w:tcW w:w="1555" w:type="pct"/>
            <w:tcBorders>
              <w:top w:val="single" w:sz="4" w:space="0" w:color="auto"/>
            </w:tcBorders>
          </w:tcPr>
          <w:p w14:paraId="1A867BE0"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N=34</w:t>
            </w:r>
          </w:p>
        </w:tc>
      </w:tr>
      <w:tr w:rsidR="00636729" w:rsidRPr="00F92AC3" w14:paraId="3CD12662" w14:textId="77777777">
        <w:tc>
          <w:tcPr>
            <w:tcW w:w="1891" w:type="pct"/>
            <w:tcBorders>
              <w:bottom w:val="single" w:sz="4" w:space="0" w:color="auto"/>
            </w:tcBorders>
          </w:tcPr>
          <w:p w14:paraId="3BF532CC" w14:textId="77777777" w:rsidR="00636729" w:rsidRPr="00F92AC3" w:rsidRDefault="00636729">
            <w:pPr>
              <w:rPr>
                <w:rFonts w:ascii="Arial Narrow" w:hAnsi="Arial Narrow"/>
                <w:sz w:val="20"/>
                <w:szCs w:val="20"/>
              </w:rPr>
            </w:pPr>
            <w:r w:rsidRPr="00F92AC3">
              <w:rPr>
                <w:rFonts w:ascii="Arial Narrow" w:hAnsi="Arial Narrow"/>
                <w:sz w:val="20"/>
                <w:szCs w:val="20"/>
              </w:rPr>
              <w:t xml:space="preserve">    Event free rate, % (95% CI)</w:t>
            </w:r>
          </w:p>
        </w:tc>
        <w:tc>
          <w:tcPr>
            <w:tcW w:w="1554" w:type="pct"/>
            <w:tcBorders>
              <w:bottom w:val="single" w:sz="4" w:space="0" w:color="auto"/>
            </w:tcBorders>
          </w:tcPr>
          <w:p w14:paraId="48AA8E9B"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41.22 (34.58, 47.86)</w:t>
            </w:r>
          </w:p>
        </w:tc>
        <w:tc>
          <w:tcPr>
            <w:tcW w:w="1555" w:type="pct"/>
            <w:tcBorders>
              <w:bottom w:val="single" w:sz="4" w:space="0" w:color="auto"/>
            </w:tcBorders>
          </w:tcPr>
          <w:p w14:paraId="522DA99F"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18.66 (13.45, 23.87)</w:t>
            </w:r>
          </w:p>
        </w:tc>
      </w:tr>
      <w:tr w:rsidR="00636729" w:rsidRPr="00F92AC3" w14:paraId="506B9E23" w14:textId="77777777">
        <w:trPr>
          <w:trHeight w:val="193"/>
        </w:trPr>
        <w:tc>
          <w:tcPr>
            <w:tcW w:w="1891" w:type="pct"/>
            <w:tcBorders>
              <w:bottom w:val="double" w:sz="4" w:space="0" w:color="auto"/>
            </w:tcBorders>
          </w:tcPr>
          <w:p w14:paraId="3EBA4D7A" w14:textId="77777777" w:rsidR="00636729" w:rsidRPr="00F92AC3" w:rsidRDefault="00636729">
            <w:pPr>
              <w:rPr>
                <w:rFonts w:ascii="Arial Narrow" w:hAnsi="Arial Narrow"/>
                <w:sz w:val="20"/>
                <w:szCs w:val="20"/>
              </w:rPr>
            </w:pPr>
            <w:r w:rsidRPr="00F92AC3">
              <w:rPr>
                <w:rFonts w:ascii="Arial Narrow" w:hAnsi="Arial Narrow"/>
                <w:sz w:val="20"/>
                <w:szCs w:val="20"/>
              </w:rPr>
              <w:t xml:space="preserve">    Difference in event free rate, % (95% CI)</w:t>
            </w:r>
          </w:p>
        </w:tc>
        <w:tc>
          <w:tcPr>
            <w:tcW w:w="3109" w:type="pct"/>
            <w:gridSpan w:val="2"/>
            <w:tcBorders>
              <w:bottom w:val="double" w:sz="4" w:space="0" w:color="auto"/>
            </w:tcBorders>
          </w:tcPr>
          <w:p w14:paraId="0C3B0CED" w14:textId="77777777" w:rsidR="00636729" w:rsidRPr="00F92AC3" w:rsidRDefault="00636729">
            <w:pPr>
              <w:jc w:val="center"/>
              <w:rPr>
                <w:rFonts w:ascii="Arial Narrow" w:hAnsi="Arial Narrow"/>
                <w:b/>
                <w:bCs/>
                <w:sz w:val="20"/>
                <w:szCs w:val="20"/>
              </w:rPr>
            </w:pPr>
            <w:r w:rsidRPr="00F92AC3">
              <w:rPr>
                <w:rFonts w:ascii="Arial Narrow" w:hAnsi="Arial Narrow"/>
                <w:b/>
                <w:bCs/>
                <w:sz w:val="20"/>
                <w:szCs w:val="20"/>
              </w:rPr>
              <w:t>22.56 (14.12, 31.00)</w:t>
            </w:r>
          </w:p>
        </w:tc>
      </w:tr>
      <w:tr w:rsidR="003522DF" w:rsidRPr="00F92AC3" w14:paraId="3AFE8DBD" w14:textId="77777777" w:rsidTr="003522DF">
        <w:tc>
          <w:tcPr>
            <w:tcW w:w="5000" w:type="pct"/>
            <w:gridSpan w:val="3"/>
            <w:tcBorders>
              <w:top w:val="double" w:sz="4" w:space="0" w:color="auto"/>
              <w:bottom w:val="single" w:sz="4" w:space="0" w:color="auto"/>
            </w:tcBorders>
          </w:tcPr>
          <w:p w14:paraId="4AC32210" w14:textId="556239E3" w:rsidR="003522DF" w:rsidRPr="00F92AC3" w:rsidRDefault="003522DF" w:rsidP="003522DF">
            <w:pPr>
              <w:jc w:val="left"/>
              <w:rPr>
                <w:rFonts w:ascii="Arial Narrow" w:hAnsi="Arial Narrow"/>
                <w:sz w:val="20"/>
                <w:szCs w:val="20"/>
              </w:rPr>
            </w:pPr>
            <w:r w:rsidRPr="00F92AC3">
              <w:rPr>
                <w:rFonts w:ascii="Arial Narrow" w:hAnsi="Arial Narrow"/>
                <w:sz w:val="20"/>
                <w:szCs w:val="20"/>
              </w:rPr>
              <w:t xml:space="preserve">Time point analysis at 12 Months </w:t>
            </w:r>
          </w:p>
        </w:tc>
      </w:tr>
      <w:tr w:rsidR="00636729" w:rsidRPr="00F92AC3" w14:paraId="4C7C2D5E" w14:textId="77777777">
        <w:tc>
          <w:tcPr>
            <w:tcW w:w="1891" w:type="pct"/>
            <w:tcBorders>
              <w:top w:val="single" w:sz="4" w:space="0" w:color="auto"/>
            </w:tcBorders>
          </w:tcPr>
          <w:p w14:paraId="529061E7" w14:textId="77777777" w:rsidR="00636729" w:rsidRPr="00F92AC3" w:rsidRDefault="00636729">
            <w:pPr>
              <w:rPr>
                <w:rFonts w:ascii="Arial Narrow" w:hAnsi="Arial Narrow"/>
                <w:sz w:val="20"/>
                <w:szCs w:val="20"/>
              </w:rPr>
            </w:pPr>
            <w:r w:rsidRPr="00F92AC3">
              <w:rPr>
                <w:rFonts w:ascii="Arial Narrow" w:hAnsi="Arial Narrow"/>
                <w:sz w:val="20"/>
                <w:szCs w:val="20"/>
              </w:rPr>
              <w:t xml:space="preserve">    Patients remaining at risk</w:t>
            </w:r>
          </w:p>
        </w:tc>
        <w:tc>
          <w:tcPr>
            <w:tcW w:w="1554" w:type="pct"/>
            <w:tcBorders>
              <w:top w:val="single" w:sz="4" w:space="0" w:color="auto"/>
            </w:tcBorders>
          </w:tcPr>
          <w:p w14:paraId="0808B762"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N=24</w:t>
            </w:r>
          </w:p>
        </w:tc>
        <w:tc>
          <w:tcPr>
            <w:tcW w:w="1555" w:type="pct"/>
            <w:tcBorders>
              <w:top w:val="single" w:sz="4" w:space="0" w:color="auto"/>
            </w:tcBorders>
          </w:tcPr>
          <w:p w14:paraId="516FE39F"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N=13</w:t>
            </w:r>
          </w:p>
        </w:tc>
      </w:tr>
      <w:tr w:rsidR="00636729" w:rsidRPr="00F92AC3" w14:paraId="5C2A9498" w14:textId="77777777">
        <w:tc>
          <w:tcPr>
            <w:tcW w:w="1891" w:type="pct"/>
          </w:tcPr>
          <w:p w14:paraId="52E54A7C" w14:textId="77777777" w:rsidR="00636729" w:rsidRPr="00F92AC3" w:rsidRDefault="00636729">
            <w:pPr>
              <w:rPr>
                <w:rFonts w:ascii="Arial Narrow" w:hAnsi="Arial Narrow"/>
                <w:sz w:val="20"/>
                <w:szCs w:val="20"/>
              </w:rPr>
            </w:pPr>
            <w:r w:rsidRPr="00F92AC3">
              <w:rPr>
                <w:rFonts w:ascii="Arial Narrow" w:hAnsi="Arial Narrow"/>
                <w:sz w:val="20"/>
                <w:szCs w:val="20"/>
              </w:rPr>
              <w:t xml:space="preserve">    Event free rate, % (95%, CI) </w:t>
            </w:r>
          </w:p>
        </w:tc>
        <w:tc>
          <w:tcPr>
            <w:tcW w:w="1554" w:type="pct"/>
          </w:tcPr>
          <w:p w14:paraId="416760FF"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20.54 (14.37, 26.72)</w:t>
            </w:r>
          </w:p>
        </w:tc>
        <w:tc>
          <w:tcPr>
            <w:tcW w:w="1555" w:type="pct"/>
          </w:tcPr>
          <w:p w14:paraId="3600EA55" w14:textId="77777777" w:rsidR="00636729" w:rsidRPr="00F92AC3" w:rsidRDefault="00636729">
            <w:pPr>
              <w:jc w:val="center"/>
              <w:rPr>
                <w:rFonts w:ascii="Arial Narrow" w:hAnsi="Arial Narrow"/>
                <w:sz w:val="20"/>
                <w:szCs w:val="20"/>
              </w:rPr>
            </w:pPr>
            <w:r w:rsidRPr="00F92AC3">
              <w:rPr>
                <w:rFonts w:ascii="Arial Narrow" w:hAnsi="Arial Narrow"/>
                <w:sz w:val="20"/>
                <w:szCs w:val="20"/>
              </w:rPr>
              <w:t>12.03 (7.27, 16.80)</w:t>
            </w:r>
          </w:p>
        </w:tc>
      </w:tr>
      <w:tr w:rsidR="00636729" w:rsidRPr="00F92AC3" w14:paraId="3494BC0B" w14:textId="77777777">
        <w:tc>
          <w:tcPr>
            <w:tcW w:w="1891" w:type="pct"/>
          </w:tcPr>
          <w:p w14:paraId="689383A0" w14:textId="77777777" w:rsidR="00636729" w:rsidRPr="00F92AC3" w:rsidRDefault="00636729">
            <w:pPr>
              <w:rPr>
                <w:rFonts w:ascii="Arial Narrow" w:hAnsi="Arial Narrow"/>
                <w:sz w:val="20"/>
                <w:szCs w:val="20"/>
              </w:rPr>
            </w:pPr>
            <w:r w:rsidRPr="00F92AC3">
              <w:rPr>
                <w:rFonts w:ascii="Arial Narrow" w:hAnsi="Arial Narrow"/>
                <w:sz w:val="20"/>
                <w:szCs w:val="20"/>
              </w:rPr>
              <w:t xml:space="preserve">    Difference in event free rate, % (95%, CI)</w:t>
            </w:r>
          </w:p>
        </w:tc>
        <w:tc>
          <w:tcPr>
            <w:tcW w:w="3109" w:type="pct"/>
            <w:gridSpan w:val="2"/>
          </w:tcPr>
          <w:p w14:paraId="7E2D8D5A" w14:textId="77777777" w:rsidR="00636729" w:rsidRPr="00F92AC3" w:rsidRDefault="00636729">
            <w:pPr>
              <w:jc w:val="center"/>
              <w:rPr>
                <w:rFonts w:ascii="Arial Narrow" w:hAnsi="Arial Narrow"/>
                <w:b/>
                <w:bCs/>
                <w:sz w:val="20"/>
                <w:szCs w:val="20"/>
              </w:rPr>
            </w:pPr>
            <w:r w:rsidRPr="00F92AC3">
              <w:rPr>
                <w:rFonts w:ascii="Arial Narrow" w:hAnsi="Arial Narrow"/>
                <w:b/>
                <w:bCs/>
                <w:sz w:val="20"/>
                <w:szCs w:val="20"/>
              </w:rPr>
              <w:t>8.51 (0.72, 16.31)</w:t>
            </w:r>
          </w:p>
        </w:tc>
      </w:tr>
    </w:tbl>
    <w:p w14:paraId="48FEBFB2" w14:textId="77777777" w:rsidR="00636729" w:rsidRPr="00F92AC3" w:rsidRDefault="00636729" w:rsidP="00636729">
      <w:pPr>
        <w:pStyle w:val="COMTablefooter"/>
      </w:pPr>
      <w:r w:rsidRPr="00F92AC3">
        <w:t xml:space="preserve">Source: Table 39, p85 of the submission. </w:t>
      </w:r>
    </w:p>
    <w:p w14:paraId="365DFE61" w14:textId="1FAF3578" w:rsidR="005541FE" w:rsidRPr="00F92AC3" w:rsidRDefault="00636729" w:rsidP="005541FE">
      <w:pPr>
        <w:pStyle w:val="COMTablefooter"/>
        <w:keepNext/>
        <w:keepLines/>
      </w:pPr>
      <w:r w:rsidRPr="00F92AC3">
        <w:t xml:space="preserve">Abbreviations: ATE, atezolizumab; CI, confidence interval; </w:t>
      </w:r>
      <w:r w:rsidR="00CF5FBA">
        <w:t>ECOG, Eastern Cooperative Oncology Group;</w:t>
      </w:r>
      <w:r w:rsidR="00CF5FBA" w:rsidRPr="00F92AC3">
        <w:t xml:space="preserve"> </w:t>
      </w:r>
      <w:r w:rsidRPr="00F92AC3">
        <w:t xml:space="preserve">FAS, full analysis set; IRF, independent review facility; </w:t>
      </w:r>
      <w:r w:rsidR="00CF5FBA">
        <w:t xml:space="preserve">LDH, lactate dehydrogenase; </w:t>
      </w:r>
      <w:r w:rsidRPr="00F92AC3">
        <w:t xml:space="preserve">LUR, lurbinectedin; </w:t>
      </w:r>
      <w:r w:rsidR="005541FE">
        <w:t xml:space="preserve">PCI, prophylactic cranial irradiation; </w:t>
      </w:r>
      <w:r w:rsidR="005541FE" w:rsidRPr="00F92AC3">
        <w:t>PFS, progression-free survival</w:t>
      </w:r>
      <w:r w:rsidR="005541FE">
        <w:t>; PS, performance status; ULN, upper limit of normal</w:t>
      </w:r>
      <w:r w:rsidR="005541FE" w:rsidRPr="00F92AC3">
        <w:t>.</w:t>
      </w:r>
    </w:p>
    <w:p w14:paraId="3C7A939C" w14:textId="77777777" w:rsidR="00636729" w:rsidRDefault="00636729" w:rsidP="00636729">
      <w:pPr>
        <w:pStyle w:val="COMTablefooter"/>
      </w:pPr>
      <w:r w:rsidRPr="00F92AC3">
        <w:t>Note: Statistically significant results in bold.</w:t>
      </w:r>
    </w:p>
    <w:p w14:paraId="6A4B30F3" w14:textId="23E20F63" w:rsidR="00432D93" w:rsidRPr="00F92AC3" w:rsidRDefault="00432D93" w:rsidP="00636729">
      <w:pPr>
        <w:pStyle w:val="COMTablefooter"/>
      </w:pPr>
      <w:r>
        <w:t>a Stratification factors are ECOG PS at randomisation (0 vs 1, LDH at randomisation (≤ ULN vs &gt; ULN) via laboratory test, presence of liver metastases at enrolment (yes vs no), prior receipt of PCI (yes vs no)</w:t>
      </w:r>
    </w:p>
    <w:p w14:paraId="112ABCB2" w14:textId="502E1511" w:rsidR="00631EC8" w:rsidRPr="00F92AC3" w:rsidRDefault="00631EC8" w:rsidP="00631EC8">
      <w:pPr>
        <w:pStyle w:val="COMTableFigurecaption"/>
        <w:keepLines/>
        <w:jc w:val="both"/>
      </w:pPr>
      <w:bookmarkStart w:id="25" w:name="_Ref208229910"/>
      <w:r w:rsidRPr="00F92AC3">
        <w:t xml:space="preserve">Figure </w:t>
      </w:r>
      <w:r w:rsidR="006163FE">
        <w:fldChar w:fldCharType="begin"/>
      </w:r>
      <w:r w:rsidR="006163FE">
        <w:instrText xml:space="preserve"> SEQ Figure \* ARABIC </w:instrText>
      </w:r>
      <w:r w:rsidR="006163FE">
        <w:fldChar w:fldCharType="separate"/>
      </w:r>
      <w:r w:rsidR="00CC5A50">
        <w:rPr>
          <w:noProof/>
        </w:rPr>
        <w:t>2</w:t>
      </w:r>
      <w:r w:rsidR="006163FE">
        <w:rPr>
          <w:noProof/>
        </w:rPr>
        <w:fldChar w:fldCharType="end"/>
      </w:r>
      <w:bookmarkEnd w:id="25"/>
      <w:r w:rsidRPr="00F92AC3">
        <w:t>: Kaplan Meier plot of interim progression free survival in the IMforte trial maintenance phase (IRF; FAS)</w:t>
      </w:r>
    </w:p>
    <w:p w14:paraId="2F95A7A5" w14:textId="77777777" w:rsidR="00631EC8" w:rsidRPr="00F92AC3" w:rsidRDefault="00631EC8" w:rsidP="00631EC8">
      <w:pPr>
        <w:keepNext/>
        <w:keepLines/>
        <w:rPr>
          <w:noProof/>
        </w:rPr>
      </w:pPr>
      <w:r w:rsidRPr="00F92AC3">
        <w:rPr>
          <w:noProof/>
        </w:rPr>
        <w:drawing>
          <wp:inline distT="0" distB="0" distL="0" distR="0" wp14:anchorId="7E5EEC22" wp14:editId="30EC6B54">
            <wp:extent cx="5731510" cy="2939415"/>
            <wp:effectExtent l="0" t="0" r="2540" b="0"/>
            <wp:docPr id="1218642939" name="Picture 1" descr="Figure 2: Kaplan Meier plot of interim progression free survival in the IMforte trial maintenance phase (IRF;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42939" name="Picture 1" descr="Figure 2: Kaplan Meier plot of interim progression free survival in the IMforte trial maintenance phase (IRF; FAS)"/>
                    <pic:cNvPicPr/>
                  </pic:nvPicPr>
                  <pic:blipFill>
                    <a:blip r:embed="rId12"/>
                    <a:stretch>
                      <a:fillRect/>
                    </a:stretch>
                  </pic:blipFill>
                  <pic:spPr>
                    <a:xfrm>
                      <a:off x="0" y="0"/>
                      <a:ext cx="5731510" cy="2939415"/>
                    </a:xfrm>
                    <a:prstGeom prst="rect">
                      <a:avLst/>
                    </a:prstGeom>
                  </pic:spPr>
                </pic:pic>
              </a:graphicData>
            </a:graphic>
          </wp:inline>
        </w:drawing>
      </w:r>
    </w:p>
    <w:p w14:paraId="1B4D3A83" w14:textId="77777777" w:rsidR="00631EC8" w:rsidRPr="00F92AC3" w:rsidRDefault="00631EC8" w:rsidP="00631EC8">
      <w:pPr>
        <w:pStyle w:val="COMTablefooter"/>
        <w:keepNext/>
        <w:keepLines/>
      </w:pPr>
      <w:r w:rsidRPr="00893517">
        <w:t>Source: Figure 8, p86 of the submission.</w:t>
      </w:r>
    </w:p>
    <w:p w14:paraId="78292E11" w14:textId="1DF04ADE" w:rsidR="00636729" w:rsidRPr="00F92AC3" w:rsidRDefault="00631EC8" w:rsidP="00631EC8">
      <w:pPr>
        <w:pStyle w:val="COMTablefooter"/>
        <w:keepNext/>
        <w:keepLines/>
      </w:pPr>
      <w:r w:rsidRPr="00F92AC3">
        <w:t>Abbreviations: CI, confidence interval; FAS, full analysis set; HR, hazard ratio; IRF, independent review facility; PFS, progression free survival.</w:t>
      </w:r>
    </w:p>
    <w:p w14:paraId="14214920" w14:textId="16AC88D8" w:rsidR="00DA3167" w:rsidRPr="00F01C7D" w:rsidRDefault="00565EA4" w:rsidP="00EC5836">
      <w:pPr>
        <w:pStyle w:val="COMESnumberedpara"/>
        <w:rPr>
          <w:color w:val="0066FF"/>
        </w:rPr>
      </w:pPr>
      <w:r w:rsidRPr="00F01C7D">
        <w:t>Based on a median follow-up of 14.78 months in the lurbinectedin plus atezolizumab arm and 15.18 months in the atezolizumab arm, patients in the lurbinectedin plus atezolizumab arm demonstrated statistically significantly longer median progression-free survival (5.36 months) compared to the atezolizumab arm (2.14</w:t>
      </w:r>
      <w:r w:rsidR="006E22D6">
        <w:t> </w:t>
      </w:r>
      <w:r w:rsidRPr="00F01C7D">
        <w:t>months;</w:t>
      </w:r>
      <w:r w:rsidR="006E22D6">
        <w:t> </w:t>
      </w:r>
      <w:r w:rsidRPr="00F01C7D">
        <w:t xml:space="preserve">stratified HR </w:t>
      </w:r>
      <w:r w:rsidR="00893517">
        <w:t xml:space="preserve">= </w:t>
      </w:r>
      <w:r w:rsidRPr="00F01C7D">
        <w:t>0.54; 95% CI: 0.43</w:t>
      </w:r>
      <w:r w:rsidRPr="00F01C7D">
        <w:rPr>
          <w:rFonts w:cs="Calibri"/>
        </w:rPr>
        <w:t xml:space="preserve">, 0.67). </w:t>
      </w:r>
      <w:r w:rsidRPr="00F01C7D">
        <w:t>Results based on the unstratified analysis (HR</w:t>
      </w:r>
      <w:r w:rsidR="006E22D6">
        <w:t> </w:t>
      </w:r>
      <w:r w:rsidR="00893517">
        <w:t xml:space="preserve">= </w:t>
      </w:r>
      <w:r w:rsidRPr="00F01C7D">
        <w:t xml:space="preserve">0.56; 95% CI: 0.46, 0.69) and with progression free survival assessed by on-site investigators (stratified HR </w:t>
      </w:r>
      <w:r w:rsidR="00893517">
        <w:t xml:space="preserve">= </w:t>
      </w:r>
      <w:r w:rsidRPr="00F01C7D">
        <w:t>0.55; 95% CI: 0.45</w:t>
      </w:r>
      <w:r w:rsidRPr="00F01C7D">
        <w:rPr>
          <w:rFonts w:cs="Calibri"/>
        </w:rPr>
        <w:t>, 0.</w:t>
      </w:r>
      <w:r w:rsidRPr="00F01C7D">
        <w:t>66) were consistent with the main analysis.</w:t>
      </w:r>
    </w:p>
    <w:p w14:paraId="79737E65" w14:textId="717EBD3C" w:rsidR="00075207" w:rsidRPr="00F01C7D" w:rsidRDefault="00075207" w:rsidP="00EC5836">
      <w:pPr>
        <w:pStyle w:val="COMESnumberedpara"/>
        <w:rPr>
          <w:color w:val="0066FF"/>
        </w:rPr>
      </w:pPr>
      <w:r w:rsidRPr="00F01C7D">
        <w:t xml:space="preserve">Subgroup analyses were conducted by baseline demographic and disease criteria, including age (&lt;65, </w:t>
      </w:r>
      <w:r w:rsidRPr="00F01C7D">
        <w:rPr>
          <w:rFonts w:cs="Calibri"/>
        </w:rPr>
        <w:t>≥</w:t>
      </w:r>
      <w:r w:rsidRPr="00F01C7D">
        <w:t xml:space="preserve">65 years), sex (male, female), tobacco use (never, prior, current), liver metastases (yes, no), prior prophylactic cranial irradiation (yes, no), ECOG performance status (0, 1), lactate dehydrogenase status (&lt;ULN, </w:t>
      </w:r>
      <w:r w:rsidRPr="00F01C7D">
        <w:rPr>
          <w:rFonts w:cs="Calibri"/>
        </w:rPr>
        <w:t>≥</w:t>
      </w:r>
      <w:r w:rsidRPr="00F01C7D">
        <w:t>ULN) and response to induction therapy (CR, PR, stable disease, progressive disease), for overall survival and progression free survival.</w:t>
      </w:r>
      <w:r w:rsidRPr="00F01C7D">
        <w:rPr>
          <w:szCs w:val="24"/>
        </w:rPr>
        <w:t xml:space="preserve"> Most subgroups demonstrated a consistent trend in overall survival and progression free survival, favouring patients in the lurbinectedin plus atezolizumab arm. However, results indicated that patients with lactate dehydrogenase above the upper limit of normal, with an ECOG performance status of 0, or with prior prophylactic cranial irradiation at maintenance baseline appeared to obtain a smaller benefit with lurbinectedin plus atezolizumab versus atezolizumab. No</w:t>
      </w:r>
      <w:r w:rsidR="004F7C31">
        <w:rPr>
          <w:szCs w:val="24"/>
        </w:rPr>
        <w:t> </w:t>
      </w:r>
      <w:r w:rsidRPr="00F01C7D">
        <w:rPr>
          <w:szCs w:val="24"/>
        </w:rPr>
        <w:t>treatment effect interaction testing was performed.</w:t>
      </w:r>
    </w:p>
    <w:p w14:paraId="75B25493" w14:textId="2BEDCB7F" w:rsidR="005E5B54" w:rsidRPr="005E5B54" w:rsidRDefault="00EC2710" w:rsidP="004F7C31">
      <w:pPr>
        <w:pStyle w:val="COMESnumberedpara"/>
        <w:keepLines/>
        <w:rPr>
          <w:color w:val="0066FF"/>
        </w:rPr>
      </w:pPr>
      <w:r w:rsidRPr="00F01C7D">
        <w:t>Results for the</w:t>
      </w:r>
      <w:r w:rsidR="00FD0677" w:rsidRPr="00F01C7D">
        <w:t xml:space="preserve"> secondary outcome of</w:t>
      </w:r>
      <w:r w:rsidRPr="00F01C7D">
        <w:t xml:space="preserve"> </w:t>
      </w:r>
      <w:r w:rsidR="009C45F9" w:rsidRPr="00F01C7D">
        <w:t>IRF-</w:t>
      </w:r>
      <w:r w:rsidR="008B0B07" w:rsidRPr="00F01C7D">
        <w:t xml:space="preserve">assessed </w:t>
      </w:r>
      <w:r w:rsidRPr="00F01C7D">
        <w:t>confirmed objective response rate (</w:t>
      </w:r>
      <w:r w:rsidR="008B0B07" w:rsidRPr="00F01C7D">
        <w:t>CORR</w:t>
      </w:r>
      <w:r w:rsidRPr="00F01C7D">
        <w:t>)</w:t>
      </w:r>
      <w:r w:rsidR="008B0B07" w:rsidRPr="00F01C7D">
        <w:t xml:space="preserve">, </w:t>
      </w:r>
      <w:r w:rsidRPr="00F01C7D">
        <w:t>in patients with measurable disease at randomisation</w:t>
      </w:r>
      <w:r w:rsidR="00AD4621" w:rsidRPr="00F01C7D">
        <w:t>,</w:t>
      </w:r>
      <w:r w:rsidRPr="00F01C7D">
        <w:t xml:space="preserve"> showed statistically significantly </w:t>
      </w:r>
      <w:r w:rsidR="008B0B07" w:rsidRPr="00F01C7D">
        <w:t xml:space="preserve">larger proportions of patients treated with lurbinectedin plus atezolizumab achieved confirmed objective response (19.4%) compared to atezolizumab monotherapy (10.4%; risk difference </w:t>
      </w:r>
      <w:r w:rsidR="00893517">
        <w:t xml:space="preserve">= </w:t>
      </w:r>
      <w:r w:rsidR="008B0B07" w:rsidRPr="00F01C7D">
        <w:t xml:space="preserve">8.99; 95% CI: 1.07, 16.90). However, the </w:t>
      </w:r>
      <w:r w:rsidR="00AD4621" w:rsidRPr="00F01C7D">
        <w:t>investigator-</w:t>
      </w:r>
      <w:r w:rsidR="008B0B07" w:rsidRPr="00F01C7D">
        <w:t xml:space="preserve">assessed analysis </w:t>
      </w:r>
      <w:r w:rsidR="00FD0677" w:rsidRPr="00F01C7D">
        <w:t>did not reach statistical significance</w:t>
      </w:r>
      <w:r w:rsidR="008B0B07" w:rsidRPr="00F01C7D">
        <w:t xml:space="preserve"> (risk</w:t>
      </w:r>
      <w:r w:rsidR="004F7C31">
        <w:t> </w:t>
      </w:r>
      <w:r w:rsidR="008B0B07" w:rsidRPr="00F01C7D">
        <w:t xml:space="preserve">difference </w:t>
      </w:r>
      <w:r w:rsidR="00893517">
        <w:t xml:space="preserve">= </w:t>
      </w:r>
      <w:r w:rsidR="008B0B07" w:rsidRPr="00F01C7D">
        <w:t>3.90; 95% CI: -3.51, 11.32).</w:t>
      </w:r>
      <w:r w:rsidR="005E5B54">
        <w:t xml:space="preserve"> </w:t>
      </w:r>
    </w:p>
    <w:p w14:paraId="36593055" w14:textId="240ABBCD" w:rsidR="00FD0677" w:rsidRPr="00F01C7D" w:rsidRDefault="00FD0677" w:rsidP="00EC5836">
      <w:pPr>
        <w:pStyle w:val="COMESnumberedpara"/>
      </w:pPr>
      <w:r w:rsidRPr="00F01C7D">
        <w:t>Quality of life, measured using the EORTC</w:t>
      </w:r>
      <w:r w:rsidR="007C0459" w:rsidRPr="00F01C7D">
        <w:t xml:space="preserve"> QLQ-C</w:t>
      </w:r>
      <w:r w:rsidRPr="00F01C7D">
        <w:t>30, suggested that patients were functioning at moderately high levels, with minimal to moderate symptom burden at baseline. Mean EORTC</w:t>
      </w:r>
      <w:r w:rsidR="007C0459" w:rsidRPr="00F01C7D">
        <w:t xml:space="preserve"> QLQ-C</w:t>
      </w:r>
      <w:r w:rsidRPr="00F01C7D">
        <w:t xml:space="preserve">30 scores remained similar at Cycle 6 Day 1 for the lurbinectedin plus atezolizumab and atezolizumab monotherapy arms, and results were generally consistent between </w:t>
      </w:r>
      <w:r w:rsidR="009319E9" w:rsidRPr="00F01C7D">
        <w:t>treatment</w:t>
      </w:r>
      <w:r w:rsidRPr="00F01C7D">
        <w:t xml:space="preserve"> arms</w:t>
      </w:r>
      <w:r w:rsidR="009319E9" w:rsidRPr="00F01C7D">
        <w:t>.</w:t>
      </w:r>
    </w:p>
    <w:p w14:paraId="6C15D57F" w14:textId="50863082" w:rsidR="008B0B07" w:rsidRPr="00F01C7D" w:rsidRDefault="008B0B07" w:rsidP="00EC5836">
      <w:pPr>
        <w:pStyle w:val="COMESnumberedpara"/>
        <w:rPr>
          <w:color w:val="0066FF"/>
        </w:rPr>
      </w:pPr>
      <w:r w:rsidRPr="00F01C7D">
        <w:t xml:space="preserve">Other patient relevant outcomes (EORTC QLQ-LC13, EORTC IL46) were generally consistent with EORTC </w:t>
      </w:r>
      <w:r w:rsidR="007C0459" w:rsidRPr="00F01C7D">
        <w:t>QLQ-C</w:t>
      </w:r>
      <w:r w:rsidRPr="00F01C7D">
        <w:t xml:space="preserve">30 scores, </w:t>
      </w:r>
      <w:r w:rsidR="00E8698D" w:rsidRPr="00F01C7D">
        <w:t xml:space="preserve">with patients </w:t>
      </w:r>
      <w:r w:rsidRPr="00F01C7D">
        <w:t>remain</w:t>
      </w:r>
      <w:r w:rsidR="00E8698D" w:rsidRPr="00F01C7D">
        <w:t>ing</w:t>
      </w:r>
      <w:r w:rsidRPr="00F01C7D">
        <w:t xml:space="preserve"> stable with no or small differences between treatment arms.</w:t>
      </w:r>
    </w:p>
    <w:p w14:paraId="1452C351" w14:textId="0D19F1B0" w:rsidR="00B60939" w:rsidRPr="00F92AC3" w:rsidRDefault="00B60939" w:rsidP="00B2525F">
      <w:pPr>
        <w:pStyle w:val="COMESSubsectionheading"/>
      </w:pPr>
      <w:bookmarkStart w:id="26" w:name="_Toc22897642"/>
      <w:bookmarkStart w:id="27" w:name="_Toc208928156"/>
      <w:r w:rsidRPr="00F92AC3">
        <w:t>Comparative harms</w:t>
      </w:r>
      <w:bookmarkEnd w:id="26"/>
      <w:bookmarkEnd w:id="27"/>
    </w:p>
    <w:bookmarkStart w:id="28" w:name="_Hlk104801403"/>
    <w:p w14:paraId="3D6A2FC3" w14:textId="3008F28B" w:rsidR="00553840" w:rsidRPr="00F92AC3" w:rsidRDefault="00EA4E38" w:rsidP="00D86231">
      <w:pPr>
        <w:pStyle w:val="COMESnumberedpara"/>
        <w:rPr>
          <w:color w:val="0066FF"/>
        </w:rPr>
      </w:pPr>
      <w:r w:rsidRPr="00F92AC3">
        <w:fldChar w:fldCharType="begin"/>
      </w:r>
      <w:r w:rsidRPr="00F92AC3">
        <w:instrText xml:space="preserve"> REF _Ref208231244 \h </w:instrText>
      </w:r>
      <w:r w:rsidRPr="00F92AC3">
        <w:fldChar w:fldCharType="separate"/>
      </w:r>
      <w:r w:rsidR="00CC5A50" w:rsidRPr="00F92AC3">
        <w:t xml:space="preserve">Table </w:t>
      </w:r>
      <w:r w:rsidR="00CC5A50">
        <w:rPr>
          <w:noProof/>
        </w:rPr>
        <w:t>6</w:t>
      </w:r>
      <w:r w:rsidRPr="00F92AC3">
        <w:fldChar w:fldCharType="end"/>
      </w:r>
      <w:r w:rsidR="00553840" w:rsidRPr="00F92AC3">
        <w:t xml:space="preserve"> summarises the key adverse events reported in the IMforte trial maintenance phase.</w:t>
      </w:r>
    </w:p>
    <w:p w14:paraId="2CB31C07" w14:textId="65000388" w:rsidR="00553840" w:rsidRPr="00F92AC3" w:rsidRDefault="00EA4E38" w:rsidP="00553840">
      <w:pPr>
        <w:pStyle w:val="COMTableFigurecaption"/>
        <w:jc w:val="both"/>
      </w:pPr>
      <w:bookmarkStart w:id="29" w:name="_Ref208231244"/>
      <w:r w:rsidRPr="00F92AC3">
        <w:t xml:space="preserve">Table </w:t>
      </w:r>
      <w:r w:rsidR="00FF30BC">
        <w:fldChar w:fldCharType="begin"/>
      </w:r>
      <w:r w:rsidR="00FF30BC">
        <w:instrText xml:space="preserve"> SEQ Table \* ARABIC </w:instrText>
      </w:r>
      <w:r w:rsidR="00FF30BC">
        <w:fldChar w:fldCharType="separate"/>
      </w:r>
      <w:r w:rsidR="00CC5A50">
        <w:rPr>
          <w:noProof/>
        </w:rPr>
        <w:t>6</w:t>
      </w:r>
      <w:r w:rsidR="00FF30BC">
        <w:rPr>
          <w:noProof/>
        </w:rPr>
        <w:fldChar w:fldCharType="end"/>
      </w:r>
      <w:bookmarkEnd w:id="29"/>
      <w:r w:rsidR="00553840" w:rsidRPr="00F92AC3">
        <w:t>: Summary of key adverse events in the IMforte trial maintenance phase (SAS)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key adverse events in the IMforte trial maintenance phase (SAS)"/>
      </w:tblPr>
      <w:tblGrid>
        <w:gridCol w:w="4390"/>
        <w:gridCol w:w="2313"/>
        <w:gridCol w:w="2313"/>
      </w:tblGrid>
      <w:tr w:rsidR="00553840" w:rsidRPr="00F92AC3" w14:paraId="20452719" w14:textId="77777777">
        <w:trPr>
          <w:tblHeader/>
        </w:trPr>
        <w:tc>
          <w:tcPr>
            <w:tcW w:w="4390" w:type="dxa"/>
            <w:vAlign w:val="center"/>
          </w:tcPr>
          <w:p w14:paraId="6E46F60E" w14:textId="77777777" w:rsidR="00553840" w:rsidRPr="00F92AC3" w:rsidRDefault="00553840">
            <w:pPr>
              <w:pStyle w:val="COMTableheadingrow"/>
            </w:pPr>
          </w:p>
        </w:tc>
        <w:tc>
          <w:tcPr>
            <w:tcW w:w="2313" w:type="dxa"/>
          </w:tcPr>
          <w:p w14:paraId="335A7C29" w14:textId="77777777" w:rsidR="00553840" w:rsidRPr="00F92AC3" w:rsidRDefault="00553840">
            <w:pPr>
              <w:pStyle w:val="COMTableheadingrow"/>
              <w:jc w:val="center"/>
            </w:pPr>
            <w:r w:rsidRPr="00F92AC3">
              <w:t>LUR+ATE</w:t>
            </w:r>
          </w:p>
          <w:p w14:paraId="3159FB26" w14:textId="77777777" w:rsidR="00553840" w:rsidRPr="00F92AC3" w:rsidRDefault="00553840">
            <w:pPr>
              <w:pStyle w:val="COMTableheadingrow"/>
              <w:jc w:val="center"/>
            </w:pPr>
            <w:r w:rsidRPr="00F92AC3">
              <w:t>N=242</w:t>
            </w:r>
          </w:p>
        </w:tc>
        <w:tc>
          <w:tcPr>
            <w:tcW w:w="2313" w:type="dxa"/>
          </w:tcPr>
          <w:p w14:paraId="6404BADE" w14:textId="77777777" w:rsidR="00553840" w:rsidRPr="00F92AC3" w:rsidRDefault="00553840">
            <w:pPr>
              <w:pStyle w:val="In-tableHeading"/>
              <w:jc w:val="center"/>
              <w:rPr>
                <w:lang w:val="en-AU"/>
              </w:rPr>
            </w:pPr>
            <w:r w:rsidRPr="00F92AC3">
              <w:rPr>
                <w:lang w:val="en-AU"/>
              </w:rPr>
              <w:t>ATE</w:t>
            </w:r>
          </w:p>
          <w:p w14:paraId="2481BD3A" w14:textId="77777777" w:rsidR="00553840" w:rsidRPr="00F92AC3" w:rsidRDefault="00553840">
            <w:pPr>
              <w:pStyle w:val="COMTableheadingrow"/>
              <w:jc w:val="center"/>
            </w:pPr>
            <w:r w:rsidRPr="00F92AC3">
              <w:t>N=240</w:t>
            </w:r>
          </w:p>
        </w:tc>
      </w:tr>
      <w:tr w:rsidR="00553840" w:rsidRPr="00F92AC3" w14:paraId="2CE692D3" w14:textId="77777777">
        <w:tc>
          <w:tcPr>
            <w:tcW w:w="4390" w:type="dxa"/>
          </w:tcPr>
          <w:p w14:paraId="17F9B96F" w14:textId="77777777" w:rsidR="00553840" w:rsidRPr="00F92AC3" w:rsidRDefault="00553840">
            <w:pPr>
              <w:pStyle w:val="COMTabletext"/>
            </w:pPr>
            <w:r w:rsidRPr="00F92AC3">
              <w:t>Any adverse event, n (%)</w:t>
            </w:r>
          </w:p>
        </w:tc>
        <w:tc>
          <w:tcPr>
            <w:tcW w:w="2313" w:type="dxa"/>
          </w:tcPr>
          <w:p w14:paraId="624B9883" w14:textId="77777777" w:rsidR="00553840" w:rsidRPr="00F92AC3" w:rsidRDefault="00553840">
            <w:pPr>
              <w:pStyle w:val="COMTabletext"/>
              <w:jc w:val="center"/>
              <w:rPr>
                <w:szCs w:val="20"/>
              </w:rPr>
            </w:pPr>
            <w:r w:rsidRPr="00F92AC3">
              <w:rPr>
                <w:szCs w:val="20"/>
              </w:rPr>
              <w:t>235 (97.1%)</w:t>
            </w:r>
          </w:p>
        </w:tc>
        <w:tc>
          <w:tcPr>
            <w:tcW w:w="2313" w:type="dxa"/>
          </w:tcPr>
          <w:p w14:paraId="0926B47B" w14:textId="77777777" w:rsidR="00553840" w:rsidRPr="00F92AC3" w:rsidRDefault="00553840">
            <w:pPr>
              <w:pStyle w:val="COMTabletext"/>
              <w:jc w:val="center"/>
              <w:rPr>
                <w:szCs w:val="20"/>
              </w:rPr>
            </w:pPr>
            <w:r w:rsidRPr="00F92AC3">
              <w:rPr>
                <w:szCs w:val="20"/>
              </w:rPr>
              <w:t>194 (80.5%)</w:t>
            </w:r>
          </w:p>
        </w:tc>
      </w:tr>
      <w:tr w:rsidR="00553840" w:rsidRPr="00F92AC3" w14:paraId="1A50829C" w14:textId="77777777">
        <w:tc>
          <w:tcPr>
            <w:tcW w:w="4390" w:type="dxa"/>
          </w:tcPr>
          <w:p w14:paraId="249B6EB6" w14:textId="77777777" w:rsidR="00553840" w:rsidRPr="00F92AC3" w:rsidRDefault="00553840">
            <w:pPr>
              <w:pStyle w:val="COMTabletext"/>
            </w:pPr>
            <w:r w:rsidRPr="00F92AC3">
              <w:t>Any adverse event Grade 3-4, n (%)</w:t>
            </w:r>
          </w:p>
        </w:tc>
        <w:tc>
          <w:tcPr>
            <w:tcW w:w="2313" w:type="dxa"/>
          </w:tcPr>
          <w:p w14:paraId="79F30F96" w14:textId="77777777" w:rsidR="00553840" w:rsidRPr="00F92AC3" w:rsidRDefault="00553840">
            <w:pPr>
              <w:pStyle w:val="COMTabletext"/>
              <w:jc w:val="center"/>
              <w:rPr>
                <w:szCs w:val="20"/>
              </w:rPr>
            </w:pPr>
            <w:r w:rsidRPr="00F92AC3">
              <w:rPr>
                <w:szCs w:val="20"/>
              </w:rPr>
              <w:t>92 (38.0%)</w:t>
            </w:r>
          </w:p>
        </w:tc>
        <w:tc>
          <w:tcPr>
            <w:tcW w:w="2313" w:type="dxa"/>
          </w:tcPr>
          <w:p w14:paraId="7CA9D4AA" w14:textId="77777777" w:rsidR="00553840" w:rsidRPr="00F92AC3" w:rsidRDefault="00553840">
            <w:pPr>
              <w:pStyle w:val="COMTabletext"/>
              <w:jc w:val="center"/>
              <w:rPr>
                <w:szCs w:val="20"/>
              </w:rPr>
            </w:pPr>
            <w:r w:rsidRPr="00F92AC3">
              <w:rPr>
                <w:szCs w:val="20"/>
              </w:rPr>
              <w:t>53 (22.0%)</w:t>
            </w:r>
          </w:p>
        </w:tc>
      </w:tr>
      <w:tr w:rsidR="00553840" w:rsidRPr="00F92AC3" w14:paraId="66B9979D" w14:textId="77777777">
        <w:tc>
          <w:tcPr>
            <w:tcW w:w="4390" w:type="dxa"/>
          </w:tcPr>
          <w:p w14:paraId="1DAF5019" w14:textId="77777777" w:rsidR="00553840" w:rsidRPr="00F92AC3" w:rsidRDefault="00553840">
            <w:pPr>
              <w:pStyle w:val="COMTabletext"/>
              <w:rPr>
                <w:szCs w:val="20"/>
              </w:rPr>
            </w:pPr>
            <w:r w:rsidRPr="00F92AC3">
              <w:rPr>
                <w:szCs w:val="20"/>
              </w:rPr>
              <w:t>Serious adverse events, n (%)</w:t>
            </w:r>
          </w:p>
        </w:tc>
        <w:tc>
          <w:tcPr>
            <w:tcW w:w="2313" w:type="dxa"/>
          </w:tcPr>
          <w:p w14:paraId="69A0961D" w14:textId="77777777" w:rsidR="00553840" w:rsidRPr="00F92AC3" w:rsidRDefault="00553840">
            <w:pPr>
              <w:pStyle w:val="COMTabletext"/>
              <w:jc w:val="center"/>
              <w:rPr>
                <w:szCs w:val="20"/>
              </w:rPr>
            </w:pPr>
            <w:r w:rsidRPr="00F92AC3">
              <w:rPr>
                <w:szCs w:val="20"/>
              </w:rPr>
              <w:t>75 (31.0%)</w:t>
            </w:r>
          </w:p>
        </w:tc>
        <w:tc>
          <w:tcPr>
            <w:tcW w:w="2313" w:type="dxa"/>
          </w:tcPr>
          <w:p w14:paraId="50ABB7DE" w14:textId="77777777" w:rsidR="00553840" w:rsidRPr="00F92AC3" w:rsidRDefault="00553840">
            <w:pPr>
              <w:pStyle w:val="COMTabletext"/>
              <w:jc w:val="center"/>
              <w:rPr>
                <w:szCs w:val="20"/>
              </w:rPr>
            </w:pPr>
            <w:r w:rsidRPr="00F92AC3">
              <w:rPr>
                <w:szCs w:val="20"/>
              </w:rPr>
              <w:t>41 (17.0%)</w:t>
            </w:r>
          </w:p>
        </w:tc>
      </w:tr>
      <w:tr w:rsidR="00553840" w:rsidRPr="00F92AC3" w14:paraId="2B06E086" w14:textId="77777777">
        <w:tc>
          <w:tcPr>
            <w:tcW w:w="4390" w:type="dxa"/>
            <w:vAlign w:val="center"/>
          </w:tcPr>
          <w:p w14:paraId="78FA4550" w14:textId="77777777" w:rsidR="00553840" w:rsidRPr="00F92AC3" w:rsidRDefault="00553840">
            <w:pPr>
              <w:pStyle w:val="COMTabletext"/>
            </w:pPr>
            <w:r w:rsidRPr="00F92AC3">
              <w:t>Treatment related adverse events, n (%)</w:t>
            </w:r>
          </w:p>
        </w:tc>
        <w:tc>
          <w:tcPr>
            <w:tcW w:w="2313" w:type="dxa"/>
          </w:tcPr>
          <w:p w14:paraId="344201C1" w14:textId="77777777" w:rsidR="00553840" w:rsidRPr="00F92AC3" w:rsidRDefault="00553840">
            <w:pPr>
              <w:pStyle w:val="COMTabletext"/>
              <w:jc w:val="center"/>
              <w:rPr>
                <w:szCs w:val="20"/>
              </w:rPr>
            </w:pPr>
            <w:r w:rsidRPr="00F92AC3">
              <w:rPr>
                <w:rFonts w:eastAsiaTheme="minorHAnsi"/>
              </w:rPr>
              <w:t>202 (83.5%)</w:t>
            </w:r>
          </w:p>
        </w:tc>
        <w:tc>
          <w:tcPr>
            <w:tcW w:w="2313" w:type="dxa"/>
          </w:tcPr>
          <w:p w14:paraId="634A0DF8" w14:textId="77777777" w:rsidR="00553840" w:rsidRPr="00F92AC3" w:rsidRDefault="00553840">
            <w:pPr>
              <w:pStyle w:val="COMTabletext"/>
              <w:jc w:val="center"/>
              <w:rPr>
                <w:szCs w:val="20"/>
              </w:rPr>
            </w:pPr>
            <w:r w:rsidRPr="00F92AC3">
              <w:rPr>
                <w:rFonts w:eastAsiaTheme="minorHAnsi"/>
              </w:rPr>
              <w:t>96 (40.0%)</w:t>
            </w:r>
          </w:p>
        </w:tc>
      </w:tr>
      <w:tr w:rsidR="00553840" w:rsidRPr="00F92AC3" w14:paraId="40A85318" w14:textId="77777777">
        <w:tc>
          <w:tcPr>
            <w:tcW w:w="4390" w:type="dxa"/>
            <w:vAlign w:val="center"/>
          </w:tcPr>
          <w:p w14:paraId="41E05111" w14:textId="77777777" w:rsidR="00553840" w:rsidRPr="00F92AC3" w:rsidRDefault="00553840">
            <w:pPr>
              <w:pStyle w:val="COMTabletext"/>
            </w:pPr>
            <w:r w:rsidRPr="00F92AC3">
              <w:t>Treatment related adverse event Grade 3-4, n (%)</w:t>
            </w:r>
          </w:p>
        </w:tc>
        <w:tc>
          <w:tcPr>
            <w:tcW w:w="2313" w:type="dxa"/>
          </w:tcPr>
          <w:p w14:paraId="5592D197" w14:textId="77777777" w:rsidR="00553840" w:rsidRPr="00F92AC3" w:rsidRDefault="00553840">
            <w:pPr>
              <w:pStyle w:val="COMTabletext"/>
              <w:jc w:val="center"/>
            </w:pPr>
            <w:r w:rsidRPr="00F92AC3">
              <w:rPr>
                <w:rFonts w:eastAsiaTheme="minorHAnsi"/>
              </w:rPr>
              <w:t>62 (25.6%)</w:t>
            </w:r>
          </w:p>
        </w:tc>
        <w:tc>
          <w:tcPr>
            <w:tcW w:w="2313" w:type="dxa"/>
          </w:tcPr>
          <w:p w14:paraId="7C7F7494" w14:textId="77777777" w:rsidR="00553840" w:rsidRPr="00F92AC3" w:rsidRDefault="00553840">
            <w:pPr>
              <w:pStyle w:val="COMTabletext"/>
              <w:jc w:val="center"/>
            </w:pPr>
            <w:r w:rsidRPr="00F92AC3">
              <w:rPr>
                <w:rFonts w:eastAsiaTheme="minorHAnsi"/>
              </w:rPr>
              <w:t>14 (5.8%)</w:t>
            </w:r>
          </w:p>
        </w:tc>
      </w:tr>
      <w:tr w:rsidR="00553840" w:rsidRPr="00F92AC3" w14:paraId="07BF411C" w14:textId="77777777">
        <w:tc>
          <w:tcPr>
            <w:tcW w:w="4390" w:type="dxa"/>
            <w:vAlign w:val="center"/>
          </w:tcPr>
          <w:p w14:paraId="148886FB" w14:textId="77777777" w:rsidR="00553840" w:rsidRPr="00F92AC3" w:rsidRDefault="00553840">
            <w:pPr>
              <w:pStyle w:val="COMTabletext"/>
            </w:pPr>
            <w:r w:rsidRPr="00F92AC3">
              <w:t>Treatment related serious adverse events, n (%)</w:t>
            </w:r>
          </w:p>
        </w:tc>
        <w:tc>
          <w:tcPr>
            <w:tcW w:w="2313" w:type="dxa"/>
          </w:tcPr>
          <w:p w14:paraId="54AEF4B1" w14:textId="77777777" w:rsidR="00553840" w:rsidRPr="00F92AC3" w:rsidRDefault="00553840">
            <w:pPr>
              <w:pStyle w:val="COMTabletext"/>
              <w:jc w:val="center"/>
            </w:pPr>
            <w:r w:rsidRPr="00F92AC3">
              <w:rPr>
                <w:rFonts w:eastAsiaTheme="minorHAnsi"/>
              </w:rPr>
              <w:t>28 (11.6%)</w:t>
            </w:r>
          </w:p>
        </w:tc>
        <w:tc>
          <w:tcPr>
            <w:tcW w:w="2313" w:type="dxa"/>
          </w:tcPr>
          <w:p w14:paraId="56EE1C44" w14:textId="77777777" w:rsidR="00553840" w:rsidRPr="00F92AC3" w:rsidRDefault="00553840">
            <w:pPr>
              <w:pStyle w:val="COMTabletext"/>
              <w:jc w:val="center"/>
            </w:pPr>
            <w:r w:rsidRPr="00F92AC3">
              <w:rPr>
                <w:rFonts w:eastAsiaTheme="minorHAnsi"/>
              </w:rPr>
              <w:t>9 (3.8%)</w:t>
            </w:r>
          </w:p>
        </w:tc>
      </w:tr>
      <w:tr w:rsidR="00553840" w:rsidRPr="00F92AC3" w14:paraId="27D86235" w14:textId="77777777">
        <w:tc>
          <w:tcPr>
            <w:tcW w:w="4390" w:type="dxa"/>
          </w:tcPr>
          <w:p w14:paraId="4F3191EF" w14:textId="77777777" w:rsidR="00553840" w:rsidRPr="00F92AC3" w:rsidRDefault="00553840">
            <w:pPr>
              <w:pStyle w:val="COMTabletext"/>
            </w:pPr>
            <w:r w:rsidRPr="00F92AC3">
              <w:rPr>
                <w:rFonts w:eastAsiaTheme="minorHAnsi"/>
              </w:rPr>
              <w:t>AE leading to treatment withdrawal/discontinuation, n (%)</w:t>
            </w:r>
          </w:p>
        </w:tc>
        <w:tc>
          <w:tcPr>
            <w:tcW w:w="2313" w:type="dxa"/>
          </w:tcPr>
          <w:p w14:paraId="3BB85198" w14:textId="77777777" w:rsidR="00553840" w:rsidRPr="00F92AC3" w:rsidRDefault="00553840">
            <w:pPr>
              <w:pStyle w:val="COMTabletext"/>
              <w:jc w:val="center"/>
            </w:pPr>
            <w:r w:rsidRPr="00F92AC3">
              <w:rPr>
                <w:rFonts w:eastAsiaTheme="minorHAnsi"/>
              </w:rPr>
              <w:t>15 (6.2%)</w:t>
            </w:r>
          </w:p>
        </w:tc>
        <w:tc>
          <w:tcPr>
            <w:tcW w:w="2313" w:type="dxa"/>
          </w:tcPr>
          <w:p w14:paraId="291F10E8" w14:textId="77777777" w:rsidR="00553840" w:rsidRPr="00F92AC3" w:rsidRDefault="00553840">
            <w:pPr>
              <w:pStyle w:val="COMTabletext"/>
              <w:jc w:val="center"/>
            </w:pPr>
            <w:r w:rsidRPr="00F92AC3">
              <w:rPr>
                <w:rFonts w:eastAsiaTheme="minorHAnsi"/>
              </w:rPr>
              <w:t>8 (3.3%)</w:t>
            </w:r>
          </w:p>
        </w:tc>
      </w:tr>
      <w:tr w:rsidR="00553840" w:rsidRPr="00F92AC3" w14:paraId="59CEEB56" w14:textId="77777777">
        <w:tc>
          <w:tcPr>
            <w:tcW w:w="4390" w:type="dxa"/>
          </w:tcPr>
          <w:p w14:paraId="333C617F" w14:textId="77777777" w:rsidR="00553840" w:rsidRPr="00F92AC3" w:rsidRDefault="00553840">
            <w:pPr>
              <w:pStyle w:val="COMTabletext"/>
            </w:pPr>
            <w:r w:rsidRPr="00F92AC3">
              <w:rPr>
                <w:rFonts w:eastAsiaTheme="minorHAnsi"/>
              </w:rPr>
              <w:t>AE leading to any dose modification/interruption, n (%)</w:t>
            </w:r>
          </w:p>
        </w:tc>
        <w:tc>
          <w:tcPr>
            <w:tcW w:w="2313" w:type="dxa"/>
          </w:tcPr>
          <w:p w14:paraId="2E75219A" w14:textId="77777777" w:rsidR="00553840" w:rsidRPr="00F92AC3" w:rsidRDefault="00553840">
            <w:pPr>
              <w:pStyle w:val="COMTabletext"/>
              <w:jc w:val="center"/>
            </w:pPr>
            <w:r w:rsidRPr="00F92AC3">
              <w:rPr>
                <w:rFonts w:eastAsiaTheme="minorHAnsi"/>
              </w:rPr>
              <w:t>92 (38.0%)</w:t>
            </w:r>
          </w:p>
        </w:tc>
        <w:tc>
          <w:tcPr>
            <w:tcW w:w="2313" w:type="dxa"/>
          </w:tcPr>
          <w:p w14:paraId="5E96C9F7" w14:textId="77777777" w:rsidR="00553840" w:rsidRPr="00F92AC3" w:rsidRDefault="00553840">
            <w:pPr>
              <w:pStyle w:val="COMTabletext"/>
              <w:jc w:val="center"/>
            </w:pPr>
            <w:r w:rsidRPr="00F92AC3">
              <w:rPr>
                <w:rFonts w:eastAsiaTheme="minorHAnsi"/>
              </w:rPr>
              <w:t>33 (13.8%)</w:t>
            </w:r>
          </w:p>
        </w:tc>
      </w:tr>
      <w:tr w:rsidR="00553840" w:rsidRPr="00F92AC3" w14:paraId="022C33D0" w14:textId="77777777">
        <w:tc>
          <w:tcPr>
            <w:tcW w:w="4390" w:type="dxa"/>
            <w:vAlign w:val="center"/>
          </w:tcPr>
          <w:p w14:paraId="72271D94" w14:textId="77777777" w:rsidR="00553840" w:rsidRPr="00F92AC3" w:rsidRDefault="00553840">
            <w:pPr>
              <w:pStyle w:val="COMTabletext"/>
            </w:pPr>
            <w:r w:rsidRPr="00F92AC3">
              <w:t>Deaths (any adverse events Grade 5), n (%)</w:t>
            </w:r>
          </w:p>
        </w:tc>
        <w:tc>
          <w:tcPr>
            <w:tcW w:w="2313" w:type="dxa"/>
          </w:tcPr>
          <w:p w14:paraId="61A6A0B6" w14:textId="77777777" w:rsidR="00553840" w:rsidRPr="00F92AC3" w:rsidRDefault="00553840">
            <w:pPr>
              <w:pStyle w:val="COMTabletext"/>
              <w:jc w:val="center"/>
            </w:pPr>
            <w:r w:rsidRPr="00F92AC3">
              <w:rPr>
                <w:rFonts w:eastAsiaTheme="minorHAnsi"/>
              </w:rPr>
              <w:t>12 (5.0%)</w:t>
            </w:r>
          </w:p>
        </w:tc>
        <w:tc>
          <w:tcPr>
            <w:tcW w:w="2313" w:type="dxa"/>
          </w:tcPr>
          <w:p w14:paraId="50706053" w14:textId="77777777" w:rsidR="00553840" w:rsidRPr="00F92AC3" w:rsidRDefault="00553840">
            <w:pPr>
              <w:pStyle w:val="COMTabletext"/>
              <w:jc w:val="center"/>
            </w:pPr>
            <w:r w:rsidRPr="00F92AC3">
              <w:rPr>
                <w:rFonts w:eastAsiaTheme="minorHAnsi"/>
              </w:rPr>
              <w:t>6 (2.5%)</w:t>
            </w:r>
          </w:p>
        </w:tc>
      </w:tr>
    </w:tbl>
    <w:p w14:paraId="74CC5600" w14:textId="77777777" w:rsidR="00553840" w:rsidRPr="00F92AC3" w:rsidRDefault="00553840" w:rsidP="00553840">
      <w:pPr>
        <w:pStyle w:val="COMTablefooter"/>
      </w:pPr>
      <w:r w:rsidRPr="00F92AC3">
        <w:t xml:space="preserve">Source: Table 52, p103 of the submission. </w:t>
      </w:r>
    </w:p>
    <w:p w14:paraId="5E0C3AFB" w14:textId="77777777" w:rsidR="00553840" w:rsidRPr="00F92AC3" w:rsidRDefault="00553840" w:rsidP="00553840">
      <w:pPr>
        <w:pStyle w:val="COMTablefooter"/>
      </w:pPr>
      <w:r w:rsidRPr="00F92AC3">
        <w:t>Abbreviations: AE, adverse event; ATE, atezolizumab; LUR, lurbinectedin; SAS, safety analysis set.</w:t>
      </w:r>
    </w:p>
    <w:p w14:paraId="2E33D78D" w14:textId="5E8B2C64" w:rsidR="00553840" w:rsidRPr="00EA3169" w:rsidRDefault="005505F8" w:rsidP="00553840">
      <w:pPr>
        <w:pStyle w:val="COMESnumberedpara"/>
        <w:rPr>
          <w:color w:val="0066FF"/>
        </w:rPr>
      </w:pPr>
      <w:r w:rsidRPr="00EA3169">
        <w:t>The ESC noted that t</w:t>
      </w:r>
      <w:r w:rsidR="00EA4E38" w:rsidRPr="00EA3169">
        <w:t>he</w:t>
      </w:r>
      <w:r w:rsidR="00EB023D" w:rsidRPr="00EA3169">
        <w:t>re was a higher incidence</w:t>
      </w:r>
      <w:r w:rsidR="00EA4E38" w:rsidRPr="00EA3169">
        <w:t xml:space="preserve"> </w:t>
      </w:r>
      <w:r w:rsidR="00EB023D" w:rsidRPr="00EA3169">
        <w:t xml:space="preserve">in the lurbinectedin plus atezolizumab treatment arm </w:t>
      </w:r>
      <w:r w:rsidR="00EA4E38" w:rsidRPr="00EA3169">
        <w:t>of any adverse event</w:t>
      </w:r>
      <w:r w:rsidR="00EB023D" w:rsidRPr="00EA3169">
        <w:t>, Grade 3–4 adverse event, serious adverse event, treatment related adverse event and adverse events leading to treatment discontinuation or dose modification/interruption</w:t>
      </w:r>
      <w:r w:rsidR="004033EB" w:rsidRPr="00EA3169">
        <w:t>,</w:t>
      </w:r>
      <w:r w:rsidR="00EB023D" w:rsidRPr="00EA3169">
        <w:t xml:space="preserve"> </w:t>
      </w:r>
      <w:r w:rsidR="00EA4E38" w:rsidRPr="00EA3169">
        <w:t>compared to atezolizumab</w:t>
      </w:r>
      <w:r w:rsidR="001A7F8F" w:rsidRPr="00EA3169">
        <w:t xml:space="preserve"> monotherapy</w:t>
      </w:r>
      <w:r w:rsidR="00553840" w:rsidRPr="00EA3169">
        <w:t>.</w:t>
      </w:r>
      <w:r w:rsidR="001A7F8F" w:rsidRPr="00EA3169">
        <w:t xml:space="preserve"> The incidence of grade 5 adverse events (deaths) was also higher in the lurbinectedin plus atezolizumab treatment arm compared to atezolizumab monotherapy. Of the 3 deaths considered treatment related by investigators, 2 were related to lurbinectedin (sepsis and febrile neutropenia), and one was related to atezolizumab monotherapy (sepsis).</w:t>
      </w:r>
      <w:r w:rsidR="004A111C" w:rsidRPr="00EA3169">
        <w:t xml:space="preserve"> </w:t>
      </w:r>
    </w:p>
    <w:p w14:paraId="0ABCEFD3" w14:textId="0D492DC0" w:rsidR="001A7F8F" w:rsidRPr="00F01C7D" w:rsidRDefault="001A7F8F" w:rsidP="00694AA4">
      <w:pPr>
        <w:pStyle w:val="COMESnumberedpara"/>
        <w:keepLines/>
        <w:rPr>
          <w:color w:val="0066FF"/>
        </w:rPr>
      </w:pPr>
      <w:r w:rsidRPr="00F01C7D">
        <w:t>The submission suggested that the addition of lurbinectedin to atezolizumab, and longer treatment exposure in the lurbinectedin plus atezolizumab treatment arm compared to atezolizumab (4.2 months vs 2.1 months), explained some of higher incidence of adverse events associated with lurbinectedin plus atezolizumab.</w:t>
      </w:r>
    </w:p>
    <w:p w14:paraId="04B59ECD" w14:textId="3D8DE867" w:rsidR="001A7F8F" w:rsidRPr="00893517" w:rsidRDefault="001A7F8F" w:rsidP="72707756">
      <w:pPr>
        <w:pStyle w:val="COMESnumberedpara"/>
        <w:rPr>
          <w:i/>
          <w:iCs/>
          <w:color w:val="0066FF"/>
        </w:rPr>
      </w:pPr>
      <w:r>
        <w:t xml:space="preserve">The most frequently reported adverse events in the IMforte trial maintenance phase in patients treated with lurbinectedin plus atezolizumab were nausea (36.4%), anaemia (31.8%), fatigue (20.2%), decreased appetite (16.9%), and decreased platelet count (15.3%). Common adverse events reported by </w:t>
      </w:r>
      <w:r w:rsidR="004942B0">
        <w:t xml:space="preserve">&gt;5% </w:t>
      </w:r>
      <w:r w:rsidR="005E7217">
        <w:t xml:space="preserve">of </w:t>
      </w:r>
      <w:r>
        <w:t>patients treated with atezolizumab only included fatigue (7.9%), diarrhoea (7.5%), anaemia (6.7%), and decreased appetite (6.7%).</w:t>
      </w:r>
      <w:r w:rsidR="00893517">
        <w:t xml:space="preserve"> </w:t>
      </w:r>
      <w:r w:rsidR="00893517" w:rsidRPr="00346CCB">
        <w:t>The ESC noted that patients treated with lurbinectedin should also receive G-CSF prophylaxis and anti-emetics to manage side effects.</w:t>
      </w:r>
    </w:p>
    <w:p w14:paraId="04908C7F" w14:textId="415B9B7D" w:rsidR="007F1017" w:rsidRPr="00F92AC3" w:rsidRDefault="007F1017" w:rsidP="00B2525F">
      <w:pPr>
        <w:pStyle w:val="COMESSubsectionheading"/>
      </w:pPr>
      <w:bookmarkStart w:id="30" w:name="_Toc22897643"/>
      <w:bookmarkStart w:id="31" w:name="_Toc208928157"/>
      <w:bookmarkEnd w:id="28"/>
      <w:r w:rsidRPr="00F92AC3">
        <w:t>Benefits/harms</w:t>
      </w:r>
      <w:bookmarkEnd w:id="30"/>
      <w:bookmarkEnd w:id="31"/>
    </w:p>
    <w:p w14:paraId="58FA35F0" w14:textId="2675EA29" w:rsidR="00C36B7C" w:rsidRPr="00F92AC3" w:rsidRDefault="00C36B7C" w:rsidP="00C36B7C">
      <w:pPr>
        <w:pStyle w:val="ListParagraph"/>
        <w:numPr>
          <w:ilvl w:val="1"/>
          <w:numId w:val="6"/>
        </w:numPr>
        <w:spacing w:after="0"/>
        <w:jc w:val="both"/>
      </w:pPr>
      <w:proofErr w:type="gramStart"/>
      <w:r w:rsidRPr="00F92AC3">
        <w:t>On the basis of</w:t>
      </w:r>
      <w:proofErr w:type="gramEnd"/>
      <w:r w:rsidRPr="00F92AC3">
        <w:t xml:space="preserve"> direct evidence presented </w:t>
      </w:r>
      <w:r w:rsidR="00A33449" w:rsidRPr="00F92AC3">
        <w:t xml:space="preserve">in </w:t>
      </w:r>
      <w:r w:rsidRPr="00F92AC3">
        <w:t>the submission, for every 100 patients treated with lurbinectedin plus atezolizumab in comparison to atezolizumab monotherapy over a median duration of follow-up 14.78 months:</w:t>
      </w:r>
    </w:p>
    <w:p w14:paraId="11F416E6" w14:textId="6B273F58" w:rsidR="00C36B7C" w:rsidRPr="00F92AC3" w:rsidRDefault="00C36B7C" w:rsidP="009C7FC8">
      <w:pPr>
        <w:pStyle w:val="ListParagraph"/>
        <w:widowControl w:val="0"/>
        <w:numPr>
          <w:ilvl w:val="0"/>
          <w:numId w:val="20"/>
        </w:numPr>
        <w:spacing w:after="0"/>
        <w:ind w:left="992" w:hanging="283"/>
        <w:jc w:val="both"/>
      </w:pPr>
      <w:r w:rsidRPr="00F92AC3">
        <w:rPr>
          <w:rFonts w:cs="Calibri"/>
          <w:snapToGrid/>
        </w:rPr>
        <w:t xml:space="preserve">Approximately </w:t>
      </w:r>
      <w:r w:rsidR="00A33449" w:rsidRPr="00F92AC3">
        <w:rPr>
          <w:rFonts w:cs="Calibri"/>
          <w:snapToGrid/>
        </w:rPr>
        <w:t>12 additiona</w:t>
      </w:r>
      <w:r w:rsidR="00536486" w:rsidRPr="00F92AC3">
        <w:rPr>
          <w:rFonts w:cs="Calibri"/>
          <w:snapToGrid/>
        </w:rPr>
        <w:t>l</w:t>
      </w:r>
      <w:r w:rsidRPr="00F92AC3">
        <w:rPr>
          <w:rFonts w:cs="Calibri"/>
          <w:snapToGrid/>
        </w:rPr>
        <w:t xml:space="preserve"> patients </w:t>
      </w:r>
      <w:r w:rsidR="00A33449" w:rsidRPr="00F92AC3">
        <w:rPr>
          <w:rFonts w:cs="Calibri"/>
          <w:snapToGrid/>
        </w:rPr>
        <w:t xml:space="preserve">would </w:t>
      </w:r>
      <w:r w:rsidRPr="00F92AC3">
        <w:rPr>
          <w:rFonts w:cs="Calibri"/>
          <w:snapToGrid/>
        </w:rPr>
        <w:t>remain alive</w:t>
      </w:r>
      <w:r w:rsidR="00A33449" w:rsidRPr="00F92AC3">
        <w:rPr>
          <w:rFonts w:cs="Calibri"/>
          <w:snapToGrid/>
        </w:rPr>
        <w:t xml:space="preserve"> at 12 months</w:t>
      </w:r>
      <w:r w:rsidRPr="00F92AC3">
        <w:rPr>
          <w:rFonts w:cs="Calibri"/>
          <w:snapToGrid/>
        </w:rPr>
        <w:t xml:space="preserve">. </w:t>
      </w:r>
    </w:p>
    <w:p w14:paraId="5C1F3FCF" w14:textId="09D03D21" w:rsidR="00C36B7C" w:rsidRPr="00F92AC3" w:rsidRDefault="00C36B7C" w:rsidP="009C7FC8">
      <w:pPr>
        <w:pStyle w:val="ListParagraph"/>
        <w:widowControl w:val="0"/>
        <w:numPr>
          <w:ilvl w:val="0"/>
          <w:numId w:val="20"/>
        </w:numPr>
        <w:spacing w:after="0"/>
        <w:ind w:left="992" w:hanging="283"/>
        <w:jc w:val="both"/>
      </w:pPr>
      <w:r w:rsidRPr="00F92AC3">
        <w:rPr>
          <w:rFonts w:cs="Calibri"/>
          <w:snapToGrid/>
        </w:rPr>
        <w:t xml:space="preserve">Approximately </w:t>
      </w:r>
      <w:r w:rsidR="001C40B0">
        <w:rPr>
          <w:rFonts w:cs="Calibri"/>
          <w:snapToGrid/>
        </w:rPr>
        <w:t>9</w:t>
      </w:r>
      <w:r w:rsidR="001C40B0" w:rsidRPr="00F92AC3">
        <w:rPr>
          <w:rFonts w:cs="Calibri"/>
          <w:snapToGrid/>
        </w:rPr>
        <w:t xml:space="preserve"> </w:t>
      </w:r>
      <w:r w:rsidR="00A33449" w:rsidRPr="00F92AC3">
        <w:rPr>
          <w:rFonts w:cs="Calibri"/>
          <w:snapToGrid/>
        </w:rPr>
        <w:t>additional</w:t>
      </w:r>
      <w:r w:rsidRPr="00F92AC3">
        <w:rPr>
          <w:rFonts w:cs="Calibri"/>
          <w:snapToGrid/>
        </w:rPr>
        <w:t xml:space="preserve"> patients </w:t>
      </w:r>
      <w:r w:rsidR="00A33449" w:rsidRPr="00F92AC3">
        <w:rPr>
          <w:rFonts w:cs="Calibri"/>
          <w:snapToGrid/>
        </w:rPr>
        <w:t xml:space="preserve">would </w:t>
      </w:r>
      <w:r w:rsidRPr="00F92AC3">
        <w:rPr>
          <w:rFonts w:cs="Calibri"/>
          <w:snapToGrid/>
        </w:rPr>
        <w:t>remain progression free</w:t>
      </w:r>
      <w:r w:rsidR="00A33449" w:rsidRPr="00F92AC3">
        <w:rPr>
          <w:rFonts w:cs="Calibri"/>
          <w:snapToGrid/>
        </w:rPr>
        <w:t xml:space="preserve"> at 12 months</w:t>
      </w:r>
      <w:r w:rsidRPr="00F92AC3">
        <w:rPr>
          <w:rFonts w:cs="Calibri"/>
          <w:snapToGrid/>
        </w:rPr>
        <w:t>.</w:t>
      </w:r>
    </w:p>
    <w:p w14:paraId="0535A0D4" w14:textId="41590CFD" w:rsidR="00256193" w:rsidRPr="00F92AC3" w:rsidRDefault="00256193" w:rsidP="009C7FC8">
      <w:pPr>
        <w:pStyle w:val="ListParagraph"/>
        <w:widowControl w:val="0"/>
        <w:numPr>
          <w:ilvl w:val="0"/>
          <w:numId w:val="20"/>
        </w:numPr>
        <w:spacing w:after="0"/>
        <w:ind w:left="992" w:hanging="283"/>
        <w:jc w:val="both"/>
      </w:pPr>
      <w:r>
        <w:rPr>
          <w:rFonts w:cs="Calibri"/>
          <w:snapToGrid/>
        </w:rPr>
        <w:t xml:space="preserve">Approximately </w:t>
      </w:r>
      <w:r w:rsidR="001C004E">
        <w:rPr>
          <w:rFonts w:cs="Calibri"/>
          <w:snapToGrid/>
        </w:rPr>
        <w:t>16 additional patients would experi</w:t>
      </w:r>
      <w:r w:rsidR="00920C8E">
        <w:rPr>
          <w:rFonts w:cs="Calibri"/>
          <w:snapToGrid/>
        </w:rPr>
        <w:t>ence</w:t>
      </w:r>
      <w:r w:rsidR="001C004E">
        <w:rPr>
          <w:rFonts w:cs="Calibri"/>
          <w:snapToGrid/>
        </w:rPr>
        <w:t xml:space="preserve"> Grade 3-4 </w:t>
      </w:r>
      <w:r w:rsidR="00920C8E">
        <w:rPr>
          <w:rFonts w:cs="Calibri"/>
          <w:snapToGrid/>
        </w:rPr>
        <w:t>adverse events</w:t>
      </w:r>
      <w:r w:rsidR="009E778D">
        <w:rPr>
          <w:rFonts w:cs="Calibri"/>
          <w:snapToGrid/>
        </w:rPr>
        <w:t>.</w:t>
      </w:r>
      <w:r w:rsidR="00920C8E">
        <w:rPr>
          <w:rFonts w:cs="Calibri"/>
          <w:snapToGrid/>
        </w:rPr>
        <w:t xml:space="preserve"> </w:t>
      </w:r>
      <w:r w:rsidR="001C004E">
        <w:rPr>
          <w:rFonts w:cs="Calibri"/>
          <w:snapToGrid/>
        </w:rPr>
        <w:t xml:space="preserve"> </w:t>
      </w:r>
    </w:p>
    <w:p w14:paraId="35DFC244" w14:textId="68459B94" w:rsidR="00C36B7C" w:rsidRPr="00F92AC3" w:rsidRDefault="00C36B7C" w:rsidP="009C7FC8">
      <w:pPr>
        <w:pStyle w:val="ListParagraph"/>
        <w:numPr>
          <w:ilvl w:val="0"/>
          <w:numId w:val="20"/>
        </w:numPr>
        <w:spacing w:after="0"/>
        <w:ind w:left="992" w:hanging="284"/>
        <w:jc w:val="both"/>
      </w:pPr>
      <w:r w:rsidRPr="00F92AC3">
        <w:t xml:space="preserve">Approximately </w:t>
      </w:r>
      <w:r w:rsidR="001765F7" w:rsidRPr="00F92AC3">
        <w:t>1</w:t>
      </w:r>
      <w:r w:rsidRPr="00F92AC3">
        <w:t xml:space="preserve">4 additional patients would experience </w:t>
      </w:r>
      <w:r w:rsidR="001765F7" w:rsidRPr="00F92AC3">
        <w:t>a serious</w:t>
      </w:r>
      <w:r w:rsidRPr="00F92AC3">
        <w:t xml:space="preserve"> adverse event.</w:t>
      </w:r>
    </w:p>
    <w:p w14:paraId="7A1772B6" w14:textId="53492C18" w:rsidR="00B60939" w:rsidRPr="00F92AC3" w:rsidRDefault="00B60939" w:rsidP="00B2525F">
      <w:pPr>
        <w:pStyle w:val="COMESSubsectionheading"/>
      </w:pPr>
      <w:bookmarkStart w:id="32" w:name="_Toc22897644"/>
      <w:bookmarkStart w:id="33" w:name="_Toc208928158"/>
      <w:r w:rsidRPr="00F92AC3">
        <w:t>Clinical claim</w:t>
      </w:r>
      <w:bookmarkEnd w:id="32"/>
      <w:bookmarkEnd w:id="33"/>
    </w:p>
    <w:p w14:paraId="289EAA5E" w14:textId="4D7B599E" w:rsidR="007C70FF" w:rsidRPr="00893517" w:rsidRDefault="002A284F" w:rsidP="00E9094A">
      <w:pPr>
        <w:pStyle w:val="COMESnumberedpara"/>
        <w:rPr>
          <w:i/>
          <w:iCs/>
          <w:color w:val="0066FF"/>
        </w:rPr>
      </w:pPr>
      <w:r w:rsidRPr="00F01C7D">
        <w:t>The submission described lurbinectedin plus atezolizumab as superior in terms of efficacy and inferior in terms of safety, compared to atezolizumab, as maintenance therapy in patients with ES-SCLC that has not progressed on or after first-line induction therapy with atezolizumab, a platinum-based antineoplastic drug, and etoposide.</w:t>
      </w:r>
      <w:r w:rsidR="00FF0C7F">
        <w:t xml:space="preserve"> </w:t>
      </w:r>
    </w:p>
    <w:p w14:paraId="52CDA702" w14:textId="5F997B13" w:rsidR="002A284F" w:rsidRPr="00F01C7D" w:rsidRDefault="002A284F" w:rsidP="00E9094A">
      <w:pPr>
        <w:pStyle w:val="COMESnumberedpara"/>
        <w:rPr>
          <w:rFonts w:eastAsia="Calibri"/>
        </w:rPr>
      </w:pPr>
      <w:r w:rsidRPr="00F01C7D">
        <w:t xml:space="preserve">The </w:t>
      </w:r>
      <w:r w:rsidR="00893517">
        <w:t>evaluation noted</w:t>
      </w:r>
      <w:r w:rsidRPr="00F01C7D">
        <w:t xml:space="preserve"> the following issues </w:t>
      </w:r>
      <w:r w:rsidR="00893517">
        <w:t xml:space="preserve">for </w:t>
      </w:r>
      <w:r w:rsidRPr="00F01C7D">
        <w:t>consider</w:t>
      </w:r>
      <w:r w:rsidR="00893517">
        <w:t>ation</w:t>
      </w:r>
      <w:r w:rsidRPr="00F01C7D">
        <w:t>:</w:t>
      </w:r>
    </w:p>
    <w:p w14:paraId="692ED169" w14:textId="1CD4E542" w:rsidR="00303AAF" w:rsidRPr="00893517" w:rsidRDefault="00EA3169" w:rsidP="00346CCB">
      <w:pPr>
        <w:pStyle w:val="ListParagraph"/>
        <w:widowControl w:val="0"/>
        <w:numPr>
          <w:ilvl w:val="0"/>
          <w:numId w:val="20"/>
        </w:numPr>
        <w:ind w:left="1077" w:hanging="357"/>
        <w:jc w:val="both"/>
        <w:rPr>
          <w:rFonts w:cs="Calibri"/>
          <w:i/>
          <w:iCs/>
          <w:snapToGrid/>
        </w:rPr>
      </w:pPr>
      <w:r w:rsidRPr="00EA3169">
        <w:rPr>
          <w:rFonts w:cs="Calibri"/>
          <w:snapToGrid/>
        </w:rPr>
        <w:t xml:space="preserve">The </w:t>
      </w:r>
      <w:r w:rsidR="002A284F" w:rsidRPr="00EA3169">
        <w:rPr>
          <w:rFonts w:cs="Calibri"/>
          <w:snapToGrid/>
        </w:rPr>
        <w:t xml:space="preserve">IMforte trial interim overall survival data </w:t>
      </w:r>
      <w:r w:rsidR="00893517" w:rsidRPr="00EA3169">
        <w:rPr>
          <w:rFonts w:cs="Calibri"/>
          <w:snapToGrid/>
        </w:rPr>
        <w:t xml:space="preserve">were </w:t>
      </w:r>
      <w:r w:rsidR="002A284F" w:rsidRPr="00EA3169">
        <w:rPr>
          <w:rFonts w:cs="Calibri"/>
          <w:snapToGrid/>
        </w:rPr>
        <w:t>immature, and the magnitude of the benefit experienced by patients treated with lurbinectedin plus atezolizumab may change with longer follow-up.</w:t>
      </w:r>
      <w:r w:rsidR="002A284F" w:rsidRPr="00F01C7D">
        <w:rPr>
          <w:rFonts w:cs="Calibri"/>
          <w:snapToGrid/>
        </w:rPr>
        <w:t xml:space="preserve"> </w:t>
      </w:r>
    </w:p>
    <w:p w14:paraId="314F81AD" w14:textId="59365AA2" w:rsidR="00893517" w:rsidRPr="00EA3169" w:rsidRDefault="004033EB" w:rsidP="00346CCB">
      <w:pPr>
        <w:pStyle w:val="ListParagraph"/>
        <w:numPr>
          <w:ilvl w:val="0"/>
          <w:numId w:val="20"/>
        </w:numPr>
        <w:ind w:left="1077" w:hanging="357"/>
        <w:jc w:val="both"/>
      </w:pPr>
      <w:r w:rsidRPr="00EA3169">
        <w:t xml:space="preserve">The results of the IMforte trial may not be applicable to the Australian setting given the patients randomised into the maintenance treatment phase of the trial were required to have ECOG PS 0-1 and were excluded from the trial if they had CNS metastases, </w:t>
      </w:r>
      <w:r w:rsidR="00692AA3">
        <w:t xml:space="preserve">which were </w:t>
      </w:r>
      <w:r w:rsidRPr="00EA3169">
        <w:t>inconsistent with the requested restriction</w:t>
      </w:r>
      <w:r w:rsidR="002A284F" w:rsidRPr="00EA3169">
        <w:rPr>
          <w:rFonts w:cs="Calibri"/>
          <w:snapToGrid/>
        </w:rPr>
        <w:t>.</w:t>
      </w:r>
      <w:r w:rsidR="00536486" w:rsidRPr="00EA3169">
        <w:rPr>
          <w:rFonts w:cs="Calibri"/>
          <w:snapToGrid/>
        </w:rPr>
        <w:t xml:space="preserve"> </w:t>
      </w:r>
      <w:r w:rsidR="007C0459" w:rsidRPr="00EA3169">
        <w:rPr>
          <w:rFonts w:cs="Calibri"/>
          <w:snapToGrid/>
        </w:rPr>
        <w:t>In addition, t</w:t>
      </w:r>
      <w:r w:rsidR="007C0459" w:rsidRPr="00EA3169">
        <w:t>he impact of baseline differences between the IMforte trial lurbinectedin plus atezolizumab arm and the atezolizumab arm, in measures of disease progression (tumour size T4: 50.8% vs 58.8%; metastases M1c: 47.5%; 58.9%), is unknown.</w:t>
      </w:r>
      <w:r w:rsidR="005C1B8C" w:rsidRPr="00EA3169">
        <w:t xml:space="preserve"> </w:t>
      </w:r>
      <w:r w:rsidR="007355E0" w:rsidRPr="00EA3169">
        <w:t xml:space="preserve">The ESC </w:t>
      </w:r>
      <w:r w:rsidR="00893517" w:rsidRPr="00EA3169">
        <w:t xml:space="preserve">also noted that the IMforte trial consisted of a </w:t>
      </w:r>
      <w:r w:rsidR="007355E0" w:rsidRPr="00EA3169">
        <w:t xml:space="preserve">relatively young population </w:t>
      </w:r>
      <w:r w:rsidR="00893517" w:rsidRPr="00EA3169">
        <w:t xml:space="preserve">(median age 66 years) compared to the median age of SCLC diagnosis in Australia (69 years). </w:t>
      </w:r>
    </w:p>
    <w:p w14:paraId="17B5B78E" w14:textId="402846AA" w:rsidR="00893517" w:rsidRDefault="00893517" w:rsidP="00893517">
      <w:pPr>
        <w:pStyle w:val="COMESnumberedpara"/>
      </w:pPr>
      <w:r w:rsidRPr="00562BF2">
        <w:t>Overall, the ESC noted lurbinectedin plus atezolizumab resulted in a statistically significant survival benefit over atezolizumab monotherapy in patients without CNS metastases. However, the ESC noted that the median survival benefit was small (2.6</w:t>
      </w:r>
      <w:r w:rsidR="00C877A3">
        <w:t> </w:t>
      </w:r>
      <w:r w:rsidRPr="00562BF2">
        <w:t xml:space="preserve">months) and </w:t>
      </w:r>
      <w:r w:rsidR="00617D31" w:rsidRPr="00562BF2">
        <w:t xml:space="preserve">lurbinectedin plus atezolizumab was </w:t>
      </w:r>
      <w:r w:rsidR="0007467E" w:rsidRPr="00562BF2">
        <w:t xml:space="preserve">associated with </w:t>
      </w:r>
      <w:r w:rsidR="00617D31" w:rsidRPr="00562BF2">
        <w:t xml:space="preserve">more </w:t>
      </w:r>
      <w:r w:rsidR="0007467E" w:rsidRPr="00562BF2">
        <w:t>adverse events</w:t>
      </w:r>
      <w:r w:rsidR="00617D31" w:rsidRPr="00562BF2">
        <w:t xml:space="preserve"> than atezolizumab monotherapy</w:t>
      </w:r>
      <w:r w:rsidR="0007467E" w:rsidRPr="00562BF2">
        <w:t xml:space="preserve">. </w:t>
      </w:r>
    </w:p>
    <w:p w14:paraId="5FF6F013" w14:textId="315D61E0" w:rsidR="00B82CAE" w:rsidRPr="00CE42B4" w:rsidRDefault="00B82CAE" w:rsidP="00B82CAE">
      <w:pPr>
        <w:pStyle w:val="COMESnumberedpara"/>
        <w:rPr>
          <w:snapToGrid w:val="0"/>
        </w:rPr>
      </w:pPr>
      <w:bookmarkStart w:id="34" w:name="_Hlk76376200"/>
      <w:r w:rsidRPr="00CE42B4">
        <w:rPr>
          <w:iCs/>
          <w:snapToGrid w:val="0"/>
        </w:rPr>
        <w:t>The</w:t>
      </w:r>
      <w:r w:rsidRPr="00CE42B4">
        <w:rPr>
          <w:snapToGrid w:val="0"/>
        </w:rPr>
        <w:t xml:space="preserve"> PBAC considered that the claim of superior comparative effectiveness was </w:t>
      </w:r>
      <w:r w:rsidR="00EE2246">
        <w:rPr>
          <w:snapToGrid w:val="0"/>
        </w:rPr>
        <w:t>adequately supported by the data</w:t>
      </w:r>
      <w:r w:rsidRPr="00CE42B4">
        <w:rPr>
          <w:snapToGrid w:val="0"/>
        </w:rPr>
        <w:t>.</w:t>
      </w:r>
    </w:p>
    <w:p w14:paraId="448CE61C" w14:textId="177070F2" w:rsidR="00AF52C3" w:rsidRPr="00B82CAE" w:rsidRDefault="00B82CAE" w:rsidP="00B82CAE">
      <w:pPr>
        <w:pStyle w:val="COMESnumberedpara"/>
        <w:rPr>
          <w:snapToGrid w:val="0"/>
        </w:rPr>
      </w:pPr>
      <w:r w:rsidRPr="00CE42B4">
        <w:rPr>
          <w:snapToGrid w:val="0"/>
        </w:rPr>
        <w:t>The PBAC considered that the claim of inferior</w:t>
      </w:r>
      <w:r w:rsidR="00DB66E5">
        <w:rPr>
          <w:snapToGrid w:val="0"/>
        </w:rPr>
        <w:t xml:space="preserve"> </w:t>
      </w:r>
      <w:r w:rsidRPr="00CE42B4">
        <w:rPr>
          <w:snapToGrid w:val="0"/>
        </w:rPr>
        <w:t>comparative safety was reasonable.</w:t>
      </w:r>
      <w:bookmarkEnd w:id="34"/>
    </w:p>
    <w:p w14:paraId="74A1172E" w14:textId="128C170E" w:rsidR="00B60939" w:rsidRPr="00F92AC3" w:rsidRDefault="00B60939" w:rsidP="00B2525F">
      <w:pPr>
        <w:pStyle w:val="COMESSubsectionheading"/>
      </w:pPr>
      <w:bookmarkStart w:id="35" w:name="_Toc22897645"/>
      <w:bookmarkStart w:id="36" w:name="_Toc208928159"/>
      <w:r w:rsidRPr="00F92AC3">
        <w:t>Economic analysis</w:t>
      </w:r>
      <w:bookmarkEnd w:id="35"/>
      <w:bookmarkEnd w:id="36"/>
      <w:r w:rsidR="00491B3A" w:rsidRPr="00F92AC3">
        <w:t xml:space="preserve"> </w:t>
      </w:r>
    </w:p>
    <w:p w14:paraId="5E8A3FE2" w14:textId="77777777" w:rsidR="00375EE9" w:rsidRPr="002F2DA9" w:rsidRDefault="00375EE9" w:rsidP="00375EE9">
      <w:pPr>
        <w:pStyle w:val="COMESnumberedpara"/>
        <w:rPr>
          <w:b/>
          <w:bCs/>
        </w:rPr>
      </w:pPr>
      <w:r w:rsidRPr="006949FB">
        <w:t>The submission presented a stepped economic evaluation of lurbinectedin plus atezolizumab versus atezolizumab monotherapy as first-line maintenance treatment of ES-SCLC for patients who have not progressed following first-line induction therapy with atezolizumab, carboplatin and etoposide. The economic evaluation was based on the results of the IMforte trial, with additional modelled data. The economic evaluation was presented as a cost-effectiveness/cost-utility analysis.</w:t>
      </w:r>
    </w:p>
    <w:p w14:paraId="628CE167" w14:textId="77777777" w:rsidR="00CC5A50" w:rsidRPr="00C877A3" w:rsidRDefault="00375EE9" w:rsidP="00C877A3">
      <w:pPr>
        <w:pStyle w:val="COMESnumberedpara"/>
        <w:rPr>
          <w:b/>
          <w:bCs/>
        </w:rPr>
      </w:pPr>
      <w:r>
        <w:fldChar w:fldCharType="begin"/>
      </w:r>
      <w:r>
        <w:instrText xml:space="preserve"> REF _Ref208228416 \h </w:instrText>
      </w:r>
      <w:r>
        <w:fldChar w:fldCharType="separate"/>
      </w:r>
    </w:p>
    <w:p w14:paraId="50A6DA0F" w14:textId="6D762F66" w:rsidR="00C877A3" w:rsidRPr="00C877A3" w:rsidRDefault="00CC5A50" w:rsidP="00C877A3">
      <w:pPr>
        <w:pStyle w:val="COMESnumberedpara"/>
        <w:rPr>
          <w:b/>
          <w:bCs/>
        </w:rPr>
      </w:pPr>
      <w:r w:rsidRPr="00C877A3">
        <w:rPr>
          <w:b/>
          <w:bCs/>
        </w:rPr>
        <w:t xml:space="preserve">Table </w:t>
      </w:r>
      <w:r>
        <w:rPr>
          <w:b/>
          <w:bCs/>
          <w:noProof/>
        </w:rPr>
        <w:t>7</w:t>
      </w:r>
      <w:r w:rsidR="00375EE9">
        <w:fldChar w:fldCharType="end"/>
      </w:r>
      <w:r w:rsidR="00375EE9">
        <w:t xml:space="preserve"> summarises the key components of the economic evaluation.</w:t>
      </w:r>
      <w:r w:rsidR="00375EE9" w:rsidRPr="002F2DA9">
        <w:rPr>
          <w:color w:val="0066FF"/>
        </w:rPr>
        <w:t xml:space="preserve"> </w:t>
      </w:r>
      <w:bookmarkStart w:id="37" w:name="_Ref208228416"/>
    </w:p>
    <w:p w14:paraId="37397786" w14:textId="5402CDE6" w:rsidR="00375EE9" w:rsidRPr="00C877A3" w:rsidRDefault="00375EE9" w:rsidP="00C877A3">
      <w:pPr>
        <w:pStyle w:val="PBACTabletext"/>
        <w:keepNext w:val="0"/>
        <w:widowControl w:val="0"/>
        <w:rPr>
          <w:b/>
          <w:bCs/>
        </w:rPr>
      </w:pPr>
      <w:r w:rsidRPr="00C877A3">
        <w:rPr>
          <w:b/>
          <w:bCs/>
        </w:rPr>
        <w:t xml:space="preserve">Table </w:t>
      </w:r>
      <w:r w:rsidR="00FF30BC" w:rsidRPr="00C877A3">
        <w:rPr>
          <w:b/>
          <w:bCs/>
        </w:rPr>
        <w:fldChar w:fldCharType="begin"/>
      </w:r>
      <w:r w:rsidR="00FF30BC" w:rsidRPr="00C877A3">
        <w:rPr>
          <w:b/>
          <w:bCs/>
        </w:rPr>
        <w:instrText xml:space="preserve"> SEQ Table \* ARABIC </w:instrText>
      </w:r>
      <w:r w:rsidR="00FF30BC" w:rsidRPr="00C877A3">
        <w:rPr>
          <w:b/>
          <w:bCs/>
        </w:rPr>
        <w:fldChar w:fldCharType="separate"/>
      </w:r>
      <w:r w:rsidR="00CC5A50">
        <w:rPr>
          <w:b/>
          <w:bCs/>
          <w:noProof/>
        </w:rPr>
        <w:t>7</w:t>
      </w:r>
      <w:r w:rsidR="00FF30BC" w:rsidRPr="00C877A3">
        <w:rPr>
          <w:b/>
          <w:bCs/>
          <w:noProof/>
        </w:rPr>
        <w:fldChar w:fldCharType="end"/>
      </w:r>
      <w:bookmarkEnd w:id="37"/>
      <w:r w:rsidRPr="00C877A3">
        <w:rPr>
          <w:b/>
          <w:bCs/>
        </w:rP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7: Key components of the economic evaluation"/>
      </w:tblPr>
      <w:tblGrid>
        <w:gridCol w:w="2034"/>
        <w:gridCol w:w="6983"/>
      </w:tblGrid>
      <w:tr w:rsidR="00375EE9" w:rsidRPr="00EE4A5E" w14:paraId="69C04704" w14:textId="77777777" w:rsidTr="00D32759">
        <w:trPr>
          <w:tblHeader/>
        </w:trPr>
        <w:tc>
          <w:tcPr>
            <w:tcW w:w="1128" w:type="pct"/>
            <w:vAlign w:val="center"/>
          </w:tcPr>
          <w:p w14:paraId="32AB26F9" w14:textId="77777777" w:rsidR="00375EE9" w:rsidRPr="00EE4A5E" w:rsidRDefault="00375EE9" w:rsidP="00C877A3">
            <w:pPr>
              <w:pStyle w:val="COMTableheadingrow"/>
              <w:keepNext w:val="0"/>
              <w:widowControl w:val="0"/>
            </w:pPr>
            <w:r w:rsidRPr="00EE4A5E">
              <w:t>Component</w:t>
            </w:r>
          </w:p>
        </w:tc>
        <w:tc>
          <w:tcPr>
            <w:tcW w:w="3872" w:type="pct"/>
            <w:vAlign w:val="center"/>
          </w:tcPr>
          <w:p w14:paraId="6B02E962" w14:textId="77777777" w:rsidR="00375EE9" w:rsidRPr="00EE4A5E" w:rsidRDefault="00375EE9" w:rsidP="00C877A3">
            <w:pPr>
              <w:pStyle w:val="COMTableheadingrow"/>
              <w:keepNext w:val="0"/>
              <w:widowControl w:val="0"/>
            </w:pPr>
            <w:r w:rsidRPr="00EE4A5E">
              <w:t>Summary</w:t>
            </w:r>
          </w:p>
        </w:tc>
      </w:tr>
      <w:tr w:rsidR="00375EE9" w:rsidRPr="00EE4A5E" w14:paraId="46669835" w14:textId="77777777" w:rsidTr="00D32759">
        <w:tc>
          <w:tcPr>
            <w:tcW w:w="1128" w:type="pct"/>
            <w:vAlign w:val="center"/>
          </w:tcPr>
          <w:p w14:paraId="10714C62" w14:textId="77777777" w:rsidR="00375EE9" w:rsidRPr="00EE4A5E" w:rsidRDefault="00375EE9" w:rsidP="00C877A3">
            <w:pPr>
              <w:pStyle w:val="COMTabletext"/>
              <w:keepNext w:val="0"/>
              <w:widowControl w:val="0"/>
            </w:pPr>
            <w:r w:rsidRPr="00EE4A5E">
              <w:t>Type of analysis</w:t>
            </w:r>
          </w:p>
        </w:tc>
        <w:tc>
          <w:tcPr>
            <w:tcW w:w="3872" w:type="pct"/>
          </w:tcPr>
          <w:p w14:paraId="658BFC9A" w14:textId="77777777" w:rsidR="00375EE9" w:rsidRPr="00EE4A5E" w:rsidRDefault="00375EE9" w:rsidP="00C877A3">
            <w:pPr>
              <w:pStyle w:val="COMTabletext"/>
              <w:keepNext w:val="0"/>
              <w:widowControl w:val="0"/>
            </w:pPr>
            <w:r w:rsidRPr="00EE4A5E">
              <w:t>Cost-effectiveness analysis and cost-utility analysis</w:t>
            </w:r>
          </w:p>
        </w:tc>
      </w:tr>
      <w:tr w:rsidR="00375EE9" w:rsidRPr="00EE4A5E" w14:paraId="4D04D6D9" w14:textId="77777777" w:rsidTr="00D32759">
        <w:tc>
          <w:tcPr>
            <w:tcW w:w="1128" w:type="pct"/>
            <w:vAlign w:val="center"/>
          </w:tcPr>
          <w:p w14:paraId="68E9F12F" w14:textId="77777777" w:rsidR="00375EE9" w:rsidRPr="00EE4A5E" w:rsidRDefault="00375EE9" w:rsidP="00C877A3">
            <w:pPr>
              <w:pStyle w:val="COMTabletext"/>
              <w:keepNext w:val="0"/>
              <w:widowControl w:val="0"/>
            </w:pPr>
            <w:r w:rsidRPr="00EE4A5E">
              <w:t>Treatments</w:t>
            </w:r>
          </w:p>
        </w:tc>
        <w:tc>
          <w:tcPr>
            <w:tcW w:w="3872" w:type="pct"/>
            <w:vAlign w:val="center"/>
          </w:tcPr>
          <w:p w14:paraId="71D6804C" w14:textId="77777777" w:rsidR="00375EE9" w:rsidRPr="00EE4A5E" w:rsidRDefault="00375EE9" w:rsidP="00C877A3">
            <w:pPr>
              <w:pStyle w:val="COMTabletext"/>
              <w:keepNext w:val="0"/>
              <w:widowControl w:val="0"/>
            </w:pPr>
            <w:r w:rsidRPr="00EE4A5E">
              <w:t>Lurbinectedin plus atezolizumab versus atezolizumab monotherapy</w:t>
            </w:r>
          </w:p>
        </w:tc>
      </w:tr>
      <w:tr w:rsidR="00375EE9" w:rsidRPr="00EE4A5E" w14:paraId="4FAACF5D" w14:textId="77777777" w:rsidTr="00D32759">
        <w:tc>
          <w:tcPr>
            <w:tcW w:w="1128" w:type="pct"/>
            <w:vAlign w:val="center"/>
          </w:tcPr>
          <w:p w14:paraId="4DB32AC2" w14:textId="77777777" w:rsidR="00375EE9" w:rsidRPr="00EE4A5E" w:rsidRDefault="00375EE9" w:rsidP="00C877A3">
            <w:pPr>
              <w:pStyle w:val="COMTabletext"/>
              <w:keepNext w:val="0"/>
              <w:widowControl w:val="0"/>
            </w:pPr>
            <w:r w:rsidRPr="00EE4A5E">
              <w:t>Outcomes</w:t>
            </w:r>
          </w:p>
        </w:tc>
        <w:tc>
          <w:tcPr>
            <w:tcW w:w="3872" w:type="pct"/>
          </w:tcPr>
          <w:p w14:paraId="6D7C2BD7" w14:textId="77777777" w:rsidR="00375EE9" w:rsidRPr="00EE4A5E" w:rsidRDefault="00375EE9" w:rsidP="00C877A3">
            <w:pPr>
              <w:pStyle w:val="COMTabletext"/>
              <w:keepNext w:val="0"/>
              <w:widowControl w:val="0"/>
            </w:pPr>
            <w:r w:rsidRPr="00EE4A5E">
              <w:t>Progression free life years; life years; quality adjusted life years</w:t>
            </w:r>
          </w:p>
        </w:tc>
      </w:tr>
      <w:tr w:rsidR="00375EE9" w:rsidRPr="00EE4A5E" w14:paraId="17835C8B" w14:textId="77777777" w:rsidTr="00D32759">
        <w:tc>
          <w:tcPr>
            <w:tcW w:w="1128" w:type="pct"/>
            <w:vAlign w:val="center"/>
          </w:tcPr>
          <w:p w14:paraId="66E21127" w14:textId="77777777" w:rsidR="00375EE9" w:rsidRPr="00EE4A5E" w:rsidRDefault="00375EE9" w:rsidP="00C877A3">
            <w:pPr>
              <w:pStyle w:val="COMTabletext"/>
              <w:keepNext w:val="0"/>
              <w:widowControl w:val="0"/>
            </w:pPr>
            <w:r w:rsidRPr="00EE4A5E">
              <w:t>Time horizon</w:t>
            </w:r>
          </w:p>
        </w:tc>
        <w:tc>
          <w:tcPr>
            <w:tcW w:w="3872" w:type="pct"/>
          </w:tcPr>
          <w:p w14:paraId="09B8F45D" w14:textId="6DFCD9AD" w:rsidR="00375EE9" w:rsidRPr="00EE4A5E" w:rsidRDefault="00375EE9" w:rsidP="00C877A3">
            <w:pPr>
              <w:pStyle w:val="COMTabletext"/>
              <w:keepNext w:val="0"/>
              <w:widowControl w:val="0"/>
            </w:pPr>
            <w:r w:rsidRPr="00EE4A5E">
              <w:t>7.5 years in the model base case versus a median follow-up of 14.95 months in the IMforte trial</w:t>
            </w:r>
            <w:r w:rsidR="009606E9" w:rsidRPr="00EE4A5E">
              <w:t xml:space="preserve">. </w:t>
            </w:r>
            <w:r w:rsidR="00490EAC">
              <w:t>This was truncated to 5 years in the pre-PBAC response.</w:t>
            </w:r>
          </w:p>
        </w:tc>
      </w:tr>
      <w:tr w:rsidR="00375EE9" w:rsidRPr="00EE4A5E" w14:paraId="644BF17E" w14:textId="77777777" w:rsidTr="00D32759">
        <w:tc>
          <w:tcPr>
            <w:tcW w:w="1128" w:type="pct"/>
            <w:vAlign w:val="center"/>
          </w:tcPr>
          <w:p w14:paraId="25820249" w14:textId="77777777" w:rsidR="00375EE9" w:rsidRPr="00EE4A5E" w:rsidRDefault="00375EE9" w:rsidP="00C877A3">
            <w:pPr>
              <w:pStyle w:val="COMTabletext"/>
              <w:keepNext w:val="0"/>
              <w:widowControl w:val="0"/>
            </w:pPr>
            <w:r w:rsidRPr="00EE4A5E">
              <w:t>Cycle length</w:t>
            </w:r>
          </w:p>
        </w:tc>
        <w:tc>
          <w:tcPr>
            <w:tcW w:w="3872" w:type="pct"/>
          </w:tcPr>
          <w:p w14:paraId="079E706E" w14:textId="134E1DC1" w:rsidR="00375EE9" w:rsidRPr="00EE4A5E" w:rsidRDefault="00375EE9" w:rsidP="00C877A3">
            <w:pPr>
              <w:pStyle w:val="COMTabletext"/>
              <w:keepNext w:val="0"/>
              <w:widowControl w:val="0"/>
            </w:pPr>
            <w:r w:rsidRPr="00EE4A5E">
              <w:t>One week</w:t>
            </w:r>
          </w:p>
        </w:tc>
      </w:tr>
      <w:tr w:rsidR="00375EE9" w:rsidRPr="00EE4A5E" w14:paraId="165F99A8" w14:textId="77777777" w:rsidTr="00D32759">
        <w:tc>
          <w:tcPr>
            <w:tcW w:w="1128" w:type="pct"/>
            <w:vAlign w:val="center"/>
          </w:tcPr>
          <w:p w14:paraId="507C5E31" w14:textId="77777777" w:rsidR="00375EE9" w:rsidRPr="00EE4A5E" w:rsidRDefault="00375EE9" w:rsidP="00C877A3">
            <w:pPr>
              <w:pStyle w:val="COMTabletext"/>
              <w:keepNext w:val="0"/>
              <w:widowControl w:val="0"/>
            </w:pPr>
            <w:r w:rsidRPr="00EE4A5E">
              <w:t>Methods used to generate results</w:t>
            </w:r>
          </w:p>
        </w:tc>
        <w:tc>
          <w:tcPr>
            <w:tcW w:w="3872" w:type="pct"/>
          </w:tcPr>
          <w:p w14:paraId="4E365B76" w14:textId="77777777" w:rsidR="00375EE9" w:rsidRPr="00EE4A5E" w:rsidRDefault="00375EE9" w:rsidP="00C877A3">
            <w:pPr>
              <w:pStyle w:val="COMTabletext"/>
              <w:keepNext w:val="0"/>
              <w:widowControl w:val="0"/>
            </w:pPr>
            <w:r w:rsidRPr="00EE4A5E">
              <w:t>Partitioned survival analysis</w:t>
            </w:r>
          </w:p>
        </w:tc>
      </w:tr>
      <w:tr w:rsidR="00375EE9" w:rsidRPr="00EE4A5E" w14:paraId="507FBF7B" w14:textId="77777777" w:rsidTr="00D32759">
        <w:tc>
          <w:tcPr>
            <w:tcW w:w="1128" w:type="pct"/>
            <w:vAlign w:val="center"/>
          </w:tcPr>
          <w:p w14:paraId="6C968910" w14:textId="77777777" w:rsidR="00375EE9" w:rsidRPr="00EE4A5E" w:rsidRDefault="00375EE9" w:rsidP="00C877A3">
            <w:pPr>
              <w:pStyle w:val="COMTabletext"/>
              <w:keepNext w:val="0"/>
              <w:widowControl w:val="0"/>
            </w:pPr>
            <w:r w:rsidRPr="00EE4A5E">
              <w:t>Health states</w:t>
            </w:r>
          </w:p>
        </w:tc>
        <w:tc>
          <w:tcPr>
            <w:tcW w:w="3872" w:type="pct"/>
          </w:tcPr>
          <w:p w14:paraId="66150C24" w14:textId="77777777" w:rsidR="00375EE9" w:rsidRPr="00EE4A5E" w:rsidRDefault="00375EE9" w:rsidP="00C877A3">
            <w:pPr>
              <w:pStyle w:val="COMTabletext"/>
              <w:keepNext w:val="0"/>
              <w:widowControl w:val="0"/>
            </w:pPr>
            <w:r w:rsidRPr="00EE4A5E">
              <w:t>Progression free; progressed disease; dead</w:t>
            </w:r>
          </w:p>
        </w:tc>
      </w:tr>
      <w:tr w:rsidR="00375EE9" w:rsidRPr="00EE4A5E" w14:paraId="15CD6493" w14:textId="77777777" w:rsidTr="00C877A3">
        <w:trPr>
          <w:cantSplit/>
        </w:trPr>
        <w:tc>
          <w:tcPr>
            <w:tcW w:w="1128" w:type="pct"/>
            <w:vAlign w:val="center"/>
          </w:tcPr>
          <w:p w14:paraId="4FE1BBEE" w14:textId="77777777" w:rsidR="00375EE9" w:rsidRPr="00EE4A5E" w:rsidRDefault="00375EE9" w:rsidP="00C877A3">
            <w:pPr>
              <w:pStyle w:val="COMTabletext"/>
              <w:keepNext w:val="0"/>
              <w:widowControl w:val="0"/>
            </w:pPr>
            <w:r w:rsidRPr="00EE4A5E">
              <w:t>Allocation to health states</w:t>
            </w:r>
          </w:p>
        </w:tc>
        <w:tc>
          <w:tcPr>
            <w:tcW w:w="3872" w:type="pct"/>
            <w:vAlign w:val="center"/>
          </w:tcPr>
          <w:p w14:paraId="21F38908" w14:textId="77777777" w:rsidR="00375EE9" w:rsidRPr="00EE4A5E" w:rsidRDefault="00375EE9" w:rsidP="00C877A3">
            <w:pPr>
              <w:pStyle w:val="COMTabletext"/>
              <w:keepNext w:val="0"/>
              <w:widowControl w:val="0"/>
              <w:spacing w:after="60"/>
            </w:pPr>
            <w:r w:rsidRPr="00EE4A5E">
              <w:t>The proportions of patients who were progression free, progressed and dead were informed by modelled overall survival (OS) and progression free survival (PFS) curves.</w:t>
            </w:r>
          </w:p>
          <w:p w14:paraId="5405B5EF" w14:textId="6E015846" w:rsidR="00E574ED" w:rsidRPr="00EE4A5E" w:rsidRDefault="00375EE9" w:rsidP="00C877A3">
            <w:pPr>
              <w:pStyle w:val="COMTabletext"/>
              <w:keepNext w:val="0"/>
              <w:widowControl w:val="0"/>
              <w:spacing w:after="60"/>
            </w:pPr>
            <w:r w:rsidRPr="00EE4A5E">
              <w:t>Kaplan-Meier estimates for OS and PFS were derived from the IMforte trial and were used directly in the model up to 14.95 months (based on the median duration of follow-up), then extrapolated over the model time horizon using standard parametric functions (OS was extrapolated using a loglogistic function for each treatment arm; PFS was extrapolated using a lognormal function for each treatment arm</w:t>
            </w:r>
            <w:r w:rsidR="0056748C" w:rsidRPr="00EE4A5E">
              <w:t>; non-proportional hazards were justified in the submission</w:t>
            </w:r>
            <w:r w:rsidRPr="00EE4A5E">
              <w:t>). Sensitivity analyses assess the impact of including risk convergence and curve convergence.</w:t>
            </w:r>
            <w:r w:rsidR="00E574ED" w:rsidRPr="00EE4A5E">
              <w:t xml:space="preserve"> See discussion in </w:t>
            </w:r>
            <w:r w:rsidR="00E574ED" w:rsidRPr="00EE4A5E">
              <w:fldChar w:fldCharType="begin"/>
            </w:r>
            <w:r w:rsidR="00E574ED" w:rsidRPr="00EE4A5E">
              <w:instrText xml:space="preserve"> REF _Ref104805122 \h  \* MERGEFORMAT </w:instrText>
            </w:r>
            <w:r w:rsidR="00E574ED" w:rsidRPr="00EE4A5E">
              <w:fldChar w:fldCharType="separate"/>
            </w:r>
            <w:r w:rsidR="00CC5A50" w:rsidRPr="0098262F">
              <w:t xml:space="preserve">Table </w:t>
            </w:r>
            <w:r w:rsidR="00CC5A50">
              <w:rPr>
                <w:noProof/>
              </w:rPr>
              <w:t>8</w:t>
            </w:r>
            <w:r w:rsidR="00E574ED" w:rsidRPr="00EE4A5E">
              <w:fldChar w:fldCharType="end"/>
            </w:r>
            <w:r w:rsidR="00881F33" w:rsidRPr="00EE4A5E">
              <w:t>,</w:t>
            </w:r>
            <w:r w:rsidR="00E574ED" w:rsidRPr="00EE4A5E">
              <w:t xml:space="preserve"> ‘Overall survival extrapolation’ </w:t>
            </w:r>
            <w:r w:rsidR="00881F33" w:rsidRPr="00EE4A5E">
              <w:t xml:space="preserve">section </w:t>
            </w:r>
            <w:r w:rsidR="00E574ED" w:rsidRPr="00EE4A5E">
              <w:t>for further discussion on the extrapolations.</w:t>
            </w:r>
          </w:p>
          <w:p w14:paraId="2D50E1A0" w14:textId="77777777" w:rsidR="00375EE9" w:rsidRPr="00EE4A5E" w:rsidRDefault="00375EE9" w:rsidP="00C877A3">
            <w:pPr>
              <w:pStyle w:val="COMTabletext"/>
              <w:keepNext w:val="0"/>
              <w:widowControl w:val="0"/>
              <w:spacing w:after="60"/>
            </w:pPr>
            <w:r w:rsidRPr="00EE4A5E">
              <w:t>Adjustments were included in the model to ensure that PFS did not exceed OS in any cycle, and that the progression-free and overall survival event risks in each cycle were no lower than the risk of death in the age- and sex-matched Australian population, based on ABS life tables. These adjustments do not affect model results in the base case, as PFS did not exceed OS, and event risks remained higher than general population mortality over the model time horizon.</w:t>
            </w:r>
          </w:p>
          <w:p w14:paraId="12EC7EE9" w14:textId="5AC15D9A" w:rsidR="00375EE9" w:rsidRPr="00EE4A5E" w:rsidRDefault="00375EE9" w:rsidP="00C877A3">
            <w:pPr>
              <w:pStyle w:val="COMTabletext"/>
              <w:keepNext w:val="0"/>
              <w:widowControl w:val="0"/>
            </w:pPr>
            <w:r w:rsidRPr="00EE4A5E">
              <w:rPr>
                <w:bCs w:val="0"/>
              </w:rPr>
              <w:t xml:space="preserve">Time on maintenance treatment was based on trial-based estimates of the </w:t>
            </w:r>
            <w:r w:rsidR="002F596B" w:rsidRPr="00EE4A5E">
              <w:rPr>
                <w:bCs w:val="0"/>
              </w:rPr>
              <w:t>m</w:t>
            </w:r>
            <w:r w:rsidR="002F596B" w:rsidRPr="00EE4A5E">
              <w:t xml:space="preserve">ean </w:t>
            </w:r>
            <w:r w:rsidRPr="00EE4A5E">
              <w:rPr>
                <w:bCs w:val="0"/>
              </w:rPr>
              <w:t>number of cycles of therapy, which were not extrapolated beyond the duration of the trial.</w:t>
            </w:r>
          </w:p>
        </w:tc>
      </w:tr>
      <w:tr w:rsidR="00375EE9" w:rsidRPr="00EE4A5E" w14:paraId="3370915F" w14:textId="77777777" w:rsidTr="00D32759">
        <w:tc>
          <w:tcPr>
            <w:tcW w:w="1128" w:type="pct"/>
            <w:vAlign w:val="center"/>
          </w:tcPr>
          <w:p w14:paraId="03980A29" w14:textId="77777777" w:rsidR="00375EE9" w:rsidRPr="00EE4A5E" w:rsidRDefault="00375EE9" w:rsidP="00C877A3">
            <w:pPr>
              <w:pStyle w:val="COMTabletext"/>
              <w:keepNext w:val="0"/>
              <w:widowControl w:val="0"/>
            </w:pPr>
            <w:r w:rsidRPr="00EE4A5E">
              <w:t>Utility values</w:t>
            </w:r>
          </w:p>
        </w:tc>
        <w:tc>
          <w:tcPr>
            <w:tcW w:w="3872" w:type="pct"/>
            <w:vAlign w:val="center"/>
          </w:tcPr>
          <w:p w14:paraId="7ACA878E" w14:textId="463A4402" w:rsidR="00375EE9" w:rsidRPr="00EE4A5E" w:rsidRDefault="00375EE9" w:rsidP="00C877A3">
            <w:pPr>
              <w:pStyle w:val="COMTabletext"/>
              <w:keepNext w:val="0"/>
              <w:widowControl w:val="0"/>
              <w:spacing w:after="60"/>
              <w:rPr>
                <w:szCs w:val="20"/>
              </w:rPr>
            </w:pPr>
            <w:r w:rsidRPr="00EE4A5E">
              <w:t>Health state utilities were derived from alternative utilities used in a sensitivity analysis in the July 2019 atezolizumab submission, derived from EQ-5D-5L data from the atezolizumab IMpower133 trial (</w:t>
            </w:r>
            <w:r w:rsidRPr="00EE4A5E">
              <w:rPr>
                <w:szCs w:val="20"/>
              </w:rPr>
              <w:t>progression-free 0.72; progressed disease 0.70)</w:t>
            </w:r>
            <w:r w:rsidRPr="00EE4A5E">
              <w:t>. Sensitivity analyses explored the impact of using EORTC QLQ-C30 data from the IMforte trial mapped to EQ-5D-3L using the Longworth 2014 algorithm (</w:t>
            </w:r>
            <w:r w:rsidRPr="001A1F7A">
              <w:rPr>
                <w:szCs w:val="20"/>
              </w:rPr>
              <w:t>progression-free 0.706; progressed disease 0.675); and</w:t>
            </w:r>
            <w:r w:rsidRPr="00EE4A5E">
              <w:rPr>
                <w:szCs w:val="20"/>
              </w:rPr>
              <w:t xml:space="preserve"> health state utilities commonly used in published economic evaluations (Nafees 2008, Yang 2019, Shen 2018).</w:t>
            </w:r>
            <w:r w:rsidR="00314315" w:rsidRPr="00EE4A5E">
              <w:rPr>
                <w:szCs w:val="20"/>
              </w:rPr>
              <w:t xml:space="preserve"> The ESC </w:t>
            </w:r>
            <w:r w:rsidR="002126D8" w:rsidRPr="00EE4A5E">
              <w:rPr>
                <w:szCs w:val="20"/>
              </w:rPr>
              <w:t xml:space="preserve">noted that </w:t>
            </w:r>
            <w:r w:rsidR="004E1927" w:rsidRPr="00EE4A5E">
              <w:rPr>
                <w:szCs w:val="20"/>
              </w:rPr>
              <w:t xml:space="preserve">utility </w:t>
            </w:r>
            <w:r w:rsidR="002126D8" w:rsidRPr="00EE4A5E">
              <w:rPr>
                <w:szCs w:val="20"/>
              </w:rPr>
              <w:t xml:space="preserve">values applied in the base case </w:t>
            </w:r>
            <w:r w:rsidR="004569D2" w:rsidRPr="00EE4A5E">
              <w:rPr>
                <w:szCs w:val="20"/>
              </w:rPr>
              <w:t xml:space="preserve">to the progression-free and progressed health states </w:t>
            </w:r>
            <w:r w:rsidR="004E1927" w:rsidRPr="00EE4A5E">
              <w:rPr>
                <w:szCs w:val="20"/>
              </w:rPr>
              <w:t>from</w:t>
            </w:r>
            <w:r w:rsidR="004569D2" w:rsidRPr="00EE4A5E">
              <w:rPr>
                <w:szCs w:val="20"/>
              </w:rPr>
              <w:t xml:space="preserve"> the</w:t>
            </w:r>
            <w:r w:rsidR="004E1927" w:rsidRPr="00EE4A5E">
              <w:rPr>
                <w:szCs w:val="20"/>
              </w:rPr>
              <w:t xml:space="preserve"> IMpower</w:t>
            </w:r>
            <w:r w:rsidR="004569D2" w:rsidRPr="00EE4A5E">
              <w:rPr>
                <w:szCs w:val="20"/>
              </w:rPr>
              <w:t xml:space="preserve">133 trial </w:t>
            </w:r>
            <w:r w:rsidR="002126D8" w:rsidRPr="00EE4A5E">
              <w:rPr>
                <w:szCs w:val="20"/>
              </w:rPr>
              <w:t>were very</w:t>
            </w:r>
            <w:r w:rsidR="004E1927" w:rsidRPr="00EE4A5E">
              <w:rPr>
                <w:szCs w:val="20"/>
              </w:rPr>
              <w:t xml:space="preserve"> similar</w:t>
            </w:r>
            <w:r w:rsidR="00990BAC" w:rsidRPr="00EE4A5E">
              <w:rPr>
                <w:szCs w:val="20"/>
              </w:rPr>
              <w:t xml:space="preserve">. </w:t>
            </w:r>
            <w:r w:rsidR="000D3B93" w:rsidRPr="00EE4A5E">
              <w:rPr>
                <w:szCs w:val="20"/>
              </w:rPr>
              <w:t>The ESC</w:t>
            </w:r>
            <w:r w:rsidR="003C257F" w:rsidRPr="00EE4A5E">
              <w:rPr>
                <w:szCs w:val="20"/>
              </w:rPr>
              <w:t xml:space="preserve"> </w:t>
            </w:r>
            <w:r w:rsidR="00314315" w:rsidRPr="00EE4A5E">
              <w:rPr>
                <w:szCs w:val="20"/>
              </w:rPr>
              <w:t xml:space="preserve">considered that </w:t>
            </w:r>
            <w:r w:rsidR="0080400F" w:rsidRPr="00EE4A5E">
              <w:rPr>
                <w:szCs w:val="20"/>
              </w:rPr>
              <w:t>it may not be clinically plausible for the two health states to have such similar utilities and considered this may indicate limited availability of EQ-5D data in patients’ post-progression in the IMpower133 trial.</w:t>
            </w:r>
          </w:p>
          <w:p w14:paraId="46BF496C" w14:textId="730287E0" w:rsidR="00375EE9" w:rsidRPr="00EE4A5E" w:rsidRDefault="00375EE9" w:rsidP="00C877A3">
            <w:pPr>
              <w:pStyle w:val="COMTabletext"/>
              <w:keepNext w:val="0"/>
              <w:widowControl w:val="0"/>
            </w:pPr>
            <w:r w:rsidRPr="00EE4A5E">
              <w:t>The QALY loss associated with adverse events in each arm was based on serious adverse events with an incidence of at least 2% of patients in any treatment arm</w:t>
            </w:r>
            <w:r w:rsidR="00C72ED3" w:rsidRPr="00EE4A5E">
              <w:t xml:space="preserve"> (</w:t>
            </w:r>
            <w:r w:rsidR="00E66B3C" w:rsidRPr="00EE4A5E">
              <w:t>pneumonia, respiratory tract infection, dyspnoea, decreased platelet count)</w:t>
            </w:r>
            <w:r w:rsidRPr="00EE4A5E">
              <w:t>, disutilities from Sullivan 2011, and an implied duration of each serious adverse event of one year.</w:t>
            </w:r>
            <w:r w:rsidR="00B1321B" w:rsidRPr="00EE4A5E">
              <w:t xml:space="preserve"> See paragraph </w:t>
            </w:r>
            <w:r w:rsidR="009606E9" w:rsidRPr="00EE4A5E">
              <w:fldChar w:fldCharType="begin"/>
            </w:r>
            <w:r w:rsidR="009606E9" w:rsidRPr="00EE4A5E">
              <w:instrText xml:space="preserve"> REF _Ref211434458 \r \h </w:instrText>
            </w:r>
            <w:r w:rsidR="00EE4A5E" w:rsidRPr="00EE4A5E">
              <w:instrText xml:space="preserve"> \* MERGEFORMAT </w:instrText>
            </w:r>
            <w:r w:rsidR="009606E9" w:rsidRPr="00EE4A5E">
              <w:fldChar w:fldCharType="separate"/>
            </w:r>
            <w:r w:rsidR="00CC5A50">
              <w:t>6.45</w:t>
            </w:r>
            <w:r w:rsidR="009606E9" w:rsidRPr="00EE4A5E">
              <w:fldChar w:fldCharType="end"/>
            </w:r>
            <w:r w:rsidR="009606E9" w:rsidRPr="00EE4A5E">
              <w:t xml:space="preserve"> for </w:t>
            </w:r>
            <w:r w:rsidR="006F4C16" w:rsidRPr="00EE4A5E">
              <w:t>further</w:t>
            </w:r>
            <w:r w:rsidR="009606E9" w:rsidRPr="00EE4A5E">
              <w:t xml:space="preserve"> detail.</w:t>
            </w:r>
          </w:p>
        </w:tc>
      </w:tr>
      <w:tr w:rsidR="00375EE9" w:rsidRPr="00EE4A5E" w14:paraId="6E358F43" w14:textId="77777777" w:rsidTr="00C877A3">
        <w:trPr>
          <w:cantSplit/>
        </w:trPr>
        <w:tc>
          <w:tcPr>
            <w:tcW w:w="1128" w:type="pct"/>
            <w:vAlign w:val="center"/>
          </w:tcPr>
          <w:p w14:paraId="0085BAE3" w14:textId="77777777" w:rsidR="00375EE9" w:rsidRPr="00EE4A5E" w:rsidRDefault="00375EE9" w:rsidP="00C877A3">
            <w:pPr>
              <w:pStyle w:val="COMTabletext"/>
              <w:keepNext w:val="0"/>
              <w:widowControl w:val="0"/>
            </w:pPr>
            <w:r w:rsidRPr="00EE4A5E">
              <w:t>Costs</w:t>
            </w:r>
          </w:p>
        </w:tc>
        <w:tc>
          <w:tcPr>
            <w:tcW w:w="3872" w:type="pct"/>
            <w:vAlign w:val="center"/>
          </w:tcPr>
          <w:p w14:paraId="255F53FC" w14:textId="3D61B9F8" w:rsidR="00375EE9" w:rsidRPr="00EE4A5E" w:rsidRDefault="00375EE9" w:rsidP="00C877A3">
            <w:pPr>
              <w:pStyle w:val="COMTabletext"/>
              <w:keepNext w:val="0"/>
              <w:widowControl w:val="0"/>
              <w:spacing w:after="60"/>
            </w:pPr>
            <w:r w:rsidRPr="00EE4A5E">
              <w:t xml:space="preserve">Lurbinectedin treatment costs were based on the dosing regimen in the </w:t>
            </w:r>
            <w:r w:rsidR="004041D3" w:rsidRPr="00EE4A5E">
              <w:t xml:space="preserve">IMforte trial (consistent with the </w:t>
            </w:r>
            <w:r w:rsidRPr="00EE4A5E">
              <w:t>draft lurbinectedin Product Information</w:t>
            </w:r>
            <w:r w:rsidR="004041D3" w:rsidRPr="00EE4A5E">
              <w:t>)</w:t>
            </w:r>
            <w:r w:rsidRPr="00EE4A5E">
              <w:t xml:space="preserve">, </w:t>
            </w:r>
            <w:r w:rsidR="004041D3" w:rsidRPr="00EE4A5E">
              <w:t xml:space="preserve">the distribution of 2 mg vials required per dose based on body surface area data from the IMforte trial, </w:t>
            </w:r>
            <w:r w:rsidRPr="00EE4A5E">
              <w:t>the proposed effective price, and the mean number of lurbinectedin doses in the IMforte trial.</w:t>
            </w:r>
            <w:r w:rsidR="00B9248C" w:rsidRPr="00EE4A5E">
              <w:t xml:space="preserve"> The ESC noted that </w:t>
            </w:r>
            <w:r w:rsidR="00ED2DCF" w:rsidRPr="00EE4A5E">
              <w:t>the estimated costs for lurbinectedin were based on the 2 mg vial</w:t>
            </w:r>
            <w:r w:rsidR="00636285">
              <w:t xml:space="preserve"> only. </w:t>
            </w:r>
            <w:r w:rsidR="005D30A3">
              <w:t xml:space="preserve">The pre-PBAC response </w:t>
            </w:r>
            <w:r w:rsidR="00CD7B7F">
              <w:t>reduced the EMP of the 2 mg vial from $</w:t>
            </w:r>
            <w:r w:rsidR="00C8249A" w:rsidRPr="00C8249A">
              <w:rPr>
                <w:highlight w:val="black"/>
              </w:rPr>
              <w:t>&amp;&amp;&amp;&amp;</w:t>
            </w:r>
            <w:r w:rsidR="00CD7B7F">
              <w:t xml:space="preserve"> to $</w:t>
            </w:r>
            <w:r w:rsidR="00C8249A" w:rsidRPr="00C8249A">
              <w:rPr>
                <w:highlight w:val="black"/>
              </w:rPr>
              <w:t>&amp;&amp;&amp;&amp;</w:t>
            </w:r>
            <w:r w:rsidR="002F1085">
              <w:t>.</w:t>
            </w:r>
          </w:p>
          <w:p w14:paraId="5525A2E5" w14:textId="060AF695" w:rsidR="00375EE9" w:rsidRPr="00EE4A5E" w:rsidRDefault="00375EE9" w:rsidP="00C877A3">
            <w:pPr>
              <w:pStyle w:val="COMTabletext"/>
              <w:keepNext w:val="0"/>
              <w:widowControl w:val="0"/>
              <w:spacing w:after="60"/>
            </w:pPr>
            <w:r w:rsidRPr="00EE4A5E">
              <w:t>Atezolizumab treatment costs were based on the dosing regimen in the atezolizumab Product Information, an effective price based on the assumption of a 75% rebate, and the mean number of atezolizumab doses in each arm of the IMforte trial.</w:t>
            </w:r>
            <w:r w:rsidR="004F195E" w:rsidRPr="00EE4A5E">
              <w:t xml:space="preserve"> </w:t>
            </w:r>
          </w:p>
          <w:p w14:paraId="10BE78EB" w14:textId="003085F9" w:rsidR="00DB5007" w:rsidRPr="00EE4A5E" w:rsidRDefault="00C678E4" w:rsidP="00C877A3">
            <w:pPr>
              <w:pStyle w:val="COMTabletext"/>
              <w:keepNext w:val="0"/>
              <w:widowControl w:val="0"/>
              <w:spacing w:after="60"/>
            </w:pPr>
            <w:r w:rsidRPr="00EE4A5E">
              <w:t xml:space="preserve">See </w:t>
            </w:r>
            <w:r w:rsidR="00117741" w:rsidRPr="00EE4A5E">
              <w:t xml:space="preserve">discussion in </w:t>
            </w:r>
            <w:r w:rsidR="00117741" w:rsidRPr="00EE4A5E">
              <w:fldChar w:fldCharType="begin"/>
            </w:r>
            <w:r w:rsidR="00117741" w:rsidRPr="00EE4A5E">
              <w:instrText xml:space="preserve"> REF _Ref104805122 \h </w:instrText>
            </w:r>
            <w:r w:rsidR="00DB5007" w:rsidRPr="00EE4A5E">
              <w:instrText xml:space="preserve"> \* MERGEFORMAT </w:instrText>
            </w:r>
            <w:r w:rsidR="00117741" w:rsidRPr="00EE4A5E">
              <w:fldChar w:fldCharType="separate"/>
            </w:r>
            <w:r w:rsidR="00CC5A50" w:rsidRPr="0098262F">
              <w:t xml:space="preserve">Table </w:t>
            </w:r>
            <w:r w:rsidR="00CC5A50">
              <w:rPr>
                <w:noProof/>
              </w:rPr>
              <w:t>8</w:t>
            </w:r>
            <w:r w:rsidR="00117741" w:rsidRPr="00EE4A5E">
              <w:fldChar w:fldCharType="end"/>
            </w:r>
            <w:r w:rsidR="00881F33" w:rsidRPr="00EE4A5E">
              <w:t>,</w:t>
            </w:r>
            <w:r w:rsidR="00DB5007" w:rsidRPr="00EE4A5E">
              <w:t xml:space="preserve"> ‘Overall survival extrapolation’</w:t>
            </w:r>
            <w:r w:rsidR="00881F33" w:rsidRPr="00EE4A5E">
              <w:t xml:space="preserve"> section</w:t>
            </w:r>
            <w:r w:rsidR="00DB5007" w:rsidRPr="00EE4A5E">
              <w:t xml:space="preserve"> for further discussion on treatment costs. </w:t>
            </w:r>
          </w:p>
          <w:p w14:paraId="1FE700F3" w14:textId="05B8771E" w:rsidR="00375EE9" w:rsidRPr="00EE4A5E" w:rsidRDefault="00375EE9" w:rsidP="00C877A3">
            <w:pPr>
              <w:pStyle w:val="COMTabletext"/>
              <w:keepNext w:val="0"/>
              <w:widowControl w:val="0"/>
              <w:spacing w:after="60"/>
            </w:pPr>
            <w:r w:rsidRPr="00EE4A5E">
              <w:t>Administration costs were based on MBS Item 13950 and the mean number of doses administered in the IMforte trial.</w:t>
            </w:r>
          </w:p>
          <w:p w14:paraId="7C1C2CA9" w14:textId="77777777" w:rsidR="00375EE9" w:rsidRPr="00EE4A5E" w:rsidRDefault="00375EE9" w:rsidP="00C877A3">
            <w:pPr>
              <w:pStyle w:val="COMTabletext"/>
              <w:keepNext w:val="0"/>
              <w:widowControl w:val="0"/>
              <w:spacing w:after="60"/>
            </w:pPr>
            <w:r w:rsidRPr="00EE4A5E">
              <w:t>Concomitant therapy costs associated with G-CSF prophylaxis were based on the use of filgrastim assuming one administration per lurbinectedin treatment cycle.</w:t>
            </w:r>
          </w:p>
          <w:p w14:paraId="5FEA4D0C" w14:textId="6CD84EA0" w:rsidR="00375EE9" w:rsidRPr="00EE4A5E" w:rsidRDefault="00375EE9" w:rsidP="00C877A3">
            <w:pPr>
              <w:pStyle w:val="COMTabletext"/>
              <w:keepNext w:val="0"/>
              <w:widowControl w:val="0"/>
              <w:spacing w:after="60"/>
            </w:pPr>
            <w:r w:rsidRPr="00EE4A5E">
              <w:t>Adverse event costs were based on serious adverse events with an incidence of at least 2% in either treatment arm of the IMforte trial, and 2019-2020 NHCDC admitted acute cost weights for AR-DRG Version 10.0, assuming minor complexity only.</w:t>
            </w:r>
            <w:r w:rsidR="009D1225" w:rsidRPr="00EE4A5E">
              <w:t xml:space="preserve"> The ESC noted that costs of </w:t>
            </w:r>
            <w:r w:rsidR="001641B5" w:rsidRPr="00EE4A5E">
              <w:t>adverse event</w:t>
            </w:r>
            <w:r w:rsidR="009D1225" w:rsidRPr="00EE4A5E">
              <w:t xml:space="preserve">s </w:t>
            </w:r>
            <w:r w:rsidR="00DF2403" w:rsidRPr="00EE4A5E">
              <w:t>did</w:t>
            </w:r>
            <w:r w:rsidR="009D1225" w:rsidRPr="00EE4A5E">
              <w:t xml:space="preserve"> not account for patients experiencing more than one </w:t>
            </w:r>
            <w:r w:rsidR="001641B5" w:rsidRPr="00EE4A5E">
              <w:t xml:space="preserve">adverse event. Further, only hospital costs for minor complexity </w:t>
            </w:r>
            <w:r w:rsidR="00DD65D3" w:rsidRPr="00EE4A5E">
              <w:t xml:space="preserve">are included, instead of weighted minor/major complexity. </w:t>
            </w:r>
          </w:p>
          <w:p w14:paraId="3A9AB6BA" w14:textId="77777777" w:rsidR="00375EE9" w:rsidRPr="00EE4A5E" w:rsidRDefault="00375EE9" w:rsidP="00C877A3">
            <w:pPr>
              <w:pStyle w:val="COMTabletext"/>
              <w:keepNext w:val="0"/>
              <w:widowControl w:val="0"/>
              <w:spacing w:after="60"/>
            </w:pPr>
            <w:r w:rsidRPr="00EE4A5E">
              <w:t>Costs associated with subsequent therapies were based on the proportion of patients receiving subsequent anti-cancer therapies in the IMforte trial, with the costs of carboplatin plus etoposide, based on the eviQ protocol, used as a proxy for all therapies. Administration costs were included based on MBS Item 13950. The costs associated with subsequent radiotherapy or surgery were not included.</w:t>
            </w:r>
          </w:p>
          <w:p w14:paraId="5C60D097" w14:textId="77777777" w:rsidR="00375EE9" w:rsidRPr="00EE4A5E" w:rsidRDefault="00375EE9" w:rsidP="00C877A3">
            <w:pPr>
              <w:pStyle w:val="COMTabletext"/>
              <w:keepNext w:val="0"/>
              <w:widowControl w:val="0"/>
              <w:spacing w:after="60"/>
            </w:pPr>
            <w:r w:rsidRPr="00EE4A5E">
              <w:t>Health state costs were based on the frequency of CT scans and MRIs recommended in the NCCN (2025) and ESMO (Dingemans 2021) guidelines (applied to patients in the progression-free state only) and the assumption that all patients would require a specialist consultation every 4 weeks. Unit costs were based on MBS items 105, 56301 and 63001.</w:t>
            </w:r>
          </w:p>
          <w:p w14:paraId="092F1497" w14:textId="77777777" w:rsidR="00375EE9" w:rsidRPr="00EE4A5E" w:rsidRDefault="00375EE9" w:rsidP="00C877A3">
            <w:pPr>
              <w:pStyle w:val="COMTabletext"/>
              <w:keepNext w:val="0"/>
              <w:widowControl w:val="0"/>
            </w:pPr>
            <w:r w:rsidRPr="00EE4A5E">
              <w:t>Terminal care costs associated with lung cancer death were derived from the AIHW ‘The last year of life: patterns in health service use and expenditure’ dataset. It was assumed that there would be no costs associated with other deaths. The proportions of deaths due to lung cancer were based on deaths due to disease progression in the IMforte trial.</w:t>
            </w:r>
          </w:p>
        </w:tc>
      </w:tr>
      <w:tr w:rsidR="00375EE9" w:rsidRPr="00EE4A5E" w14:paraId="573B9498" w14:textId="77777777" w:rsidTr="00D32759">
        <w:tc>
          <w:tcPr>
            <w:tcW w:w="1128" w:type="pct"/>
            <w:vAlign w:val="center"/>
          </w:tcPr>
          <w:p w14:paraId="17C5F634" w14:textId="77777777" w:rsidR="00375EE9" w:rsidRPr="00EE4A5E" w:rsidRDefault="00375EE9" w:rsidP="00C877A3">
            <w:pPr>
              <w:pStyle w:val="COMTabletext"/>
              <w:keepNext w:val="0"/>
              <w:widowControl w:val="0"/>
            </w:pPr>
            <w:r w:rsidRPr="00EE4A5E">
              <w:t>Discounting</w:t>
            </w:r>
          </w:p>
        </w:tc>
        <w:tc>
          <w:tcPr>
            <w:tcW w:w="3872" w:type="pct"/>
          </w:tcPr>
          <w:p w14:paraId="2082DBEB" w14:textId="77777777" w:rsidR="00375EE9" w:rsidRPr="00EE4A5E" w:rsidRDefault="00375EE9" w:rsidP="00C877A3">
            <w:pPr>
              <w:pStyle w:val="COMTabletext"/>
              <w:keepNext w:val="0"/>
              <w:widowControl w:val="0"/>
            </w:pPr>
            <w:r w:rsidRPr="00EE4A5E">
              <w:t>5% per year applied to costs and outcomes</w:t>
            </w:r>
          </w:p>
        </w:tc>
      </w:tr>
      <w:tr w:rsidR="00375EE9" w:rsidRPr="00EE4A5E" w14:paraId="34CEFD3A" w14:textId="77777777" w:rsidTr="00D32759">
        <w:tc>
          <w:tcPr>
            <w:tcW w:w="1128" w:type="pct"/>
            <w:vAlign w:val="center"/>
          </w:tcPr>
          <w:p w14:paraId="23C07D56" w14:textId="77777777" w:rsidR="00375EE9" w:rsidRPr="00EE4A5E" w:rsidRDefault="00375EE9" w:rsidP="00C877A3">
            <w:pPr>
              <w:pStyle w:val="COMTabletext"/>
              <w:keepNext w:val="0"/>
              <w:widowControl w:val="0"/>
            </w:pPr>
            <w:r w:rsidRPr="00EE4A5E">
              <w:t>Software package</w:t>
            </w:r>
          </w:p>
        </w:tc>
        <w:tc>
          <w:tcPr>
            <w:tcW w:w="3872" w:type="pct"/>
          </w:tcPr>
          <w:p w14:paraId="2A951839" w14:textId="77777777" w:rsidR="00375EE9" w:rsidRPr="00EE4A5E" w:rsidRDefault="00375EE9" w:rsidP="00C877A3">
            <w:pPr>
              <w:pStyle w:val="COMTabletext"/>
              <w:keepNext w:val="0"/>
              <w:widowControl w:val="0"/>
            </w:pPr>
            <w:r w:rsidRPr="00EE4A5E">
              <w:t>Excel 2021</w:t>
            </w:r>
          </w:p>
        </w:tc>
      </w:tr>
    </w:tbl>
    <w:p w14:paraId="03D56E98" w14:textId="77777777" w:rsidR="00375EE9" w:rsidRDefault="00375EE9" w:rsidP="00C877A3">
      <w:pPr>
        <w:pStyle w:val="COMtablefooter0"/>
        <w:keepLines/>
        <w:widowControl w:val="0"/>
      </w:pPr>
      <w:r w:rsidRPr="00893517">
        <w:t>Source: Sections 3.3 to 3.6, pp148-177 of the submission.</w:t>
      </w:r>
    </w:p>
    <w:p w14:paraId="2E006C80" w14:textId="77777777" w:rsidR="00375EE9" w:rsidRDefault="00375EE9" w:rsidP="00C877A3">
      <w:pPr>
        <w:pStyle w:val="COMtablefooter0"/>
        <w:keepLines/>
        <w:widowControl w:val="0"/>
      </w:pPr>
      <w:r>
        <w:t>Abbreviations:</w:t>
      </w:r>
      <w:r w:rsidRPr="003678A0">
        <w:t xml:space="preserve"> </w:t>
      </w:r>
      <w:r>
        <w:t xml:space="preserve">ABS, Australian Bureau of Statistics; AIHW, Australian Institute of Health and Welfare; AR-DRG, Australian Refined Diagnosis Related Group; CT, computed tomography; EORTC QLQ-C30, </w:t>
      </w:r>
      <w:r w:rsidRPr="005F4C99">
        <w:t>European Organisation for Research and Treatment of Cancer</w:t>
      </w:r>
      <w:r>
        <w:t xml:space="preserve"> Quality of Life Questionnaire; ESMO, European Society for Medical Oncology; G-CSF, granulocyte colony stimulating factor; MBS, Medicare Benefits Schedule; MRI, magnetic resonance imaging; NCCN, National Comprehensive Cancer Network; NHCDC, </w:t>
      </w:r>
      <w:r w:rsidRPr="00615705">
        <w:t>National Hospital Cost Data Collection</w:t>
      </w:r>
      <w:r>
        <w:t xml:space="preserve">; </w:t>
      </w:r>
      <w:r w:rsidRPr="0000082C">
        <w:t xml:space="preserve">OS, overall survival; PFS, progression free survival; </w:t>
      </w:r>
      <w:r>
        <w:t>QALY, quality adjusted life year.</w:t>
      </w:r>
    </w:p>
    <w:p w14:paraId="614F3594" w14:textId="438407F2" w:rsidR="00375EE9" w:rsidRPr="00893517" w:rsidRDefault="00375EE9" w:rsidP="00375EE9">
      <w:pPr>
        <w:pStyle w:val="COMESnumberedpara"/>
        <w:rPr>
          <w:i/>
          <w:iCs/>
        </w:rPr>
      </w:pPr>
      <w:bookmarkStart w:id="38" w:name="_Ref211430113"/>
      <w:r w:rsidRPr="00F01C7D">
        <w:t xml:space="preserve">The economic model utilised a partitioned survival analysis with 3 mutually exclusive health states of progression free, progressed disease, and dead, based on extrapolated progression free survival and overall survival curves from the lurbinectedin plus atezolizumab and atezolizumab monotherapy arms of the IMforte trial over a </w:t>
      </w:r>
      <w:r w:rsidR="00833AFA" w:rsidRPr="00F01C7D">
        <w:t>7.5-year</w:t>
      </w:r>
      <w:r w:rsidRPr="00F01C7D">
        <w:t xml:space="preserve"> time horizon. The PBAC previously considered a time horizon of 5 years appropriate for atezolizumab for ES-SCLC </w:t>
      </w:r>
      <w:r w:rsidR="00833AFA" w:rsidRPr="00F01C7D">
        <w:t>and</w:t>
      </w:r>
      <w:r w:rsidRPr="00F01C7D">
        <w:t xml:space="preserve"> based on the uncertain magnitude of overall survival benefit, recommended that overall survival curves should converge between 2 and 5 years (para</w:t>
      </w:r>
      <w:r w:rsidR="00D44A0F">
        <w:t>graph</w:t>
      </w:r>
      <w:r w:rsidRPr="00F01C7D">
        <w:t xml:space="preserve"> 7.12, atezolizumab PSD, July 2019 PBAC meeting). </w:t>
      </w:r>
      <w:r w:rsidR="004C7C45">
        <w:t xml:space="preserve">The pre-PBAC response </w:t>
      </w:r>
      <w:r w:rsidR="005C43D7">
        <w:t xml:space="preserve">reduced the time horizon to 5 years. </w:t>
      </w:r>
      <w:r w:rsidRPr="00F01C7D">
        <w:t xml:space="preserve">The lurbinectedin model does not incorporate convergence in the base </w:t>
      </w:r>
      <w:r w:rsidR="00833AFA" w:rsidRPr="00F01C7D">
        <w:t>case but</w:t>
      </w:r>
      <w:r w:rsidRPr="00F01C7D">
        <w:t xml:space="preserve"> explored the impact of convergence in sensitivity analyses.</w:t>
      </w:r>
      <w:bookmarkEnd w:id="38"/>
      <w:r w:rsidR="00024F47">
        <w:t xml:space="preserve"> </w:t>
      </w:r>
    </w:p>
    <w:p w14:paraId="36C748C1" w14:textId="6A0E7E68" w:rsidR="00375EE9" w:rsidRPr="00F01C7D" w:rsidRDefault="00375EE9" w:rsidP="00375EE9">
      <w:pPr>
        <w:pStyle w:val="COMESnumberedpara"/>
      </w:pPr>
      <w:r w:rsidRPr="00F01C7D">
        <w:t xml:space="preserve">Key drivers of the economic model are summarised in </w:t>
      </w:r>
      <w:r w:rsidRPr="00F01C7D">
        <w:fldChar w:fldCharType="begin"/>
      </w:r>
      <w:r w:rsidRPr="00F01C7D">
        <w:instrText xml:space="preserve"> REF _Ref104805122 \h </w:instrText>
      </w:r>
      <w:r w:rsidR="00F01C7D" w:rsidRPr="00F01C7D">
        <w:instrText xml:space="preserve"> \* MERGEFORMAT </w:instrText>
      </w:r>
      <w:r w:rsidRPr="00F01C7D">
        <w:fldChar w:fldCharType="separate"/>
      </w:r>
      <w:r w:rsidR="00CC5A50" w:rsidRPr="0098262F">
        <w:t xml:space="preserve">Table </w:t>
      </w:r>
      <w:r w:rsidR="00CC5A50">
        <w:rPr>
          <w:noProof/>
        </w:rPr>
        <w:t>8</w:t>
      </w:r>
      <w:r w:rsidRPr="00F01C7D">
        <w:fldChar w:fldCharType="end"/>
      </w:r>
      <w:r w:rsidRPr="00F01C7D">
        <w:t>.</w:t>
      </w:r>
    </w:p>
    <w:p w14:paraId="163EF3BA" w14:textId="2B8BC4C3" w:rsidR="00375EE9" w:rsidRPr="0098262F" w:rsidRDefault="00375EE9" w:rsidP="00375EE9">
      <w:pPr>
        <w:pStyle w:val="COMTableFigurecaption"/>
      </w:pPr>
      <w:bookmarkStart w:id="39" w:name="_Ref104805122"/>
      <w:r w:rsidRPr="0098262F">
        <w:t xml:space="preserve">Table </w:t>
      </w:r>
      <w:r w:rsidR="00FF30BC">
        <w:fldChar w:fldCharType="begin"/>
      </w:r>
      <w:r w:rsidR="00FF30BC">
        <w:instrText xml:space="preserve"> SEQ Table \* ARABIC </w:instrText>
      </w:r>
      <w:r w:rsidR="00FF30BC">
        <w:fldChar w:fldCharType="separate"/>
      </w:r>
      <w:r w:rsidR="00CC5A50">
        <w:rPr>
          <w:noProof/>
        </w:rPr>
        <w:t>8</w:t>
      </w:r>
      <w:r w:rsidR="00FF30BC">
        <w:rPr>
          <w:noProof/>
        </w:rPr>
        <w:fldChar w:fldCharType="end"/>
      </w:r>
      <w:bookmarkEnd w:id="39"/>
      <w:r w:rsidRPr="0098262F">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Key drivers of the model"/>
      </w:tblPr>
      <w:tblGrid>
        <w:gridCol w:w="1413"/>
        <w:gridCol w:w="6379"/>
        <w:gridCol w:w="1225"/>
      </w:tblGrid>
      <w:tr w:rsidR="00375EE9" w:rsidRPr="009832DC" w14:paraId="32528651" w14:textId="77777777" w:rsidTr="00893517">
        <w:trPr>
          <w:cantSplit/>
          <w:tblHeader/>
        </w:trPr>
        <w:tc>
          <w:tcPr>
            <w:tcW w:w="784" w:type="pct"/>
            <w:vAlign w:val="center"/>
          </w:tcPr>
          <w:p w14:paraId="0818D15C" w14:textId="77777777" w:rsidR="00375EE9" w:rsidRPr="009832DC" w:rsidRDefault="00375EE9" w:rsidP="00893517">
            <w:pPr>
              <w:pStyle w:val="COMTableheadingrow"/>
              <w:keepNext w:val="0"/>
              <w:keepLines w:val="0"/>
            </w:pPr>
            <w:r w:rsidRPr="009832DC">
              <w:t>Description</w:t>
            </w:r>
          </w:p>
        </w:tc>
        <w:tc>
          <w:tcPr>
            <w:tcW w:w="3537" w:type="pct"/>
            <w:vAlign w:val="center"/>
          </w:tcPr>
          <w:p w14:paraId="3B245F09" w14:textId="77777777" w:rsidR="00375EE9" w:rsidRPr="009832DC" w:rsidRDefault="00375EE9" w:rsidP="00893517">
            <w:pPr>
              <w:pStyle w:val="COMTableheadingrow"/>
              <w:keepNext w:val="0"/>
              <w:keepLines w:val="0"/>
            </w:pPr>
            <w:r w:rsidRPr="009832DC">
              <w:t>Method/Value</w:t>
            </w:r>
          </w:p>
        </w:tc>
        <w:tc>
          <w:tcPr>
            <w:tcW w:w="679" w:type="pct"/>
            <w:vAlign w:val="center"/>
          </w:tcPr>
          <w:p w14:paraId="7D5EA0FA" w14:textId="77777777" w:rsidR="00375EE9" w:rsidRPr="009832DC" w:rsidRDefault="00375EE9" w:rsidP="00893517">
            <w:pPr>
              <w:pStyle w:val="COMTableheadingrow"/>
              <w:keepNext w:val="0"/>
              <w:keepLines w:val="0"/>
              <w:jc w:val="center"/>
            </w:pPr>
            <w:r w:rsidRPr="009832DC">
              <w:t>Impact</w:t>
            </w:r>
          </w:p>
        </w:tc>
      </w:tr>
      <w:tr w:rsidR="00375EE9" w:rsidRPr="009832DC" w14:paraId="37A34563" w14:textId="77777777" w:rsidTr="00893517">
        <w:trPr>
          <w:cantSplit/>
        </w:trPr>
        <w:tc>
          <w:tcPr>
            <w:tcW w:w="784" w:type="pct"/>
            <w:vAlign w:val="center"/>
          </w:tcPr>
          <w:p w14:paraId="22F78FB1" w14:textId="77777777" w:rsidR="00375EE9" w:rsidRPr="009832DC" w:rsidRDefault="00375EE9" w:rsidP="00893517">
            <w:pPr>
              <w:pStyle w:val="COMTabletext"/>
              <w:keepNext w:val="0"/>
              <w:keepLines w:val="0"/>
              <w:rPr>
                <w:szCs w:val="20"/>
              </w:rPr>
            </w:pPr>
            <w:r w:rsidRPr="009832DC">
              <w:rPr>
                <w:szCs w:val="20"/>
              </w:rPr>
              <w:t>Overall survival extrapolation</w:t>
            </w:r>
          </w:p>
        </w:tc>
        <w:tc>
          <w:tcPr>
            <w:tcW w:w="3537" w:type="pct"/>
            <w:vAlign w:val="center"/>
          </w:tcPr>
          <w:p w14:paraId="0E5050F8" w14:textId="77777777" w:rsidR="00375EE9" w:rsidRPr="009832DC" w:rsidRDefault="00375EE9" w:rsidP="00893517">
            <w:pPr>
              <w:pStyle w:val="COMTabletext"/>
              <w:keepNext w:val="0"/>
              <w:keepLines w:val="0"/>
              <w:spacing w:after="60"/>
              <w:rPr>
                <w:szCs w:val="20"/>
              </w:rPr>
            </w:pPr>
            <w:r w:rsidRPr="009832DC">
              <w:rPr>
                <w:szCs w:val="20"/>
              </w:rPr>
              <w:t xml:space="preserve">The Kaplan Meier overall survival curve for each treatment arm from the IMforte trial was used up to cycle 66 of the model (14.95 months). The point of extrapolation was based on the median duration of follow-up of the IMforte trial. An assessment of data maturity conducted in the submission using the </w:t>
            </w:r>
            <w:proofErr w:type="spellStart"/>
            <w:r w:rsidRPr="009832DC">
              <w:rPr>
                <w:szCs w:val="20"/>
              </w:rPr>
              <w:t>Gebzki</w:t>
            </w:r>
            <w:proofErr w:type="spellEnd"/>
            <w:r w:rsidRPr="009832DC">
              <w:rPr>
                <w:szCs w:val="20"/>
              </w:rPr>
              <w:t xml:space="preserve"> 2018 criteria indicated that Kaplan Meier data remained reliable over 19.5 to 21.7 months. Sensitivity analyses indicated that the model was sensitive to extending the point of extrapolation to the lower bound of reliability (19.5 months in the lurbinectedin plus atezolizumab arm; 19.8 months in the atezolizumab arm).</w:t>
            </w:r>
          </w:p>
          <w:p w14:paraId="0998544E" w14:textId="47B8ADC9" w:rsidR="002E2DD6" w:rsidRPr="009832DC" w:rsidRDefault="000A4C56" w:rsidP="00893517">
            <w:pPr>
              <w:pStyle w:val="COMTabletext"/>
              <w:keepNext w:val="0"/>
              <w:keepLines w:val="0"/>
              <w:spacing w:after="60"/>
              <w:rPr>
                <w:szCs w:val="20"/>
              </w:rPr>
            </w:pPr>
            <w:r w:rsidRPr="009832DC">
              <w:rPr>
                <w:szCs w:val="20"/>
              </w:rPr>
              <w:t>In the base case, overall s</w:t>
            </w:r>
            <w:r w:rsidR="00375EE9" w:rsidRPr="009832DC">
              <w:rPr>
                <w:szCs w:val="20"/>
              </w:rPr>
              <w:t>urvival curves were extrapolated using independently derived loglogistic functions for each treatment arm. The submission claimed that the loglogistic function was the most suitable based on goodness of fit statistics (AIC and BIC), visual inspection, and comparison of survival estimates to estimates from long-term studies. The submission claimed that the generalised gamma, Gompertz and Weibull functions were overly pessimistic, based on comparisons with long-term studies.</w:t>
            </w:r>
            <w:r w:rsidR="00375EE9" w:rsidRPr="009832DC">
              <w:t xml:space="preserve"> </w:t>
            </w:r>
            <w:r w:rsidR="00375EE9" w:rsidRPr="009832DC">
              <w:rPr>
                <w:szCs w:val="20"/>
              </w:rPr>
              <w:t xml:space="preserve">Data from long-term follow-up of the durvalumab CASPIAN trial (Paz-Arez 2022) demonstrated 3-year survival of 17.6% and data from the extension study of the atezolizumab IMpower133 trial (Reck 2024) demonstrated 3-year survival of 16% and 5-year survival of 12%. </w:t>
            </w:r>
            <w:proofErr w:type="gramStart"/>
            <w:r w:rsidR="00375EE9" w:rsidRPr="009832DC">
              <w:rPr>
                <w:szCs w:val="20"/>
              </w:rPr>
              <w:t>All of</w:t>
            </w:r>
            <w:proofErr w:type="gramEnd"/>
            <w:r w:rsidR="00375EE9" w:rsidRPr="009832DC">
              <w:rPr>
                <w:szCs w:val="20"/>
              </w:rPr>
              <w:t xml:space="preserve"> the extrapolation functions appeared to underestimate overall survival in the atezolizumab arm, based on the longer-term follow-up data. In the base case of the model, 10.7% of patients in the atezolizumab arm remain alive at 3 years, and 4.5% of patients remain alive at 5 years, suggesting that the model substantially underestimates survival in the atezolizumab arm.</w:t>
            </w:r>
            <w:r w:rsidR="004A45FB" w:rsidRPr="009832DC">
              <w:rPr>
                <w:szCs w:val="20"/>
              </w:rPr>
              <w:t xml:space="preserve"> </w:t>
            </w:r>
            <w:r w:rsidR="000B4FF6" w:rsidRPr="009832DC">
              <w:rPr>
                <w:szCs w:val="20"/>
              </w:rPr>
              <w:t xml:space="preserve">The PSCR </w:t>
            </w:r>
            <w:r w:rsidR="00567D6D" w:rsidRPr="009832DC">
              <w:rPr>
                <w:szCs w:val="20"/>
              </w:rPr>
              <w:t xml:space="preserve">stated that the CASPIAN </w:t>
            </w:r>
            <w:r w:rsidR="00641794" w:rsidRPr="009832DC">
              <w:rPr>
                <w:szCs w:val="20"/>
              </w:rPr>
              <w:t xml:space="preserve">and IMpower133 </w:t>
            </w:r>
            <w:r w:rsidR="00567D6D" w:rsidRPr="009832DC">
              <w:rPr>
                <w:szCs w:val="20"/>
              </w:rPr>
              <w:t xml:space="preserve">trials were both induction </w:t>
            </w:r>
            <w:r w:rsidR="00641794" w:rsidRPr="009832DC">
              <w:rPr>
                <w:szCs w:val="20"/>
              </w:rPr>
              <w:t>plus</w:t>
            </w:r>
            <w:r w:rsidR="00567D6D" w:rsidRPr="009832DC">
              <w:rPr>
                <w:szCs w:val="20"/>
              </w:rPr>
              <w:t xml:space="preserve"> maintenance trials, whereas the IMforte trial is exclusively a maintenance trial</w:t>
            </w:r>
            <w:r w:rsidR="00886091" w:rsidRPr="009832DC">
              <w:rPr>
                <w:szCs w:val="20"/>
              </w:rPr>
              <w:t>, meaning the comparison of modelled overall survival is misleading.</w:t>
            </w:r>
          </w:p>
          <w:p w14:paraId="1E296950" w14:textId="3D71BC13" w:rsidR="00375EE9" w:rsidRPr="009832DC" w:rsidRDefault="004A45FB" w:rsidP="00893517">
            <w:pPr>
              <w:pStyle w:val="COMTabletext"/>
              <w:keepNext w:val="0"/>
              <w:keepLines w:val="0"/>
              <w:rPr>
                <w:szCs w:val="20"/>
              </w:rPr>
            </w:pPr>
            <w:r w:rsidRPr="009832DC">
              <w:rPr>
                <w:szCs w:val="20"/>
              </w:rPr>
              <w:t xml:space="preserve">The ESC </w:t>
            </w:r>
            <w:r w:rsidR="00191DF5" w:rsidRPr="009832DC">
              <w:rPr>
                <w:szCs w:val="20"/>
              </w:rPr>
              <w:t>noted that based on statistical fit (AIC/BIC), the best fitting functions were the</w:t>
            </w:r>
            <w:r w:rsidR="0034269E" w:rsidRPr="009832DC">
              <w:rPr>
                <w:szCs w:val="20"/>
              </w:rPr>
              <w:t xml:space="preserve"> Weibull function for the lurbinectedin plus atezolizumab arm</w:t>
            </w:r>
            <w:r w:rsidR="00B32DBF" w:rsidRPr="009832DC">
              <w:rPr>
                <w:szCs w:val="20"/>
              </w:rPr>
              <w:t xml:space="preserve"> and the loglogistic function for the atezolizumab only arm</w:t>
            </w:r>
            <w:r w:rsidR="00AD2338" w:rsidRPr="009832DC">
              <w:rPr>
                <w:szCs w:val="20"/>
              </w:rPr>
              <w:t xml:space="preserve">. </w:t>
            </w:r>
            <w:r w:rsidR="007D2C29" w:rsidRPr="009832DC">
              <w:rPr>
                <w:szCs w:val="20"/>
              </w:rPr>
              <w:t xml:space="preserve">The ESC noted that </w:t>
            </w:r>
            <w:r w:rsidR="00AD2338" w:rsidRPr="009832DC">
              <w:rPr>
                <w:szCs w:val="20"/>
              </w:rPr>
              <w:t xml:space="preserve">both </w:t>
            </w:r>
            <w:r w:rsidR="004F311E" w:rsidRPr="009832DC">
              <w:rPr>
                <w:szCs w:val="20"/>
              </w:rPr>
              <w:t xml:space="preserve">functions </w:t>
            </w:r>
            <w:r w:rsidR="00AD2338" w:rsidRPr="009832DC">
              <w:rPr>
                <w:szCs w:val="20"/>
              </w:rPr>
              <w:t xml:space="preserve">appeared </w:t>
            </w:r>
            <w:r w:rsidR="004F311E" w:rsidRPr="009832DC">
              <w:rPr>
                <w:szCs w:val="20"/>
              </w:rPr>
              <w:t xml:space="preserve">to be a </w:t>
            </w:r>
            <w:r w:rsidR="00AD2338" w:rsidRPr="009832DC">
              <w:rPr>
                <w:szCs w:val="20"/>
              </w:rPr>
              <w:t>reasonable fit</w:t>
            </w:r>
            <w:r w:rsidR="00514C21" w:rsidRPr="009832DC">
              <w:rPr>
                <w:szCs w:val="20"/>
              </w:rPr>
              <w:t xml:space="preserve"> for the available overall survival </w:t>
            </w:r>
            <w:r w:rsidR="00F81A33" w:rsidRPr="009832DC">
              <w:rPr>
                <w:szCs w:val="20"/>
              </w:rPr>
              <w:t>data,</w:t>
            </w:r>
            <w:r w:rsidR="00B32DBF" w:rsidRPr="009832DC">
              <w:rPr>
                <w:szCs w:val="20"/>
              </w:rPr>
              <w:t xml:space="preserve"> </w:t>
            </w:r>
            <w:r w:rsidR="00B8569E" w:rsidRPr="009832DC">
              <w:rPr>
                <w:szCs w:val="20"/>
              </w:rPr>
              <w:t>and</w:t>
            </w:r>
            <w:r w:rsidR="007E79D9" w:rsidRPr="009832DC">
              <w:rPr>
                <w:szCs w:val="20"/>
              </w:rPr>
              <w:t xml:space="preserve"> </w:t>
            </w:r>
            <w:r w:rsidR="004F311E" w:rsidRPr="009832DC">
              <w:rPr>
                <w:szCs w:val="20"/>
              </w:rPr>
              <w:t xml:space="preserve">that </w:t>
            </w:r>
            <w:r w:rsidR="007E79D9" w:rsidRPr="009832DC">
              <w:rPr>
                <w:szCs w:val="20"/>
              </w:rPr>
              <w:t xml:space="preserve">the model </w:t>
            </w:r>
            <w:r w:rsidR="009C1F40" w:rsidRPr="009832DC">
              <w:rPr>
                <w:szCs w:val="20"/>
              </w:rPr>
              <w:t>was</w:t>
            </w:r>
            <w:r w:rsidR="007E79D9" w:rsidRPr="009832DC">
              <w:rPr>
                <w:szCs w:val="20"/>
              </w:rPr>
              <w:t xml:space="preserve"> sensitive to this choice</w:t>
            </w:r>
            <w:r w:rsidR="004F311E" w:rsidRPr="009832DC">
              <w:rPr>
                <w:szCs w:val="20"/>
              </w:rPr>
              <w:t xml:space="preserve">. </w:t>
            </w:r>
            <w:r w:rsidR="00375EE9" w:rsidRPr="009832DC">
              <w:rPr>
                <w:szCs w:val="20"/>
              </w:rPr>
              <w:t>The submission assumed that there would be no convergence in extrapolated overall survival in the base case analysis. This was a strong assumption in favour of lurbinectedin and was inconsistent with previous PBAC recommendations to include curve convergence when considering atezolizumab for ES-SCLC (para</w:t>
            </w:r>
            <w:r w:rsidR="009D3234">
              <w:rPr>
                <w:szCs w:val="20"/>
              </w:rPr>
              <w:t>graph</w:t>
            </w:r>
            <w:r w:rsidR="00375EE9" w:rsidRPr="009832DC">
              <w:rPr>
                <w:szCs w:val="20"/>
              </w:rPr>
              <w:t xml:space="preserve"> 7.12, atezolizumab PSD, July 2019 PBAC meeting).</w:t>
            </w:r>
            <w:r w:rsidR="00955BEE" w:rsidRPr="009832DC">
              <w:rPr>
                <w:szCs w:val="20"/>
              </w:rPr>
              <w:t xml:space="preserve"> </w:t>
            </w:r>
            <w:r w:rsidR="008C6064" w:rsidRPr="009832DC">
              <w:t xml:space="preserve">See paragraphs </w:t>
            </w:r>
            <w:r w:rsidR="008C6064" w:rsidRPr="009832DC">
              <w:fldChar w:fldCharType="begin"/>
            </w:r>
            <w:r w:rsidR="008C6064" w:rsidRPr="009832DC">
              <w:instrText xml:space="preserve"> REF _Ref211430113 \r \h </w:instrText>
            </w:r>
            <w:r w:rsidR="009832DC" w:rsidRPr="009832DC">
              <w:instrText xml:space="preserve"> \* MERGEFORMAT </w:instrText>
            </w:r>
            <w:r w:rsidR="008C6064" w:rsidRPr="009832DC">
              <w:fldChar w:fldCharType="separate"/>
            </w:r>
            <w:r w:rsidR="00CC5A50">
              <w:t>6.38</w:t>
            </w:r>
            <w:r w:rsidR="008C6064" w:rsidRPr="009832DC">
              <w:fldChar w:fldCharType="end"/>
            </w:r>
            <w:r w:rsidR="008C6064" w:rsidRPr="009832DC">
              <w:t xml:space="preserve"> and </w:t>
            </w:r>
            <w:r w:rsidR="008C6064" w:rsidRPr="009832DC">
              <w:fldChar w:fldCharType="begin"/>
            </w:r>
            <w:r w:rsidR="008C6064" w:rsidRPr="009832DC">
              <w:instrText xml:space="preserve"> REF _Ref211430125 \r \h </w:instrText>
            </w:r>
            <w:r w:rsidR="009832DC" w:rsidRPr="009832DC">
              <w:instrText xml:space="preserve"> \* MERGEFORMAT </w:instrText>
            </w:r>
            <w:r w:rsidR="008C6064" w:rsidRPr="009832DC">
              <w:fldChar w:fldCharType="separate"/>
            </w:r>
            <w:r w:rsidR="00CC5A50">
              <w:t>6.41</w:t>
            </w:r>
            <w:r w:rsidR="008C6064" w:rsidRPr="009832DC">
              <w:fldChar w:fldCharType="end"/>
            </w:r>
            <w:r w:rsidR="008C6064" w:rsidRPr="009832DC">
              <w:t xml:space="preserve"> to </w:t>
            </w:r>
            <w:r w:rsidR="008C6064" w:rsidRPr="009832DC">
              <w:fldChar w:fldCharType="begin"/>
            </w:r>
            <w:r w:rsidR="008C6064" w:rsidRPr="009832DC">
              <w:instrText xml:space="preserve"> REF _Ref211427794 \r \h </w:instrText>
            </w:r>
            <w:r w:rsidR="009832DC" w:rsidRPr="009832DC">
              <w:instrText xml:space="preserve"> \* MERGEFORMAT </w:instrText>
            </w:r>
            <w:r w:rsidR="008C6064" w:rsidRPr="009832DC">
              <w:fldChar w:fldCharType="separate"/>
            </w:r>
            <w:r w:rsidR="00CC5A50">
              <w:t>6.43</w:t>
            </w:r>
            <w:r w:rsidR="008C6064" w:rsidRPr="009832DC">
              <w:fldChar w:fldCharType="end"/>
            </w:r>
            <w:r w:rsidR="008C6064" w:rsidRPr="009832DC">
              <w:t xml:space="preserve"> for further discussion.</w:t>
            </w:r>
          </w:p>
        </w:tc>
        <w:tc>
          <w:tcPr>
            <w:tcW w:w="679" w:type="pct"/>
            <w:vAlign w:val="center"/>
          </w:tcPr>
          <w:p w14:paraId="35B9E56D" w14:textId="77777777" w:rsidR="00375EE9" w:rsidRPr="009832DC" w:rsidRDefault="00375EE9" w:rsidP="00893517">
            <w:pPr>
              <w:pStyle w:val="COMTabletext"/>
              <w:keepNext w:val="0"/>
              <w:keepLines w:val="0"/>
              <w:jc w:val="center"/>
              <w:rPr>
                <w:szCs w:val="20"/>
              </w:rPr>
            </w:pPr>
            <w:r w:rsidRPr="009832DC">
              <w:rPr>
                <w:szCs w:val="20"/>
              </w:rPr>
              <w:t>High, favours lurbinectedin</w:t>
            </w:r>
          </w:p>
        </w:tc>
      </w:tr>
      <w:tr w:rsidR="00375EE9" w:rsidRPr="009832DC" w14:paraId="230F7B6D" w14:textId="77777777" w:rsidTr="00893517">
        <w:trPr>
          <w:cantSplit/>
        </w:trPr>
        <w:tc>
          <w:tcPr>
            <w:tcW w:w="784" w:type="pct"/>
            <w:vAlign w:val="center"/>
          </w:tcPr>
          <w:p w14:paraId="0DA9C90D" w14:textId="77777777" w:rsidR="00375EE9" w:rsidRPr="009832DC" w:rsidRDefault="00375EE9" w:rsidP="00893517">
            <w:pPr>
              <w:pStyle w:val="COMTabletext"/>
              <w:keepNext w:val="0"/>
              <w:keepLines w:val="0"/>
              <w:rPr>
                <w:szCs w:val="20"/>
              </w:rPr>
            </w:pPr>
            <w:r w:rsidRPr="009832DC">
              <w:rPr>
                <w:szCs w:val="20"/>
              </w:rPr>
              <w:t>Duration of maintenance treatment</w:t>
            </w:r>
          </w:p>
        </w:tc>
        <w:tc>
          <w:tcPr>
            <w:tcW w:w="3537" w:type="pct"/>
            <w:vAlign w:val="center"/>
          </w:tcPr>
          <w:p w14:paraId="4592A248" w14:textId="77777777" w:rsidR="00375EE9" w:rsidRPr="009832DC" w:rsidRDefault="00375EE9" w:rsidP="00893517">
            <w:pPr>
              <w:spacing w:after="60"/>
              <w:jc w:val="left"/>
              <w:rPr>
                <w:rFonts w:ascii="Arial Narrow" w:hAnsi="Arial Narrow"/>
                <w:sz w:val="20"/>
                <w:szCs w:val="20"/>
              </w:rPr>
            </w:pPr>
            <w:r w:rsidRPr="009832DC">
              <w:rPr>
                <w:rFonts w:ascii="Arial Narrow" w:hAnsi="Arial Narrow"/>
                <w:sz w:val="20"/>
                <w:szCs w:val="20"/>
              </w:rPr>
              <w:t>The duration of treatment in the economic model was based on the average number of treatment cycles from the IMforte trial at the July 2024 data cut.</w:t>
            </w:r>
          </w:p>
          <w:p w14:paraId="77EC5801" w14:textId="4078CD5A" w:rsidR="00A2254A" w:rsidRPr="009832DC" w:rsidRDefault="00375EE9" w:rsidP="00893517">
            <w:pPr>
              <w:spacing w:after="60"/>
              <w:jc w:val="left"/>
              <w:rPr>
                <w:rFonts w:ascii="Arial Narrow" w:hAnsi="Arial Narrow"/>
                <w:sz w:val="20"/>
                <w:szCs w:val="20"/>
              </w:rPr>
            </w:pPr>
            <w:r w:rsidRPr="009832DC">
              <w:rPr>
                <w:rFonts w:ascii="Arial Narrow" w:hAnsi="Arial Narrow"/>
                <w:sz w:val="20"/>
                <w:szCs w:val="20"/>
              </w:rPr>
              <w:t>The model will underestimate the average duration of treatment, given 18.6% of patients in the lurbinectedin plus atezolizumab arm and 13.3% of patients in the atezolizumab arm remained on treatment at the data cut-off; and the data were not extrapolated beyond the trial, which was inconsistent with the approach used for progression-free and overall survival.</w:t>
            </w:r>
            <w:r w:rsidR="00712952" w:rsidRPr="009832DC">
              <w:rPr>
                <w:rFonts w:ascii="Arial Narrow" w:hAnsi="Arial Narrow"/>
                <w:sz w:val="20"/>
                <w:szCs w:val="20"/>
              </w:rPr>
              <w:t xml:space="preserve"> </w:t>
            </w:r>
            <w:r w:rsidR="00012468" w:rsidRPr="009832DC">
              <w:rPr>
                <w:rFonts w:ascii="Arial Narrow" w:hAnsi="Arial Narrow"/>
                <w:sz w:val="20"/>
                <w:szCs w:val="20"/>
              </w:rPr>
              <w:t xml:space="preserve">Although </w:t>
            </w:r>
            <w:r w:rsidR="000A727C" w:rsidRPr="009832DC">
              <w:rPr>
                <w:rFonts w:ascii="Arial Narrow" w:hAnsi="Arial Narrow"/>
                <w:sz w:val="20"/>
                <w:szCs w:val="20"/>
              </w:rPr>
              <w:t xml:space="preserve">Kaplan Meier </w:t>
            </w:r>
            <w:r w:rsidR="00012468" w:rsidRPr="009832DC">
              <w:rPr>
                <w:rFonts w:ascii="Arial Narrow" w:hAnsi="Arial Narrow"/>
                <w:sz w:val="20"/>
                <w:szCs w:val="20"/>
              </w:rPr>
              <w:t xml:space="preserve">time of treatment data were not available, the PSCR stated that the </w:t>
            </w:r>
            <w:r w:rsidR="00A2254A" w:rsidRPr="009832DC">
              <w:rPr>
                <w:rFonts w:ascii="Arial Narrow" w:hAnsi="Arial Narrow"/>
                <w:sz w:val="20"/>
                <w:szCs w:val="20"/>
              </w:rPr>
              <w:t>progression-free survival data indicate</w:t>
            </w:r>
            <w:r w:rsidR="00012468" w:rsidRPr="009832DC">
              <w:rPr>
                <w:rFonts w:ascii="Arial Narrow" w:hAnsi="Arial Narrow"/>
                <w:sz w:val="20"/>
                <w:szCs w:val="20"/>
              </w:rPr>
              <w:t>d</w:t>
            </w:r>
            <w:r w:rsidR="00A2254A" w:rsidRPr="009832DC">
              <w:rPr>
                <w:rFonts w:ascii="Arial Narrow" w:hAnsi="Arial Narrow"/>
                <w:sz w:val="20"/>
                <w:szCs w:val="20"/>
              </w:rPr>
              <w:t xml:space="preserve"> that less than 20.54% of patients remain alive and progression-free beyond 12 months, decreasing to less than 5% beyond 20 months. </w:t>
            </w:r>
            <w:r w:rsidR="00D45CB9" w:rsidRPr="009832DC">
              <w:rPr>
                <w:rFonts w:ascii="Arial Narrow" w:hAnsi="Arial Narrow"/>
                <w:sz w:val="20"/>
                <w:szCs w:val="20"/>
              </w:rPr>
              <w:t xml:space="preserve">Further, </w:t>
            </w:r>
            <w:r w:rsidR="00543147" w:rsidRPr="009832DC">
              <w:rPr>
                <w:rFonts w:ascii="Arial Narrow" w:hAnsi="Arial Narrow"/>
                <w:sz w:val="20"/>
                <w:szCs w:val="20"/>
              </w:rPr>
              <w:t xml:space="preserve">the PSCR noted that </w:t>
            </w:r>
            <w:r w:rsidR="00A2254A" w:rsidRPr="009832DC">
              <w:rPr>
                <w:rFonts w:ascii="Arial Narrow" w:hAnsi="Arial Narrow"/>
                <w:sz w:val="20"/>
                <w:szCs w:val="20"/>
              </w:rPr>
              <w:t xml:space="preserve">86% of lurbinectedin discontinuations were due to disease progression or death </w:t>
            </w:r>
            <w:r w:rsidR="00543147" w:rsidRPr="009832DC">
              <w:rPr>
                <w:rFonts w:ascii="Arial Narrow" w:hAnsi="Arial Narrow"/>
                <w:sz w:val="20"/>
                <w:szCs w:val="20"/>
              </w:rPr>
              <w:t>and</w:t>
            </w:r>
            <w:r w:rsidR="000C657F" w:rsidRPr="009832DC">
              <w:rPr>
                <w:rFonts w:ascii="Arial Narrow" w:hAnsi="Arial Narrow"/>
                <w:sz w:val="20"/>
                <w:szCs w:val="20"/>
              </w:rPr>
              <w:t xml:space="preserve"> only </w:t>
            </w:r>
            <w:r w:rsidR="00543147" w:rsidRPr="009832DC">
              <w:rPr>
                <w:rFonts w:ascii="Arial Narrow" w:hAnsi="Arial Narrow"/>
                <w:sz w:val="20"/>
                <w:szCs w:val="20"/>
              </w:rPr>
              <w:t xml:space="preserve">7.9% of </w:t>
            </w:r>
            <w:r w:rsidR="00650588" w:rsidRPr="009832DC">
              <w:rPr>
                <w:rFonts w:ascii="Arial Narrow" w:hAnsi="Arial Narrow"/>
                <w:sz w:val="20"/>
                <w:szCs w:val="20"/>
              </w:rPr>
              <w:t xml:space="preserve">lurbinectedin patients </w:t>
            </w:r>
            <w:r w:rsidR="00015EEF" w:rsidRPr="009832DC">
              <w:rPr>
                <w:rFonts w:ascii="Arial Narrow" w:hAnsi="Arial Narrow"/>
                <w:sz w:val="20"/>
                <w:szCs w:val="20"/>
              </w:rPr>
              <w:t xml:space="preserve">received more than 12 months of treatment </w:t>
            </w:r>
            <w:r w:rsidR="000C657F" w:rsidRPr="009832DC">
              <w:rPr>
                <w:rFonts w:ascii="Arial Narrow" w:hAnsi="Arial Narrow"/>
                <w:sz w:val="20"/>
                <w:szCs w:val="20"/>
              </w:rPr>
              <w:t xml:space="preserve">in the trial. Therefore, on balance, </w:t>
            </w:r>
            <w:r w:rsidR="00A2254A" w:rsidRPr="009832DC">
              <w:rPr>
                <w:rFonts w:ascii="Arial Narrow" w:hAnsi="Arial Narrow"/>
                <w:sz w:val="20"/>
                <w:szCs w:val="20"/>
              </w:rPr>
              <w:t xml:space="preserve">the </w:t>
            </w:r>
            <w:r w:rsidR="00D45CB9" w:rsidRPr="009832DC">
              <w:rPr>
                <w:rFonts w:ascii="Arial Narrow" w:hAnsi="Arial Narrow"/>
                <w:sz w:val="20"/>
                <w:szCs w:val="20"/>
              </w:rPr>
              <w:t xml:space="preserve">PSCR stated that </w:t>
            </w:r>
            <w:r w:rsidR="00A2254A" w:rsidRPr="009832DC">
              <w:rPr>
                <w:rFonts w:ascii="Arial Narrow" w:hAnsi="Arial Narrow"/>
                <w:sz w:val="20"/>
                <w:szCs w:val="20"/>
              </w:rPr>
              <w:t xml:space="preserve">mean exposure over the trial period is considered a reasonable estimate of expected exposure to lurbinectedin in clinical practice. </w:t>
            </w:r>
          </w:p>
          <w:p w14:paraId="35B365EE" w14:textId="77777777" w:rsidR="00375EE9" w:rsidRPr="009832DC" w:rsidRDefault="00375EE9" w:rsidP="00893517">
            <w:pPr>
              <w:jc w:val="left"/>
              <w:rPr>
                <w:rFonts w:ascii="Arial Narrow" w:hAnsi="Arial Narrow" w:cs="Aptos"/>
                <w:sz w:val="20"/>
                <w:szCs w:val="20"/>
              </w:rPr>
            </w:pPr>
            <w:r w:rsidRPr="009832DC">
              <w:rPr>
                <w:rFonts w:ascii="Arial Narrow" w:hAnsi="Arial Narrow"/>
                <w:sz w:val="20"/>
                <w:szCs w:val="20"/>
              </w:rPr>
              <w:t>Sensitivity analyses indicated that the model was sensitive to alternative estimates of treatment duration, using modelled progression-free survival as a proxy for treatment duration.</w:t>
            </w:r>
          </w:p>
        </w:tc>
        <w:tc>
          <w:tcPr>
            <w:tcW w:w="679" w:type="pct"/>
            <w:vAlign w:val="center"/>
          </w:tcPr>
          <w:p w14:paraId="3E5A2378" w14:textId="77777777" w:rsidR="00375EE9" w:rsidRPr="009832DC" w:rsidRDefault="00375EE9" w:rsidP="00893517">
            <w:pPr>
              <w:pStyle w:val="COMTabletext"/>
              <w:keepNext w:val="0"/>
              <w:keepLines w:val="0"/>
              <w:jc w:val="center"/>
              <w:rPr>
                <w:szCs w:val="20"/>
              </w:rPr>
            </w:pPr>
            <w:r w:rsidRPr="009832DC">
              <w:rPr>
                <w:szCs w:val="20"/>
              </w:rPr>
              <w:t>High, favours lurbinectedin</w:t>
            </w:r>
          </w:p>
        </w:tc>
      </w:tr>
    </w:tbl>
    <w:p w14:paraId="23FECD5B" w14:textId="77777777" w:rsidR="00375EE9" w:rsidRDefault="00375EE9" w:rsidP="00375EE9">
      <w:pPr>
        <w:pStyle w:val="COMTablefooter"/>
      </w:pPr>
      <w:r w:rsidRPr="0098262F">
        <w:t xml:space="preserve">Source: </w:t>
      </w:r>
      <w:r>
        <w:t>Constructed during the evaluation</w:t>
      </w:r>
      <w:r w:rsidRPr="0098262F">
        <w:t>.</w:t>
      </w:r>
    </w:p>
    <w:p w14:paraId="0118DDDA" w14:textId="1DC5AC82" w:rsidR="00375EE9" w:rsidRDefault="00375EE9" w:rsidP="00375EE9">
      <w:pPr>
        <w:pStyle w:val="COMTablefooter"/>
      </w:pPr>
      <w:r>
        <w:t xml:space="preserve">Abbreviations: AIC, Akaike information criterion; BIC, Bayesian information criterion; </w:t>
      </w:r>
      <w:r w:rsidR="00610FD7">
        <w:t xml:space="preserve">ES-SCLC, extensive stage small cell lung cancer; </w:t>
      </w:r>
      <w:r>
        <w:t>PSD, Public Summary Document.</w:t>
      </w:r>
    </w:p>
    <w:p w14:paraId="320393BE" w14:textId="43F9CAD0" w:rsidR="00375EE9" w:rsidRPr="0098262F" w:rsidRDefault="00375EE9" w:rsidP="009C7FC8">
      <w:pPr>
        <w:pStyle w:val="COMESnumberedpara"/>
      </w:pPr>
      <w:r>
        <w:fldChar w:fldCharType="begin"/>
      </w:r>
      <w:r>
        <w:instrText xml:space="preserve"> REF _Ref208328262 \h </w:instrText>
      </w:r>
      <w:r>
        <w:fldChar w:fldCharType="separate"/>
      </w:r>
      <w:r w:rsidR="00CC5A50">
        <w:t xml:space="preserve">Figure </w:t>
      </w:r>
      <w:r w:rsidR="00CC5A50">
        <w:rPr>
          <w:noProof/>
        </w:rPr>
        <w:t>3</w:t>
      </w:r>
      <w:r>
        <w:fldChar w:fldCharType="end"/>
      </w:r>
      <w:r w:rsidRPr="00CE6800">
        <w:t xml:space="preserve"> presents model traces for the lurbinectedin plus atezolizumab and atezolizumab arms of the economic model.</w:t>
      </w:r>
    </w:p>
    <w:p w14:paraId="4E47A58F" w14:textId="371ADC64" w:rsidR="00375EE9" w:rsidRDefault="00375EE9" w:rsidP="00375EE9">
      <w:pPr>
        <w:pStyle w:val="COMtablefigcaption"/>
      </w:pPr>
      <w:bookmarkStart w:id="40" w:name="_Ref208328262"/>
      <w:r>
        <w:t xml:space="preserve">Figure </w:t>
      </w:r>
      <w:r w:rsidR="006163FE">
        <w:fldChar w:fldCharType="begin"/>
      </w:r>
      <w:r w:rsidR="006163FE">
        <w:instrText xml:space="preserve"> SEQ Figure \* ARABIC </w:instrText>
      </w:r>
      <w:r w:rsidR="006163FE">
        <w:fldChar w:fldCharType="separate"/>
      </w:r>
      <w:r w:rsidR="00CC5A50">
        <w:rPr>
          <w:noProof/>
        </w:rPr>
        <w:t>3</w:t>
      </w:r>
      <w:r w:rsidR="006163FE">
        <w:rPr>
          <w:noProof/>
        </w:rPr>
        <w:fldChar w:fldCharType="end"/>
      </w:r>
      <w:bookmarkEnd w:id="40"/>
      <w:r>
        <w:t>: Model traces for lurbinectedin plus atezolizumab and atezolizumab arms of the economic model</w:t>
      </w:r>
    </w:p>
    <w:p w14:paraId="2DA73382" w14:textId="77777777" w:rsidR="00375EE9" w:rsidRDefault="00375EE9" w:rsidP="00375EE9">
      <w:pPr>
        <w:pStyle w:val="COMtablefooter0"/>
      </w:pPr>
      <w:r>
        <w:rPr>
          <w:noProof/>
        </w:rPr>
        <w:drawing>
          <wp:inline distT="0" distB="0" distL="0" distR="0" wp14:anchorId="605C3E9C" wp14:editId="10B143B0">
            <wp:extent cx="5724525" cy="3529965"/>
            <wp:effectExtent l="0" t="0" r="9525" b="0"/>
            <wp:docPr id="959853034" name="Picture 2" descr="Figure 3: Model traces for lurbinectedin plus atezolizumab and atezolizumab arms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53034" name="Picture 2" descr="Figure 3: Model traces for lurbinectedin plus atezolizumab and atezolizumab arms of the economic mod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3529965"/>
                    </a:xfrm>
                    <a:prstGeom prst="rect">
                      <a:avLst/>
                    </a:prstGeom>
                    <a:noFill/>
                  </pic:spPr>
                </pic:pic>
              </a:graphicData>
            </a:graphic>
          </wp:inline>
        </w:drawing>
      </w:r>
      <w:r>
        <w:t>Source</w:t>
      </w:r>
      <w:r w:rsidRPr="00893517">
        <w:t>: Figure 26B, p178 of the submission.</w:t>
      </w:r>
    </w:p>
    <w:p w14:paraId="026FC837" w14:textId="77777777" w:rsidR="00375EE9" w:rsidRDefault="00375EE9" w:rsidP="00375EE9">
      <w:pPr>
        <w:pStyle w:val="COMtablefooter0"/>
      </w:pPr>
      <w:r>
        <w:t>Abbreviations: ATE, atezolizumab; LUR, lurbinectedin; PD, progressed disease; PF, progression free.</w:t>
      </w:r>
    </w:p>
    <w:p w14:paraId="35EFDE58" w14:textId="7AAB3CE4" w:rsidR="00336290" w:rsidRPr="00893517" w:rsidRDefault="00375EE9" w:rsidP="00336290">
      <w:pPr>
        <w:pStyle w:val="COMESnumberedpara"/>
        <w:rPr>
          <w:i/>
          <w:iCs/>
        </w:rPr>
      </w:pPr>
      <w:bookmarkStart w:id="41" w:name="_Ref211430125"/>
      <w:bookmarkStart w:id="42" w:name="_Ref211426982"/>
      <w:r w:rsidRPr="004E7D11">
        <w:t xml:space="preserve">The model traces show a survival benefit for lurbinectedin plus atezolizumab compared to atezolizumab that persists over the </w:t>
      </w:r>
      <w:proofErr w:type="gramStart"/>
      <w:r w:rsidRPr="004E7D11">
        <w:t>7.5 year</w:t>
      </w:r>
      <w:proofErr w:type="gramEnd"/>
      <w:r w:rsidRPr="004E7D11">
        <w:t xml:space="preserve"> time horizon of the model. Mortality is higher in the lurbinectedin plus atezolizumab arm compared to the atezolizumab arm in 7 of the first 9 weekly cycles, after which mortality is lower in the lurbinectedin plus atezolizumab arm. The peak difference in mortality occurs after 10.8 months (13.5%; 37.7% versus 51.2%), after which the curves begin to converge over time. The proportions of patients remaining alive in the lurbinectedin plus atezolizumab arm at 5 and 7.5 years were 6.8% and 3.4%, respectively, compared to 4</w:t>
      </w:r>
      <w:r w:rsidR="000B3174">
        <w:t>.5</w:t>
      </w:r>
      <w:r w:rsidRPr="004E7D11">
        <w:t>% and 2.2% in the atezolizumab arm.</w:t>
      </w:r>
      <w:r w:rsidR="00783C23">
        <w:t xml:space="preserve"> </w:t>
      </w:r>
      <w:r w:rsidR="00335456" w:rsidRPr="009832DC">
        <w:t xml:space="preserve">The PSCR stated that the 7.5-year model base case was chosen to adequately capture the lifetime impact of improved survival outcomes with </w:t>
      </w:r>
      <w:r w:rsidR="00893517" w:rsidRPr="009832DC">
        <w:t>lurbinectedin</w:t>
      </w:r>
      <w:r w:rsidR="00335456" w:rsidRPr="009832DC">
        <w:t>, and survival outcomes effectively converged without manual application of convergence over this period (only a 1.2% difference in OS at 7.5 years).</w:t>
      </w:r>
      <w:bookmarkEnd w:id="41"/>
      <w:r w:rsidR="00335456" w:rsidRPr="00335456">
        <w:rPr>
          <w:i/>
          <w:iCs/>
        </w:rPr>
        <w:t xml:space="preserve"> </w:t>
      </w:r>
      <w:bookmarkEnd w:id="42"/>
    </w:p>
    <w:p w14:paraId="33EC4633" w14:textId="6E556B55" w:rsidR="00375EE9" w:rsidRPr="004A03C2" w:rsidRDefault="00375EE9" w:rsidP="00375EE9">
      <w:pPr>
        <w:pStyle w:val="COMESnumberedpara"/>
        <w:rPr>
          <w:i/>
          <w:iCs/>
        </w:rPr>
      </w:pPr>
      <w:r w:rsidRPr="00382BCC">
        <w:t>The traces also show a difference in progression</w:t>
      </w:r>
      <w:r>
        <w:t>-</w:t>
      </w:r>
      <w:r w:rsidRPr="00382BCC">
        <w:t xml:space="preserve">free survival, in favour of </w:t>
      </w:r>
      <w:r>
        <w:t>lurbinectedin plus atezolizumab</w:t>
      </w:r>
      <w:r w:rsidRPr="00382BCC">
        <w:t xml:space="preserve"> compared to </w:t>
      </w:r>
      <w:r>
        <w:t>atezolizumab</w:t>
      </w:r>
      <w:r w:rsidRPr="00382BCC">
        <w:t>. The progression</w:t>
      </w:r>
      <w:r>
        <w:t>-</w:t>
      </w:r>
      <w:r w:rsidRPr="00382BCC">
        <w:t xml:space="preserve">free traces separate from </w:t>
      </w:r>
      <w:r>
        <w:t>the first model cycle</w:t>
      </w:r>
      <w:r w:rsidRPr="00382BCC">
        <w:t xml:space="preserve">, with a peak difference at </w:t>
      </w:r>
      <w:r>
        <w:t>3.4 months</w:t>
      </w:r>
      <w:r w:rsidRPr="00382BCC">
        <w:t xml:space="preserve"> (</w:t>
      </w:r>
      <w:r>
        <w:t>33.1</w:t>
      </w:r>
      <w:r w:rsidRPr="00382BCC">
        <w:t>%</w:t>
      </w:r>
      <w:r>
        <w:t>; 66.7% versus 33.5</w:t>
      </w:r>
      <w:r w:rsidR="009C3353">
        <w:t>%</w:t>
      </w:r>
      <w:r w:rsidRPr="00382BCC">
        <w:t xml:space="preserve">) after which the curves slowly converge over time. </w:t>
      </w:r>
      <w:r w:rsidR="00D55234" w:rsidRPr="009832DC">
        <w:t xml:space="preserve">The PSCR </w:t>
      </w:r>
      <w:r w:rsidR="00F83D84" w:rsidRPr="009832DC">
        <w:t xml:space="preserve">stated that maintaining </w:t>
      </w:r>
      <w:r w:rsidR="00A7499C" w:rsidRPr="009832DC">
        <w:t xml:space="preserve">more </w:t>
      </w:r>
      <w:proofErr w:type="gramStart"/>
      <w:r w:rsidR="004A03C2" w:rsidRPr="009832DC">
        <w:t>patients</w:t>
      </w:r>
      <w:proofErr w:type="gramEnd"/>
      <w:r w:rsidR="00A7499C" w:rsidRPr="009832DC">
        <w:t xml:space="preserve"> progression-free for longer was likely indicative of a more durable survival benefit</w:t>
      </w:r>
      <w:r w:rsidR="000D34FA" w:rsidRPr="009832DC">
        <w:t>.</w:t>
      </w:r>
    </w:p>
    <w:p w14:paraId="4747317C" w14:textId="752318C9" w:rsidR="000D34FA" w:rsidRPr="00752A59" w:rsidRDefault="000D34FA" w:rsidP="00375EE9">
      <w:pPr>
        <w:pStyle w:val="COMESnumberedpara"/>
      </w:pPr>
      <w:bookmarkStart w:id="43" w:name="_Ref211427794"/>
      <w:r w:rsidRPr="00752A59">
        <w:t>Noting the comments above, the PSCR stated that applying the same constraints</w:t>
      </w:r>
      <w:r w:rsidR="004A03C2" w:rsidRPr="00752A59">
        <w:t xml:space="preserve">, </w:t>
      </w:r>
      <w:proofErr w:type="gramStart"/>
      <w:r w:rsidR="004A03C2" w:rsidRPr="00752A59">
        <w:t>with regard to</w:t>
      </w:r>
      <w:proofErr w:type="gramEnd"/>
      <w:r w:rsidR="004A03C2" w:rsidRPr="00752A59">
        <w:t xml:space="preserve"> the time horizon and convergence, as were applied to atezolizumab was likely to bias the results against lurbinectedin. The ESC, noting the small survival benefit associated with lurbinectedin</w:t>
      </w:r>
      <w:r w:rsidR="005B28F5" w:rsidRPr="00752A59">
        <w:t xml:space="preserve"> and the applicability issues associated with the trial popu</w:t>
      </w:r>
      <w:r w:rsidR="009E1E5B" w:rsidRPr="00752A59">
        <w:t>lation</w:t>
      </w:r>
      <w:r w:rsidR="004A03C2" w:rsidRPr="00752A59">
        <w:t xml:space="preserve">, considered that a </w:t>
      </w:r>
      <w:r w:rsidR="008D3C56" w:rsidRPr="00752A59">
        <w:t>5</w:t>
      </w:r>
      <w:r w:rsidR="00193FDC">
        <w:t>-</w:t>
      </w:r>
      <w:r w:rsidR="004A03C2" w:rsidRPr="00752A59">
        <w:t>year time horizon with convergence applied as per the atezolizumab model would be appropriate.</w:t>
      </w:r>
      <w:bookmarkEnd w:id="43"/>
    </w:p>
    <w:p w14:paraId="0A4DE135" w14:textId="307F7B45" w:rsidR="00375EE9" w:rsidRDefault="00375EE9" w:rsidP="00375EE9">
      <w:pPr>
        <w:pStyle w:val="COMESnumberedpara"/>
      </w:pPr>
      <w:r>
        <w:t>A</w:t>
      </w:r>
      <w:r w:rsidRPr="00F57392">
        <w:t xml:space="preserve"> smaller proportion of patients </w:t>
      </w:r>
      <w:r w:rsidR="000C21DF">
        <w:t>were</w:t>
      </w:r>
      <w:r w:rsidR="000C21DF" w:rsidRPr="00F57392">
        <w:t xml:space="preserve"> </w:t>
      </w:r>
      <w:r w:rsidRPr="00F57392">
        <w:t xml:space="preserve">in the progressed disease state in the </w:t>
      </w:r>
      <w:r>
        <w:t>lurbinectedin plus atezolizumab</w:t>
      </w:r>
      <w:r w:rsidRPr="00382BCC">
        <w:t xml:space="preserve"> </w:t>
      </w:r>
      <w:r>
        <w:t xml:space="preserve">arm </w:t>
      </w:r>
      <w:r w:rsidRPr="00382BCC">
        <w:t xml:space="preserve">compared to </w:t>
      </w:r>
      <w:r>
        <w:t xml:space="preserve">the atezolizumab </w:t>
      </w:r>
      <w:r w:rsidRPr="00F57392">
        <w:t xml:space="preserve">arm until </w:t>
      </w:r>
      <w:r>
        <w:t>10.</w:t>
      </w:r>
      <w:r w:rsidR="00A86CBE">
        <w:t>6</w:t>
      </w:r>
      <w:r w:rsidR="00B2525F">
        <w:t> </w:t>
      </w:r>
      <w:r>
        <w:t>months</w:t>
      </w:r>
      <w:r w:rsidRPr="00B21C4A">
        <w:t>,</w:t>
      </w:r>
      <w:r w:rsidRPr="00F57392">
        <w:t xml:space="preserve"> when a higher proportion of </w:t>
      </w:r>
      <w:r>
        <w:t>lurbinectedin plus atezolizumab</w:t>
      </w:r>
      <w:r w:rsidRPr="00F57392">
        <w:t xml:space="preserve"> patients have progressed disease (due to longer survival).</w:t>
      </w:r>
      <w:r w:rsidRPr="00382BCC">
        <w:t xml:space="preserve"> </w:t>
      </w:r>
    </w:p>
    <w:p w14:paraId="1B365E0E" w14:textId="77777777" w:rsidR="00DD01C1" w:rsidRPr="00F01C7D" w:rsidRDefault="00DD01C1" w:rsidP="003438AF">
      <w:pPr>
        <w:pStyle w:val="COMESnumberedpara"/>
      </w:pPr>
      <w:bookmarkStart w:id="44" w:name="_Ref211434458"/>
      <w:r w:rsidRPr="00562BF2">
        <w:t>The ESC considered that</w:t>
      </w:r>
      <w:r>
        <w:t xml:space="preserve"> the </w:t>
      </w:r>
      <w:r w:rsidRPr="00F01C7D">
        <w:t>submission’s approach to the inclusion of adverse events in the economic model, based on serious adverse events with an incidence of at least 2% of patients in any treatment arm only, underestimated the impact of lurbinectedin-related adverse events. The submission’s approach excluded gastrointestinal (nausea, decreased appetite, diarrhoea, vomiting, constipation) and haematological (anaemia, fatigue, thrombocytopaenia, decreased neutrophil count, neutropenia) adverse events associated with lurbinectedin treatment, which may be associated with costs and quality of life implications. The use of adverse event incidence will underestimate the costs associated with adverse events, as it does not account for patients who experience more than one adverse event</w:t>
      </w:r>
      <w:r>
        <w:t xml:space="preserve"> (a</w:t>
      </w:r>
      <w:r w:rsidRPr="00F01C7D">
        <w:t>dverse event rates were not reported in the IMforte trial report</w:t>
      </w:r>
      <w:r>
        <w:t>)</w:t>
      </w:r>
      <w:r w:rsidRPr="00F01C7D">
        <w:t>.</w:t>
      </w:r>
      <w:bookmarkEnd w:id="44"/>
    </w:p>
    <w:p w14:paraId="68C55716" w14:textId="5984B9CE" w:rsidR="00375EE9" w:rsidRPr="0098262F" w:rsidRDefault="00375EE9" w:rsidP="00375EE9">
      <w:pPr>
        <w:pStyle w:val="COMESnumberedpara"/>
      </w:pPr>
      <w:r>
        <w:t xml:space="preserve">The results of the stepped economic evaluation are presented in </w:t>
      </w:r>
      <w:r>
        <w:fldChar w:fldCharType="begin"/>
      </w:r>
      <w:r>
        <w:instrText xml:space="preserve"> REF _Ref104805160 \h </w:instrText>
      </w:r>
      <w:r>
        <w:fldChar w:fldCharType="separate"/>
      </w:r>
      <w:r w:rsidR="00CC5A50" w:rsidRPr="0098262F">
        <w:t xml:space="preserve">Table </w:t>
      </w:r>
      <w:r w:rsidR="00CC5A50">
        <w:rPr>
          <w:noProof/>
        </w:rPr>
        <w:t>9</w:t>
      </w:r>
      <w:r>
        <w:fldChar w:fldCharType="end"/>
      </w:r>
      <w:r>
        <w:t>.</w:t>
      </w:r>
      <w:r w:rsidR="00B1321B">
        <w:t xml:space="preserve"> </w:t>
      </w:r>
      <w:r w:rsidR="00B1321B" w:rsidRPr="00F01C7D">
        <w:t xml:space="preserve">Results were based on the assumed effective price of atezolizumab. </w:t>
      </w:r>
      <w:r w:rsidR="005C43D7">
        <w:t>The results of a revised base case presented in the pre-PBAC response</w:t>
      </w:r>
      <w:r w:rsidR="00144D17">
        <w:t>, which reduced the time horizon from 7.5</w:t>
      </w:r>
      <w:r w:rsidR="00B2525F">
        <w:t> </w:t>
      </w:r>
      <w:r w:rsidR="00144D17">
        <w:t>to</w:t>
      </w:r>
      <w:r w:rsidR="00B2525F">
        <w:t> </w:t>
      </w:r>
      <w:r w:rsidR="00144D17">
        <w:t xml:space="preserve">5 years and the price of the 2 mg vial (which the economic model was based on) from $845 to $485, </w:t>
      </w:r>
      <w:r w:rsidR="00EC2D87">
        <w:t>is</w:t>
      </w:r>
      <w:r w:rsidR="00144D17">
        <w:t xml:space="preserve"> also presented.</w:t>
      </w:r>
    </w:p>
    <w:p w14:paraId="75AAE6F7" w14:textId="506DEE20" w:rsidR="00375EE9" w:rsidRPr="0098262F" w:rsidRDefault="00375EE9" w:rsidP="00375EE9">
      <w:pPr>
        <w:pStyle w:val="COMTableFigurecaption"/>
      </w:pPr>
      <w:bookmarkStart w:id="45" w:name="_Ref104805160"/>
      <w:r w:rsidRPr="0098262F">
        <w:t xml:space="preserve">Table </w:t>
      </w:r>
      <w:r w:rsidR="00FF30BC">
        <w:fldChar w:fldCharType="begin"/>
      </w:r>
      <w:r w:rsidR="00FF30BC">
        <w:instrText xml:space="preserve"> SEQ Table \* ARABIC </w:instrText>
      </w:r>
      <w:r w:rsidR="00FF30BC">
        <w:fldChar w:fldCharType="separate"/>
      </w:r>
      <w:r w:rsidR="00CC5A50">
        <w:rPr>
          <w:noProof/>
        </w:rPr>
        <w:t>9</w:t>
      </w:r>
      <w:r w:rsidR="00FF30BC">
        <w:rPr>
          <w:noProof/>
        </w:rPr>
        <w:fldChar w:fldCharType="end"/>
      </w:r>
      <w:bookmarkEnd w:id="45"/>
      <w:r w:rsidRPr="0098262F">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Results of the stepped economic evaluation"/>
      </w:tblPr>
      <w:tblGrid>
        <w:gridCol w:w="2254"/>
        <w:gridCol w:w="14"/>
        <w:gridCol w:w="2240"/>
        <w:gridCol w:w="27"/>
        <w:gridCol w:w="2269"/>
        <w:gridCol w:w="2213"/>
      </w:tblGrid>
      <w:tr w:rsidR="00375EE9" w:rsidRPr="0098262F" w14:paraId="4E723DC7" w14:textId="77777777">
        <w:trPr>
          <w:tblHeader/>
        </w:trPr>
        <w:tc>
          <w:tcPr>
            <w:tcW w:w="1250" w:type="pct"/>
            <w:vAlign w:val="center"/>
          </w:tcPr>
          <w:p w14:paraId="386B9B3A" w14:textId="77777777" w:rsidR="00375EE9" w:rsidRPr="0098262F" w:rsidRDefault="00375EE9">
            <w:pPr>
              <w:pStyle w:val="COMTableheadingrow"/>
            </w:pPr>
            <w:r w:rsidRPr="0098262F">
              <w:t>Step and component</w:t>
            </w:r>
          </w:p>
        </w:tc>
        <w:tc>
          <w:tcPr>
            <w:tcW w:w="1250" w:type="pct"/>
            <w:gridSpan w:val="2"/>
            <w:vAlign w:val="center"/>
          </w:tcPr>
          <w:p w14:paraId="132EBF8A" w14:textId="77777777" w:rsidR="00375EE9" w:rsidRPr="0098262F" w:rsidRDefault="00375EE9">
            <w:pPr>
              <w:pStyle w:val="COMTableheadingrow"/>
              <w:jc w:val="center"/>
            </w:pPr>
            <w:r>
              <w:t>Lurbinectedin + atezolizumab</w:t>
            </w:r>
          </w:p>
        </w:tc>
        <w:tc>
          <w:tcPr>
            <w:tcW w:w="1273" w:type="pct"/>
            <w:gridSpan w:val="2"/>
            <w:vAlign w:val="center"/>
          </w:tcPr>
          <w:p w14:paraId="0376BED8" w14:textId="77777777" w:rsidR="00375EE9" w:rsidRPr="0098262F" w:rsidRDefault="00375EE9">
            <w:pPr>
              <w:pStyle w:val="COMTableheadingrow"/>
              <w:jc w:val="center"/>
            </w:pPr>
            <w:r>
              <w:t>Atezolizumab</w:t>
            </w:r>
          </w:p>
        </w:tc>
        <w:tc>
          <w:tcPr>
            <w:tcW w:w="1227" w:type="pct"/>
            <w:vAlign w:val="center"/>
          </w:tcPr>
          <w:p w14:paraId="7D84104C" w14:textId="77777777" w:rsidR="00375EE9" w:rsidRPr="0098262F" w:rsidRDefault="00375EE9">
            <w:pPr>
              <w:pStyle w:val="COMTableheadingrow"/>
              <w:jc w:val="center"/>
            </w:pPr>
            <w:r w:rsidRPr="0098262F">
              <w:t>Increment</w:t>
            </w:r>
          </w:p>
        </w:tc>
      </w:tr>
      <w:tr w:rsidR="00375EE9" w:rsidRPr="0098262F" w14:paraId="4084CEA5" w14:textId="77777777">
        <w:trPr>
          <w:trHeight w:val="456"/>
        </w:trPr>
        <w:tc>
          <w:tcPr>
            <w:tcW w:w="5000" w:type="pct"/>
            <w:gridSpan w:val="6"/>
            <w:vAlign w:val="center"/>
          </w:tcPr>
          <w:p w14:paraId="0FB8D30A" w14:textId="77777777" w:rsidR="00375EE9" w:rsidRPr="00A16D55" w:rsidRDefault="00375EE9">
            <w:pPr>
              <w:pStyle w:val="COMTabletext"/>
              <w:rPr>
                <w:b/>
                <w:bCs w:val="0"/>
              </w:rPr>
            </w:pPr>
            <w:r w:rsidRPr="00A16D55">
              <w:rPr>
                <w:b/>
                <w:bCs w:val="0"/>
              </w:rPr>
              <w:t xml:space="preserve">Step 1: Modelled analysis over 15 months (median duration of follow-up of the IMforte trial) including maintenance drug and administration costs; based on progression free </w:t>
            </w:r>
            <w:r>
              <w:rPr>
                <w:b/>
                <w:bCs w:val="0"/>
              </w:rPr>
              <w:t xml:space="preserve">life years </w:t>
            </w:r>
            <w:r w:rsidRPr="00A16D55">
              <w:rPr>
                <w:b/>
                <w:bCs w:val="0"/>
              </w:rPr>
              <w:t xml:space="preserve">and </w:t>
            </w:r>
            <w:r>
              <w:rPr>
                <w:b/>
                <w:bCs w:val="0"/>
              </w:rPr>
              <w:t>life years</w:t>
            </w:r>
            <w:r w:rsidRPr="00A16D55">
              <w:rPr>
                <w:b/>
                <w:bCs w:val="0"/>
              </w:rPr>
              <w:t xml:space="preserve"> as the outcome; costs and outcomes discounted.</w:t>
            </w:r>
          </w:p>
        </w:tc>
      </w:tr>
      <w:tr w:rsidR="00375EE9" w:rsidRPr="0098262F" w14:paraId="3E735430" w14:textId="77777777">
        <w:tc>
          <w:tcPr>
            <w:tcW w:w="1250" w:type="pct"/>
            <w:vAlign w:val="center"/>
          </w:tcPr>
          <w:p w14:paraId="41F869A1" w14:textId="77777777" w:rsidR="00375EE9" w:rsidRPr="0098262F" w:rsidRDefault="00375EE9">
            <w:pPr>
              <w:pStyle w:val="COMTabletext"/>
              <w:rPr>
                <w:rFonts w:ascii="Times" w:hAnsi="Times"/>
              </w:rPr>
            </w:pPr>
            <w:r w:rsidRPr="0098262F">
              <w:t>Costs</w:t>
            </w:r>
          </w:p>
        </w:tc>
        <w:tc>
          <w:tcPr>
            <w:tcW w:w="1250" w:type="pct"/>
            <w:gridSpan w:val="2"/>
            <w:vAlign w:val="center"/>
          </w:tcPr>
          <w:p w14:paraId="71F92F96" w14:textId="69284525" w:rsidR="00375EE9" w:rsidRPr="0098262F" w:rsidRDefault="00375EE9">
            <w:pPr>
              <w:pStyle w:val="COMTabletext"/>
              <w:jc w:val="center"/>
              <w:rPr>
                <w:rFonts w:ascii="Times" w:hAnsi="Times"/>
              </w:rPr>
            </w:pPr>
            <w:r>
              <w:rPr>
                <w:color w:val="000000"/>
                <w:szCs w:val="20"/>
              </w:rPr>
              <w:t>$</w:t>
            </w:r>
            <w:r w:rsidR="00C8249A" w:rsidRPr="00C8249A">
              <w:rPr>
                <w:color w:val="000000"/>
                <w:szCs w:val="20"/>
                <w:highlight w:val="black"/>
              </w:rPr>
              <w:t>&amp;&amp;&amp;&amp;</w:t>
            </w:r>
          </w:p>
        </w:tc>
        <w:tc>
          <w:tcPr>
            <w:tcW w:w="1273" w:type="pct"/>
            <w:gridSpan w:val="2"/>
            <w:vAlign w:val="center"/>
          </w:tcPr>
          <w:p w14:paraId="7FA36F1F" w14:textId="77777777" w:rsidR="00375EE9" w:rsidRPr="0098262F" w:rsidRDefault="00375EE9">
            <w:pPr>
              <w:pStyle w:val="COMTabletext"/>
              <w:jc w:val="center"/>
              <w:rPr>
                <w:rFonts w:ascii="Times" w:hAnsi="Times"/>
              </w:rPr>
            </w:pPr>
            <w:r>
              <w:rPr>
                <w:color w:val="000000"/>
                <w:szCs w:val="20"/>
              </w:rPr>
              <w:t>$11,834</w:t>
            </w:r>
          </w:p>
        </w:tc>
        <w:tc>
          <w:tcPr>
            <w:tcW w:w="1227" w:type="pct"/>
            <w:vAlign w:val="center"/>
          </w:tcPr>
          <w:p w14:paraId="3BEAEC2D" w14:textId="48F1856A" w:rsidR="00375EE9" w:rsidRPr="0098262F" w:rsidRDefault="00375EE9">
            <w:pPr>
              <w:pStyle w:val="COMTabletext"/>
              <w:jc w:val="center"/>
              <w:rPr>
                <w:rFonts w:ascii="Times" w:hAnsi="Times"/>
              </w:rPr>
            </w:pPr>
            <w:r>
              <w:rPr>
                <w:color w:val="000000"/>
                <w:szCs w:val="20"/>
              </w:rPr>
              <w:t>$</w:t>
            </w:r>
            <w:r w:rsidR="00C8249A" w:rsidRPr="00C8249A">
              <w:rPr>
                <w:color w:val="000000"/>
                <w:szCs w:val="20"/>
                <w:highlight w:val="black"/>
              </w:rPr>
              <w:t>&amp;&amp;&amp;&amp;</w:t>
            </w:r>
          </w:p>
        </w:tc>
      </w:tr>
      <w:tr w:rsidR="00375EE9" w:rsidRPr="0098262F" w14:paraId="48942571" w14:textId="77777777">
        <w:tc>
          <w:tcPr>
            <w:tcW w:w="1250" w:type="pct"/>
            <w:vAlign w:val="center"/>
          </w:tcPr>
          <w:p w14:paraId="6971871B" w14:textId="77777777" w:rsidR="00375EE9" w:rsidRPr="0098262F" w:rsidRDefault="00375EE9">
            <w:pPr>
              <w:pStyle w:val="COMTabletext"/>
            </w:pPr>
            <w:r>
              <w:t>Progression free life years</w:t>
            </w:r>
          </w:p>
        </w:tc>
        <w:tc>
          <w:tcPr>
            <w:tcW w:w="1250" w:type="pct"/>
            <w:gridSpan w:val="2"/>
            <w:vAlign w:val="center"/>
          </w:tcPr>
          <w:p w14:paraId="43591690" w14:textId="77777777" w:rsidR="00375EE9" w:rsidRPr="0098262F" w:rsidRDefault="00375EE9">
            <w:pPr>
              <w:pStyle w:val="COMTabletext"/>
              <w:jc w:val="center"/>
            </w:pPr>
            <w:r>
              <w:rPr>
                <w:color w:val="000000"/>
                <w:szCs w:val="20"/>
              </w:rPr>
              <w:t>0.5513</w:t>
            </w:r>
          </w:p>
        </w:tc>
        <w:tc>
          <w:tcPr>
            <w:tcW w:w="1273" w:type="pct"/>
            <w:gridSpan w:val="2"/>
            <w:vAlign w:val="center"/>
          </w:tcPr>
          <w:p w14:paraId="4BC3608A" w14:textId="77777777" w:rsidR="00375EE9" w:rsidRPr="0098262F" w:rsidRDefault="00375EE9">
            <w:pPr>
              <w:pStyle w:val="COMTabletext"/>
              <w:jc w:val="center"/>
            </w:pPr>
            <w:r>
              <w:rPr>
                <w:color w:val="000000"/>
                <w:szCs w:val="20"/>
              </w:rPr>
              <w:t>0.3539</w:t>
            </w:r>
          </w:p>
        </w:tc>
        <w:tc>
          <w:tcPr>
            <w:tcW w:w="1227" w:type="pct"/>
            <w:vAlign w:val="center"/>
          </w:tcPr>
          <w:p w14:paraId="215B59E3" w14:textId="77777777" w:rsidR="00375EE9" w:rsidRPr="0098262F" w:rsidRDefault="00375EE9">
            <w:pPr>
              <w:pStyle w:val="COMTabletext"/>
              <w:jc w:val="center"/>
            </w:pPr>
            <w:r>
              <w:rPr>
                <w:color w:val="000000"/>
                <w:szCs w:val="20"/>
              </w:rPr>
              <w:t>0.1974</w:t>
            </w:r>
          </w:p>
        </w:tc>
      </w:tr>
      <w:tr w:rsidR="00375EE9" w:rsidRPr="0098262F" w14:paraId="3F5A6286" w14:textId="77777777">
        <w:tc>
          <w:tcPr>
            <w:tcW w:w="1250" w:type="pct"/>
            <w:vAlign w:val="center"/>
          </w:tcPr>
          <w:p w14:paraId="766D40EE" w14:textId="77777777" w:rsidR="00375EE9" w:rsidRPr="0098262F" w:rsidRDefault="00375EE9">
            <w:pPr>
              <w:pStyle w:val="COMTabletext"/>
              <w:rPr>
                <w:rFonts w:ascii="Times" w:hAnsi="Times"/>
              </w:rPr>
            </w:pPr>
            <w:r>
              <w:t>Life years</w:t>
            </w:r>
          </w:p>
        </w:tc>
        <w:tc>
          <w:tcPr>
            <w:tcW w:w="1250" w:type="pct"/>
            <w:gridSpan w:val="2"/>
            <w:vAlign w:val="center"/>
          </w:tcPr>
          <w:p w14:paraId="5860E558" w14:textId="77777777" w:rsidR="00375EE9" w:rsidRPr="0098262F" w:rsidRDefault="00375EE9">
            <w:pPr>
              <w:pStyle w:val="COMTabletext"/>
              <w:jc w:val="center"/>
              <w:rPr>
                <w:rFonts w:ascii="Times" w:hAnsi="Times"/>
              </w:rPr>
            </w:pPr>
            <w:r>
              <w:rPr>
                <w:color w:val="000000"/>
                <w:szCs w:val="20"/>
              </w:rPr>
              <w:t>0.9383</w:t>
            </w:r>
          </w:p>
        </w:tc>
        <w:tc>
          <w:tcPr>
            <w:tcW w:w="1273" w:type="pct"/>
            <w:gridSpan w:val="2"/>
            <w:vAlign w:val="center"/>
          </w:tcPr>
          <w:p w14:paraId="184B369D" w14:textId="77777777" w:rsidR="00375EE9" w:rsidRPr="0098262F" w:rsidRDefault="00375EE9">
            <w:pPr>
              <w:pStyle w:val="COMTabletext"/>
              <w:jc w:val="center"/>
              <w:rPr>
                <w:rFonts w:ascii="Times" w:hAnsi="Times"/>
              </w:rPr>
            </w:pPr>
            <w:r>
              <w:rPr>
                <w:color w:val="000000"/>
                <w:szCs w:val="20"/>
              </w:rPr>
              <w:t>0.8460</w:t>
            </w:r>
          </w:p>
        </w:tc>
        <w:tc>
          <w:tcPr>
            <w:tcW w:w="1227" w:type="pct"/>
            <w:vAlign w:val="center"/>
          </w:tcPr>
          <w:p w14:paraId="187AF01E" w14:textId="77777777" w:rsidR="00375EE9" w:rsidRPr="0098262F" w:rsidRDefault="00375EE9">
            <w:pPr>
              <w:pStyle w:val="COMTabletext"/>
              <w:jc w:val="center"/>
            </w:pPr>
            <w:r>
              <w:rPr>
                <w:color w:val="000000"/>
                <w:szCs w:val="20"/>
              </w:rPr>
              <w:t>0.0923</w:t>
            </w:r>
          </w:p>
        </w:tc>
      </w:tr>
      <w:tr w:rsidR="00375EE9" w:rsidRPr="0098262F" w14:paraId="4B84C7E1" w14:textId="77777777">
        <w:tc>
          <w:tcPr>
            <w:tcW w:w="3773" w:type="pct"/>
            <w:gridSpan w:val="5"/>
            <w:vAlign w:val="center"/>
          </w:tcPr>
          <w:p w14:paraId="09828E4B" w14:textId="77777777" w:rsidR="00375EE9" w:rsidRPr="00A16D55" w:rsidRDefault="00375EE9">
            <w:pPr>
              <w:pStyle w:val="COMTabletext"/>
            </w:pPr>
            <w:r w:rsidRPr="00A16D55">
              <w:t>Incremental cost per progression free life year gained</w:t>
            </w:r>
          </w:p>
        </w:tc>
        <w:tc>
          <w:tcPr>
            <w:tcW w:w="1227" w:type="pct"/>
            <w:vAlign w:val="center"/>
          </w:tcPr>
          <w:p w14:paraId="70997E07" w14:textId="74981FB4" w:rsidR="00375EE9" w:rsidRPr="00DF58D8" w:rsidRDefault="00375EE9">
            <w:pPr>
              <w:pStyle w:val="COMTabletext"/>
              <w:jc w:val="center"/>
              <w:rPr>
                <w:rFonts w:ascii="Times" w:hAnsi="Times"/>
                <w:vertAlign w:val="superscript"/>
              </w:rPr>
            </w:pPr>
            <w:r>
              <w:rPr>
                <w:color w:val="000000"/>
                <w:szCs w:val="20"/>
              </w:rPr>
              <w:t>$</w:t>
            </w:r>
            <w:r w:rsidR="00C8249A" w:rsidRPr="00C8249A">
              <w:rPr>
                <w:color w:val="000000"/>
                <w:szCs w:val="20"/>
                <w:highlight w:val="black"/>
              </w:rPr>
              <w:t>&amp;&amp;&amp;&amp;</w:t>
            </w:r>
            <w:r w:rsidR="00DF58D8">
              <w:rPr>
                <w:color w:val="000000"/>
                <w:szCs w:val="20"/>
                <w:vertAlign w:val="superscript"/>
              </w:rPr>
              <w:t>1</w:t>
            </w:r>
          </w:p>
        </w:tc>
      </w:tr>
      <w:tr w:rsidR="00375EE9" w:rsidRPr="0098262F" w14:paraId="3A2AF7B6" w14:textId="77777777">
        <w:tc>
          <w:tcPr>
            <w:tcW w:w="3773" w:type="pct"/>
            <w:gridSpan w:val="5"/>
            <w:vAlign w:val="center"/>
          </w:tcPr>
          <w:p w14:paraId="3FF4EDF6" w14:textId="77777777" w:rsidR="00375EE9" w:rsidRPr="0098262F" w:rsidRDefault="00375EE9">
            <w:pPr>
              <w:pStyle w:val="COMTabletext"/>
            </w:pPr>
            <w:r w:rsidRPr="0098262F">
              <w:t>Incremental cost</w:t>
            </w:r>
            <w:r>
              <w:t xml:space="preserve"> per life year </w:t>
            </w:r>
            <w:r w:rsidRPr="0098262F">
              <w:t>gained</w:t>
            </w:r>
          </w:p>
        </w:tc>
        <w:tc>
          <w:tcPr>
            <w:tcW w:w="1227" w:type="pct"/>
            <w:vAlign w:val="center"/>
          </w:tcPr>
          <w:p w14:paraId="3259CD6F" w14:textId="0B052153" w:rsidR="00375EE9" w:rsidRPr="00D7727E" w:rsidRDefault="00375EE9">
            <w:pPr>
              <w:pStyle w:val="COMTabletext"/>
              <w:jc w:val="center"/>
              <w:rPr>
                <w:vertAlign w:val="superscript"/>
              </w:rPr>
            </w:pPr>
            <w:r>
              <w:rPr>
                <w:color w:val="000000"/>
                <w:szCs w:val="20"/>
              </w:rPr>
              <w:t>$</w:t>
            </w:r>
            <w:r w:rsidR="00C8249A" w:rsidRPr="00C8249A">
              <w:rPr>
                <w:color w:val="000000"/>
                <w:szCs w:val="20"/>
                <w:highlight w:val="black"/>
              </w:rPr>
              <w:t>&amp;&amp;&amp;&amp;</w:t>
            </w:r>
            <w:r w:rsidR="00D7727E">
              <w:rPr>
                <w:color w:val="000000"/>
                <w:szCs w:val="20"/>
                <w:vertAlign w:val="superscript"/>
              </w:rPr>
              <w:t>2</w:t>
            </w:r>
          </w:p>
        </w:tc>
      </w:tr>
      <w:tr w:rsidR="00375EE9" w:rsidRPr="0098262F" w14:paraId="1A3F1D23" w14:textId="77777777">
        <w:tc>
          <w:tcPr>
            <w:tcW w:w="5000" w:type="pct"/>
            <w:gridSpan w:val="6"/>
            <w:vAlign w:val="center"/>
          </w:tcPr>
          <w:p w14:paraId="1D6DD989" w14:textId="77777777" w:rsidR="00375EE9" w:rsidRPr="0098262F" w:rsidRDefault="00375EE9">
            <w:pPr>
              <w:pStyle w:val="COMTableheadingrow"/>
            </w:pPr>
            <w:r w:rsidRPr="0098262F">
              <w:t xml:space="preserve">Step 2: </w:t>
            </w:r>
            <w:r>
              <w:t>As for Step 1, with outcomes based on QALYs</w:t>
            </w:r>
          </w:p>
        </w:tc>
      </w:tr>
      <w:tr w:rsidR="00375EE9" w:rsidRPr="0098262F" w14:paraId="2BA88F68" w14:textId="77777777">
        <w:tc>
          <w:tcPr>
            <w:tcW w:w="1258" w:type="pct"/>
            <w:gridSpan w:val="2"/>
            <w:vAlign w:val="center"/>
          </w:tcPr>
          <w:p w14:paraId="024D7C52" w14:textId="77777777" w:rsidR="00375EE9" w:rsidRPr="0098262F" w:rsidRDefault="00375EE9">
            <w:pPr>
              <w:pStyle w:val="COMTabletext"/>
              <w:rPr>
                <w:rFonts w:ascii="Times" w:hAnsi="Times"/>
              </w:rPr>
            </w:pPr>
            <w:r w:rsidRPr="0098262F">
              <w:t>Costs</w:t>
            </w:r>
          </w:p>
        </w:tc>
        <w:tc>
          <w:tcPr>
            <w:tcW w:w="1257" w:type="pct"/>
            <w:gridSpan w:val="2"/>
            <w:vAlign w:val="center"/>
          </w:tcPr>
          <w:p w14:paraId="71A6F688" w14:textId="5EDC140A" w:rsidR="00375EE9" w:rsidRPr="0098262F" w:rsidRDefault="00375EE9">
            <w:pPr>
              <w:pStyle w:val="COMTabletext"/>
              <w:jc w:val="center"/>
              <w:rPr>
                <w:rFonts w:ascii="Times" w:hAnsi="Times"/>
              </w:rPr>
            </w:pPr>
            <w:r>
              <w:rPr>
                <w:color w:val="000000"/>
                <w:szCs w:val="20"/>
              </w:rPr>
              <w:t>$</w:t>
            </w:r>
            <w:r w:rsidR="00C8249A" w:rsidRPr="00C8249A">
              <w:rPr>
                <w:color w:val="000000"/>
                <w:szCs w:val="20"/>
                <w:highlight w:val="black"/>
              </w:rPr>
              <w:t>&amp;&amp;&amp;&amp;</w:t>
            </w:r>
          </w:p>
        </w:tc>
        <w:tc>
          <w:tcPr>
            <w:tcW w:w="1258" w:type="pct"/>
            <w:vAlign w:val="center"/>
          </w:tcPr>
          <w:p w14:paraId="2D4CA7B6" w14:textId="77777777" w:rsidR="00375EE9" w:rsidRPr="0098262F" w:rsidRDefault="00375EE9">
            <w:pPr>
              <w:pStyle w:val="COMTabletext"/>
              <w:jc w:val="center"/>
              <w:rPr>
                <w:rFonts w:ascii="Times" w:hAnsi="Times"/>
              </w:rPr>
            </w:pPr>
            <w:r>
              <w:rPr>
                <w:color w:val="000000"/>
                <w:szCs w:val="20"/>
              </w:rPr>
              <w:t>$11,834</w:t>
            </w:r>
          </w:p>
        </w:tc>
        <w:tc>
          <w:tcPr>
            <w:tcW w:w="1227" w:type="pct"/>
            <w:vAlign w:val="center"/>
          </w:tcPr>
          <w:p w14:paraId="70CAB5AD" w14:textId="3BF9A7E3" w:rsidR="00375EE9" w:rsidRPr="0098262F" w:rsidRDefault="00375EE9">
            <w:pPr>
              <w:pStyle w:val="COMTabletext"/>
              <w:jc w:val="center"/>
              <w:rPr>
                <w:rFonts w:ascii="Times" w:hAnsi="Times"/>
              </w:rPr>
            </w:pPr>
            <w:r>
              <w:rPr>
                <w:color w:val="000000"/>
                <w:szCs w:val="20"/>
              </w:rPr>
              <w:t>$</w:t>
            </w:r>
            <w:r w:rsidR="00C8249A" w:rsidRPr="00C8249A">
              <w:rPr>
                <w:color w:val="000000"/>
                <w:szCs w:val="20"/>
                <w:highlight w:val="black"/>
              </w:rPr>
              <w:t>&amp;&amp;&amp;&amp;</w:t>
            </w:r>
          </w:p>
        </w:tc>
      </w:tr>
      <w:tr w:rsidR="00375EE9" w:rsidRPr="0098262F" w14:paraId="009A40D4" w14:textId="77777777">
        <w:tc>
          <w:tcPr>
            <w:tcW w:w="1258" w:type="pct"/>
            <w:gridSpan w:val="2"/>
            <w:vAlign w:val="center"/>
          </w:tcPr>
          <w:p w14:paraId="7C924F6F" w14:textId="77777777" w:rsidR="00375EE9" w:rsidRPr="0098262F" w:rsidRDefault="00375EE9">
            <w:pPr>
              <w:pStyle w:val="COMTabletext"/>
              <w:rPr>
                <w:rFonts w:ascii="Times" w:hAnsi="Times"/>
              </w:rPr>
            </w:pPr>
            <w:r>
              <w:t>QALYs</w:t>
            </w:r>
          </w:p>
        </w:tc>
        <w:tc>
          <w:tcPr>
            <w:tcW w:w="1257" w:type="pct"/>
            <w:gridSpan w:val="2"/>
            <w:vAlign w:val="center"/>
          </w:tcPr>
          <w:p w14:paraId="13FE608B" w14:textId="77777777" w:rsidR="00375EE9" w:rsidRPr="0098262F" w:rsidRDefault="00375EE9">
            <w:pPr>
              <w:pStyle w:val="COMTabletext"/>
              <w:jc w:val="center"/>
              <w:rPr>
                <w:rFonts w:ascii="Times" w:hAnsi="Times"/>
              </w:rPr>
            </w:pPr>
            <w:r>
              <w:rPr>
                <w:color w:val="000000"/>
                <w:szCs w:val="20"/>
              </w:rPr>
              <w:t>0.6622</w:t>
            </w:r>
          </w:p>
        </w:tc>
        <w:tc>
          <w:tcPr>
            <w:tcW w:w="1258" w:type="pct"/>
            <w:vAlign w:val="center"/>
          </w:tcPr>
          <w:p w14:paraId="20CA7ADB" w14:textId="77777777" w:rsidR="00375EE9" w:rsidRPr="0098262F" w:rsidRDefault="00375EE9">
            <w:pPr>
              <w:pStyle w:val="COMTabletext"/>
              <w:jc w:val="center"/>
              <w:rPr>
                <w:rFonts w:ascii="Times" w:hAnsi="Times"/>
              </w:rPr>
            </w:pPr>
            <w:r>
              <w:rPr>
                <w:color w:val="000000"/>
                <w:szCs w:val="20"/>
              </w:rPr>
              <w:t>0.5956</w:t>
            </w:r>
          </w:p>
        </w:tc>
        <w:tc>
          <w:tcPr>
            <w:tcW w:w="1227" w:type="pct"/>
            <w:vAlign w:val="center"/>
          </w:tcPr>
          <w:p w14:paraId="12D7EC8B" w14:textId="77777777" w:rsidR="00375EE9" w:rsidRPr="0098262F" w:rsidRDefault="00375EE9">
            <w:pPr>
              <w:pStyle w:val="COMTabletext"/>
              <w:jc w:val="center"/>
            </w:pPr>
            <w:r>
              <w:rPr>
                <w:color w:val="000000"/>
                <w:szCs w:val="20"/>
              </w:rPr>
              <w:t>0.0665</w:t>
            </w:r>
          </w:p>
        </w:tc>
      </w:tr>
      <w:tr w:rsidR="00375EE9" w:rsidRPr="0098262F" w14:paraId="0600FA6A" w14:textId="77777777">
        <w:tc>
          <w:tcPr>
            <w:tcW w:w="3773" w:type="pct"/>
            <w:gridSpan w:val="5"/>
            <w:vAlign w:val="center"/>
          </w:tcPr>
          <w:p w14:paraId="38B5BE90" w14:textId="77777777" w:rsidR="00375EE9" w:rsidRPr="0098262F" w:rsidRDefault="00375EE9">
            <w:pPr>
              <w:pStyle w:val="COMTabletext"/>
              <w:rPr>
                <w:rFonts w:ascii="Times" w:hAnsi="Times"/>
              </w:rPr>
            </w:pPr>
            <w:r w:rsidRPr="0098262F">
              <w:t>Incremental cost</w:t>
            </w:r>
            <w:r>
              <w:t xml:space="preserve"> per QALY</w:t>
            </w:r>
            <w:r w:rsidRPr="0098262F">
              <w:t xml:space="preserve"> gained</w:t>
            </w:r>
          </w:p>
        </w:tc>
        <w:tc>
          <w:tcPr>
            <w:tcW w:w="1227" w:type="pct"/>
            <w:vAlign w:val="center"/>
          </w:tcPr>
          <w:p w14:paraId="2F5C60F9" w14:textId="73AA8AA6" w:rsidR="00375EE9" w:rsidRPr="00E92DA8" w:rsidRDefault="00375EE9">
            <w:pPr>
              <w:jc w:val="center"/>
              <w:rPr>
                <w:rFonts w:ascii="Arial Narrow" w:hAnsi="Arial Narrow" w:cs="Times New Roman"/>
                <w:color w:val="000000"/>
                <w:sz w:val="20"/>
                <w:szCs w:val="20"/>
                <w:vertAlign w:val="superscript"/>
              </w:rPr>
            </w:pPr>
            <w:r>
              <w:rPr>
                <w:rFonts w:ascii="Arial Narrow" w:hAnsi="Arial Narrow"/>
                <w:color w:val="000000"/>
                <w:sz w:val="20"/>
                <w:szCs w:val="20"/>
              </w:rPr>
              <w:t>$</w:t>
            </w:r>
            <w:r w:rsidR="00C8249A" w:rsidRPr="00C8249A">
              <w:rPr>
                <w:rFonts w:ascii="Arial Narrow" w:hAnsi="Arial Narrow"/>
                <w:color w:val="000000"/>
                <w:sz w:val="20"/>
                <w:szCs w:val="20"/>
                <w:highlight w:val="black"/>
              </w:rPr>
              <w:t>&amp;&amp;&amp;&amp;</w:t>
            </w:r>
            <w:r w:rsidR="00E92DA8">
              <w:rPr>
                <w:rFonts w:ascii="Arial Narrow" w:hAnsi="Arial Narrow"/>
                <w:color w:val="000000"/>
                <w:sz w:val="20"/>
                <w:szCs w:val="20"/>
                <w:vertAlign w:val="superscript"/>
              </w:rPr>
              <w:t>3</w:t>
            </w:r>
          </w:p>
        </w:tc>
      </w:tr>
      <w:tr w:rsidR="00375EE9" w:rsidRPr="0098262F" w14:paraId="29A40DBA" w14:textId="77777777">
        <w:tc>
          <w:tcPr>
            <w:tcW w:w="5000" w:type="pct"/>
            <w:gridSpan w:val="6"/>
            <w:vAlign w:val="center"/>
          </w:tcPr>
          <w:p w14:paraId="6E9372B2" w14:textId="77777777" w:rsidR="00375EE9" w:rsidRPr="0098262F" w:rsidRDefault="00375EE9">
            <w:pPr>
              <w:pStyle w:val="COMTableheadingrow"/>
            </w:pPr>
            <w:r w:rsidRPr="0098262F">
              <w:t xml:space="preserve">Step 3: </w:t>
            </w:r>
            <w:r>
              <w:t>As for Step 2, extrapolated to 7.5 years</w:t>
            </w:r>
          </w:p>
        </w:tc>
      </w:tr>
      <w:tr w:rsidR="00375EE9" w:rsidRPr="0098262F" w14:paraId="59D91D76" w14:textId="77777777">
        <w:tc>
          <w:tcPr>
            <w:tcW w:w="1258" w:type="pct"/>
            <w:gridSpan w:val="2"/>
            <w:vAlign w:val="center"/>
          </w:tcPr>
          <w:p w14:paraId="15AF642D" w14:textId="77777777" w:rsidR="00375EE9" w:rsidRPr="0098262F" w:rsidRDefault="00375EE9">
            <w:pPr>
              <w:pStyle w:val="COMTabletext"/>
              <w:rPr>
                <w:rFonts w:ascii="Times" w:hAnsi="Times"/>
              </w:rPr>
            </w:pPr>
            <w:r w:rsidRPr="0098262F">
              <w:t>Costs</w:t>
            </w:r>
          </w:p>
        </w:tc>
        <w:tc>
          <w:tcPr>
            <w:tcW w:w="1257" w:type="pct"/>
            <w:gridSpan w:val="2"/>
            <w:vAlign w:val="center"/>
          </w:tcPr>
          <w:p w14:paraId="04A2D064" w14:textId="709604AD" w:rsidR="00375EE9" w:rsidRPr="0098262F" w:rsidRDefault="00375EE9">
            <w:pPr>
              <w:pStyle w:val="COMTabletext"/>
              <w:jc w:val="center"/>
              <w:rPr>
                <w:rFonts w:ascii="Times" w:hAnsi="Times"/>
              </w:rPr>
            </w:pPr>
            <w:r>
              <w:rPr>
                <w:color w:val="000000"/>
                <w:szCs w:val="20"/>
              </w:rPr>
              <w:t>$</w:t>
            </w:r>
            <w:r w:rsidR="00C8249A" w:rsidRPr="00C8249A">
              <w:rPr>
                <w:color w:val="000000"/>
                <w:szCs w:val="20"/>
                <w:highlight w:val="black"/>
              </w:rPr>
              <w:t>&amp;&amp;&amp;&amp;</w:t>
            </w:r>
          </w:p>
        </w:tc>
        <w:tc>
          <w:tcPr>
            <w:tcW w:w="1258" w:type="pct"/>
            <w:vAlign w:val="center"/>
          </w:tcPr>
          <w:p w14:paraId="75214F16" w14:textId="77777777" w:rsidR="00375EE9" w:rsidRPr="0098262F" w:rsidRDefault="00375EE9">
            <w:pPr>
              <w:pStyle w:val="COMTabletext"/>
              <w:jc w:val="center"/>
              <w:rPr>
                <w:rFonts w:ascii="Times" w:hAnsi="Times"/>
              </w:rPr>
            </w:pPr>
            <w:r>
              <w:rPr>
                <w:color w:val="000000"/>
                <w:szCs w:val="20"/>
              </w:rPr>
              <w:t>$11,834</w:t>
            </w:r>
          </w:p>
        </w:tc>
        <w:tc>
          <w:tcPr>
            <w:tcW w:w="1227" w:type="pct"/>
            <w:vAlign w:val="center"/>
          </w:tcPr>
          <w:p w14:paraId="19E3F921" w14:textId="463E6326" w:rsidR="00375EE9" w:rsidRPr="0098262F" w:rsidRDefault="00375EE9">
            <w:pPr>
              <w:pStyle w:val="COMTabletext"/>
              <w:jc w:val="center"/>
              <w:rPr>
                <w:rFonts w:ascii="Times" w:hAnsi="Times"/>
              </w:rPr>
            </w:pPr>
            <w:r>
              <w:rPr>
                <w:color w:val="000000"/>
                <w:szCs w:val="20"/>
              </w:rPr>
              <w:t>$</w:t>
            </w:r>
            <w:r w:rsidR="00C8249A" w:rsidRPr="00C8249A">
              <w:rPr>
                <w:color w:val="000000"/>
                <w:szCs w:val="20"/>
                <w:highlight w:val="black"/>
              </w:rPr>
              <w:t>&amp;&amp;&amp;&amp;</w:t>
            </w:r>
          </w:p>
        </w:tc>
      </w:tr>
      <w:tr w:rsidR="00375EE9" w:rsidRPr="0098262F" w14:paraId="6CEE9730" w14:textId="77777777">
        <w:tc>
          <w:tcPr>
            <w:tcW w:w="1258" w:type="pct"/>
            <w:gridSpan w:val="2"/>
            <w:vAlign w:val="center"/>
          </w:tcPr>
          <w:p w14:paraId="794C13BA" w14:textId="77777777" w:rsidR="00375EE9" w:rsidRPr="0098262F" w:rsidRDefault="00375EE9">
            <w:pPr>
              <w:pStyle w:val="COMTabletext"/>
            </w:pPr>
            <w:r>
              <w:t>Life years</w:t>
            </w:r>
          </w:p>
        </w:tc>
        <w:tc>
          <w:tcPr>
            <w:tcW w:w="1257" w:type="pct"/>
            <w:gridSpan w:val="2"/>
            <w:vAlign w:val="center"/>
          </w:tcPr>
          <w:p w14:paraId="769DBAEE" w14:textId="77777777" w:rsidR="00375EE9" w:rsidRPr="0098262F" w:rsidRDefault="00375EE9">
            <w:pPr>
              <w:pStyle w:val="COMTabletext"/>
              <w:jc w:val="center"/>
            </w:pPr>
            <w:r>
              <w:rPr>
                <w:color w:val="000000"/>
                <w:szCs w:val="20"/>
              </w:rPr>
              <w:t>1.6296</w:t>
            </w:r>
          </w:p>
        </w:tc>
        <w:tc>
          <w:tcPr>
            <w:tcW w:w="1258" w:type="pct"/>
            <w:vAlign w:val="center"/>
          </w:tcPr>
          <w:p w14:paraId="1C19401D" w14:textId="77777777" w:rsidR="00375EE9" w:rsidRPr="0098262F" w:rsidRDefault="00375EE9">
            <w:pPr>
              <w:pStyle w:val="COMTabletext"/>
              <w:jc w:val="center"/>
            </w:pPr>
            <w:r>
              <w:rPr>
                <w:color w:val="000000"/>
                <w:szCs w:val="20"/>
              </w:rPr>
              <w:t>1.3454</w:t>
            </w:r>
          </w:p>
        </w:tc>
        <w:tc>
          <w:tcPr>
            <w:tcW w:w="1227" w:type="pct"/>
            <w:vAlign w:val="center"/>
          </w:tcPr>
          <w:p w14:paraId="0FBD518F" w14:textId="77777777" w:rsidR="00375EE9" w:rsidRPr="0098262F" w:rsidRDefault="00375EE9">
            <w:pPr>
              <w:pStyle w:val="COMTabletext"/>
              <w:jc w:val="center"/>
            </w:pPr>
            <w:r>
              <w:rPr>
                <w:color w:val="000000"/>
                <w:szCs w:val="20"/>
              </w:rPr>
              <w:t>0.2843</w:t>
            </w:r>
          </w:p>
        </w:tc>
      </w:tr>
      <w:tr w:rsidR="00375EE9" w:rsidRPr="0098262F" w14:paraId="7BECC02B" w14:textId="77777777">
        <w:tc>
          <w:tcPr>
            <w:tcW w:w="1258" w:type="pct"/>
            <w:gridSpan w:val="2"/>
            <w:vAlign w:val="center"/>
          </w:tcPr>
          <w:p w14:paraId="182B0E24" w14:textId="77777777" w:rsidR="00375EE9" w:rsidRPr="0098262F" w:rsidRDefault="00375EE9">
            <w:pPr>
              <w:pStyle w:val="COMTabletext"/>
              <w:rPr>
                <w:rFonts w:ascii="Times" w:hAnsi="Times"/>
              </w:rPr>
            </w:pPr>
            <w:r>
              <w:t>QALYs</w:t>
            </w:r>
          </w:p>
        </w:tc>
        <w:tc>
          <w:tcPr>
            <w:tcW w:w="1257" w:type="pct"/>
            <w:gridSpan w:val="2"/>
            <w:vAlign w:val="center"/>
          </w:tcPr>
          <w:p w14:paraId="46CA3EBD" w14:textId="77777777" w:rsidR="00375EE9" w:rsidRPr="0098262F" w:rsidRDefault="00375EE9">
            <w:pPr>
              <w:pStyle w:val="COMTabletext"/>
              <w:jc w:val="center"/>
              <w:rPr>
                <w:rFonts w:ascii="Times" w:hAnsi="Times"/>
              </w:rPr>
            </w:pPr>
            <w:r>
              <w:rPr>
                <w:color w:val="000000"/>
                <w:szCs w:val="20"/>
              </w:rPr>
              <w:t>1.1491</w:t>
            </w:r>
          </w:p>
        </w:tc>
        <w:tc>
          <w:tcPr>
            <w:tcW w:w="1258" w:type="pct"/>
            <w:vAlign w:val="center"/>
          </w:tcPr>
          <w:p w14:paraId="57D5B352" w14:textId="77777777" w:rsidR="00375EE9" w:rsidRPr="0098262F" w:rsidRDefault="00375EE9">
            <w:pPr>
              <w:pStyle w:val="COMTabletext"/>
              <w:jc w:val="center"/>
              <w:rPr>
                <w:rFonts w:ascii="Times" w:hAnsi="Times"/>
              </w:rPr>
            </w:pPr>
            <w:r>
              <w:rPr>
                <w:color w:val="000000"/>
                <w:szCs w:val="20"/>
              </w:rPr>
              <w:t>0.9468</w:t>
            </w:r>
          </w:p>
        </w:tc>
        <w:tc>
          <w:tcPr>
            <w:tcW w:w="1227" w:type="pct"/>
            <w:vAlign w:val="center"/>
          </w:tcPr>
          <w:p w14:paraId="3C4D48C0" w14:textId="77777777" w:rsidR="00375EE9" w:rsidRPr="0098262F" w:rsidRDefault="00375EE9">
            <w:pPr>
              <w:pStyle w:val="COMTabletext"/>
              <w:jc w:val="center"/>
            </w:pPr>
            <w:r>
              <w:rPr>
                <w:color w:val="000000"/>
                <w:szCs w:val="20"/>
              </w:rPr>
              <w:t>0.2023</w:t>
            </w:r>
          </w:p>
        </w:tc>
      </w:tr>
      <w:tr w:rsidR="00375EE9" w:rsidRPr="0098262F" w14:paraId="0CAFF55A" w14:textId="77777777">
        <w:tc>
          <w:tcPr>
            <w:tcW w:w="3773" w:type="pct"/>
            <w:gridSpan w:val="5"/>
            <w:vAlign w:val="center"/>
          </w:tcPr>
          <w:p w14:paraId="44952A55" w14:textId="77777777" w:rsidR="00375EE9" w:rsidRPr="0098262F" w:rsidRDefault="00375EE9">
            <w:pPr>
              <w:pStyle w:val="COMTabletext"/>
              <w:rPr>
                <w:rFonts w:ascii="Times" w:hAnsi="Times"/>
              </w:rPr>
            </w:pPr>
            <w:r w:rsidRPr="0098262F">
              <w:t>Incremental cost</w:t>
            </w:r>
            <w:r>
              <w:t xml:space="preserve"> per life year </w:t>
            </w:r>
            <w:r w:rsidRPr="0098262F">
              <w:t>gained</w:t>
            </w:r>
          </w:p>
        </w:tc>
        <w:tc>
          <w:tcPr>
            <w:tcW w:w="1227" w:type="pct"/>
            <w:vAlign w:val="center"/>
          </w:tcPr>
          <w:p w14:paraId="2985CA55" w14:textId="626E7DD9" w:rsidR="00375EE9" w:rsidRPr="00DC4817" w:rsidRDefault="00375EE9">
            <w:pPr>
              <w:pStyle w:val="COMTabletext"/>
              <w:jc w:val="center"/>
              <w:rPr>
                <w:rFonts w:ascii="Times" w:hAnsi="Times"/>
                <w:vertAlign w:val="superscript"/>
              </w:rPr>
            </w:pPr>
            <w:r>
              <w:rPr>
                <w:color w:val="000000"/>
                <w:szCs w:val="20"/>
              </w:rPr>
              <w:t>$</w:t>
            </w:r>
            <w:r w:rsidR="00C8249A" w:rsidRPr="00C8249A">
              <w:rPr>
                <w:color w:val="000000"/>
                <w:szCs w:val="20"/>
                <w:highlight w:val="black"/>
              </w:rPr>
              <w:t>&amp;&amp;&amp;&amp;</w:t>
            </w:r>
            <w:r w:rsidR="00DC4817">
              <w:rPr>
                <w:color w:val="000000"/>
                <w:szCs w:val="20"/>
                <w:vertAlign w:val="superscript"/>
              </w:rPr>
              <w:t>4</w:t>
            </w:r>
          </w:p>
        </w:tc>
      </w:tr>
      <w:tr w:rsidR="00375EE9" w:rsidRPr="0098262F" w14:paraId="1B2ABE12" w14:textId="77777777">
        <w:tc>
          <w:tcPr>
            <w:tcW w:w="3773" w:type="pct"/>
            <w:gridSpan w:val="5"/>
            <w:vAlign w:val="center"/>
          </w:tcPr>
          <w:p w14:paraId="55642256" w14:textId="77777777" w:rsidR="00375EE9" w:rsidRPr="0098262F" w:rsidRDefault="00375EE9">
            <w:pPr>
              <w:pStyle w:val="COMTabletext"/>
            </w:pPr>
            <w:r w:rsidRPr="0098262F">
              <w:t>Incremental cost</w:t>
            </w:r>
            <w:r>
              <w:t xml:space="preserve"> per QALY</w:t>
            </w:r>
            <w:r w:rsidRPr="0098262F">
              <w:t xml:space="preserve"> gained</w:t>
            </w:r>
          </w:p>
        </w:tc>
        <w:tc>
          <w:tcPr>
            <w:tcW w:w="1227" w:type="pct"/>
            <w:vAlign w:val="center"/>
          </w:tcPr>
          <w:p w14:paraId="7D861042" w14:textId="43DECDE4" w:rsidR="00375EE9" w:rsidRPr="00DF58D8" w:rsidRDefault="00375EE9">
            <w:pPr>
              <w:pStyle w:val="COMTabletext"/>
              <w:jc w:val="center"/>
              <w:rPr>
                <w:vertAlign w:val="superscript"/>
              </w:rPr>
            </w:pPr>
            <w:r>
              <w:rPr>
                <w:color w:val="000000"/>
                <w:szCs w:val="20"/>
              </w:rPr>
              <w:t>$</w:t>
            </w:r>
            <w:r w:rsidR="00C8249A" w:rsidRPr="00C8249A">
              <w:rPr>
                <w:color w:val="000000"/>
                <w:szCs w:val="20"/>
                <w:highlight w:val="black"/>
              </w:rPr>
              <w:t>&amp;&amp;&amp;&amp;</w:t>
            </w:r>
            <w:r w:rsidR="00DF58D8">
              <w:rPr>
                <w:color w:val="000000"/>
                <w:szCs w:val="20"/>
                <w:vertAlign w:val="superscript"/>
              </w:rPr>
              <w:t>1</w:t>
            </w:r>
          </w:p>
        </w:tc>
      </w:tr>
      <w:tr w:rsidR="00375EE9" w:rsidRPr="0098262F" w14:paraId="6205746D" w14:textId="77777777">
        <w:tc>
          <w:tcPr>
            <w:tcW w:w="5000" w:type="pct"/>
            <w:gridSpan w:val="6"/>
            <w:vAlign w:val="center"/>
          </w:tcPr>
          <w:p w14:paraId="51CA8963" w14:textId="77777777" w:rsidR="00375EE9" w:rsidRPr="0098262F" w:rsidRDefault="00375EE9">
            <w:pPr>
              <w:pStyle w:val="COMTableheadingrow"/>
            </w:pPr>
            <w:r w:rsidRPr="0098262F">
              <w:t xml:space="preserve">Step 4: </w:t>
            </w:r>
            <w:r>
              <w:t>As for Step 3, with the inclusion of other health care resource use (costs associated with concomitant medicines, subsequent systemic treatments, health states, and terminal care).</w:t>
            </w:r>
          </w:p>
        </w:tc>
      </w:tr>
      <w:tr w:rsidR="00375EE9" w:rsidRPr="0098262F" w14:paraId="6635112E" w14:textId="77777777">
        <w:tc>
          <w:tcPr>
            <w:tcW w:w="1258" w:type="pct"/>
            <w:gridSpan w:val="2"/>
            <w:vAlign w:val="center"/>
          </w:tcPr>
          <w:p w14:paraId="06507529" w14:textId="77777777" w:rsidR="00375EE9" w:rsidRPr="0098262F" w:rsidRDefault="00375EE9">
            <w:pPr>
              <w:pStyle w:val="COMTabletext"/>
              <w:rPr>
                <w:rFonts w:ascii="Times" w:hAnsi="Times"/>
              </w:rPr>
            </w:pPr>
            <w:r w:rsidRPr="0098262F">
              <w:t>Costs</w:t>
            </w:r>
          </w:p>
        </w:tc>
        <w:tc>
          <w:tcPr>
            <w:tcW w:w="1257" w:type="pct"/>
            <w:gridSpan w:val="2"/>
            <w:vAlign w:val="center"/>
          </w:tcPr>
          <w:p w14:paraId="57AB4729" w14:textId="558D786C" w:rsidR="00375EE9" w:rsidRPr="0098262F" w:rsidRDefault="00375EE9">
            <w:pPr>
              <w:pStyle w:val="COMTabletext"/>
              <w:jc w:val="center"/>
              <w:rPr>
                <w:rFonts w:ascii="Times" w:hAnsi="Times"/>
              </w:rPr>
            </w:pPr>
            <w:r>
              <w:rPr>
                <w:color w:val="000000"/>
                <w:szCs w:val="20"/>
              </w:rPr>
              <w:t>$</w:t>
            </w:r>
            <w:r w:rsidR="00C8249A" w:rsidRPr="00C8249A">
              <w:rPr>
                <w:color w:val="000000"/>
                <w:szCs w:val="20"/>
                <w:highlight w:val="black"/>
              </w:rPr>
              <w:t>&amp;&amp;&amp;&amp;</w:t>
            </w:r>
          </w:p>
        </w:tc>
        <w:tc>
          <w:tcPr>
            <w:tcW w:w="1258" w:type="pct"/>
            <w:vAlign w:val="center"/>
          </w:tcPr>
          <w:p w14:paraId="60D5E29C" w14:textId="77777777" w:rsidR="00375EE9" w:rsidRPr="0098262F" w:rsidRDefault="00375EE9">
            <w:pPr>
              <w:pStyle w:val="COMTabletext"/>
              <w:jc w:val="center"/>
              <w:rPr>
                <w:rFonts w:ascii="Times" w:hAnsi="Times"/>
              </w:rPr>
            </w:pPr>
            <w:r>
              <w:rPr>
                <w:color w:val="000000"/>
                <w:szCs w:val="20"/>
              </w:rPr>
              <w:t>$40,616</w:t>
            </w:r>
          </w:p>
        </w:tc>
        <w:tc>
          <w:tcPr>
            <w:tcW w:w="1227" w:type="pct"/>
            <w:vAlign w:val="center"/>
          </w:tcPr>
          <w:p w14:paraId="08635809" w14:textId="2F51A3D9" w:rsidR="00375EE9" w:rsidRPr="0098262F" w:rsidRDefault="00375EE9">
            <w:pPr>
              <w:pStyle w:val="COMTabletext"/>
              <w:jc w:val="center"/>
              <w:rPr>
                <w:rFonts w:ascii="Times" w:hAnsi="Times"/>
              </w:rPr>
            </w:pPr>
            <w:r>
              <w:rPr>
                <w:color w:val="000000"/>
                <w:szCs w:val="20"/>
              </w:rPr>
              <w:t>$</w:t>
            </w:r>
            <w:r w:rsidR="00C8249A" w:rsidRPr="00C8249A">
              <w:rPr>
                <w:color w:val="000000"/>
                <w:szCs w:val="20"/>
                <w:highlight w:val="black"/>
              </w:rPr>
              <w:t>&amp;&amp;&amp;&amp;</w:t>
            </w:r>
          </w:p>
        </w:tc>
      </w:tr>
      <w:tr w:rsidR="00375EE9" w:rsidRPr="0098262F" w14:paraId="170F0BC4" w14:textId="77777777">
        <w:tc>
          <w:tcPr>
            <w:tcW w:w="1258" w:type="pct"/>
            <w:gridSpan w:val="2"/>
            <w:vAlign w:val="center"/>
          </w:tcPr>
          <w:p w14:paraId="1CE10F98" w14:textId="77777777" w:rsidR="00375EE9" w:rsidRPr="0098262F" w:rsidRDefault="00375EE9">
            <w:pPr>
              <w:pStyle w:val="COMTabletext"/>
            </w:pPr>
            <w:r>
              <w:t>Life years</w:t>
            </w:r>
          </w:p>
        </w:tc>
        <w:tc>
          <w:tcPr>
            <w:tcW w:w="1257" w:type="pct"/>
            <w:gridSpan w:val="2"/>
            <w:vAlign w:val="center"/>
          </w:tcPr>
          <w:p w14:paraId="011FF3B1" w14:textId="77777777" w:rsidR="00375EE9" w:rsidRPr="0098262F" w:rsidRDefault="00375EE9">
            <w:pPr>
              <w:pStyle w:val="COMTabletext"/>
              <w:jc w:val="center"/>
            </w:pPr>
            <w:r>
              <w:rPr>
                <w:color w:val="000000"/>
                <w:szCs w:val="20"/>
              </w:rPr>
              <w:t>1.6296</w:t>
            </w:r>
          </w:p>
        </w:tc>
        <w:tc>
          <w:tcPr>
            <w:tcW w:w="1258" w:type="pct"/>
            <w:vAlign w:val="center"/>
          </w:tcPr>
          <w:p w14:paraId="41D48CFD" w14:textId="77777777" w:rsidR="00375EE9" w:rsidRPr="0098262F" w:rsidRDefault="00375EE9">
            <w:pPr>
              <w:pStyle w:val="COMTabletext"/>
              <w:jc w:val="center"/>
            </w:pPr>
            <w:r>
              <w:rPr>
                <w:color w:val="000000"/>
                <w:szCs w:val="20"/>
              </w:rPr>
              <w:t>1.3454</w:t>
            </w:r>
          </w:p>
        </w:tc>
        <w:tc>
          <w:tcPr>
            <w:tcW w:w="1227" w:type="pct"/>
            <w:vAlign w:val="center"/>
          </w:tcPr>
          <w:p w14:paraId="1231AEE4" w14:textId="77777777" w:rsidR="00375EE9" w:rsidRPr="0098262F" w:rsidRDefault="00375EE9">
            <w:pPr>
              <w:pStyle w:val="COMTabletext"/>
              <w:jc w:val="center"/>
            </w:pPr>
            <w:r>
              <w:rPr>
                <w:color w:val="000000"/>
                <w:szCs w:val="20"/>
              </w:rPr>
              <w:t>0.2843</w:t>
            </w:r>
          </w:p>
        </w:tc>
      </w:tr>
      <w:tr w:rsidR="00375EE9" w:rsidRPr="0098262F" w14:paraId="26B53DF5" w14:textId="77777777">
        <w:tc>
          <w:tcPr>
            <w:tcW w:w="1258" w:type="pct"/>
            <w:gridSpan w:val="2"/>
            <w:vAlign w:val="center"/>
          </w:tcPr>
          <w:p w14:paraId="374314C0" w14:textId="77777777" w:rsidR="00375EE9" w:rsidRPr="0098262F" w:rsidRDefault="00375EE9">
            <w:pPr>
              <w:pStyle w:val="COMTabletext"/>
              <w:rPr>
                <w:rFonts w:ascii="Times" w:hAnsi="Times"/>
              </w:rPr>
            </w:pPr>
            <w:r>
              <w:t>QALYs</w:t>
            </w:r>
          </w:p>
        </w:tc>
        <w:tc>
          <w:tcPr>
            <w:tcW w:w="1257" w:type="pct"/>
            <w:gridSpan w:val="2"/>
            <w:vAlign w:val="center"/>
          </w:tcPr>
          <w:p w14:paraId="237FEC95" w14:textId="77777777" w:rsidR="00375EE9" w:rsidRPr="0098262F" w:rsidRDefault="00375EE9">
            <w:pPr>
              <w:pStyle w:val="COMTabletext"/>
              <w:jc w:val="center"/>
              <w:rPr>
                <w:rFonts w:ascii="Times" w:hAnsi="Times"/>
              </w:rPr>
            </w:pPr>
            <w:r>
              <w:rPr>
                <w:color w:val="000000"/>
                <w:szCs w:val="20"/>
              </w:rPr>
              <w:t>1.1491</w:t>
            </w:r>
          </w:p>
        </w:tc>
        <w:tc>
          <w:tcPr>
            <w:tcW w:w="1258" w:type="pct"/>
            <w:vAlign w:val="center"/>
          </w:tcPr>
          <w:p w14:paraId="7DA3DA01" w14:textId="77777777" w:rsidR="00375EE9" w:rsidRPr="0098262F" w:rsidRDefault="00375EE9">
            <w:pPr>
              <w:pStyle w:val="COMTabletext"/>
              <w:jc w:val="center"/>
              <w:rPr>
                <w:rFonts w:ascii="Times" w:hAnsi="Times"/>
              </w:rPr>
            </w:pPr>
            <w:r>
              <w:rPr>
                <w:color w:val="000000"/>
                <w:szCs w:val="20"/>
              </w:rPr>
              <w:t>0.9468</w:t>
            </w:r>
          </w:p>
        </w:tc>
        <w:tc>
          <w:tcPr>
            <w:tcW w:w="1227" w:type="pct"/>
            <w:vAlign w:val="center"/>
          </w:tcPr>
          <w:p w14:paraId="11EF5C51" w14:textId="77777777" w:rsidR="00375EE9" w:rsidRPr="0098262F" w:rsidRDefault="00375EE9">
            <w:pPr>
              <w:pStyle w:val="COMTabletext"/>
              <w:jc w:val="center"/>
            </w:pPr>
            <w:r>
              <w:rPr>
                <w:color w:val="000000"/>
                <w:szCs w:val="20"/>
              </w:rPr>
              <w:t>0.2023</w:t>
            </w:r>
          </w:p>
        </w:tc>
      </w:tr>
      <w:tr w:rsidR="00375EE9" w:rsidRPr="0098262F" w14:paraId="52B454BA" w14:textId="77777777">
        <w:tc>
          <w:tcPr>
            <w:tcW w:w="3773" w:type="pct"/>
            <w:gridSpan w:val="5"/>
            <w:vAlign w:val="center"/>
          </w:tcPr>
          <w:p w14:paraId="1216B221" w14:textId="77777777" w:rsidR="00375EE9" w:rsidRPr="0098262F" w:rsidRDefault="00375EE9">
            <w:pPr>
              <w:pStyle w:val="COMTabletext"/>
              <w:rPr>
                <w:rFonts w:ascii="Times" w:hAnsi="Times"/>
              </w:rPr>
            </w:pPr>
            <w:r w:rsidRPr="0098262F">
              <w:t>Incremental cost</w:t>
            </w:r>
            <w:r>
              <w:t xml:space="preserve"> per life year </w:t>
            </w:r>
            <w:r w:rsidRPr="0098262F">
              <w:t>gained</w:t>
            </w:r>
          </w:p>
        </w:tc>
        <w:tc>
          <w:tcPr>
            <w:tcW w:w="1227" w:type="pct"/>
            <w:vAlign w:val="center"/>
          </w:tcPr>
          <w:p w14:paraId="0BBC5277" w14:textId="6A0782C9" w:rsidR="00375EE9" w:rsidRPr="00DC4817" w:rsidRDefault="00375EE9">
            <w:pPr>
              <w:pStyle w:val="COMTabletext"/>
              <w:jc w:val="center"/>
              <w:rPr>
                <w:rFonts w:ascii="Times" w:hAnsi="Times"/>
                <w:vertAlign w:val="superscript"/>
              </w:rPr>
            </w:pPr>
            <w:r>
              <w:rPr>
                <w:color w:val="000000"/>
                <w:szCs w:val="20"/>
              </w:rPr>
              <w:t>$</w:t>
            </w:r>
            <w:r w:rsidR="00C8249A" w:rsidRPr="00C8249A">
              <w:rPr>
                <w:color w:val="000000"/>
                <w:szCs w:val="20"/>
                <w:highlight w:val="black"/>
              </w:rPr>
              <w:t>&amp;&amp;&amp;&amp;</w:t>
            </w:r>
            <w:r w:rsidR="00DC4817">
              <w:rPr>
                <w:color w:val="000000"/>
                <w:szCs w:val="20"/>
                <w:vertAlign w:val="superscript"/>
              </w:rPr>
              <w:t>4</w:t>
            </w:r>
          </w:p>
        </w:tc>
      </w:tr>
      <w:tr w:rsidR="00375EE9" w:rsidRPr="0098262F" w14:paraId="548BB69C" w14:textId="77777777">
        <w:tc>
          <w:tcPr>
            <w:tcW w:w="3773" w:type="pct"/>
            <w:gridSpan w:val="5"/>
            <w:vAlign w:val="center"/>
          </w:tcPr>
          <w:p w14:paraId="6B2357EE" w14:textId="77777777" w:rsidR="00375EE9" w:rsidRPr="00B42243" w:rsidRDefault="00375EE9">
            <w:pPr>
              <w:pStyle w:val="COMTabletext"/>
              <w:rPr>
                <w:b/>
                <w:bCs w:val="0"/>
              </w:rPr>
            </w:pPr>
            <w:r w:rsidRPr="00B42243">
              <w:rPr>
                <w:b/>
                <w:bCs w:val="0"/>
              </w:rPr>
              <w:t>Incremental cost per QALY gained</w:t>
            </w:r>
          </w:p>
        </w:tc>
        <w:tc>
          <w:tcPr>
            <w:tcW w:w="1227" w:type="pct"/>
            <w:vAlign w:val="center"/>
          </w:tcPr>
          <w:p w14:paraId="45F14909" w14:textId="3D3159BF" w:rsidR="00375EE9" w:rsidRPr="00DF58D8" w:rsidRDefault="00375EE9">
            <w:pPr>
              <w:pStyle w:val="COMTabletext"/>
              <w:jc w:val="center"/>
              <w:rPr>
                <w:b/>
                <w:bCs w:val="0"/>
                <w:vertAlign w:val="superscript"/>
              </w:rPr>
            </w:pPr>
            <w:r w:rsidRPr="00B42243">
              <w:rPr>
                <w:b/>
                <w:bCs w:val="0"/>
                <w:color w:val="000000"/>
                <w:szCs w:val="20"/>
              </w:rPr>
              <w:t>$</w:t>
            </w:r>
            <w:r w:rsidR="00C8249A" w:rsidRPr="00C8249A">
              <w:rPr>
                <w:b/>
                <w:bCs w:val="0"/>
                <w:color w:val="000000"/>
                <w:szCs w:val="20"/>
                <w:highlight w:val="black"/>
              </w:rPr>
              <w:t>&amp;&amp;&amp;&amp;</w:t>
            </w:r>
            <w:r w:rsidR="00DF58D8" w:rsidRPr="00DF58D8">
              <w:rPr>
                <w:color w:val="000000"/>
                <w:szCs w:val="20"/>
                <w:vertAlign w:val="superscript"/>
              </w:rPr>
              <w:t>1</w:t>
            </w:r>
          </w:p>
        </w:tc>
      </w:tr>
      <w:tr w:rsidR="0073789B" w:rsidRPr="0098262F" w14:paraId="224FF468" w14:textId="77777777" w:rsidTr="00044E89">
        <w:tc>
          <w:tcPr>
            <w:tcW w:w="5000" w:type="pct"/>
            <w:gridSpan w:val="6"/>
            <w:vAlign w:val="center"/>
          </w:tcPr>
          <w:p w14:paraId="6F0B5F32" w14:textId="294CD07A" w:rsidR="0073789B" w:rsidRPr="0098262F" w:rsidRDefault="0073789B" w:rsidP="00044E89">
            <w:pPr>
              <w:pStyle w:val="COMTableheadingrow"/>
            </w:pPr>
            <w:r>
              <w:t>Pre-PBAC response updated base case (time horizon = 5 years; 2 mg vial = $</w:t>
            </w:r>
            <w:r w:rsidR="00C8249A" w:rsidRPr="00C8249A">
              <w:rPr>
                <w:highlight w:val="black"/>
              </w:rPr>
              <w:t>&amp;&amp;&amp;&amp;</w:t>
            </w:r>
            <w:r>
              <w:t>)</w:t>
            </w:r>
          </w:p>
        </w:tc>
      </w:tr>
      <w:tr w:rsidR="0073789B" w:rsidRPr="0098262F" w14:paraId="2B058CBC" w14:textId="77777777" w:rsidTr="00044E89">
        <w:tc>
          <w:tcPr>
            <w:tcW w:w="1258" w:type="pct"/>
            <w:gridSpan w:val="2"/>
            <w:vAlign w:val="center"/>
          </w:tcPr>
          <w:p w14:paraId="705FFB57" w14:textId="77777777" w:rsidR="0073789B" w:rsidRPr="0098262F" w:rsidRDefault="0073789B" w:rsidP="00044E89">
            <w:pPr>
              <w:pStyle w:val="COMTabletext"/>
              <w:rPr>
                <w:rFonts w:ascii="Times" w:hAnsi="Times"/>
              </w:rPr>
            </w:pPr>
            <w:r w:rsidRPr="0098262F">
              <w:t>Costs</w:t>
            </w:r>
          </w:p>
        </w:tc>
        <w:tc>
          <w:tcPr>
            <w:tcW w:w="1257" w:type="pct"/>
            <w:gridSpan w:val="2"/>
            <w:vAlign w:val="center"/>
          </w:tcPr>
          <w:p w14:paraId="2D3A3656" w14:textId="02E694DE" w:rsidR="0073789B" w:rsidRPr="0098262F" w:rsidRDefault="0073789B" w:rsidP="00044E89">
            <w:pPr>
              <w:pStyle w:val="COMTabletext"/>
              <w:jc w:val="center"/>
              <w:rPr>
                <w:rFonts w:ascii="Times" w:hAnsi="Times"/>
              </w:rPr>
            </w:pPr>
            <w:r>
              <w:rPr>
                <w:color w:val="000000"/>
                <w:szCs w:val="20"/>
              </w:rPr>
              <w:t>$</w:t>
            </w:r>
            <w:r w:rsidR="00C8249A" w:rsidRPr="00C8249A">
              <w:rPr>
                <w:color w:val="000000"/>
                <w:szCs w:val="20"/>
                <w:highlight w:val="black"/>
              </w:rPr>
              <w:t>&amp;&amp;&amp;&amp;</w:t>
            </w:r>
          </w:p>
        </w:tc>
        <w:tc>
          <w:tcPr>
            <w:tcW w:w="1258" w:type="pct"/>
            <w:vAlign w:val="center"/>
          </w:tcPr>
          <w:p w14:paraId="2D43534A" w14:textId="088D1527" w:rsidR="0073789B" w:rsidRPr="0098262F" w:rsidRDefault="0073789B" w:rsidP="00044E89">
            <w:pPr>
              <w:pStyle w:val="COMTabletext"/>
              <w:jc w:val="center"/>
              <w:rPr>
                <w:rFonts w:ascii="Times" w:hAnsi="Times"/>
              </w:rPr>
            </w:pPr>
            <w:r>
              <w:rPr>
                <w:color w:val="000000"/>
                <w:szCs w:val="20"/>
              </w:rPr>
              <w:t>$40,</w:t>
            </w:r>
            <w:r w:rsidR="00A14AC6">
              <w:rPr>
                <w:color w:val="000000"/>
                <w:szCs w:val="20"/>
              </w:rPr>
              <w:t>166</w:t>
            </w:r>
          </w:p>
        </w:tc>
        <w:tc>
          <w:tcPr>
            <w:tcW w:w="1227" w:type="pct"/>
            <w:vAlign w:val="center"/>
          </w:tcPr>
          <w:p w14:paraId="0ADF13C1" w14:textId="62E9B322" w:rsidR="0073789B" w:rsidRPr="0098262F" w:rsidRDefault="0073789B" w:rsidP="00044E89">
            <w:pPr>
              <w:pStyle w:val="COMTabletext"/>
              <w:jc w:val="center"/>
              <w:rPr>
                <w:rFonts w:ascii="Times" w:hAnsi="Times"/>
              </w:rPr>
            </w:pPr>
            <w:r>
              <w:rPr>
                <w:color w:val="000000"/>
                <w:szCs w:val="20"/>
              </w:rPr>
              <w:t>$</w:t>
            </w:r>
            <w:r w:rsidR="00C8249A" w:rsidRPr="00C8249A">
              <w:rPr>
                <w:color w:val="000000"/>
                <w:szCs w:val="20"/>
                <w:highlight w:val="black"/>
              </w:rPr>
              <w:t>&amp;&amp;&amp;&amp;</w:t>
            </w:r>
          </w:p>
        </w:tc>
      </w:tr>
      <w:tr w:rsidR="0073789B" w:rsidRPr="0098262F" w14:paraId="29C35647" w14:textId="77777777" w:rsidTr="00044E89">
        <w:tc>
          <w:tcPr>
            <w:tcW w:w="1258" w:type="pct"/>
            <w:gridSpan w:val="2"/>
            <w:vAlign w:val="center"/>
          </w:tcPr>
          <w:p w14:paraId="09D069A9" w14:textId="77777777" w:rsidR="0073789B" w:rsidRPr="0098262F" w:rsidRDefault="0073789B" w:rsidP="00044E89">
            <w:pPr>
              <w:pStyle w:val="COMTabletext"/>
              <w:rPr>
                <w:rFonts w:ascii="Times" w:hAnsi="Times"/>
              </w:rPr>
            </w:pPr>
            <w:r>
              <w:t>QALYs</w:t>
            </w:r>
          </w:p>
        </w:tc>
        <w:tc>
          <w:tcPr>
            <w:tcW w:w="1257" w:type="pct"/>
            <w:gridSpan w:val="2"/>
            <w:vAlign w:val="center"/>
          </w:tcPr>
          <w:p w14:paraId="1B72347D" w14:textId="1DDEC70B" w:rsidR="0073789B" w:rsidRPr="0098262F" w:rsidRDefault="0073789B" w:rsidP="00044E89">
            <w:pPr>
              <w:pStyle w:val="COMTabletext"/>
              <w:jc w:val="center"/>
              <w:rPr>
                <w:rFonts w:ascii="Times" w:hAnsi="Times"/>
              </w:rPr>
            </w:pPr>
            <w:r>
              <w:rPr>
                <w:color w:val="000000"/>
                <w:szCs w:val="20"/>
              </w:rPr>
              <w:t>1.</w:t>
            </w:r>
            <w:r w:rsidR="00B14C6A">
              <w:rPr>
                <w:color w:val="000000"/>
                <w:szCs w:val="20"/>
              </w:rPr>
              <w:t>085</w:t>
            </w:r>
          </w:p>
        </w:tc>
        <w:tc>
          <w:tcPr>
            <w:tcW w:w="1258" w:type="pct"/>
            <w:vAlign w:val="center"/>
          </w:tcPr>
          <w:p w14:paraId="07546CD1" w14:textId="529C72A9" w:rsidR="0073789B" w:rsidRPr="0098262F" w:rsidRDefault="0073789B" w:rsidP="00044E89">
            <w:pPr>
              <w:pStyle w:val="COMTabletext"/>
              <w:jc w:val="center"/>
              <w:rPr>
                <w:rFonts w:ascii="Times" w:hAnsi="Times"/>
              </w:rPr>
            </w:pPr>
            <w:r>
              <w:rPr>
                <w:color w:val="000000"/>
                <w:szCs w:val="20"/>
              </w:rPr>
              <w:t>0.9</w:t>
            </w:r>
            <w:r w:rsidR="00AC1239">
              <w:rPr>
                <w:color w:val="000000"/>
                <w:szCs w:val="20"/>
              </w:rPr>
              <w:t>05</w:t>
            </w:r>
          </w:p>
        </w:tc>
        <w:tc>
          <w:tcPr>
            <w:tcW w:w="1227" w:type="pct"/>
            <w:vAlign w:val="center"/>
          </w:tcPr>
          <w:p w14:paraId="4CDF3364" w14:textId="23F21240" w:rsidR="0073789B" w:rsidRPr="0098262F" w:rsidRDefault="0073789B" w:rsidP="00044E89">
            <w:pPr>
              <w:pStyle w:val="COMTabletext"/>
              <w:jc w:val="center"/>
            </w:pPr>
            <w:r>
              <w:rPr>
                <w:color w:val="000000"/>
                <w:szCs w:val="20"/>
              </w:rPr>
              <w:t>0.</w:t>
            </w:r>
            <w:r w:rsidR="00AC1239">
              <w:rPr>
                <w:color w:val="000000"/>
                <w:szCs w:val="20"/>
              </w:rPr>
              <w:t>180</w:t>
            </w:r>
          </w:p>
        </w:tc>
      </w:tr>
      <w:tr w:rsidR="0073789B" w:rsidRPr="0098262F" w14:paraId="6B7C033B" w14:textId="77777777" w:rsidTr="00044E89">
        <w:tc>
          <w:tcPr>
            <w:tcW w:w="3773" w:type="pct"/>
            <w:gridSpan w:val="5"/>
            <w:vAlign w:val="center"/>
          </w:tcPr>
          <w:p w14:paraId="346245DB" w14:textId="77777777" w:rsidR="0073789B" w:rsidRPr="00B42243" w:rsidRDefault="0073789B" w:rsidP="00044E89">
            <w:pPr>
              <w:pStyle w:val="COMTabletext"/>
              <w:rPr>
                <w:b/>
                <w:bCs w:val="0"/>
              </w:rPr>
            </w:pPr>
            <w:r w:rsidRPr="00B42243">
              <w:rPr>
                <w:b/>
                <w:bCs w:val="0"/>
              </w:rPr>
              <w:t>Incremental cost per QALY gained</w:t>
            </w:r>
          </w:p>
        </w:tc>
        <w:tc>
          <w:tcPr>
            <w:tcW w:w="1227" w:type="pct"/>
            <w:vAlign w:val="center"/>
          </w:tcPr>
          <w:p w14:paraId="391EBE6C" w14:textId="3A89F8D2" w:rsidR="0073789B" w:rsidRPr="00E03530" w:rsidRDefault="0073789B" w:rsidP="00044E89">
            <w:pPr>
              <w:pStyle w:val="COMTabletext"/>
              <w:jc w:val="center"/>
              <w:rPr>
                <w:vertAlign w:val="superscript"/>
              </w:rPr>
            </w:pPr>
            <w:r w:rsidRPr="00B42243">
              <w:rPr>
                <w:b/>
                <w:bCs w:val="0"/>
                <w:color w:val="000000"/>
                <w:szCs w:val="20"/>
              </w:rPr>
              <w:t>$</w:t>
            </w:r>
            <w:r w:rsidR="00C8249A" w:rsidRPr="00C8249A">
              <w:rPr>
                <w:b/>
                <w:bCs w:val="0"/>
                <w:color w:val="000000"/>
                <w:szCs w:val="20"/>
                <w:highlight w:val="black"/>
              </w:rPr>
              <w:t>&amp;&amp;&amp;&amp;</w:t>
            </w:r>
            <w:r w:rsidR="00E03530">
              <w:rPr>
                <w:color w:val="000000"/>
                <w:szCs w:val="20"/>
                <w:vertAlign w:val="superscript"/>
              </w:rPr>
              <w:t>5</w:t>
            </w:r>
          </w:p>
        </w:tc>
      </w:tr>
    </w:tbl>
    <w:p w14:paraId="0EE95E6F" w14:textId="77777777" w:rsidR="00375EE9" w:rsidRDefault="00375EE9" w:rsidP="00375EE9">
      <w:pPr>
        <w:pStyle w:val="COMtablefooter0"/>
      </w:pPr>
      <w:r w:rsidRPr="0098262F">
        <w:t>Source: Table</w:t>
      </w:r>
      <w:r>
        <w:t xml:space="preserve"> 104, p181 of the submission; ‘</w:t>
      </w:r>
      <w:proofErr w:type="spellStart"/>
      <w:r>
        <w:t>Zepzelca_SCLC</w:t>
      </w:r>
      <w:proofErr w:type="spellEnd"/>
      <w:r>
        <w:t>-CUA’ model spreadsheet provided with the submission</w:t>
      </w:r>
      <w:r w:rsidRPr="0098262F">
        <w:t>.</w:t>
      </w:r>
    </w:p>
    <w:p w14:paraId="29D8810C" w14:textId="77777777" w:rsidR="00375EE9" w:rsidRPr="0098262F" w:rsidRDefault="00375EE9" w:rsidP="00375EE9">
      <w:pPr>
        <w:pStyle w:val="COMtablefooter0"/>
        <w:rPr>
          <w:sz w:val="20"/>
        </w:rPr>
      </w:pPr>
      <w:r>
        <w:t>Abbreviations: QALY, quality adjusted life year.</w:t>
      </w:r>
    </w:p>
    <w:p w14:paraId="5073AB27" w14:textId="77777777" w:rsidR="001750C4" w:rsidRDefault="00375EE9" w:rsidP="001750C4">
      <w:pPr>
        <w:pStyle w:val="COMtablefooter0"/>
        <w:rPr>
          <w:i/>
          <w:szCs w:val="18"/>
        </w:rPr>
      </w:pPr>
      <w:r>
        <w:t>Note: Atezolizumab costs were based on the published AEMP and an assumed 75% rebate to account for the special pricing arrangement and risk sharing arrangement.</w:t>
      </w:r>
      <w:r w:rsidR="001750C4" w:rsidRPr="001750C4">
        <w:rPr>
          <w:i/>
          <w:szCs w:val="18"/>
        </w:rPr>
        <w:t xml:space="preserve"> </w:t>
      </w:r>
    </w:p>
    <w:p w14:paraId="30F13D52" w14:textId="2D73D9B4" w:rsidR="001750C4" w:rsidRPr="001750C4" w:rsidRDefault="001750C4" w:rsidP="001750C4">
      <w:pPr>
        <w:pStyle w:val="COMtablefooter0"/>
        <w:rPr>
          <w:i/>
        </w:rPr>
      </w:pPr>
      <w:r w:rsidRPr="001750C4">
        <w:rPr>
          <w:i/>
        </w:rPr>
        <w:t xml:space="preserve">The redacted values correspond to the following ranges: </w:t>
      </w:r>
    </w:p>
    <w:p w14:paraId="31CA3E51" w14:textId="156172DD" w:rsidR="001750C4" w:rsidRPr="001750C4" w:rsidRDefault="001750C4" w:rsidP="001750C4">
      <w:pPr>
        <w:pStyle w:val="COMtablefooter0"/>
        <w:rPr>
          <w:i/>
        </w:rPr>
      </w:pPr>
      <w:r w:rsidRPr="001750C4">
        <w:rPr>
          <w:i/>
          <w:vertAlign w:val="superscript"/>
        </w:rPr>
        <w:t>1</w:t>
      </w:r>
      <w:r w:rsidRPr="001750C4">
        <w:rPr>
          <w:i/>
        </w:rPr>
        <w:t xml:space="preserve"> </w:t>
      </w:r>
      <w:r w:rsidR="00DF58D8" w:rsidRPr="00DF58D8">
        <w:rPr>
          <w:i/>
        </w:rPr>
        <w:t>$135,000 to &lt; $155,000</w:t>
      </w:r>
    </w:p>
    <w:p w14:paraId="36C586DD" w14:textId="7E27DAB7" w:rsidR="001750C4" w:rsidRPr="001750C4" w:rsidRDefault="001750C4" w:rsidP="001750C4">
      <w:pPr>
        <w:pStyle w:val="COMtablefooter0"/>
        <w:rPr>
          <w:i/>
        </w:rPr>
      </w:pPr>
      <w:r w:rsidRPr="001750C4">
        <w:rPr>
          <w:i/>
          <w:vertAlign w:val="superscript"/>
        </w:rPr>
        <w:t>2</w:t>
      </w:r>
      <w:r w:rsidRPr="001750C4">
        <w:rPr>
          <w:i/>
        </w:rPr>
        <w:t xml:space="preserve"> </w:t>
      </w:r>
      <w:r w:rsidR="00E92DA8" w:rsidRPr="00E92DA8">
        <w:rPr>
          <w:i/>
        </w:rPr>
        <w:t>$255,000 to &lt; $355,000</w:t>
      </w:r>
    </w:p>
    <w:p w14:paraId="52D3932B" w14:textId="0ACEB7A1" w:rsidR="001750C4" w:rsidRPr="001750C4" w:rsidRDefault="001750C4" w:rsidP="001750C4">
      <w:pPr>
        <w:pStyle w:val="COMtablefooter0"/>
        <w:rPr>
          <w:i/>
        </w:rPr>
      </w:pPr>
      <w:r w:rsidRPr="001750C4">
        <w:rPr>
          <w:i/>
          <w:vertAlign w:val="superscript"/>
        </w:rPr>
        <w:t>3</w:t>
      </w:r>
      <w:r w:rsidRPr="001750C4">
        <w:rPr>
          <w:i/>
        </w:rPr>
        <w:t xml:space="preserve"> </w:t>
      </w:r>
      <w:r w:rsidR="00A356E1" w:rsidRPr="00A356E1">
        <w:rPr>
          <w:i/>
        </w:rPr>
        <w:t>$355,000 to &lt; $455,000</w:t>
      </w:r>
    </w:p>
    <w:p w14:paraId="19C1AC05" w14:textId="0AC2299E" w:rsidR="001750C4" w:rsidRPr="001750C4" w:rsidRDefault="001750C4" w:rsidP="001750C4">
      <w:pPr>
        <w:pStyle w:val="COMtablefooter0"/>
        <w:rPr>
          <w:i/>
        </w:rPr>
      </w:pPr>
      <w:r w:rsidRPr="001750C4">
        <w:rPr>
          <w:i/>
          <w:vertAlign w:val="superscript"/>
        </w:rPr>
        <w:t>4</w:t>
      </w:r>
      <w:r w:rsidRPr="001750C4">
        <w:rPr>
          <w:i/>
        </w:rPr>
        <w:t xml:space="preserve"> </w:t>
      </w:r>
      <w:r w:rsidR="00DC4817" w:rsidRPr="00DC4817">
        <w:rPr>
          <w:i/>
        </w:rPr>
        <w:t>$95,000 to &lt; $115,000</w:t>
      </w:r>
    </w:p>
    <w:p w14:paraId="780D36EC" w14:textId="222A520F" w:rsidR="001750C4" w:rsidRPr="001750C4" w:rsidRDefault="001750C4" w:rsidP="001750C4">
      <w:pPr>
        <w:pStyle w:val="COMtablefooter0"/>
        <w:rPr>
          <w:i/>
        </w:rPr>
      </w:pPr>
      <w:r w:rsidRPr="001750C4">
        <w:rPr>
          <w:i/>
          <w:vertAlign w:val="superscript"/>
        </w:rPr>
        <w:t>5</w:t>
      </w:r>
      <w:r w:rsidRPr="001750C4">
        <w:rPr>
          <w:i/>
        </w:rPr>
        <w:t xml:space="preserve"> </w:t>
      </w:r>
      <w:r w:rsidR="00E03530" w:rsidRPr="00E03530">
        <w:rPr>
          <w:i/>
        </w:rPr>
        <w:t>$75,000 to &lt; $95,00</w:t>
      </w:r>
      <w:r w:rsidR="00E03530">
        <w:rPr>
          <w:i/>
        </w:rPr>
        <w:t>0</w:t>
      </w:r>
    </w:p>
    <w:p w14:paraId="71DB7017" w14:textId="2E00F678" w:rsidR="00375EE9" w:rsidRDefault="00375EE9" w:rsidP="00375EE9">
      <w:pPr>
        <w:pStyle w:val="COMtablefooter0"/>
      </w:pPr>
    </w:p>
    <w:p w14:paraId="0A680E2E" w14:textId="1C6F82B2" w:rsidR="00375EE9" w:rsidRPr="00F01C7D" w:rsidRDefault="00375EE9" w:rsidP="00375EE9">
      <w:pPr>
        <w:pStyle w:val="COMESnumberedpara"/>
      </w:pPr>
      <w:r w:rsidRPr="00F01C7D">
        <w:t xml:space="preserve">Based on the economic model, treatment with lurbinectedin plus atezolizumab was associated with an incremental cost per QALY gained of </w:t>
      </w:r>
      <w:r w:rsidR="00784963" w:rsidRPr="00784963">
        <w:t>$115,000 to &lt; $135,000</w:t>
      </w:r>
      <w:r w:rsidRPr="00F01C7D">
        <w:t xml:space="preserve"> compared with atezolizumab alone. Extrapolation of the time horizon to 7.5 years had the largest impact on the stepped economic evaluation.</w:t>
      </w:r>
      <w:r w:rsidR="00232718">
        <w:t xml:space="preserve"> </w:t>
      </w:r>
    </w:p>
    <w:p w14:paraId="4BFE9FC3" w14:textId="5BF19F92" w:rsidR="00375EE9" w:rsidRPr="00F01C7D" w:rsidRDefault="00375EE9" w:rsidP="00B2525F">
      <w:pPr>
        <w:pStyle w:val="COMESnumberedpara"/>
        <w:keepLines/>
      </w:pPr>
      <w:r w:rsidRPr="00F01C7D">
        <w:t>The difference in total cost between treatment arms was primarily driven by drug costs for lurbinectedin plus atezolizumab, which were partially offset by terminal care costs</w:t>
      </w:r>
      <w:r w:rsidRPr="00752A59">
        <w:t>. The</w:t>
      </w:r>
      <w:r w:rsidR="00E36C9E" w:rsidRPr="00752A59">
        <w:t xml:space="preserve"> ESC considered that</w:t>
      </w:r>
      <w:r w:rsidR="00E36C9E">
        <w:t xml:space="preserve"> the</w:t>
      </w:r>
      <w:r w:rsidRPr="00F01C7D">
        <w:t xml:space="preserve">re </w:t>
      </w:r>
      <w:r w:rsidR="00E36C9E">
        <w:t xml:space="preserve">was </w:t>
      </w:r>
      <w:r w:rsidRPr="00F01C7D">
        <w:t>likely to be substantial double counting of MBS services included in terminal care costs, as these were explicitly captured in health state costs in the economic model.</w:t>
      </w:r>
    </w:p>
    <w:p w14:paraId="0243D323" w14:textId="77777777" w:rsidR="00375EE9" w:rsidRPr="00F01C7D" w:rsidRDefault="00375EE9" w:rsidP="00375EE9">
      <w:pPr>
        <w:pStyle w:val="COMESnumberedpara"/>
      </w:pPr>
      <w:r w:rsidRPr="00F01C7D">
        <w:t>The difference in health outcomes between treatment arms was primarily driven by the improved survival of patients in the lurbinectedin plus atezolizumab arm compared to the atezolizumab arm.</w:t>
      </w:r>
    </w:p>
    <w:p w14:paraId="7F078A47" w14:textId="77777777" w:rsidR="00375EE9" w:rsidRPr="00F01C7D" w:rsidRDefault="00375EE9" w:rsidP="00375EE9">
      <w:pPr>
        <w:pStyle w:val="COMESnumberedpara"/>
      </w:pPr>
      <w:r w:rsidRPr="00F01C7D">
        <w:t xml:space="preserve">In the model, 67% of the incremental QALYs and 4% of the incremental costs were accrued in the extrapolated period beyond 15 months. </w:t>
      </w:r>
    </w:p>
    <w:p w14:paraId="5F50B836" w14:textId="77777777" w:rsidR="00375EE9" w:rsidRPr="00F01C7D" w:rsidRDefault="00375EE9" w:rsidP="00375EE9">
      <w:pPr>
        <w:pStyle w:val="COMESnumberedpara"/>
        <w:spacing w:after="0"/>
      </w:pPr>
      <w:r w:rsidRPr="00F01C7D">
        <w:t>For every patient treated with lurbinectedin plus atezolizumab versus atezolizumab alone and followed up for 7.5 years, the economic model (without discounting) estimated that there would be:</w:t>
      </w:r>
    </w:p>
    <w:p w14:paraId="36B7C81C" w14:textId="77777777" w:rsidR="00375EE9" w:rsidRPr="00F01C7D" w:rsidRDefault="00375EE9" w:rsidP="00375EE9">
      <w:pPr>
        <w:pStyle w:val="COMESbulletlist"/>
        <w:spacing w:after="0"/>
      </w:pPr>
      <w:r w:rsidRPr="00F01C7D">
        <w:t>An additional 3.8 months of life lived.</w:t>
      </w:r>
    </w:p>
    <w:p w14:paraId="4384A181" w14:textId="77777777" w:rsidR="00375EE9" w:rsidRPr="00F01C7D" w:rsidRDefault="00375EE9" w:rsidP="00375EE9">
      <w:pPr>
        <w:pStyle w:val="COMESbulletlist"/>
        <w:spacing w:after="0"/>
      </w:pPr>
      <w:r w:rsidRPr="00F01C7D">
        <w:t>An additional 3.3 months spent progression-free.</w:t>
      </w:r>
    </w:p>
    <w:p w14:paraId="5234A8B4" w14:textId="77777777" w:rsidR="00375EE9" w:rsidRPr="00F01C7D" w:rsidRDefault="00375EE9" w:rsidP="00375EE9">
      <w:pPr>
        <w:pStyle w:val="COMESbulletlist"/>
        <w:spacing w:after="0"/>
      </w:pPr>
      <w:r w:rsidRPr="00F01C7D">
        <w:t>Additional maintenance therapy and administration costs (including concomitant therapy) of $28,750.</w:t>
      </w:r>
    </w:p>
    <w:p w14:paraId="4938EF3C" w14:textId="77777777" w:rsidR="00375EE9" w:rsidRPr="00F01C7D" w:rsidRDefault="00375EE9" w:rsidP="00375EE9">
      <w:pPr>
        <w:pStyle w:val="COMESbulletlist"/>
        <w:spacing w:after="0"/>
      </w:pPr>
      <w:r w:rsidRPr="00F01C7D">
        <w:t>Reduced subsequent therapy costs of $267 and reduced terminal care costs of $2,068.</w:t>
      </w:r>
    </w:p>
    <w:p w14:paraId="283EB594" w14:textId="77777777" w:rsidR="00375EE9" w:rsidRPr="00F01C7D" w:rsidRDefault="00375EE9" w:rsidP="00375EE9">
      <w:pPr>
        <w:pStyle w:val="COMESbulletlist"/>
      </w:pPr>
      <w:r w:rsidRPr="00F01C7D">
        <w:t>Additional health state costs of $821 and additional adverse event costs of $223.</w:t>
      </w:r>
    </w:p>
    <w:p w14:paraId="08C8AE02" w14:textId="7A14CD86" w:rsidR="00375EE9" w:rsidRPr="00F01C7D" w:rsidRDefault="00375EE9" w:rsidP="00375EE9">
      <w:pPr>
        <w:pStyle w:val="COMESnumberedpara"/>
      </w:pPr>
      <w:r w:rsidRPr="00F01C7D">
        <w:t xml:space="preserve">The submission acknowledged that the </w:t>
      </w:r>
      <w:r w:rsidR="00FE7DD1" w:rsidRPr="00F01C7D">
        <w:t>IC</w:t>
      </w:r>
      <w:r w:rsidR="00FE7DD1">
        <w:t>ER was</w:t>
      </w:r>
      <w:r w:rsidR="00FE7DD1" w:rsidRPr="00F01C7D">
        <w:t xml:space="preserve"> </w:t>
      </w:r>
      <w:r w:rsidRPr="00F01C7D">
        <w:t>higher compared to previous PBAC decision making for cancer therapies, and stated that it should be considered in the context of the aggressive nature of ES-SCLC, and the magnitude of benefit associated with lurbinectedin treatment (a</w:t>
      </w:r>
      <w:r w:rsidR="00E11269">
        <w:t>n</w:t>
      </w:r>
      <w:r w:rsidR="00192F40">
        <w:t xml:space="preserve"> </w:t>
      </w:r>
      <w:r w:rsidRPr="00F01C7D">
        <w:t xml:space="preserve">increase in median overall survival in the IMforte trial from 10.64 months to 13.24 months) </w:t>
      </w:r>
      <w:r w:rsidR="00FE7DD1">
        <w:t>which was</w:t>
      </w:r>
      <w:r w:rsidRPr="00F01C7D">
        <w:t xml:space="preserve"> based on high quality evidence from a head-to-head randomised trial. The submission also noted that the sponsor would be willing to discuss entering a risk sharing arrangement (RSA) to help mitigate uncertainty around the cost-effectiveness of lurbinectedin, noting that an arrangement was recommended by the PBAC for listing atezolizumab based on a fixed number of atezolizumab doses that was shorter than the estimated average treatment duration.</w:t>
      </w:r>
      <w:r w:rsidR="00A7193A">
        <w:t xml:space="preserve"> </w:t>
      </w:r>
    </w:p>
    <w:p w14:paraId="15C841E5" w14:textId="5884557C" w:rsidR="00375EE9" w:rsidRPr="00F01C7D" w:rsidRDefault="00375EE9" w:rsidP="00375EE9">
      <w:pPr>
        <w:pStyle w:val="COMESnumberedpara"/>
      </w:pPr>
      <w:r w:rsidRPr="00F01C7D">
        <w:t>The PBAC recommended listing of atezolizumab for induction and maintenance treatment of ES-SCLC at the November 2019 meeting. The PBAC was satisfied that the proposal to achieve cost-effectiveness through RSA rebates, in addition to a proposed reduction in the effective price, was reasonable (para</w:t>
      </w:r>
      <w:r w:rsidR="00645D54">
        <w:t>graph</w:t>
      </w:r>
      <w:r w:rsidRPr="00F01C7D">
        <w:t xml:space="preserve"> 6.1, atezolizumab PSD, November 2019 PBAC meeting). The PBAC considered the cost-effectiveness of atezolizumab was acceptable at the price applied in the economic model, which resulted in an ICER of $45,000 to $75,000 per QALY gained (para</w:t>
      </w:r>
      <w:r w:rsidR="00645D54">
        <w:t>graph</w:t>
      </w:r>
      <w:r w:rsidR="00B2525F">
        <w:t> </w:t>
      </w:r>
      <w:r w:rsidRPr="00F01C7D">
        <w:t>6.8,</w:t>
      </w:r>
      <w:r w:rsidR="00B2525F">
        <w:t> </w:t>
      </w:r>
      <w:r w:rsidRPr="00F01C7D">
        <w:t>atezolizumab PSD, November 2019 PBAC meeting).</w:t>
      </w:r>
      <w:r w:rsidR="00027F78">
        <w:t xml:space="preserve"> </w:t>
      </w:r>
    </w:p>
    <w:p w14:paraId="3E94A663" w14:textId="1F1485D0" w:rsidR="00375EE9" w:rsidRPr="00F01C7D" w:rsidRDefault="00375EE9" w:rsidP="00375EE9">
      <w:pPr>
        <w:pStyle w:val="COMESnumberedpara"/>
      </w:pPr>
      <w:r w:rsidRPr="00F01C7D">
        <w:t xml:space="preserve">The results of key sensitivity analyses presented in the submission and conducted during the evaluation are summarised in </w:t>
      </w:r>
      <w:r w:rsidRPr="00F01C7D">
        <w:fldChar w:fldCharType="begin"/>
      </w:r>
      <w:r w:rsidRPr="00F01C7D">
        <w:instrText xml:space="preserve"> REF _Ref104804865 \h </w:instrText>
      </w:r>
      <w:r w:rsidR="00F01C7D" w:rsidRPr="00F01C7D">
        <w:instrText xml:space="preserve"> \* MERGEFORMAT </w:instrText>
      </w:r>
      <w:r w:rsidRPr="00F01C7D">
        <w:fldChar w:fldCharType="separate"/>
      </w:r>
      <w:r w:rsidR="00CC5A50" w:rsidRPr="0098262F">
        <w:t xml:space="preserve">Table </w:t>
      </w:r>
      <w:r w:rsidR="00CC5A50">
        <w:rPr>
          <w:noProof/>
        </w:rPr>
        <w:t>10</w:t>
      </w:r>
      <w:r w:rsidRPr="00F01C7D">
        <w:fldChar w:fldCharType="end"/>
      </w:r>
      <w:r w:rsidRPr="00F01C7D">
        <w:t>.</w:t>
      </w:r>
    </w:p>
    <w:p w14:paraId="67C006A5" w14:textId="21D6DB40" w:rsidR="00375EE9" w:rsidRDefault="00375EE9" w:rsidP="001152EA">
      <w:pPr>
        <w:pStyle w:val="COMTableFigurecaption"/>
        <w:keepLines/>
      </w:pPr>
      <w:bookmarkStart w:id="46" w:name="_Ref104804865"/>
      <w:r w:rsidRPr="0098262F">
        <w:t xml:space="preserve">Table </w:t>
      </w:r>
      <w:r w:rsidR="00FF30BC">
        <w:fldChar w:fldCharType="begin"/>
      </w:r>
      <w:r w:rsidR="00FF30BC">
        <w:instrText xml:space="preserve"> SEQ Table \* ARABIC </w:instrText>
      </w:r>
      <w:r w:rsidR="00FF30BC">
        <w:fldChar w:fldCharType="separate"/>
      </w:r>
      <w:r w:rsidR="00CC5A50">
        <w:rPr>
          <w:noProof/>
        </w:rPr>
        <w:t>10</w:t>
      </w:r>
      <w:r w:rsidR="00FF30BC">
        <w:rPr>
          <w:noProof/>
        </w:rPr>
        <w:fldChar w:fldCharType="end"/>
      </w:r>
      <w:bookmarkEnd w:id="46"/>
      <w:r w:rsidRPr="0098262F">
        <w:t xml:space="preserve">: </w:t>
      </w:r>
      <w:r>
        <w:t>Results of s</w:t>
      </w:r>
      <w:r w:rsidRPr="0098262F">
        <w:t>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Results of sensitivity analyses"/>
      </w:tblPr>
      <w:tblGrid>
        <w:gridCol w:w="3965"/>
        <w:gridCol w:w="1263"/>
        <w:gridCol w:w="1263"/>
        <w:gridCol w:w="1263"/>
        <w:gridCol w:w="1263"/>
      </w:tblGrid>
      <w:tr w:rsidR="00375EE9" w:rsidRPr="00EB7EA8" w14:paraId="0B60C398" w14:textId="77777777">
        <w:trPr>
          <w:tblHeader/>
        </w:trPr>
        <w:tc>
          <w:tcPr>
            <w:tcW w:w="3965" w:type="dxa"/>
          </w:tcPr>
          <w:p w14:paraId="4CCBCA3F" w14:textId="77777777" w:rsidR="00375EE9" w:rsidRPr="00EB7EA8" w:rsidRDefault="00375EE9" w:rsidP="001152EA">
            <w:pPr>
              <w:pStyle w:val="COMTableheadingrow"/>
            </w:pPr>
            <w:r w:rsidRPr="00EB7EA8">
              <w:t>Analyses</w:t>
            </w:r>
          </w:p>
        </w:tc>
        <w:tc>
          <w:tcPr>
            <w:tcW w:w="1263" w:type="dxa"/>
          </w:tcPr>
          <w:p w14:paraId="411AB8B7" w14:textId="77777777" w:rsidR="00375EE9" w:rsidRPr="00EB7EA8" w:rsidRDefault="00375EE9" w:rsidP="001152EA">
            <w:pPr>
              <w:pStyle w:val="COMTableheadingrow"/>
              <w:jc w:val="center"/>
            </w:pPr>
            <w:r w:rsidRPr="00EB7EA8">
              <w:t>Incremental cost</w:t>
            </w:r>
          </w:p>
        </w:tc>
        <w:tc>
          <w:tcPr>
            <w:tcW w:w="1263" w:type="dxa"/>
          </w:tcPr>
          <w:p w14:paraId="392D188D" w14:textId="77777777" w:rsidR="00375EE9" w:rsidRPr="00EB7EA8" w:rsidRDefault="00375EE9" w:rsidP="001152EA">
            <w:pPr>
              <w:pStyle w:val="COMTableheadingrow"/>
              <w:jc w:val="center"/>
            </w:pPr>
            <w:r w:rsidRPr="00EB7EA8">
              <w:t>Incremental QALYs</w:t>
            </w:r>
          </w:p>
        </w:tc>
        <w:tc>
          <w:tcPr>
            <w:tcW w:w="1263" w:type="dxa"/>
            <w:vAlign w:val="center"/>
          </w:tcPr>
          <w:p w14:paraId="1213AB6C" w14:textId="77777777" w:rsidR="00375EE9" w:rsidRPr="00EB7EA8" w:rsidRDefault="00375EE9" w:rsidP="001152EA">
            <w:pPr>
              <w:pStyle w:val="COMTableheadingrow"/>
              <w:jc w:val="center"/>
            </w:pPr>
            <w:r w:rsidRPr="00EB7EA8">
              <w:t>ICER</w:t>
            </w:r>
          </w:p>
        </w:tc>
        <w:tc>
          <w:tcPr>
            <w:tcW w:w="1263" w:type="dxa"/>
            <w:vAlign w:val="center"/>
          </w:tcPr>
          <w:p w14:paraId="17A40BAE" w14:textId="77777777" w:rsidR="00375EE9" w:rsidRPr="00EB7EA8" w:rsidRDefault="00375EE9" w:rsidP="001152EA">
            <w:pPr>
              <w:pStyle w:val="COMTableheadingrow"/>
              <w:spacing w:line="360" w:lineRule="auto"/>
              <w:jc w:val="center"/>
            </w:pPr>
            <w:r w:rsidRPr="00EB7EA8">
              <w:t>% change</w:t>
            </w:r>
          </w:p>
        </w:tc>
      </w:tr>
      <w:tr w:rsidR="00375EE9" w:rsidRPr="00EB7EA8" w14:paraId="671331FA" w14:textId="77777777">
        <w:trPr>
          <w:tblHeader/>
        </w:trPr>
        <w:tc>
          <w:tcPr>
            <w:tcW w:w="3965" w:type="dxa"/>
          </w:tcPr>
          <w:p w14:paraId="1A3C463C" w14:textId="77777777" w:rsidR="00375EE9" w:rsidRPr="00EB7EA8" w:rsidRDefault="00375EE9" w:rsidP="001152EA">
            <w:pPr>
              <w:pStyle w:val="COMTabletext"/>
              <w:rPr>
                <w:b/>
                <w:szCs w:val="20"/>
              </w:rPr>
            </w:pPr>
            <w:r w:rsidRPr="00EB7EA8">
              <w:rPr>
                <w:b/>
                <w:szCs w:val="20"/>
              </w:rPr>
              <w:t>Base case</w:t>
            </w:r>
          </w:p>
        </w:tc>
        <w:tc>
          <w:tcPr>
            <w:tcW w:w="1263" w:type="dxa"/>
          </w:tcPr>
          <w:p w14:paraId="155F1F20" w14:textId="5A1B561F" w:rsidR="00375EE9" w:rsidRPr="00EB7EA8" w:rsidRDefault="00375EE9" w:rsidP="001152EA">
            <w:pPr>
              <w:pStyle w:val="COMTabletext"/>
              <w:jc w:val="center"/>
              <w:rPr>
                <w:b/>
                <w:szCs w:val="20"/>
              </w:rPr>
            </w:pPr>
            <w:r w:rsidRPr="00EB7EA8">
              <w:rPr>
                <w:b/>
                <w:szCs w:val="20"/>
              </w:rPr>
              <w:t>$</w:t>
            </w:r>
            <w:r w:rsidR="00C8249A" w:rsidRPr="00C8249A">
              <w:rPr>
                <w:b/>
                <w:szCs w:val="20"/>
                <w:highlight w:val="black"/>
              </w:rPr>
              <w:t>&amp;&amp;&amp;&amp;</w:t>
            </w:r>
          </w:p>
        </w:tc>
        <w:tc>
          <w:tcPr>
            <w:tcW w:w="1263" w:type="dxa"/>
          </w:tcPr>
          <w:p w14:paraId="7D39D25B" w14:textId="77777777" w:rsidR="00375EE9" w:rsidRPr="00EB7EA8" w:rsidRDefault="00375EE9" w:rsidP="001152EA">
            <w:pPr>
              <w:pStyle w:val="COMTabletext"/>
              <w:jc w:val="center"/>
              <w:rPr>
                <w:b/>
                <w:szCs w:val="20"/>
              </w:rPr>
            </w:pPr>
            <w:r w:rsidRPr="00EB7EA8">
              <w:rPr>
                <w:b/>
                <w:szCs w:val="20"/>
              </w:rPr>
              <w:t>0.2023</w:t>
            </w:r>
          </w:p>
        </w:tc>
        <w:tc>
          <w:tcPr>
            <w:tcW w:w="1263" w:type="dxa"/>
          </w:tcPr>
          <w:p w14:paraId="2E47F50E" w14:textId="65C3C830" w:rsidR="00375EE9" w:rsidRPr="00B33470" w:rsidRDefault="00375EE9" w:rsidP="001152EA">
            <w:pPr>
              <w:pStyle w:val="COMTabletext"/>
              <w:jc w:val="center"/>
              <w:rPr>
                <w:bCs w:val="0"/>
                <w:szCs w:val="20"/>
                <w:vertAlign w:val="superscript"/>
              </w:rPr>
            </w:pPr>
            <w:r w:rsidRPr="00EB7EA8">
              <w:rPr>
                <w:b/>
                <w:szCs w:val="20"/>
              </w:rPr>
              <w:t>$</w:t>
            </w:r>
            <w:r w:rsidR="00C8249A" w:rsidRPr="00C8249A">
              <w:rPr>
                <w:b/>
                <w:szCs w:val="20"/>
                <w:highlight w:val="black"/>
              </w:rPr>
              <w:t>&amp;&amp;&amp;&amp;</w:t>
            </w:r>
            <w:r w:rsidR="00B33470">
              <w:rPr>
                <w:bCs w:val="0"/>
                <w:szCs w:val="20"/>
                <w:vertAlign w:val="superscript"/>
              </w:rPr>
              <w:t>1</w:t>
            </w:r>
          </w:p>
        </w:tc>
        <w:tc>
          <w:tcPr>
            <w:tcW w:w="1263" w:type="dxa"/>
          </w:tcPr>
          <w:p w14:paraId="1990E7A4" w14:textId="77777777" w:rsidR="00375EE9" w:rsidRPr="00EB7EA8" w:rsidRDefault="00375EE9" w:rsidP="001152EA">
            <w:pPr>
              <w:pStyle w:val="COMTabletext"/>
              <w:jc w:val="center"/>
              <w:rPr>
                <w:b/>
                <w:szCs w:val="20"/>
              </w:rPr>
            </w:pPr>
            <w:r w:rsidRPr="00EB7EA8">
              <w:rPr>
                <w:b/>
                <w:szCs w:val="20"/>
              </w:rPr>
              <w:t>-</w:t>
            </w:r>
          </w:p>
        </w:tc>
      </w:tr>
      <w:tr w:rsidR="00375EE9" w:rsidRPr="00EB7EA8" w14:paraId="2006C5FA" w14:textId="77777777">
        <w:tc>
          <w:tcPr>
            <w:tcW w:w="9017" w:type="dxa"/>
            <w:gridSpan w:val="5"/>
          </w:tcPr>
          <w:p w14:paraId="667134E3" w14:textId="77777777" w:rsidR="00375EE9" w:rsidRPr="00EB7EA8" w:rsidRDefault="00375EE9" w:rsidP="001152EA">
            <w:pPr>
              <w:pStyle w:val="COMTabletext"/>
              <w:rPr>
                <w:szCs w:val="20"/>
              </w:rPr>
            </w:pPr>
            <w:r w:rsidRPr="00EB7EA8">
              <w:rPr>
                <w:b/>
                <w:bCs w:val="0"/>
                <w:szCs w:val="20"/>
              </w:rPr>
              <w:t>Discount rate (base case: 5% costs and outcomes)</w:t>
            </w:r>
          </w:p>
        </w:tc>
      </w:tr>
      <w:tr w:rsidR="00375EE9" w:rsidRPr="00EB7EA8" w14:paraId="73DA296E" w14:textId="77777777">
        <w:tc>
          <w:tcPr>
            <w:tcW w:w="3965" w:type="dxa"/>
          </w:tcPr>
          <w:p w14:paraId="3EE5D5AC" w14:textId="77777777" w:rsidR="00375EE9" w:rsidRPr="00EB7EA8" w:rsidRDefault="00375EE9" w:rsidP="001152EA">
            <w:pPr>
              <w:pStyle w:val="COMTabletext"/>
              <w:rPr>
                <w:szCs w:val="20"/>
              </w:rPr>
            </w:pPr>
            <w:r w:rsidRPr="00EB7EA8">
              <w:rPr>
                <w:szCs w:val="20"/>
              </w:rPr>
              <w:t>0% costs and outcomes</w:t>
            </w:r>
          </w:p>
        </w:tc>
        <w:tc>
          <w:tcPr>
            <w:tcW w:w="1263" w:type="dxa"/>
            <w:vAlign w:val="center"/>
          </w:tcPr>
          <w:p w14:paraId="1242F6C3" w14:textId="22E3CCFB" w:rsidR="00375EE9" w:rsidRPr="00EB7EA8" w:rsidRDefault="00375EE9" w:rsidP="001152EA">
            <w:pPr>
              <w:pStyle w:val="COMTabletext"/>
              <w:jc w:val="center"/>
              <w:rPr>
                <w:szCs w:val="20"/>
              </w:rPr>
            </w:pPr>
            <w:r w:rsidRPr="00EB7EA8">
              <w:rPr>
                <w:color w:val="000000"/>
                <w:szCs w:val="20"/>
              </w:rPr>
              <w:t>$</w:t>
            </w:r>
            <w:r w:rsidR="00C8249A" w:rsidRPr="00C8249A">
              <w:rPr>
                <w:color w:val="000000"/>
                <w:szCs w:val="20"/>
                <w:highlight w:val="black"/>
              </w:rPr>
              <w:t>&amp;&amp;&amp;&amp;</w:t>
            </w:r>
          </w:p>
        </w:tc>
        <w:tc>
          <w:tcPr>
            <w:tcW w:w="1263" w:type="dxa"/>
            <w:vAlign w:val="center"/>
          </w:tcPr>
          <w:p w14:paraId="2E015110" w14:textId="77777777" w:rsidR="00375EE9" w:rsidRPr="00EB7EA8" w:rsidRDefault="00375EE9" w:rsidP="001152EA">
            <w:pPr>
              <w:pStyle w:val="COMTabletext"/>
              <w:jc w:val="center"/>
              <w:rPr>
                <w:szCs w:val="20"/>
              </w:rPr>
            </w:pPr>
            <w:r w:rsidRPr="00EB7EA8">
              <w:rPr>
                <w:color w:val="000000"/>
                <w:szCs w:val="20"/>
              </w:rPr>
              <w:t>0.2229</w:t>
            </w:r>
          </w:p>
        </w:tc>
        <w:tc>
          <w:tcPr>
            <w:tcW w:w="1263" w:type="dxa"/>
            <w:vAlign w:val="center"/>
          </w:tcPr>
          <w:p w14:paraId="038F8B76" w14:textId="183B701C" w:rsidR="00375EE9" w:rsidRPr="008F246F" w:rsidRDefault="00375EE9" w:rsidP="001152EA">
            <w:pPr>
              <w:pStyle w:val="COMTabletext"/>
              <w:jc w:val="center"/>
              <w:rPr>
                <w:szCs w:val="20"/>
                <w:vertAlign w:val="superscript"/>
              </w:rPr>
            </w:pPr>
            <w:r w:rsidRPr="00EB7EA8">
              <w:rPr>
                <w:color w:val="000000"/>
                <w:szCs w:val="20"/>
              </w:rPr>
              <w:t>$</w:t>
            </w:r>
            <w:r w:rsidR="00C8249A" w:rsidRPr="00C8249A">
              <w:rPr>
                <w:color w:val="000000"/>
                <w:szCs w:val="20"/>
                <w:highlight w:val="black"/>
              </w:rPr>
              <w:t>&amp;&amp;&amp;&amp;</w:t>
            </w:r>
            <w:r w:rsidR="008F246F">
              <w:rPr>
                <w:color w:val="000000"/>
                <w:szCs w:val="20"/>
                <w:vertAlign w:val="superscript"/>
              </w:rPr>
              <w:t>1</w:t>
            </w:r>
          </w:p>
        </w:tc>
        <w:tc>
          <w:tcPr>
            <w:tcW w:w="1263" w:type="dxa"/>
            <w:vAlign w:val="center"/>
          </w:tcPr>
          <w:p w14:paraId="34E5EDA2" w14:textId="3B489B1E" w:rsidR="00375EE9" w:rsidRPr="00EB7EA8" w:rsidRDefault="00375EE9" w:rsidP="001152EA">
            <w:pPr>
              <w:pStyle w:val="COMTabletext"/>
              <w:jc w:val="center"/>
              <w:rPr>
                <w:szCs w:val="20"/>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375EE9" w:rsidRPr="00EB7EA8" w14:paraId="02017089" w14:textId="77777777">
        <w:tc>
          <w:tcPr>
            <w:tcW w:w="3965" w:type="dxa"/>
          </w:tcPr>
          <w:p w14:paraId="1374490A" w14:textId="77777777" w:rsidR="00375EE9" w:rsidRPr="00EB7EA8" w:rsidRDefault="00375EE9" w:rsidP="001152EA">
            <w:pPr>
              <w:pStyle w:val="COMTabletext"/>
              <w:rPr>
                <w:szCs w:val="20"/>
              </w:rPr>
            </w:pPr>
            <w:r w:rsidRPr="00EB7EA8">
              <w:rPr>
                <w:szCs w:val="20"/>
              </w:rPr>
              <w:t>3.5% costs and outcomes</w:t>
            </w:r>
          </w:p>
        </w:tc>
        <w:tc>
          <w:tcPr>
            <w:tcW w:w="1263" w:type="dxa"/>
            <w:vAlign w:val="center"/>
          </w:tcPr>
          <w:p w14:paraId="6F22C3A5" w14:textId="6B73A989" w:rsidR="00375EE9" w:rsidRPr="00EB7EA8" w:rsidRDefault="00375EE9" w:rsidP="001152EA">
            <w:pPr>
              <w:pStyle w:val="COMTabletext"/>
              <w:jc w:val="center"/>
              <w:rPr>
                <w:szCs w:val="20"/>
              </w:rPr>
            </w:pPr>
            <w:r w:rsidRPr="00EB7EA8">
              <w:rPr>
                <w:color w:val="000000"/>
                <w:szCs w:val="20"/>
              </w:rPr>
              <w:t>$</w:t>
            </w:r>
            <w:r w:rsidR="00C8249A" w:rsidRPr="00C8249A">
              <w:rPr>
                <w:color w:val="000000"/>
                <w:szCs w:val="20"/>
                <w:highlight w:val="black"/>
              </w:rPr>
              <w:t>&amp;&amp;&amp;&amp;</w:t>
            </w:r>
          </w:p>
        </w:tc>
        <w:tc>
          <w:tcPr>
            <w:tcW w:w="1263" w:type="dxa"/>
            <w:vAlign w:val="center"/>
          </w:tcPr>
          <w:p w14:paraId="23B887EE" w14:textId="77777777" w:rsidR="00375EE9" w:rsidRPr="00EB7EA8" w:rsidRDefault="00375EE9" w:rsidP="001152EA">
            <w:pPr>
              <w:pStyle w:val="COMTabletext"/>
              <w:jc w:val="center"/>
              <w:rPr>
                <w:szCs w:val="20"/>
              </w:rPr>
            </w:pPr>
            <w:r w:rsidRPr="00EB7EA8">
              <w:rPr>
                <w:color w:val="000000"/>
                <w:szCs w:val="20"/>
              </w:rPr>
              <w:t>0.2080</w:t>
            </w:r>
          </w:p>
        </w:tc>
        <w:tc>
          <w:tcPr>
            <w:tcW w:w="1263" w:type="dxa"/>
            <w:vAlign w:val="center"/>
          </w:tcPr>
          <w:p w14:paraId="79437A04" w14:textId="4F3BCC3A" w:rsidR="00375EE9" w:rsidRPr="00F728BD" w:rsidRDefault="00375EE9" w:rsidP="001152EA">
            <w:pPr>
              <w:pStyle w:val="COMTabletext"/>
              <w:jc w:val="center"/>
              <w:rPr>
                <w:szCs w:val="20"/>
                <w:vertAlign w:val="superscript"/>
              </w:rPr>
            </w:pPr>
            <w:r w:rsidRPr="00EB7EA8">
              <w:rPr>
                <w:color w:val="000000"/>
                <w:szCs w:val="20"/>
              </w:rPr>
              <w:t>$</w:t>
            </w:r>
            <w:r w:rsidR="00C8249A" w:rsidRPr="00C8249A">
              <w:rPr>
                <w:color w:val="000000"/>
                <w:szCs w:val="20"/>
                <w:highlight w:val="black"/>
              </w:rPr>
              <w:t>&amp;&amp;&amp;&amp;</w:t>
            </w:r>
            <w:r w:rsidR="00F728BD">
              <w:rPr>
                <w:color w:val="000000"/>
                <w:szCs w:val="20"/>
                <w:vertAlign w:val="superscript"/>
              </w:rPr>
              <w:t>1</w:t>
            </w:r>
          </w:p>
        </w:tc>
        <w:tc>
          <w:tcPr>
            <w:tcW w:w="1263" w:type="dxa"/>
            <w:vAlign w:val="center"/>
          </w:tcPr>
          <w:p w14:paraId="2CACF360" w14:textId="4416B6CB" w:rsidR="00375EE9" w:rsidRPr="00EB7EA8" w:rsidRDefault="00375EE9" w:rsidP="001152EA">
            <w:pPr>
              <w:pStyle w:val="COMTabletext"/>
              <w:jc w:val="center"/>
              <w:rPr>
                <w:szCs w:val="20"/>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375EE9" w:rsidRPr="00EB7EA8" w14:paraId="78354EF8" w14:textId="77777777">
        <w:tc>
          <w:tcPr>
            <w:tcW w:w="3965" w:type="dxa"/>
          </w:tcPr>
          <w:p w14:paraId="0C46F643" w14:textId="77777777" w:rsidR="00375EE9" w:rsidRPr="00EB7EA8" w:rsidRDefault="00375EE9">
            <w:pPr>
              <w:pStyle w:val="COMTabletext"/>
              <w:keepNext w:val="0"/>
              <w:keepLines w:val="0"/>
              <w:rPr>
                <w:b/>
                <w:bCs w:val="0"/>
                <w:szCs w:val="20"/>
              </w:rPr>
            </w:pPr>
            <w:r w:rsidRPr="00EB7EA8">
              <w:rPr>
                <w:b/>
                <w:bCs w:val="0"/>
                <w:szCs w:val="20"/>
              </w:rPr>
              <w:t>Time horizon (base case 7.5 years)</w:t>
            </w:r>
          </w:p>
        </w:tc>
        <w:tc>
          <w:tcPr>
            <w:tcW w:w="1263" w:type="dxa"/>
          </w:tcPr>
          <w:p w14:paraId="19622E8D" w14:textId="77777777" w:rsidR="00375EE9" w:rsidRPr="00EB7EA8" w:rsidRDefault="00375EE9">
            <w:pPr>
              <w:pStyle w:val="COMTabletext"/>
              <w:keepNext w:val="0"/>
              <w:keepLines w:val="0"/>
              <w:jc w:val="center"/>
              <w:rPr>
                <w:szCs w:val="20"/>
              </w:rPr>
            </w:pPr>
          </w:p>
        </w:tc>
        <w:tc>
          <w:tcPr>
            <w:tcW w:w="1263" w:type="dxa"/>
          </w:tcPr>
          <w:p w14:paraId="66A0A942" w14:textId="77777777" w:rsidR="00375EE9" w:rsidRPr="00EB7EA8" w:rsidRDefault="00375EE9">
            <w:pPr>
              <w:pStyle w:val="COMTabletext"/>
              <w:keepNext w:val="0"/>
              <w:keepLines w:val="0"/>
              <w:jc w:val="center"/>
              <w:rPr>
                <w:szCs w:val="20"/>
              </w:rPr>
            </w:pPr>
          </w:p>
        </w:tc>
        <w:tc>
          <w:tcPr>
            <w:tcW w:w="1263" w:type="dxa"/>
          </w:tcPr>
          <w:p w14:paraId="3C8A35F6" w14:textId="77777777" w:rsidR="00375EE9" w:rsidRPr="00EB7EA8" w:rsidRDefault="00375EE9">
            <w:pPr>
              <w:pStyle w:val="COMTabletext"/>
              <w:keepNext w:val="0"/>
              <w:keepLines w:val="0"/>
              <w:jc w:val="center"/>
              <w:rPr>
                <w:szCs w:val="20"/>
              </w:rPr>
            </w:pPr>
          </w:p>
        </w:tc>
        <w:tc>
          <w:tcPr>
            <w:tcW w:w="1263" w:type="dxa"/>
          </w:tcPr>
          <w:p w14:paraId="1D44EC98" w14:textId="77777777" w:rsidR="00375EE9" w:rsidRPr="00EB7EA8" w:rsidRDefault="00375EE9">
            <w:pPr>
              <w:pStyle w:val="COMTabletext"/>
              <w:keepNext w:val="0"/>
              <w:keepLines w:val="0"/>
              <w:jc w:val="center"/>
              <w:rPr>
                <w:szCs w:val="20"/>
              </w:rPr>
            </w:pPr>
          </w:p>
        </w:tc>
      </w:tr>
      <w:tr w:rsidR="00375EE9" w:rsidRPr="00EB7EA8" w14:paraId="3B74E069" w14:textId="77777777">
        <w:tc>
          <w:tcPr>
            <w:tcW w:w="3965" w:type="dxa"/>
          </w:tcPr>
          <w:p w14:paraId="30237270" w14:textId="77777777" w:rsidR="00375EE9" w:rsidRPr="00EB7EA8" w:rsidRDefault="00375EE9">
            <w:pPr>
              <w:pStyle w:val="COMTabletext"/>
              <w:keepNext w:val="0"/>
              <w:keepLines w:val="0"/>
              <w:rPr>
                <w:szCs w:val="20"/>
              </w:rPr>
            </w:pPr>
            <w:r w:rsidRPr="00EB7EA8">
              <w:rPr>
                <w:szCs w:val="20"/>
              </w:rPr>
              <w:t>5 years</w:t>
            </w:r>
          </w:p>
        </w:tc>
        <w:tc>
          <w:tcPr>
            <w:tcW w:w="1263" w:type="dxa"/>
            <w:vAlign w:val="bottom"/>
          </w:tcPr>
          <w:p w14:paraId="5AE9ED5B" w14:textId="366F6EE6" w:rsidR="00375EE9" w:rsidRPr="00EB7EA8" w:rsidRDefault="00375EE9">
            <w:pPr>
              <w:pStyle w:val="COMTabletext"/>
              <w:keepNext w:val="0"/>
              <w:keepLines w:val="0"/>
              <w:jc w:val="center"/>
              <w:rPr>
                <w:szCs w:val="20"/>
              </w:rPr>
            </w:pPr>
            <w:r w:rsidRPr="00EB7EA8">
              <w:rPr>
                <w:color w:val="000000"/>
                <w:szCs w:val="20"/>
              </w:rPr>
              <w:t>$</w:t>
            </w:r>
            <w:r w:rsidR="00C8249A" w:rsidRPr="00C8249A">
              <w:rPr>
                <w:color w:val="000000"/>
                <w:szCs w:val="20"/>
                <w:highlight w:val="black"/>
              </w:rPr>
              <w:t>&amp;&amp;&amp;&amp;</w:t>
            </w:r>
          </w:p>
        </w:tc>
        <w:tc>
          <w:tcPr>
            <w:tcW w:w="1263" w:type="dxa"/>
            <w:vAlign w:val="bottom"/>
          </w:tcPr>
          <w:p w14:paraId="5B439E83" w14:textId="77777777" w:rsidR="00375EE9" w:rsidRPr="00EB7EA8" w:rsidRDefault="00375EE9">
            <w:pPr>
              <w:pStyle w:val="COMTabletext"/>
              <w:keepNext w:val="0"/>
              <w:keepLines w:val="0"/>
              <w:jc w:val="center"/>
              <w:rPr>
                <w:szCs w:val="20"/>
                <w:highlight w:val="yellow"/>
              </w:rPr>
            </w:pPr>
            <w:r w:rsidRPr="00EB7EA8">
              <w:rPr>
                <w:color w:val="000000"/>
                <w:szCs w:val="20"/>
              </w:rPr>
              <w:t>0.1801</w:t>
            </w:r>
          </w:p>
        </w:tc>
        <w:tc>
          <w:tcPr>
            <w:tcW w:w="1263" w:type="dxa"/>
            <w:vAlign w:val="bottom"/>
          </w:tcPr>
          <w:p w14:paraId="4C24FB5B" w14:textId="6BFE4FA2" w:rsidR="00375EE9" w:rsidRPr="00177F45" w:rsidRDefault="00375EE9">
            <w:pPr>
              <w:pStyle w:val="COMTabletext"/>
              <w:keepNext w:val="0"/>
              <w:keepLines w:val="0"/>
              <w:jc w:val="center"/>
              <w:rPr>
                <w:szCs w:val="20"/>
                <w:vertAlign w:val="superscript"/>
              </w:rPr>
            </w:pPr>
            <w:r w:rsidRPr="00EB7EA8">
              <w:rPr>
                <w:color w:val="000000"/>
                <w:szCs w:val="20"/>
              </w:rPr>
              <w:t>$</w:t>
            </w:r>
            <w:r w:rsidR="00C8249A" w:rsidRPr="00C8249A">
              <w:rPr>
                <w:color w:val="000000"/>
                <w:szCs w:val="20"/>
                <w:highlight w:val="black"/>
              </w:rPr>
              <w:t>&amp;&amp;&amp;&amp;</w:t>
            </w:r>
            <w:r w:rsidR="00177F45">
              <w:rPr>
                <w:color w:val="000000"/>
                <w:szCs w:val="20"/>
                <w:vertAlign w:val="superscript"/>
              </w:rPr>
              <w:t>2</w:t>
            </w:r>
          </w:p>
        </w:tc>
        <w:tc>
          <w:tcPr>
            <w:tcW w:w="1263" w:type="dxa"/>
            <w:vAlign w:val="bottom"/>
          </w:tcPr>
          <w:p w14:paraId="41CB9DE3" w14:textId="1641F124" w:rsidR="00375EE9" w:rsidRPr="00EB7EA8" w:rsidRDefault="00375EE9">
            <w:pPr>
              <w:pStyle w:val="COMTabletext"/>
              <w:keepNext w:val="0"/>
              <w:keepLines w:val="0"/>
              <w:jc w:val="center"/>
              <w:rPr>
                <w:szCs w:val="20"/>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375EE9" w:rsidRPr="00EB7EA8" w14:paraId="13C1C749" w14:textId="77777777">
        <w:tc>
          <w:tcPr>
            <w:tcW w:w="9017" w:type="dxa"/>
            <w:gridSpan w:val="5"/>
          </w:tcPr>
          <w:p w14:paraId="678C7DC4" w14:textId="77777777" w:rsidR="00375EE9" w:rsidRPr="00EB7EA8" w:rsidRDefault="00375EE9">
            <w:pPr>
              <w:pStyle w:val="COMTabletext"/>
              <w:keepNext w:val="0"/>
              <w:keepLines w:val="0"/>
              <w:rPr>
                <w:b/>
                <w:bCs w:val="0"/>
                <w:szCs w:val="20"/>
              </w:rPr>
            </w:pPr>
            <w:r w:rsidRPr="00EB7EA8">
              <w:rPr>
                <w:b/>
                <w:bCs w:val="0"/>
                <w:szCs w:val="20"/>
              </w:rPr>
              <w:t>Overall survival extrapolation (base case: modelled independently, using a loglogistic function for each arm)</w:t>
            </w:r>
          </w:p>
        </w:tc>
      </w:tr>
      <w:tr w:rsidR="00375EE9" w:rsidRPr="00EB7EA8" w14:paraId="561F842B" w14:textId="77777777">
        <w:tc>
          <w:tcPr>
            <w:tcW w:w="3965" w:type="dxa"/>
          </w:tcPr>
          <w:p w14:paraId="0C06F165" w14:textId="77777777" w:rsidR="00375EE9" w:rsidRPr="00EB7EA8" w:rsidRDefault="00375EE9">
            <w:pPr>
              <w:pStyle w:val="COMTabletext"/>
              <w:keepNext w:val="0"/>
              <w:keepLines w:val="0"/>
              <w:rPr>
                <w:szCs w:val="20"/>
              </w:rPr>
            </w:pPr>
            <w:r w:rsidRPr="00EB7EA8">
              <w:rPr>
                <w:szCs w:val="20"/>
              </w:rPr>
              <w:t>Both arms modelled independently: lognormal</w:t>
            </w:r>
          </w:p>
        </w:tc>
        <w:tc>
          <w:tcPr>
            <w:tcW w:w="1263" w:type="dxa"/>
            <w:vAlign w:val="bottom"/>
          </w:tcPr>
          <w:p w14:paraId="01677A2D" w14:textId="7ACCAC25" w:rsidR="00375EE9" w:rsidRPr="00EB7EA8" w:rsidRDefault="00375EE9">
            <w:pPr>
              <w:pStyle w:val="COMTabletext"/>
              <w:keepNext w:val="0"/>
              <w:keepLines w:val="0"/>
              <w:jc w:val="center"/>
              <w:rPr>
                <w:szCs w:val="20"/>
              </w:rPr>
            </w:pPr>
            <w:r w:rsidRPr="00EB7EA8">
              <w:rPr>
                <w:color w:val="000000"/>
                <w:szCs w:val="20"/>
              </w:rPr>
              <w:t>$</w:t>
            </w:r>
            <w:r w:rsidR="00C8249A" w:rsidRPr="00C8249A">
              <w:rPr>
                <w:color w:val="000000"/>
                <w:szCs w:val="20"/>
                <w:highlight w:val="black"/>
              </w:rPr>
              <w:t>&amp;&amp;&amp;&amp;</w:t>
            </w:r>
          </w:p>
        </w:tc>
        <w:tc>
          <w:tcPr>
            <w:tcW w:w="1263" w:type="dxa"/>
            <w:vAlign w:val="bottom"/>
          </w:tcPr>
          <w:p w14:paraId="79C6B296" w14:textId="77777777" w:rsidR="00375EE9" w:rsidRPr="00EB7EA8" w:rsidRDefault="00375EE9">
            <w:pPr>
              <w:pStyle w:val="COMTabletext"/>
              <w:keepNext w:val="0"/>
              <w:keepLines w:val="0"/>
              <w:jc w:val="center"/>
              <w:rPr>
                <w:szCs w:val="20"/>
              </w:rPr>
            </w:pPr>
            <w:r w:rsidRPr="00EB7EA8">
              <w:rPr>
                <w:color w:val="000000"/>
                <w:szCs w:val="20"/>
              </w:rPr>
              <w:t>0.2839</w:t>
            </w:r>
          </w:p>
        </w:tc>
        <w:tc>
          <w:tcPr>
            <w:tcW w:w="1263" w:type="dxa"/>
            <w:vAlign w:val="bottom"/>
          </w:tcPr>
          <w:p w14:paraId="56BE2512" w14:textId="18F4FEE1" w:rsidR="00375EE9" w:rsidRPr="007E7A5F" w:rsidRDefault="00375EE9">
            <w:pPr>
              <w:pStyle w:val="COMTabletext"/>
              <w:keepNext w:val="0"/>
              <w:keepLines w:val="0"/>
              <w:jc w:val="center"/>
              <w:rPr>
                <w:szCs w:val="20"/>
                <w:vertAlign w:val="superscript"/>
              </w:rPr>
            </w:pPr>
            <w:r w:rsidRPr="00EB7EA8">
              <w:rPr>
                <w:color w:val="000000"/>
                <w:szCs w:val="20"/>
              </w:rPr>
              <w:t>$</w:t>
            </w:r>
            <w:r w:rsidR="00C8249A" w:rsidRPr="00C8249A">
              <w:rPr>
                <w:color w:val="000000"/>
                <w:szCs w:val="20"/>
                <w:highlight w:val="black"/>
              </w:rPr>
              <w:t>&amp;&amp;&amp;&amp;</w:t>
            </w:r>
            <w:r w:rsidR="007E7A5F">
              <w:rPr>
                <w:color w:val="000000"/>
                <w:szCs w:val="20"/>
                <w:vertAlign w:val="superscript"/>
              </w:rPr>
              <w:t>3</w:t>
            </w:r>
          </w:p>
        </w:tc>
        <w:tc>
          <w:tcPr>
            <w:tcW w:w="1263" w:type="dxa"/>
            <w:vAlign w:val="bottom"/>
          </w:tcPr>
          <w:p w14:paraId="57A0FD3A" w14:textId="09E2C5E6" w:rsidR="00375EE9" w:rsidRPr="00EB7EA8" w:rsidRDefault="00375EE9">
            <w:pPr>
              <w:pStyle w:val="COMTabletext"/>
              <w:keepNext w:val="0"/>
              <w:keepLines w:val="0"/>
              <w:jc w:val="center"/>
              <w:rPr>
                <w:szCs w:val="20"/>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375EE9" w:rsidRPr="00EB7EA8" w14:paraId="5BB68B97" w14:textId="77777777">
        <w:tc>
          <w:tcPr>
            <w:tcW w:w="3965" w:type="dxa"/>
          </w:tcPr>
          <w:p w14:paraId="121E4741" w14:textId="77777777" w:rsidR="00375EE9" w:rsidRPr="00EB7EA8" w:rsidRDefault="00375EE9">
            <w:pPr>
              <w:pStyle w:val="COMTabletext"/>
              <w:keepNext w:val="0"/>
              <w:keepLines w:val="0"/>
              <w:rPr>
                <w:szCs w:val="20"/>
              </w:rPr>
            </w:pPr>
            <w:r w:rsidRPr="00EB7EA8">
              <w:rPr>
                <w:szCs w:val="20"/>
              </w:rPr>
              <w:t>Both arms modelled independently: Weibull</w:t>
            </w:r>
          </w:p>
        </w:tc>
        <w:tc>
          <w:tcPr>
            <w:tcW w:w="1263" w:type="dxa"/>
            <w:vAlign w:val="bottom"/>
          </w:tcPr>
          <w:p w14:paraId="2EA05617" w14:textId="5BCEB8F5" w:rsidR="00375EE9" w:rsidRPr="00EB7EA8" w:rsidRDefault="00375EE9">
            <w:pPr>
              <w:pStyle w:val="COMTabletext"/>
              <w:keepNext w:val="0"/>
              <w:keepLines w:val="0"/>
              <w:jc w:val="center"/>
              <w:rPr>
                <w:szCs w:val="20"/>
              </w:rPr>
            </w:pPr>
            <w:r w:rsidRPr="00EB7EA8">
              <w:rPr>
                <w:color w:val="000000"/>
                <w:szCs w:val="20"/>
              </w:rPr>
              <w:t>$</w:t>
            </w:r>
            <w:r w:rsidR="00C8249A" w:rsidRPr="00C8249A">
              <w:rPr>
                <w:color w:val="000000"/>
                <w:szCs w:val="20"/>
                <w:highlight w:val="black"/>
              </w:rPr>
              <w:t>&amp;&amp;&amp;&amp;</w:t>
            </w:r>
          </w:p>
        </w:tc>
        <w:tc>
          <w:tcPr>
            <w:tcW w:w="1263" w:type="dxa"/>
            <w:vAlign w:val="bottom"/>
          </w:tcPr>
          <w:p w14:paraId="58138326" w14:textId="77777777" w:rsidR="00375EE9" w:rsidRPr="00EB7EA8" w:rsidRDefault="00375EE9">
            <w:pPr>
              <w:pStyle w:val="COMTabletext"/>
              <w:keepNext w:val="0"/>
              <w:keepLines w:val="0"/>
              <w:jc w:val="center"/>
              <w:rPr>
                <w:szCs w:val="20"/>
              </w:rPr>
            </w:pPr>
            <w:r w:rsidRPr="00EB7EA8">
              <w:rPr>
                <w:color w:val="000000"/>
                <w:szCs w:val="20"/>
              </w:rPr>
              <w:t>0.1526</w:t>
            </w:r>
          </w:p>
        </w:tc>
        <w:tc>
          <w:tcPr>
            <w:tcW w:w="1263" w:type="dxa"/>
            <w:vAlign w:val="bottom"/>
          </w:tcPr>
          <w:p w14:paraId="7F9B3DFD" w14:textId="249A75E2" w:rsidR="00375EE9" w:rsidRPr="00C0517B" w:rsidRDefault="00375EE9">
            <w:pPr>
              <w:pStyle w:val="COMTabletext"/>
              <w:keepNext w:val="0"/>
              <w:keepLines w:val="0"/>
              <w:jc w:val="center"/>
              <w:rPr>
                <w:szCs w:val="20"/>
                <w:vertAlign w:val="superscript"/>
              </w:rPr>
            </w:pPr>
            <w:r w:rsidRPr="00EB7EA8">
              <w:rPr>
                <w:color w:val="000000"/>
                <w:szCs w:val="20"/>
              </w:rPr>
              <w:t>$</w:t>
            </w:r>
            <w:r w:rsidR="00C8249A" w:rsidRPr="00C8249A">
              <w:rPr>
                <w:color w:val="000000"/>
                <w:szCs w:val="20"/>
                <w:highlight w:val="black"/>
              </w:rPr>
              <w:t>&amp;&amp;&amp;&amp;</w:t>
            </w:r>
            <w:r w:rsidR="00C0517B">
              <w:rPr>
                <w:color w:val="000000"/>
                <w:szCs w:val="20"/>
                <w:vertAlign w:val="superscript"/>
              </w:rPr>
              <w:t>4</w:t>
            </w:r>
          </w:p>
        </w:tc>
        <w:tc>
          <w:tcPr>
            <w:tcW w:w="1263" w:type="dxa"/>
            <w:vAlign w:val="bottom"/>
          </w:tcPr>
          <w:p w14:paraId="01A6166A" w14:textId="54A921A3" w:rsidR="00375EE9" w:rsidRPr="00EB7EA8" w:rsidRDefault="00375EE9">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375EE9" w:rsidRPr="00EB7EA8" w14:paraId="3C097A01" w14:textId="77777777">
        <w:tc>
          <w:tcPr>
            <w:tcW w:w="3965" w:type="dxa"/>
          </w:tcPr>
          <w:p w14:paraId="476AD086" w14:textId="77777777" w:rsidR="00375EE9" w:rsidRPr="00EB7EA8" w:rsidRDefault="00375EE9">
            <w:pPr>
              <w:pStyle w:val="COMTabletext"/>
              <w:keepNext w:val="0"/>
              <w:keepLines w:val="0"/>
              <w:rPr>
                <w:szCs w:val="20"/>
              </w:rPr>
            </w:pPr>
            <w:r w:rsidRPr="00EB7EA8">
              <w:rPr>
                <w:szCs w:val="20"/>
              </w:rPr>
              <w:t>Estimated modelled jointly: Weibull</w:t>
            </w:r>
          </w:p>
        </w:tc>
        <w:tc>
          <w:tcPr>
            <w:tcW w:w="1263" w:type="dxa"/>
            <w:vAlign w:val="bottom"/>
          </w:tcPr>
          <w:p w14:paraId="67CE8389" w14:textId="777C4F71" w:rsidR="00375EE9" w:rsidRPr="00EB7EA8" w:rsidRDefault="00375EE9">
            <w:pPr>
              <w:pStyle w:val="COMTabletext"/>
              <w:keepNext w:val="0"/>
              <w:keepLines w:val="0"/>
              <w:jc w:val="center"/>
              <w:rPr>
                <w:szCs w:val="20"/>
              </w:rPr>
            </w:pPr>
            <w:r w:rsidRPr="00EB7EA8">
              <w:rPr>
                <w:color w:val="000000"/>
                <w:szCs w:val="20"/>
              </w:rPr>
              <w:t>$</w:t>
            </w:r>
            <w:r w:rsidR="00C8249A" w:rsidRPr="00C8249A">
              <w:rPr>
                <w:color w:val="000000"/>
                <w:szCs w:val="20"/>
                <w:highlight w:val="black"/>
              </w:rPr>
              <w:t>&amp;&amp;&amp;&amp;</w:t>
            </w:r>
          </w:p>
        </w:tc>
        <w:tc>
          <w:tcPr>
            <w:tcW w:w="1263" w:type="dxa"/>
            <w:vAlign w:val="bottom"/>
          </w:tcPr>
          <w:p w14:paraId="78991D52" w14:textId="77777777" w:rsidR="00375EE9" w:rsidRPr="00EB7EA8" w:rsidRDefault="00375EE9">
            <w:pPr>
              <w:pStyle w:val="COMTabletext"/>
              <w:keepNext w:val="0"/>
              <w:keepLines w:val="0"/>
              <w:jc w:val="center"/>
              <w:rPr>
                <w:szCs w:val="20"/>
              </w:rPr>
            </w:pPr>
            <w:r w:rsidRPr="00EB7EA8">
              <w:rPr>
                <w:color w:val="000000"/>
                <w:szCs w:val="20"/>
              </w:rPr>
              <w:t>0.1640</w:t>
            </w:r>
          </w:p>
        </w:tc>
        <w:tc>
          <w:tcPr>
            <w:tcW w:w="1263" w:type="dxa"/>
            <w:vAlign w:val="bottom"/>
          </w:tcPr>
          <w:p w14:paraId="2506CAFA" w14:textId="77008B19" w:rsidR="00375EE9" w:rsidRPr="00C0517B" w:rsidRDefault="00375EE9">
            <w:pPr>
              <w:pStyle w:val="COMTabletext"/>
              <w:keepNext w:val="0"/>
              <w:keepLines w:val="0"/>
              <w:jc w:val="center"/>
              <w:rPr>
                <w:szCs w:val="20"/>
                <w:vertAlign w:val="superscript"/>
              </w:rPr>
            </w:pPr>
            <w:r w:rsidRPr="00EB7EA8">
              <w:rPr>
                <w:color w:val="000000"/>
                <w:szCs w:val="20"/>
              </w:rPr>
              <w:t>$</w:t>
            </w:r>
            <w:r w:rsidR="00C8249A" w:rsidRPr="00C8249A">
              <w:rPr>
                <w:color w:val="000000"/>
                <w:szCs w:val="20"/>
                <w:highlight w:val="black"/>
              </w:rPr>
              <w:t>&amp;&amp;&amp;&amp;</w:t>
            </w:r>
            <w:r w:rsidR="00C0517B">
              <w:rPr>
                <w:color w:val="000000"/>
                <w:szCs w:val="20"/>
                <w:vertAlign w:val="superscript"/>
              </w:rPr>
              <w:t>4</w:t>
            </w:r>
          </w:p>
        </w:tc>
        <w:tc>
          <w:tcPr>
            <w:tcW w:w="1263" w:type="dxa"/>
            <w:vAlign w:val="bottom"/>
          </w:tcPr>
          <w:p w14:paraId="10A599C9" w14:textId="6AE53165" w:rsidR="00375EE9" w:rsidRPr="00EB7EA8" w:rsidRDefault="00375EE9">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375EE9" w:rsidRPr="00EB7EA8" w14:paraId="0350BD96" w14:textId="77777777">
        <w:tc>
          <w:tcPr>
            <w:tcW w:w="9017" w:type="dxa"/>
            <w:gridSpan w:val="5"/>
          </w:tcPr>
          <w:p w14:paraId="529A44DD" w14:textId="77777777" w:rsidR="00375EE9" w:rsidRPr="00EB7EA8" w:rsidRDefault="00375EE9">
            <w:pPr>
              <w:pStyle w:val="COMTabletext"/>
              <w:keepLines w:val="0"/>
              <w:rPr>
                <w:szCs w:val="20"/>
              </w:rPr>
            </w:pPr>
            <w:r w:rsidRPr="00EB7EA8">
              <w:rPr>
                <w:b/>
                <w:bCs w:val="0"/>
                <w:szCs w:val="20"/>
              </w:rPr>
              <w:t>Progression-free survival extrapolation (base case: modelled independently, using a lognormal function for each arm)</w:t>
            </w:r>
          </w:p>
        </w:tc>
      </w:tr>
      <w:tr w:rsidR="00375EE9" w:rsidRPr="00EB7EA8" w14:paraId="7194E99B" w14:textId="77777777">
        <w:tc>
          <w:tcPr>
            <w:tcW w:w="3965" w:type="dxa"/>
          </w:tcPr>
          <w:p w14:paraId="4B85DB2A" w14:textId="77777777" w:rsidR="00375EE9" w:rsidRPr="00EB7EA8" w:rsidRDefault="00375EE9">
            <w:pPr>
              <w:pStyle w:val="COMTabletext"/>
              <w:keepNext w:val="0"/>
              <w:keepLines w:val="0"/>
              <w:rPr>
                <w:szCs w:val="20"/>
              </w:rPr>
            </w:pPr>
            <w:r w:rsidRPr="00EB7EA8">
              <w:rPr>
                <w:szCs w:val="20"/>
              </w:rPr>
              <w:t>No difference in PFS between arms beyond median duration of follow-up</w:t>
            </w:r>
          </w:p>
        </w:tc>
        <w:tc>
          <w:tcPr>
            <w:tcW w:w="1263" w:type="dxa"/>
            <w:vAlign w:val="center"/>
          </w:tcPr>
          <w:p w14:paraId="6935B286" w14:textId="75A4DE82" w:rsidR="00375EE9" w:rsidRPr="00EB7EA8" w:rsidRDefault="00375EE9">
            <w:pPr>
              <w:pStyle w:val="COMTabletext"/>
              <w:keepNext w:val="0"/>
              <w:keepLines w:val="0"/>
              <w:jc w:val="center"/>
              <w:rPr>
                <w:szCs w:val="20"/>
              </w:rPr>
            </w:pPr>
            <w:r w:rsidRPr="00EB7EA8">
              <w:rPr>
                <w:color w:val="000000"/>
                <w:szCs w:val="20"/>
              </w:rPr>
              <w:t>$</w:t>
            </w:r>
            <w:r w:rsidR="00C8249A" w:rsidRPr="00C8249A">
              <w:rPr>
                <w:color w:val="000000"/>
                <w:szCs w:val="20"/>
                <w:highlight w:val="black"/>
              </w:rPr>
              <w:t>&amp;&amp;&amp;&amp;</w:t>
            </w:r>
          </w:p>
        </w:tc>
        <w:tc>
          <w:tcPr>
            <w:tcW w:w="1263" w:type="dxa"/>
            <w:vAlign w:val="center"/>
          </w:tcPr>
          <w:p w14:paraId="4C0EAE79" w14:textId="77777777" w:rsidR="00375EE9" w:rsidRPr="00EB7EA8" w:rsidRDefault="00375EE9">
            <w:pPr>
              <w:pStyle w:val="COMTabletext"/>
              <w:keepNext w:val="0"/>
              <w:keepLines w:val="0"/>
              <w:jc w:val="center"/>
              <w:rPr>
                <w:szCs w:val="20"/>
              </w:rPr>
            </w:pPr>
            <w:r w:rsidRPr="00EB7EA8">
              <w:rPr>
                <w:color w:val="000000"/>
                <w:szCs w:val="20"/>
              </w:rPr>
              <w:t>0.2009</w:t>
            </w:r>
          </w:p>
        </w:tc>
        <w:tc>
          <w:tcPr>
            <w:tcW w:w="1263" w:type="dxa"/>
            <w:vAlign w:val="center"/>
          </w:tcPr>
          <w:p w14:paraId="6A483218" w14:textId="50F913F1" w:rsidR="00375EE9" w:rsidRPr="00177F45" w:rsidRDefault="00375EE9">
            <w:pPr>
              <w:pStyle w:val="COMTabletext"/>
              <w:keepNext w:val="0"/>
              <w:keepLines w:val="0"/>
              <w:jc w:val="center"/>
              <w:rPr>
                <w:szCs w:val="20"/>
                <w:vertAlign w:val="superscript"/>
              </w:rPr>
            </w:pPr>
            <w:r w:rsidRPr="00EB7EA8">
              <w:rPr>
                <w:color w:val="000000"/>
                <w:szCs w:val="20"/>
              </w:rPr>
              <w:t>$</w:t>
            </w:r>
            <w:r w:rsidR="00C8249A" w:rsidRPr="00C8249A">
              <w:rPr>
                <w:color w:val="000000"/>
                <w:szCs w:val="20"/>
                <w:highlight w:val="black"/>
              </w:rPr>
              <w:t>&amp;&amp;&amp;&amp;</w:t>
            </w:r>
            <w:r w:rsidR="00177F45">
              <w:rPr>
                <w:color w:val="000000"/>
                <w:szCs w:val="20"/>
                <w:vertAlign w:val="superscript"/>
              </w:rPr>
              <w:t>2</w:t>
            </w:r>
          </w:p>
        </w:tc>
        <w:tc>
          <w:tcPr>
            <w:tcW w:w="1263" w:type="dxa"/>
            <w:vAlign w:val="center"/>
          </w:tcPr>
          <w:p w14:paraId="6EB6B043" w14:textId="7E7EE1FC" w:rsidR="00375EE9" w:rsidRPr="00EB7EA8" w:rsidRDefault="00C8249A">
            <w:pPr>
              <w:pStyle w:val="COMTabletext"/>
              <w:keepNext w:val="0"/>
              <w:keepLines w:val="0"/>
              <w:jc w:val="center"/>
              <w:rPr>
                <w:szCs w:val="20"/>
              </w:rPr>
            </w:pPr>
            <w:r w:rsidRPr="00C8249A">
              <w:rPr>
                <w:color w:val="000000"/>
                <w:szCs w:val="20"/>
                <w:highlight w:val="black"/>
              </w:rPr>
              <w:t>&amp;&amp;&amp;&amp;</w:t>
            </w:r>
            <w:r w:rsidR="00375EE9" w:rsidRPr="00EB7EA8">
              <w:rPr>
                <w:color w:val="000000"/>
                <w:szCs w:val="20"/>
              </w:rPr>
              <w:t>%</w:t>
            </w:r>
          </w:p>
        </w:tc>
      </w:tr>
      <w:tr w:rsidR="00375EE9" w:rsidRPr="00EB7EA8" w14:paraId="4B5447AA" w14:textId="77777777">
        <w:tc>
          <w:tcPr>
            <w:tcW w:w="9017" w:type="dxa"/>
            <w:gridSpan w:val="5"/>
          </w:tcPr>
          <w:p w14:paraId="78D2D578" w14:textId="77777777" w:rsidR="00375EE9" w:rsidRPr="00EB7EA8" w:rsidRDefault="00375EE9">
            <w:pPr>
              <w:pStyle w:val="COMTabletext"/>
              <w:keepNext w:val="0"/>
              <w:keepLines w:val="0"/>
              <w:rPr>
                <w:b/>
                <w:bCs w:val="0"/>
                <w:color w:val="000000"/>
                <w:szCs w:val="20"/>
              </w:rPr>
            </w:pPr>
            <w:r w:rsidRPr="00EB7EA8">
              <w:rPr>
                <w:b/>
                <w:bCs w:val="0"/>
                <w:szCs w:val="20"/>
              </w:rPr>
              <w:t>Extrapolation assumptions (base case: no convergence applied to PFS and OS curves)</w:t>
            </w:r>
          </w:p>
        </w:tc>
      </w:tr>
      <w:tr w:rsidR="00375EE9" w:rsidRPr="00EB7EA8" w14:paraId="0F6EE7D1" w14:textId="77777777">
        <w:tc>
          <w:tcPr>
            <w:tcW w:w="3965" w:type="dxa"/>
          </w:tcPr>
          <w:p w14:paraId="7B4E3453" w14:textId="77777777" w:rsidR="00375EE9" w:rsidRPr="00EB7EA8" w:rsidRDefault="00375EE9">
            <w:pPr>
              <w:pStyle w:val="COMTabletext"/>
              <w:keepNext w:val="0"/>
              <w:keepLines w:val="0"/>
              <w:rPr>
                <w:szCs w:val="20"/>
              </w:rPr>
            </w:pPr>
            <w:r w:rsidRPr="00EB7EA8">
              <w:rPr>
                <w:szCs w:val="20"/>
              </w:rPr>
              <w:t>Risk convergence of OS and PFS from 2 years</w:t>
            </w:r>
          </w:p>
        </w:tc>
        <w:tc>
          <w:tcPr>
            <w:tcW w:w="1263" w:type="dxa"/>
            <w:vAlign w:val="center"/>
          </w:tcPr>
          <w:p w14:paraId="023A3FC1" w14:textId="64B06DCA" w:rsidR="00375EE9" w:rsidRPr="00EB7EA8" w:rsidRDefault="00375EE9">
            <w:pPr>
              <w:pStyle w:val="COMTabletext"/>
              <w:keepNext w:val="0"/>
              <w:keepLines w:val="0"/>
              <w:jc w:val="center"/>
              <w:rPr>
                <w:color w:val="000000"/>
                <w:szCs w:val="20"/>
                <w:highlight w:val="yellow"/>
              </w:rPr>
            </w:pPr>
            <w:r w:rsidRPr="00EB7EA8">
              <w:rPr>
                <w:color w:val="000000"/>
                <w:szCs w:val="20"/>
              </w:rPr>
              <w:t>$</w:t>
            </w:r>
            <w:r w:rsidR="00C8249A" w:rsidRPr="00C8249A">
              <w:rPr>
                <w:color w:val="000000"/>
                <w:szCs w:val="20"/>
                <w:highlight w:val="black"/>
              </w:rPr>
              <w:t>&amp;&amp;&amp;&amp;</w:t>
            </w:r>
          </w:p>
        </w:tc>
        <w:tc>
          <w:tcPr>
            <w:tcW w:w="1263" w:type="dxa"/>
            <w:vAlign w:val="center"/>
          </w:tcPr>
          <w:p w14:paraId="0FAC7C4C" w14:textId="77777777" w:rsidR="00375EE9" w:rsidRPr="00EB7EA8" w:rsidRDefault="00375EE9">
            <w:pPr>
              <w:pStyle w:val="COMTabletext"/>
              <w:keepNext w:val="0"/>
              <w:keepLines w:val="0"/>
              <w:jc w:val="center"/>
              <w:rPr>
                <w:color w:val="000000"/>
                <w:szCs w:val="20"/>
                <w:highlight w:val="yellow"/>
              </w:rPr>
            </w:pPr>
            <w:r w:rsidRPr="00EB7EA8">
              <w:rPr>
                <w:color w:val="000000"/>
                <w:szCs w:val="20"/>
              </w:rPr>
              <w:t>0.1802</w:t>
            </w:r>
          </w:p>
        </w:tc>
        <w:tc>
          <w:tcPr>
            <w:tcW w:w="1263" w:type="dxa"/>
            <w:vAlign w:val="center"/>
          </w:tcPr>
          <w:p w14:paraId="67293764" w14:textId="5F70D84A" w:rsidR="00375EE9" w:rsidRPr="00177F45" w:rsidRDefault="00375EE9">
            <w:pPr>
              <w:pStyle w:val="COMTabletext"/>
              <w:keepNext w:val="0"/>
              <w:keepLines w:val="0"/>
              <w:jc w:val="center"/>
              <w:rPr>
                <w:color w:val="000000"/>
                <w:szCs w:val="20"/>
                <w:highlight w:val="yellow"/>
                <w:vertAlign w:val="superscript"/>
              </w:rPr>
            </w:pPr>
            <w:r w:rsidRPr="00EB7EA8">
              <w:rPr>
                <w:color w:val="000000"/>
                <w:szCs w:val="20"/>
              </w:rPr>
              <w:t>$</w:t>
            </w:r>
            <w:r w:rsidR="00C8249A" w:rsidRPr="00C8249A">
              <w:rPr>
                <w:color w:val="000000"/>
                <w:szCs w:val="20"/>
                <w:highlight w:val="black"/>
              </w:rPr>
              <w:t>&amp;&amp;&amp;&amp;</w:t>
            </w:r>
            <w:r w:rsidR="00177F45" w:rsidRPr="00AD2191">
              <w:rPr>
                <w:color w:val="000000"/>
                <w:szCs w:val="20"/>
                <w:vertAlign w:val="superscript"/>
              </w:rPr>
              <w:t>2</w:t>
            </w:r>
          </w:p>
        </w:tc>
        <w:tc>
          <w:tcPr>
            <w:tcW w:w="1263" w:type="dxa"/>
            <w:vAlign w:val="center"/>
          </w:tcPr>
          <w:p w14:paraId="333EE89F" w14:textId="07267D08" w:rsidR="00375EE9" w:rsidRPr="00EB7EA8" w:rsidRDefault="00375EE9">
            <w:pPr>
              <w:pStyle w:val="COMTabletext"/>
              <w:keepNext w:val="0"/>
              <w:keepLines w:val="0"/>
              <w:jc w:val="center"/>
              <w:rPr>
                <w:color w:val="000000"/>
                <w:szCs w:val="20"/>
                <w:highlight w:val="yellow"/>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375EE9" w:rsidRPr="00EB7EA8" w14:paraId="2F4E07DE" w14:textId="77777777">
        <w:tc>
          <w:tcPr>
            <w:tcW w:w="3965" w:type="dxa"/>
          </w:tcPr>
          <w:p w14:paraId="2CBFFE6A" w14:textId="77777777" w:rsidR="00375EE9" w:rsidRPr="00EB7EA8" w:rsidRDefault="00375EE9">
            <w:pPr>
              <w:pStyle w:val="COMTabletext"/>
              <w:keepNext w:val="0"/>
              <w:keepLines w:val="0"/>
              <w:rPr>
                <w:szCs w:val="20"/>
              </w:rPr>
            </w:pPr>
            <w:r w:rsidRPr="00EB7EA8">
              <w:rPr>
                <w:szCs w:val="20"/>
              </w:rPr>
              <w:t>Risk convergence OS and PFS from 5 years</w:t>
            </w:r>
          </w:p>
        </w:tc>
        <w:tc>
          <w:tcPr>
            <w:tcW w:w="1263" w:type="dxa"/>
            <w:vAlign w:val="center"/>
          </w:tcPr>
          <w:p w14:paraId="5C8FF8E8" w14:textId="6A974FD4" w:rsidR="00375EE9" w:rsidRPr="00EB7EA8" w:rsidRDefault="00375EE9">
            <w:pPr>
              <w:pStyle w:val="COMTabletext"/>
              <w:keepNext w:val="0"/>
              <w:keepLines w:val="0"/>
              <w:jc w:val="center"/>
              <w:rPr>
                <w:color w:val="000000"/>
                <w:szCs w:val="20"/>
                <w:highlight w:val="yellow"/>
              </w:rPr>
            </w:pPr>
            <w:r w:rsidRPr="00EB7EA8">
              <w:rPr>
                <w:color w:val="000000"/>
                <w:szCs w:val="20"/>
              </w:rPr>
              <w:t>$</w:t>
            </w:r>
            <w:r w:rsidR="00C8249A" w:rsidRPr="00C8249A">
              <w:rPr>
                <w:color w:val="000000"/>
                <w:szCs w:val="20"/>
                <w:highlight w:val="black"/>
              </w:rPr>
              <w:t>&amp;&amp;&amp;&amp;</w:t>
            </w:r>
          </w:p>
        </w:tc>
        <w:tc>
          <w:tcPr>
            <w:tcW w:w="1263" w:type="dxa"/>
            <w:vAlign w:val="center"/>
          </w:tcPr>
          <w:p w14:paraId="1A4CB24D" w14:textId="77777777" w:rsidR="00375EE9" w:rsidRPr="00EB7EA8" w:rsidRDefault="00375EE9">
            <w:pPr>
              <w:pStyle w:val="COMTabletext"/>
              <w:keepNext w:val="0"/>
              <w:keepLines w:val="0"/>
              <w:jc w:val="center"/>
              <w:rPr>
                <w:color w:val="000000"/>
                <w:szCs w:val="20"/>
                <w:highlight w:val="yellow"/>
              </w:rPr>
            </w:pPr>
            <w:r w:rsidRPr="00EB7EA8">
              <w:rPr>
                <w:color w:val="000000"/>
                <w:szCs w:val="20"/>
              </w:rPr>
              <w:t>0.2014</w:t>
            </w:r>
          </w:p>
        </w:tc>
        <w:tc>
          <w:tcPr>
            <w:tcW w:w="1263" w:type="dxa"/>
            <w:vAlign w:val="center"/>
          </w:tcPr>
          <w:p w14:paraId="0B60FB88" w14:textId="49DE737F" w:rsidR="00375EE9" w:rsidRPr="00177F45" w:rsidRDefault="00375EE9">
            <w:pPr>
              <w:pStyle w:val="COMTabletext"/>
              <w:keepNext w:val="0"/>
              <w:keepLines w:val="0"/>
              <w:jc w:val="center"/>
              <w:rPr>
                <w:color w:val="000000"/>
                <w:szCs w:val="20"/>
                <w:highlight w:val="yellow"/>
                <w:vertAlign w:val="superscript"/>
              </w:rPr>
            </w:pPr>
            <w:r w:rsidRPr="00EB7EA8">
              <w:rPr>
                <w:color w:val="000000"/>
                <w:szCs w:val="20"/>
              </w:rPr>
              <w:t>$</w:t>
            </w:r>
            <w:r w:rsidR="00C8249A" w:rsidRPr="00C8249A">
              <w:rPr>
                <w:color w:val="000000"/>
                <w:szCs w:val="20"/>
                <w:highlight w:val="black"/>
              </w:rPr>
              <w:t>&amp;&amp;&amp;&amp;</w:t>
            </w:r>
            <w:r w:rsidR="00177F45" w:rsidRPr="00AD2191">
              <w:rPr>
                <w:color w:val="000000"/>
                <w:szCs w:val="20"/>
                <w:vertAlign w:val="superscript"/>
              </w:rPr>
              <w:t>2</w:t>
            </w:r>
          </w:p>
        </w:tc>
        <w:tc>
          <w:tcPr>
            <w:tcW w:w="1263" w:type="dxa"/>
            <w:vAlign w:val="center"/>
          </w:tcPr>
          <w:p w14:paraId="229E55CB" w14:textId="7601B629" w:rsidR="00375EE9" w:rsidRPr="00EB7EA8" w:rsidRDefault="00375EE9">
            <w:pPr>
              <w:pStyle w:val="COMTabletext"/>
              <w:keepNext w:val="0"/>
              <w:keepLines w:val="0"/>
              <w:jc w:val="center"/>
              <w:rPr>
                <w:color w:val="000000"/>
                <w:szCs w:val="20"/>
                <w:highlight w:val="yellow"/>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375EE9" w:rsidRPr="00EB7EA8" w14:paraId="51AC0DF1" w14:textId="77777777">
        <w:tc>
          <w:tcPr>
            <w:tcW w:w="3965" w:type="dxa"/>
          </w:tcPr>
          <w:p w14:paraId="42A7550F" w14:textId="77777777" w:rsidR="00375EE9" w:rsidRPr="00EB7EA8" w:rsidRDefault="00375EE9">
            <w:pPr>
              <w:pStyle w:val="COMTabletext"/>
              <w:keepNext w:val="0"/>
              <w:keepLines w:val="0"/>
              <w:rPr>
                <w:szCs w:val="20"/>
              </w:rPr>
            </w:pPr>
            <w:proofErr w:type="gramStart"/>
            <w:r w:rsidRPr="00EB7EA8">
              <w:rPr>
                <w:szCs w:val="20"/>
              </w:rPr>
              <w:t>5 year</w:t>
            </w:r>
            <w:proofErr w:type="gramEnd"/>
            <w:r w:rsidRPr="00EB7EA8">
              <w:rPr>
                <w:szCs w:val="20"/>
              </w:rPr>
              <w:t xml:space="preserve"> time horizon and OS curve convergence from 2 to 5 </w:t>
            </w:r>
            <w:proofErr w:type="spellStart"/>
            <w:r w:rsidRPr="00EB7EA8">
              <w:rPr>
                <w:szCs w:val="20"/>
              </w:rPr>
              <w:t>years</w:t>
            </w:r>
            <w:r w:rsidRPr="00EB7EA8">
              <w:rPr>
                <w:szCs w:val="20"/>
                <w:vertAlign w:val="superscript"/>
              </w:rPr>
              <w:t>a</w:t>
            </w:r>
            <w:proofErr w:type="spellEnd"/>
          </w:p>
        </w:tc>
        <w:tc>
          <w:tcPr>
            <w:tcW w:w="1263" w:type="dxa"/>
            <w:vAlign w:val="center"/>
          </w:tcPr>
          <w:p w14:paraId="2876F160" w14:textId="3AB639BB" w:rsidR="00375EE9" w:rsidRPr="00EB7EA8" w:rsidRDefault="00375EE9">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p>
        </w:tc>
        <w:tc>
          <w:tcPr>
            <w:tcW w:w="1263" w:type="dxa"/>
            <w:vAlign w:val="center"/>
          </w:tcPr>
          <w:p w14:paraId="7616A9F1" w14:textId="77777777" w:rsidR="00375EE9" w:rsidRPr="00EB7EA8" w:rsidRDefault="00375EE9">
            <w:pPr>
              <w:pStyle w:val="COMTabletext"/>
              <w:keepNext w:val="0"/>
              <w:keepLines w:val="0"/>
              <w:jc w:val="center"/>
              <w:rPr>
                <w:color w:val="000000"/>
                <w:szCs w:val="20"/>
              </w:rPr>
            </w:pPr>
            <w:r w:rsidRPr="00EB7EA8">
              <w:rPr>
                <w:color w:val="000000"/>
                <w:szCs w:val="20"/>
              </w:rPr>
              <w:t>0.1690</w:t>
            </w:r>
          </w:p>
        </w:tc>
        <w:tc>
          <w:tcPr>
            <w:tcW w:w="1263" w:type="dxa"/>
            <w:vAlign w:val="center"/>
          </w:tcPr>
          <w:p w14:paraId="5E8279FC" w14:textId="7BD19811" w:rsidR="00375EE9" w:rsidRPr="00C0517B" w:rsidRDefault="00375EE9">
            <w:pPr>
              <w:pStyle w:val="COMTabletext"/>
              <w:keepNext w:val="0"/>
              <w:keepLines w:val="0"/>
              <w:jc w:val="center"/>
              <w:rPr>
                <w:color w:val="000000"/>
                <w:szCs w:val="20"/>
                <w:vertAlign w:val="superscript"/>
              </w:rPr>
            </w:pPr>
            <w:r w:rsidRPr="00EB7EA8">
              <w:rPr>
                <w:color w:val="000000"/>
                <w:szCs w:val="20"/>
              </w:rPr>
              <w:t>$</w:t>
            </w:r>
            <w:r w:rsidR="00C8249A" w:rsidRPr="00C8249A">
              <w:rPr>
                <w:color w:val="000000"/>
                <w:szCs w:val="20"/>
                <w:highlight w:val="black"/>
              </w:rPr>
              <w:t>&amp;&amp;&amp;&amp;</w:t>
            </w:r>
            <w:r w:rsidR="00C0517B">
              <w:rPr>
                <w:color w:val="000000"/>
                <w:szCs w:val="20"/>
                <w:vertAlign w:val="superscript"/>
              </w:rPr>
              <w:t>4</w:t>
            </w:r>
          </w:p>
        </w:tc>
        <w:tc>
          <w:tcPr>
            <w:tcW w:w="1263" w:type="dxa"/>
            <w:vAlign w:val="center"/>
          </w:tcPr>
          <w:p w14:paraId="4E8EA711" w14:textId="32C3BBEA" w:rsidR="00375EE9" w:rsidRPr="00EB7EA8" w:rsidRDefault="00375EE9">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375EE9" w:rsidRPr="00EB7EA8" w14:paraId="1B32E780" w14:textId="77777777">
        <w:tc>
          <w:tcPr>
            <w:tcW w:w="9017" w:type="dxa"/>
            <w:gridSpan w:val="5"/>
          </w:tcPr>
          <w:p w14:paraId="509FBD6D" w14:textId="77777777" w:rsidR="00375EE9" w:rsidRPr="00EB7EA8" w:rsidRDefault="00375EE9">
            <w:pPr>
              <w:pStyle w:val="COMTabletext"/>
              <w:keepNext w:val="0"/>
              <w:keepLines w:val="0"/>
              <w:rPr>
                <w:b/>
                <w:bCs w:val="0"/>
                <w:color w:val="000000"/>
                <w:szCs w:val="20"/>
              </w:rPr>
            </w:pPr>
            <w:r w:rsidRPr="00EB7EA8">
              <w:rPr>
                <w:b/>
                <w:bCs w:val="0"/>
                <w:szCs w:val="20"/>
              </w:rPr>
              <w:t>Point of extrapolation for parametric functions (base case: median follow-up of 14.95 months from the IMforte trial)</w:t>
            </w:r>
          </w:p>
        </w:tc>
      </w:tr>
      <w:tr w:rsidR="00375EE9" w:rsidRPr="00EB7EA8" w14:paraId="6766741E" w14:textId="77777777">
        <w:tc>
          <w:tcPr>
            <w:tcW w:w="3965" w:type="dxa"/>
          </w:tcPr>
          <w:p w14:paraId="0AE7D85E" w14:textId="77777777" w:rsidR="00375EE9" w:rsidRPr="00EB7EA8" w:rsidRDefault="00375EE9">
            <w:pPr>
              <w:pStyle w:val="COMTabletext"/>
              <w:keepNext w:val="0"/>
              <w:keepLines w:val="0"/>
              <w:rPr>
                <w:szCs w:val="20"/>
              </w:rPr>
            </w:pPr>
            <w:proofErr w:type="spellStart"/>
            <w:r w:rsidRPr="00EB7EA8">
              <w:rPr>
                <w:szCs w:val="20"/>
              </w:rPr>
              <w:t>Gebski</w:t>
            </w:r>
            <w:proofErr w:type="spellEnd"/>
            <w:r w:rsidRPr="00EB7EA8">
              <w:rPr>
                <w:szCs w:val="20"/>
              </w:rPr>
              <w:t xml:space="preserve"> criterion 1 (2.5%)</w:t>
            </w:r>
            <w:r w:rsidRPr="00EB7EA8">
              <w:rPr>
                <w:szCs w:val="20"/>
                <w:vertAlign w:val="superscript"/>
              </w:rPr>
              <w:t>b</w:t>
            </w:r>
          </w:p>
        </w:tc>
        <w:tc>
          <w:tcPr>
            <w:tcW w:w="1263" w:type="dxa"/>
            <w:vAlign w:val="center"/>
          </w:tcPr>
          <w:p w14:paraId="7B6450D5" w14:textId="1A0CBDAD" w:rsidR="00375EE9" w:rsidRPr="00EB7EA8" w:rsidRDefault="00375EE9">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p>
        </w:tc>
        <w:tc>
          <w:tcPr>
            <w:tcW w:w="1263" w:type="dxa"/>
            <w:vAlign w:val="center"/>
          </w:tcPr>
          <w:p w14:paraId="527DEE8B" w14:textId="77777777" w:rsidR="00375EE9" w:rsidRPr="00EB7EA8" w:rsidRDefault="00375EE9">
            <w:pPr>
              <w:pStyle w:val="COMTabletext"/>
              <w:keepNext w:val="0"/>
              <w:keepLines w:val="0"/>
              <w:jc w:val="center"/>
              <w:rPr>
                <w:color w:val="000000"/>
                <w:szCs w:val="20"/>
              </w:rPr>
            </w:pPr>
            <w:r w:rsidRPr="00EB7EA8">
              <w:rPr>
                <w:color w:val="000000"/>
                <w:szCs w:val="20"/>
              </w:rPr>
              <w:t>0.1662</w:t>
            </w:r>
          </w:p>
        </w:tc>
        <w:tc>
          <w:tcPr>
            <w:tcW w:w="1263" w:type="dxa"/>
            <w:vAlign w:val="center"/>
          </w:tcPr>
          <w:p w14:paraId="44352B61" w14:textId="75D55C21" w:rsidR="00375EE9" w:rsidRPr="00C0517B" w:rsidRDefault="00375EE9">
            <w:pPr>
              <w:pStyle w:val="COMTabletext"/>
              <w:keepNext w:val="0"/>
              <w:keepLines w:val="0"/>
              <w:jc w:val="center"/>
              <w:rPr>
                <w:color w:val="000000"/>
                <w:szCs w:val="20"/>
                <w:vertAlign w:val="superscript"/>
              </w:rPr>
            </w:pPr>
            <w:r w:rsidRPr="00EB7EA8">
              <w:rPr>
                <w:color w:val="000000"/>
                <w:szCs w:val="20"/>
              </w:rPr>
              <w:t>$</w:t>
            </w:r>
            <w:r w:rsidR="00C8249A" w:rsidRPr="00C8249A">
              <w:rPr>
                <w:color w:val="000000"/>
                <w:szCs w:val="20"/>
                <w:highlight w:val="black"/>
              </w:rPr>
              <w:t>&amp;&amp;&amp;&amp;</w:t>
            </w:r>
            <w:r w:rsidR="00C0517B">
              <w:rPr>
                <w:color w:val="000000"/>
                <w:szCs w:val="20"/>
                <w:vertAlign w:val="superscript"/>
              </w:rPr>
              <w:t>4</w:t>
            </w:r>
          </w:p>
        </w:tc>
        <w:tc>
          <w:tcPr>
            <w:tcW w:w="1263" w:type="dxa"/>
            <w:vAlign w:val="center"/>
          </w:tcPr>
          <w:p w14:paraId="46CDFCC2" w14:textId="153C465E" w:rsidR="00375EE9" w:rsidRPr="00EB7EA8" w:rsidRDefault="00375EE9">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375EE9" w:rsidRPr="00EB7EA8" w14:paraId="3172B3F3" w14:textId="77777777">
        <w:tc>
          <w:tcPr>
            <w:tcW w:w="9017" w:type="dxa"/>
            <w:gridSpan w:val="5"/>
          </w:tcPr>
          <w:p w14:paraId="43BC7F76" w14:textId="77777777" w:rsidR="00375EE9" w:rsidRPr="00EB7EA8" w:rsidRDefault="00375EE9">
            <w:pPr>
              <w:pStyle w:val="COMTabletext"/>
              <w:keepNext w:val="0"/>
              <w:keepLines w:val="0"/>
              <w:rPr>
                <w:color w:val="000000"/>
                <w:szCs w:val="20"/>
              </w:rPr>
            </w:pPr>
            <w:r w:rsidRPr="00EB7EA8">
              <w:rPr>
                <w:b/>
              </w:rPr>
              <w:t>Time on maintenance therapy (base case: based on the mean number of doses/cycles in the IMforte trial: LUR 8.1; ATE in combination with LUR 8.2; ATE monotherapy 6.1)</w:t>
            </w:r>
          </w:p>
        </w:tc>
      </w:tr>
      <w:tr w:rsidR="00375EE9" w:rsidRPr="00EB7EA8" w14:paraId="636C2AAB" w14:textId="77777777">
        <w:tc>
          <w:tcPr>
            <w:tcW w:w="3965" w:type="dxa"/>
          </w:tcPr>
          <w:p w14:paraId="63916BCB" w14:textId="77777777" w:rsidR="00375EE9" w:rsidRPr="00EB7EA8" w:rsidRDefault="00375EE9">
            <w:pPr>
              <w:pStyle w:val="COMTabletext"/>
              <w:keepNext w:val="0"/>
              <w:keepLines w:val="0"/>
              <w:rPr>
                <w:szCs w:val="20"/>
              </w:rPr>
            </w:pPr>
            <w:r w:rsidRPr="00EB7EA8">
              <w:rPr>
                <w:szCs w:val="20"/>
              </w:rPr>
              <w:t>Using modelled PFS as a proxy for time on treatment (8.95 cycles for LUR and ATE as combination; 5.49 cycles for ATE monotherapy)</w:t>
            </w:r>
          </w:p>
        </w:tc>
        <w:tc>
          <w:tcPr>
            <w:tcW w:w="1263" w:type="dxa"/>
            <w:vAlign w:val="center"/>
          </w:tcPr>
          <w:p w14:paraId="5CE1372A" w14:textId="446438AC" w:rsidR="00375EE9" w:rsidRPr="00EB7EA8" w:rsidRDefault="00375EE9">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p>
        </w:tc>
        <w:tc>
          <w:tcPr>
            <w:tcW w:w="1263" w:type="dxa"/>
            <w:vAlign w:val="center"/>
          </w:tcPr>
          <w:p w14:paraId="470E4017" w14:textId="77777777" w:rsidR="00375EE9" w:rsidRPr="00EB7EA8" w:rsidRDefault="00375EE9">
            <w:pPr>
              <w:pStyle w:val="COMTabletext"/>
              <w:keepNext w:val="0"/>
              <w:keepLines w:val="0"/>
              <w:jc w:val="center"/>
              <w:rPr>
                <w:color w:val="000000"/>
                <w:szCs w:val="20"/>
              </w:rPr>
            </w:pPr>
            <w:r w:rsidRPr="00EB7EA8">
              <w:rPr>
                <w:color w:val="000000"/>
                <w:szCs w:val="20"/>
              </w:rPr>
              <w:t>0.2023</w:t>
            </w:r>
          </w:p>
        </w:tc>
        <w:tc>
          <w:tcPr>
            <w:tcW w:w="1263" w:type="dxa"/>
            <w:vAlign w:val="center"/>
          </w:tcPr>
          <w:p w14:paraId="08BD9989" w14:textId="53DF04FC" w:rsidR="00375EE9" w:rsidRPr="00C0517B" w:rsidRDefault="00375EE9">
            <w:pPr>
              <w:pStyle w:val="COMTabletext"/>
              <w:keepNext w:val="0"/>
              <w:keepLines w:val="0"/>
              <w:jc w:val="center"/>
              <w:rPr>
                <w:color w:val="000000"/>
                <w:szCs w:val="20"/>
                <w:vertAlign w:val="superscript"/>
              </w:rPr>
            </w:pPr>
            <w:r w:rsidRPr="00EB7EA8">
              <w:rPr>
                <w:color w:val="000000"/>
                <w:szCs w:val="20"/>
              </w:rPr>
              <w:t>$</w:t>
            </w:r>
            <w:r w:rsidR="00C8249A" w:rsidRPr="00C8249A">
              <w:rPr>
                <w:color w:val="000000"/>
                <w:szCs w:val="20"/>
                <w:highlight w:val="black"/>
              </w:rPr>
              <w:t>&amp;&amp;&amp;&amp;</w:t>
            </w:r>
            <w:r w:rsidR="00C0517B">
              <w:rPr>
                <w:color w:val="000000"/>
                <w:szCs w:val="20"/>
                <w:vertAlign w:val="superscript"/>
              </w:rPr>
              <w:t>4</w:t>
            </w:r>
          </w:p>
        </w:tc>
        <w:tc>
          <w:tcPr>
            <w:tcW w:w="1263" w:type="dxa"/>
            <w:vAlign w:val="center"/>
          </w:tcPr>
          <w:p w14:paraId="6CB7D4D0" w14:textId="2DCF23F8" w:rsidR="00375EE9" w:rsidRPr="00EB7EA8" w:rsidRDefault="00375EE9">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375EE9" w:rsidRPr="00EB7EA8" w14:paraId="4E3094AE" w14:textId="77777777">
        <w:tc>
          <w:tcPr>
            <w:tcW w:w="3965" w:type="dxa"/>
          </w:tcPr>
          <w:p w14:paraId="47ADCCBE" w14:textId="77777777" w:rsidR="00375EE9" w:rsidRPr="00EB7EA8" w:rsidRDefault="00375EE9">
            <w:pPr>
              <w:pStyle w:val="COMTabletext"/>
              <w:keepNext w:val="0"/>
              <w:keepLines w:val="0"/>
              <w:rPr>
                <w:szCs w:val="20"/>
              </w:rPr>
            </w:pPr>
            <w:r w:rsidRPr="00EB7EA8">
              <w:rPr>
                <w:szCs w:val="20"/>
              </w:rPr>
              <w:t>Using additional PFS in the extrapolated period (beyond 14.95 months) to derive the additional cycles of therapy beyond the trial (8.1+2.02 cycles for LUR; 8.2+2.02 cycles for ATE as combination; 6.1+1.04 cycles for ATE monotherapy)</w:t>
            </w:r>
          </w:p>
        </w:tc>
        <w:tc>
          <w:tcPr>
            <w:tcW w:w="1263" w:type="dxa"/>
            <w:vAlign w:val="center"/>
          </w:tcPr>
          <w:p w14:paraId="71948111" w14:textId="7EA3B48F" w:rsidR="00375EE9" w:rsidRPr="00EB7EA8" w:rsidRDefault="00375EE9">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p>
        </w:tc>
        <w:tc>
          <w:tcPr>
            <w:tcW w:w="1263" w:type="dxa"/>
            <w:vAlign w:val="center"/>
          </w:tcPr>
          <w:p w14:paraId="69286687" w14:textId="77777777" w:rsidR="00375EE9" w:rsidRPr="00EB7EA8" w:rsidRDefault="00375EE9">
            <w:pPr>
              <w:pStyle w:val="COMTabletext"/>
              <w:keepNext w:val="0"/>
              <w:keepLines w:val="0"/>
              <w:jc w:val="center"/>
              <w:rPr>
                <w:color w:val="000000"/>
                <w:szCs w:val="20"/>
              </w:rPr>
            </w:pPr>
            <w:r w:rsidRPr="00EB7EA8">
              <w:rPr>
                <w:color w:val="000000"/>
                <w:szCs w:val="20"/>
              </w:rPr>
              <w:t>0.2023</w:t>
            </w:r>
          </w:p>
        </w:tc>
        <w:tc>
          <w:tcPr>
            <w:tcW w:w="1263" w:type="dxa"/>
            <w:vAlign w:val="center"/>
          </w:tcPr>
          <w:p w14:paraId="4DF244E6" w14:textId="6952DF7D" w:rsidR="00375EE9" w:rsidRPr="00C0517B" w:rsidRDefault="00375EE9">
            <w:pPr>
              <w:pStyle w:val="COMTabletext"/>
              <w:keepNext w:val="0"/>
              <w:keepLines w:val="0"/>
              <w:jc w:val="center"/>
              <w:rPr>
                <w:color w:val="000000"/>
                <w:szCs w:val="20"/>
                <w:vertAlign w:val="superscript"/>
              </w:rPr>
            </w:pPr>
            <w:r w:rsidRPr="00EB7EA8">
              <w:rPr>
                <w:color w:val="000000"/>
                <w:szCs w:val="20"/>
              </w:rPr>
              <w:t>$</w:t>
            </w:r>
            <w:r w:rsidR="00C8249A" w:rsidRPr="00C8249A">
              <w:rPr>
                <w:color w:val="000000"/>
                <w:szCs w:val="20"/>
                <w:highlight w:val="black"/>
              </w:rPr>
              <w:t>&amp;&amp;&amp;&amp;</w:t>
            </w:r>
            <w:r w:rsidR="00C0517B">
              <w:rPr>
                <w:color w:val="000000"/>
                <w:szCs w:val="20"/>
                <w:vertAlign w:val="superscript"/>
              </w:rPr>
              <w:t>4</w:t>
            </w:r>
          </w:p>
        </w:tc>
        <w:tc>
          <w:tcPr>
            <w:tcW w:w="1263" w:type="dxa"/>
            <w:vAlign w:val="center"/>
          </w:tcPr>
          <w:p w14:paraId="624A0F0F" w14:textId="2B549CE5" w:rsidR="00375EE9" w:rsidRPr="00EB7EA8" w:rsidRDefault="00375EE9">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375EE9" w:rsidRPr="00EB7EA8" w14:paraId="6D89A8BA" w14:textId="77777777">
        <w:tc>
          <w:tcPr>
            <w:tcW w:w="9017" w:type="dxa"/>
            <w:gridSpan w:val="5"/>
          </w:tcPr>
          <w:p w14:paraId="38C4B612" w14:textId="77777777" w:rsidR="00375EE9" w:rsidRPr="00EB7EA8" w:rsidRDefault="00375EE9">
            <w:pPr>
              <w:pStyle w:val="COMTabletext"/>
              <w:keepNext w:val="0"/>
              <w:keepLines w:val="0"/>
              <w:rPr>
                <w:b/>
                <w:bCs w:val="0"/>
                <w:szCs w:val="20"/>
              </w:rPr>
            </w:pPr>
            <w:r w:rsidRPr="00EB7EA8">
              <w:rPr>
                <w:b/>
                <w:bCs w:val="0"/>
                <w:szCs w:val="20"/>
              </w:rPr>
              <w:t>Health state utilities (base case: derived from the IMpower133 atezolizumab trial, reported in the July 2019 atezolizumab PSD; progression free 0.720; progressed disease 0.700)</w:t>
            </w:r>
          </w:p>
        </w:tc>
      </w:tr>
      <w:tr w:rsidR="00375EE9" w:rsidRPr="00EB7EA8" w14:paraId="78C270B0" w14:textId="77777777">
        <w:tc>
          <w:tcPr>
            <w:tcW w:w="3965" w:type="dxa"/>
          </w:tcPr>
          <w:p w14:paraId="551ADFC1" w14:textId="77777777" w:rsidR="00375EE9" w:rsidRPr="00EB7EA8" w:rsidRDefault="00375EE9">
            <w:pPr>
              <w:pStyle w:val="COMTabletext"/>
              <w:keepNext w:val="0"/>
              <w:keepLines w:val="0"/>
              <w:rPr>
                <w:szCs w:val="20"/>
              </w:rPr>
            </w:pPr>
            <w:r w:rsidRPr="00EB7EA8">
              <w:rPr>
                <w:szCs w:val="20"/>
              </w:rPr>
              <w:t xml:space="preserve">IMforte EORTC QLQ-C30 data mapped to EQ-5D-3L: </w:t>
            </w:r>
            <w:r w:rsidRPr="001A1F7A">
              <w:rPr>
                <w:szCs w:val="20"/>
              </w:rPr>
              <w:t>PF 0.706; PD 0.675</w:t>
            </w:r>
          </w:p>
        </w:tc>
        <w:tc>
          <w:tcPr>
            <w:tcW w:w="1263" w:type="dxa"/>
            <w:vAlign w:val="center"/>
          </w:tcPr>
          <w:p w14:paraId="0306D672" w14:textId="6813D8E7" w:rsidR="00375EE9" w:rsidRPr="00EB7EA8" w:rsidRDefault="00375EE9">
            <w:pPr>
              <w:pStyle w:val="COMTabletext"/>
              <w:keepNext w:val="0"/>
              <w:keepLines w:val="0"/>
              <w:jc w:val="center"/>
              <w:rPr>
                <w:szCs w:val="20"/>
              </w:rPr>
            </w:pPr>
            <w:r w:rsidRPr="00EB7EA8">
              <w:rPr>
                <w:color w:val="000000"/>
                <w:szCs w:val="20"/>
              </w:rPr>
              <w:t>$</w:t>
            </w:r>
            <w:r w:rsidR="00C8249A" w:rsidRPr="00C8249A">
              <w:rPr>
                <w:color w:val="000000"/>
                <w:szCs w:val="20"/>
                <w:highlight w:val="black"/>
              </w:rPr>
              <w:t>&amp;&amp;&amp;&amp;</w:t>
            </w:r>
          </w:p>
        </w:tc>
        <w:tc>
          <w:tcPr>
            <w:tcW w:w="1263" w:type="dxa"/>
            <w:vAlign w:val="center"/>
          </w:tcPr>
          <w:p w14:paraId="385D7309" w14:textId="77777777" w:rsidR="00375EE9" w:rsidRPr="00EB7EA8" w:rsidRDefault="00375EE9">
            <w:pPr>
              <w:pStyle w:val="COMTabletext"/>
              <w:keepNext w:val="0"/>
              <w:keepLines w:val="0"/>
              <w:jc w:val="center"/>
              <w:rPr>
                <w:szCs w:val="20"/>
              </w:rPr>
            </w:pPr>
            <w:r w:rsidRPr="001A1F7A">
              <w:rPr>
                <w:color w:val="000000"/>
                <w:szCs w:val="20"/>
              </w:rPr>
              <w:t>0.1981</w:t>
            </w:r>
          </w:p>
        </w:tc>
        <w:tc>
          <w:tcPr>
            <w:tcW w:w="1263" w:type="dxa"/>
            <w:vAlign w:val="center"/>
          </w:tcPr>
          <w:p w14:paraId="7412ECC5" w14:textId="5C74FC58" w:rsidR="00375EE9" w:rsidRPr="00177F45" w:rsidRDefault="00375EE9">
            <w:pPr>
              <w:pStyle w:val="COMTabletext"/>
              <w:keepNext w:val="0"/>
              <w:keepLines w:val="0"/>
              <w:jc w:val="center"/>
              <w:rPr>
                <w:szCs w:val="20"/>
                <w:vertAlign w:val="superscript"/>
              </w:rPr>
            </w:pPr>
            <w:r w:rsidRPr="00EB7EA8">
              <w:rPr>
                <w:color w:val="000000"/>
                <w:szCs w:val="20"/>
              </w:rPr>
              <w:t>$</w:t>
            </w:r>
            <w:r w:rsidR="00C8249A" w:rsidRPr="00C8249A">
              <w:rPr>
                <w:color w:val="000000"/>
                <w:szCs w:val="20"/>
                <w:highlight w:val="black"/>
              </w:rPr>
              <w:t>&amp;&amp;&amp;&amp;</w:t>
            </w:r>
            <w:r w:rsidR="00177F45">
              <w:rPr>
                <w:color w:val="000000"/>
                <w:szCs w:val="20"/>
                <w:vertAlign w:val="superscript"/>
              </w:rPr>
              <w:t>2</w:t>
            </w:r>
          </w:p>
        </w:tc>
        <w:tc>
          <w:tcPr>
            <w:tcW w:w="1263" w:type="dxa"/>
            <w:vAlign w:val="center"/>
          </w:tcPr>
          <w:p w14:paraId="151243DF" w14:textId="0F01A16D" w:rsidR="00375EE9" w:rsidRPr="00EB7EA8" w:rsidRDefault="00375EE9">
            <w:pPr>
              <w:pStyle w:val="COMTabletext"/>
              <w:keepNext w:val="0"/>
              <w:keepLines w:val="0"/>
              <w:jc w:val="center"/>
              <w:rPr>
                <w:szCs w:val="20"/>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A13D46" w:rsidRPr="00EB7EA8" w14:paraId="72FF2EB8" w14:textId="77777777">
        <w:tc>
          <w:tcPr>
            <w:tcW w:w="9017" w:type="dxa"/>
            <w:gridSpan w:val="5"/>
          </w:tcPr>
          <w:p w14:paraId="48C61ACE" w14:textId="7D5ECF07" w:rsidR="00A13D46" w:rsidRPr="00EB7EA8" w:rsidRDefault="00A13D46" w:rsidP="00A13D46">
            <w:pPr>
              <w:pStyle w:val="COMTabletext"/>
              <w:keepNext w:val="0"/>
              <w:keepLines w:val="0"/>
              <w:rPr>
                <w:color w:val="000000"/>
                <w:szCs w:val="20"/>
              </w:rPr>
            </w:pPr>
            <w:r w:rsidRPr="00EB7EA8">
              <w:rPr>
                <w:b/>
                <w:bCs w:val="0"/>
                <w:szCs w:val="20"/>
              </w:rPr>
              <w:t>Lurbinectedin maintenance treatment costs (base case: based on use of 2 mg lurbinectedin vials only)</w:t>
            </w:r>
          </w:p>
        </w:tc>
      </w:tr>
      <w:tr w:rsidR="00A13D46" w:rsidRPr="00EB7EA8" w14:paraId="642A1EC1" w14:textId="77777777">
        <w:tc>
          <w:tcPr>
            <w:tcW w:w="3965" w:type="dxa"/>
          </w:tcPr>
          <w:p w14:paraId="78C72A76" w14:textId="3742EDD7" w:rsidR="00A13D46" w:rsidRPr="00EB7EA8" w:rsidRDefault="00A13D46" w:rsidP="00A13D46">
            <w:pPr>
              <w:pStyle w:val="COMTabletext"/>
              <w:keepNext w:val="0"/>
              <w:keepLines w:val="0"/>
              <w:rPr>
                <w:szCs w:val="20"/>
              </w:rPr>
            </w:pPr>
            <w:r w:rsidRPr="00EB7EA8">
              <w:rPr>
                <w:szCs w:val="20"/>
              </w:rPr>
              <w:t>Lurbinectedin costs based on 4 mg vials only</w:t>
            </w:r>
          </w:p>
        </w:tc>
        <w:tc>
          <w:tcPr>
            <w:tcW w:w="1263" w:type="dxa"/>
            <w:vAlign w:val="center"/>
          </w:tcPr>
          <w:p w14:paraId="0BB4F86A" w14:textId="4C9A83D3" w:rsidR="00A13D46" w:rsidRPr="00EB7EA8" w:rsidRDefault="00A13D46" w:rsidP="00A13D46">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p>
        </w:tc>
        <w:tc>
          <w:tcPr>
            <w:tcW w:w="1263" w:type="dxa"/>
            <w:vAlign w:val="center"/>
          </w:tcPr>
          <w:p w14:paraId="38AAC49D" w14:textId="473A1E83" w:rsidR="00A13D46" w:rsidRPr="00EB7EA8" w:rsidRDefault="00A13D46" w:rsidP="00A13D46">
            <w:pPr>
              <w:pStyle w:val="COMTabletext"/>
              <w:keepNext w:val="0"/>
              <w:keepLines w:val="0"/>
              <w:jc w:val="center"/>
              <w:rPr>
                <w:color w:val="000000"/>
                <w:szCs w:val="20"/>
              </w:rPr>
            </w:pPr>
            <w:r w:rsidRPr="00EB7EA8">
              <w:rPr>
                <w:color w:val="000000"/>
                <w:szCs w:val="20"/>
              </w:rPr>
              <w:t>0.2023</w:t>
            </w:r>
          </w:p>
        </w:tc>
        <w:tc>
          <w:tcPr>
            <w:tcW w:w="1263" w:type="dxa"/>
            <w:vAlign w:val="center"/>
          </w:tcPr>
          <w:p w14:paraId="0A45872A" w14:textId="5EC01C74" w:rsidR="00A13D46" w:rsidRPr="00177F45" w:rsidRDefault="00A13D46" w:rsidP="00A13D46">
            <w:pPr>
              <w:pStyle w:val="COMTabletext"/>
              <w:keepNext w:val="0"/>
              <w:keepLines w:val="0"/>
              <w:jc w:val="center"/>
              <w:rPr>
                <w:color w:val="000000"/>
                <w:szCs w:val="20"/>
                <w:vertAlign w:val="superscript"/>
              </w:rPr>
            </w:pPr>
            <w:r w:rsidRPr="00EB7EA8">
              <w:rPr>
                <w:color w:val="000000"/>
                <w:szCs w:val="20"/>
              </w:rPr>
              <w:t>$</w:t>
            </w:r>
            <w:r w:rsidR="00C8249A" w:rsidRPr="00C8249A">
              <w:rPr>
                <w:color w:val="000000"/>
                <w:szCs w:val="20"/>
                <w:highlight w:val="black"/>
              </w:rPr>
              <w:t>&amp;&amp;&amp;&amp;</w:t>
            </w:r>
            <w:r w:rsidR="00177F45">
              <w:rPr>
                <w:color w:val="000000"/>
                <w:szCs w:val="20"/>
                <w:vertAlign w:val="superscript"/>
              </w:rPr>
              <w:t>2</w:t>
            </w:r>
          </w:p>
        </w:tc>
        <w:tc>
          <w:tcPr>
            <w:tcW w:w="1263" w:type="dxa"/>
            <w:vAlign w:val="center"/>
          </w:tcPr>
          <w:p w14:paraId="285F1EB7" w14:textId="0B107013" w:rsidR="00A13D46" w:rsidRPr="00EB7EA8" w:rsidRDefault="00A13D46" w:rsidP="00A13D46">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A13D46" w:rsidRPr="00EB7EA8" w14:paraId="540C5C69" w14:textId="77777777">
        <w:tc>
          <w:tcPr>
            <w:tcW w:w="9017" w:type="dxa"/>
            <w:gridSpan w:val="5"/>
          </w:tcPr>
          <w:p w14:paraId="35C4A575" w14:textId="388CBF98" w:rsidR="00A13D46" w:rsidRPr="00EB7EA8" w:rsidRDefault="00A13D46" w:rsidP="00A13D46">
            <w:pPr>
              <w:pStyle w:val="COMTabletext"/>
              <w:keepNext w:val="0"/>
              <w:keepLines w:val="0"/>
              <w:rPr>
                <w:color w:val="000000"/>
                <w:szCs w:val="20"/>
              </w:rPr>
            </w:pPr>
            <w:r w:rsidRPr="00EB7EA8">
              <w:rPr>
                <w:b/>
                <w:bCs w:val="0"/>
                <w:szCs w:val="20"/>
              </w:rPr>
              <w:t>Terminal care costs (base case: based on l</w:t>
            </w:r>
            <w:r w:rsidRPr="00EB7EA8">
              <w:rPr>
                <w:b/>
                <w:bCs w:val="0"/>
              </w:rPr>
              <w:t>ung cancer death costs</w:t>
            </w:r>
            <w:r w:rsidRPr="00EB7EA8">
              <w:rPr>
                <w:b/>
                <w:bCs w:val="0"/>
                <w:szCs w:val="20"/>
              </w:rPr>
              <w:t xml:space="preserve"> in the last year of life from AIHW data, with prescription costs removed; applied to the proportion of deaths due to disease progression</w:t>
            </w:r>
            <w:r w:rsidR="00131A9A">
              <w:rPr>
                <w:b/>
                <w:bCs w:val="0"/>
                <w:szCs w:val="20"/>
              </w:rPr>
              <w:t xml:space="preserve"> (</w:t>
            </w:r>
            <w:r w:rsidR="00427B46">
              <w:rPr>
                <w:b/>
                <w:bCs w:val="0"/>
                <w:szCs w:val="20"/>
              </w:rPr>
              <w:t>79.6% for lurbinectedin</w:t>
            </w:r>
            <w:r w:rsidR="007B1B65">
              <w:rPr>
                <w:b/>
                <w:bCs w:val="0"/>
                <w:szCs w:val="20"/>
              </w:rPr>
              <w:t xml:space="preserve"> plus atezolizumab patients, </w:t>
            </w:r>
            <w:r w:rsidR="002644D2">
              <w:rPr>
                <w:b/>
                <w:bCs w:val="0"/>
                <w:szCs w:val="20"/>
              </w:rPr>
              <w:t>86.7% for atezolizumab monotherapy patients</w:t>
            </w:r>
            <w:r w:rsidR="00DE6DE4">
              <w:rPr>
                <w:b/>
                <w:bCs w:val="0"/>
                <w:szCs w:val="20"/>
              </w:rPr>
              <w:t xml:space="preserve">, </w:t>
            </w:r>
            <w:r w:rsidR="00DE6DE4" w:rsidRPr="00DE6DE4">
              <w:rPr>
                <w:b/>
                <w:bCs w:val="0"/>
              </w:rPr>
              <w:t>$26,408</w:t>
            </w:r>
            <w:r w:rsidRPr="00EB7EA8">
              <w:rPr>
                <w:b/>
                <w:bCs w:val="0"/>
                <w:szCs w:val="20"/>
              </w:rPr>
              <w:t>)</w:t>
            </w:r>
          </w:p>
        </w:tc>
      </w:tr>
      <w:tr w:rsidR="00A13D46" w:rsidRPr="00EB7EA8" w14:paraId="013CBC5F" w14:textId="77777777">
        <w:tc>
          <w:tcPr>
            <w:tcW w:w="3965" w:type="dxa"/>
          </w:tcPr>
          <w:p w14:paraId="0E783226" w14:textId="0B2493B1" w:rsidR="00A13D46" w:rsidRPr="00EB7EA8" w:rsidRDefault="00A13D46" w:rsidP="00A13D46">
            <w:pPr>
              <w:pStyle w:val="COMTabletext"/>
              <w:keepNext w:val="0"/>
              <w:keepLines w:val="0"/>
              <w:rPr>
                <w:szCs w:val="20"/>
              </w:rPr>
            </w:pPr>
            <w:r w:rsidRPr="00EB7EA8">
              <w:rPr>
                <w:szCs w:val="20"/>
              </w:rPr>
              <w:t>Terminal care costs excluded</w:t>
            </w:r>
          </w:p>
        </w:tc>
        <w:tc>
          <w:tcPr>
            <w:tcW w:w="1263" w:type="dxa"/>
            <w:vAlign w:val="center"/>
          </w:tcPr>
          <w:p w14:paraId="34288E58" w14:textId="10A84BE4" w:rsidR="00A13D46" w:rsidRPr="00EB7EA8" w:rsidRDefault="00A13D46" w:rsidP="00A13D46">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p>
        </w:tc>
        <w:tc>
          <w:tcPr>
            <w:tcW w:w="1263" w:type="dxa"/>
            <w:vAlign w:val="center"/>
          </w:tcPr>
          <w:p w14:paraId="12E9A073" w14:textId="35E2BDB4" w:rsidR="00A13D46" w:rsidRPr="00EB7EA8" w:rsidRDefault="00A13D46" w:rsidP="00A13D46">
            <w:pPr>
              <w:pStyle w:val="COMTabletext"/>
              <w:keepNext w:val="0"/>
              <w:keepLines w:val="0"/>
              <w:jc w:val="center"/>
              <w:rPr>
                <w:color w:val="000000"/>
                <w:szCs w:val="20"/>
              </w:rPr>
            </w:pPr>
            <w:r w:rsidRPr="00EB7EA8">
              <w:rPr>
                <w:color w:val="000000"/>
                <w:szCs w:val="20"/>
              </w:rPr>
              <w:t>0.2023</w:t>
            </w:r>
          </w:p>
        </w:tc>
        <w:tc>
          <w:tcPr>
            <w:tcW w:w="1263" w:type="dxa"/>
            <w:vAlign w:val="center"/>
          </w:tcPr>
          <w:p w14:paraId="27BD08C6" w14:textId="23742C24" w:rsidR="00A13D46" w:rsidRPr="00177F45" w:rsidRDefault="00A13D46" w:rsidP="00A13D46">
            <w:pPr>
              <w:pStyle w:val="COMTabletext"/>
              <w:keepNext w:val="0"/>
              <w:keepLines w:val="0"/>
              <w:jc w:val="center"/>
              <w:rPr>
                <w:color w:val="000000"/>
                <w:szCs w:val="20"/>
                <w:vertAlign w:val="superscript"/>
              </w:rPr>
            </w:pPr>
            <w:r w:rsidRPr="00EB7EA8">
              <w:rPr>
                <w:color w:val="000000"/>
                <w:szCs w:val="20"/>
              </w:rPr>
              <w:t>$</w:t>
            </w:r>
            <w:r w:rsidR="00C8249A" w:rsidRPr="00C8249A">
              <w:rPr>
                <w:color w:val="000000"/>
                <w:szCs w:val="20"/>
                <w:highlight w:val="black"/>
              </w:rPr>
              <w:t>&amp;&amp;&amp;&amp;</w:t>
            </w:r>
            <w:r w:rsidR="00177F45">
              <w:rPr>
                <w:color w:val="000000"/>
                <w:szCs w:val="20"/>
                <w:vertAlign w:val="superscript"/>
              </w:rPr>
              <w:t>2</w:t>
            </w:r>
          </w:p>
        </w:tc>
        <w:tc>
          <w:tcPr>
            <w:tcW w:w="1263" w:type="dxa"/>
            <w:vAlign w:val="center"/>
          </w:tcPr>
          <w:p w14:paraId="1A065D79" w14:textId="3ACE3167" w:rsidR="00A13D46" w:rsidRPr="00EB7EA8" w:rsidRDefault="00A13D46" w:rsidP="00A13D46">
            <w:pPr>
              <w:pStyle w:val="COMTabletext"/>
              <w:keepNext w:val="0"/>
              <w:keepLines w:val="0"/>
              <w:jc w:val="center"/>
              <w:rPr>
                <w:color w:val="000000"/>
                <w:szCs w:val="20"/>
              </w:rPr>
            </w:pPr>
            <w:r w:rsidRPr="00EB7EA8">
              <w:rPr>
                <w:color w:val="000000"/>
                <w:szCs w:val="20"/>
              </w:rPr>
              <w:t>+</w:t>
            </w:r>
            <w:r w:rsidR="00C8249A" w:rsidRPr="00C8249A">
              <w:rPr>
                <w:color w:val="000000"/>
                <w:szCs w:val="20"/>
                <w:highlight w:val="black"/>
              </w:rPr>
              <w:t>&amp;&amp;&amp;&amp;</w:t>
            </w:r>
            <w:r w:rsidRPr="00EB7EA8">
              <w:rPr>
                <w:color w:val="000000"/>
                <w:szCs w:val="20"/>
              </w:rPr>
              <w:t>%</w:t>
            </w:r>
          </w:p>
        </w:tc>
      </w:tr>
      <w:tr w:rsidR="00704386" w:rsidRPr="001C2DF6" w14:paraId="298E679D" w14:textId="77777777" w:rsidTr="00EC4918">
        <w:tc>
          <w:tcPr>
            <w:tcW w:w="9017" w:type="dxa"/>
            <w:gridSpan w:val="5"/>
          </w:tcPr>
          <w:p w14:paraId="2F71531E" w14:textId="5B2D721E" w:rsidR="00704386" w:rsidRPr="001C2DF6" w:rsidRDefault="00704386" w:rsidP="00704386">
            <w:pPr>
              <w:pStyle w:val="COMTabletext"/>
              <w:keepNext w:val="0"/>
              <w:keepLines w:val="0"/>
              <w:rPr>
                <w:b/>
                <w:bCs w:val="0"/>
                <w:color w:val="000000"/>
                <w:szCs w:val="20"/>
              </w:rPr>
            </w:pPr>
            <w:r w:rsidRPr="001C2DF6">
              <w:rPr>
                <w:b/>
                <w:bCs w:val="0"/>
                <w:szCs w:val="20"/>
              </w:rPr>
              <w:t>Multivariate sensitivity analyses</w:t>
            </w:r>
          </w:p>
        </w:tc>
      </w:tr>
      <w:tr w:rsidR="00200541" w:rsidRPr="001C2DF6" w14:paraId="6F45F487" w14:textId="77777777">
        <w:tc>
          <w:tcPr>
            <w:tcW w:w="3965" w:type="dxa"/>
          </w:tcPr>
          <w:p w14:paraId="2786B15B" w14:textId="77777777" w:rsidR="00200541" w:rsidRPr="001C2DF6" w:rsidRDefault="00704386" w:rsidP="00A13D46">
            <w:pPr>
              <w:pStyle w:val="COMTabletext"/>
              <w:keepNext w:val="0"/>
              <w:keepLines w:val="0"/>
              <w:rPr>
                <w:szCs w:val="20"/>
              </w:rPr>
            </w:pPr>
            <w:r w:rsidRPr="001C2DF6">
              <w:rPr>
                <w:szCs w:val="20"/>
              </w:rPr>
              <w:t xml:space="preserve">Time horizon = 5 </w:t>
            </w:r>
            <w:proofErr w:type="gramStart"/>
            <w:r w:rsidRPr="001C2DF6">
              <w:rPr>
                <w:szCs w:val="20"/>
              </w:rPr>
              <w:t>years;</w:t>
            </w:r>
            <w:proofErr w:type="gramEnd"/>
          </w:p>
          <w:p w14:paraId="38E03CC0" w14:textId="77777777" w:rsidR="00704386" w:rsidRPr="001C2DF6" w:rsidRDefault="00704386" w:rsidP="00A13D46">
            <w:pPr>
              <w:pStyle w:val="COMTabletext"/>
              <w:keepNext w:val="0"/>
              <w:keepLines w:val="0"/>
              <w:rPr>
                <w:szCs w:val="20"/>
              </w:rPr>
            </w:pPr>
            <w:r w:rsidRPr="001C2DF6">
              <w:rPr>
                <w:szCs w:val="20"/>
              </w:rPr>
              <w:t xml:space="preserve">Convergence from </w:t>
            </w:r>
            <w:r w:rsidR="00DB39AC" w:rsidRPr="001C2DF6">
              <w:rPr>
                <w:szCs w:val="20"/>
              </w:rPr>
              <w:t xml:space="preserve">Years 2 to </w:t>
            </w:r>
            <w:proofErr w:type="gramStart"/>
            <w:r w:rsidR="00DB39AC" w:rsidRPr="001C2DF6">
              <w:rPr>
                <w:szCs w:val="20"/>
              </w:rPr>
              <w:t>5;</w:t>
            </w:r>
            <w:proofErr w:type="gramEnd"/>
          </w:p>
          <w:p w14:paraId="7B15CE24" w14:textId="025DF4AC" w:rsidR="00DB39AC" w:rsidRPr="001C2DF6" w:rsidRDefault="00DB39AC" w:rsidP="00A13D46">
            <w:pPr>
              <w:pStyle w:val="COMTabletext"/>
              <w:keepNext w:val="0"/>
              <w:keepLines w:val="0"/>
              <w:rPr>
                <w:szCs w:val="20"/>
              </w:rPr>
            </w:pPr>
            <w:r w:rsidRPr="001C2DF6">
              <w:rPr>
                <w:szCs w:val="20"/>
              </w:rPr>
              <w:t xml:space="preserve">Extrapolation based on </w:t>
            </w:r>
            <w:proofErr w:type="spellStart"/>
            <w:r w:rsidRPr="001C2DF6">
              <w:rPr>
                <w:szCs w:val="20"/>
              </w:rPr>
              <w:t>Gebski</w:t>
            </w:r>
            <w:proofErr w:type="spellEnd"/>
            <w:r w:rsidRPr="001C2DF6">
              <w:rPr>
                <w:szCs w:val="20"/>
              </w:rPr>
              <w:t xml:space="preserve"> criterion 1 (2.5%</w:t>
            </w:r>
            <w:r w:rsidR="006830AF" w:rsidRPr="001C2DF6">
              <w:rPr>
                <w:szCs w:val="20"/>
              </w:rPr>
              <w:t>)</w:t>
            </w:r>
          </w:p>
        </w:tc>
        <w:tc>
          <w:tcPr>
            <w:tcW w:w="1263" w:type="dxa"/>
            <w:vAlign w:val="center"/>
          </w:tcPr>
          <w:p w14:paraId="0E922661" w14:textId="134A0B78" w:rsidR="00200541" w:rsidRPr="001C2DF6" w:rsidRDefault="006830AF" w:rsidP="00A13D46">
            <w:pPr>
              <w:pStyle w:val="COMTabletext"/>
              <w:keepNext w:val="0"/>
              <w:keepLines w:val="0"/>
              <w:jc w:val="center"/>
              <w:rPr>
                <w:color w:val="000000"/>
                <w:szCs w:val="20"/>
              </w:rPr>
            </w:pPr>
            <w:r w:rsidRPr="001C2DF6">
              <w:rPr>
                <w:color w:val="000000"/>
                <w:szCs w:val="20"/>
              </w:rPr>
              <w:t>$</w:t>
            </w:r>
            <w:r w:rsidR="00C8249A" w:rsidRPr="00C8249A">
              <w:rPr>
                <w:color w:val="000000"/>
                <w:szCs w:val="20"/>
                <w:highlight w:val="black"/>
              </w:rPr>
              <w:t>&amp;&amp;&amp;&amp;</w:t>
            </w:r>
          </w:p>
        </w:tc>
        <w:tc>
          <w:tcPr>
            <w:tcW w:w="1263" w:type="dxa"/>
            <w:vAlign w:val="center"/>
          </w:tcPr>
          <w:p w14:paraId="17D70EEA" w14:textId="6A4BA75E" w:rsidR="00200541" w:rsidRPr="001C2DF6" w:rsidRDefault="006830AF" w:rsidP="00A13D46">
            <w:pPr>
              <w:pStyle w:val="COMTabletext"/>
              <w:keepNext w:val="0"/>
              <w:keepLines w:val="0"/>
              <w:jc w:val="center"/>
              <w:rPr>
                <w:color w:val="000000"/>
                <w:szCs w:val="20"/>
              </w:rPr>
            </w:pPr>
            <w:r w:rsidRPr="001C2DF6">
              <w:rPr>
                <w:color w:val="000000"/>
                <w:szCs w:val="20"/>
              </w:rPr>
              <w:t>0.140</w:t>
            </w:r>
          </w:p>
        </w:tc>
        <w:tc>
          <w:tcPr>
            <w:tcW w:w="1263" w:type="dxa"/>
            <w:vAlign w:val="center"/>
          </w:tcPr>
          <w:p w14:paraId="3063D8E9" w14:textId="1AA6C646" w:rsidR="00200541" w:rsidRPr="00C0517B" w:rsidRDefault="006830AF" w:rsidP="00A13D46">
            <w:pPr>
              <w:pStyle w:val="COMTabletext"/>
              <w:keepNext w:val="0"/>
              <w:keepLines w:val="0"/>
              <w:jc w:val="center"/>
              <w:rPr>
                <w:color w:val="000000"/>
                <w:szCs w:val="20"/>
                <w:vertAlign w:val="superscript"/>
              </w:rPr>
            </w:pPr>
            <w:r w:rsidRPr="001C2DF6">
              <w:rPr>
                <w:color w:val="000000"/>
                <w:szCs w:val="20"/>
              </w:rPr>
              <w:t>$</w:t>
            </w:r>
            <w:r w:rsidR="00C8249A" w:rsidRPr="00C8249A">
              <w:rPr>
                <w:color w:val="000000"/>
                <w:szCs w:val="20"/>
                <w:highlight w:val="black"/>
              </w:rPr>
              <w:t>&amp;&amp;&amp;&amp;</w:t>
            </w:r>
            <w:r w:rsidR="00C0517B">
              <w:rPr>
                <w:color w:val="000000"/>
                <w:szCs w:val="20"/>
                <w:vertAlign w:val="superscript"/>
              </w:rPr>
              <w:t>4</w:t>
            </w:r>
          </w:p>
        </w:tc>
        <w:tc>
          <w:tcPr>
            <w:tcW w:w="1263" w:type="dxa"/>
            <w:vAlign w:val="center"/>
          </w:tcPr>
          <w:p w14:paraId="01853B70" w14:textId="0B113071" w:rsidR="00200541" w:rsidRPr="001C2DF6" w:rsidRDefault="006830AF" w:rsidP="00A13D46">
            <w:pPr>
              <w:pStyle w:val="COMTabletext"/>
              <w:keepNext w:val="0"/>
              <w:keepLines w:val="0"/>
              <w:jc w:val="center"/>
              <w:rPr>
                <w:color w:val="000000"/>
                <w:szCs w:val="20"/>
              </w:rPr>
            </w:pPr>
            <w:r w:rsidRPr="001C2DF6">
              <w:rPr>
                <w:color w:val="000000"/>
                <w:szCs w:val="20"/>
              </w:rPr>
              <w:t>+</w:t>
            </w:r>
            <w:r w:rsidR="00C8249A" w:rsidRPr="00C8249A">
              <w:rPr>
                <w:color w:val="000000"/>
                <w:szCs w:val="20"/>
                <w:highlight w:val="black"/>
              </w:rPr>
              <w:t>&amp;&amp;&amp;&amp;</w:t>
            </w:r>
            <w:r w:rsidRPr="001C2DF6">
              <w:rPr>
                <w:color w:val="000000"/>
                <w:szCs w:val="20"/>
              </w:rPr>
              <w:t>%</w:t>
            </w:r>
          </w:p>
        </w:tc>
      </w:tr>
      <w:tr w:rsidR="00C267E4" w:rsidRPr="001C2DF6" w14:paraId="2FE4D827" w14:textId="77777777">
        <w:tc>
          <w:tcPr>
            <w:tcW w:w="3965" w:type="dxa"/>
          </w:tcPr>
          <w:p w14:paraId="23DCDBF7" w14:textId="77777777" w:rsidR="00C267E4" w:rsidRPr="001C2DF6" w:rsidRDefault="00C267E4" w:rsidP="00C267E4">
            <w:pPr>
              <w:pStyle w:val="COMTabletext"/>
              <w:keepNext w:val="0"/>
              <w:keepLines w:val="0"/>
              <w:rPr>
                <w:szCs w:val="20"/>
              </w:rPr>
            </w:pPr>
            <w:r w:rsidRPr="001C2DF6">
              <w:rPr>
                <w:szCs w:val="20"/>
              </w:rPr>
              <w:t xml:space="preserve">Time horizon = 5 </w:t>
            </w:r>
            <w:proofErr w:type="gramStart"/>
            <w:r w:rsidRPr="001C2DF6">
              <w:rPr>
                <w:szCs w:val="20"/>
              </w:rPr>
              <w:t>years;</w:t>
            </w:r>
            <w:proofErr w:type="gramEnd"/>
          </w:p>
          <w:p w14:paraId="6AEF453B" w14:textId="77777777" w:rsidR="00C267E4" w:rsidRPr="001C2DF6" w:rsidRDefault="00C267E4" w:rsidP="00C267E4">
            <w:pPr>
              <w:pStyle w:val="COMTabletext"/>
              <w:keepNext w:val="0"/>
              <w:keepLines w:val="0"/>
              <w:rPr>
                <w:szCs w:val="20"/>
              </w:rPr>
            </w:pPr>
            <w:r w:rsidRPr="001C2DF6">
              <w:rPr>
                <w:szCs w:val="20"/>
              </w:rPr>
              <w:t xml:space="preserve">Convergence from Years 2 to </w:t>
            </w:r>
            <w:proofErr w:type="gramStart"/>
            <w:r w:rsidRPr="001C2DF6">
              <w:rPr>
                <w:szCs w:val="20"/>
              </w:rPr>
              <w:t>5;</w:t>
            </w:r>
            <w:proofErr w:type="gramEnd"/>
          </w:p>
          <w:p w14:paraId="14A9E50F" w14:textId="77777777" w:rsidR="00C267E4" w:rsidRPr="001C2DF6" w:rsidRDefault="00C267E4" w:rsidP="00C267E4">
            <w:pPr>
              <w:pStyle w:val="COMTabletext"/>
              <w:keepNext w:val="0"/>
              <w:keepLines w:val="0"/>
              <w:rPr>
                <w:szCs w:val="20"/>
              </w:rPr>
            </w:pPr>
            <w:r w:rsidRPr="001C2DF6">
              <w:rPr>
                <w:szCs w:val="20"/>
              </w:rPr>
              <w:t xml:space="preserve">Extrapolation based on </w:t>
            </w:r>
            <w:proofErr w:type="spellStart"/>
            <w:r w:rsidRPr="001C2DF6">
              <w:rPr>
                <w:szCs w:val="20"/>
              </w:rPr>
              <w:t>Gebski</w:t>
            </w:r>
            <w:proofErr w:type="spellEnd"/>
            <w:r w:rsidRPr="001C2DF6">
              <w:rPr>
                <w:szCs w:val="20"/>
              </w:rPr>
              <w:t xml:space="preserve"> criterion 1 (2.5%</w:t>
            </w:r>
            <w:proofErr w:type="gramStart"/>
            <w:r w:rsidRPr="001C2DF6">
              <w:rPr>
                <w:szCs w:val="20"/>
              </w:rPr>
              <w:t>);</w:t>
            </w:r>
            <w:proofErr w:type="gramEnd"/>
          </w:p>
          <w:p w14:paraId="3E82448D" w14:textId="6499FBD9" w:rsidR="00C267E4" w:rsidRPr="001C2DF6" w:rsidRDefault="00C267E4" w:rsidP="00C267E4">
            <w:pPr>
              <w:pStyle w:val="COMTabletext"/>
              <w:keepNext w:val="0"/>
              <w:keepLines w:val="0"/>
              <w:rPr>
                <w:szCs w:val="20"/>
              </w:rPr>
            </w:pPr>
            <w:r w:rsidRPr="001C2DF6">
              <w:rPr>
                <w:szCs w:val="20"/>
              </w:rPr>
              <w:t>Removal of terminal care costs</w:t>
            </w:r>
          </w:p>
        </w:tc>
        <w:tc>
          <w:tcPr>
            <w:tcW w:w="1263" w:type="dxa"/>
            <w:vAlign w:val="center"/>
          </w:tcPr>
          <w:p w14:paraId="268CB50F" w14:textId="2D7C1DB1" w:rsidR="00C267E4" w:rsidRPr="001C2DF6" w:rsidRDefault="00DE7BD8" w:rsidP="00A13D46">
            <w:pPr>
              <w:pStyle w:val="COMTabletext"/>
              <w:keepNext w:val="0"/>
              <w:keepLines w:val="0"/>
              <w:jc w:val="center"/>
              <w:rPr>
                <w:color w:val="000000"/>
                <w:szCs w:val="20"/>
              </w:rPr>
            </w:pPr>
            <w:r w:rsidRPr="001C2DF6">
              <w:rPr>
                <w:color w:val="000000"/>
                <w:szCs w:val="20"/>
              </w:rPr>
              <w:t>$</w:t>
            </w:r>
            <w:r w:rsidR="00C8249A" w:rsidRPr="00C8249A">
              <w:rPr>
                <w:color w:val="000000"/>
                <w:szCs w:val="20"/>
                <w:highlight w:val="black"/>
              </w:rPr>
              <w:t>&amp;&amp;&amp;&amp;</w:t>
            </w:r>
          </w:p>
        </w:tc>
        <w:tc>
          <w:tcPr>
            <w:tcW w:w="1263" w:type="dxa"/>
            <w:vAlign w:val="center"/>
          </w:tcPr>
          <w:p w14:paraId="7F0AC022" w14:textId="278C5184" w:rsidR="00C267E4" w:rsidRPr="001C2DF6" w:rsidRDefault="00DE7BD8" w:rsidP="00A13D46">
            <w:pPr>
              <w:pStyle w:val="COMTabletext"/>
              <w:keepNext w:val="0"/>
              <w:keepLines w:val="0"/>
              <w:jc w:val="center"/>
              <w:rPr>
                <w:color w:val="000000"/>
                <w:szCs w:val="20"/>
              </w:rPr>
            </w:pPr>
            <w:r w:rsidRPr="001C2DF6">
              <w:rPr>
                <w:color w:val="000000"/>
                <w:szCs w:val="20"/>
              </w:rPr>
              <w:t>0.140</w:t>
            </w:r>
          </w:p>
        </w:tc>
        <w:tc>
          <w:tcPr>
            <w:tcW w:w="1263" w:type="dxa"/>
            <w:vAlign w:val="center"/>
          </w:tcPr>
          <w:p w14:paraId="5A79E7B0" w14:textId="0D8BE373" w:rsidR="00C267E4" w:rsidRPr="00C0517B" w:rsidRDefault="00DE7BD8" w:rsidP="00A13D46">
            <w:pPr>
              <w:pStyle w:val="COMTabletext"/>
              <w:keepNext w:val="0"/>
              <w:keepLines w:val="0"/>
              <w:jc w:val="center"/>
              <w:rPr>
                <w:color w:val="000000"/>
                <w:szCs w:val="20"/>
                <w:vertAlign w:val="superscript"/>
              </w:rPr>
            </w:pPr>
            <w:r w:rsidRPr="001C2DF6">
              <w:rPr>
                <w:color w:val="000000"/>
                <w:szCs w:val="20"/>
              </w:rPr>
              <w:t>$</w:t>
            </w:r>
            <w:r w:rsidR="00C8249A" w:rsidRPr="00C8249A">
              <w:rPr>
                <w:color w:val="000000"/>
                <w:szCs w:val="20"/>
                <w:highlight w:val="black"/>
              </w:rPr>
              <w:t>&amp;&amp;&amp;&amp;</w:t>
            </w:r>
            <w:r w:rsidR="00C0517B">
              <w:rPr>
                <w:color w:val="000000"/>
                <w:szCs w:val="20"/>
                <w:vertAlign w:val="superscript"/>
              </w:rPr>
              <w:t>4</w:t>
            </w:r>
          </w:p>
        </w:tc>
        <w:tc>
          <w:tcPr>
            <w:tcW w:w="1263" w:type="dxa"/>
            <w:vAlign w:val="center"/>
          </w:tcPr>
          <w:p w14:paraId="11BA3736" w14:textId="4AA16594" w:rsidR="00C267E4" w:rsidRPr="001C2DF6" w:rsidRDefault="00271417" w:rsidP="00A13D46">
            <w:pPr>
              <w:pStyle w:val="COMTabletext"/>
              <w:keepNext w:val="0"/>
              <w:keepLines w:val="0"/>
              <w:jc w:val="center"/>
              <w:rPr>
                <w:color w:val="000000"/>
                <w:szCs w:val="20"/>
              </w:rPr>
            </w:pPr>
            <w:r w:rsidRPr="001C2DF6">
              <w:rPr>
                <w:color w:val="000000"/>
                <w:szCs w:val="20"/>
              </w:rPr>
              <w:t>+</w:t>
            </w:r>
            <w:r w:rsidR="00C8249A" w:rsidRPr="00C8249A">
              <w:rPr>
                <w:color w:val="000000"/>
                <w:szCs w:val="20"/>
                <w:highlight w:val="black"/>
              </w:rPr>
              <w:t>&amp;&amp;&amp;&amp;</w:t>
            </w:r>
            <w:r w:rsidRPr="001C2DF6">
              <w:rPr>
                <w:color w:val="000000"/>
                <w:szCs w:val="20"/>
              </w:rPr>
              <w:t>%</w:t>
            </w:r>
          </w:p>
        </w:tc>
      </w:tr>
      <w:tr w:rsidR="00A677C0" w:rsidRPr="001C2DF6" w14:paraId="7AFD25E4" w14:textId="77777777">
        <w:tc>
          <w:tcPr>
            <w:tcW w:w="3965" w:type="dxa"/>
          </w:tcPr>
          <w:p w14:paraId="7B36F4FC" w14:textId="77777777" w:rsidR="00A677C0" w:rsidRPr="001C2DF6" w:rsidRDefault="00A677C0" w:rsidP="00A677C0">
            <w:pPr>
              <w:pStyle w:val="COMTabletext"/>
              <w:keepNext w:val="0"/>
              <w:keepLines w:val="0"/>
              <w:rPr>
                <w:szCs w:val="20"/>
              </w:rPr>
            </w:pPr>
            <w:r w:rsidRPr="001C2DF6">
              <w:rPr>
                <w:szCs w:val="20"/>
              </w:rPr>
              <w:t xml:space="preserve">Time horizon = 5 </w:t>
            </w:r>
            <w:proofErr w:type="gramStart"/>
            <w:r w:rsidRPr="001C2DF6">
              <w:rPr>
                <w:szCs w:val="20"/>
              </w:rPr>
              <w:t>years;</w:t>
            </w:r>
            <w:proofErr w:type="gramEnd"/>
          </w:p>
          <w:p w14:paraId="0661679A" w14:textId="77777777" w:rsidR="00A677C0" w:rsidRPr="001C2DF6" w:rsidRDefault="00A677C0" w:rsidP="00A677C0">
            <w:pPr>
              <w:pStyle w:val="COMTabletext"/>
              <w:keepNext w:val="0"/>
              <w:keepLines w:val="0"/>
              <w:rPr>
                <w:szCs w:val="20"/>
              </w:rPr>
            </w:pPr>
            <w:r w:rsidRPr="001C2DF6">
              <w:rPr>
                <w:szCs w:val="20"/>
              </w:rPr>
              <w:t xml:space="preserve">Convergence from Years 2 to </w:t>
            </w:r>
            <w:proofErr w:type="gramStart"/>
            <w:r w:rsidRPr="001C2DF6">
              <w:rPr>
                <w:szCs w:val="20"/>
              </w:rPr>
              <w:t>5;</w:t>
            </w:r>
            <w:proofErr w:type="gramEnd"/>
          </w:p>
          <w:p w14:paraId="61D042C1" w14:textId="77777777" w:rsidR="00A677C0" w:rsidRPr="001C2DF6" w:rsidRDefault="00A677C0" w:rsidP="00A677C0">
            <w:pPr>
              <w:pStyle w:val="COMTabletext"/>
              <w:keepNext w:val="0"/>
              <w:keepLines w:val="0"/>
              <w:rPr>
                <w:szCs w:val="20"/>
              </w:rPr>
            </w:pPr>
            <w:r w:rsidRPr="001C2DF6">
              <w:rPr>
                <w:szCs w:val="20"/>
              </w:rPr>
              <w:t xml:space="preserve">Extrapolation based on </w:t>
            </w:r>
            <w:proofErr w:type="spellStart"/>
            <w:r w:rsidRPr="001C2DF6">
              <w:rPr>
                <w:szCs w:val="20"/>
              </w:rPr>
              <w:t>Gebski</w:t>
            </w:r>
            <w:proofErr w:type="spellEnd"/>
            <w:r w:rsidRPr="001C2DF6">
              <w:rPr>
                <w:szCs w:val="20"/>
              </w:rPr>
              <w:t xml:space="preserve"> criterion 1 (2.5%</w:t>
            </w:r>
            <w:proofErr w:type="gramStart"/>
            <w:r w:rsidRPr="001C2DF6">
              <w:rPr>
                <w:szCs w:val="20"/>
              </w:rPr>
              <w:t>);</w:t>
            </w:r>
            <w:proofErr w:type="gramEnd"/>
          </w:p>
          <w:p w14:paraId="2807AD88" w14:textId="77777777" w:rsidR="00A677C0" w:rsidRPr="001C2DF6" w:rsidRDefault="00A677C0" w:rsidP="00A677C0">
            <w:pPr>
              <w:pStyle w:val="COMTabletext"/>
              <w:keepNext w:val="0"/>
              <w:keepLines w:val="0"/>
              <w:rPr>
                <w:szCs w:val="20"/>
              </w:rPr>
            </w:pPr>
            <w:r w:rsidRPr="001C2DF6">
              <w:rPr>
                <w:szCs w:val="20"/>
              </w:rPr>
              <w:t xml:space="preserve">Removal of terminal care </w:t>
            </w:r>
            <w:proofErr w:type="gramStart"/>
            <w:r w:rsidRPr="001C2DF6">
              <w:rPr>
                <w:szCs w:val="20"/>
              </w:rPr>
              <w:t>costs;</w:t>
            </w:r>
            <w:proofErr w:type="gramEnd"/>
          </w:p>
          <w:p w14:paraId="7B001B12" w14:textId="0ADE8E0F" w:rsidR="00A677C0" w:rsidRPr="001C2DF6" w:rsidRDefault="00A677C0" w:rsidP="00A677C0">
            <w:pPr>
              <w:pStyle w:val="COMTabletext"/>
              <w:keepNext w:val="0"/>
              <w:keepLines w:val="0"/>
              <w:rPr>
                <w:szCs w:val="20"/>
              </w:rPr>
            </w:pPr>
            <w:r w:rsidRPr="001C2DF6">
              <w:rPr>
                <w:szCs w:val="20"/>
              </w:rPr>
              <w:t>4 mg vial</w:t>
            </w:r>
            <w:r w:rsidR="00437C59" w:rsidRPr="001C2DF6">
              <w:rPr>
                <w:szCs w:val="20"/>
              </w:rPr>
              <w:t>s only</w:t>
            </w:r>
          </w:p>
        </w:tc>
        <w:tc>
          <w:tcPr>
            <w:tcW w:w="1263" w:type="dxa"/>
            <w:vAlign w:val="center"/>
          </w:tcPr>
          <w:p w14:paraId="4E1B8663" w14:textId="461119E5" w:rsidR="00A677C0" w:rsidRPr="001C2DF6" w:rsidRDefault="008854CF" w:rsidP="00A13D46">
            <w:pPr>
              <w:pStyle w:val="COMTabletext"/>
              <w:keepNext w:val="0"/>
              <w:keepLines w:val="0"/>
              <w:jc w:val="center"/>
              <w:rPr>
                <w:color w:val="000000"/>
                <w:szCs w:val="20"/>
              </w:rPr>
            </w:pPr>
            <w:r w:rsidRPr="001C2DF6">
              <w:rPr>
                <w:color w:val="000000"/>
                <w:szCs w:val="20"/>
              </w:rPr>
              <w:t>$</w:t>
            </w:r>
            <w:r w:rsidR="00C8249A" w:rsidRPr="00C8249A">
              <w:rPr>
                <w:color w:val="000000"/>
                <w:szCs w:val="20"/>
                <w:highlight w:val="black"/>
              </w:rPr>
              <w:t>&amp;&amp;&amp;&amp;</w:t>
            </w:r>
          </w:p>
        </w:tc>
        <w:tc>
          <w:tcPr>
            <w:tcW w:w="1263" w:type="dxa"/>
            <w:vAlign w:val="center"/>
          </w:tcPr>
          <w:p w14:paraId="10FF5FC1" w14:textId="70161564" w:rsidR="00A677C0" w:rsidRPr="001C2DF6" w:rsidRDefault="005D6E64" w:rsidP="00A13D46">
            <w:pPr>
              <w:pStyle w:val="COMTabletext"/>
              <w:keepNext w:val="0"/>
              <w:keepLines w:val="0"/>
              <w:jc w:val="center"/>
              <w:rPr>
                <w:color w:val="000000"/>
                <w:szCs w:val="20"/>
              </w:rPr>
            </w:pPr>
            <w:r w:rsidRPr="001C2DF6">
              <w:rPr>
                <w:color w:val="000000"/>
                <w:szCs w:val="20"/>
              </w:rPr>
              <w:t>0.140</w:t>
            </w:r>
          </w:p>
        </w:tc>
        <w:tc>
          <w:tcPr>
            <w:tcW w:w="1263" w:type="dxa"/>
            <w:vAlign w:val="center"/>
          </w:tcPr>
          <w:p w14:paraId="30093626" w14:textId="191B310C" w:rsidR="00A677C0" w:rsidRPr="00C0517B" w:rsidRDefault="005D6E64" w:rsidP="00A13D46">
            <w:pPr>
              <w:pStyle w:val="COMTabletext"/>
              <w:keepNext w:val="0"/>
              <w:keepLines w:val="0"/>
              <w:jc w:val="center"/>
              <w:rPr>
                <w:color w:val="000000"/>
                <w:szCs w:val="20"/>
                <w:vertAlign w:val="superscript"/>
              </w:rPr>
            </w:pPr>
            <w:r w:rsidRPr="001C2DF6">
              <w:rPr>
                <w:color w:val="000000"/>
                <w:szCs w:val="20"/>
              </w:rPr>
              <w:t>$</w:t>
            </w:r>
            <w:r w:rsidR="00C8249A" w:rsidRPr="00C8249A">
              <w:rPr>
                <w:color w:val="000000"/>
                <w:szCs w:val="20"/>
                <w:highlight w:val="black"/>
              </w:rPr>
              <w:t>&amp;&amp;&amp;&amp;</w:t>
            </w:r>
            <w:r w:rsidR="00C0517B">
              <w:rPr>
                <w:color w:val="000000"/>
                <w:szCs w:val="20"/>
                <w:vertAlign w:val="superscript"/>
              </w:rPr>
              <w:t>4</w:t>
            </w:r>
          </w:p>
        </w:tc>
        <w:tc>
          <w:tcPr>
            <w:tcW w:w="1263" w:type="dxa"/>
            <w:vAlign w:val="center"/>
          </w:tcPr>
          <w:p w14:paraId="6C6F0AC5" w14:textId="43355E72" w:rsidR="00A677C0" w:rsidRPr="001C2DF6" w:rsidRDefault="00D30AEE" w:rsidP="00A13D46">
            <w:pPr>
              <w:pStyle w:val="COMTabletext"/>
              <w:keepNext w:val="0"/>
              <w:keepLines w:val="0"/>
              <w:jc w:val="center"/>
              <w:rPr>
                <w:color w:val="000000"/>
                <w:szCs w:val="20"/>
              </w:rPr>
            </w:pPr>
            <w:r w:rsidRPr="001C2DF6">
              <w:rPr>
                <w:color w:val="000000"/>
                <w:szCs w:val="20"/>
              </w:rPr>
              <w:t>+</w:t>
            </w:r>
            <w:r w:rsidR="00C8249A" w:rsidRPr="00C8249A">
              <w:rPr>
                <w:color w:val="000000"/>
                <w:szCs w:val="20"/>
                <w:highlight w:val="black"/>
              </w:rPr>
              <w:t>&amp;&amp;&amp;&amp;</w:t>
            </w:r>
            <w:r w:rsidRPr="001C2DF6">
              <w:rPr>
                <w:color w:val="000000"/>
                <w:szCs w:val="20"/>
              </w:rPr>
              <w:t>%</w:t>
            </w:r>
          </w:p>
        </w:tc>
      </w:tr>
    </w:tbl>
    <w:p w14:paraId="682A6C19" w14:textId="77777777" w:rsidR="00375EE9" w:rsidRDefault="00375EE9" w:rsidP="00375EE9">
      <w:pPr>
        <w:pStyle w:val="COMTablefooter"/>
      </w:pPr>
      <w:r>
        <w:t>Source</w:t>
      </w:r>
      <w:r w:rsidRPr="00EB7EA8">
        <w:t>: Tables 108-111, pp184-186 of the submission</w:t>
      </w:r>
      <w:r>
        <w:t>; ‘</w:t>
      </w:r>
      <w:proofErr w:type="spellStart"/>
      <w:r>
        <w:t>Zepzelca_SCLC</w:t>
      </w:r>
      <w:proofErr w:type="spellEnd"/>
      <w:r>
        <w:t>-CUA’ model spreadsheet provided with the submission.</w:t>
      </w:r>
    </w:p>
    <w:p w14:paraId="3E81F896" w14:textId="77777777" w:rsidR="00375EE9" w:rsidRDefault="00375EE9" w:rsidP="00375EE9">
      <w:pPr>
        <w:pStyle w:val="COMTablefooter"/>
      </w:pPr>
      <w:r>
        <w:t xml:space="preserve">Abbreviations: ATE, atezolizumab; EORTC QLQ-C30, </w:t>
      </w:r>
      <w:r w:rsidRPr="005F4C99">
        <w:t>European Organisation for Research and Treatment of Cancer</w:t>
      </w:r>
      <w:r>
        <w:t xml:space="preserve"> Quality of Life Questionnaire; ES-SCLC, extensive stage small cell lung cancer; ICER, incremental cost-effectiveness ratio; LUR, lurbinectedin; NSCLC, non-small cell lung cancer; OS, overall survival; PD, progressed disease; PF, progression-free; PFS, progression-free survival; PSD, Public Summary Document; QALY, quality adjusted life year</w:t>
      </w:r>
      <w:r w:rsidRPr="0098262F">
        <w:t>.</w:t>
      </w:r>
    </w:p>
    <w:p w14:paraId="1B2A75DA" w14:textId="77777777" w:rsidR="00375EE9" w:rsidRDefault="00375EE9" w:rsidP="00375EE9">
      <w:pPr>
        <w:pStyle w:val="COMTablefooter"/>
      </w:pPr>
      <w:r>
        <w:t>Note: Atezolizumab costs were based on the published AEMP and an assumed 75% rebate to account for the special pricing arrangement and risk sharing arrangement.</w:t>
      </w:r>
    </w:p>
    <w:p w14:paraId="46F7DA20" w14:textId="77777777" w:rsidR="00375EE9" w:rsidRDefault="00375EE9" w:rsidP="00375EE9">
      <w:pPr>
        <w:pStyle w:val="COMTablefooter"/>
      </w:pPr>
      <w:proofErr w:type="spellStart"/>
      <w:r w:rsidRPr="00C405C8">
        <w:rPr>
          <w:vertAlign w:val="superscript"/>
        </w:rPr>
        <w:t>a</w:t>
      </w:r>
      <w:proofErr w:type="spellEnd"/>
      <w:r w:rsidRPr="00C405C8">
        <w:rPr>
          <w:vertAlign w:val="superscript"/>
        </w:rPr>
        <w:t xml:space="preserve"> </w:t>
      </w:r>
      <w:r>
        <w:t xml:space="preserve">The PBAC recommended a </w:t>
      </w:r>
      <w:proofErr w:type="gramStart"/>
      <w:r>
        <w:t>5 year</w:t>
      </w:r>
      <w:proofErr w:type="gramEnd"/>
      <w:r>
        <w:t xml:space="preserve"> time horizon and curve convergence between 2 and 5 years in consideration of the July 2019 atezolizumab submission. </w:t>
      </w:r>
    </w:p>
    <w:p w14:paraId="2D77E4BA" w14:textId="77777777" w:rsidR="00375EE9" w:rsidRDefault="00375EE9" w:rsidP="00375EE9">
      <w:pPr>
        <w:pStyle w:val="COMTablefooter"/>
      </w:pPr>
      <w:r w:rsidRPr="001F25F2">
        <w:rPr>
          <w:vertAlign w:val="superscript"/>
        </w:rPr>
        <w:t xml:space="preserve">b </w:t>
      </w:r>
      <w:r>
        <w:t>Kaplan Meier data were used up to 19.3 months for LUR+ATE PFS; 20.1 months for ATE PFS; 19.8 months for LUR+ATE OS; 19.5 months for ATE OS.</w:t>
      </w:r>
    </w:p>
    <w:p w14:paraId="6B8E8B02" w14:textId="77777777" w:rsidR="00375EE9" w:rsidRDefault="00375EE9" w:rsidP="00375EE9">
      <w:pPr>
        <w:pStyle w:val="COMTablefooter"/>
      </w:pPr>
      <w:r w:rsidRPr="001F25F2">
        <w:rPr>
          <w:vertAlign w:val="superscript"/>
        </w:rPr>
        <w:t xml:space="preserve">c </w:t>
      </w:r>
      <w:r w:rsidRPr="00434927">
        <w:t xml:space="preserve"> </w:t>
      </w:r>
      <w:r>
        <w:t>Kaplan Meier data were used up to 19.3 months for LUR+ATE PFS; 22.3 months for ATE PFS; 21.7 months for LUR+ATE OS; 21.3 months for ATE OS.</w:t>
      </w:r>
    </w:p>
    <w:p w14:paraId="7680533A" w14:textId="77777777" w:rsidR="004B2518" w:rsidRDefault="00375EE9" w:rsidP="004B2518">
      <w:pPr>
        <w:pStyle w:val="COMTablefooter"/>
        <w:rPr>
          <w:i/>
          <w:szCs w:val="18"/>
        </w:rPr>
      </w:pPr>
      <w:r w:rsidRPr="001F25F2">
        <w:rPr>
          <w:vertAlign w:val="superscript"/>
        </w:rPr>
        <w:t xml:space="preserve">d </w:t>
      </w:r>
      <w:r>
        <w:t>Kaplan Meier data were used up to 19.3 months for LUR+ATE PFS; 20.1 months for ATE PFS; 21.7 months for LUR+ATE OS; 21.3 months for ATE OS.</w:t>
      </w:r>
    </w:p>
    <w:p w14:paraId="3201EFE4" w14:textId="6178E89A" w:rsidR="004B2518" w:rsidRPr="004B2518" w:rsidRDefault="004B2518" w:rsidP="004B2518">
      <w:pPr>
        <w:pStyle w:val="COMTablefooter"/>
        <w:rPr>
          <w:i/>
        </w:rPr>
      </w:pPr>
      <w:r w:rsidRPr="004B2518">
        <w:rPr>
          <w:i/>
        </w:rPr>
        <w:t xml:space="preserve">The redacted values correspond to the following ranges: </w:t>
      </w:r>
    </w:p>
    <w:p w14:paraId="0F5CBD39" w14:textId="24A207B7" w:rsidR="004B2518" w:rsidRPr="004B2518" w:rsidRDefault="004B2518" w:rsidP="004B2518">
      <w:pPr>
        <w:pStyle w:val="COMTablefooter"/>
        <w:rPr>
          <w:i/>
        </w:rPr>
      </w:pPr>
      <w:r w:rsidRPr="004B2518">
        <w:rPr>
          <w:i/>
          <w:vertAlign w:val="superscript"/>
        </w:rPr>
        <w:t>1</w:t>
      </w:r>
      <w:r w:rsidRPr="004B2518">
        <w:rPr>
          <w:i/>
        </w:rPr>
        <w:t xml:space="preserve"> </w:t>
      </w:r>
      <w:r w:rsidR="00F728BD" w:rsidRPr="00F728BD">
        <w:rPr>
          <w:i/>
        </w:rPr>
        <w:t>$115,000 to &lt; $135,000</w:t>
      </w:r>
    </w:p>
    <w:p w14:paraId="73D3DA71" w14:textId="00533FF1" w:rsidR="004B2518" w:rsidRPr="004B2518" w:rsidRDefault="004B2518" w:rsidP="004B2518">
      <w:pPr>
        <w:pStyle w:val="COMTablefooter"/>
        <w:rPr>
          <w:i/>
        </w:rPr>
      </w:pPr>
      <w:r w:rsidRPr="004B2518">
        <w:rPr>
          <w:i/>
          <w:vertAlign w:val="superscript"/>
        </w:rPr>
        <w:t>2</w:t>
      </w:r>
      <w:r w:rsidRPr="004B2518">
        <w:rPr>
          <w:i/>
        </w:rPr>
        <w:t xml:space="preserve"> </w:t>
      </w:r>
      <w:r w:rsidR="00177F45" w:rsidRPr="00177F45">
        <w:rPr>
          <w:i/>
        </w:rPr>
        <w:t>$135,000 to &lt; $155,000</w:t>
      </w:r>
    </w:p>
    <w:p w14:paraId="21701DBC" w14:textId="60F8D5EF" w:rsidR="004B2518" w:rsidRPr="004B2518" w:rsidRDefault="004B2518" w:rsidP="004B2518">
      <w:pPr>
        <w:pStyle w:val="COMTablefooter"/>
        <w:rPr>
          <w:i/>
        </w:rPr>
      </w:pPr>
      <w:r w:rsidRPr="004B2518">
        <w:rPr>
          <w:i/>
          <w:vertAlign w:val="superscript"/>
        </w:rPr>
        <w:t>3</w:t>
      </w:r>
      <w:r w:rsidRPr="004B2518">
        <w:rPr>
          <w:i/>
        </w:rPr>
        <w:t xml:space="preserve"> </w:t>
      </w:r>
      <w:r w:rsidR="00DB6168" w:rsidRPr="00DB6168">
        <w:rPr>
          <w:i/>
        </w:rPr>
        <w:t xml:space="preserve">$95,000 to &lt; $115,000 </w:t>
      </w:r>
    </w:p>
    <w:p w14:paraId="55D9AB1A" w14:textId="77777777" w:rsidR="00C0517B" w:rsidRPr="00C0517B" w:rsidRDefault="004B2518" w:rsidP="00C0517B">
      <w:pPr>
        <w:pStyle w:val="COMTablefooter"/>
        <w:rPr>
          <w:i/>
        </w:rPr>
      </w:pPr>
      <w:r w:rsidRPr="004B2518">
        <w:rPr>
          <w:i/>
          <w:vertAlign w:val="superscript"/>
        </w:rPr>
        <w:t>4</w:t>
      </w:r>
      <w:r w:rsidRPr="004B2518">
        <w:rPr>
          <w:i/>
        </w:rPr>
        <w:t xml:space="preserve"> </w:t>
      </w:r>
      <w:r w:rsidR="00C0517B" w:rsidRPr="00C0517B">
        <w:rPr>
          <w:i/>
        </w:rPr>
        <w:t>$155,000 to &lt; $255,000</w:t>
      </w:r>
    </w:p>
    <w:p w14:paraId="5677CAF4" w14:textId="3359116C" w:rsidR="00375EE9" w:rsidRDefault="00375EE9" w:rsidP="00375EE9">
      <w:pPr>
        <w:pStyle w:val="COMTablefooter"/>
      </w:pPr>
    </w:p>
    <w:p w14:paraId="243FF867" w14:textId="25C11D07" w:rsidR="00014D25" w:rsidRPr="00C2248A" w:rsidRDefault="0E6BC4E5" w:rsidP="00C2248A">
      <w:pPr>
        <w:pStyle w:val="COMESnumberedpara"/>
        <w:rPr>
          <w:i/>
          <w:iCs/>
        </w:rPr>
      </w:pPr>
      <w:r>
        <w:t>Multivariate sensitivity analyses were conducted during the evaluation due to the uncertainty associated with extrapolated overall survival. The multivariate sensitivity analyses demonstrated that the estimated ICER per QALY gained for lurbinectedin plus atezolizumab compared to atezolizumab was highly sensitive to alternative assumptions (point of extrapolation, parametric survival function, risk of convergence and time horizon) regarding the extrapolation of overall survival.</w:t>
      </w:r>
      <w:r w:rsidR="28AB8E75">
        <w:t xml:space="preserve"> </w:t>
      </w:r>
    </w:p>
    <w:p w14:paraId="61A24D07" w14:textId="5BC74182" w:rsidR="0288A3C2" w:rsidRDefault="004351EB" w:rsidP="001325D8">
      <w:pPr>
        <w:pStyle w:val="COMESnumberedpara"/>
      </w:pPr>
      <w:r w:rsidRPr="00A82079">
        <w:t xml:space="preserve">The ESC considered that </w:t>
      </w:r>
      <w:r w:rsidR="00886AC3" w:rsidRPr="00A82079">
        <w:t xml:space="preserve">a more conservative </w:t>
      </w:r>
      <w:r w:rsidR="00E3723E" w:rsidRPr="00A82079">
        <w:t xml:space="preserve">model would apply a </w:t>
      </w:r>
      <w:r w:rsidR="00C2331F" w:rsidRPr="00A82079">
        <w:t>5</w:t>
      </w:r>
      <w:r w:rsidR="00856826">
        <w:t>-</w:t>
      </w:r>
      <w:r w:rsidR="00E3723E" w:rsidRPr="00A82079">
        <w:t xml:space="preserve">year time horizon </w:t>
      </w:r>
      <w:r w:rsidR="00A621B0" w:rsidRPr="00A82079">
        <w:t xml:space="preserve">and </w:t>
      </w:r>
      <w:r w:rsidR="00661814" w:rsidRPr="00A82079">
        <w:t xml:space="preserve">apply </w:t>
      </w:r>
      <w:r w:rsidR="00A621B0" w:rsidRPr="00A82079">
        <w:t xml:space="preserve">convergence in </w:t>
      </w:r>
      <w:r w:rsidR="00661814" w:rsidRPr="00A82079">
        <w:t>line with the atezolizumab monotherapy model. In addition</w:t>
      </w:r>
      <w:r w:rsidR="00CE0B4C" w:rsidRPr="00A82079">
        <w:t>,</w:t>
      </w:r>
      <w:r w:rsidR="003D14B2" w:rsidRPr="00A82079">
        <w:t xml:space="preserve"> </w:t>
      </w:r>
      <w:r w:rsidR="00AC3907" w:rsidRPr="00A82079">
        <w:t xml:space="preserve">the </w:t>
      </w:r>
      <w:r w:rsidR="00810242" w:rsidRPr="00A82079">
        <w:t xml:space="preserve">ESC considered that </w:t>
      </w:r>
      <w:r w:rsidR="004461D5" w:rsidRPr="00A82079">
        <w:t xml:space="preserve">the </w:t>
      </w:r>
      <w:r w:rsidR="00DD68E0" w:rsidRPr="00A82079">
        <w:t xml:space="preserve">point of extrapolation </w:t>
      </w:r>
      <w:r w:rsidR="00AC3907" w:rsidRPr="00A82079">
        <w:t xml:space="preserve">should be based on </w:t>
      </w:r>
      <w:proofErr w:type="spellStart"/>
      <w:r w:rsidR="008D4C82" w:rsidRPr="00A82079">
        <w:t>Gebski</w:t>
      </w:r>
      <w:proofErr w:type="spellEnd"/>
      <w:r w:rsidR="008D4C82" w:rsidRPr="00A82079">
        <w:t xml:space="preserve"> criterion 1 (2.5%</w:t>
      </w:r>
      <w:r w:rsidR="00E641F8" w:rsidRPr="00A82079">
        <w:t xml:space="preserve"> thresho</w:t>
      </w:r>
      <w:r w:rsidR="009068E4" w:rsidRPr="00A82079">
        <w:t>ld</w:t>
      </w:r>
      <w:r w:rsidR="004461D5" w:rsidRPr="00A82079">
        <w:t>) noting that it</w:t>
      </w:r>
      <w:r w:rsidR="35B67D78" w:rsidRPr="00A82079">
        <w:t xml:space="preserve"> represents a valid estimate, particularly given the uncertainty associated with the overall survival extrapolation. </w:t>
      </w:r>
      <w:r w:rsidR="04F42CB1" w:rsidRPr="00A82079">
        <w:t xml:space="preserve">When combined with </w:t>
      </w:r>
      <w:r w:rsidR="00043495" w:rsidRPr="00A82079">
        <w:t xml:space="preserve">the extrapolation of overall survival estimated independently </w:t>
      </w:r>
      <w:r w:rsidR="00C74728" w:rsidRPr="00A82079">
        <w:t xml:space="preserve">and applying the loglogistic function for each arm (as used in the submissions base case), the ESC noted that the ICER increased to </w:t>
      </w:r>
      <w:r w:rsidR="002B01C4" w:rsidRPr="002B01C4">
        <w:t>$155,000 to &lt; $255,000</w:t>
      </w:r>
      <w:r w:rsidR="00C74728" w:rsidRPr="00A82079">
        <w:t xml:space="preserve"> per QALY. </w:t>
      </w:r>
      <w:r w:rsidR="006C3A5D" w:rsidRPr="00A82079">
        <w:t xml:space="preserve">The ESC noted that </w:t>
      </w:r>
      <w:r w:rsidR="00F45BCD" w:rsidRPr="00A82079">
        <w:t>the</w:t>
      </w:r>
      <w:r w:rsidR="00C251C2" w:rsidRPr="00A82079">
        <w:t xml:space="preserve"> </w:t>
      </w:r>
      <w:r w:rsidR="006C3A5D" w:rsidRPr="00A82079">
        <w:t>removal of terminal care costs and using only the 4 mg vial of lurbinectedin further increased the ICER</w:t>
      </w:r>
      <w:r w:rsidR="00C251C2" w:rsidRPr="00A82079">
        <w:t>.</w:t>
      </w:r>
    </w:p>
    <w:p w14:paraId="472842D7" w14:textId="3EC9E0AA" w:rsidR="00C25D9C" w:rsidRDefault="00C25D9C" w:rsidP="0067003F">
      <w:pPr>
        <w:pStyle w:val="COMESSubsectionheading"/>
      </w:pPr>
      <w:bookmarkStart w:id="47" w:name="_Toc22897646"/>
      <w:bookmarkStart w:id="48" w:name="_Toc208928160"/>
      <w:r w:rsidRPr="00F92AC3">
        <w:t>Drug cost/patient/course</w:t>
      </w:r>
      <w:bookmarkEnd w:id="47"/>
      <w:bookmarkEnd w:id="48"/>
    </w:p>
    <w:p w14:paraId="01CEBE33" w14:textId="77F547F6" w:rsidR="00AC21FB" w:rsidRPr="00F01C7D" w:rsidRDefault="009C5995" w:rsidP="0067003F">
      <w:pPr>
        <w:pStyle w:val="COMESnumberedpara"/>
        <w:keepNext/>
        <w:keepLines/>
        <w:widowControl w:val="0"/>
        <w:rPr>
          <w:lang w:eastAsia="en-US"/>
        </w:rPr>
      </w:pPr>
      <w:r w:rsidRPr="00F01C7D">
        <w:rPr>
          <w:lang w:eastAsia="en-US"/>
        </w:rPr>
        <w:t>Lurbinectedin maintenance treatment costs in the economic evaluation and financial implications were based on use of the 2 mg vial</w:t>
      </w:r>
      <w:r w:rsidR="00AC21FB" w:rsidRPr="00F01C7D">
        <w:rPr>
          <w:lang w:eastAsia="en-US"/>
        </w:rPr>
        <w:t xml:space="preserve"> only</w:t>
      </w:r>
      <w:r w:rsidRPr="00F01C7D">
        <w:rPr>
          <w:lang w:eastAsia="en-US"/>
        </w:rPr>
        <w:t xml:space="preserve">. </w:t>
      </w:r>
    </w:p>
    <w:p w14:paraId="28CDC95E" w14:textId="2DAE8B6E" w:rsidR="003441B7" w:rsidRPr="00F01C7D" w:rsidRDefault="006273E9" w:rsidP="0067003F">
      <w:pPr>
        <w:pStyle w:val="COMESnumberedpara"/>
        <w:keepNext/>
        <w:keepLines/>
        <w:widowControl w:val="0"/>
        <w:rPr>
          <w:lang w:eastAsia="en-US"/>
        </w:rPr>
      </w:pPr>
      <w:r w:rsidRPr="00F01C7D">
        <w:rPr>
          <w:lang w:eastAsia="en-US"/>
        </w:rPr>
        <w:t xml:space="preserve">The cost of lurbinectedin per patient per </w:t>
      </w:r>
      <w:r w:rsidR="00667DF2" w:rsidRPr="00F01C7D">
        <w:rPr>
          <w:lang w:eastAsia="en-US"/>
        </w:rPr>
        <w:t>course</w:t>
      </w:r>
      <w:r w:rsidR="00D9074F" w:rsidRPr="00F01C7D">
        <w:rPr>
          <w:lang w:eastAsia="en-US"/>
        </w:rPr>
        <w:t>,</w:t>
      </w:r>
      <w:r w:rsidR="00C15F74" w:rsidRPr="00F01C7D">
        <w:rPr>
          <w:lang w:eastAsia="en-US"/>
        </w:rPr>
        <w:t xml:space="preserve"> based on the 2 mg vial (assuming </w:t>
      </w:r>
      <w:r w:rsidR="004B0504" w:rsidRPr="00F01C7D">
        <w:rPr>
          <w:lang w:eastAsia="en-US"/>
        </w:rPr>
        <w:t>58.</w:t>
      </w:r>
      <w:r w:rsidR="000A1936" w:rsidRPr="00F01C7D">
        <w:rPr>
          <w:lang w:eastAsia="en-US"/>
        </w:rPr>
        <w:t>5</w:t>
      </w:r>
      <w:r w:rsidR="004B0504" w:rsidRPr="00F01C7D">
        <w:rPr>
          <w:lang w:eastAsia="en-US"/>
        </w:rPr>
        <w:t>% of patients require 3 vials</w:t>
      </w:r>
      <w:r w:rsidR="0077623B" w:rsidRPr="00F01C7D">
        <w:rPr>
          <w:lang w:eastAsia="en-US"/>
        </w:rPr>
        <w:t>,</w:t>
      </w:r>
      <w:r w:rsidR="004B0504" w:rsidRPr="00F01C7D">
        <w:rPr>
          <w:lang w:eastAsia="en-US"/>
        </w:rPr>
        <w:t xml:space="preserve"> 41.4% require 4 vials and 0.1% </w:t>
      </w:r>
      <w:r w:rsidR="0077623B" w:rsidRPr="00F01C7D">
        <w:rPr>
          <w:lang w:eastAsia="en-US"/>
        </w:rPr>
        <w:t xml:space="preserve">require </w:t>
      </w:r>
      <w:r w:rsidR="004B0504" w:rsidRPr="00F01C7D">
        <w:rPr>
          <w:lang w:eastAsia="en-US"/>
        </w:rPr>
        <w:t>5 vials</w:t>
      </w:r>
      <w:r w:rsidR="00401580" w:rsidRPr="00F01C7D">
        <w:rPr>
          <w:lang w:eastAsia="en-US"/>
        </w:rPr>
        <w:t xml:space="preserve"> per dose</w:t>
      </w:r>
      <w:r w:rsidR="0077623B" w:rsidRPr="00F01C7D">
        <w:rPr>
          <w:lang w:eastAsia="en-US"/>
        </w:rPr>
        <w:t>;</w:t>
      </w:r>
      <w:r w:rsidR="00401580" w:rsidRPr="00F01C7D">
        <w:rPr>
          <w:lang w:eastAsia="en-US"/>
        </w:rPr>
        <w:t xml:space="preserve"> for 8.1 doses</w:t>
      </w:r>
      <w:r w:rsidR="004B0504" w:rsidRPr="00F01C7D">
        <w:rPr>
          <w:lang w:eastAsia="en-US"/>
        </w:rPr>
        <w:t>)</w:t>
      </w:r>
      <w:r w:rsidR="00C15F74" w:rsidRPr="00F01C7D">
        <w:rPr>
          <w:lang w:eastAsia="en-US"/>
        </w:rPr>
        <w:t xml:space="preserve"> was</w:t>
      </w:r>
      <w:r w:rsidR="00401580" w:rsidRPr="00F01C7D">
        <w:rPr>
          <w:lang w:eastAsia="en-US"/>
        </w:rPr>
        <w:t xml:space="preserve"> </w:t>
      </w:r>
      <w:r w:rsidR="00401580" w:rsidRPr="00F01C7D">
        <w:t>$</w:t>
      </w:r>
      <w:r w:rsidR="00C8249A" w:rsidRPr="00C8249A">
        <w:rPr>
          <w:highlight w:val="black"/>
        </w:rPr>
        <w:t>&amp;&amp;&amp;&amp;</w:t>
      </w:r>
      <w:r w:rsidR="00401580" w:rsidRPr="00F01C7D">
        <w:t xml:space="preserve"> in the economic model and $</w:t>
      </w:r>
      <w:r w:rsidR="00C8249A" w:rsidRPr="00C8249A">
        <w:rPr>
          <w:highlight w:val="black"/>
        </w:rPr>
        <w:t>&amp;&amp;&amp;&amp;</w:t>
      </w:r>
      <w:r w:rsidR="00401580" w:rsidRPr="00F01C7D">
        <w:t xml:space="preserve"> in the financial estimates (with the difference due to </w:t>
      </w:r>
      <w:r w:rsidR="0077623B" w:rsidRPr="00F01C7D">
        <w:t>a</w:t>
      </w:r>
      <w:r w:rsidR="00192F40">
        <w:t xml:space="preserve"> </w:t>
      </w:r>
      <w:r w:rsidR="0077623B" w:rsidRPr="00F01C7D">
        <w:t>difference in the public/private hospital script distribution).</w:t>
      </w:r>
    </w:p>
    <w:p w14:paraId="06FEF48D" w14:textId="77777777" w:rsidR="0067003F" w:rsidRDefault="0067003F">
      <w:pPr>
        <w:jc w:val="left"/>
        <w:rPr>
          <w:rFonts w:ascii="Arial Narrow" w:eastAsiaTheme="majorEastAsia" w:hAnsi="Arial Narrow" w:cstheme="majorBidi"/>
          <w:b/>
          <w:bCs/>
          <w:sz w:val="20"/>
        </w:rPr>
      </w:pPr>
      <w:bookmarkStart w:id="49" w:name="_Ref104805102"/>
      <w:r>
        <w:br w:type="page"/>
      </w:r>
    </w:p>
    <w:p w14:paraId="4B2F81AC" w14:textId="56D414AE" w:rsidR="00376054" w:rsidRDefault="00376054" w:rsidP="0067003F">
      <w:pPr>
        <w:pStyle w:val="COMTableFigurecaption"/>
        <w:keepLines/>
        <w:widowControl w:val="0"/>
      </w:pPr>
      <w:r w:rsidRPr="0098262F">
        <w:t>Table</w:t>
      </w:r>
      <w:bookmarkStart w:id="50" w:name="_Hlk214541062"/>
      <w:r w:rsidRPr="0098262F">
        <w:t xml:space="preserve"> </w:t>
      </w:r>
      <w:r w:rsidR="00FF30BC">
        <w:fldChar w:fldCharType="begin"/>
      </w:r>
      <w:r w:rsidR="00FF30BC">
        <w:instrText xml:space="preserve"> SEQ Table \* ARABIC </w:instrText>
      </w:r>
      <w:r w:rsidR="00FF30BC">
        <w:fldChar w:fldCharType="separate"/>
      </w:r>
      <w:r w:rsidR="00CC5A50">
        <w:rPr>
          <w:noProof/>
        </w:rPr>
        <w:t>11</w:t>
      </w:r>
      <w:r w:rsidR="00FF30BC">
        <w:rPr>
          <w:noProof/>
        </w:rPr>
        <w:fldChar w:fldCharType="end"/>
      </w:r>
      <w:bookmarkEnd w:id="50"/>
      <w:r w:rsidRPr="0098262F">
        <w:t xml:space="preserve">: Drug cost per patient for </w:t>
      </w:r>
      <w:r>
        <w:t>lurbinectedin plus atezolizumab and atezolizumab monotherapy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Drug cost per patient for lurbinectedin plus atezolizumab and atezolizumab monotherapy"/>
      </w:tblPr>
      <w:tblGrid>
        <w:gridCol w:w="1417"/>
        <w:gridCol w:w="849"/>
        <w:gridCol w:w="1417"/>
        <w:gridCol w:w="1536"/>
        <w:gridCol w:w="875"/>
        <w:gridCol w:w="1273"/>
        <w:gridCol w:w="1650"/>
      </w:tblGrid>
      <w:tr w:rsidR="00376054" w:rsidRPr="00B9592E" w14:paraId="3272BEE3" w14:textId="77777777">
        <w:trPr>
          <w:cantSplit/>
          <w:tblHeader/>
          <w:jc w:val="center"/>
        </w:trPr>
        <w:tc>
          <w:tcPr>
            <w:tcW w:w="785" w:type="pct"/>
            <w:vMerge w:val="restart"/>
            <w:vAlign w:val="center"/>
          </w:tcPr>
          <w:p w14:paraId="788E6EC9" w14:textId="77777777" w:rsidR="00376054" w:rsidRPr="00F77A81" w:rsidRDefault="00376054" w:rsidP="0067003F">
            <w:pPr>
              <w:pStyle w:val="COMTableheadingrow"/>
              <w:widowControl w:val="0"/>
              <w:jc w:val="center"/>
            </w:pPr>
          </w:p>
        </w:tc>
        <w:tc>
          <w:tcPr>
            <w:tcW w:w="2108" w:type="pct"/>
            <w:gridSpan w:val="3"/>
            <w:vAlign w:val="center"/>
          </w:tcPr>
          <w:p w14:paraId="0B3D03EB" w14:textId="77777777" w:rsidR="00376054" w:rsidRPr="00F77A81" w:rsidRDefault="00376054" w:rsidP="0067003F">
            <w:pPr>
              <w:pStyle w:val="COMTableheadingrow"/>
              <w:widowControl w:val="0"/>
              <w:jc w:val="center"/>
            </w:pPr>
            <w:r>
              <w:t>Lurbinectedin plus atezolizumab</w:t>
            </w:r>
          </w:p>
        </w:tc>
        <w:tc>
          <w:tcPr>
            <w:tcW w:w="2106" w:type="pct"/>
            <w:gridSpan w:val="3"/>
          </w:tcPr>
          <w:p w14:paraId="3ECBFB41" w14:textId="77777777" w:rsidR="00376054" w:rsidRPr="00473492" w:rsidRDefault="00376054" w:rsidP="0067003F">
            <w:pPr>
              <w:pStyle w:val="COMTableheadingrow"/>
              <w:widowControl w:val="0"/>
              <w:jc w:val="center"/>
              <w:rPr>
                <w:vertAlign w:val="superscript"/>
              </w:rPr>
            </w:pPr>
            <w:r>
              <w:t>Atezolizumab monotherapy</w:t>
            </w:r>
          </w:p>
        </w:tc>
      </w:tr>
      <w:tr w:rsidR="00376054" w:rsidRPr="00B9592E" w14:paraId="5EBE15DD" w14:textId="77777777">
        <w:trPr>
          <w:cantSplit/>
          <w:tblHeader/>
          <w:jc w:val="center"/>
        </w:trPr>
        <w:tc>
          <w:tcPr>
            <w:tcW w:w="785" w:type="pct"/>
            <w:vMerge/>
            <w:vAlign w:val="center"/>
          </w:tcPr>
          <w:p w14:paraId="7711CEDF" w14:textId="77777777" w:rsidR="00376054" w:rsidRPr="00F77A81" w:rsidRDefault="00376054" w:rsidP="0067003F">
            <w:pPr>
              <w:pStyle w:val="COMTableheadingrow"/>
              <w:widowControl w:val="0"/>
              <w:jc w:val="center"/>
            </w:pPr>
          </w:p>
        </w:tc>
        <w:tc>
          <w:tcPr>
            <w:tcW w:w="471" w:type="pct"/>
            <w:vAlign w:val="center"/>
          </w:tcPr>
          <w:p w14:paraId="013A3B00" w14:textId="77777777" w:rsidR="00376054" w:rsidRPr="00F77A81" w:rsidRDefault="00376054" w:rsidP="0067003F">
            <w:pPr>
              <w:pStyle w:val="COMTableheadingrow"/>
              <w:widowControl w:val="0"/>
              <w:jc w:val="center"/>
            </w:pPr>
            <w:r>
              <w:t>Trial</w:t>
            </w:r>
          </w:p>
        </w:tc>
        <w:tc>
          <w:tcPr>
            <w:tcW w:w="786" w:type="pct"/>
            <w:vAlign w:val="center"/>
          </w:tcPr>
          <w:p w14:paraId="31F61763" w14:textId="77777777" w:rsidR="00376054" w:rsidRPr="00F77A81" w:rsidRDefault="00376054" w:rsidP="0067003F">
            <w:pPr>
              <w:pStyle w:val="COMTableheadingrow"/>
              <w:widowControl w:val="0"/>
              <w:jc w:val="center"/>
            </w:pPr>
            <w:r>
              <w:t>Economic model</w:t>
            </w:r>
          </w:p>
        </w:tc>
        <w:tc>
          <w:tcPr>
            <w:tcW w:w="852" w:type="pct"/>
            <w:vAlign w:val="center"/>
          </w:tcPr>
          <w:p w14:paraId="48EC0722" w14:textId="77777777" w:rsidR="00376054" w:rsidRPr="00F77A81" w:rsidRDefault="00376054" w:rsidP="0067003F">
            <w:pPr>
              <w:pStyle w:val="COMTableheadingrow"/>
              <w:widowControl w:val="0"/>
              <w:jc w:val="center"/>
            </w:pPr>
            <w:r>
              <w:t>Financial estimates</w:t>
            </w:r>
          </w:p>
        </w:tc>
        <w:tc>
          <w:tcPr>
            <w:tcW w:w="485" w:type="pct"/>
            <w:vAlign w:val="center"/>
          </w:tcPr>
          <w:p w14:paraId="21DA8459" w14:textId="77777777" w:rsidR="00376054" w:rsidRDefault="00376054" w:rsidP="0067003F">
            <w:pPr>
              <w:pStyle w:val="COMTableheadingrow"/>
              <w:widowControl w:val="0"/>
              <w:jc w:val="center"/>
            </w:pPr>
            <w:r>
              <w:t>Trial</w:t>
            </w:r>
          </w:p>
        </w:tc>
        <w:tc>
          <w:tcPr>
            <w:tcW w:w="706" w:type="pct"/>
            <w:vAlign w:val="center"/>
          </w:tcPr>
          <w:p w14:paraId="57141629" w14:textId="77777777" w:rsidR="00376054" w:rsidRDefault="00376054" w:rsidP="0067003F">
            <w:pPr>
              <w:pStyle w:val="COMTableheadingrow"/>
              <w:widowControl w:val="0"/>
              <w:jc w:val="center"/>
            </w:pPr>
            <w:r>
              <w:t>Economic model</w:t>
            </w:r>
          </w:p>
        </w:tc>
        <w:tc>
          <w:tcPr>
            <w:tcW w:w="915" w:type="pct"/>
            <w:vAlign w:val="center"/>
          </w:tcPr>
          <w:p w14:paraId="38A2F5D7" w14:textId="77777777" w:rsidR="00376054" w:rsidRDefault="00376054" w:rsidP="0067003F">
            <w:pPr>
              <w:pStyle w:val="COMTableheadingrow"/>
              <w:widowControl w:val="0"/>
              <w:jc w:val="center"/>
            </w:pPr>
            <w:r>
              <w:t>Financial estimates</w:t>
            </w:r>
          </w:p>
        </w:tc>
      </w:tr>
      <w:tr w:rsidR="00376054" w:rsidRPr="00B9592E" w14:paraId="2D99923F" w14:textId="77777777">
        <w:trPr>
          <w:cantSplit/>
          <w:jc w:val="center"/>
        </w:trPr>
        <w:tc>
          <w:tcPr>
            <w:tcW w:w="785" w:type="pct"/>
            <w:vAlign w:val="center"/>
          </w:tcPr>
          <w:p w14:paraId="3D59BA8B" w14:textId="77777777" w:rsidR="00376054" w:rsidRPr="00F77A81" w:rsidRDefault="00376054" w:rsidP="0067003F">
            <w:pPr>
              <w:pStyle w:val="COMTabletext"/>
              <w:widowControl w:val="0"/>
            </w:pPr>
            <w:r w:rsidRPr="00F77A81">
              <w:t xml:space="preserve">Mean </w:t>
            </w:r>
            <w:r>
              <w:t>cycles of treatment</w:t>
            </w:r>
          </w:p>
        </w:tc>
        <w:tc>
          <w:tcPr>
            <w:tcW w:w="471" w:type="pct"/>
            <w:vAlign w:val="center"/>
          </w:tcPr>
          <w:p w14:paraId="3656389E" w14:textId="77777777" w:rsidR="00376054" w:rsidRDefault="00376054" w:rsidP="0067003F">
            <w:pPr>
              <w:pStyle w:val="COMTabletext"/>
              <w:widowControl w:val="0"/>
              <w:jc w:val="center"/>
            </w:pPr>
            <w:r>
              <w:t>LUR: 8.1</w:t>
            </w:r>
            <w:r w:rsidRPr="001B00B3">
              <w:rPr>
                <w:vertAlign w:val="superscript"/>
              </w:rPr>
              <w:t>a</w:t>
            </w:r>
          </w:p>
          <w:p w14:paraId="24C6E23D" w14:textId="77777777" w:rsidR="00376054" w:rsidRPr="00A01959" w:rsidRDefault="00376054" w:rsidP="0067003F">
            <w:pPr>
              <w:pStyle w:val="COMTabletext"/>
              <w:widowControl w:val="0"/>
              <w:jc w:val="center"/>
            </w:pPr>
            <w:r>
              <w:t>ATE: 8.2</w:t>
            </w:r>
            <w:r w:rsidRPr="001B00B3">
              <w:rPr>
                <w:vertAlign w:val="superscript"/>
              </w:rPr>
              <w:t>b</w:t>
            </w:r>
          </w:p>
        </w:tc>
        <w:tc>
          <w:tcPr>
            <w:tcW w:w="786" w:type="pct"/>
            <w:vAlign w:val="center"/>
          </w:tcPr>
          <w:p w14:paraId="7CE1F3A8" w14:textId="77777777" w:rsidR="00376054" w:rsidRDefault="00376054" w:rsidP="0067003F">
            <w:pPr>
              <w:pStyle w:val="COMTabletext"/>
              <w:widowControl w:val="0"/>
              <w:jc w:val="center"/>
            </w:pPr>
            <w:r>
              <w:t>LUR: 8.1</w:t>
            </w:r>
            <w:r w:rsidRPr="001B00B3">
              <w:rPr>
                <w:vertAlign w:val="superscript"/>
              </w:rPr>
              <w:t>a</w:t>
            </w:r>
          </w:p>
          <w:p w14:paraId="034D6866" w14:textId="77777777" w:rsidR="00376054" w:rsidRPr="00A01959" w:rsidRDefault="00376054" w:rsidP="0067003F">
            <w:pPr>
              <w:pStyle w:val="COMTabletext"/>
              <w:widowControl w:val="0"/>
              <w:jc w:val="center"/>
            </w:pPr>
            <w:r>
              <w:t>ATE: 8.2</w:t>
            </w:r>
            <w:r w:rsidRPr="001B00B3">
              <w:rPr>
                <w:vertAlign w:val="superscript"/>
              </w:rPr>
              <w:t>b</w:t>
            </w:r>
          </w:p>
        </w:tc>
        <w:tc>
          <w:tcPr>
            <w:tcW w:w="852" w:type="pct"/>
            <w:vAlign w:val="center"/>
          </w:tcPr>
          <w:p w14:paraId="4BAAC7FA" w14:textId="77777777" w:rsidR="00376054" w:rsidRDefault="00376054" w:rsidP="0067003F">
            <w:pPr>
              <w:pStyle w:val="COMTabletext"/>
              <w:widowControl w:val="0"/>
              <w:jc w:val="center"/>
            </w:pPr>
            <w:r>
              <w:t>LUR: 8.1</w:t>
            </w:r>
            <w:r w:rsidRPr="001B00B3">
              <w:rPr>
                <w:vertAlign w:val="superscript"/>
              </w:rPr>
              <w:t>a</w:t>
            </w:r>
          </w:p>
          <w:p w14:paraId="71C6A121" w14:textId="77777777" w:rsidR="00376054" w:rsidRPr="00A01959" w:rsidRDefault="00376054" w:rsidP="0067003F">
            <w:pPr>
              <w:pStyle w:val="COMTabletext"/>
              <w:widowControl w:val="0"/>
              <w:jc w:val="center"/>
            </w:pPr>
            <w:r>
              <w:t>ATE: 8.2</w:t>
            </w:r>
            <w:r w:rsidRPr="001B00B3">
              <w:rPr>
                <w:vertAlign w:val="superscript"/>
              </w:rPr>
              <w:t>b</w:t>
            </w:r>
          </w:p>
        </w:tc>
        <w:tc>
          <w:tcPr>
            <w:tcW w:w="485" w:type="pct"/>
            <w:vAlign w:val="center"/>
          </w:tcPr>
          <w:p w14:paraId="6C2061A0" w14:textId="77777777" w:rsidR="00376054" w:rsidRDefault="00376054" w:rsidP="0067003F">
            <w:pPr>
              <w:pStyle w:val="COMTabletext"/>
              <w:widowControl w:val="0"/>
              <w:jc w:val="center"/>
            </w:pPr>
            <w:r>
              <w:t>ATE: 6.1</w:t>
            </w:r>
            <w:r w:rsidRPr="001B00B3">
              <w:rPr>
                <w:vertAlign w:val="superscript"/>
              </w:rPr>
              <w:t>c</w:t>
            </w:r>
          </w:p>
        </w:tc>
        <w:tc>
          <w:tcPr>
            <w:tcW w:w="706" w:type="pct"/>
            <w:vAlign w:val="center"/>
          </w:tcPr>
          <w:p w14:paraId="314E3408" w14:textId="77777777" w:rsidR="00376054" w:rsidRPr="00A01959" w:rsidRDefault="00376054" w:rsidP="0067003F">
            <w:pPr>
              <w:pStyle w:val="COMTabletext"/>
              <w:widowControl w:val="0"/>
              <w:jc w:val="center"/>
            </w:pPr>
            <w:r>
              <w:t>ATE: 6.1</w:t>
            </w:r>
            <w:r w:rsidRPr="001B00B3">
              <w:rPr>
                <w:vertAlign w:val="superscript"/>
              </w:rPr>
              <w:t>c</w:t>
            </w:r>
          </w:p>
        </w:tc>
        <w:tc>
          <w:tcPr>
            <w:tcW w:w="915" w:type="pct"/>
            <w:vAlign w:val="center"/>
          </w:tcPr>
          <w:p w14:paraId="202EE8F4" w14:textId="77777777" w:rsidR="00376054" w:rsidRDefault="00376054" w:rsidP="0067003F">
            <w:pPr>
              <w:pStyle w:val="COMTabletext"/>
              <w:widowControl w:val="0"/>
              <w:jc w:val="center"/>
            </w:pPr>
            <w:r>
              <w:t>ATE Q3W: 6.1</w:t>
            </w:r>
            <w:r w:rsidRPr="001B00B3">
              <w:rPr>
                <w:vertAlign w:val="superscript"/>
              </w:rPr>
              <w:t>c</w:t>
            </w:r>
          </w:p>
          <w:p w14:paraId="42ABAE82" w14:textId="77777777" w:rsidR="00376054" w:rsidRDefault="00376054" w:rsidP="0067003F">
            <w:pPr>
              <w:pStyle w:val="COMTabletext"/>
              <w:widowControl w:val="0"/>
              <w:jc w:val="center"/>
            </w:pPr>
            <w:r>
              <w:t>ATE Q4W: 4.575</w:t>
            </w:r>
            <w:r w:rsidRPr="009774C7">
              <w:rPr>
                <w:vertAlign w:val="superscript"/>
              </w:rPr>
              <w:t>d</w:t>
            </w:r>
          </w:p>
          <w:p w14:paraId="4F529136" w14:textId="77777777" w:rsidR="00376054" w:rsidRPr="00A01959" w:rsidRDefault="00376054" w:rsidP="0067003F">
            <w:pPr>
              <w:pStyle w:val="COMTabletext"/>
              <w:widowControl w:val="0"/>
              <w:jc w:val="center"/>
            </w:pPr>
            <w:r>
              <w:t>DUR Q4W: 4.575</w:t>
            </w:r>
            <w:r w:rsidRPr="009774C7">
              <w:rPr>
                <w:vertAlign w:val="superscript"/>
              </w:rPr>
              <w:t>d</w:t>
            </w:r>
          </w:p>
        </w:tc>
      </w:tr>
      <w:tr w:rsidR="00376054" w:rsidRPr="00B9592E" w14:paraId="0B401B50" w14:textId="77777777">
        <w:trPr>
          <w:cantSplit/>
          <w:jc w:val="center"/>
        </w:trPr>
        <w:tc>
          <w:tcPr>
            <w:tcW w:w="785" w:type="pct"/>
            <w:vAlign w:val="center"/>
          </w:tcPr>
          <w:p w14:paraId="778C3541" w14:textId="77777777" w:rsidR="00376054" w:rsidRPr="00F77A81" w:rsidRDefault="00376054" w:rsidP="0067003F">
            <w:pPr>
              <w:pStyle w:val="COMTabletext"/>
              <w:widowControl w:val="0"/>
            </w:pPr>
            <w:r>
              <w:t>Average dose per cycle</w:t>
            </w:r>
          </w:p>
        </w:tc>
        <w:tc>
          <w:tcPr>
            <w:tcW w:w="471" w:type="pct"/>
            <w:vAlign w:val="center"/>
          </w:tcPr>
          <w:p w14:paraId="58E3EB8F" w14:textId="77777777" w:rsidR="00376054" w:rsidRPr="006149D2" w:rsidRDefault="00376054" w:rsidP="0067003F">
            <w:pPr>
              <w:pStyle w:val="COMTabletext"/>
              <w:widowControl w:val="0"/>
              <w:jc w:val="center"/>
            </w:pPr>
            <w:r w:rsidRPr="006149D2">
              <w:t>NR</w:t>
            </w:r>
          </w:p>
        </w:tc>
        <w:tc>
          <w:tcPr>
            <w:tcW w:w="786" w:type="pct"/>
            <w:vAlign w:val="center"/>
          </w:tcPr>
          <w:p w14:paraId="3AD0AAFC" w14:textId="77777777" w:rsidR="00376054" w:rsidRDefault="00376054" w:rsidP="0067003F">
            <w:pPr>
              <w:pStyle w:val="COMTabletext"/>
              <w:widowControl w:val="0"/>
              <w:jc w:val="center"/>
            </w:pPr>
            <w:r>
              <w:t xml:space="preserve">LUR: 6.83 </w:t>
            </w:r>
            <w:proofErr w:type="spellStart"/>
            <w:r>
              <w:t>mg</w:t>
            </w:r>
            <w:r w:rsidRPr="001B00B3">
              <w:rPr>
                <w:vertAlign w:val="superscript"/>
              </w:rPr>
              <w:t>e</w:t>
            </w:r>
            <w:proofErr w:type="spellEnd"/>
          </w:p>
          <w:p w14:paraId="723C5DCF" w14:textId="77777777" w:rsidR="00376054" w:rsidRDefault="00376054" w:rsidP="0067003F">
            <w:pPr>
              <w:pStyle w:val="COMTabletext"/>
              <w:widowControl w:val="0"/>
              <w:jc w:val="center"/>
            </w:pPr>
            <w:r>
              <w:t xml:space="preserve">ATE: 1,200 </w:t>
            </w:r>
            <w:proofErr w:type="spellStart"/>
            <w:r>
              <w:t>mg</w:t>
            </w:r>
            <w:r w:rsidRPr="001B00B3">
              <w:rPr>
                <w:vertAlign w:val="superscript"/>
              </w:rPr>
              <w:t>f</w:t>
            </w:r>
            <w:proofErr w:type="spellEnd"/>
          </w:p>
        </w:tc>
        <w:tc>
          <w:tcPr>
            <w:tcW w:w="852" w:type="pct"/>
            <w:vAlign w:val="center"/>
          </w:tcPr>
          <w:p w14:paraId="10E7CD5B" w14:textId="77777777" w:rsidR="00376054" w:rsidRDefault="00376054" w:rsidP="0067003F">
            <w:pPr>
              <w:pStyle w:val="COMTabletext"/>
              <w:widowControl w:val="0"/>
              <w:jc w:val="center"/>
            </w:pPr>
            <w:r>
              <w:t xml:space="preserve">LUR: 6.83 </w:t>
            </w:r>
            <w:proofErr w:type="spellStart"/>
            <w:r>
              <w:t>mg</w:t>
            </w:r>
            <w:r>
              <w:rPr>
                <w:vertAlign w:val="superscript"/>
              </w:rPr>
              <w:t>e</w:t>
            </w:r>
            <w:proofErr w:type="spellEnd"/>
          </w:p>
          <w:p w14:paraId="27BDD8FA" w14:textId="77777777" w:rsidR="00376054" w:rsidRPr="00B870EC" w:rsidRDefault="00376054" w:rsidP="0067003F">
            <w:pPr>
              <w:pStyle w:val="COMTabletext"/>
              <w:widowControl w:val="0"/>
              <w:jc w:val="center"/>
            </w:pPr>
            <w:r>
              <w:t xml:space="preserve">ATE: 1,200 </w:t>
            </w:r>
            <w:proofErr w:type="spellStart"/>
            <w:r>
              <w:t>mg</w:t>
            </w:r>
            <w:r>
              <w:rPr>
                <w:vertAlign w:val="superscript"/>
              </w:rPr>
              <w:t>f</w:t>
            </w:r>
            <w:proofErr w:type="spellEnd"/>
          </w:p>
        </w:tc>
        <w:tc>
          <w:tcPr>
            <w:tcW w:w="485" w:type="pct"/>
            <w:vAlign w:val="center"/>
          </w:tcPr>
          <w:p w14:paraId="3939BC26" w14:textId="77777777" w:rsidR="00376054" w:rsidRDefault="00376054" w:rsidP="0067003F">
            <w:pPr>
              <w:pStyle w:val="COMTabletext"/>
              <w:widowControl w:val="0"/>
              <w:jc w:val="center"/>
            </w:pPr>
            <w:r>
              <w:t>NR</w:t>
            </w:r>
          </w:p>
        </w:tc>
        <w:tc>
          <w:tcPr>
            <w:tcW w:w="706" w:type="pct"/>
            <w:vAlign w:val="center"/>
          </w:tcPr>
          <w:p w14:paraId="76F3C2A9" w14:textId="77777777" w:rsidR="00376054" w:rsidRPr="00A01959" w:rsidRDefault="00376054" w:rsidP="0067003F">
            <w:pPr>
              <w:pStyle w:val="COMTabletext"/>
              <w:widowControl w:val="0"/>
              <w:jc w:val="center"/>
            </w:pPr>
            <w:r>
              <w:t xml:space="preserve">ATE: 1,200 </w:t>
            </w:r>
            <w:proofErr w:type="spellStart"/>
            <w:r>
              <w:t>mg</w:t>
            </w:r>
            <w:r>
              <w:rPr>
                <w:vertAlign w:val="superscript"/>
              </w:rPr>
              <w:t>f</w:t>
            </w:r>
            <w:proofErr w:type="spellEnd"/>
          </w:p>
        </w:tc>
        <w:tc>
          <w:tcPr>
            <w:tcW w:w="915" w:type="pct"/>
            <w:vAlign w:val="center"/>
          </w:tcPr>
          <w:p w14:paraId="007FCAD4" w14:textId="77777777" w:rsidR="00376054" w:rsidRDefault="00376054" w:rsidP="0067003F">
            <w:pPr>
              <w:pStyle w:val="COMTabletext"/>
              <w:widowControl w:val="0"/>
              <w:jc w:val="center"/>
            </w:pPr>
            <w:r>
              <w:t xml:space="preserve">ATE Q3W: </w:t>
            </w:r>
          </w:p>
          <w:p w14:paraId="4194DD30" w14:textId="77777777" w:rsidR="00376054" w:rsidRPr="007A0890" w:rsidRDefault="00376054" w:rsidP="0067003F">
            <w:pPr>
              <w:pStyle w:val="COMTabletext"/>
              <w:widowControl w:val="0"/>
              <w:jc w:val="center"/>
              <w:rPr>
                <w:vertAlign w:val="superscript"/>
              </w:rPr>
            </w:pPr>
            <w:r>
              <w:t xml:space="preserve">1,200–1,875 </w:t>
            </w:r>
            <w:proofErr w:type="spellStart"/>
            <w:r>
              <w:t>mg</w:t>
            </w:r>
            <w:r w:rsidRPr="001E6088">
              <w:rPr>
                <w:vertAlign w:val="superscript"/>
              </w:rPr>
              <w:t>g</w:t>
            </w:r>
            <w:proofErr w:type="spellEnd"/>
          </w:p>
          <w:p w14:paraId="06F660CB" w14:textId="77777777" w:rsidR="00376054" w:rsidRDefault="00376054" w:rsidP="0067003F">
            <w:pPr>
              <w:pStyle w:val="COMTabletext"/>
              <w:widowControl w:val="0"/>
              <w:jc w:val="center"/>
            </w:pPr>
            <w:r>
              <w:t xml:space="preserve">ATE Q4W: </w:t>
            </w:r>
          </w:p>
          <w:p w14:paraId="34EC0F55" w14:textId="77777777" w:rsidR="00376054" w:rsidRPr="007A0890" w:rsidRDefault="00376054" w:rsidP="0067003F">
            <w:pPr>
              <w:pStyle w:val="COMTabletext"/>
              <w:widowControl w:val="0"/>
              <w:jc w:val="center"/>
              <w:rPr>
                <w:vertAlign w:val="superscript"/>
              </w:rPr>
            </w:pPr>
            <w:r>
              <w:t xml:space="preserve">1,680 </w:t>
            </w:r>
            <w:proofErr w:type="spellStart"/>
            <w:r>
              <w:t>mg</w:t>
            </w:r>
            <w:r w:rsidRPr="001E6088">
              <w:rPr>
                <w:vertAlign w:val="superscript"/>
              </w:rPr>
              <w:t>g</w:t>
            </w:r>
            <w:proofErr w:type="spellEnd"/>
          </w:p>
          <w:p w14:paraId="5F150392" w14:textId="77777777" w:rsidR="00376054" w:rsidRDefault="00376054" w:rsidP="0067003F">
            <w:pPr>
              <w:pStyle w:val="COMTabletext"/>
              <w:widowControl w:val="0"/>
              <w:jc w:val="center"/>
            </w:pPr>
            <w:r>
              <w:t xml:space="preserve">DUR Q4W: </w:t>
            </w:r>
          </w:p>
          <w:p w14:paraId="4436F41F" w14:textId="77777777" w:rsidR="00376054" w:rsidRPr="008764F4" w:rsidRDefault="00376054" w:rsidP="0067003F">
            <w:pPr>
              <w:pStyle w:val="COMTabletext"/>
              <w:widowControl w:val="0"/>
              <w:jc w:val="center"/>
            </w:pPr>
            <w:r>
              <w:t xml:space="preserve">1,500 </w:t>
            </w:r>
            <w:proofErr w:type="spellStart"/>
            <w:r>
              <w:t>mg</w:t>
            </w:r>
            <w:r w:rsidRPr="001E6088">
              <w:rPr>
                <w:vertAlign w:val="superscript"/>
              </w:rPr>
              <w:t>g</w:t>
            </w:r>
            <w:proofErr w:type="spellEnd"/>
            <w:r>
              <w:t xml:space="preserve"> </w:t>
            </w:r>
          </w:p>
        </w:tc>
      </w:tr>
      <w:tr w:rsidR="00376054" w:rsidRPr="00B9592E" w14:paraId="4C110CDD" w14:textId="77777777">
        <w:trPr>
          <w:cantSplit/>
          <w:jc w:val="center"/>
        </w:trPr>
        <w:tc>
          <w:tcPr>
            <w:tcW w:w="785" w:type="pct"/>
            <w:vAlign w:val="center"/>
          </w:tcPr>
          <w:p w14:paraId="35647B91" w14:textId="77777777" w:rsidR="00376054" w:rsidRDefault="00376054" w:rsidP="0067003F">
            <w:pPr>
              <w:pStyle w:val="COMTabletext"/>
              <w:widowControl w:val="0"/>
            </w:pPr>
            <w:r>
              <w:t>Cost per dose</w:t>
            </w:r>
          </w:p>
        </w:tc>
        <w:tc>
          <w:tcPr>
            <w:tcW w:w="471" w:type="pct"/>
            <w:vAlign w:val="center"/>
          </w:tcPr>
          <w:p w14:paraId="6AE549A8" w14:textId="77777777" w:rsidR="00376054" w:rsidRPr="006149D2" w:rsidRDefault="00376054" w:rsidP="0067003F">
            <w:pPr>
              <w:pStyle w:val="COMTabletext"/>
              <w:widowControl w:val="0"/>
              <w:jc w:val="center"/>
            </w:pPr>
            <w:r>
              <w:t>-</w:t>
            </w:r>
          </w:p>
        </w:tc>
        <w:tc>
          <w:tcPr>
            <w:tcW w:w="786" w:type="pct"/>
            <w:vAlign w:val="center"/>
          </w:tcPr>
          <w:p w14:paraId="7947A604" w14:textId="37D81B77" w:rsidR="00376054" w:rsidRDefault="00376054" w:rsidP="0067003F">
            <w:pPr>
              <w:pStyle w:val="COMTabletext"/>
              <w:widowControl w:val="0"/>
              <w:jc w:val="center"/>
            </w:pPr>
            <w:r>
              <w:t>LUR: $</w:t>
            </w:r>
            <w:r w:rsidR="00C8249A" w:rsidRPr="00C8249A">
              <w:rPr>
                <w:highlight w:val="black"/>
              </w:rPr>
              <w:t>&amp;&amp;&amp;&amp;</w:t>
            </w:r>
            <w:r w:rsidR="00F3717F">
              <w:t xml:space="preserve"> </w:t>
            </w:r>
            <w:r w:rsidRPr="001E6088">
              <w:rPr>
                <w:vertAlign w:val="superscript"/>
              </w:rPr>
              <w:t>h</w:t>
            </w:r>
          </w:p>
          <w:p w14:paraId="4CB8EE8C" w14:textId="77777777" w:rsidR="00376054" w:rsidRDefault="00376054" w:rsidP="0067003F">
            <w:pPr>
              <w:pStyle w:val="COMTabletext"/>
              <w:widowControl w:val="0"/>
              <w:jc w:val="center"/>
            </w:pPr>
            <w:r>
              <w:t>ATE: $1,814.05</w:t>
            </w:r>
            <w:r>
              <w:rPr>
                <w:vertAlign w:val="superscript"/>
              </w:rPr>
              <w:t>i</w:t>
            </w:r>
          </w:p>
        </w:tc>
        <w:tc>
          <w:tcPr>
            <w:tcW w:w="852" w:type="pct"/>
            <w:vAlign w:val="center"/>
          </w:tcPr>
          <w:p w14:paraId="6DA45DE1" w14:textId="71FDFCCC" w:rsidR="00376054" w:rsidRDefault="00376054" w:rsidP="0067003F">
            <w:pPr>
              <w:pStyle w:val="COMTabletext"/>
              <w:widowControl w:val="0"/>
              <w:jc w:val="center"/>
            </w:pPr>
            <w:r>
              <w:t>LUR: $</w:t>
            </w:r>
            <w:r w:rsidR="00C8249A" w:rsidRPr="00C8249A">
              <w:rPr>
                <w:highlight w:val="black"/>
              </w:rPr>
              <w:t>&amp;&amp;&amp;&amp;</w:t>
            </w:r>
            <w:r w:rsidR="00F3717F">
              <w:t xml:space="preserve"> </w:t>
            </w:r>
            <w:r w:rsidRPr="001E6088">
              <w:rPr>
                <w:vertAlign w:val="superscript"/>
              </w:rPr>
              <w:t>j</w:t>
            </w:r>
          </w:p>
          <w:p w14:paraId="55B26597" w14:textId="77777777" w:rsidR="00376054" w:rsidRDefault="00376054" w:rsidP="0067003F">
            <w:pPr>
              <w:pStyle w:val="COMTabletext"/>
              <w:widowControl w:val="0"/>
              <w:jc w:val="center"/>
            </w:pPr>
            <w:r>
              <w:t>ATE:</w:t>
            </w:r>
          </w:p>
          <w:p w14:paraId="37F03E94" w14:textId="77777777" w:rsidR="00376054" w:rsidRDefault="00376054" w:rsidP="0067003F">
            <w:pPr>
              <w:pStyle w:val="COMTabletext"/>
              <w:widowControl w:val="0"/>
              <w:jc w:val="center"/>
            </w:pPr>
            <w:r>
              <w:t>Public: $1,778.07</w:t>
            </w:r>
            <w:r w:rsidRPr="001E6088">
              <w:rPr>
                <w:vertAlign w:val="superscript"/>
              </w:rPr>
              <w:t>k</w:t>
            </w:r>
          </w:p>
          <w:p w14:paraId="169D7CC0" w14:textId="77777777" w:rsidR="00376054" w:rsidRDefault="00376054" w:rsidP="0067003F">
            <w:pPr>
              <w:pStyle w:val="COMTabletext"/>
              <w:widowControl w:val="0"/>
              <w:jc w:val="center"/>
            </w:pPr>
            <w:r>
              <w:t>Private: $1,918.20</w:t>
            </w:r>
            <w:r w:rsidRPr="001E6088">
              <w:rPr>
                <w:vertAlign w:val="superscript"/>
              </w:rPr>
              <w:t>k</w:t>
            </w:r>
          </w:p>
        </w:tc>
        <w:tc>
          <w:tcPr>
            <w:tcW w:w="485" w:type="pct"/>
            <w:vAlign w:val="center"/>
          </w:tcPr>
          <w:p w14:paraId="32C78214" w14:textId="77777777" w:rsidR="00376054" w:rsidRDefault="00376054" w:rsidP="0067003F">
            <w:pPr>
              <w:pStyle w:val="COMTabletext"/>
              <w:widowControl w:val="0"/>
              <w:jc w:val="center"/>
            </w:pPr>
            <w:r>
              <w:t>-</w:t>
            </w:r>
          </w:p>
        </w:tc>
        <w:tc>
          <w:tcPr>
            <w:tcW w:w="706" w:type="pct"/>
            <w:vAlign w:val="center"/>
          </w:tcPr>
          <w:p w14:paraId="2AD6192D" w14:textId="77777777" w:rsidR="00376054" w:rsidRDefault="00376054" w:rsidP="0067003F">
            <w:pPr>
              <w:pStyle w:val="COMTabletext"/>
              <w:widowControl w:val="0"/>
              <w:jc w:val="center"/>
            </w:pPr>
            <w:r>
              <w:t>ATE: $1,814.05</w:t>
            </w:r>
            <w:r>
              <w:rPr>
                <w:vertAlign w:val="superscript"/>
              </w:rPr>
              <w:t>h</w:t>
            </w:r>
          </w:p>
        </w:tc>
        <w:tc>
          <w:tcPr>
            <w:tcW w:w="915" w:type="pct"/>
            <w:vAlign w:val="center"/>
          </w:tcPr>
          <w:p w14:paraId="72909A01" w14:textId="77777777" w:rsidR="00376054" w:rsidRDefault="00376054" w:rsidP="0067003F">
            <w:pPr>
              <w:pStyle w:val="COMTabletext"/>
              <w:widowControl w:val="0"/>
              <w:jc w:val="center"/>
            </w:pPr>
            <w:r>
              <w:t>ATE Q3W</w:t>
            </w:r>
            <w:r w:rsidRPr="001E6088">
              <w:rPr>
                <w:vertAlign w:val="superscript"/>
              </w:rPr>
              <w:t>k</w:t>
            </w:r>
            <w:r>
              <w:t>:</w:t>
            </w:r>
          </w:p>
          <w:p w14:paraId="3070FD38" w14:textId="77777777" w:rsidR="00376054" w:rsidRDefault="00376054" w:rsidP="0067003F">
            <w:pPr>
              <w:pStyle w:val="COMTabletext"/>
              <w:widowControl w:val="0"/>
              <w:jc w:val="center"/>
            </w:pPr>
            <w:r>
              <w:t>Public: $1,778.07</w:t>
            </w:r>
          </w:p>
          <w:p w14:paraId="79AF13B3" w14:textId="77777777" w:rsidR="00376054" w:rsidRDefault="00376054" w:rsidP="0067003F">
            <w:pPr>
              <w:pStyle w:val="COMTabletext"/>
              <w:widowControl w:val="0"/>
              <w:jc w:val="center"/>
            </w:pPr>
            <w:r>
              <w:t>Private: $1,918.20</w:t>
            </w:r>
          </w:p>
          <w:p w14:paraId="4C93A95F" w14:textId="77777777" w:rsidR="00376054" w:rsidRDefault="00376054" w:rsidP="0067003F">
            <w:pPr>
              <w:pStyle w:val="COMTabletext"/>
              <w:widowControl w:val="0"/>
              <w:jc w:val="center"/>
            </w:pPr>
            <w:r>
              <w:t>General: $1,849.77</w:t>
            </w:r>
          </w:p>
          <w:p w14:paraId="57D5785A" w14:textId="77777777" w:rsidR="00376054" w:rsidRDefault="00376054" w:rsidP="0067003F">
            <w:pPr>
              <w:pStyle w:val="COMTabletext"/>
              <w:widowControl w:val="0"/>
              <w:jc w:val="center"/>
            </w:pPr>
            <w:r>
              <w:t>S100 CT: $1,686.84</w:t>
            </w:r>
          </w:p>
          <w:p w14:paraId="3377028B" w14:textId="77777777" w:rsidR="00376054" w:rsidRDefault="00376054" w:rsidP="0067003F">
            <w:pPr>
              <w:pStyle w:val="COMTabletext"/>
              <w:widowControl w:val="0"/>
              <w:jc w:val="center"/>
            </w:pPr>
            <w:r>
              <w:t>ATE Q4W</w:t>
            </w:r>
            <w:r w:rsidRPr="001E6088">
              <w:rPr>
                <w:vertAlign w:val="superscript"/>
              </w:rPr>
              <w:t>k</w:t>
            </w:r>
            <w:r>
              <w:t>:</w:t>
            </w:r>
          </w:p>
          <w:p w14:paraId="77A94CE9" w14:textId="77777777" w:rsidR="00376054" w:rsidRDefault="00376054" w:rsidP="0067003F">
            <w:pPr>
              <w:pStyle w:val="COMTabletext"/>
              <w:widowControl w:val="0"/>
              <w:jc w:val="center"/>
            </w:pPr>
            <w:r>
              <w:t>Public: $2,452.81</w:t>
            </w:r>
          </w:p>
          <w:p w14:paraId="34F86C40" w14:textId="77777777" w:rsidR="00376054" w:rsidRDefault="00376054" w:rsidP="0067003F">
            <w:pPr>
              <w:pStyle w:val="COMTabletext"/>
              <w:widowControl w:val="0"/>
              <w:jc w:val="center"/>
            </w:pPr>
            <w:r>
              <w:t>Private: $2,630.72</w:t>
            </w:r>
          </w:p>
          <w:p w14:paraId="395D926A" w14:textId="77777777" w:rsidR="00376054" w:rsidRDefault="00376054" w:rsidP="0067003F">
            <w:pPr>
              <w:pStyle w:val="COMTabletext"/>
              <w:widowControl w:val="0"/>
              <w:jc w:val="center"/>
            </w:pPr>
            <w:r>
              <w:t>DUR Q4W</w:t>
            </w:r>
            <w:r w:rsidRPr="001E6088">
              <w:rPr>
                <w:vertAlign w:val="superscript"/>
              </w:rPr>
              <w:t>k</w:t>
            </w:r>
            <w:r>
              <w:t>:</w:t>
            </w:r>
          </w:p>
          <w:p w14:paraId="55C6CB11" w14:textId="77777777" w:rsidR="00376054" w:rsidRDefault="00376054" w:rsidP="0067003F">
            <w:pPr>
              <w:pStyle w:val="COMTabletext"/>
              <w:widowControl w:val="0"/>
              <w:jc w:val="center"/>
            </w:pPr>
            <w:r>
              <w:t>Public: $2,781.81</w:t>
            </w:r>
          </w:p>
          <w:p w14:paraId="46692DDB" w14:textId="77777777" w:rsidR="00376054" w:rsidRPr="0085601A" w:rsidRDefault="00376054" w:rsidP="0067003F">
            <w:pPr>
              <w:pStyle w:val="COMTabletext"/>
              <w:widowControl w:val="0"/>
              <w:jc w:val="center"/>
            </w:pPr>
            <w:r>
              <w:t>Private: $2,978.14</w:t>
            </w:r>
          </w:p>
        </w:tc>
      </w:tr>
      <w:tr w:rsidR="00376054" w:rsidRPr="00B9592E" w14:paraId="16390A15" w14:textId="77777777">
        <w:trPr>
          <w:cantSplit/>
          <w:jc w:val="center"/>
        </w:trPr>
        <w:tc>
          <w:tcPr>
            <w:tcW w:w="785" w:type="pct"/>
            <w:vAlign w:val="center"/>
          </w:tcPr>
          <w:p w14:paraId="4527601D" w14:textId="77777777" w:rsidR="00376054" w:rsidRPr="00FB7429" w:rsidRDefault="00376054" w:rsidP="0067003F">
            <w:pPr>
              <w:pStyle w:val="COMTabletext"/>
              <w:widowControl w:val="0"/>
              <w:rPr>
                <w:vertAlign w:val="superscript"/>
              </w:rPr>
            </w:pPr>
            <w:r w:rsidRPr="00F77A81">
              <w:t>Cost/patient/</w:t>
            </w:r>
            <w:r>
              <w:t xml:space="preserve"> </w:t>
            </w:r>
            <w:proofErr w:type="spellStart"/>
            <w:r>
              <w:t>course</w:t>
            </w:r>
            <w:r w:rsidRPr="001E6088">
              <w:rPr>
                <w:vertAlign w:val="superscript"/>
              </w:rPr>
              <w:t>l</w:t>
            </w:r>
            <w:proofErr w:type="spellEnd"/>
          </w:p>
        </w:tc>
        <w:tc>
          <w:tcPr>
            <w:tcW w:w="471" w:type="pct"/>
            <w:vAlign w:val="center"/>
          </w:tcPr>
          <w:p w14:paraId="129F0C9C" w14:textId="77777777" w:rsidR="00376054" w:rsidRPr="00A01959" w:rsidRDefault="00376054" w:rsidP="0067003F">
            <w:pPr>
              <w:pStyle w:val="COMTabletext"/>
              <w:widowControl w:val="0"/>
              <w:jc w:val="center"/>
            </w:pPr>
            <w:r>
              <w:t>-</w:t>
            </w:r>
          </w:p>
        </w:tc>
        <w:tc>
          <w:tcPr>
            <w:tcW w:w="786" w:type="pct"/>
            <w:vAlign w:val="center"/>
          </w:tcPr>
          <w:p w14:paraId="7AB36880" w14:textId="686941E3" w:rsidR="00376054" w:rsidRDefault="00376054" w:rsidP="0067003F">
            <w:pPr>
              <w:pStyle w:val="COMTabletext"/>
              <w:widowControl w:val="0"/>
              <w:jc w:val="center"/>
            </w:pPr>
            <w:r>
              <w:t>LUR: $</w:t>
            </w:r>
            <w:r w:rsidR="00C8249A" w:rsidRPr="00C8249A">
              <w:rPr>
                <w:highlight w:val="black"/>
              </w:rPr>
              <w:t>&amp;&amp;&amp;&amp;</w:t>
            </w:r>
          </w:p>
          <w:p w14:paraId="4FBD00AB" w14:textId="1E272653" w:rsidR="00376054" w:rsidRPr="00A22273" w:rsidRDefault="00376054" w:rsidP="0067003F">
            <w:pPr>
              <w:pStyle w:val="COMTabletext"/>
              <w:widowControl w:val="0"/>
              <w:jc w:val="center"/>
            </w:pPr>
            <w:r>
              <w:t>ATE: $14,875</w:t>
            </w:r>
          </w:p>
        </w:tc>
        <w:tc>
          <w:tcPr>
            <w:tcW w:w="852" w:type="pct"/>
            <w:vAlign w:val="center"/>
          </w:tcPr>
          <w:p w14:paraId="20CF77DD" w14:textId="29119994" w:rsidR="00376054" w:rsidRDefault="00376054" w:rsidP="0067003F">
            <w:pPr>
              <w:pStyle w:val="COMTabletext"/>
              <w:widowControl w:val="0"/>
              <w:jc w:val="center"/>
            </w:pPr>
            <w:r>
              <w:t>LUR: $</w:t>
            </w:r>
            <w:r w:rsidR="00C8249A" w:rsidRPr="00C8249A">
              <w:rPr>
                <w:highlight w:val="black"/>
              </w:rPr>
              <w:t>&amp;&amp;&amp;&amp;</w:t>
            </w:r>
          </w:p>
          <w:p w14:paraId="523627A9" w14:textId="77777777" w:rsidR="00376054" w:rsidRDefault="00376054" w:rsidP="0067003F">
            <w:pPr>
              <w:pStyle w:val="COMTabletext"/>
              <w:widowControl w:val="0"/>
              <w:jc w:val="center"/>
            </w:pPr>
            <w:r w:rsidRPr="00CF1111">
              <w:t>ATE:</w:t>
            </w:r>
          </w:p>
          <w:p w14:paraId="029C5816" w14:textId="1C5A7E21" w:rsidR="00376054" w:rsidRDefault="00376054" w:rsidP="0067003F">
            <w:pPr>
              <w:pStyle w:val="COMTabletext"/>
              <w:widowControl w:val="0"/>
              <w:jc w:val="center"/>
            </w:pPr>
            <w:r>
              <w:t>Public: $14,580</w:t>
            </w:r>
          </w:p>
          <w:p w14:paraId="42EC07BA" w14:textId="56A57069" w:rsidR="00376054" w:rsidRPr="00CF1111" w:rsidRDefault="00376054" w:rsidP="0067003F">
            <w:pPr>
              <w:pStyle w:val="COMTabletext"/>
              <w:widowControl w:val="0"/>
              <w:jc w:val="center"/>
            </w:pPr>
            <w:r>
              <w:t>Private: $15,729</w:t>
            </w:r>
          </w:p>
        </w:tc>
        <w:tc>
          <w:tcPr>
            <w:tcW w:w="485" w:type="pct"/>
            <w:vAlign w:val="center"/>
          </w:tcPr>
          <w:p w14:paraId="73F14C34" w14:textId="77777777" w:rsidR="00376054" w:rsidRPr="0069375C" w:rsidRDefault="00376054" w:rsidP="0067003F">
            <w:pPr>
              <w:pStyle w:val="COMTabletext"/>
              <w:widowControl w:val="0"/>
              <w:jc w:val="center"/>
            </w:pPr>
            <w:r>
              <w:t>-</w:t>
            </w:r>
          </w:p>
        </w:tc>
        <w:tc>
          <w:tcPr>
            <w:tcW w:w="706" w:type="pct"/>
            <w:vAlign w:val="center"/>
          </w:tcPr>
          <w:p w14:paraId="0B054B5F" w14:textId="23D63D5E" w:rsidR="00376054" w:rsidRPr="00F713CD" w:rsidRDefault="00376054" w:rsidP="0067003F">
            <w:pPr>
              <w:pStyle w:val="COMTabletext"/>
              <w:widowControl w:val="0"/>
              <w:jc w:val="center"/>
            </w:pPr>
            <w:r w:rsidRPr="00F713CD">
              <w:t>ATE: $11,06</w:t>
            </w:r>
            <w:r w:rsidR="002C3F05">
              <w:t>6</w:t>
            </w:r>
          </w:p>
        </w:tc>
        <w:tc>
          <w:tcPr>
            <w:tcW w:w="915" w:type="pct"/>
            <w:vAlign w:val="center"/>
          </w:tcPr>
          <w:p w14:paraId="65294550" w14:textId="77777777" w:rsidR="00376054" w:rsidRPr="00D16702" w:rsidRDefault="00376054" w:rsidP="0067003F">
            <w:pPr>
              <w:pStyle w:val="COMTabletext"/>
              <w:widowControl w:val="0"/>
              <w:jc w:val="center"/>
              <w:rPr>
                <w:vertAlign w:val="superscript"/>
              </w:rPr>
            </w:pPr>
            <w:r w:rsidRPr="00D16702">
              <w:t>ATE:</w:t>
            </w:r>
            <w:r>
              <w:t xml:space="preserve"> </w:t>
            </w:r>
          </w:p>
          <w:p w14:paraId="7B550B0A" w14:textId="6D1AC55F" w:rsidR="00376054" w:rsidRPr="00D16702" w:rsidRDefault="00376054" w:rsidP="0067003F">
            <w:pPr>
              <w:pStyle w:val="COMTabletext"/>
              <w:widowControl w:val="0"/>
              <w:jc w:val="center"/>
            </w:pPr>
            <w:r w:rsidRPr="00D16702">
              <w:t>$10,2</w:t>
            </w:r>
            <w:r w:rsidR="002C3F05">
              <w:t>90</w:t>
            </w:r>
            <w:r>
              <w:t>–</w:t>
            </w:r>
            <w:r w:rsidRPr="00D16702">
              <w:t xml:space="preserve"> </w:t>
            </w:r>
            <w:bookmarkStart w:id="51" w:name="_Hlk208224993"/>
            <w:r w:rsidRPr="00D16702">
              <w:t>$12,03</w:t>
            </w:r>
            <w:r w:rsidR="002C3F05">
              <w:t>6</w:t>
            </w:r>
            <w:bookmarkEnd w:id="51"/>
          </w:p>
          <w:p w14:paraId="08957DF1" w14:textId="77777777" w:rsidR="00376054" w:rsidRPr="00D16702" w:rsidRDefault="00376054" w:rsidP="0067003F">
            <w:pPr>
              <w:pStyle w:val="COMTabletext"/>
              <w:widowControl w:val="0"/>
              <w:jc w:val="center"/>
              <w:rPr>
                <w:vertAlign w:val="superscript"/>
              </w:rPr>
            </w:pPr>
            <w:r w:rsidRPr="00D16702">
              <w:t>DUR:</w:t>
            </w:r>
            <w:r>
              <w:t xml:space="preserve"> </w:t>
            </w:r>
          </w:p>
          <w:p w14:paraId="6A0D2B0A" w14:textId="647AE592" w:rsidR="00376054" w:rsidRPr="00F713CD" w:rsidRDefault="00376054" w:rsidP="0067003F">
            <w:pPr>
              <w:pStyle w:val="COMTabletext"/>
              <w:widowControl w:val="0"/>
              <w:jc w:val="center"/>
              <w:rPr>
                <w:highlight w:val="yellow"/>
              </w:rPr>
            </w:pPr>
            <w:r w:rsidRPr="00D16702">
              <w:t>$12,72</w:t>
            </w:r>
            <w:r w:rsidR="002C3F05">
              <w:t>7</w:t>
            </w:r>
            <w:r>
              <w:t>–</w:t>
            </w:r>
            <w:r w:rsidRPr="00D16702">
              <w:t xml:space="preserve"> $13,62</w:t>
            </w:r>
            <w:r w:rsidR="002C3F05">
              <w:t>5</w:t>
            </w:r>
          </w:p>
        </w:tc>
      </w:tr>
    </w:tbl>
    <w:p w14:paraId="25448D3D" w14:textId="77777777" w:rsidR="00376054" w:rsidRPr="007D6419" w:rsidRDefault="00376054" w:rsidP="0067003F">
      <w:pPr>
        <w:pStyle w:val="COMTablefooter"/>
        <w:keepNext/>
        <w:keepLines/>
        <w:widowControl w:val="0"/>
      </w:pPr>
      <w:r w:rsidRPr="007D6419">
        <w:t xml:space="preserve">Source: </w:t>
      </w:r>
      <w:r>
        <w:t>C</w:t>
      </w:r>
      <w:r w:rsidRPr="007D6419">
        <w:t>onstructed during the evaluation using the economic model and financial estimates in the submission</w:t>
      </w:r>
    </w:p>
    <w:p w14:paraId="51EB2D2F" w14:textId="77777777" w:rsidR="00376054" w:rsidRDefault="00376054" w:rsidP="0067003F">
      <w:pPr>
        <w:pStyle w:val="COMTablefooter"/>
        <w:keepNext/>
        <w:keepLines/>
        <w:widowControl w:val="0"/>
      </w:pPr>
      <w:r w:rsidRPr="007D6419">
        <w:t xml:space="preserve">Abbreviations: </w:t>
      </w:r>
      <w:r>
        <w:t xml:space="preserve">AEMP, approved ex-manufacturer price; </w:t>
      </w:r>
      <w:r w:rsidRPr="007D6419">
        <w:t>A</w:t>
      </w:r>
      <w:r>
        <w:t>TE, atezolizumab; BSA, body surface area; CT, chemotherapy; DPMA, dispensed price for maximum amount; DUR, durvalumab; LUR, lurbinectedin; NR, not reported; PI, Product Information; Q3W, every 3 weeks; Q4W, every 4 weeks; S100, Section 100.</w:t>
      </w:r>
    </w:p>
    <w:p w14:paraId="46313D9D" w14:textId="77777777" w:rsidR="00376054" w:rsidRDefault="00376054" w:rsidP="0067003F">
      <w:pPr>
        <w:pStyle w:val="COMTablefooter"/>
        <w:keepNext/>
        <w:keepLines/>
        <w:widowControl w:val="0"/>
      </w:pPr>
      <w:r w:rsidRPr="001E6088">
        <w:rPr>
          <w:vertAlign w:val="superscript"/>
        </w:rPr>
        <w:t xml:space="preserve">a </w:t>
      </w:r>
      <w:r>
        <w:t>Based on the mean number of lurbinectedin doses from the IMforte trial at the July 2024 data cut.</w:t>
      </w:r>
    </w:p>
    <w:p w14:paraId="6A158C32" w14:textId="77777777" w:rsidR="00376054" w:rsidRDefault="00376054" w:rsidP="0067003F">
      <w:pPr>
        <w:pStyle w:val="COMTablefooter"/>
        <w:keepNext/>
        <w:keepLines/>
        <w:widowControl w:val="0"/>
      </w:pPr>
      <w:r w:rsidRPr="001E6088">
        <w:rPr>
          <w:vertAlign w:val="superscript"/>
        </w:rPr>
        <w:t xml:space="preserve">b </w:t>
      </w:r>
      <w:r>
        <w:t>B</w:t>
      </w:r>
      <w:r w:rsidRPr="001B00B3">
        <w:t>ased on the mean number of atezolizumab doses from the lurbinectedin + atezolizumab arm of the IMforte trial at the July 2024 data cut</w:t>
      </w:r>
      <w:r>
        <w:t>.</w:t>
      </w:r>
    </w:p>
    <w:p w14:paraId="57B04409" w14:textId="77777777" w:rsidR="00376054" w:rsidRDefault="00376054" w:rsidP="0067003F">
      <w:pPr>
        <w:pStyle w:val="COMTablefooter"/>
        <w:keepNext/>
        <w:keepLines/>
        <w:widowControl w:val="0"/>
      </w:pPr>
      <w:r w:rsidRPr="001E6088">
        <w:rPr>
          <w:vertAlign w:val="superscript"/>
        </w:rPr>
        <w:t xml:space="preserve">c </w:t>
      </w:r>
      <w:r>
        <w:t>B</w:t>
      </w:r>
      <w:r w:rsidRPr="001B00B3">
        <w:t>ased on the mean number of atezolizumab doses from the atezolizumab arm of the IMforte trial at the July 2024 data cut</w:t>
      </w:r>
      <w:r>
        <w:t>.</w:t>
      </w:r>
    </w:p>
    <w:p w14:paraId="202F005D" w14:textId="77777777" w:rsidR="00376054" w:rsidRDefault="00376054" w:rsidP="0067003F">
      <w:pPr>
        <w:pStyle w:val="COMTablefooter"/>
        <w:keepNext/>
        <w:keepLines/>
        <w:widowControl w:val="0"/>
      </w:pPr>
      <w:r w:rsidRPr="001E6088">
        <w:rPr>
          <w:vertAlign w:val="superscript"/>
        </w:rPr>
        <w:t xml:space="preserve">d </w:t>
      </w:r>
      <w:r>
        <w:t>Mean cycles of treatment for 4-weekly a</w:t>
      </w:r>
      <w:r w:rsidRPr="001B00B3">
        <w:t>tezolizumab and durvalumab regimen</w:t>
      </w:r>
      <w:r>
        <w:t>s</w:t>
      </w:r>
      <w:r w:rsidRPr="001B00B3">
        <w:t xml:space="preserve"> were assumed to 3/4 of </w:t>
      </w:r>
      <w:r>
        <w:t>the mean cycles of treatment of the 3-weekly atezolizumab monotherapy regimen</w:t>
      </w:r>
      <w:r w:rsidRPr="001B00B3">
        <w:t xml:space="preserve"> </w:t>
      </w:r>
      <w:r>
        <w:t xml:space="preserve">from the IMforte trial </w:t>
      </w:r>
      <w:r w:rsidRPr="001B00B3">
        <w:t>(=</w:t>
      </w:r>
      <w:r>
        <w:t>6.1 cycles×</w:t>
      </w:r>
      <w:r w:rsidRPr="001B00B3">
        <w:t>21 days/28 days)</w:t>
      </w:r>
      <w:r>
        <w:t>.</w:t>
      </w:r>
    </w:p>
    <w:p w14:paraId="462DA343" w14:textId="77777777" w:rsidR="00376054" w:rsidRDefault="00376054" w:rsidP="0067003F">
      <w:pPr>
        <w:pStyle w:val="COMTablefooter"/>
        <w:keepNext/>
        <w:keepLines/>
        <w:widowControl w:val="0"/>
      </w:pPr>
      <w:r w:rsidRPr="001E6088">
        <w:rPr>
          <w:vertAlign w:val="superscript"/>
        </w:rPr>
        <w:t xml:space="preserve">e </w:t>
      </w:r>
      <w:r>
        <w:t>Based on the recommended dosing regimen of 3.2 mg/m</w:t>
      </w:r>
      <w:r w:rsidRPr="00983A51">
        <w:rPr>
          <w:vertAlign w:val="superscript"/>
        </w:rPr>
        <w:t>2</w:t>
      </w:r>
      <w:r>
        <w:t xml:space="preserve"> once every 21 days in the draft lurbinectedin PI. An average dose of 6.83 mg was derived (3.42×2 mg vials)</w:t>
      </w:r>
      <w:r w:rsidRPr="00983A51">
        <w:t xml:space="preserve">, based on </w:t>
      </w:r>
      <w:r>
        <w:t>BSA</w:t>
      </w:r>
      <w:r w:rsidRPr="00983A51">
        <w:t xml:space="preserve"> data from the IMforte trial (mean 1.83 (SD 0.21), range 1.35-2.63 m</w:t>
      </w:r>
      <w:r w:rsidRPr="00983A51">
        <w:rPr>
          <w:vertAlign w:val="superscript"/>
        </w:rPr>
        <w:t>2</w:t>
      </w:r>
      <w:r w:rsidRPr="00983A51">
        <w:t>), and assuming a normal distribution (= 58.5%×3 + 41.4%×4 + 0.1%×5 vials).</w:t>
      </w:r>
    </w:p>
    <w:p w14:paraId="5FDD1303" w14:textId="41A6E554" w:rsidR="00376054" w:rsidRPr="00983A51" w:rsidRDefault="00376054" w:rsidP="0067003F">
      <w:pPr>
        <w:pStyle w:val="COMTablefooter"/>
        <w:keepNext/>
        <w:keepLines/>
        <w:widowControl w:val="0"/>
      </w:pPr>
      <w:r w:rsidRPr="001E6088">
        <w:rPr>
          <w:bCs/>
          <w:snapToGrid/>
          <w:vertAlign w:val="superscript"/>
        </w:rPr>
        <w:t xml:space="preserve">f </w:t>
      </w:r>
      <w:r w:rsidRPr="00983A51">
        <w:rPr>
          <w:bCs/>
          <w:snapToGrid/>
        </w:rPr>
        <w:t xml:space="preserve">Based on dosing regimen of 1,200 mg once every 21 days in the atezolizumab </w:t>
      </w:r>
      <w:r>
        <w:rPr>
          <w:bCs/>
          <w:snapToGrid/>
        </w:rPr>
        <w:t>Product Information</w:t>
      </w:r>
      <w:r w:rsidRPr="00983A51">
        <w:rPr>
          <w:bCs/>
          <w:snapToGrid/>
        </w:rPr>
        <w:t>.</w:t>
      </w:r>
    </w:p>
    <w:p w14:paraId="3F2F337B" w14:textId="77777777" w:rsidR="00376054" w:rsidRDefault="00376054" w:rsidP="0067003F">
      <w:pPr>
        <w:pStyle w:val="COMTablefooter"/>
        <w:keepNext/>
        <w:keepLines/>
        <w:widowControl w:val="0"/>
        <w:rPr>
          <w:bCs/>
          <w:snapToGrid/>
        </w:rPr>
      </w:pPr>
      <w:r w:rsidRPr="001E6088">
        <w:rPr>
          <w:vertAlign w:val="superscript"/>
        </w:rPr>
        <w:t xml:space="preserve">g </w:t>
      </w:r>
      <w:r w:rsidRPr="00983A51">
        <w:rPr>
          <w:bCs/>
          <w:snapToGrid/>
        </w:rPr>
        <w:t xml:space="preserve">Based on </w:t>
      </w:r>
      <w:r>
        <w:rPr>
          <w:bCs/>
          <w:snapToGrid/>
        </w:rPr>
        <w:t xml:space="preserve">the maximum quantities/amounts listed on the PBS. </w:t>
      </w:r>
    </w:p>
    <w:p w14:paraId="10D6C3E9" w14:textId="08E80EF3" w:rsidR="00376054" w:rsidRDefault="00376054" w:rsidP="0067003F">
      <w:pPr>
        <w:pStyle w:val="COMTablefooter"/>
        <w:keepNext/>
        <w:keepLines/>
        <w:widowControl w:val="0"/>
      </w:pPr>
      <w:r w:rsidRPr="001E6088">
        <w:rPr>
          <w:vertAlign w:val="superscript"/>
        </w:rPr>
        <w:t xml:space="preserve">h </w:t>
      </w:r>
      <w:r>
        <w:t>D</w:t>
      </w:r>
      <w:r w:rsidRPr="00F713CD">
        <w:t xml:space="preserve">erived from the </w:t>
      </w:r>
      <w:r>
        <w:t xml:space="preserve">proposed </w:t>
      </w:r>
      <w:r w:rsidRPr="00F713CD">
        <w:t>effective AEMP per dose of $</w:t>
      </w:r>
      <w:r w:rsidR="00C8249A" w:rsidRPr="00C8249A">
        <w:rPr>
          <w:highlight w:val="black"/>
        </w:rPr>
        <w:t>&amp;&amp;&amp;&amp;</w:t>
      </w:r>
      <w:r w:rsidRPr="00F713CD">
        <w:t xml:space="preserve"> (=$</w:t>
      </w:r>
      <w:r w:rsidR="00C8249A" w:rsidRPr="00C8249A">
        <w:rPr>
          <w:highlight w:val="black"/>
        </w:rPr>
        <w:t>&amp;&amp;&amp;&amp;</w:t>
      </w:r>
      <w:r w:rsidRPr="00F713CD">
        <w:t>×3.42 vials), and assuming a 48.1%/51.9% public/private split (based on the distribution of atezolizumab and durvalumab maintenance script use in 2024).</w:t>
      </w:r>
    </w:p>
    <w:p w14:paraId="1A268D66" w14:textId="77777777" w:rsidR="00376054" w:rsidRDefault="00376054" w:rsidP="0067003F">
      <w:pPr>
        <w:pStyle w:val="COMTablefooter"/>
        <w:keepNext/>
        <w:keepLines/>
        <w:widowControl w:val="0"/>
      </w:pPr>
      <w:r w:rsidRPr="001E6088">
        <w:rPr>
          <w:vertAlign w:val="superscript"/>
        </w:rPr>
        <w:t xml:space="preserve">i </w:t>
      </w:r>
      <w:proofErr w:type="gramStart"/>
      <w:r>
        <w:t>The</w:t>
      </w:r>
      <w:proofErr w:type="gramEnd"/>
      <w:r>
        <w:t xml:space="preserve"> estimated effective AEMP for atezolizumab ($1,686.84) was derived based on the published AEMP ($6,747.36) and an assumed 75% rebate. The weighted average DPMA ($1,814.05) was derived assuming </w:t>
      </w:r>
      <w:r w:rsidRPr="00100408">
        <w:t>a 48.1%</w:t>
      </w:r>
      <w:r>
        <w:t>/</w:t>
      </w:r>
      <w:r w:rsidRPr="00100408">
        <w:t>51.9% public</w:t>
      </w:r>
      <w:r>
        <w:t>/</w:t>
      </w:r>
      <w:r w:rsidRPr="00100408">
        <w:t>private split</w:t>
      </w:r>
      <w:r>
        <w:t xml:space="preserve"> (</w:t>
      </w:r>
      <w:r w:rsidRPr="00100408">
        <w:t>based on the distribution of atezolizumab and durvalumab maintenance script use in 2024).</w:t>
      </w:r>
      <w:r>
        <w:t xml:space="preserve"> </w:t>
      </w:r>
    </w:p>
    <w:p w14:paraId="540B4E08" w14:textId="06CA3C75" w:rsidR="00376054" w:rsidRDefault="00376054" w:rsidP="0067003F">
      <w:pPr>
        <w:pStyle w:val="COMTablefooter"/>
        <w:keepNext/>
        <w:keepLines/>
        <w:widowControl w:val="0"/>
      </w:pPr>
      <w:r w:rsidRPr="001E6088">
        <w:rPr>
          <w:vertAlign w:val="superscript"/>
        </w:rPr>
        <w:t xml:space="preserve">j </w:t>
      </w:r>
      <w:r>
        <w:t>D</w:t>
      </w:r>
      <w:r w:rsidRPr="00F713CD">
        <w:t>erived from the</w:t>
      </w:r>
      <w:r>
        <w:t xml:space="preserve"> proposed</w:t>
      </w:r>
      <w:r w:rsidRPr="00F713CD">
        <w:t xml:space="preserve"> effective AEMP per dose of $</w:t>
      </w:r>
      <w:r w:rsidR="00C8249A" w:rsidRPr="00C8249A">
        <w:rPr>
          <w:highlight w:val="black"/>
        </w:rPr>
        <w:t>&amp;&amp;&amp;&amp;</w:t>
      </w:r>
      <w:r w:rsidRPr="00F713CD">
        <w:t xml:space="preserve"> (=$</w:t>
      </w:r>
      <w:r w:rsidR="00C8249A" w:rsidRPr="00C8249A">
        <w:rPr>
          <w:highlight w:val="black"/>
        </w:rPr>
        <w:t>&amp;&amp;&amp;&amp;</w:t>
      </w:r>
      <w:r w:rsidRPr="00F713CD">
        <w:t>×3.42 vials), and assuming a 4</w:t>
      </w:r>
      <w:r>
        <w:t>7</w:t>
      </w:r>
      <w:r w:rsidRPr="00F713CD">
        <w:t>.1%/5</w:t>
      </w:r>
      <w:r>
        <w:t>2</w:t>
      </w:r>
      <w:r w:rsidRPr="00F713CD">
        <w:t>.9% public/private split (based on the distribution of atezolizumab and durvalumab maintenance script use in 2024).</w:t>
      </w:r>
    </w:p>
    <w:p w14:paraId="50BD69CA" w14:textId="77777777" w:rsidR="00376054" w:rsidRDefault="00376054" w:rsidP="0067003F">
      <w:pPr>
        <w:pStyle w:val="COMTablefooter"/>
        <w:keepNext/>
        <w:keepLines/>
        <w:widowControl w:val="0"/>
        <w:rPr>
          <w:bCs/>
          <w:snapToGrid/>
        </w:rPr>
      </w:pPr>
      <w:r w:rsidRPr="001E6088">
        <w:rPr>
          <w:bCs/>
          <w:snapToGrid/>
          <w:vertAlign w:val="superscript"/>
        </w:rPr>
        <w:t xml:space="preserve">k </w:t>
      </w:r>
      <w:r>
        <w:rPr>
          <w:bCs/>
          <w:snapToGrid/>
        </w:rPr>
        <w:t>Based on estimated effective AEMPs per vial assuming a 75% rebate on the published AEMP.</w:t>
      </w:r>
    </w:p>
    <w:p w14:paraId="500364FD" w14:textId="1F2A4ED4" w:rsidR="007356B3" w:rsidRPr="0067003F" w:rsidRDefault="00376054" w:rsidP="0067003F">
      <w:pPr>
        <w:pStyle w:val="COMTablefooter"/>
        <w:keepNext/>
        <w:keepLines/>
        <w:widowControl w:val="0"/>
      </w:pPr>
      <w:r>
        <w:rPr>
          <w:bCs/>
          <w:snapToGrid/>
          <w:vertAlign w:val="superscript"/>
        </w:rPr>
        <w:t>l</w:t>
      </w:r>
      <w:r w:rsidRPr="001E6088">
        <w:rPr>
          <w:bCs/>
          <w:snapToGrid/>
          <w:vertAlign w:val="superscript"/>
        </w:rPr>
        <w:t xml:space="preserve"> </w:t>
      </w:r>
      <w:r>
        <w:rPr>
          <w:bCs/>
          <w:snapToGrid/>
        </w:rPr>
        <w:t>Based on mean number of doses multiplied by the cost per dose.</w:t>
      </w:r>
      <w:bookmarkStart w:id="52" w:name="_Toc22897647"/>
      <w:bookmarkStart w:id="53" w:name="_Toc208928161"/>
      <w:bookmarkEnd w:id="49"/>
    </w:p>
    <w:p w14:paraId="285C3403" w14:textId="77777777" w:rsidR="0067003F" w:rsidRDefault="0067003F">
      <w:pPr>
        <w:jc w:val="left"/>
        <w:rPr>
          <w:rFonts w:asciiTheme="minorHAnsi" w:eastAsiaTheme="majorEastAsia" w:hAnsiTheme="minorHAnsi" w:cstheme="majorBidi"/>
          <w:b/>
          <w:i/>
          <w:color w:val="000000" w:themeColor="text1"/>
          <w:spacing w:val="5"/>
          <w:kern w:val="28"/>
          <w:sz w:val="28"/>
          <w:szCs w:val="36"/>
          <w:lang w:eastAsia="en-US"/>
        </w:rPr>
      </w:pPr>
      <w:r>
        <w:br w:type="page"/>
      </w:r>
    </w:p>
    <w:p w14:paraId="268768EF" w14:textId="7571C33F" w:rsidR="00B60939" w:rsidRPr="00F92AC3" w:rsidRDefault="00B60939" w:rsidP="0067003F">
      <w:pPr>
        <w:pStyle w:val="COMESSubsectionheading"/>
      </w:pPr>
      <w:r w:rsidRPr="00F92AC3">
        <w:t>Estimated PBS usage &amp; financial implications</w:t>
      </w:r>
      <w:bookmarkEnd w:id="52"/>
      <w:bookmarkEnd w:id="53"/>
    </w:p>
    <w:p w14:paraId="1935DA08" w14:textId="0BAB42CB" w:rsidR="00705738" w:rsidRPr="006144C2" w:rsidRDefault="00437D36" w:rsidP="0067003F">
      <w:pPr>
        <w:pStyle w:val="COMESnumberedpara"/>
        <w:keepNext/>
        <w:keepLines/>
        <w:widowControl w:val="0"/>
      </w:pPr>
      <w:r>
        <w:t xml:space="preserve">This submission </w:t>
      </w:r>
      <w:r w:rsidR="005112C4">
        <w:t>was</w:t>
      </w:r>
      <w:r>
        <w:t xml:space="preserve"> considered by DUSC. The submission used a market share approach to estimate the utilisation and financial impact of listing lurbinectedin plus atezolizumab on the PBS, for ES-SCLC maintenance therapy. The estimates presented in the submission were based on the proposed effective prices of lurbinectedin, and the assumed effective prices of atezolizumab and durvalumab (based on a 75% rebate). </w:t>
      </w:r>
    </w:p>
    <w:p w14:paraId="563CD370" w14:textId="651D1E44" w:rsidR="00437D36" w:rsidRDefault="00437D36" w:rsidP="00437D36">
      <w:pPr>
        <w:pStyle w:val="COMESnumberedpara"/>
      </w:pPr>
      <w:r>
        <w:t xml:space="preserve">The submission acknowledged that costs associated with primary prophylaxis with G-CSF and subsequent anti-cancer therapies, included in the modelled economic evaluation, were not included in the financial implications, </w:t>
      </w:r>
      <w:r w:rsidR="00E82844">
        <w:t>stating</w:t>
      </w:r>
      <w:r>
        <w:t xml:space="preserve"> that the costs </w:t>
      </w:r>
      <w:r w:rsidR="00E82844">
        <w:t>and cost offsets</w:t>
      </w:r>
      <w:r w:rsidR="00E210A0">
        <w:t xml:space="preserve"> associated with these treatments </w:t>
      </w:r>
      <w:r>
        <w:t>are expected to be marginal over the 6</w:t>
      </w:r>
      <w:r w:rsidR="00184A88">
        <w:t>-</w:t>
      </w:r>
      <w:r>
        <w:t>year budget impact analysis period.</w:t>
      </w:r>
    </w:p>
    <w:p w14:paraId="54D47049" w14:textId="50632472" w:rsidR="00855003" w:rsidRDefault="00437D36" w:rsidP="007A1531">
      <w:pPr>
        <w:pStyle w:val="COMESnumberedpara"/>
      </w:pPr>
      <w:r>
        <w:t>Table 12 presents a summary of the key inputs for the financial estimates.</w:t>
      </w:r>
    </w:p>
    <w:p w14:paraId="2898D66C" w14:textId="4BA74A9B" w:rsidR="00855003" w:rsidRPr="00705738" w:rsidRDefault="00855003" w:rsidP="00855003">
      <w:pPr>
        <w:jc w:val="left"/>
        <w:rPr>
          <w:rFonts w:asciiTheme="minorHAnsi" w:eastAsiaTheme="minorHAnsi" w:hAnsiTheme="minorHAnsi" w:cstheme="minorBidi"/>
          <w:szCs w:val="22"/>
        </w:rPr>
      </w:pPr>
      <w:r w:rsidRPr="00705738">
        <w:rPr>
          <w:rFonts w:ascii="Arial Narrow" w:hAnsi="Arial Narrow" w:cs="Segoe UI"/>
          <w:b/>
          <w:bCs/>
          <w:sz w:val="20"/>
          <w:szCs w:val="20"/>
        </w:rPr>
        <w:t>Table </w:t>
      </w:r>
      <w:r w:rsidRPr="00705738">
        <w:rPr>
          <w:rFonts w:ascii="Arial Narrow" w:hAnsi="Arial Narrow" w:cs="Segoe UI"/>
          <w:b/>
          <w:bCs/>
          <w:sz w:val="20"/>
          <w:szCs w:val="20"/>
        </w:rPr>
        <w:fldChar w:fldCharType="begin"/>
      </w:r>
      <w:r w:rsidRPr="00705738">
        <w:rPr>
          <w:rFonts w:ascii="Arial Narrow" w:hAnsi="Arial Narrow" w:cs="Segoe UI"/>
          <w:b/>
          <w:bCs/>
          <w:sz w:val="20"/>
          <w:szCs w:val="20"/>
        </w:rPr>
        <w:instrText xml:space="preserve"> SEQ Table \* ARABIC </w:instrText>
      </w:r>
      <w:r w:rsidRPr="00705738">
        <w:rPr>
          <w:rFonts w:ascii="Arial Narrow" w:hAnsi="Arial Narrow" w:cs="Segoe UI"/>
          <w:b/>
          <w:bCs/>
          <w:sz w:val="20"/>
          <w:szCs w:val="20"/>
        </w:rPr>
        <w:fldChar w:fldCharType="separate"/>
      </w:r>
      <w:r w:rsidR="00CC5A50">
        <w:rPr>
          <w:rFonts w:ascii="Arial Narrow" w:hAnsi="Arial Narrow" w:cs="Segoe UI"/>
          <w:b/>
          <w:bCs/>
          <w:noProof/>
          <w:sz w:val="20"/>
          <w:szCs w:val="20"/>
        </w:rPr>
        <w:t>12</w:t>
      </w:r>
      <w:r w:rsidRPr="00705738">
        <w:rPr>
          <w:rFonts w:ascii="Arial Narrow" w:hAnsi="Arial Narrow" w:cs="Segoe UI"/>
          <w:b/>
          <w:bCs/>
          <w:sz w:val="20"/>
          <w:szCs w:val="20"/>
        </w:rPr>
        <w:fldChar w:fldCharType="end"/>
      </w:r>
      <w:r w:rsidRPr="00705738">
        <w:rPr>
          <w:rFonts w:ascii="Arial Narrow" w:hAnsi="Arial Narrow" w:cs="Segoe UI"/>
          <w:b/>
          <w:bCs/>
          <w:sz w:val="20"/>
          <w:szCs w:val="20"/>
        </w:rPr>
        <w:t>: Data sources and parameter values applied in the utilisation and financial estimates </w:t>
      </w:r>
    </w:p>
    <w:tbl>
      <w:tblPr>
        <w:tblW w:w="90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2: Data sources and parameter values applied in the utilisation and financial estimates "/>
      </w:tblPr>
      <w:tblGrid>
        <w:gridCol w:w="1133"/>
        <w:gridCol w:w="1322"/>
        <w:gridCol w:w="2357"/>
        <w:gridCol w:w="4199"/>
      </w:tblGrid>
      <w:tr w:rsidR="0034010A" w:rsidRPr="0034010A" w14:paraId="21EAA4B3" w14:textId="77777777" w:rsidTr="003C2FDE">
        <w:trPr>
          <w:trHeight w:val="55"/>
          <w:tblHeader/>
        </w:trPr>
        <w:tc>
          <w:tcPr>
            <w:tcW w:w="1133" w:type="dxa"/>
            <w:tcBorders>
              <w:top w:val="single" w:sz="6" w:space="0" w:color="auto"/>
              <w:left w:val="single" w:sz="6" w:space="0" w:color="auto"/>
              <w:bottom w:val="single" w:sz="6" w:space="0" w:color="auto"/>
              <w:right w:val="single" w:sz="6" w:space="0" w:color="auto"/>
            </w:tcBorders>
            <w:vAlign w:val="center"/>
            <w:hideMark/>
          </w:tcPr>
          <w:p w14:paraId="0A66B971" w14:textId="77777777" w:rsidR="0034010A" w:rsidRPr="0034010A" w:rsidRDefault="0034010A" w:rsidP="00044E89">
            <w:pPr>
              <w:jc w:val="center"/>
              <w:textAlignment w:val="baseline"/>
              <w:rPr>
                <w:rFonts w:ascii="Arial Narrow" w:hAnsi="Arial Narrow" w:cs="Times New Roman"/>
                <w:sz w:val="20"/>
                <w:szCs w:val="20"/>
              </w:rPr>
            </w:pPr>
            <w:r w:rsidRPr="0034010A">
              <w:rPr>
                <w:rFonts w:ascii="Arial Narrow" w:hAnsi="Arial Narrow" w:cs="Times New Roman"/>
                <w:b/>
                <w:bCs/>
                <w:sz w:val="20"/>
                <w:szCs w:val="20"/>
              </w:rPr>
              <w:t>Data</w:t>
            </w:r>
            <w:r w:rsidRPr="0034010A">
              <w:rPr>
                <w:rFonts w:ascii="Arial Narrow" w:hAnsi="Arial Narrow" w:cs="Times New Roman"/>
                <w:sz w:val="20"/>
                <w:szCs w:val="20"/>
              </w:rPr>
              <w:t>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21E4CD1D" w14:textId="77777777" w:rsidR="0034010A" w:rsidRPr="0034010A" w:rsidRDefault="0034010A" w:rsidP="00044E89">
            <w:pPr>
              <w:jc w:val="center"/>
              <w:textAlignment w:val="baseline"/>
              <w:rPr>
                <w:rFonts w:ascii="Arial Narrow" w:hAnsi="Arial Narrow" w:cs="Times New Roman"/>
                <w:sz w:val="20"/>
                <w:szCs w:val="20"/>
              </w:rPr>
            </w:pPr>
            <w:r w:rsidRPr="0034010A">
              <w:rPr>
                <w:rFonts w:ascii="Arial Narrow" w:hAnsi="Arial Narrow" w:cs="Times New Roman"/>
                <w:b/>
                <w:bCs/>
                <w:sz w:val="20"/>
                <w:szCs w:val="20"/>
              </w:rPr>
              <w:t>Value</w:t>
            </w:r>
            <w:r w:rsidRPr="0034010A">
              <w:rPr>
                <w:rFonts w:ascii="Arial Narrow" w:hAnsi="Arial Narrow" w:cs="Times New Roman"/>
                <w:sz w:val="20"/>
                <w:szCs w:val="20"/>
              </w:rPr>
              <w:t> </w:t>
            </w:r>
          </w:p>
        </w:tc>
        <w:tc>
          <w:tcPr>
            <w:tcW w:w="2357" w:type="dxa"/>
            <w:tcBorders>
              <w:top w:val="single" w:sz="6" w:space="0" w:color="auto"/>
              <w:left w:val="single" w:sz="6" w:space="0" w:color="auto"/>
              <w:bottom w:val="single" w:sz="6" w:space="0" w:color="auto"/>
              <w:right w:val="single" w:sz="6" w:space="0" w:color="auto"/>
            </w:tcBorders>
            <w:vAlign w:val="center"/>
            <w:hideMark/>
          </w:tcPr>
          <w:p w14:paraId="619D99B0" w14:textId="77777777" w:rsidR="0034010A" w:rsidRPr="0034010A" w:rsidRDefault="0034010A" w:rsidP="00044E89">
            <w:pPr>
              <w:jc w:val="center"/>
              <w:textAlignment w:val="baseline"/>
              <w:rPr>
                <w:rFonts w:ascii="Arial Narrow" w:hAnsi="Arial Narrow" w:cs="Times New Roman"/>
                <w:sz w:val="20"/>
                <w:szCs w:val="20"/>
              </w:rPr>
            </w:pPr>
            <w:r w:rsidRPr="0034010A">
              <w:rPr>
                <w:rFonts w:ascii="Arial Narrow" w:hAnsi="Arial Narrow" w:cs="Times New Roman"/>
                <w:b/>
                <w:bCs/>
                <w:sz w:val="20"/>
                <w:szCs w:val="20"/>
              </w:rPr>
              <w:t>Source</w:t>
            </w:r>
            <w:r w:rsidRPr="0034010A">
              <w:rPr>
                <w:rFonts w:ascii="Arial Narrow" w:hAnsi="Arial Narrow" w:cs="Times New Roman"/>
                <w:sz w:val="20"/>
                <w:szCs w:val="20"/>
              </w:rPr>
              <w:t> </w:t>
            </w:r>
          </w:p>
        </w:tc>
        <w:tc>
          <w:tcPr>
            <w:tcW w:w="4199" w:type="dxa"/>
            <w:tcBorders>
              <w:top w:val="single" w:sz="6" w:space="0" w:color="auto"/>
              <w:left w:val="single" w:sz="6" w:space="0" w:color="auto"/>
              <w:bottom w:val="single" w:sz="6" w:space="0" w:color="auto"/>
              <w:right w:val="single" w:sz="6" w:space="0" w:color="auto"/>
            </w:tcBorders>
            <w:vAlign w:val="center"/>
            <w:hideMark/>
          </w:tcPr>
          <w:p w14:paraId="75DC5D0D" w14:textId="22665F83" w:rsidR="0034010A" w:rsidRPr="0034010A" w:rsidRDefault="0034010A" w:rsidP="003C2FDE">
            <w:pPr>
              <w:jc w:val="center"/>
              <w:textAlignment w:val="baseline"/>
              <w:rPr>
                <w:rFonts w:ascii="Arial Narrow" w:hAnsi="Arial Narrow" w:cs="Times New Roman"/>
                <w:sz w:val="20"/>
                <w:szCs w:val="20"/>
              </w:rPr>
            </w:pPr>
            <w:r w:rsidRPr="0034010A">
              <w:rPr>
                <w:rFonts w:ascii="Arial Narrow" w:hAnsi="Arial Narrow" w:cs="Times New Roman"/>
                <w:b/>
                <w:bCs/>
                <w:sz w:val="20"/>
                <w:szCs w:val="20"/>
              </w:rPr>
              <w:t>Comments</w:t>
            </w:r>
          </w:p>
        </w:tc>
      </w:tr>
      <w:tr w:rsidR="00855003" w:rsidRPr="0034010A" w14:paraId="1171B8B9" w14:textId="77777777" w:rsidTr="003C2FDE">
        <w:trPr>
          <w:trHeight w:val="55"/>
        </w:trPr>
        <w:tc>
          <w:tcPr>
            <w:tcW w:w="9011" w:type="dxa"/>
            <w:gridSpan w:val="4"/>
            <w:tcBorders>
              <w:top w:val="single" w:sz="6" w:space="0" w:color="auto"/>
              <w:left w:val="single" w:sz="6" w:space="0" w:color="auto"/>
              <w:bottom w:val="single" w:sz="6" w:space="0" w:color="auto"/>
              <w:right w:val="single" w:sz="6" w:space="0" w:color="auto"/>
            </w:tcBorders>
            <w:vAlign w:val="center"/>
            <w:hideMark/>
          </w:tcPr>
          <w:p w14:paraId="41BD2CF0" w14:textId="77777777" w:rsidR="00855003" w:rsidRPr="0034010A" w:rsidRDefault="00855003" w:rsidP="00044E89">
            <w:pPr>
              <w:jc w:val="left"/>
              <w:textAlignment w:val="baseline"/>
              <w:rPr>
                <w:rFonts w:ascii="Arial Narrow" w:hAnsi="Arial Narrow" w:cs="Times New Roman"/>
                <w:sz w:val="20"/>
                <w:szCs w:val="20"/>
              </w:rPr>
            </w:pPr>
            <w:r w:rsidRPr="0034010A">
              <w:rPr>
                <w:rFonts w:ascii="Arial Narrow" w:hAnsi="Arial Narrow" w:cs="Times New Roman"/>
                <w:b/>
                <w:bCs/>
                <w:sz w:val="20"/>
                <w:szCs w:val="20"/>
              </w:rPr>
              <w:t>Eligible population</w:t>
            </w:r>
            <w:r w:rsidRPr="0034010A">
              <w:rPr>
                <w:rFonts w:ascii="Arial Narrow" w:hAnsi="Arial Narrow" w:cs="Times New Roman"/>
                <w:sz w:val="20"/>
                <w:szCs w:val="20"/>
              </w:rPr>
              <w:t> </w:t>
            </w:r>
          </w:p>
        </w:tc>
      </w:tr>
      <w:tr w:rsidR="0034010A" w:rsidRPr="0034010A" w14:paraId="5C892ED0" w14:textId="77777777" w:rsidTr="0034010A">
        <w:trPr>
          <w:trHeight w:val="300"/>
        </w:trPr>
        <w:tc>
          <w:tcPr>
            <w:tcW w:w="1133" w:type="dxa"/>
            <w:tcBorders>
              <w:top w:val="single" w:sz="6" w:space="0" w:color="auto"/>
              <w:left w:val="single" w:sz="6" w:space="0" w:color="auto"/>
              <w:bottom w:val="single" w:sz="6" w:space="0" w:color="auto"/>
              <w:right w:val="single" w:sz="6" w:space="0" w:color="auto"/>
            </w:tcBorders>
            <w:vAlign w:val="center"/>
            <w:hideMark/>
          </w:tcPr>
          <w:p w14:paraId="52C85A43" w14:textId="77777777" w:rsidR="0034010A" w:rsidRPr="0034010A" w:rsidRDefault="0034010A"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Historic ES-SCLC maintenance therapy market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6B3B99FF" w14:textId="77777777" w:rsidR="0034010A" w:rsidRPr="0034010A" w:rsidRDefault="0034010A" w:rsidP="0034010A">
            <w:pPr>
              <w:jc w:val="left"/>
              <w:textAlignment w:val="baseline"/>
              <w:rPr>
                <w:rFonts w:ascii="Arial Narrow" w:hAnsi="Arial Narrow" w:cs="Times New Roman"/>
                <w:sz w:val="20"/>
                <w:szCs w:val="20"/>
              </w:rPr>
            </w:pPr>
            <w:r w:rsidRPr="0034010A">
              <w:rPr>
                <w:rFonts w:ascii="Arial Narrow" w:hAnsi="Arial Narrow" w:cs="Times New Roman"/>
                <w:sz w:val="20"/>
                <w:szCs w:val="20"/>
              </w:rPr>
              <w:t>ES-SCLC continuing services (ATE; DUR) </w:t>
            </w:r>
          </w:p>
          <w:p w14:paraId="688FCDC9" w14:textId="77777777" w:rsidR="0034010A" w:rsidRPr="0034010A" w:rsidRDefault="0034010A" w:rsidP="0034010A">
            <w:pPr>
              <w:jc w:val="left"/>
              <w:textAlignment w:val="baseline"/>
              <w:rPr>
                <w:rFonts w:ascii="Arial Narrow" w:hAnsi="Arial Narrow" w:cs="Times New Roman"/>
                <w:sz w:val="20"/>
                <w:szCs w:val="20"/>
              </w:rPr>
            </w:pPr>
            <w:r w:rsidRPr="0034010A">
              <w:rPr>
                <w:rFonts w:ascii="Arial Narrow" w:hAnsi="Arial Narrow" w:cs="Times New Roman"/>
                <w:sz w:val="20"/>
                <w:szCs w:val="20"/>
              </w:rPr>
              <w:t>2020: 1,743; 0 </w:t>
            </w:r>
          </w:p>
          <w:p w14:paraId="6FD6857D" w14:textId="77777777" w:rsidR="0034010A" w:rsidRPr="0034010A" w:rsidRDefault="0034010A" w:rsidP="0034010A">
            <w:pPr>
              <w:jc w:val="left"/>
              <w:textAlignment w:val="baseline"/>
              <w:rPr>
                <w:rFonts w:ascii="Arial Narrow" w:hAnsi="Arial Narrow" w:cs="Times New Roman"/>
                <w:sz w:val="20"/>
                <w:szCs w:val="20"/>
              </w:rPr>
            </w:pPr>
            <w:r w:rsidRPr="0034010A">
              <w:rPr>
                <w:rFonts w:ascii="Arial Narrow" w:hAnsi="Arial Narrow" w:cs="Times New Roman"/>
                <w:sz w:val="20"/>
                <w:szCs w:val="20"/>
              </w:rPr>
              <w:t>2021: 3,591; 0 </w:t>
            </w:r>
          </w:p>
          <w:p w14:paraId="13CBF4B7" w14:textId="77777777" w:rsidR="0034010A" w:rsidRPr="0034010A" w:rsidRDefault="0034010A" w:rsidP="0034010A">
            <w:pPr>
              <w:jc w:val="left"/>
              <w:textAlignment w:val="baseline"/>
              <w:rPr>
                <w:rFonts w:ascii="Arial Narrow" w:hAnsi="Arial Narrow" w:cs="Times New Roman"/>
                <w:sz w:val="20"/>
                <w:szCs w:val="20"/>
              </w:rPr>
            </w:pPr>
            <w:r w:rsidRPr="0034010A">
              <w:rPr>
                <w:rFonts w:ascii="Arial Narrow" w:hAnsi="Arial Narrow" w:cs="Times New Roman"/>
                <w:sz w:val="20"/>
                <w:szCs w:val="20"/>
              </w:rPr>
              <w:t>2022: 4,055; 0 </w:t>
            </w:r>
          </w:p>
          <w:p w14:paraId="1277BDF7" w14:textId="77777777" w:rsidR="0034010A" w:rsidRPr="0034010A" w:rsidRDefault="0034010A" w:rsidP="0034010A">
            <w:pPr>
              <w:jc w:val="left"/>
              <w:textAlignment w:val="baseline"/>
              <w:rPr>
                <w:rFonts w:ascii="Arial Narrow" w:hAnsi="Arial Narrow" w:cs="Times New Roman"/>
                <w:sz w:val="20"/>
                <w:szCs w:val="20"/>
              </w:rPr>
            </w:pPr>
            <w:r w:rsidRPr="0034010A">
              <w:rPr>
                <w:rFonts w:ascii="Arial Narrow" w:hAnsi="Arial Narrow" w:cs="Times New Roman"/>
                <w:sz w:val="20"/>
                <w:szCs w:val="20"/>
              </w:rPr>
              <w:t>2023: 4,101; 3 </w:t>
            </w:r>
          </w:p>
          <w:p w14:paraId="16BF6A06" w14:textId="77777777" w:rsidR="0034010A" w:rsidRPr="0034010A" w:rsidRDefault="0034010A" w:rsidP="0034010A">
            <w:pPr>
              <w:jc w:val="left"/>
              <w:textAlignment w:val="baseline"/>
              <w:rPr>
                <w:rFonts w:ascii="Arial Narrow" w:hAnsi="Arial Narrow" w:cs="Times New Roman"/>
                <w:sz w:val="20"/>
                <w:szCs w:val="20"/>
              </w:rPr>
            </w:pPr>
            <w:r w:rsidRPr="0034010A">
              <w:rPr>
                <w:rFonts w:ascii="Arial Narrow" w:hAnsi="Arial Narrow" w:cs="Times New Roman"/>
                <w:sz w:val="20"/>
                <w:szCs w:val="20"/>
              </w:rPr>
              <w:t>2024: 4,379; 191 </w:t>
            </w:r>
          </w:p>
        </w:tc>
        <w:tc>
          <w:tcPr>
            <w:tcW w:w="2357" w:type="dxa"/>
            <w:tcBorders>
              <w:top w:val="single" w:sz="6" w:space="0" w:color="auto"/>
              <w:left w:val="single" w:sz="6" w:space="0" w:color="auto"/>
              <w:bottom w:val="single" w:sz="6" w:space="0" w:color="auto"/>
              <w:right w:val="single" w:sz="6" w:space="0" w:color="auto"/>
            </w:tcBorders>
            <w:vAlign w:val="center"/>
            <w:hideMark/>
          </w:tcPr>
          <w:p w14:paraId="485331FC" w14:textId="77777777" w:rsidR="0034010A" w:rsidRPr="0034010A" w:rsidRDefault="0034010A"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Based on utilisation of ES-SCLC continuing treatment scripts for atezolizumab (11928T, 11929W, 12076N, 12078Q, 14225Q, 14226R) and durvalumab (13780G </w:t>
            </w:r>
          </w:p>
          <w:p w14:paraId="3AB1672A" w14:textId="77777777" w:rsidR="0034010A" w:rsidRPr="0034010A" w:rsidRDefault="0034010A"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13766M), assuming all regimens (3 weekly and 4 weekly) would be impacted by the listing of lurbinectedin. </w:t>
            </w:r>
          </w:p>
        </w:tc>
        <w:tc>
          <w:tcPr>
            <w:tcW w:w="4199" w:type="dxa"/>
            <w:tcBorders>
              <w:top w:val="single" w:sz="6" w:space="0" w:color="auto"/>
              <w:left w:val="single" w:sz="6" w:space="0" w:color="auto"/>
              <w:bottom w:val="single" w:sz="6" w:space="0" w:color="auto"/>
              <w:right w:val="single" w:sz="6" w:space="0" w:color="auto"/>
            </w:tcBorders>
            <w:vAlign w:val="center"/>
            <w:hideMark/>
          </w:tcPr>
          <w:p w14:paraId="2FB5624F" w14:textId="6EBA0E7A" w:rsidR="0034010A" w:rsidRPr="0034010A" w:rsidRDefault="0034010A"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   </w:t>
            </w:r>
          </w:p>
        </w:tc>
      </w:tr>
      <w:tr w:rsidR="009F263E" w:rsidRPr="0034010A" w14:paraId="0F7FB694" w14:textId="77777777" w:rsidTr="00044E89">
        <w:trPr>
          <w:trHeight w:val="300"/>
        </w:trPr>
        <w:tc>
          <w:tcPr>
            <w:tcW w:w="1133" w:type="dxa"/>
            <w:tcBorders>
              <w:top w:val="single" w:sz="6" w:space="0" w:color="auto"/>
              <w:left w:val="single" w:sz="6" w:space="0" w:color="auto"/>
              <w:bottom w:val="single" w:sz="6" w:space="0" w:color="auto"/>
              <w:right w:val="single" w:sz="6" w:space="0" w:color="auto"/>
            </w:tcBorders>
            <w:vAlign w:val="center"/>
            <w:hideMark/>
          </w:tcPr>
          <w:p w14:paraId="15D5D1A8" w14:textId="77777777" w:rsidR="009F263E" w:rsidRPr="0034010A" w:rsidRDefault="009F263E"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Market growth rate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46D8E9AE" w14:textId="77777777" w:rsidR="009F263E" w:rsidRPr="0034010A" w:rsidRDefault="009F263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1.3% per annum </w:t>
            </w:r>
          </w:p>
        </w:tc>
        <w:tc>
          <w:tcPr>
            <w:tcW w:w="2357" w:type="dxa"/>
            <w:tcBorders>
              <w:top w:val="single" w:sz="6" w:space="0" w:color="auto"/>
              <w:left w:val="single" w:sz="6" w:space="0" w:color="auto"/>
              <w:bottom w:val="single" w:sz="6" w:space="0" w:color="auto"/>
              <w:right w:val="single" w:sz="6" w:space="0" w:color="auto"/>
            </w:tcBorders>
            <w:vAlign w:val="center"/>
            <w:hideMark/>
          </w:tcPr>
          <w:p w14:paraId="0A899547" w14:textId="77777777" w:rsidR="009F263E" w:rsidRPr="0034010A" w:rsidRDefault="009F263E"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Based on the annualised growth in the number of incident SCLC cases in Australia (from 1,188 in 2011 to 1,330 in 2020) from AIHW Cancer data in Australia 2024. Applied annually to the number of continuing atezolizumab and durvalumab scripts in 2024 to estimate script numbers in 2025-2031. </w:t>
            </w:r>
          </w:p>
        </w:tc>
        <w:tc>
          <w:tcPr>
            <w:tcW w:w="4199" w:type="dxa"/>
            <w:tcBorders>
              <w:top w:val="single" w:sz="6" w:space="0" w:color="auto"/>
              <w:left w:val="single" w:sz="6" w:space="0" w:color="auto"/>
              <w:bottom w:val="single" w:sz="6" w:space="0" w:color="auto"/>
              <w:right w:val="single" w:sz="6" w:space="0" w:color="auto"/>
            </w:tcBorders>
            <w:vAlign w:val="center"/>
            <w:hideMark/>
          </w:tcPr>
          <w:p w14:paraId="0E603CC3" w14:textId="37F8C420" w:rsidR="009F263E" w:rsidRPr="0034010A" w:rsidRDefault="00613B32" w:rsidP="00044E89">
            <w:pPr>
              <w:jc w:val="left"/>
              <w:textAlignment w:val="baseline"/>
              <w:rPr>
                <w:rFonts w:ascii="Arial Narrow" w:hAnsi="Arial Narrow" w:cs="Times New Roman"/>
                <w:sz w:val="20"/>
                <w:szCs w:val="20"/>
              </w:rPr>
            </w:pPr>
            <w:r>
              <w:rPr>
                <w:rFonts w:ascii="Arial Narrow" w:hAnsi="Arial Narrow" w:cs="Times New Roman"/>
                <w:sz w:val="20"/>
                <w:szCs w:val="20"/>
              </w:rPr>
              <w:t xml:space="preserve">The evaluation considered it </w:t>
            </w:r>
            <w:r w:rsidR="009F263E" w:rsidRPr="0034010A">
              <w:rPr>
                <w:rFonts w:ascii="Arial Narrow" w:hAnsi="Arial Narrow" w:cs="Times New Roman"/>
                <w:sz w:val="20"/>
                <w:szCs w:val="20"/>
              </w:rPr>
              <w:t>was unclear whether the growth rate in the number of incident cases of SCLC in Australia would reflect the growth in continuing scripts of atezolizumab and lurbinectedin. The average annual increase in atezolizumab and durvalumab between 2021 and 2024 was 10.1%. </w:t>
            </w:r>
          </w:p>
          <w:p w14:paraId="6B329B61" w14:textId="0D5AF9B4" w:rsidR="009F263E" w:rsidRPr="0034010A" w:rsidRDefault="009F263E" w:rsidP="00044E89">
            <w:pPr>
              <w:jc w:val="left"/>
              <w:textAlignment w:val="baseline"/>
              <w:rPr>
                <w:rFonts w:ascii="Arial Narrow" w:hAnsi="Arial Narrow" w:cs="Times New Roman"/>
                <w:sz w:val="20"/>
                <w:szCs w:val="20"/>
              </w:rPr>
            </w:pPr>
            <w:r>
              <w:rPr>
                <w:rFonts w:ascii="Arial Narrow" w:hAnsi="Arial Narrow" w:cs="Times New Roman"/>
                <w:sz w:val="20"/>
                <w:szCs w:val="20"/>
              </w:rPr>
              <w:t xml:space="preserve">The </w:t>
            </w:r>
            <w:r w:rsidRPr="0034010A">
              <w:rPr>
                <w:rFonts w:ascii="Arial Narrow" w:hAnsi="Arial Narrow" w:cs="Times New Roman"/>
                <w:sz w:val="20"/>
                <w:szCs w:val="20"/>
              </w:rPr>
              <w:t xml:space="preserve">DUSC considered </w:t>
            </w:r>
            <w:r>
              <w:rPr>
                <w:rFonts w:ascii="Arial Narrow" w:hAnsi="Arial Narrow" w:cs="Times New Roman"/>
                <w:sz w:val="20"/>
                <w:szCs w:val="20"/>
              </w:rPr>
              <w:t xml:space="preserve">that </w:t>
            </w:r>
            <w:r w:rsidRPr="0034010A">
              <w:rPr>
                <w:rFonts w:ascii="Arial Narrow" w:hAnsi="Arial Narrow" w:cs="Times New Roman"/>
                <w:sz w:val="20"/>
                <w:szCs w:val="20"/>
              </w:rPr>
              <w:t xml:space="preserve">the market growth rate of 1.3% </w:t>
            </w:r>
            <w:r>
              <w:rPr>
                <w:rFonts w:ascii="Arial Narrow" w:hAnsi="Arial Narrow" w:cs="Times New Roman"/>
                <w:sz w:val="20"/>
                <w:szCs w:val="20"/>
              </w:rPr>
              <w:t>was</w:t>
            </w:r>
            <w:r w:rsidRPr="0034010A">
              <w:rPr>
                <w:rFonts w:ascii="Arial Narrow" w:hAnsi="Arial Narrow" w:cs="Times New Roman"/>
                <w:sz w:val="20"/>
                <w:szCs w:val="20"/>
              </w:rPr>
              <w:t xml:space="preserve"> reasonable. </w:t>
            </w:r>
            <w:r>
              <w:rPr>
                <w:rFonts w:ascii="Arial Narrow" w:hAnsi="Arial Narrow" w:cs="Times New Roman"/>
                <w:sz w:val="20"/>
                <w:szCs w:val="20"/>
              </w:rPr>
              <w:t xml:space="preserve">The </w:t>
            </w:r>
            <w:r w:rsidRPr="0034010A">
              <w:rPr>
                <w:rFonts w:ascii="Arial Narrow" w:hAnsi="Arial Narrow" w:cs="Times New Roman"/>
                <w:sz w:val="20"/>
                <w:szCs w:val="20"/>
              </w:rPr>
              <w:t xml:space="preserve">DUSC considered the larger growth rate in atezolizumab and durvalumab </w:t>
            </w:r>
            <w:r>
              <w:rPr>
                <w:rFonts w:ascii="Arial Narrow" w:hAnsi="Arial Narrow" w:cs="Times New Roman"/>
                <w:sz w:val="20"/>
                <w:szCs w:val="20"/>
              </w:rPr>
              <w:t xml:space="preserve">scripts </w:t>
            </w:r>
            <w:r w:rsidRPr="0034010A">
              <w:rPr>
                <w:rFonts w:ascii="Arial Narrow" w:hAnsi="Arial Narrow" w:cs="Times New Roman"/>
                <w:sz w:val="20"/>
                <w:szCs w:val="20"/>
              </w:rPr>
              <w:t>between 2021 and 2024 could have been use outside of the restriction in patients with early relapsed limited stage-SCLC (LS-SCLC).  </w:t>
            </w:r>
          </w:p>
        </w:tc>
      </w:tr>
      <w:tr w:rsidR="00855003" w:rsidRPr="0034010A" w14:paraId="60FFD3E3" w14:textId="77777777" w:rsidTr="003C2FDE">
        <w:trPr>
          <w:trHeight w:val="55"/>
        </w:trPr>
        <w:tc>
          <w:tcPr>
            <w:tcW w:w="9011" w:type="dxa"/>
            <w:gridSpan w:val="4"/>
            <w:tcBorders>
              <w:top w:val="single" w:sz="6" w:space="0" w:color="auto"/>
              <w:left w:val="single" w:sz="6" w:space="0" w:color="auto"/>
              <w:bottom w:val="single" w:sz="6" w:space="0" w:color="auto"/>
              <w:right w:val="single" w:sz="6" w:space="0" w:color="auto"/>
            </w:tcBorders>
            <w:vAlign w:val="center"/>
            <w:hideMark/>
          </w:tcPr>
          <w:p w14:paraId="318BF341" w14:textId="77777777" w:rsidR="00855003" w:rsidRPr="0034010A" w:rsidRDefault="00855003" w:rsidP="00044E89">
            <w:pPr>
              <w:jc w:val="left"/>
              <w:textAlignment w:val="baseline"/>
              <w:rPr>
                <w:rFonts w:ascii="Arial Narrow" w:hAnsi="Arial Narrow" w:cs="Times New Roman"/>
                <w:sz w:val="20"/>
                <w:szCs w:val="20"/>
              </w:rPr>
            </w:pPr>
            <w:r w:rsidRPr="0034010A">
              <w:rPr>
                <w:rFonts w:ascii="Arial Narrow" w:hAnsi="Arial Narrow" w:cs="Times New Roman"/>
                <w:b/>
                <w:bCs/>
                <w:sz w:val="20"/>
                <w:szCs w:val="20"/>
              </w:rPr>
              <w:t>Treatment utilisation</w:t>
            </w:r>
            <w:r w:rsidRPr="0034010A">
              <w:rPr>
                <w:rFonts w:ascii="Arial Narrow" w:hAnsi="Arial Narrow" w:cs="Times New Roman"/>
                <w:sz w:val="20"/>
                <w:szCs w:val="20"/>
              </w:rPr>
              <w:t> </w:t>
            </w:r>
          </w:p>
        </w:tc>
      </w:tr>
      <w:tr w:rsidR="009F263E" w:rsidRPr="0034010A" w14:paraId="42B04C62" w14:textId="77777777" w:rsidTr="00044E89">
        <w:trPr>
          <w:trHeight w:val="300"/>
        </w:trPr>
        <w:tc>
          <w:tcPr>
            <w:tcW w:w="1133" w:type="dxa"/>
            <w:tcBorders>
              <w:top w:val="single" w:sz="6" w:space="0" w:color="auto"/>
              <w:left w:val="single" w:sz="6" w:space="0" w:color="auto"/>
              <w:bottom w:val="single" w:sz="6" w:space="0" w:color="auto"/>
              <w:right w:val="single" w:sz="6" w:space="0" w:color="auto"/>
            </w:tcBorders>
            <w:vAlign w:val="center"/>
            <w:hideMark/>
          </w:tcPr>
          <w:p w14:paraId="51708C0C" w14:textId="77777777" w:rsidR="009F263E" w:rsidRPr="0034010A" w:rsidRDefault="009F263E"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Uptake of lurbinectedin plus atezolizumab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65B9875E" w14:textId="10EC8850" w:rsidR="009F263E" w:rsidRPr="0034010A" w:rsidRDefault="009F263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 xml:space="preserve">Yr 1: </w:t>
            </w:r>
            <w:r w:rsidR="00C8249A" w:rsidRPr="00C8249A">
              <w:rPr>
                <w:rFonts w:ascii="Arial Narrow" w:hAnsi="Arial Narrow" w:cs="Times New Roman"/>
                <w:sz w:val="20"/>
                <w:szCs w:val="20"/>
                <w:highlight w:val="black"/>
              </w:rPr>
              <w:t>&amp;&amp;&amp;&amp;</w:t>
            </w:r>
            <w:r w:rsidRPr="0034010A">
              <w:rPr>
                <w:rFonts w:ascii="Arial Narrow" w:hAnsi="Arial Narrow" w:cs="Times New Roman"/>
                <w:sz w:val="20"/>
                <w:szCs w:val="20"/>
              </w:rPr>
              <w:t>% </w:t>
            </w:r>
          </w:p>
          <w:p w14:paraId="198B0747" w14:textId="5D361E02" w:rsidR="009F263E" w:rsidRPr="0034010A" w:rsidRDefault="009F263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 xml:space="preserve">Yr 2: </w:t>
            </w:r>
            <w:r w:rsidR="00C8249A" w:rsidRPr="00C8249A">
              <w:rPr>
                <w:rFonts w:ascii="Arial Narrow" w:hAnsi="Arial Narrow" w:cs="Times New Roman"/>
                <w:sz w:val="20"/>
                <w:szCs w:val="20"/>
                <w:highlight w:val="black"/>
              </w:rPr>
              <w:t>&amp;&amp;&amp;&amp;</w:t>
            </w:r>
            <w:r w:rsidRPr="0034010A">
              <w:rPr>
                <w:rFonts w:ascii="Arial Narrow" w:hAnsi="Arial Narrow" w:cs="Times New Roman"/>
                <w:sz w:val="20"/>
                <w:szCs w:val="20"/>
              </w:rPr>
              <w:t>% </w:t>
            </w:r>
          </w:p>
          <w:p w14:paraId="05A2F860" w14:textId="002A0E5E" w:rsidR="009F263E" w:rsidRPr="0034010A" w:rsidRDefault="009F263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 xml:space="preserve">Yr 3: </w:t>
            </w:r>
            <w:r w:rsidR="00C8249A" w:rsidRPr="00C8249A">
              <w:rPr>
                <w:rFonts w:ascii="Arial Narrow" w:hAnsi="Arial Narrow" w:cs="Times New Roman"/>
                <w:sz w:val="20"/>
                <w:szCs w:val="20"/>
                <w:highlight w:val="black"/>
              </w:rPr>
              <w:t>&amp;&amp;&amp;&amp;</w:t>
            </w:r>
            <w:r w:rsidRPr="0034010A">
              <w:rPr>
                <w:rFonts w:ascii="Arial Narrow" w:hAnsi="Arial Narrow" w:cs="Times New Roman"/>
                <w:sz w:val="20"/>
                <w:szCs w:val="20"/>
              </w:rPr>
              <w:t>% </w:t>
            </w:r>
          </w:p>
          <w:p w14:paraId="581F3C96" w14:textId="6875E53E" w:rsidR="009F263E" w:rsidRPr="0034010A" w:rsidRDefault="009F263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 xml:space="preserve">Yr 4: </w:t>
            </w:r>
            <w:r w:rsidR="00C8249A" w:rsidRPr="00C8249A">
              <w:rPr>
                <w:rFonts w:ascii="Arial Narrow" w:hAnsi="Arial Narrow" w:cs="Times New Roman"/>
                <w:sz w:val="20"/>
                <w:szCs w:val="20"/>
                <w:highlight w:val="black"/>
              </w:rPr>
              <w:t>&amp;&amp;&amp;&amp;</w:t>
            </w:r>
            <w:r w:rsidRPr="0034010A">
              <w:rPr>
                <w:rFonts w:ascii="Arial Narrow" w:hAnsi="Arial Narrow" w:cs="Times New Roman"/>
                <w:sz w:val="20"/>
                <w:szCs w:val="20"/>
              </w:rPr>
              <w:t>% </w:t>
            </w:r>
          </w:p>
          <w:p w14:paraId="41642BCC" w14:textId="0DE8651A" w:rsidR="009F263E" w:rsidRPr="0034010A" w:rsidRDefault="009F263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 xml:space="preserve">Yr 5: </w:t>
            </w:r>
            <w:r w:rsidR="00C8249A" w:rsidRPr="00C8249A">
              <w:rPr>
                <w:rFonts w:ascii="Arial Narrow" w:hAnsi="Arial Narrow" w:cs="Times New Roman"/>
                <w:sz w:val="20"/>
                <w:szCs w:val="20"/>
                <w:highlight w:val="black"/>
              </w:rPr>
              <w:t>&amp;&amp;&amp;&amp;</w:t>
            </w:r>
            <w:r w:rsidRPr="0034010A">
              <w:rPr>
                <w:rFonts w:ascii="Arial Narrow" w:hAnsi="Arial Narrow" w:cs="Times New Roman"/>
                <w:sz w:val="20"/>
                <w:szCs w:val="20"/>
              </w:rPr>
              <w:t>% </w:t>
            </w:r>
          </w:p>
          <w:p w14:paraId="3AF0FAC4" w14:textId="277B55B0" w:rsidR="009F263E" w:rsidRPr="0034010A" w:rsidRDefault="009F263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 xml:space="preserve">Yr 6: </w:t>
            </w:r>
            <w:r w:rsidR="00C8249A" w:rsidRPr="00C8249A">
              <w:rPr>
                <w:rFonts w:ascii="Arial Narrow" w:hAnsi="Arial Narrow" w:cs="Times New Roman"/>
                <w:sz w:val="20"/>
                <w:szCs w:val="20"/>
                <w:highlight w:val="black"/>
              </w:rPr>
              <w:t>&amp;&amp;&amp;&amp;</w:t>
            </w:r>
            <w:r w:rsidRPr="0034010A">
              <w:rPr>
                <w:rFonts w:ascii="Arial Narrow" w:hAnsi="Arial Narrow" w:cs="Times New Roman"/>
                <w:sz w:val="20"/>
                <w:szCs w:val="20"/>
              </w:rPr>
              <w:t>% </w:t>
            </w:r>
          </w:p>
        </w:tc>
        <w:tc>
          <w:tcPr>
            <w:tcW w:w="2357" w:type="dxa"/>
            <w:tcBorders>
              <w:top w:val="single" w:sz="6" w:space="0" w:color="auto"/>
              <w:left w:val="single" w:sz="6" w:space="0" w:color="auto"/>
              <w:bottom w:val="single" w:sz="6" w:space="0" w:color="auto"/>
              <w:right w:val="single" w:sz="6" w:space="0" w:color="auto"/>
            </w:tcBorders>
            <w:vAlign w:val="center"/>
            <w:hideMark/>
          </w:tcPr>
          <w:p w14:paraId="49D0F9E2" w14:textId="77777777" w:rsidR="009F263E" w:rsidRPr="0034010A" w:rsidRDefault="009F263E"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Assumed. Based on the claimed superior effectiveness of lurbinectedin + atezolizumab compared to atezolizumab monotherapy in ES-SCLC maintenance therapy. </w:t>
            </w:r>
          </w:p>
        </w:tc>
        <w:tc>
          <w:tcPr>
            <w:tcW w:w="4199" w:type="dxa"/>
            <w:tcBorders>
              <w:top w:val="single" w:sz="6" w:space="0" w:color="auto"/>
              <w:left w:val="single" w:sz="6" w:space="0" w:color="auto"/>
              <w:bottom w:val="single" w:sz="6" w:space="0" w:color="auto"/>
              <w:right w:val="single" w:sz="6" w:space="0" w:color="auto"/>
            </w:tcBorders>
            <w:vAlign w:val="center"/>
            <w:hideMark/>
          </w:tcPr>
          <w:p w14:paraId="6F559E8C" w14:textId="3CDEA78F" w:rsidR="009F263E" w:rsidRPr="0034010A" w:rsidRDefault="00145F73"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The PSCR noted the most recent version of the National Comprehensive Cancer Network (NCCN) guidelines for small cell lung cancer which includes lurbinectedin + atezolizumab as a preferred primary maintenance therapy for ES-SCLC.  </w:t>
            </w:r>
            <w:r w:rsidR="009F263E">
              <w:rPr>
                <w:rFonts w:ascii="Arial Narrow" w:hAnsi="Arial Narrow" w:cs="Times New Roman"/>
                <w:sz w:val="20"/>
                <w:szCs w:val="20"/>
              </w:rPr>
              <w:t xml:space="preserve">The </w:t>
            </w:r>
            <w:r w:rsidR="009F263E" w:rsidRPr="0034010A">
              <w:rPr>
                <w:rFonts w:ascii="Arial Narrow" w:hAnsi="Arial Narrow" w:cs="Times New Roman"/>
                <w:sz w:val="20"/>
                <w:szCs w:val="20"/>
              </w:rPr>
              <w:t xml:space="preserve">DUSC considered the </w:t>
            </w:r>
            <w:r w:rsidR="009F263E">
              <w:rPr>
                <w:rFonts w:ascii="Arial Narrow" w:hAnsi="Arial Narrow" w:cs="Times New Roman"/>
                <w:sz w:val="20"/>
                <w:szCs w:val="20"/>
              </w:rPr>
              <w:t xml:space="preserve">assumed </w:t>
            </w:r>
            <w:r w:rsidR="009F263E" w:rsidRPr="0034010A">
              <w:rPr>
                <w:rFonts w:ascii="Arial Narrow" w:hAnsi="Arial Narrow" w:cs="Times New Roman"/>
                <w:sz w:val="20"/>
                <w:szCs w:val="20"/>
              </w:rPr>
              <w:t>treatment uptake rate to be reasonable in Years 1-3. </w:t>
            </w:r>
          </w:p>
        </w:tc>
      </w:tr>
      <w:tr w:rsidR="00145F73" w:rsidRPr="0034010A" w14:paraId="2483F8D0" w14:textId="77777777" w:rsidTr="007A1531">
        <w:trPr>
          <w:cantSplit/>
          <w:trHeight w:val="300"/>
        </w:trPr>
        <w:tc>
          <w:tcPr>
            <w:tcW w:w="1133" w:type="dxa"/>
            <w:tcBorders>
              <w:top w:val="single" w:sz="6" w:space="0" w:color="auto"/>
              <w:left w:val="single" w:sz="6" w:space="0" w:color="auto"/>
              <w:bottom w:val="single" w:sz="6" w:space="0" w:color="auto"/>
              <w:right w:val="single" w:sz="6" w:space="0" w:color="auto"/>
            </w:tcBorders>
            <w:vAlign w:val="center"/>
            <w:hideMark/>
          </w:tcPr>
          <w:p w14:paraId="006F1842" w14:textId="77777777" w:rsidR="00145F73" w:rsidRPr="0034010A" w:rsidRDefault="00145F73"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Mean doses per course of treatment of lurbinectedin, atezolizumab and durvalumab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4102487C" w14:textId="77777777" w:rsidR="00145F73" w:rsidRPr="0034010A" w:rsidRDefault="00145F73"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LUR:  8.1 doses </w:t>
            </w:r>
          </w:p>
          <w:p w14:paraId="0FA392D8" w14:textId="77777777" w:rsidR="00145F73" w:rsidRPr="0034010A" w:rsidRDefault="00145F73"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ATE: 8.2 doses </w:t>
            </w:r>
          </w:p>
          <w:p w14:paraId="11452696" w14:textId="77777777" w:rsidR="00145F73" w:rsidRPr="0034010A" w:rsidRDefault="00145F73"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ATE mono: 6.1 doses </w:t>
            </w:r>
          </w:p>
          <w:p w14:paraId="24E61239" w14:textId="77777777" w:rsidR="00145F73" w:rsidRPr="0034010A" w:rsidRDefault="00145F73"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ATE or DUR  4 weekly: 4.58 doses </w:t>
            </w:r>
          </w:p>
        </w:tc>
        <w:tc>
          <w:tcPr>
            <w:tcW w:w="2357" w:type="dxa"/>
            <w:tcBorders>
              <w:top w:val="single" w:sz="6" w:space="0" w:color="auto"/>
              <w:left w:val="single" w:sz="6" w:space="0" w:color="auto"/>
              <w:bottom w:val="single" w:sz="6" w:space="0" w:color="auto"/>
              <w:right w:val="single" w:sz="6" w:space="0" w:color="auto"/>
            </w:tcBorders>
            <w:vAlign w:val="center"/>
            <w:hideMark/>
          </w:tcPr>
          <w:p w14:paraId="2955E45C" w14:textId="77777777" w:rsidR="00145F73" w:rsidRPr="0034010A" w:rsidRDefault="00145F73"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Lurbinectedin and atezolizumab doses derived from the IMforte trial treatment exposure. Atezolizumab and durvalumab 4 weekly regimen mean doses were assumed to 3/4 of 3 weekly exposure (=21 days/28 days) </w:t>
            </w:r>
          </w:p>
        </w:tc>
        <w:tc>
          <w:tcPr>
            <w:tcW w:w="4199" w:type="dxa"/>
            <w:tcBorders>
              <w:top w:val="single" w:sz="6" w:space="0" w:color="auto"/>
              <w:left w:val="single" w:sz="6" w:space="0" w:color="auto"/>
              <w:bottom w:val="single" w:sz="6" w:space="0" w:color="auto"/>
              <w:right w:val="single" w:sz="6" w:space="0" w:color="auto"/>
            </w:tcBorders>
            <w:vAlign w:val="center"/>
            <w:hideMark/>
          </w:tcPr>
          <w:p w14:paraId="3411A8C2" w14:textId="3CE870BA" w:rsidR="00145F73" w:rsidRPr="0034010A" w:rsidRDefault="00145F73"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 xml:space="preserve">As </w:t>
            </w:r>
            <w:r>
              <w:rPr>
                <w:rFonts w:ascii="Arial Narrow" w:hAnsi="Arial Narrow" w:cs="Times New Roman"/>
                <w:sz w:val="20"/>
                <w:szCs w:val="20"/>
              </w:rPr>
              <w:t xml:space="preserve">per </w:t>
            </w:r>
            <w:r w:rsidRPr="0034010A">
              <w:rPr>
                <w:rFonts w:ascii="Arial Narrow" w:hAnsi="Arial Narrow" w:cs="Times New Roman"/>
                <w:sz w:val="20"/>
                <w:szCs w:val="20"/>
              </w:rPr>
              <w:t xml:space="preserve">the economic evaluation, the mean numbers of doses were derived from the IMforte trial at the July 2024 data cutoff, with 18.6% patients in the lurbinectedin plus atezolizumab arm and 13.3% patients in the atezolizumab monotherapy arm still receiving treatment, an underestimate </w:t>
            </w:r>
            <w:r w:rsidR="00C07456">
              <w:rPr>
                <w:rFonts w:ascii="Arial Narrow" w:hAnsi="Arial Narrow" w:cs="Times New Roman"/>
                <w:sz w:val="20"/>
                <w:szCs w:val="20"/>
              </w:rPr>
              <w:t xml:space="preserve">of </w:t>
            </w:r>
            <w:r w:rsidRPr="0034010A">
              <w:rPr>
                <w:rFonts w:ascii="Arial Narrow" w:hAnsi="Arial Narrow" w:cs="Times New Roman"/>
                <w:sz w:val="20"/>
                <w:szCs w:val="20"/>
              </w:rPr>
              <w:t>treatment exposure. </w:t>
            </w:r>
          </w:p>
        </w:tc>
      </w:tr>
      <w:tr w:rsidR="003C2FDE" w:rsidRPr="0034010A" w14:paraId="78801A85" w14:textId="77777777" w:rsidTr="00044E89">
        <w:trPr>
          <w:trHeight w:val="300"/>
        </w:trPr>
        <w:tc>
          <w:tcPr>
            <w:tcW w:w="1133" w:type="dxa"/>
            <w:tcBorders>
              <w:top w:val="single" w:sz="6" w:space="0" w:color="auto"/>
              <w:left w:val="single" w:sz="6" w:space="0" w:color="auto"/>
              <w:bottom w:val="single" w:sz="6" w:space="0" w:color="auto"/>
              <w:right w:val="single" w:sz="6" w:space="0" w:color="auto"/>
            </w:tcBorders>
            <w:vAlign w:val="center"/>
            <w:hideMark/>
          </w:tcPr>
          <w:p w14:paraId="75ED1156" w14:textId="77777777" w:rsidR="003C2FDE" w:rsidRPr="0034010A" w:rsidRDefault="003C2FDE"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Script equivalence between ES-SCLC maintenance therapies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22BEFEEA" w14:textId="77777777" w:rsidR="003C2FDE" w:rsidRPr="0034010A" w:rsidRDefault="003C2FD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ATE 3 </w:t>
            </w:r>
            <w:proofErr w:type="spellStart"/>
            <w:r w:rsidRPr="0034010A">
              <w:rPr>
                <w:rFonts w:ascii="Arial Narrow" w:hAnsi="Arial Narrow" w:cs="Times New Roman"/>
                <w:sz w:val="20"/>
                <w:szCs w:val="20"/>
              </w:rPr>
              <w:t>wkly</w:t>
            </w:r>
            <w:proofErr w:type="spellEnd"/>
            <w:r w:rsidRPr="0034010A">
              <w:rPr>
                <w:rFonts w:ascii="Arial Narrow" w:hAnsi="Arial Narrow" w:cs="Times New Roman"/>
                <w:sz w:val="20"/>
                <w:szCs w:val="20"/>
              </w:rPr>
              <w:t> to LUR: 1.33 (8.1/6.1) </w:t>
            </w:r>
          </w:p>
          <w:p w14:paraId="1446156D" w14:textId="77777777" w:rsidR="003C2FDE" w:rsidRPr="0034010A" w:rsidRDefault="003C2FD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ATE/DUR 4 </w:t>
            </w:r>
            <w:proofErr w:type="spellStart"/>
            <w:r w:rsidRPr="0034010A">
              <w:rPr>
                <w:rFonts w:ascii="Arial Narrow" w:hAnsi="Arial Narrow" w:cs="Times New Roman"/>
                <w:sz w:val="20"/>
                <w:szCs w:val="20"/>
              </w:rPr>
              <w:t>wkly</w:t>
            </w:r>
            <w:proofErr w:type="spellEnd"/>
            <w:r w:rsidRPr="0034010A">
              <w:rPr>
                <w:rFonts w:ascii="Arial Narrow" w:hAnsi="Arial Narrow" w:cs="Times New Roman"/>
                <w:sz w:val="20"/>
                <w:szCs w:val="20"/>
              </w:rPr>
              <w:t> to LUR  </w:t>
            </w:r>
          </w:p>
          <w:p w14:paraId="5FB0B5D6" w14:textId="77777777" w:rsidR="003C2FDE" w:rsidRPr="0034010A" w:rsidRDefault="003C2FD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1.77 (8.1/4.58)  </w:t>
            </w:r>
          </w:p>
          <w:p w14:paraId="193CB846" w14:textId="77777777" w:rsidR="003C2FDE" w:rsidRPr="0034010A" w:rsidRDefault="003C2FD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ATE 3 </w:t>
            </w:r>
            <w:proofErr w:type="spellStart"/>
            <w:r w:rsidRPr="0034010A">
              <w:rPr>
                <w:rFonts w:ascii="Arial Narrow" w:hAnsi="Arial Narrow" w:cs="Times New Roman"/>
                <w:sz w:val="20"/>
                <w:szCs w:val="20"/>
              </w:rPr>
              <w:t>wkly</w:t>
            </w:r>
            <w:proofErr w:type="spellEnd"/>
            <w:r w:rsidRPr="0034010A">
              <w:rPr>
                <w:rFonts w:ascii="Arial Narrow" w:hAnsi="Arial Narrow" w:cs="Times New Roman"/>
                <w:sz w:val="20"/>
                <w:szCs w:val="20"/>
              </w:rPr>
              <w:t> to ATE in combination with LUR </w:t>
            </w:r>
          </w:p>
          <w:p w14:paraId="49760DA0" w14:textId="77777777" w:rsidR="003C2FDE" w:rsidRPr="0034010A" w:rsidRDefault="003C2FD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1.34 (8.2/6.1) </w:t>
            </w:r>
          </w:p>
          <w:p w14:paraId="50F595CE" w14:textId="77777777" w:rsidR="003C2FDE" w:rsidRPr="0034010A" w:rsidRDefault="003C2FD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ATE/DUR 4 </w:t>
            </w:r>
            <w:proofErr w:type="spellStart"/>
            <w:r w:rsidRPr="0034010A">
              <w:rPr>
                <w:rFonts w:ascii="Arial Narrow" w:hAnsi="Arial Narrow" w:cs="Times New Roman"/>
                <w:sz w:val="20"/>
                <w:szCs w:val="20"/>
              </w:rPr>
              <w:t>wkly</w:t>
            </w:r>
            <w:proofErr w:type="spellEnd"/>
            <w:r w:rsidRPr="0034010A">
              <w:rPr>
                <w:rFonts w:ascii="Arial Narrow" w:hAnsi="Arial Narrow" w:cs="Times New Roman"/>
                <w:sz w:val="20"/>
                <w:szCs w:val="20"/>
              </w:rPr>
              <w:t> to ATE in combination with LUR  </w:t>
            </w:r>
          </w:p>
          <w:p w14:paraId="7880E224" w14:textId="77777777" w:rsidR="003C2FDE" w:rsidRPr="0034010A" w:rsidRDefault="003C2FDE"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1.79 (8.2/4.58) </w:t>
            </w:r>
          </w:p>
        </w:tc>
        <w:tc>
          <w:tcPr>
            <w:tcW w:w="2357" w:type="dxa"/>
            <w:tcBorders>
              <w:top w:val="single" w:sz="6" w:space="0" w:color="auto"/>
              <w:left w:val="single" w:sz="6" w:space="0" w:color="auto"/>
              <w:bottom w:val="single" w:sz="6" w:space="0" w:color="auto"/>
              <w:right w:val="single" w:sz="6" w:space="0" w:color="auto"/>
            </w:tcBorders>
            <w:vAlign w:val="center"/>
            <w:hideMark/>
          </w:tcPr>
          <w:p w14:paraId="037064E9" w14:textId="77777777" w:rsidR="003C2FDE" w:rsidRPr="0034010A" w:rsidRDefault="003C2FDE"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Calculated based on the mean numbers of doses of lurbinectedin + atezolizumab, and atezolizumab monotherapy administered in the IMforte trial, assuming similar mean numbers of doses of durvalumab and atezolizumab monotherapy. </w:t>
            </w:r>
          </w:p>
        </w:tc>
        <w:tc>
          <w:tcPr>
            <w:tcW w:w="4199" w:type="dxa"/>
            <w:tcBorders>
              <w:top w:val="single" w:sz="6" w:space="0" w:color="auto"/>
              <w:left w:val="single" w:sz="6" w:space="0" w:color="auto"/>
              <w:bottom w:val="single" w:sz="6" w:space="0" w:color="auto"/>
              <w:right w:val="single" w:sz="6" w:space="0" w:color="auto"/>
            </w:tcBorders>
            <w:vAlign w:val="center"/>
            <w:hideMark/>
          </w:tcPr>
          <w:p w14:paraId="5509EAC3" w14:textId="263E941F" w:rsidR="003C2FDE" w:rsidRPr="0034010A" w:rsidRDefault="00E87C30" w:rsidP="00044E89">
            <w:pPr>
              <w:jc w:val="left"/>
              <w:textAlignment w:val="baseline"/>
              <w:rPr>
                <w:rFonts w:ascii="Arial Narrow" w:hAnsi="Arial Narrow" w:cs="Times New Roman"/>
                <w:sz w:val="20"/>
                <w:szCs w:val="20"/>
              </w:rPr>
            </w:pPr>
            <w:r>
              <w:rPr>
                <w:rFonts w:ascii="Arial Narrow" w:hAnsi="Arial Narrow" w:cs="Times New Roman"/>
                <w:sz w:val="20"/>
                <w:szCs w:val="20"/>
              </w:rPr>
              <w:t xml:space="preserve">The </w:t>
            </w:r>
            <w:r w:rsidRPr="0034010A">
              <w:rPr>
                <w:rFonts w:ascii="Arial Narrow" w:hAnsi="Arial Narrow" w:cs="Times New Roman"/>
                <w:sz w:val="20"/>
                <w:szCs w:val="20"/>
              </w:rPr>
              <w:t>DUSC noted this parameter was dependent on the mean doses per course of treatment. </w:t>
            </w:r>
            <w:r w:rsidR="003C2FDE" w:rsidRPr="0034010A">
              <w:rPr>
                <w:rFonts w:ascii="Arial Narrow" w:hAnsi="Arial Narrow" w:cs="Times New Roman"/>
                <w:sz w:val="20"/>
                <w:szCs w:val="20"/>
              </w:rPr>
              <w:t>The method used to adjust treatment exposure between 3 and 4 weekly regimens appeared reasonable. However, the assumption that the mean number of doses of durvalumab would be the same as for atezolizumab monotherapy was not adequately supported. </w:t>
            </w:r>
          </w:p>
        </w:tc>
      </w:tr>
      <w:tr w:rsidR="00E87C30" w:rsidRPr="0034010A" w14:paraId="4B794BFA" w14:textId="77777777" w:rsidTr="00044E89">
        <w:trPr>
          <w:trHeight w:val="300"/>
        </w:trPr>
        <w:tc>
          <w:tcPr>
            <w:tcW w:w="1133" w:type="dxa"/>
            <w:tcBorders>
              <w:top w:val="single" w:sz="6" w:space="0" w:color="auto"/>
              <w:left w:val="single" w:sz="6" w:space="0" w:color="auto"/>
              <w:bottom w:val="single" w:sz="6" w:space="0" w:color="auto"/>
              <w:right w:val="single" w:sz="6" w:space="0" w:color="auto"/>
            </w:tcBorders>
            <w:vAlign w:val="center"/>
            <w:hideMark/>
          </w:tcPr>
          <w:p w14:paraId="65865ECB" w14:textId="77777777" w:rsidR="00E87C30" w:rsidRPr="0034010A" w:rsidRDefault="00E87C30"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Lurbinectedin average dose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6EEF82F6" w14:textId="77777777" w:rsidR="00E87C30" w:rsidRPr="0034010A" w:rsidRDefault="00E87C30"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Lurbinectedin 6.83 mg </w:t>
            </w:r>
          </w:p>
          <w:p w14:paraId="758002D0" w14:textId="77777777" w:rsidR="00E87C30" w:rsidRPr="0034010A" w:rsidRDefault="00E87C30"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(3.42 × 2 mg vials) </w:t>
            </w:r>
          </w:p>
        </w:tc>
        <w:tc>
          <w:tcPr>
            <w:tcW w:w="2357" w:type="dxa"/>
            <w:tcBorders>
              <w:top w:val="single" w:sz="6" w:space="0" w:color="auto"/>
              <w:left w:val="single" w:sz="6" w:space="0" w:color="auto"/>
              <w:bottom w:val="single" w:sz="6" w:space="0" w:color="auto"/>
              <w:right w:val="single" w:sz="6" w:space="0" w:color="auto"/>
            </w:tcBorders>
            <w:vAlign w:val="center"/>
            <w:hideMark/>
          </w:tcPr>
          <w:p w14:paraId="4AF8D1AF" w14:textId="3F77C401" w:rsidR="00E87C30" w:rsidRPr="0034010A" w:rsidRDefault="00E87C30"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Based on the effective EMP per average dose of $</w:t>
            </w:r>
            <w:r w:rsidR="00C8249A" w:rsidRPr="00C8249A">
              <w:rPr>
                <w:rFonts w:ascii="Arial Narrow" w:hAnsi="Arial Narrow" w:cs="Times New Roman"/>
                <w:sz w:val="20"/>
                <w:szCs w:val="20"/>
                <w:highlight w:val="black"/>
              </w:rPr>
              <w:t>&amp;&amp;&amp;&amp;</w:t>
            </w:r>
            <w:r w:rsidRPr="0034010A">
              <w:rPr>
                <w:rFonts w:ascii="Arial Narrow" w:hAnsi="Arial Narrow" w:cs="Times New Roman"/>
                <w:sz w:val="20"/>
                <w:szCs w:val="20"/>
              </w:rPr>
              <w:t xml:space="preserve"> ($</w:t>
            </w:r>
            <w:r w:rsidR="00C8249A" w:rsidRPr="00C8249A">
              <w:rPr>
                <w:rFonts w:ascii="Arial Narrow" w:hAnsi="Arial Narrow" w:cs="Times New Roman"/>
                <w:sz w:val="20"/>
                <w:szCs w:val="20"/>
                <w:highlight w:val="black"/>
              </w:rPr>
              <w:t>&amp;&amp;&amp;&amp;</w:t>
            </w:r>
            <w:r w:rsidRPr="0034010A">
              <w:rPr>
                <w:rFonts w:ascii="Arial Narrow" w:hAnsi="Arial Narrow" w:cs="Times New Roman"/>
                <w:sz w:val="20"/>
                <w:szCs w:val="20"/>
              </w:rPr>
              <w:t xml:space="preserve"> × 3.42 × 2 mg vials) assuming a public/private hospital split of 47.1%/52.9% (based on the distribution of atezolizumab and durvalumab maintenance script use in 2024). </w:t>
            </w:r>
          </w:p>
        </w:tc>
        <w:tc>
          <w:tcPr>
            <w:tcW w:w="4199" w:type="dxa"/>
            <w:tcBorders>
              <w:top w:val="single" w:sz="6" w:space="0" w:color="auto"/>
              <w:left w:val="single" w:sz="6" w:space="0" w:color="auto"/>
              <w:bottom w:val="single" w:sz="6" w:space="0" w:color="auto"/>
              <w:right w:val="single" w:sz="6" w:space="0" w:color="auto"/>
            </w:tcBorders>
            <w:vAlign w:val="center"/>
            <w:hideMark/>
          </w:tcPr>
          <w:p w14:paraId="1BDA8036" w14:textId="0905EC1C" w:rsidR="00E87C30" w:rsidRPr="0034010A" w:rsidRDefault="00E87C30"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The submission requested listing of both 2</w:t>
            </w:r>
            <w:r w:rsidRPr="0034010A">
              <w:rPr>
                <w:rFonts w:ascii="Arial" w:hAnsi="Arial"/>
                <w:sz w:val="20"/>
                <w:szCs w:val="20"/>
              </w:rPr>
              <w:t> </w:t>
            </w:r>
            <w:r w:rsidRPr="0034010A">
              <w:rPr>
                <w:rFonts w:ascii="Arial Narrow" w:hAnsi="Arial Narrow" w:cs="Times New Roman"/>
                <w:sz w:val="20"/>
                <w:szCs w:val="20"/>
              </w:rPr>
              <w:t>mg and 4 mg vials</w:t>
            </w:r>
            <w:r>
              <w:rPr>
                <w:rFonts w:ascii="Arial Narrow" w:hAnsi="Arial Narrow" w:cs="Times New Roman"/>
                <w:sz w:val="20"/>
                <w:szCs w:val="20"/>
              </w:rPr>
              <w:t>;</w:t>
            </w:r>
            <w:r w:rsidRPr="0034010A">
              <w:rPr>
                <w:rFonts w:ascii="Arial Narrow" w:hAnsi="Arial Narrow" w:cs="Times New Roman"/>
                <w:sz w:val="20"/>
                <w:szCs w:val="20"/>
              </w:rPr>
              <w:t xml:space="preserve"> however, the estimated average dose of lurbinectedin was derived based on 2 mg vials only. The mean BSA derived from the IMforte trial was not reported in the IMforte CSR or key publications (Paz-Ares 2025)</w:t>
            </w:r>
            <w:r w:rsidR="00D60CB3">
              <w:rPr>
                <w:rFonts w:ascii="Arial Narrow" w:hAnsi="Arial Narrow" w:cs="Times New Roman"/>
                <w:sz w:val="20"/>
                <w:szCs w:val="20"/>
              </w:rPr>
              <w:t xml:space="preserve"> </w:t>
            </w:r>
            <w:r w:rsidRPr="0034010A">
              <w:rPr>
                <w:rFonts w:ascii="Arial Narrow" w:hAnsi="Arial Narrow" w:cs="Times New Roman"/>
                <w:sz w:val="20"/>
                <w:szCs w:val="20"/>
              </w:rPr>
              <w:t>and could not be verified.  Mean BSA reported in the atezolizumab IMpower133 trial was 1.86</w:t>
            </w:r>
            <w:r w:rsidRPr="0034010A">
              <w:rPr>
                <w:rFonts w:ascii="Arial" w:hAnsi="Arial"/>
                <w:sz w:val="20"/>
                <w:szCs w:val="20"/>
              </w:rPr>
              <w:t> </w:t>
            </w:r>
            <w:r w:rsidRPr="0034010A">
              <w:rPr>
                <w:rFonts w:ascii="Arial Narrow" w:hAnsi="Arial Narrow" w:cs="Times New Roman"/>
                <w:sz w:val="20"/>
                <w:szCs w:val="20"/>
              </w:rPr>
              <w:t>m</w:t>
            </w:r>
            <w:r w:rsidRPr="0034010A">
              <w:rPr>
                <w:rFonts w:ascii="Arial Narrow" w:hAnsi="Arial Narrow" w:cs="Times New Roman"/>
                <w:sz w:val="20"/>
                <w:szCs w:val="20"/>
                <w:vertAlign w:val="superscript"/>
              </w:rPr>
              <w:t>2</w:t>
            </w:r>
            <w:r w:rsidRPr="0034010A">
              <w:rPr>
                <w:rFonts w:ascii="Arial Narrow" w:hAnsi="Arial Narrow" w:cs="Times New Roman"/>
                <w:sz w:val="20"/>
                <w:szCs w:val="20"/>
              </w:rPr>
              <w:t>. Dooley 2004, a study of Australian patients presenting for chemotherapy at a Melbourne cancer clinic between 1996 and 2000, estimated a mean BSA 1.80 m</w:t>
            </w:r>
            <w:r w:rsidRPr="0034010A">
              <w:rPr>
                <w:rFonts w:ascii="Arial Narrow" w:hAnsi="Arial Narrow" w:cs="Times New Roman"/>
                <w:sz w:val="20"/>
                <w:szCs w:val="20"/>
                <w:vertAlign w:val="superscript"/>
              </w:rPr>
              <w:t>2</w:t>
            </w:r>
            <w:r w:rsidRPr="0034010A">
              <w:rPr>
                <w:rFonts w:ascii="Arial Narrow" w:hAnsi="Arial Narrow" w:cs="Times New Roman"/>
                <w:sz w:val="20"/>
                <w:szCs w:val="20"/>
              </w:rPr>
              <w:t> when calculating treatment costs for BSA-based dosing regimens. </w:t>
            </w:r>
          </w:p>
          <w:p w14:paraId="446AACF0" w14:textId="77B57ECB" w:rsidR="00E87C30" w:rsidRPr="0034010A" w:rsidRDefault="00D60CB3" w:rsidP="00044E89">
            <w:pPr>
              <w:jc w:val="left"/>
              <w:textAlignment w:val="baseline"/>
              <w:rPr>
                <w:rFonts w:ascii="Arial Narrow" w:hAnsi="Arial Narrow" w:cs="Times New Roman"/>
                <w:sz w:val="20"/>
                <w:szCs w:val="20"/>
              </w:rPr>
            </w:pPr>
            <w:r>
              <w:rPr>
                <w:rFonts w:ascii="Arial Narrow" w:hAnsi="Arial Narrow" w:cs="Times New Roman"/>
                <w:sz w:val="20"/>
                <w:szCs w:val="20"/>
              </w:rPr>
              <w:t xml:space="preserve">The </w:t>
            </w:r>
            <w:r w:rsidR="00E87C30" w:rsidRPr="0034010A">
              <w:rPr>
                <w:rFonts w:ascii="Arial Narrow" w:hAnsi="Arial Narrow" w:cs="Times New Roman"/>
                <w:sz w:val="20"/>
                <w:szCs w:val="20"/>
              </w:rPr>
              <w:t xml:space="preserve">DUSC considered this parameter to be </w:t>
            </w:r>
            <w:r w:rsidRPr="0034010A">
              <w:rPr>
                <w:rFonts w:ascii="Arial Narrow" w:hAnsi="Arial Narrow" w:cs="Times New Roman"/>
                <w:sz w:val="20"/>
                <w:szCs w:val="20"/>
              </w:rPr>
              <w:t>reasonable</w:t>
            </w:r>
            <w:r>
              <w:rPr>
                <w:rFonts w:ascii="Arial Narrow" w:hAnsi="Arial Narrow" w:cs="Times New Roman"/>
                <w:sz w:val="20"/>
                <w:szCs w:val="20"/>
              </w:rPr>
              <w:t xml:space="preserve"> but noted </w:t>
            </w:r>
            <w:r w:rsidR="00E87C30" w:rsidRPr="0034010A">
              <w:rPr>
                <w:rFonts w:ascii="Arial Narrow" w:hAnsi="Arial Narrow" w:cs="Times New Roman"/>
                <w:sz w:val="20"/>
                <w:szCs w:val="20"/>
              </w:rPr>
              <w:t>the Dooley 2004 study may not reflect current mean BSA given the study was conducted over 20 years ago.  </w:t>
            </w:r>
          </w:p>
        </w:tc>
      </w:tr>
      <w:tr w:rsidR="00D60CB3" w:rsidRPr="0034010A" w14:paraId="29E63434" w14:textId="77777777" w:rsidTr="00044E89">
        <w:trPr>
          <w:trHeight w:val="300"/>
        </w:trPr>
        <w:tc>
          <w:tcPr>
            <w:tcW w:w="1133" w:type="dxa"/>
            <w:tcBorders>
              <w:top w:val="single" w:sz="6" w:space="0" w:color="auto"/>
              <w:left w:val="single" w:sz="6" w:space="0" w:color="auto"/>
              <w:bottom w:val="single" w:sz="6" w:space="0" w:color="auto"/>
              <w:right w:val="single" w:sz="6" w:space="0" w:color="auto"/>
            </w:tcBorders>
            <w:vAlign w:val="center"/>
            <w:hideMark/>
          </w:tcPr>
          <w:p w14:paraId="07649907" w14:textId="77777777" w:rsidR="00D60CB3" w:rsidRPr="0034010A" w:rsidRDefault="00D60CB3"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Lurbinectedin weighted average effective price per average dose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394F67E7" w14:textId="70A73D0B" w:rsidR="00D60CB3" w:rsidRPr="0034010A" w:rsidRDefault="00D60CB3"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Public: $</w:t>
            </w:r>
            <w:r w:rsidR="00C8249A" w:rsidRPr="00C8249A">
              <w:rPr>
                <w:rFonts w:ascii="Arial Narrow" w:hAnsi="Arial Narrow" w:cs="Times New Roman"/>
                <w:sz w:val="20"/>
                <w:szCs w:val="20"/>
                <w:highlight w:val="black"/>
              </w:rPr>
              <w:t>&amp;&amp;&amp;&amp;</w:t>
            </w:r>
            <w:r w:rsidRPr="0034010A">
              <w:rPr>
                <w:rFonts w:ascii="Arial Narrow" w:hAnsi="Arial Narrow" w:cs="Times New Roman"/>
                <w:sz w:val="20"/>
                <w:szCs w:val="20"/>
              </w:rPr>
              <w:t> </w:t>
            </w:r>
          </w:p>
          <w:p w14:paraId="3651D1E6" w14:textId="5ADDB14D" w:rsidR="00D60CB3" w:rsidRPr="0034010A" w:rsidRDefault="00D60CB3"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Private: $</w:t>
            </w:r>
            <w:r w:rsidR="00C8249A" w:rsidRPr="00C8249A">
              <w:rPr>
                <w:rFonts w:ascii="Arial Narrow" w:hAnsi="Arial Narrow" w:cs="Times New Roman"/>
                <w:sz w:val="20"/>
                <w:szCs w:val="20"/>
                <w:highlight w:val="black"/>
              </w:rPr>
              <w:t>&amp;&amp;&amp;&amp;</w:t>
            </w:r>
            <w:r w:rsidRPr="0034010A">
              <w:rPr>
                <w:rFonts w:ascii="Arial Narrow" w:hAnsi="Arial Narrow" w:cs="Times New Roman"/>
                <w:sz w:val="20"/>
                <w:szCs w:val="20"/>
              </w:rPr>
              <w:t> </w:t>
            </w:r>
          </w:p>
          <w:p w14:paraId="7BEE3B3E" w14:textId="77777777" w:rsidR="00D60CB3" w:rsidRPr="0034010A" w:rsidRDefault="00D60CB3"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weighted average: </w:t>
            </w:r>
          </w:p>
          <w:p w14:paraId="7D63BFCB" w14:textId="05E7BCCE" w:rsidR="00D60CB3" w:rsidRPr="0034010A" w:rsidRDefault="00D60CB3"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Pr="0034010A">
              <w:rPr>
                <w:rFonts w:ascii="Arial Narrow" w:hAnsi="Arial Narrow" w:cs="Times New Roman"/>
                <w:sz w:val="20"/>
                <w:szCs w:val="20"/>
              </w:rPr>
              <w:t> </w:t>
            </w:r>
          </w:p>
        </w:tc>
        <w:tc>
          <w:tcPr>
            <w:tcW w:w="2357" w:type="dxa"/>
            <w:tcBorders>
              <w:top w:val="single" w:sz="6" w:space="0" w:color="auto"/>
              <w:left w:val="single" w:sz="6" w:space="0" w:color="auto"/>
              <w:bottom w:val="single" w:sz="6" w:space="0" w:color="auto"/>
              <w:right w:val="single" w:sz="6" w:space="0" w:color="auto"/>
            </w:tcBorders>
            <w:vAlign w:val="center"/>
            <w:hideMark/>
          </w:tcPr>
          <w:p w14:paraId="76C1BBC4" w14:textId="6D7A1EB1" w:rsidR="00D60CB3" w:rsidRPr="0034010A" w:rsidRDefault="00D60CB3"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Based on the effective EMP per median dose of $</w:t>
            </w:r>
            <w:r w:rsidR="00C8249A" w:rsidRPr="00C8249A">
              <w:rPr>
                <w:rFonts w:ascii="Arial Narrow" w:hAnsi="Arial Narrow" w:cs="Times New Roman"/>
                <w:sz w:val="20"/>
                <w:szCs w:val="20"/>
                <w:highlight w:val="black"/>
              </w:rPr>
              <w:t>&amp;&amp;&amp;&amp;</w:t>
            </w:r>
            <w:r w:rsidRPr="0034010A">
              <w:rPr>
                <w:rFonts w:ascii="Arial Narrow" w:hAnsi="Arial Narrow" w:cs="Times New Roman"/>
                <w:sz w:val="20"/>
                <w:szCs w:val="20"/>
              </w:rPr>
              <w:t xml:space="preserve"> ($</w:t>
            </w:r>
            <w:r w:rsidR="00C8249A" w:rsidRPr="00C8249A">
              <w:rPr>
                <w:rFonts w:ascii="Arial Narrow" w:hAnsi="Arial Narrow" w:cs="Times New Roman"/>
                <w:sz w:val="20"/>
                <w:szCs w:val="20"/>
                <w:highlight w:val="black"/>
              </w:rPr>
              <w:t>&amp;&amp;&amp;&amp;</w:t>
            </w:r>
            <w:r w:rsidRPr="0034010A">
              <w:rPr>
                <w:rFonts w:ascii="Arial Narrow" w:hAnsi="Arial Narrow" w:cs="Times New Roman"/>
                <w:sz w:val="20"/>
                <w:szCs w:val="20"/>
              </w:rPr>
              <w:t xml:space="preserve"> × 3.42 vials) assuming a public/private hospital split of 47.1%/52.9%. </w:t>
            </w:r>
          </w:p>
        </w:tc>
        <w:tc>
          <w:tcPr>
            <w:tcW w:w="4199" w:type="dxa"/>
            <w:tcBorders>
              <w:top w:val="single" w:sz="6" w:space="0" w:color="auto"/>
              <w:left w:val="single" w:sz="6" w:space="0" w:color="auto"/>
              <w:bottom w:val="single" w:sz="6" w:space="0" w:color="auto"/>
              <w:right w:val="single" w:sz="6" w:space="0" w:color="auto"/>
            </w:tcBorders>
            <w:vAlign w:val="center"/>
            <w:hideMark/>
          </w:tcPr>
          <w:p w14:paraId="09AF6C9B" w14:textId="5125F38D" w:rsidR="00D60CB3" w:rsidRPr="0034010A" w:rsidRDefault="00427DE3" w:rsidP="00044E89">
            <w:pPr>
              <w:jc w:val="left"/>
              <w:textAlignment w:val="baseline"/>
              <w:rPr>
                <w:rFonts w:ascii="Arial Narrow" w:hAnsi="Arial Narrow" w:cs="Times New Roman"/>
                <w:sz w:val="20"/>
                <w:szCs w:val="20"/>
              </w:rPr>
            </w:pPr>
            <w:r>
              <w:rPr>
                <w:rFonts w:ascii="Arial Narrow" w:hAnsi="Arial Narrow" w:cs="Times New Roman"/>
                <w:sz w:val="20"/>
                <w:szCs w:val="20"/>
              </w:rPr>
              <w:t>The effective EMP for lurbinectedin was reduced from $</w:t>
            </w:r>
            <w:r w:rsidR="00C8249A" w:rsidRPr="00C8249A">
              <w:rPr>
                <w:rFonts w:ascii="Arial Narrow" w:hAnsi="Arial Narrow" w:cs="Times New Roman"/>
                <w:sz w:val="20"/>
                <w:szCs w:val="20"/>
                <w:highlight w:val="black"/>
              </w:rPr>
              <w:t>&amp;&amp;&amp;&amp;</w:t>
            </w:r>
            <w:r>
              <w:rPr>
                <w:rFonts w:ascii="Arial Narrow" w:hAnsi="Arial Narrow" w:cs="Times New Roman"/>
                <w:sz w:val="20"/>
                <w:szCs w:val="20"/>
              </w:rPr>
              <w:t xml:space="preserve"> per 2 mg vial to $</w:t>
            </w:r>
            <w:r w:rsidR="00C8249A" w:rsidRPr="00C8249A">
              <w:rPr>
                <w:rFonts w:ascii="Arial Narrow" w:hAnsi="Arial Narrow" w:cs="Times New Roman"/>
                <w:sz w:val="20"/>
                <w:szCs w:val="20"/>
                <w:highlight w:val="black"/>
              </w:rPr>
              <w:t>&amp;&amp;&amp;&amp;</w:t>
            </w:r>
            <w:r>
              <w:rPr>
                <w:rFonts w:ascii="Arial Narrow" w:hAnsi="Arial Narrow" w:cs="Times New Roman"/>
                <w:sz w:val="20"/>
                <w:szCs w:val="20"/>
              </w:rPr>
              <w:t xml:space="preserve"> per 2 mg vial in the pre-PBAC response.</w:t>
            </w:r>
          </w:p>
        </w:tc>
      </w:tr>
      <w:tr w:rsidR="00C44092" w:rsidRPr="0034010A" w14:paraId="42705A84" w14:textId="77777777" w:rsidTr="007A1531">
        <w:trPr>
          <w:cantSplit/>
          <w:trHeight w:val="300"/>
        </w:trPr>
        <w:tc>
          <w:tcPr>
            <w:tcW w:w="1133" w:type="dxa"/>
            <w:tcBorders>
              <w:top w:val="single" w:sz="6" w:space="0" w:color="auto"/>
              <w:left w:val="single" w:sz="6" w:space="0" w:color="auto"/>
              <w:bottom w:val="single" w:sz="6" w:space="0" w:color="auto"/>
              <w:right w:val="single" w:sz="6" w:space="0" w:color="auto"/>
            </w:tcBorders>
            <w:vAlign w:val="center"/>
            <w:hideMark/>
          </w:tcPr>
          <w:p w14:paraId="7F6D6F37" w14:textId="77777777" w:rsidR="00C44092" w:rsidRPr="0034010A" w:rsidRDefault="00C44092"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Atezolizumab dispensed effective price per dose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24507BA5" w14:textId="77777777" w:rsidR="00C44092" w:rsidRPr="0034010A" w:rsidRDefault="00C44092"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Atezolizumab 3 weekly Public: $1,778.07 </w:t>
            </w:r>
          </w:p>
          <w:p w14:paraId="3EA41EF7" w14:textId="77777777" w:rsidR="00C44092" w:rsidRPr="0034010A" w:rsidRDefault="00C44092"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Private: $1,918.20 </w:t>
            </w:r>
          </w:p>
          <w:p w14:paraId="3944C226" w14:textId="77777777" w:rsidR="00C44092" w:rsidRPr="0034010A" w:rsidRDefault="00C44092"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General: $1,849.77 </w:t>
            </w:r>
          </w:p>
          <w:p w14:paraId="1DD8EC2C" w14:textId="77777777" w:rsidR="00C44092" w:rsidRPr="0034010A" w:rsidRDefault="00C44092"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S100 (CT): $1,686.84 </w:t>
            </w:r>
          </w:p>
          <w:p w14:paraId="25E90896" w14:textId="77777777" w:rsidR="00C44092" w:rsidRPr="0034010A" w:rsidRDefault="00C44092"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Atezolizumab 4 weekly </w:t>
            </w:r>
          </w:p>
          <w:p w14:paraId="77FB2999" w14:textId="77777777" w:rsidR="00C44092" w:rsidRPr="0034010A" w:rsidRDefault="00C44092"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Public: $2,452.81 </w:t>
            </w:r>
          </w:p>
          <w:p w14:paraId="7977BAE1" w14:textId="77777777" w:rsidR="00C44092" w:rsidRPr="0034010A" w:rsidRDefault="00C44092"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Private: $2,630.72 </w:t>
            </w:r>
          </w:p>
        </w:tc>
        <w:tc>
          <w:tcPr>
            <w:tcW w:w="2357" w:type="dxa"/>
            <w:tcBorders>
              <w:top w:val="single" w:sz="6" w:space="0" w:color="auto"/>
              <w:left w:val="single" w:sz="6" w:space="0" w:color="auto"/>
              <w:bottom w:val="single" w:sz="6" w:space="0" w:color="auto"/>
              <w:right w:val="single" w:sz="6" w:space="0" w:color="auto"/>
            </w:tcBorders>
            <w:vAlign w:val="center"/>
            <w:hideMark/>
          </w:tcPr>
          <w:p w14:paraId="014943F3" w14:textId="77777777" w:rsidR="00C44092" w:rsidRPr="0034010A" w:rsidRDefault="00C44092"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Based on an effective AEMP of $1,686.84 per vial (3 weekly) and $2,361.58 per vial (4 weekly) assuming a 75% rebate on the published AEMP per vial ($6,747.37; $9,446.30), and maximum amount dispensed. </w:t>
            </w:r>
          </w:p>
        </w:tc>
        <w:tc>
          <w:tcPr>
            <w:tcW w:w="4199" w:type="dxa"/>
            <w:vMerge w:val="restart"/>
            <w:tcBorders>
              <w:top w:val="single" w:sz="6" w:space="0" w:color="auto"/>
              <w:left w:val="single" w:sz="6" w:space="0" w:color="auto"/>
              <w:right w:val="single" w:sz="6" w:space="0" w:color="auto"/>
            </w:tcBorders>
            <w:vAlign w:val="center"/>
            <w:hideMark/>
          </w:tcPr>
          <w:p w14:paraId="5DC750B7" w14:textId="10DB16C4" w:rsidR="00C44092" w:rsidRPr="0034010A" w:rsidRDefault="00C44092" w:rsidP="00B85178">
            <w:pPr>
              <w:jc w:val="left"/>
              <w:textAlignment w:val="baseline"/>
              <w:rPr>
                <w:rFonts w:ascii="Arial Narrow" w:hAnsi="Arial Narrow" w:cs="Times New Roman"/>
                <w:sz w:val="20"/>
                <w:szCs w:val="20"/>
              </w:rPr>
            </w:pPr>
            <w:r w:rsidRPr="0034010A">
              <w:rPr>
                <w:rFonts w:ascii="Arial Narrow" w:hAnsi="Arial Narrow" w:cs="Times New Roman"/>
                <w:sz w:val="20"/>
                <w:szCs w:val="20"/>
              </w:rPr>
              <w:t xml:space="preserve">Atezolizumab and durvalumab are subject to special pricing arrangements. The submission </w:t>
            </w:r>
            <w:r>
              <w:rPr>
                <w:rFonts w:ascii="Arial Narrow" w:hAnsi="Arial Narrow" w:cs="Times New Roman"/>
                <w:sz w:val="20"/>
                <w:szCs w:val="20"/>
              </w:rPr>
              <w:t>assumed</w:t>
            </w:r>
            <w:r w:rsidRPr="0034010A">
              <w:rPr>
                <w:rFonts w:ascii="Arial Narrow" w:hAnsi="Arial Narrow" w:cs="Times New Roman"/>
                <w:sz w:val="20"/>
                <w:szCs w:val="20"/>
              </w:rPr>
              <w:t xml:space="preserve"> a rebate of 75%. </w:t>
            </w:r>
          </w:p>
        </w:tc>
      </w:tr>
      <w:tr w:rsidR="00C44092" w:rsidRPr="0034010A" w14:paraId="0CC0C595" w14:textId="77777777" w:rsidTr="003E7279">
        <w:trPr>
          <w:trHeight w:val="300"/>
        </w:trPr>
        <w:tc>
          <w:tcPr>
            <w:tcW w:w="1133" w:type="dxa"/>
            <w:tcBorders>
              <w:top w:val="single" w:sz="6" w:space="0" w:color="auto"/>
              <w:left w:val="single" w:sz="6" w:space="0" w:color="auto"/>
              <w:bottom w:val="single" w:sz="6" w:space="0" w:color="auto"/>
              <w:right w:val="single" w:sz="6" w:space="0" w:color="auto"/>
            </w:tcBorders>
            <w:vAlign w:val="center"/>
            <w:hideMark/>
          </w:tcPr>
          <w:p w14:paraId="6B4D5237" w14:textId="77777777" w:rsidR="00C44092" w:rsidRPr="0034010A" w:rsidRDefault="00C44092"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Durvalumab dispensed effective cost per dose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10580723" w14:textId="77777777" w:rsidR="00C44092" w:rsidRPr="0034010A" w:rsidRDefault="00C44092"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Durvalumab 4 weekly </w:t>
            </w:r>
          </w:p>
          <w:p w14:paraId="1C1686A2" w14:textId="77777777" w:rsidR="00C44092" w:rsidRPr="0034010A" w:rsidRDefault="00C44092"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Public: $2,781.81 </w:t>
            </w:r>
          </w:p>
          <w:p w14:paraId="2737C22E" w14:textId="77777777" w:rsidR="00C44092" w:rsidRPr="0034010A" w:rsidRDefault="00C44092"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Private: $2,978.14  </w:t>
            </w:r>
          </w:p>
        </w:tc>
        <w:tc>
          <w:tcPr>
            <w:tcW w:w="2357" w:type="dxa"/>
            <w:tcBorders>
              <w:top w:val="single" w:sz="6" w:space="0" w:color="auto"/>
              <w:left w:val="single" w:sz="6" w:space="0" w:color="auto"/>
              <w:bottom w:val="single" w:sz="6" w:space="0" w:color="auto"/>
              <w:right w:val="single" w:sz="6" w:space="0" w:color="auto"/>
            </w:tcBorders>
            <w:vAlign w:val="center"/>
            <w:hideMark/>
          </w:tcPr>
          <w:p w14:paraId="21212392" w14:textId="45A132D4" w:rsidR="00C44092" w:rsidRPr="0034010A" w:rsidRDefault="00C44092"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Based on an effective AEMP of $2,361.58 per vial assuming a 75% rebate on the published AEMP ($3</w:t>
            </w:r>
            <w:r w:rsidR="00B85178">
              <w:rPr>
                <w:rFonts w:ascii="Arial Narrow" w:hAnsi="Arial Narrow" w:cs="Times New Roman"/>
                <w:sz w:val="20"/>
                <w:szCs w:val="20"/>
              </w:rPr>
              <w:t>,</w:t>
            </w:r>
            <w:r w:rsidRPr="0034010A">
              <w:rPr>
                <w:rFonts w:ascii="Arial Narrow" w:hAnsi="Arial Narrow" w:cs="Times New Roman"/>
                <w:sz w:val="20"/>
                <w:szCs w:val="20"/>
              </w:rPr>
              <w:t>587.44), and maximum amount dispensed. </w:t>
            </w:r>
          </w:p>
        </w:tc>
        <w:tc>
          <w:tcPr>
            <w:tcW w:w="4199" w:type="dxa"/>
            <w:vMerge/>
            <w:tcBorders>
              <w:left w:val="single" w:sz="6" w:space="0" w:color="auto"/>
              <w:bottom w:val="single" w:sz="6" w:space="0" w:color="auto"/>
              <w:right w:val="single" w:sz="6" w:space="0" w:color="auto"/>
            </w:tcBorders>
            <w:vAlign w:val="center"/>
            <w:hideMark/>
          </w:tcPr>
          <w:p w14:paraId="34D93B32" w14:textId="68827432" w:rsidR="00C44092" w:rsidRPr="0034010A" w:rsidRDefault="00C44092" w:rsidP="00044E89">
            <w:pPr>
              <w:jc w:val="left"/>
              <w:textAlignment w:val="baseline"/>
              <w:rPr>
                <w:rFonts w:ascii="Arial Narrow" w:hAnsi="Arial Narrow" w:cs="Times New Roman"/>
                <w:sz w:val="20"/>
                <w:szCs w:val="20"/>
              </w:rPr>
            </w:pPr>
          </w:p>
        </w:tc>
      </w:tr>
      <w:tr w:rsidR="004B7851" w:rsidRPr="0034010A" w14:paraId="7DCC4A26" w14:textId="77777777" w:rsidTr="00044E89">
        <w:trPr>
          <w:trHeight w:val="300"/>
        </w:trPr>
        <w:tc>
          <w:tcPr>
            <w:tcW w:w="1133" w:type="dxa"/>
            <w:tcBorders>
              <w:top w:val="single" w:sz="6" w:space="0" w:color="auto"/>
              <w:left w:val="single" w:sz="6" w:space="0" w:color="auto"/>
              <w:bottom w:val="single" w:sz="6" w:space="0" w:color="auto"/>
              <w:right w:val="single" w:sz="6" w:space="0" w:color="auto"/>
            </w:tcBorders>
            <w:vAlign w:val="center"/>
            <w:hideMark/>
          </w:tcPr>
          <w:p w14:paraId="5A68A57E" w14:textId="77777777" w:rsidR="004B7851" w:rsidRPr="0034010A" w:rsidRDefault="004B7851"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Average copayment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7BA1ADBC" w14:textId="77777777" w:rsidR="004B7851" w:rsidRPr="0034010A" w:rsidRDefault="004B7851"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PBS: $14.63 </w:t>
            </w:r>
          </w:p>
          <w:p w14:paraId="0492F2C5" w14:textId="77777777" w:rsidR="004B7851" w:rsidRPr="0034010A" w:rsidRDefault="004B7851"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RPBS: $7.61 </w:t>
            </w:r>
          </w:p>
        </w:tc>
        <w:tc>
          <w:tcPr>
            <w:tcW w:w="2357" w:type="dxa"/>
            <w:vMerge w:val="restart"/>
            <w:tcBorders>
              <w:top w:val="single" w:sz="6" w:space="0" w:color="auto"/>
              <w:left w:val="single" w:sz="6" w:space="0" w:color="auto"/>
              <w:bottom w:val="single" w:sz="6" w:space="0" w:color="auto"/>
              <w:right w:val="single" w:sz="6" w:space="0" w:color="auto"/>
            </w:tcBorders>
            <w:vAlign w:val="center"/>
            <w:hideMark/>
          </w:tcPr>
          <w:p w14:paraId="14783195" w14:textId="77777777" w:rsidR="004B7851" w:rsidRPr="0034010A" w:rsidRDefault="004B7851"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Based on ES-SCLC maintenance therapy services for atezolizumab and durvalumab by beneficiary type in the 2024 calendar year. </w:t>
            </w:r>
          </w:p>
        </w:tc>
        <w:tc>
          <w:tcPr>
            <w:tcW w:w="4199" w:type="dxa"/>
            <w:tcBorders>
              <w:top w:val="single" w:sz="6" w:space="0" w:color="auto"/>
              <w:left w:val="single" w:sz="6" w:space="0" w:color="auto"/>
              <w:bottom w:val="single" w:sz="6" w:space="0" w:color="auto"/>
              <w:right w:val="single" w:sz="6" w:space="0" w:color="auto"/>
            </w:tcBorders>
            <w:vAlign w:val="center"/>
            <w:hideMark/>
          </w:tcPr>
          <w:p w14:paraId="07986E4E" w14:textId="7ECDE35E" w:rsidR="004B7851" w:rsidRPr="0034010A" w:rsidRDefault="004B7851" w:rsidP="00044E89">
            <w:pPr>
              <w:jc w:val="left"/>
              <w:textAlignment w:val="baseline"/>
              <w:rPr>
                <w:rFonts w:ascii="Arial Narrow" w:hAnsi="Arial Narrow" w:cs="Times New Roman"/>
                <w:sz w:val="20"/>
                <w:szCs w:val="20"/>
              </w:rPr>
            </w:pPr>
            <w:r>
              <w:rPr>
                <w:rFonts w:ascii="Arial Narrow" w:hAnsi="Arial Narrow" w:cs="Times New Roman"/>
                <w:sz w:val="20"/>
                <w:szCs w:val="20"/>
              </w:rPr>
              <w:t>-</w:t>
            </w:r>
            <w:r w:rsidRPr="0034010A">
              <w:rPr>
                <w:rFonts w:ascii="Arial Narrow" w:hAnsi="Arial Narrow" w:cs="Times New Roman"/>
                <w:sz w:val="20"/>
                <w:szCs w:val="20"/>
              </w:rPr>
              <w:t> </w:t>
            </w:r>
          </w:p>
        </w:tc>
      </w:tr>
      <w:tr w:rsidR="004B7851" w:rsidRPr="0034010A" w14:paraId="7404D171" w14:textId="77777777" w:rsidTr="00044E89">
        <w:trPr>
          <w:trHeight w:val="300"/>
        </w:trPr>
        <w:tc>
          <w:tcPr>
            <w:tcW w:w="1133" w:type="dxa"/>
            <w:tcBorders>
              <w:top w:val="single" w:sz="6" w:space="0" w:color="auto"/>
              <w:left w:val="single" w:sz="6" w:space="0" w:color="auto"/>
              <w:bottom w:val="single" w:sz="6" w:space="0" w:color="auto"/>
              <w:right w:val="single" w:sz="6" w:space="0" w:color="auto"/>
            </w:tcBorders>
            <w:vAlign w:val="center"/>
            <w:hideMark/>
          </w:tcPr>
          <w:p w14:paraId="21458D44" w14:textId="77777777" w:rsidR="004B7851" w:rsidRPr="0034010A" w:rsidRDefault="004B7851"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PBS/RPBS distribution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04492E1E" w14:textId="77777777" w:rsidR="004B7851" w:rsidRPr="0034010A" w:rsidRDefault="004B7851"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PBS: 98.16% </w:t>
            </w:r>
          </w:p>
          <w:p w14:paraId="067AE229" w14:textId="77777777" w:rsidR="004B7851" w:rsidRPr="0034010A" w:rsidRDefault="004B7851"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RPBS: 1.84% </w:t>
            </w:r>
          </w:p>
        </w:tc>
        <w:tc>
          <w:tcPr>
            <w:tcW w:w="2357" w:type="dxa"/>
            <w:vMerge/>
            <w:tcBorders>
              <w:top w:val="single" w:sz="6" w:space="0" w:color="auto"/>
              <w:left w:val="single" w:sz="6" w:space="0" w:color="auto"/>
              <w:bottom w:val="single" w:sz="6" w:space="0" w:color="auto"/>
              <w:right w:val="single" w:sz="6" w:space="0" w:color="auto"/>
            </w:tcBorders>
            <w:vAlign w:val="center"/>
            <w:hideMark/>
          </w:tcPr>
          <w:p w14:paraId="3342E748" w14:textId="77777777" w:rsidR="004B7851" w:rsidRPr="0034010A" w:rsidRDefault="004B7851" w:rsidP="00044E89">
            <w:pPr>
              <w:jc w:val="left"/>
              <w:rPr>
                <w:rFonts w:ascii="Arial Narrow" w:hAnsi="Arial Narrow" w:cs="Times New Roman"/>
                <w:sz w:val="20"/>
                <w:szCs w:val="20"/>
              </w:rPr>
            </w:pPr>
          </w:p>
        </w:tc>
        <w:tc>
          <w:tcPr>
            <w:tcW w:w="4199" w:type="dxa"/>
            <w:tcBorders>
              <w:top w:val="single" w:sz="6" w:space="0" w:color="auto"/>
              <w:left w:val="single" w:sz="6" w:space="0" w:color="auto"/>
              <w:bottom w:val="single" w:sz="6" w:space="0" w:color="auto"/>
              <w:right w:val="single" w:sz="6" w:space="0" w:color="auto"/>
            </w:tcBorders>
            <w:vAlign w:val="center"/>
            <w:hideMark/>
          </w:tcPr>
          <w:p w14:paraId="7180C4A5" w14:textId="7F86DAD2" w:rsidR="004B7851" w:rsidRPr="0034010A" w:rsidRDefault="004B7851" w:rsidP="00044E89">
            <w:pPr>
              <w:jc w:val="left"/>
              <w:textAlignment w:val="baseline"/>
              <w:rPr>
                <w:rFonts w:ascii="Arial Narrow" w:hAnsi="Arial Narrow" w:cs="Times New Roman"/>
                <w:sz w:val="20"/>
                <w:szCs w:val="20"/>
              </w:rPr>
            </w:pPr>
            <w:r>
              <w:rPr>
                <w:rFonts w:ascii="Arial Narrow" w:hAnsi="Arial Narrow" w:cs="Times New Roman"/>
                <w:sz w:val="20"/>
                <w:szCs w:val="20"/>
              </w:rPr>
              <w:t>-</w:t>
            </w:r>
            <w:r w:rsidRPr="0034010A">
              <w:rPr>
                <w:rFonts w:ascii="Arial Narrow" w:hAnsi="Arial Narrow" w:cs="Times New Roman"/>
                <w:sz w:val="20"/>
                <w:szCs w:val="20"/>
              </w:rPr>
              <w:t> </w:t>
            </w:r>
          </w:p>
        </w:tc>
      </w:tr>
      <w:tr w:rsidR="004B7851" w:rsidRPr="0034010A" w14:paraId="6934D65E" w14:textId="77777777" w:rsidTr="00044E89">
        <w:trPr>
          <w:trHeight w:val="300"/>
        </w:trPr>
        <w:tc>
          <w:tcPr>
            <w:tcW w:w="1133" w:type="dxa"/>
            <w:tcBorders>
              <w:top w:val="single" w:sz="6" w:space="0" w:color="auto"/>
              <w:left w:val="single" w:sz="6" w:space="0" w:color="auto"/>
              <w:bottom w:val="single" w:sz="6" w:space="0" w:color="auto"/>
              <w:right w:val="single" w:sz="6" w:space="0" w:color="auto"/>
            </w:tcBorders>
            <w:vAlign w:val="center"/>
            <w:hideMark/>
          </w:tcPr>
          <w:p w14:paraId="77E3E4A4" w14:textId="77777777" w:rsidR="004B7851" w:rsidRPr="0034010A" w:rsidRDefault="004B7851"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Public/private hospital distribution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7CC76CDF" w14:textId="77777777" w:rsidR="004B7851" w:rsidRPr="0034010A" w:rsidRDefault="004B7851"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Public: 47.1% </w:t>
            </w:r>
          </w:p>
          <w:p w14:paraId="09A8AC9D" w14:textId="77777777" w:rsidR="004B7851" w:rsidRPr="0034010A" w:rsidRDefault="004B7851"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Private: 52.9% </w:t>
            </w:r>
          </w:p>
        </w:tc>
        <w:tc>
          <w:tcPr>
            <w:tcW w:w="2357" w:type="dxa"/>
            <w:vMerge/>
            <w:tcBorders>
              <w:top w:val="single" w:sz="6" w:space="0" w:color="auto"/>
              <w:left w:val="single" w:sz="6" w:space="0" w:color="auto"/>
              <w:bottom w:val="single" w:sz="6" w:space="0" w:color="auto"/>
              <w:right w:val="single" w:sz="6" w:space="0" w:color="auto"/>
            </w:tcBorders>
            <w:vAlign w:val="center"/>
            <w:hideMark/>
          </w:tcPr>
          <w:p w14:paraId="26F2B16B" w14:textId="77777777" w:rsidR="004B7851" w:rsidRPr="0034010A" w:rsidRDefault="004B7851" w:rsidP="00044E89">
            <w:pPr>
              <w:jc w:val="left"/>
              <w:rPr>
                <w:rFonts w:ascii="Arial Narrow" w:hAnsi="Arial Narrow" w:cs="Times New Roman"/>
                <w:sz w:val="20"/>
                <w:szCs w:val="20"/>
              </w:rPr>
            </w:pPr>
          </w:p>
        </w:tc>
        <w:tc>
          <w:tcPr>
            <w:tcW w:w="4199" w:type="dxa"/>
            <w:tcBorders>
              <w:top w:val="single" w:sz="6" w:space="0" w:color="auto"/>
              <w:left w:val="single" w:sz="6" w:space="0" w:color="auto"/>
              <w:bottom w:val="single" w:sz="6" w:space="0" w:color="auto"/>
              <w:right w:val="single" w:sz="6" w:space="0" w:color="auto"/>
            </w:tcBorders>
            <w:vAlign w:val="center"/>
            <w:hideMark/>
          </w:tcPr>
          <w:p w14:paraId="50BB7C09" w14:textId="77777777" w:rsidR="004B7851" w:rsidRPr="0034010A" w:rsidRDefault="004B7851"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The public/private hospital split used in the financial estimates was not consistent with the economic evaluation (48.1%/51.9%). </w:t>
            </w:r>
          </w:p>
          <w:p w14:paraId="0B2D702B" w14:textId="35D1E7EF" w:rsidR="004B7851" w:rsidRPr="0034010A" w:rsidRDefault="004B7851"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 </w:t>
            </w:r>
          </w:p>
        </w:tc>
      </w:tr>
      <w:tr w:rsidR="004B7851" w:rsidRPr="0034010A" w14:paraId="5292DB26" w14:textId="77777777" w:rsidTr="00044E89">
        <w:trPr>
          <w:trHeight w:val="300"/>
        </w:trPr>
        <w:tc>
          <w:tcPr>
            <w:tcW w:w="1133" w:type="dxa"/>
            <w:tcBorders>
              <w:top w:val="single" w:sz="6" w:space="0" w:color="auto"/>
              <w:left w:val="single" w:sz="6" w:space="0" w:color="auto"/>
              <w:bottom w:val="single" w:sz="6" w:space="0" w:color="auto"/>
              <w:right w:val="single" w:sz="6" w:space="0" w:color="auto"/>
            </w:tcBorders>
            <w:vAlign w:val="center"/>
            <w:hideMark/>
          </w:tcPr>
          <w:p w14:paraId="2B10CF8F" w14:textId="77777777" w:rsidR="004B7851" w:rsidRPr="0034010A" w:rsidRDefault="004B7851"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Medicine administration </w:t>
            </w:r>
          </w:p>
        </w:tc>
        <w:tc>
          <w:tcPr>
            <w:tcW w:w="1322" w:type="dxa"/>
            <w:tcBorders>
              <w:top w:val="single" w:sz="6" w:space="0" w:color="auto"/>
              <w:left w:val="single" w:sz="6" w:space="0" w:color="auto"/>
              <w:bottom w:val="single" w:sz="6" w:space="0" w:color="auto"/>
              <w:right w:val="single" w:sz="6" w:space="0" w:color="auto"/>
            </w:tcBorders>
            <w:vAlign w:val="center"/>
            <w:hideMark/>
          </w:tcPr>
          <w:p w14:paraId="3EF75AA5" w14:textId="77777777" w:rsidR="004B7851" w:rsidRPr="0034010A" w:rsidRDefault="004B7851" w:rsidP="00044E89">
            <w:pPr>
              <w:jc w:val="center"/>
              <w:textAlignment w:val="baseline"/>
              <w:rPr>
                <w:rFonts w:ascii="Arial Narrow" w:hAnsi="Arial Narrow" w:cs="Times New Roman"/>
                <w:sz w:val="20"/>
                <w:szCs w:val="20"/>
              </w:rPr>
            </w:pPr>
            <w:r w:rsidRPr="0034010A">
              <w:rPr>
                <w:rFonts w:ascii="Arial Narrow" w:hAnsi="Arial Narrow" w:cs="Times New Roman"/>
                <w:sz w:val="20"/>
                <w:szCs w:val="20"/>
              </w:rPr>
              <w:t>$100.80 </w:t>
            </w:r>
          </w:p>
        </w:tc>
        <w:tc>
          <w:tcPr>
            <w:tcW w:w="2357" w:type="dxa"/>
            <w:tcBorders>
              <w:top w:val="single" w:sz="6" w:space="0" w:color="auto"/>
              <w:left w:val="single" w:sz="6" w:space="0" w:color="auto"/>
              <w:bottom w:val="single" w:sz="6" w:space="0" w:color="auto"/>
              <w:right w:val="single" w:sz="6" w:space="0" w:color="auto"/>
            </w:tcBorders>
            <w:vAlign w:val="center"/>
            <w:hideMark/>
          </w:tcPr>
          <w:p w14:paraId="325D4089" w14:textId="77777777" w:rsidR="004B7851" w:rsidRPr="0034010A" w:rsidRDefault="004B7851"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MBS item 13950 (administration of one or more antineoplastic agents). </w:t>
            </w:r>
          </w:p>
          <w:p w14:paraId="3E81A462" w14:textId="77777777" w:rsidR="004B7851" w:rsidRPr="0034010A" w:rsidRDefault="004B7851"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Fee: $126.00, 80% benefit $100.80. </w:t>
            </w:r>
          </w:p>
        </w:tc>
        <w:tc>
          <w:tcPr>
            <w:tcW w:w="4199" w:type="dxa"/>
            <w:tcBorders>
              <w:top w:val="single" w:sz="6" w:space="0" w:color="auto"/>
              <w:left w:val="single" w:sz="6" w:space="0" w:color="auto"/>
              <w:bottom w:val="single" w:sz="6" w:space="0" w:color="auto"/>
              <w:right w:val="single" w:sz="6" w:space="0" w:color="auto"/>
            </w:tcBorders>
            <w:vAlign w:val="center"/>
            <w:hideMark/>
          </w:tcPr>
          <w:p w14:paraId="561623B5" w14:textId="091ABC24" w:rsidR="004B7851" w:rsidRPr="0034010A" w:rsidRDefault="004B7851" w:rsidP="00044E89">
            <w:pPr>
              <w:jc w:val="left"/>
              <w:textAlignment w:val="baseline"/>
              <w:rPr>
                <w:rFonts w:ascii="Arial Narrow" w:hAnsi="Arial Narrow" w:cs="Times New Roman"/>
                <w:sz w:val="20"/>
                <w:szCs w:val="20"/>
              </w:rPr>
            </w:pPr>
            <w:r>
              <w:rPr>
                <w:rFonts w:ascii="Arial Narrow" w:hAnsi="Arial Narrow" w:cs="Times New Roman"/>
                <w:sz w:val="20"/>
                <w:szCs w:val="20"/>
              </w:rPr>
              <w:t>-</w:t>
            </w:r>
          </w:p>
          <w:p w14:paraId="2D7DEA50" w14:textId="78B1BFC0" w:rsidR="004B7851" w:rsidRPr="0034010A" w:rsidRDefault="004B7851" w:rsidP="00044E89">
            <w:pPr>
              <w:jc w:val="left"/>
              <w:textAlignment w:val="baseline"/>
              <w:rPr>
                <w:rFonts w:ascii="Arial Narrow" w:hAnsi="Arial Narrow" w:cs="Times New Roman"/>
                <w:sz w:val="20"/>
                <w:szCs w:val="20"/>
              </w:rPr>
            </w:pPr>
            <w:r w:rsidRPr="0034010A">
              <w:rPr>
                <w:rFonts w:ascii="Arial Narrow" w:hAnsi="Arial Narrow" w:cs="Times New Roman"/>
                <w:sz w:val="20"/>
                <w:szCs w:val="20"/>
              </w:rPr>
              <w:t> </w:t>
            </w:r>
          </w:p>
        </w:tc>
      </w:tr>
    </w:tbl>
    <w:p w14:paraId="66EE23B5" w14:textId="77777777" w:rsidR="00855003" w:rsidRPr="00705738" w:rsidRDefault="00855003" w:rsidP="00855003">
      <w:pPr>
        <w:textAlignment w:val="baseline"/>
        <w:rPr>
          <w:rFonts w:ascii="Segoe UI" w:hAnsi="Segoe UI" w:cs="Segoe UI"/>
          <w:sz w:val="18"/>
          <w:szCs w:val="18"/>
        </w:rPr>
      </w:pPr>
      <w:r w:rsidRPr="00705738">
        <w:rPr>
          <w:rFonts w:ascii="Arial Narrow" w:hAnsi="Arial Narrow" w:cs="Segoe UI"/>
          <w:sz w:val="18"/>
          <w:szCs w:val="18"/>
        </w:rPr>
        <w:t>Source: Section 4, pp187-200 of the submission; MS Excel ‘Zepzelca_SCLC_BIM.xlsx’, provided with the submission. </w:t>
      </w:r>
    </w:p>
    <w:p w14:paraId="58DCCDF7" w14:textId="42389FA5" w:rsidR="00855003" w:rsidRPr="00705738" w:rsidRDefault="00855003" w:rsidP="00855003">
      <w:pPr>
        <w:textAlignment w:val="baseline"/>
        <w:rPr>
          <w:rFonts w:ascii="Segoe UI" w:hAnsi="Segoe UI" w:cs="Segoe UI"/>
          <w:sz w:val="18"/>
          <w:szCs w:val="18"/>
        </w:rPr>
      </w:pPr>
      <w:r w:rsidRPr="00705738">
        <w:rPr>
          <w:rFonts w:ascii="Arial Narrow" w:hAnsi="Arial Narrow" w:cs="Segoe UI"/>
          <w:sz w:val="18"/>
          <w:szCs w:val="18"/>
        </w:rPr>
        <w:t xml:space="preserve">Abbreviations: ATE, atezolizumab; BSA, body surface area; CSR, clinical study report; CT, chemotherapy; DUR, durvalumab; </w:t>
      </w:r>
      <w:r w:rsidR="00C03FA6" w:rsidRPr="00705738">
        <w:rPr>
          <w:rFonts w:ascii="Arial Narrow" w:hAnsi="Arial Narrow" w:cs="Segoe UI"/>
          <w:sz w:val="18"/>
          <w:szCs w:val="18"/>
        </w:rPr>
        <w:t xml:space="preserve">EMP, ex-manufacturer price; </w:t>
      </w:r>
      <w:r w:rsidRPr="00705738">
        <w:rPr>
          <w:rFonts w:ascii="Arial Narrow" w:hAnsi="Arial Narrow" w:cs="Segoe UI"/>
          <w:sz w:val="18"/>
          <w:szCs w:val="18"/>
        </w:rPr>
        <w:t>ES-SCLC, extensive-stage small cell lung cancer; LUR, lurbinectedin; OS, overall survival; PBS, Pharmaceutical Benefits Scheme; PFS, progression free survival; RPBS, Repatriation Pharmaceutical Benefits Scheme; S100, Section 100; </w:t>
      </w:r>
      <w:proofErr w:type="spellStart"/>
      <w:r w:rsidRPr="00705738">
        <w:rPr>
          <w:rFonts w:ascii="Arial Narrow" w:hAnsi="Arial Narrow" w:cs="Segoe UI"/>
          <w:sz w:val="18"/>
          <w:szCs w:val="18"/>
        </w:rPr>
        <w:t>wkly</w:t>
      </w:r>
      <w:proofErr w:type="spellEnd"/>
      <w:r w:rsidRPr="00705738">
        <w:rPr>
          <w:rFonts w:ascii="Arial Narrow" w:hAnsi="Arial Narrow" w:cs="Segoe UI"/>
          <w:sz w:val="18"/>
          <w:szCs w:val="18"/>
        </w:rPr>
        <w:t>, weekly. </w:t>
      </w:r>
    </w:p>
    <w:p w14:paraId="31C401D3" w14:textId="77777777" w:rsidR="00CC5A50" w:rsidRDefault="00EB0A99">
      <w:pPr>
        <w:jc w:val="left"/>
        <w:rPr>
          <w:rFonts w:ascii="Arial Narrow" w:eastAsiaTheme="majorEastAsia" w:hAnsi="Arial Narrow" w:cstheme="majorBidi"/>
          <w:b/>
          <w:bCs/>
          <w:sz w:val="20"/>
        </w:rPr>
      </w:pPr>
      <w:r>
        <w:fldChar w:fldCharType="begin"/>
      </w:r>
      <w:r>
        <w:instrText xml:space="preserve"> REF _Ref214890652 \h </w:instrText>
      </w:r>
      <w:r>
        <w:fldChar w:fldCharType="separate"/>
      </w:r>
      <w:r w:rsidR="00CC5A50">
        <w:br w:type="page"/>
      </w:r>
    </w:p>
    <w:p w14:paraId="6C70A7C7" w14:textId="1B544D77" w:rsidR="00E76304" w:rsidRDefault="00CC5A50" w:rsidP="00E76304">
      <w:pPr>
        <w:pStyle w:val="COMESnumberedpara"/>
      </w:pPr>
      <w:r w:rsidRPr="0098262F">
        <w:t xml:space="preserve">Table </w:t>
      </w:r>
      <w:r>
        <w:rPr>
          <w:noProof/>
        </w:rPr>
        <w:t>13</w:t>
      </w:r>
      <w:r w:rsidR="00EB0A99">
        <w:fldChar w:fldCharType="end"/>
      </w:r>
      <w:r w:rsidR="00EB0A99">
        <w:t xml:space="preserve"> presents the estimated financial impact of listing lurbinectedin on the PBS. Revised estimates based on the </w:t>
      </w:r>
      <w:r w:rsidR="00C03FA6">
        <w:t>updated effective EMP for the 2 mg vial presented in the pre-PBAC response are also provided.</w:t>
      </w:r>
    </w:p>
    <w:p w14:paraId="1584BC21" w14:textId="77777777" w:rsidR="007A1531" w:rsidRDefault="007A1531">
      <w:pPr>
        <w:jc w:val="left"/>
        <w:rPr>
          <w:rFonts w:ascii="Arial Narrow" w:eastAsiaTheme="majorEastAsia" w:hAnsi="Arial Narrow" w:cstheme="majorBidi"/>
          <w:b/>
          <w:bCs/>
          <w:sz w:val="20"/>
        </w:rPr>
      </w:pPr>
      <w:bookmarkStart w:id="54" w:name="_Ref214890652"/>
      <w:r>
        <w:br w:type="page"/>
      </w:r>
    </w:p>
    <w:p w14:paraId="73F12703" w14:textId="5536D3C8" w:rsidR="00994318" w:rsidRDefault="00994318" w:rsidP="00994318">
      <w:pPr>
        <w:pStyle w:val="COMTableFigurecaption"/>
      </w:pPr>
      <w:r w:rsidRPr="0098262F">
        <w:t xml:space="preserve">Table </w:t>
      </w:r>
      <w:r w:rsidR="00BA4DBF">
        <w:fldChar w:fldCharType="begin"/>
      </w:r>
      <w:r w:rsidR="00BA4DBF">
        <w:instrText xml:space="preserve"> SEQ Table \* ARABIC </w:instrText>
      </w:r>
      <w:r w:rsidR="00BA4DBF">
        <w:fldChar w:fldCharType="separate"/>
      </w:r>
      <w:r w:rsidR="00CC5A50">
        <w:rPr>
          <w:noProof/>
        </w:rPr>
        <w:t>13</w:t>
      </w:r>
      <w:r w:rsidR="00BA4DBF">
        <w:rPr>
          <w:noProof/>
        </w:rPr>
        <w:fldChar w:fldCharType="end"/>
      </w:r>
      <w:bookmarkEnd w:id="54"/>
      <w:r w:rsidRPr="0098262F">
        <w:t xml:space="preserve">: </w:t>
      </w:r>
      <w:r w:rsidR="00806B70" w:rsidRPr="00806B70">
        <w:t> Estimated utilisation and financial impact of listing lurbinectedin</w:t>
      </w:r>
    </w:p>
    <w:tbl>
      <w:tblPr>
        <w:tblW w:w="90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3:  Estimated utilisation and financial impact of listing lurbinectedin"/>
      </w:tblPr>
      <w:tblGrid>
        <w:gridCol w:w="2784"/>
        <w:gridCol w:w="1033"/>
        <w:gridCol w:w="1033"/>
        <w:gridCol w:w="1033"/>
        <w:gridCol w:w="1033"/>
        <w:gridCol w:w="1033"/>
        <w:gridCol w:w="1062"/>
      </w:tblGrid>
      <w:tr w:rsidR="00994318" w:rsidRPr="00994318" w14:paraId="543CD5ED" w14:textId="77777777" w:rsidTr="00FA6924">
        <w:trPr>
          <w:trHeight w:val="55"/>
        </w:trPr>
        <w:tc>
          <w:tcPr>
            <w:tcW w:w="2784" w:type="dxa"/>
            <w:tcBorders>
              <w:top w:val="single" w:sz="6" w:space="0" w:color="auto"/>
              <w:left w:val="single" w:sz="6" w:space="0" w:color="auto"/>
              <w:bottom w:val="single" w:sz="6" w:space="0" w:color="auto"/>
              <w:right w:val="single" w:sz="6" w:space="0" w:color="auto"/>
            </w:tcBorders>
            <w:vAlign w:val="center"/>
            <w:hideMark/>
          </w:tcPr>
          <w:p w14:paraId="2A8FF900" w14:textId="77777777" w:rsidR="00994318" w:rsidRPr="00994318" w:rsidRDefault="00994318" w:rsidP="00994318">
            <w:pPr>
              <w:jc w:val="left"/>
              <w:textAlignment w:val="baseline"/>
              <w:rPr>
                <w:rFonts w:ascii="Times New Roman" w:hAnsi="Times New Roman" w:cs="Times New Roman"/>
                <w:b/>
                <w:bCs/>
              </w:rPr>
            </w:pPr>
            <w:r w:rsidRPr="00994318">
              <w:rPr>
                <w:rFonts w:ascii="Arial Narrow" w:hAnsi="Arial Narrow" w:cs="Times New Roman"/>
                <w:b/>
                <w:bCs/>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7050447F" w14:textId="77777777" w:rsidR="00994318" w:rsidRPr="00994318" w:rsidRDefault="00994318" w:rsidP="00994318">
            <w:pPr>
              <w:jc w:val="center"/>
              <w:textAlignment w:val="baseline"/>
              <w:rPr>
                <w:rFonts w:ascii="Times New Roman" w:hAnsi="Times New Roman" w:cs="Times New Roman"/>
                <w:b/>
                <w:bCs/>
              </w:rPr>
            </w:pPr>
            <w:r w:rsidRPr="00994318">
              <w:rPr>
                <w:rFonts w:ascii="Arial Narrow" w:hAnsi="Arial Narrow" w:cs="Times New Roman"/>
                <w:b/>
                <w:bCs/>
                <w:sz w:val="20"/>
                <w:szCs w:val="20"/>
              </w:rPr>
              <w:t>Year 1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5260B1A0" w14:textId="77777777" w:rsidR="00994318" w:rsidRPr="00994318" w:rsidRDefault="00994318" w:rsidP="00994318">
            <w:pPr>
              <w:jc w:val="center"/>
              <w:textAlignment w:val="baseline"/>
              <w:rPr>
                <w:rFonts w:ascii="Times New Roman" w:hAnsi="Times New Roman" w:cs="Times New Roman"/>
                <w:b/>
                <w:bCs/>
              </w:rPr>
            </w:pPr>
            <w:r w:rsidRPr="00994318">
              <w:rPr>
                <w:rFonts w:ascii="Arial Narrow" w:hAnsi="Arial Narrow" w:cs="Times New Roman"/>
                <w:b/>
                <w:bCs/>
                <w:sz w:val="20"/>
                <w:szCs w:val="20"/>
              </w:rPr>
              <w:t>Year 2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628B19C5" w14:textId="77777777" w:rsidR="00994318" w:rsidRPr="00994318" w:rsidRDefault="00994318" w:rsidP="00994318">
            <w:pPr>
              <w:jc w:val="center"/>
              <w:textAlignment w:val="baseline"/>
              <w:rPr>
                <w:rFonts w:ascii="Times New Roman" w:hAnsi="Times New Roman" w:cs="Times New Roman"/>
                <w:b/>
                <w:bCs/>
              </w:rPr>
            </w:pPr>
            <w:r w:rsidRPr="00994318">
              <w:rPr>
                <w:rFonts w:ascii="Arial Narrow" w:hAnsi="Arial Narrow" w:cs="Times New Roman"/>
                <w:b/>
                <w:bCs/>
                <w:sz w:val="20"/>
                <w:szCs w:val="20"/>
              </w:rPr>
              <w:t>Year 3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0D6881D2" w14:textId="77777777" w:rsidR="00994318" w:rsidRPr="00994318" w:rsidRDefault="00994318" w:rsidP="00994318">
            <w:pPr>
              <w:jc w:val="center"/>
              <w:textAlignment w:val="baseline"/>
              <w:rPr>
                <w:rFonts w:ascii="Times New Roman" w:hAnsi="Times New Roman" w:cs="Times New Roman"/>
                <w:b/>
                <w:bCs/>
              </w:rPr>
            </w:pPr>
            <w:r w:rsidRPr="00994318">
              <w:rPr>
                <w:rFonts w:ascii="Arial Narrow" w:hAnsi="Arial Narrow" w:cs="Times New Roman"/>
                <w:b/>
                <w:bCs/>
                <w:sz w:val="20"/>
                <w:szCs w:val="20"/>
              </w:rPr>
              <w:t>Year 4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7D49144D" w14:textId="77777777" w:rsidR="00994318" w:rsidRPr="00994318" w:rsidRDefault="00994318" w:rsidP="00994318">
            <w:pPr>
              <w:jc w:val="center"/>
              <w:textAlignment w:val="baseline"/>
              <w:rPr>
                <w:rFonts w:ascii="Times New Roman" w:hAnsi="Times New Roman" w:cs="Times New Roman"/>
                <w:b/>
                <w:bCs/>
              </w:rPr>
            </w:pPr>
            <w:r w:rsidRPr="00994318">
              <w:rPr>
                <w:rFonts w:ascii="Arial Narrow" w:hAnsi="Arial Narrow" w:cs="Times New Roman"/>
                <w:b/>
                <w:bCs/>
                <w:sz w:val="20"/>
                <w:szCs w:val="20"/>
              </w:rPr>
              <w:t>Year 5 </w:t>
            </w:r>
          </w:p>
        </w:tc>
        <w:tc>
          <w:tcPr>
            <w:tcW w:w="1062" w:type="dxa"/>
            <w:tcBorders>
              <w:top w:val="single" w:sz="6" w:space="0" w:color="auto"/>
              <w:left w:val="single" w:sz="6" w:space="0" w:color="auto"/>
              <w:bottom w:val="single" w:sz="6" w:space="0" w:color="auto"/>
              <w:right w:val="single" w:sz="6" w:space="0" w:color="auto"/>
            </w:tcBorders>
            <w:vAlign w:val="center"/>
            <w:hideMark/>
          </w:tcPr>
          <w:p w14:paraId="779CC4F5" w14:textId="77777777" w:rsidR="00994318" w:rsidRPr="00994318" w:rsidRDefault="00994318" w:rsidP="00994318">
            <w:pPr>
              <w:jc w:val="center"/>
              <w:textAlignment w:val="baseline"/>
              <w:rPr>
                <w:rFonts w:ascii="Times New Roman" w:hAnsi="Times New Roman" w:cs="Times New Roman"/>
                <w:b/>
                <w:bCs/>
              </w:rPr>
            </w:pPr>
            <w:r w:rsidRPr="00994318">
              <w:rPr>
                <w:rFonts w:ascii="Arial Narrow" w:hAnsi="Arial Narrow" w:cs="Times New Roman"/>
                <w:b/>
                <w:bCs/>
                <w:sz w:val="20"/>
                <w:szCs w:val="20"/>
              </w:rPr>
              <w:t>Year 6 </w:t>
            </w:r>
          </w:p>
        </w:tc>
      </w:tr>
      <w:tr w:rsidR="00994318" w:rsidRPr="00994318" w14:paraId="22BFC169" w14:textId="77777777" w:rsidTr="00FA6924">
        <w:trPr>
          <w:trHeight w:val="55"/>
        </w:trPr>
        <w:tc>
          <w:tcPr>
            <w:tcW w:w="9011" w:type="dxa"/>
            <w:gridSpan w:val="7"/>
            <w:tcBorders>
              <w:top w:val="single" w:sz="6" w:space="0" w:color="auto"/>
              <w:left w:val="single" w:sz="6" w:space="0" w:color="auto"/>
              <w:bottom w:val="single" w:sz="6" w:space="0" w:color="auto"/>
              <w:right w:val="single" w:sz="6" w:space="0" w:color="auto"/>
            </w:tcBorders>
            <w:vAlign w:val="center"/>
            <w:hideMark/>
          </w:tcPr>
          <w:p w14:paraId="3CE7C6BB" w14:textId="77777777" w:rsidR="00994318" w:rsidRPr="00994318" w:rsidRDefault="00994318" w:rsidP="00994318">
            <w:pPr>
              <w:jc w:val="left"/>
              <w:textAlignment w:val="baseline"/>
              <w:rPr>
                <w:rFonts w:ascii="Times New Roman" w:hAnsi="Times New Roman" w:cs="Times New Roman"/>
              </w:rPr>
            </w:pPr>
            <w:r w:rsidRPr="00994318">
              <w:rPr>
                <w:rFonts w:ascii="Arial Narrow" w:hAnsi="Arial Narrow" w:cs="Times New Roman"/>
                <w:b/>
                <w:bCs/>
                <w:sz w:val="20"/>
                <w:szCs w:val="20"/>
              </w:rPr>
              <w:t>Estimated utilisation and financial impact of listing lurbinectedin</w:t>
            </w:r>
            <w:r w:rsidRPr="00994318">
              <w:rPr>
                <w:rFonts w:ascii="Arial Narrow" w:hAnsi="Arial Narrow" w:cs="Times New Roman"/>
                <w:sz w:val="20"/>
                <w:szCs w:val="20"/>
              </w:rPr>
              <w:t> </w:t>
            </w:r>
          </w:p>
        </w:tc>
      </w:tr>
      <w:tr w:rsidR="00994318" w:rsidRPr="00994318" w14:paraId="6E40214E" w14:textId="77777777" w:rsidTr="00FA6924">
        <w:trPr>
          <w:trHeight w:val="55"/>
        </w:trPr>
        <w:tc>
          <w:tcPr>
            <w:tcW w:w="2784" w:type="dxa"/>
            <w:tcBorders>
              <w:top w:val="single" w:sz="6" w:space="0" w:color="auto"/>
              <w:left w:val="single" w:sz="6" w:space="0" w:color="auto"/>
              <w:bottom w:val="single" w:sz="6" w:space="0" w:color="auto"/>
              <w:right w:val="single" w:sz="6" w:space="0" w:color="auto"/>
            </w:tcBorders>
            <w:vAlign w:val="center"/>
            <w:hideMark/>
          </w:tcPr>
          <w:p w14:paraId="316BABF1" w14:textId="77777777" w:rsidR="00994318" w:rsidRPr="00994318" w:rsidRDefault="00994318" w:rsidP="00994318">
            <w:pPr>
              <w:jc w:val="left"/>
              <w:textAlignment w:val="baseline"/>
              <w:rPr>
                <w:rFonts w:ascii="Times New Roman" w:hAnsi="Times New Roman" w:cs="Times New Roman"/>
              </w:rPr>
            </w:pPr>
            <w:r w:rsidRPr="00994318">
              <w:rPr>
                <w:rFonts w:ascii="Arial Narrow" w:hAnsi="Arial Narrow" w:cs="Times New Roman"/>
                <w:b/>
                <w:bCs/>
                <w:sz w:val="20"/>
                <w:szCs w:val="20"/>
              </w:rPr>
              <w:t>Total lurbinectedin </w:t>
            </w:r>
            <w:proofErr w:type="spellStart"/>
            <w:r w:rsidRPr="00994318">
              <w:rPr>
                <w:rFonts w:ascii="Arial Narrow" w:hAnsi="Arial Narrow" w:cs="Times New Roman"/>
                <w:b/>
                <w:bCs/>
                <w:sz w:val="20"/>
                <w:szCs w:val="20"/>
              </w:rPr>
              <w:t>scripts</w:t>
            </w:r>
            <w:r w:rsidRPr="00994318">
              <w:rPr>
                <w:rFonts w:ascii="Arial Narrow" w:hAnsi="Arial Narrow" w:cs="Times New Roman"/>
                <w:b/>
                <w:bCs/>
                <w:sz w:val="16"/>
                <w:szCs w:val="16"/>
                <w:vertAlign w:val="superscript"/>
              </w:rPr>
              <w:t>a</w:t>
            </w:r>
            <w:proofErr w:type="spellEnd"/>
            <w:r w:rsidRPr="00994318">
              <w:rPr>
                <w:rFonts w:ascii="Arial Narrow" w:hAnsi="Arial Narrow" w:cs="Times New Roman"/>
                <w:sz w:val="16"/>
                <w:szCs w:val="16"/>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0AB00B61" w14:textId="37FD369A" w:rsidR="00994318" w:rsidRPr="00994318" w:rsidRDefault="00C8249A" w:rsidP="00994318">
            <w:pPr>
              <w:jc w:val="center"/>
              <w:textAlignment w:val="baseline"/>
              <w:rPr>
                <w:rFonts w:ascii="Times New Roman" w:hAnsi="Times New Roman" w:cs="Times New Roman"/>
              </w:rPr>
            </w:pPr>
            <w:r w:rsidRPr="00C8249A">
              <w:rPr>
                <w:rFonts w:ascii="Arial Narrow" w:hAnsi="Arial Narrow" w:cs="Times New Roman"/>
                <w:sz w:val="20"/>
                <w:szCs w:val="20"/>
                <w:highlight w:val="black"/>
              </w:rPr>
              <w:t>&amp;&amp;&amp;&amp;</w:t>
            </w:r>
            <w:r w:rsidR="00596939">
              <w:rPr>
                <w:rFonts w:ascii="Arial Narrow" w:hAnsi="Arial Narrow" w:cs="Times New Roman"/>
                <w:sz w:val="20"/>
                <w:szCs w:val="20"/>
                <w:vertAlign w:val="superscript"/>
              </w:rPr>
              <w:t>1</w:t>
            </w:r>
            <w:r w:rsidR="00994318"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1EB13F03" w14:textId="082470BD" w:rsidR="00994318" w:rsidRPr="00994318" w:rsidRDefault="00C8249A" w:rsidP="00994318">
            <w:pPr>
              <w:jc w:val="center"/>
              <w:textAlignment w:val="baseline"/>
              <w:rPr>
                <w:rFonts w:ascii="Times New Roman" w:hAnsi="Times New Roman" w:cs="Times New Roman"/>
              </w:rPr>
            </w:pPr>
            <w:r w:rsidRPr="00C8249A">
              <w:rPr>
                <w:rFonts w:ascii="Arial Narrow" w:hAnsi="Arial Narrow" w:cs="Times New Roman"/>
                <w:sz w:val="20"/>
                <w:szCs w:val="20"/>
                <w:highlight w:val="black"/>
              </w:rPr>
              <w:t>&amp;&amp;&amp;&amp;</w:t>
            </w:r>
            <w:r w:rsidR="00596939">
              <w:rPr>
                <w:rFonts w:ascii="Arial Narrow" w:hAnsi="Arial Narrow" w:cs="Times New Roman"/>
                <w:sz w:val="20"/>
                <w:szCs w:val="20"/>
                <w:vertAlign w:val="superscript"/>
              </w:rPr>
              <w:t>1</w:t>
            </w:r>
            <w:r w:rsidR="00994318"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10CB2777" w14:textId="7905BE60" w:rsidR="00994318" w:rsidRPr="00994318" w:rsidRDefault="00C8249A" w:rsidP="00994318">
            <w:pPr>
              <w:jc w:val="center"/>
              <w:textAlignment w:val="baseline"/>
              <w:rPr>
                <w:rFonts w:ascii="Times New Roman" w:hAnsi="Times New Roman" w:cs="Times New Roman"/>
              </w:rPr>
            </w:pPr>
            <w:r w:rsidRPr="00C8249A">
              <w:rPr>
                <w:rFonts w:ascii="Arial Narrow" w:hAnsi="Arial Narrow" w:cs="Times New Roman"/>
                <w:sz w:val="20"/>
                <w:szCs w:val="20"/>
                <w:highlight w:val="black"/>
              </w:rPr>
              <w:t>&amp;&amp;&amp;&amp;</w:t>
            </w:r>
            <w:r w:rsidR="00E415EF">
              <w:rPr>
                <w:rFonts w:ascii="Arial Narrow" w:hAnsi="Arial Narrow" w:cs="Times New Roman"/>
                <w:sz w:val="20"/>
                <w:szCs w:val="20"/>
                <w:vertAlign w:val="superscript"/>
              </w:rPr>
              <w:t>2</w:t>
            </w:r>
            <w:r w:rsidR="00994318"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5CB5BDBF" w14:textId="6C656029" w:rsidR="00994318" w:rsidRPr="00994318" w:rsidRDefault="00C8249A" w:rsidP="00994318">
            <w:pPr>
              <w:jc w:val="center"/>
              <w:textAlignment w:val="baseline"/>
              <w:rPr>
                <w:rFonts w:ascii="Times New Roman" w:hAnsi="Times New Roman" w:cs="Times New Roman"/>
              </w:rPr>
            </w:pPr>
            <w:r w:rsidRPr="00C8249A">
              <w:rPr>
                <w:rFonts w:ascii="Arial Narrow" w:hAnsi="Arial Narrow" w:cs="Times New Roman"/>
                <w:sz w:val="20"/>
                <w:szCs w:val="20"/>
                <w:highlight w:val="black"/>
              </w:rPr>
              <w:t>&amp;&amp;&amp;&amp;</w:t>
            </w:r>
            <w:r w:rsidR="00E415EF">
              <w:rPr>
                <w:rFonts w:ascii="Arial Narrow" w:hAnsi="Arial Narrow" w:cs="Times New Roman"/>
                <w:sz w:val="20"/>
                <w:szCs w:val="20"/>
                <w:vertAlign w:val="superscript"/>
              </w:rPr>
              <w:t>2</w:t>
            </w:r>
            <w:r w:rsidR="00994318"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433D2719" w14:textId="0826E555" w:rsidR="00994318" w:rsidRPr="00994318" w:rsidRDefault="00C8249A" w:rsidP="00994318">
            <w:pPr>
              <w:jc w:val="center"/>
              <w:textAlignment w:val="baseline"/>
              <w:rPr>
                <w:rFonts w:ascii="Times New Roman" w:hAnsi="Times New Roman" w:cs="Times New Roman"/>
              </w:rPr>
            </w:pPr>
            <w:r w:rsidRPr="00C8249A">
              <w:rPr>
                <w:rFonts w:ascii="Arial Narrow" w:hAnsi="Arial Narrow" w:cs="Times New Roman"/>
                <w:sz w:val="20"/>
                <w:szCs w:val="20"/>
                <w:highlight w:val="black"/>
              </w:rPr>
              <w:t>&amp;&amp;&amp;&amp;</w:t>
            </w:r>
            <w:r w:rsidR="00E415EF">
              <w:rPr>
                <w:rFonts w:ascii="Arial Narrow" w:hAnsi="Arial Narrow" w:cs="Times New Roman"/>
                <w:sz w:val="20"/>
                <w:szCs w:val="20"/>
                <w:vertAlign w:val="superscript"/>
              </w:rPr>
              <w:t>2</w:t>
            </w:r>
            <w:r w:rsidR="00994318" w:rsidRPr="00994318">
              <w:rPr>
                <w:rFonts w:ascii="Arial Narrow" w:hAnsi="Arial Narrow" w:cs="Times New Roman"/>
                <w:sz w:val="20"/>
                <w:szCs w:val="20"/>
              </w:rPr>
              <w:t> </w:t>
            </w:r>
          </w:p>
        </w:tc>
        <w:tc>
          <w:tcPr>
            <w:tcW w:w="1062" w:type="dxa"/>
            <w:tcBorders>
              <w:top w:val="single" w:sz="6" w:space="0" w:color="auto"/>
              <w:left w:val="single" w:sz="6" w:space="0" w:color="auto"/>
              <w:bottom w:val="single" w:sz="6" w:space="0" w:color="auto"/>
              <w:right w:val="single" w:sz="6" w:space="0" w:color="auto"/>
            </w:tcBorders>
            <w:vAlign w:val="center"/>
            <w:hideMark/>
          </w:tcPr>
          <w:p w14:paraId="1C11B457" w14:textId="573898A9" w:rsidR="00994318" w:rsidRPr="00994318" w:rsidRDefault="00C8249A" w:rsidP="00994318">
            <w:pPr>
              <w:jc w:val="center"/>
              <w:textAlignment w:val="baseline"/>
              <w:rPr>
                <w:rFonts w:ascii="Times New Roman" w:hAnsi="Times New Roman" w:cs="Times New Roman"/>
              </w:rPr>
            </w:pPr>
            <w:r w:rsidRPr="00C8249A">
              <w:rPr>
                <w:rFonts w:ascii="Arial Narrow" w:hAnsi="Arial Narrow" w:cs="Times New Roman"/>
                <w:sz w:val="20"/>
                <w:szCs w:val="20"/>
                <w:highlight w:val="black"/>
              </w:rPr>
              <w:t>&amp;&amp;&amp;&amp;</w:t>
            </w:r>
            <w:r w:rsidR="00E415EF">
              <w:rPr>
                <w:rFonts w:ascii="Arial Narrow" w:hAnsi="Arial Narrow" w:cs="Times New Roman"/>
                <w:sz w:val="20"/>
                <w:szCs w:val="20"/>
                <w:vertAlign w:val="superscript"/>
              </w:rPr>
              <w:t>2</w:t>
            </w:r>
            <w:r w:rsidR="00994318" w:rsidRPr="00994318">
              <w:rPr>
                <w:rFonts w:ascii="Arial Narrow" w:hAnsi="Arial Narrow" w:cs="Times New Roman"/>
                <w:sz w:val="20"/>
                <w:szCs w:val="20"/>
              </w:rPr>
              <w:t> </w:t>
            </w:r>
          </w:p>
        </w:tc>
      </w:tr>
      <w:tr w:rsidR="00994318" w:rsidRPr="00994318" w14:paraId="2FC1BC2E" w14:textId="77777777" w:rsidTr="00FA6924">
        <w:trPr>
          <w:trHeight w:val="55"/>
        </w:trPr>
        <w:tc>
          <w:tcPr>
            <w:tcW w:w="2784" w:type="dxa"/>
            <w:tcBorders>
              <w:top w:val="single" w:sz="6" w:space="0" w:color="auto"/>
              <w:left w:val="single" w:sz="6" w:space="0" w:color="auto"/>
              <w:bottom w:val="single" w:sz="6" w:space="0" w:color="auto"/>
              <w:right w:val="single" w:sz="6" w:space="0" w:color="auto"/>
            </w:tcBorders>
            <w:vAlign w:val="center"/>
            <w:hideMark/>
          </w:tcPr>
          <w:p w14:paraId="2D4A93EA" w14:textId="77777777" w:rsidR="00994318" w:rsidRPr="00994318" w:rsidRDefault="00994318" w:rsidP="00994318">
            <w:pPr>
              <w:jc w:val="left"/>
              <w:textAlignment w:val="baseline"/>
              <w:rPr>
                <w:rFonts w:ascii="Times New Roman" w:hAnsi="Times New Roman" w:cs="Times New Roman"/>
              </w:rPr>
            </w:pPr>
            <w:r w:rsidRPr="00994318">
              <w:rPr>
                <w:rFonts w:ascii="Arial Narrow" w:hAnsi="Arial Narrow" w:cs="Times New Roman"/>
                <w:b/>
                <w:bCs/>
                <w:sz w:val="20"/>
                <w:szCs w:val="20"/>
              </w:rPr>
              <w:t>Net cost to the PBS/RPBS</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2119451C" w14:textId="314580BC"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sz w:val="20"/>
                <w:szCs w:val="20"/>
              </w:rPr>
              <w:t>$</w:t>
            </w:r>
            <w:r w:rsidR="00C8249A" w:rsidRPr="00C8249A">
              <w:rPr>
                <w:rFonts w:ascii="Arial Narrow" w:hAnsi="Arial Narrow" w:cs="Times New Roman"/>
                <w:b/>
                <w:bCs/>
                <w:sz w:val="20"/>
                <w:szCs w:val="20"/>
                <w:highlight w:val="black"/>
              </w:rPr>
              <w:t>&amp;&amp;&amp;&amp;</w:t>
            </w:r>
            <w:r w:rsidR="0072054E">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617D197D" w14:textId="52687101"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sz w:val="20"/>
                <w:szCs w:val="20"/>
              </w:rPr>
              <w:t>$</w:t>
            </w:r>
            <w:r w:rsidR="00C8249A" w:rsidRPr="00C8249A">
              <w:rPr>
                <w:rFonts w:ascii="Arial Narrow" w:hAnsi="Arial Narrow" w:cs="Times New Roman"/>
                <w:b/>
                <w:bCs/>
                <w:sz w:val="20"/>
                <w:szCs w:val="20"/>
                <w:highlight w:val="black"/>
              </w:rPr>
              <w:t>&amp;&amp;&amp;&amp;</w:t>
            </w:r>
            <w:r w:rsidR="0072054E">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1747B3D8" w14:textId="0BC422DC"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sz w:val="20"/>
                <w:szCs w:val="20"/>
              </w:rPr>
              <w:t>$</w:t>
            </w:r>
            <w:r w:rsidR="00C8249A" w:rsidRPr="00C8249A">
              <w:rPr>
                <w:rFonts w:ascii="Arial Narrow" w:hAnsi="Arial Narrow" w:cs="Times New Roman"/>
                <w:b/>
                <w:bCs/>
                <w:sz w:val="20"/>
                <w:szCs w:val="20"/>
                <w:highlight w:val="black"/>
              </w:rPr>
              <w:t>&amp;&amp;&amp;&amp;</w:t>
            </w:r>
            <w:r w:rsidR="0072054E">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34CB1A5E" w14:textId="7E7A102F"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sz w:val="20"/>
                <w:szCs w:val="20"/>
              </w:rPr>
              <w:t>$</w:t>
            </w:r>
            <w:r w:rsidR="00C8249A" w:rsidRPr="00C8249A">
              <w:rPr>
                <w:rFonts w:ascii="Arial Narrow" w:hAnsi="Arial Narrow" w:cs="Times New Roman"/>
                <w:b/>
                <w:bCs/>
                <w:sz w:val="20"/>
                <w:szCs w:val="20"/>
                <w:highlight w:val="black"/>
              </w:rPr>
              <w:t>&amp;&amp;&amp;&amp;</w:t>
            </w:r>
            <w:r w:rsidR="0072054E">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6EBF6B20" w14:textId="2BCBD91B"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sz w:val="20"/>
                <w:szCs w:val="20"/>
              </w:rPr>
              <w:t>$</w:t>
            </w:r>
            <w:r w:rsidR="00C8249A" w:rsidRPr="00C8249A">
              <w:rPr>
                <w:rFonts w:ascii="Arial Narrow" w:hAnsi="Arial Narrow" w:cs="Times New Roman"/>
                <w:b/>
                <w:bCs/>
                <w:sz w:val="20"/>
                <w:szCs w:val="20"/>
                <w:highlight w:val="black"/>
              </w:rPr>
              <w:t>&amp;&amp;&amp;&amp;</w:t>
            </w:r>
            <w:r w:rsidR="0072054E">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62" w:type="dxa"/>
            <w:tcBorders>
              <w:top w:val="single" w:sz="6" w:space="0" w:color="auto"/>
              <w:left w:val="single" w:sz="6" w:space="0" w:color="auto"/>
              <w:bottom w:val="single" w:sz="6" w:space="0" w:color="auto"/>
              <w:right w:val="single" w:sz="6" w:space="0" w:color="auto"/>
            </w:tcBorders>
            <w:vAlign w:val="center"/>
            <w:hideMark/>
          </w:tcPr>
          <w:p w14:paraId="407DA8CE" w14:textId="4654A85D"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sz w:val="20"/>
                <w:szCs w:val="20"/>
              </w:rPr>
              <w:t>$</w:t>
            </w:r>
            <w:r w:rsidR="00C8249A" w:rsidRPr="00C8249A">
              <w:rPr>
                <w:rFonts w:ascii="Arial Narrow" w:hAnsi="Arial Narrow" w:cs="Times New Roman"/>
                <w:b/>
                <w:bCs/>
                <w:sz w:val="20"/>
                <w:szCs w:val="20"/>
                <w:highlight w:val="black"/>
              </w:rPr>
              <w:t>&amp;&amp;&amp;&amp;</w:t>
            </w:r>
            <w:r w:rsidR="0072054E">
              <w:rPr>
                <w:rFonts w:ascii="Arial Narrow" w:hAnsi="Arial Narrow" w:cs="Times New Roman"/>
                <w:sz w:val="20"/>
                <w:szCs w:val="20"/>
                <w:vertAlign w:val="superscript"/>
              </w:rPr>
              <w:t>3</w:t>
            </w:r>
            <w:r w:rsidRPr="00994318">
              <w:rPr>
                <w:rFonts w:ascii="Arial Narrow" w:hAnsi="Arial Narrow" w:cs="Times New Roman"/>
                <w:sz w:val="20"/>
                <w:szCs w:val="20"/>
              </w:rPr>
              <w:t> </w:t>
            </w:r>
          </w:p>
        </w:tc>
      </w:tr>
      <w:tr w:rsidR="00994318" w:rsidRPr="00994318" w14:paraId="29C6BC45" w14:textId="77777777" w:rsidTr="00FA6924">
        <w:trPr>
          <w:trHeight w:val="55"/>
        </w:trPr>
        <w:tc>
          <w:tcPr>
            <w:tcW w:w="9011" w:type="dxa"/>
            <w:gridSpan w:val="7"/>
            <w:tcBorders>
              <w:top w:val="single" w:sz="6" w:space="0" w:color="auto"/>
              <w:left w:val="single" w:sz="6" w:space="0" w:color="auto"/>
              <w:bottom w:val="single" w:sz="6" w:space="0" w:color="auto"/>
              <w:right w:val="single" w:sz="6" w:space="0" w:color="auto"/>
            </w:tcBorders>
            <w:vAlign w:val="center"/>
            <w:hideMark/>
          </w:tcPr>
          <w:p w14:paraId="365D0648" w14:textId="77777777" w:rsidR="00994318" w:rsidRPr="00994318" w:rsidRDefault="00994318" w:rsidP="00994318">
            <w:pPr>
              <w:jc w:val="left"/>
              <w:textAlignment w:val="baseline"/>
              <w:rPr>
                <w:rFonts w:ascii="Times New Roman" w:hAnsi="Times New Roman" w:cs="Times New Roman"/>
                <w:b/>
                <w:bCs/>
              </w:rPr>
            </w:pPr>
            <w:r w:rsidRPr="00994318">
              <w:rPr>
                <w:rFonts w:ascii="Arial Narrow" w:hAnsi="Arial Narrow" w:cs="Times New Roman"/>
                <w:b/>
                <w:bCs/>
                <w:sz w:val="20"/>
                <w:szCs w:val="20"/>
              </w:rPr>
              <w:t>Estimated changes in financial impact of substituted atezolizumab and durvalumab  </w:t>
            </w:r>
          </w:p>
        </w:tc>
      </w:tr>
      <w:tr w:rsidR="00994318" w:rsidRPr="00994318" w14:paraId="3EAEC36E" w14:textId="77777777" w:rsidTr="00FA6924">
        <w:trPr>
          <w:trHeight w:val="300"/>
        </w:trPr>
        <w:tc>
          <w:tcPr>
            <w:tcW w:w="2784" w:type="dxa"/>
            <w:tcBorders>
              <w:top w:val="single" w:sz="6" w:space="0" w:color="auto"/>
              <w:left w:val="single" w:sz="6" w:space="0" w:color="auto"/>
              <w:bottom w:val="single" w:sz="6" w:space="0" w:color="auto"/>
              <w:right w:val="single" w:sz="6" w:space="0" w:color="auto"/>
            </w:tcBorders>
            <w:vAlign w:val="center"/>
            <w:hideMark/>
          </w:tcPr>
          <w:p w14:paraId="48315AD0" w14:textId="77777777" w:rsidR="00994318" w:rsidRPr="00994318" w:rsidRDefault="00994318" w:rsidP="00994318">
            <w:pPr>
              <w:jc w:val="left"/>
              <w:textAlignment w:val="baseline"/>
              <w:rPr>
                <w:rFonts w:ascii="Times New Roman" w:hAnsi="Times New Roman" w:cs="Times New Roman"/>
              </w:rPr>
            </w:pPr>
            <w:r w:rsidRPr="00994318">
              <w:rPr>
                <w:rFonts w:ascii="Arial Narrow" w:hAnsi="Arial Narrow" w:cs="Times New Roman"/>
                <w:sz w:val="20"/>
                <w:szCs w:val="20"/>
              </w:rPr>
              <w:t>Cost of atezolizumab as combination therapy with lurbinectedin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2875BCCC" w14:textId="38CBE388"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630572">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47D8B2C7" w14:textId="00E4B9E4"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630572">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5F4F5FDF" w14:textId="61BC1F5E"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630572">
              <w:rPr>
                <w:rFonts w:ascii="Arial Narrow" w:hAnsi="Arial Narrow" w:cs="Times New Roman"/>
                <w:color w:val="000000"/>
                <w:sz w:val="20"/>
                <w:szCs w:val="20"/>
                <w:vertAlign w:val="superscript"/>
              </w:rPr>
              <w:t>3</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031DD737" w14:textId="090C3431"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630572" w:rsidRPr="00630572">
              <w:rPr>
                <w:rFonts w:ascii="Arial Narrow" w:hAnsi="Arial Narrow" w:cs="Times New Roman"/>
                <w:color w:val="000000"/>
                <w:sz w:val="20"/>
                <w:szCs w:val="20"/>
                <w:vertAlign w:val="superscript"/>
              </w:rPr>
              <w:t>3</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2AD60D5B" w14:textId="343AEEFA"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630572">
              <w:rPr>
                <w:rFonts w:ascii="Arial Narrow" w:hAnsi="Arial Narrow" w:cs="Times New Roman"/>
                <w:color w:val="000000"/>
                <w:sz w:val="20"/>
                <w:szCs w:val="20"/>
                <w:vertAlign w:val="superscript"/>
              </w:rPr>
              <w:t>3</w:t>
            </w:r>
            <w:r w:rsidRPr="00994318">
              <w:rPr>
                <w:rFonts w:ascii="Arial Narrow" w:hAnsi="Arial Narrow" w:cs="Times New Roman"/>
                <w:color w:val="000000"/>
                <w:sz w:val="20"/>
                <w:szCs w:val="20"/>
              </w:rPr>
              <w:t> </w:t>
            </w:r>
          </w:p>
        </w:tc>
        <w:tc>
          <w:tcPr>
            <w:tcW w:w="1062" w:type="dxa"/>
            <w:tcBorders>
              <w:top w:val="single" w:sz="6" w:space="0" w:color="auto"/>
              <w:left w:val="single" w:sz="6" w:space="0" w:color="auto"/>
              <w:bottom w:val="single" w:sz="6" w:space="0" w:color="auto"/>
              <w:right w:val="single" w:sz="6" w:space="0" w:color="auto"/>
            </w:tcBorders>
            <w:vAlign w:val="center"/>
            <w:hideMark/>
          </w:tcPr>
          <w:p w14:paraId="70CB34A0" w14:textId="53EEC8FB"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630572">
              <w:rPr>
                <w:rFonts w:ascii="Arial Narrow" w:hAnsi="Arial Narrow" w:cs="Times New Roman"/>
                <w:color w:val="000000"/>
                <w:sz w:val="20"/>
                <w:szCs w:val="20"/>
                <w:vertAlign w:val="superscript"/>
              </w:rPr>
              <w:t>3</w:t>
            </w:r>
            <w:r w:rsidRPr="00994318">
              <w:rPr>
                <w:rFonts w:ascii="Arial Narrow" w:hAnsi="Arial Narrow" w:cs="Times New Roman"/>
                <w:color w:val="000000"/>
                <w:sz w:val="20"/>
                <w:szCs w:val="20"/>
              </w:rPr>
              <w:t> </w:t>
            </w:r>
          </w:p>
        </w:tc>
      </w:tr>
      <w:tr w:rsidR="00994318" w:rsidRPr="00994318" w14:paraId="54E30505" w14:textId="77777777" w:rsidTr="00FA6924">
        <w:trPr>
          <w:trHeight w:val="300"/>
        </w:trPr>
        <w:tc>
          <w:tcPr>
            <w:tcW w:w="2784" w:type="dxa"/>
            <w:tcBorders>
              <w:top w:val="single" w:sz="6" w:space="0" w:color="auto"/>
              <w:left w:val="single" w:sz="6" w:space="0" w:color="auto"/>
              <w:bottom w:val="single" w:sz="6" w:space="0" w:color="auto"/>
              <w:right w:val="single" w:sz="6" w:space="0" w:color="auto"/>
            </w:tcBorders>
            <w:vAlign w:val="center"/>
            <w:hideMark/>
          </w:tcPr>
          <w:p w14:paraId="518C1C9D" w14:textId="77777777" w:rsidR="00994318" w:rsidRPr="00994318" w:rsidRDefault="00994318" w:rsidP="00994318">
            <w:pPr>
              <w:jc w:val="left"/>
              <w:textAlignment w:val="baseline"/>
              <w:rPr>
                <w:rFonts w:ascii="Times New Roman" w:hAnsi="Times New Roman" w:cs="Times New Roman"/>
              </w:rPr>
            </w:pPr>
            <w:r w:rsidRPr="00994318">
              <w:rPr>
                <w:rFonts w:ascii="Arial Narrow" w:hAnsi="Arial Narrow" w:cs="Times New Roman"/>
                <w:sz w:val="20"/>
                <w:szCs w:val="20"/>
              </w:rPr>
              <w:t>Cost offsets from atezolizumab/ </w:t>
            </w:r>
          </w:p>
          <w:p w14:paraId="0732A215" w14:textId="77777777" w:rsidR="00994318" w:rsidRPr="00994318" w:rsidRDefault="00994318" w:rsidP="00994318">
            <w:pPr>
              <w:jc w:val="left"/>
              <w:textAlignment w:val="baseline"/>
              <w:rPr>
                <w:rFonts w:ascii="Times New Roman" w:hAnsi="Times New Roman" w:cs="Times New Roman"/>
              </w:rPr>
            </w:pPr>
            <w:r w:rsidRPr="00994318">
              <w:rPr>
                <w:rFonts w:ascii="Arial Narrow" w:hAnsi="Arial Narrow" w:cs="Times New Roman"/>
                <w:sz w:val="20"/>
                <w:szCs w:val="20"/>
              </w:rPr>
              <w:t>durvalumab monotherapy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3C80BA73" w14:textId="0AA12F10"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2C1ECB">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317D97CF" w14:textId="64971F2D"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2C1ECB">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3A35A55C" w14:textId="1493DB31"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2C1ECB">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37158700" w14:textId="074C921D"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2C1ECB">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4FE8D6E7" w14:textId="1F8E1590"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2C1ECB">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62" w:type="dxa"/>
            <w:tcBorders>
              <w:top w:val="single" w:sz="6" w:space="0" w:color="auto"/>
              <w:left w:val="single" w:sz="6" w:space="0" w:color="auto"/>
              <w:bottom w:val="single" w:sz="6" w:space="0" w:color="auto"/>
              <w:right w:val="single" w:sz="6" w:space="0" w:color="auto"/>
            </w:tcBorders>
            <w:vAlign w:val="center"/>
            <w:hideMark/>
          </w:tcPr>
          <w:p w14:paraId="328935D5" w14:textId="28DE038A"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2C1ECB">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r>
      <w:tr w:rsidR="00994318" w:rsidRPr="00994318" w14:paraId="264764A9" w14:textId="77777777" w:rsidTr="00FA6924">
        <w:trPr>
          <w:trHeight w:val="55"/>
        </w:trPr>
        <w:tc>
          <w:tcPr>
            <w:tcW w:w="2784" w:type="dxa"/>
            <w:tcBorders>
              <w:top w:val="single" w:sz="6" w:space="0" w:color="auto"/>
              <w:left w:val="single" w:sz="6" w:space="0" w:color="auto"/>
              <w:bottom w:val="single" w:sz="6" w:space="0" w:color="auto"/>
              <w:right w:val="single" w:sz="6" w:space="0" w:color="auto"/>
            </w:tcBorders>
            <w:vAlign w:val="center"/>
            <w:hideMark/>
          </w:tcPr>
          <w:p w14:paraId="24446616" w14:textId="77777777" w:rsidR="00994318" w:rsidRPr="00994318" w:rsidRDefault="00994318" w:rsidP="00994318">
            <w:pPr>
              <w:jc w:val="left"/>
              <w:textAlignment w:val="baseline"/>
              <w:rPr>
                <w:rFonts w:ascii="Times New Roman" w:hAnsi="Times New Roman" w:cs="Times New Roman"/>
              </w:rPr>
            </w:pPr>
            <w:r w:rsidRPr="00994318">
              <w:rPr>
                <w:rFonts w:ascii="Arial Narrow" w:hAnsi="Arial Narrow" w:cs="Times New Roman"/>
                <w:b/>
                <w:bCs/>
                <w:sz w:val="20"/>
                <w:szCs w:val="20"/>
              </w:rPr>
              <w:t>Net cost to the PBS/RPBS</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bottom"/>
            <w:hideMark/>
          </w:tcPr>
          <w:p w14:paraId="6F0D2897" w14:textId="683A90E2"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color w:val="000000"/>
                <w:sz w:val="20"/>
                <w:szCs w:val="20"/>
              </w:rPr>
              <w:t>$</w:t>
            </w:r>
            <w:r w:rsidR="00C8249A" w:rsidRPr="00C8249A">
              <w:rPr>
                <w:rFonts w:ascii="Arial Narrow" w:hAnsi="Arial Narrow" w:cs="Times New Roman"/>
                <w:b/>
                <w:bCs/>
                <w:color w:val="000000"/>
                <w:sz w:val="20"/>
                <w:szCs w:val="20"/>
                <w:highlight w:val="black"/>
              </w:rPr>
              <w:t>&amp;&amp;&amp;&amp;</w:t>
            </w:r>
            <w:r w:rsidR="002C1ECB">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bottom"/>
            <w:hideMark/>
          </w:tcPr>
          <w:p w14:paraId="66DB1773" w14:textId="29D52072"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color w:val="000000"/>
                <w:sz w:val="20"/>
                <w:szCs w:val="20"/>
              </w:rPr>
              <w:t>$</w:t>
            </w:r>
            <w:r w:rsidR="00C8249A" w:rsidRPr="00C8249A">
              <w:rPr>
                <w:rFonts w:ascii="Arial Narrow" w:hAnsi="Arial Narrow" w:cs="Times New Roman"/>
                <w:b/>
                <w:bCs/>
                <w:color w:val="000000"/>
                <w:sz w:val="20"/>
                <w:szCs w:val="20"/>
                <w:highlight w:val="black"/>
              </w:rPr>
              <w:t>&amp;&amp;&amp;&amp;</w:t>
            </w:r>
            <w:r w:rsidR="00021BA1">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bottom"/>
            <w:hideMark/>
          </w:tcPr>
          <w:p w14:paraId="7E1F7482" w14:textId="704A6FEE"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color w:val="000000"/>
                <w:sz w:val="20"/>
                <w:szCs w:val="20"/>
              </w:rPr>
              <w:t>$</w:t>
            </w:r>
            <w:r w:rsidR="00C8249A" w:rsidRPr="00C8249A">
              <w:rPr>
                <w:rFonts w:ascii="Arial Narrow" w:hAnsi="Arial Narrow" w:cs="Times New Roman"/>
                <w:b/>
                <w:bCs/>
                <w:color w:val="000000"/>
                <w:sz w:val="20"/>
                <w:szCs w:val="20"/>
                <w:highlight w:val="black"/>
              </w:rPr>
              <w:t>&amp;&amp;&amp;&amp;</w:t>
            </w:r>
            <w:r w:rsidR="00021BA1">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bottom"/>
            <w:hideMark/>
          </w:tcPr>
          <w:p w14:paraId="17C5A859" w14:textId="72B4F857"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color w:val="000000"/>
                <w:sz w:val="20"/>
                <w:szCs w:val="20"/>
              </w:rPr>
              <w:t>$</w:t>
            </w:r>
            <w:r w:rsidR="00C8249A" w:rsidRPr="00C8249A">
              <w:rPr>
                <w:rFonts w:ascii="Arial Narrow" w:hAnsi="Arial Narrow" w:cs="Times New Roman"/>
                <w:b/>
                <w:bCs/>
                <w:color w:val="000000"/>
                <w:sz w:val="20"/>
                <w:szCs w:val="20"/>
                <w:highlight w:val="black"/>
              </w:rPr>
              <w:t>&amp;&amp;&amp;&amp;</w:t>
            </w:r>
            <w:r w:rsidR="00021BA1">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bottom"/>
            <w:hideMark/>
          </w:tcPr>
          <w:p w14:paraId="14D82165" w14:textId="23A81D9D"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color w:val="000000"/>
                <w:sz w:val="20"/>
                <w:szCs w:val="20"/>
              </w:rPr>
              <w:t>$</w:t>
            </w:r>
            <w:r w:rsidR="00C8249A" w:rsidRPr="00C8249A">
              <w:rPr>
                <w:rFonts w:ascii="Arial Narrow" w:hAnsi="Arial Narrow" w:cs="Times New Roman"/>
                <w:b/>
                <w:bCs/>
                <w:color w:val="000000"/>
                <w:sz w:val="20"/>
                <w:szCs w:val="20"/>
                <w:highlight w:val="black"/>
              </w:rPr>
              <w:t>&amp;&amp;&amp;&amp;</w:t>
            </w:r>
            <w:r w:rsidR="000552DE">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62" w:type="dxa"/>
            <w:tcBorders>
              <w:top w:val="single" w:sz="6" w:space="0" w:color="auto"/>
              <w:left w:val="single" w:sz="6" w:space="0" w:color="auto"/>
              <w:bottom w:val="single" w:sz="6" w:space="0" w:color="auto"/>
              <w:right w:val="single" w:sz="6" w:space="0" w:color="auto"/>
            </w:tcBorders>
            <w:vAlign w:val="bottom"/>
            <w:hideMark/>
          </w:tcPr>
          <w:p w14:paraId="4285E8F9" w14:textId="0384DB31"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color w:val="000000"/>
                <w:sz w:val="20"/>
                <w:szCs w:val="20"/>
              </w:rPr>
              <w:t>$</w:t>
            </w:r>
            <w:r w:rsidR="00C8249A" w:rsidRPr="00C8249A">
              <w:rPr>
                <w:rFonts w:ascii="Arial Narrow" w:hAnsi="Arial Narrow" w:cs="Times New Roman"/>
                <w:b/>
                <w:bCs/>
                <w:color w:val="000000"/>
                <w:sz w:val="20"/>
                <w:szCs w:val="20"/>
                <w:highlight w:val="black"/>
              </w:rPr>
              <w:t>&amp;&amp;&amp;&amp;</w:t>
            </w:r>
            <w:r w:rsidR="000552DE">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r>
      <w:tr w:rsidR="00994318" w:rsidRPr="00994318" w14:paraId="7FF41E71" w14:textId="77777777" w:rsidTr="00FA6924">
        <w:trPr>
          <w:trHeight w:val="55"/>
        </w:trPr>
        <w:tc>
          <w:tcPr>
            <w:tcW w:w="9011" w:type="dxa"/>
            <w:gridSpan w:val="7"/>
            <w:tcBorders>
              <w:top w:val="single" w:sz="6" w:space="0" w:color="auto"/>
              <w:left w:val="single" w:sz="6" w:space="0" w:color="auto"/>
              <w:bottom w:val="single" w:sz="6" w:space="0" w:color="auto"/>
              <w:right w:val="single" w:sz="6" w:space="0" w:color="auto"/>
            </w:tcBorders>
            <w:vAlign w:val="center"/>
            <w:hideMark/>
          </w:tcPr>
          <w:p w14:paraId="1BED76D2" w14:textId="77777777" w:rsidR="00994318" w:rsidRPr="00994318" w:rsidRDefault="00994318" w:rsidP="00994318">
            <w:pPr>
              <w:jc w:val="left"/>
              <w:textAlignment w:val="baseline"/>
              <w:rPr>
                <w:rFonts w:ascii="Times New Roman" w:hAnsi="Times New Roman" w:cs="Times New Roman"/>
                <w:b/>
                <w:bCs/>
              </w:rPr>
            </w:pPr>
            <w:r w:rsidRPr="00994318">
              <w:rPr>
                <w:rFonts w:ascii="Arial Narrow" w:hAnsi="Arial Narrow" w:cs="Times New Roman"/>
                <w:b/>
                <w:bCs/>
                <w:sz w:val="20"/>
                <w:szCs w:val="20"/>
              </w:rPr>
              <w:t>Overall net cost to the PBS/RPBS of listing lurbinectedin for ES-SCLC maintenance therapy </w:t>
            </w:r>
          </w:p>
        </w:tc>
      </w:tr>
      <w:tr w:rsidR="00994318" w:rsidRPr="00994318" w14:paraId="377937F0" w14:textId="77777777" w:rsidTr="00FA6924">
        <w:trPr>
          <w:trHeight w:val="55"/>
        </w:trPr>
        <w:tc>
          <w:tcPr>
            <w:tcW w:w="2784" w:type="dxa"/>
            <w:tcBorders>
              <w:top w:val="single" w:sz="6" w:space="0" w:color="auto"/>
              <w:left w:val="single" w:sz="6" w:space="0" w:color="auto"/>
              <w:bottom w:val="single" w:sz="6" w:space="0" w:color="auto"/>
              <w:right w:val="single" w:sz="6" w:space="0" w:color="auto"/>
            </w:tcBorders>
            <w:vAlign w:val="center"/>
            <w:hideMark/>
          </w:tcPr>
          <w:p w14:paraId="5340D22E" w14:textId="77777777" w:rsidR="00994318" w:rsidRPr="00994318" w:rsidRDefault="00994318" w:rsidP="00994318">
            <w:pPr>
              <w:jc w:val="left"/>
              <w:textAlignment w:val="baseline"/>
              <w:rPr>
                <w:rFonts w:ascii="Times New Roman" w:hAnsi="Times New Roman" w:cs="Times New Roman"/>
              </w:rPr>
            </w:pPr>
            <w:r w:rsidRPr="00994318">
              <w:rPr>
                <w:rFonts w:ascii="Arial Narrow" w:hAnsi="Arial Narrow" w:cs="Times New Roman"/>
                <w:sz w:val="20"/>
                <w:szCs w:val="20"/>
              </w:rPr>
              <w:t>Net cost of lurbinectedin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78CC15BC" w14:textId="1AD9A166"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0552DE">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486AC422" w14:textId="2A117B2E"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0552DE">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42F3297D" w14:textId="7BAF653B"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0552DE">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058B71C9" w14:textId="12CB7A41"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0552DE">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5198E989" w14:textId="231DBFCB"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0552DE">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62" w:type="dxa"/>
            <w:tcBorders>
              <w:top w:val="single" w:sz="6" w:space="0" w:color="auto"/>
              <w:left w:val="single" w:sz="6" w:space="0" w:color="auto"/>
              <w:bottom w:val="single" w:sz="6" w:space="0" w:color="auto"/>
              <w:right w:val="single" w:sz="6" w:space="0" w:color="auto"/>
            </w:tcBorders>
            <w:vAlign w:val="center"/>
            <w:hideMark/>
          </w:tcPr>
          <w:p w14:paraId="72440B7A" w14:textId="4753A0B8"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0552DE">
              <w:rPr>
                <w:rFonts w:ascii="Arial Narrow" w:hAnsi="Arial Narrow" w:cs="Times New Roman"/>
                <w:sz w:val="20"/>
                <w:szCs w:val="20"/>
                <w:vertAlign w:val="superscript"/>
              </w:rPr>
              <w:t>3</w:t>
            </w:r>
            <w:r w:rsidRPr="00994318">
              <w:rPr>
                <w:rFonts w:ascii="Arial Narrow" w:hAnsi="Arial Narrow" w:cs="Times New Roman"/>
                <w:sz w:val="20"/>
                <w:szCs w:val="20"/>
              </w:rPr>
              <w:t> </w:t>
            </w:r>
          </w:p>
        </w:tc>
      </w:tr>
      <w:tr w:rsidR="00994318" w:rsidRPr="00994318" w14:paraId="3CD4C6AC" w14:textId="77777777" w:rsidTr="00FA6924">
        <w:trPr>
          <w:trHeight w:val="55"/>
        </w:trPr>
        <w:tc>
          <w:tcPr>
            <w:tcW w:w="2784" w:type="dxa"/>
            <w:tcBorders>
              <w:top w:val="single" w:sz="6" w:space="0" w:color="auto"/>
              <w:left w:val="single" w:sz="6" w:space="0" w:color="auto"/>
              <w:bottom w:val="single" w:sz="6" w:space="0" w:color="auto"/>
              <w:right w:val="single" w:sz="6" w:space="0" w:color="auto"/>
            </w:tcBorders>
            <w:vAlign w:val="center"/>
            <w:hideMark/>
          </w:tcPr>
          <w:p w14:paraId="4063CC54" w14:textId="77777777" w:rsidR="00994318" w:rsidRPr="00994318" w:rsidRDefault="00994318" w:rsidP="00994318">
            <w:pPr>
              <w:jc w:val="left"/>
              <w:textAlignment w:val="baseline"/>
              <w:rPr>
                <w:rFonts w:ascii="Times New Roman" w:hAnsi="Times New Roman" w:cs="Times New Roman"/>
              </w:rPr>
            </w:pPr>
            <w:r w:rsidRPr="00994318">
              <w:rPr>
                <w:rFonts w:ascii="Arial Narrow" w:hAnsi="Arial Narrow" w:cs="Times New Roman"/>
                <w:sz w:val="20"/>
                <w:szCs w:val="20"/>
              </w:rPr>
              <w:t>Net cost of atezolizumab and durvalumab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4FA279B2" w14:textId="6E4981BE"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6D40F3">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272390EF" w14:textId="15033A21"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6D40F3">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1A7BF08D" w14:textId="37D9D13D"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6D40F3">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1FC80EE4" w14:textId="3A3CF56A"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6D40F3">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58F0071C" w14:textId="4F9FBEB2"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Pr="00994318">
              <w:rPr>
                <w:rFonts w:ascii="Arial Narrow" w:hAnsi="Arial Narrow" w:cs="Times New Roman"/>
                <w:color w:val="000000"/>
                <w:sz w:val="20"/>
                <w:szCs w:val="20"/>
              </w:rPr>
              <w:t> </w:t>
            </w:r>
          </w:p>
        </w:tc>
        <w:tc>
          <w:tcPr>
            <w:tcW w:w="1062" w:type="dxa"/>
            <w:tcBorders>
              <w:top w:val="single" w:sz="6" w:space="0" w:color="auto"/>
              <w:left w:val="single" w:sz="6" w:space="0" w:color="auto"/>
              <w:bottom w:val="single" w:sz="6" w:space="0" w:color="auto"/>
              <w:right w:val="single" w:sz="6" w:space="0" w:color="auto"/>
            </w:tcBorders>
            <w:vAlign w:val="center"/>
            <w:hideMark/>
          </w:tcPr>
          <w:p w14:paraId="0B4DA58D" w14:textId="3E638EAD"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color w:val="000000"/>
                <w:sz w:val="20"/>
                <w:szCs w:val="20"/>
              </w:rPr>
              <w:t>$</w:t>
            </w:r>
            <w:r w:rsidR="00C8249A" w:rsidRPr="00C8249A">
              <w:rPr>
                <w:rFonts w:ascii="Arial Narrow" w:hAnsi="Arial Narrow" w:cs="Times New Roman"/>
                <w:color w:val="000000"/>
                <w:sz w:val="20"/>
                <w:szCs w:val="20"/>
                <w:highlight w:val="black"/>
              </w:rPr>
              <w:t>&amp;&amp;&amp;&amp;</w:t>
            </w:r>
            <w:r w:rsidR="006D40F3">
              <w:rPr>
                <w:rFonts w:ascii="Arial Narrow" w:hAnsi="Arial Narrow" w:cs="Times New Roman"/>
                <w:color w:val="000000"/>
                <w:sz w:val="20"/>
                <w:szCs w:val="20"/>
                <w:vertAlign w:val="superscript"/>
              </w:rPr>
              <w:t>4</w:t>
            </w:r>
            <w:r w:rsidRPr="00994318">
              <w:rPr>
                <w:rFonts w:ascii="Arial Narrow" w:hAnsi="Arial Narrow" w:cs="Times New Roman"/>
                <w:color w:val="000000"/>
                <w:sz w:val="20"/>
                <w:szCs w:val="20"/>
              </w:rPr>
              <w:t> </w:t>
            </w:r>
          </w:p>
        </w:tc>
      </w:tr>
      <w:tr w:rsidR="00994318" w:rsidRPr="00994318" w14:paraId="5BA28D1C" w14:textId="77777777" w:rsidTr="00FA6924">
        <w:trPr>
          <w:trHeight w:val="55"/>
        </w:trPr>
        <w:tc>
          <w:tcPr>
            <w:tcW w:w="2784" w:type="dxa"/>
            <w:tcBorders>
              <w:top w:val="single" w:sz="6" w:space="0" w:color="auto"/>
              <w:left w:val="single" w:sz="6" w:space="0" w:color="auto"/>
              <w:bottom w:val="single" w:sz="6" w:space="0" w:color="auto"/>
              <w:right w:val="single" w:sz="6" w:space="0" w:color="auto"/>
            </w:tcBorders>
            <w:vAlign w:val="center"/>
            <w:hideMark/>
          </w:tcPr>
          <w:p w14:paraId="49D69405" w14:textId="77777777" w:rsidR="00994318" w:rsidRPr="00994318" w:rsidRDefault="00994318" w:rsidP="00994318">
            <w:pPr>
              <w:jc w:val="left"/>
              <w:textAlignment w:val="baseline"/>
              <w:rPr>
                <w:rFonts w:ascii="Times New Roman" w:hAnsi="Times New Roman" w:cs="Times New Roman"/>
              </w:rPr>
            </w:pPr>
            <w:r w:rsidRPr="00994318">
              <w:rPr>
                <w:rFonts w:ascii="Arial Narrow" w:hAnsi="Arial Narrow" w:cs="Times New Roman"/>
                <w:b/>
                <w:bCs/>
                <w:sz w:val="20"/>
                <w:szCs w:val="20"/>
              </w:rPr>
              <w:t>Overall net cost to PBS/RPBS </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47F94DFF" w14:textId="0C655ECA"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sz w:val="20"/>
                <w:szCs w:val="20"/>
              </w:rPr>
              <w:t>$</w:t>
            </w:r>
            <w:r w:rsidR="00C8249A" w:rsidRPr="00C8249A">
              <w:rPr>
                <w:rFonts w:ascii="Arial Narrow" w:hAnsi="Arial Narrow" w:cs="Times New Roman"/>
                <w:b/>
                <w:bCs/>
                <w:sz w:val="20"/>
                <w:szCs w:val="20"/>
                <w:highlight w:val="black"/>
              </w:rPr>
              <w:t>&amp;&amp;&amp;&amp;</w:t>
            </w:r>
            <w:r w:rsidR="006D40F3">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423202BB" w14:textId="27F219FD"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sz w:val="20"/>
                <w:szCs w:val="20"/>
              </w:rPr>
              <w:t>$</w:t>
            </w:r>
            <w:r w:rsidR="00C8249A" w:rsidRPr="00C8249A">
              <w:rPr>
                <w:rFonts w:ascii="Arial Narrow" w:hAnsi="Arial Narrow" w:cs="Times New Roman"/>
                <w:b/>
                <w:bCs/>
                <w:sz w:val="20"/>
                <w:szCs w:val="20"/>
                <w:highlight w:val="black"/>
              </w:rPr>
              <w:t>&amp;&amp;&amp;&amp;</w:t>
            </w:r>
            <w:r w:rsidR="006D40F3">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139FAAA2" w14:textId="0DDBD801"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sz w:val="20"/>
                <w:szCs w:val="20"/>
              </w:rPr>
              <w:t>$</w:t>
            </w:r>
            <w:r w:rsidR="00C8249A" w:rsidRPr="00C8249A">
              <w:rPr>
                <w:rFonts w:ascii="Arial Narrow" w:hAnsi="Arial Narrow" w:cs="Times New Roman"/>
                <w:b/>
                <w:bCs/>
                <w:sz w:val="20"/>
                <w:szCs w:val="20"/>
                <w:highlight w:val="black"/>
              </w:rPr>
              <w:t>&amp;&amp;&amp;&amp;</w:t>
            </w:r>
            <w:r w:rsidR="00EF64FC" w:rsidRPr="00EF64FC">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6F61D580" w14:textId="45FA50B7"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sz w:val="20"/>
                <w:szCs w:val="20"/>
              </w:rPr>
              <w:t>$</w:t>
            </w:r>
            <w:r w:rsidR="00C8249A" w:rsidRPr="00C8249A">
              <w:rPr>
                <w:rFonts w:ascii="Arial Narrow" w:hAnsi="Arial Narrow" w:cs="Times New Roman"/>
                <w:b/>
                <w:bCs/>
                <w:sz w:val="20"/>
                <w:szCs w:val="20"/>
                <w:highlight w:val="black"/>
              </w:rPr>
              <w:t>&amp;&amp;&amp;&amp;</w:t>
            </w:r>
            <w:r w:rsidR="00EF64FC">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vAlign w:val="center"/>
            <w:hideMark/>
          </w:tcPr>
          <w:p w14:paraId="174888BD" w14:textId="2EF758B8"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b/>
                <w:bCs/>
                <w:sz w:val="20"/>
                <w:szCs w:val="20"/>
              </w:rPr>
              <w:t>$</w:t>
            </w:r>
            <w:r w:rsidR="00C8249A" w:rsidRPr="00C8249A">
              <w:rPr>
                <w:rFonts w:ascii="Arial Narrow" w:hAnsi="Arial Narrow" w:cs="Times New Roman"/>
                <w:b/>
                <w:bCs/>
                <w:sz w:val="20"/>
                <w:szCs w:val="20"/>
                <w:highlight w:val="black"/>
              </w:rPr>
              <w:t>&amp;&amp;&amp;&amp;</w:t>
            </w:r>
            <w:r w:rsidR="00EF64FC">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62" w:type="dxa"/>
            <w:tcBorders>
              <w:top w:val="single" w:sz="6" w:space="0" w:color="auto"/>
              <w:left w:val="single" w:sz="6" w:space="0" w:color="auto"/>
              <w:bottom w:val="single" w:sz="6" w:space="0" w:color="auto"/>
              <w:right w:val="single" w:sz="6" w:space="0" w:color="auto"/>
            </w:tcBorders>
            <w:vAlign w:val="center"/>
            <w:hideMark/>
          </w:tcPr>
          <w:p w14:paraId="54B26A3D" w14:textId="62135552" w:rsidR="00994318" w:rsidRPr="00BB1570" w:rsidRDefault="00994318" w:rsidP="00994318">
            <w:pPr>
              <w:jc w:val="center"/>
              <w:textAlignment w:val="baseline"/>
              <w:rPr>
                <w:rFonts w:ascii="Times New Roman" w:hAnsi="Times New Roman" w:cs="Times New Roman"/>
                <w:vertAlign w:val="superscript"/>
              </w:rPr>
            </w:pPr>
            <w:r w:rsidRPr="00994318">
              <w:rPr>
                <w:rFonts w:ascii="Arial Narrow" w:hAnsi="Arial Narrow" w:cs="Times New Roman"/>
                <w:b/>
                <w:bCs/>
                <w:sz w:val="20"/>
                <w:szCs w:val="20"/>
              </w:rPr>
              <w:t>$</w:t>
            </w:r>
            <w:r w:rsidR="00C8249A" w:rsidRPr="00C8249A">
              <w:rPr>
                <w:rFonts w:ascii="Arial Narrow" w:hAnsi="Arial Narrow" w:cs="Times New Roman"/>
                <w:b/>
                <w:bCs/>
                <w:sz w:val="20"/>
                <w:szCs w:val="20"/>
                <w:highlight w:val="black"/>
              </w:rPr>
              <w:t>&amp;&amp;&amp;&amp;</w:t>
            </w:r>
            <w:r w:rsidR="00BB1570">
              <w:rPr>
                <w:rFonts w:ascii="Arial Narrow" w:hAnsi="Arial Narrow" w:cs="Times New Roman"/>
                <w:sz w:val="20"/>
                <w:szCs w:val="20"/>
                <w:vertAlign w:val="superscript"/>
              </w:rPr>
              <w:t>5</w:t>
            </w:r>
            <w:r w:rsidRPr="00994318">
              <w:rPr>
                <w:rFonts w:ascii="Arial Narrow" w:hAnsi="Arial Narrow" w:cs="Times New Roman"/>
                <w:sz w:val="20"/>
                <w:szCs w:val="20"/>
              </w:rPr>
              <w:t> </w:t>
            </w:r>
          </w:p>
        </w:tc>
      </w:tr>
      <w:tr w:rsidR="00994318" w:rsidRPr="00994318" w14:paraId="52BE5B0B" w14:textId="77777777" w:rsidTr="00FA6924">
        <w:trPr>
          <w:trHeight w:val="55"/>
        </w:trPr>
        <w:tc>
          <w:tcPr>
            <w:tcW w:w="2784" w:type="dxa"/>
            <w:tcBorders>
              <w:top w:val="single" w:sz="6" w:space="0" w:color="auto"/>
              <w:left w:val="single" w:sz="6" w:space="0" w:color="auto"/>
              <w:bottom w:val="single" w:sz="6" w:space="0" w:color="auto"/>
              <w:right w:val="single" w:sz="6" w:space="0" w:color="auto"/>
            </w:tcBorders>
            <w:hideMark/>
          </w:tcPr>
          <w:p w14:paraId="060C5B0B" w14:textId="77777777" w:rsidR="00994318" w:rsidRPr="00994318" w:rsidRDefault="00994318" w:rsidP="00994318">
            <w:pPr>
              <w:jc w:val="left"/>
              <w:textAlignment w:val="baseline"/>
              <w:rPr>
                <w:rFonts w:ascii="Times New Roman" w:hAnsi="Times New Roman" w:cs="Times New Roman"/>
              </w:rPr>
            </w:pPr>
            <w:r w:rsidRPr="00994318">
              <w:rPr>
                <w:rFonts w:ascii="Arial Narrow" w:hAnsi="Arial Narrow" w:cs="Times New Roman"/>
                <w:sz w:val="20"/>
                <w:szCs w:val="20"/>
              </w:rPr>
              <w:t>Net cost to </w:t>
            </w:r>
            <w:proofErr w:type="spellStart"/>
            <w:r w:rsidRPr="00994318">
              <w:rPr>
                <w:rFonts w:ascii="Arial Narrow" w:hAnsi="Arial Narrow" w:cs="Times New Roman"/>
                <w:sz w:val="20"/>
                <w:szCs w:val="20"/>
              </w:rPr>
              <w:t>MBS</w:t>
            </w:r>
            <w:r w:rsidRPr="00994318">
              <w:rPr>
                <w:rFonts w:ascii="Arial Narrow" w:hAnsi="Arial Narrow" w:cs="Times New Roman"/>
                <w:sz w:val="16"/>
                <w:szCs w:val="16"/>
                <w:vertAlign w:val="superscript"/>
              </w:rPr>
              <w:t>d</w:t>
            </w:r>
            <w:proofErr w:type="spellEnd"/>
            <w:r w:rsidRPr="00994318">
              <w:rPr>
                <w:rFonts w:ascii="Arial Narrow" w:hAnsi="Arial Narrow" w:cs="Times New Roman"/>
                <w:sz w:val="16"/>
                <w:szCs w:val="16"/>
              </w:rPr>
              <w:t> </w:t>
            </w:r>
          </w:p>
        </w:tc>
        <w:tc>
          <w:tcPr>
            <w:tcW w:w="1033" w:type="dxa"/>
            <w:tcBorders>
              <w:top w:val="single" w:sz="6" w:space="0" w:color="auto"/>
              <w:left w:val="single" w:sz="6" w:space="0" w:color="auto"/>
              <w:bottom w:val="single" w:sz="6" w:space="0" w:color="auto"/>
              <w:right w:val="single" w:sz="6" w:space="0" w:color="auto"/>
            </w:tcBorders>
            <w:hideMark/>
          </w:tcPr>
          <w:p w14:paraId="230D6FBE" w14:textId="1ABD19C3"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2C104D">
              <w:rPr>
                <w:rFonts w:ascii="Arial Narrow" w:hAnsi="Arial Narrow" w:cs="Times New Roman"/>
                <w:sz w:val="20"/>
                <w:szCs w:val="20"/>
                <w:vertAlign w:val="superscript"/>
              </w:rPr>
              <w:t>4</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hideMark/>
          </w:tcPr>
          <w:p w14:paraId="55848F15" w14:textId="639201B0"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2C104D">
              <w:rPr>
                <w:rFonts w:ascii="Arial Narrow" w:hAnsi="Arial Narrow" w:cs="Times New Roman"/>
                <w:sz w:val="20"/>
                <w:szCs w:val="20"/>
                <w:vertAlign w:val="superscript"/>
              </w:rPr>
              <w:t>4</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hideMark/>
          </w:tcPr>
          <w:p w14:paraId="59720845" w14:textId="7357B173"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2C104D">
              <w:rPr>
                <w:rFonts w:ascii="Arial Narrow" w:hAnsi="Arial Narrow" w:cs="Times New Roman"/>
                <w:sz w:val="20"/>
                <w:szCs w:val="20"/>
                <w:vertAlign w:val="superscript"/>
              </w:rPr>
              <w:t>4</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hideMark/>
          </w:tcPr>
          <w:p w14:paraId="06B431A3" w14:textId="063F73EE"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2C104D">
              <w:rPr>
                <w:rFonts w:ascii="Arial Narrow" w:hAnsi="Arial Narrow" w:cs="Times New Roman"/>
                <w:sz w:val="20"/>
                <w:szCs w:val="20"/>
                <w:vertAlign w:val="superscript"/>
              </w:rPr>
              <w:t>4</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hideMark/>
          </w:tcPr>
          <w:p w14:paraId="49E0E346" w14:textId="4B4F1B58"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2C104D">
              <w:rPr>
                <w:rFonts w:ascii="Arial Narrow" w:hAnsi="Arial Narrow" w:cs="Times New Roman"/>
                <w:sz w:val="20"/>
                <w:szCs w:val="20"/>
                <w:vertAlign w:val="superscript"/>
              </w:rPr>
              <w:t>4</w:t>
            </w:r>
            <w:r w:rsidRPr="00994318">
              <w:rPr>
                <w:rFonts w:ascii="Arial Narrow" w:hAnsi="Arial Narrow" w:cs="Times New Roman"/>
                <w:sz w:val="20"/>
                <w:szCs w:val="20"/>
              </w:rPr>
              <w:t> </w:t>
            </w:r>
          </w:p>
        </w:tc>
        <w:tc>
          <w:tcPr>
            <w:tcW w:w="1062" w:type="dxa"/>
            <w:tcBorders>
              <w:top w:val="single" w:sz="6" w:space="0" w:color="auto"/>
              <w:left w:val="single" w:sz="6" w:space="0" w:color="auto"/>
              <w:bottom w:val="single" w:sz="6" w:space="0" w:color="auto"/>
              <w:right w:val="single" w:sz="6" w:space="0" w:color="auto"/>
            </w:tcBorders>
            <w:hideMark/>
          </w:tcPr>
          <w:p w14:paraId="537BE2F3" w14:textId="34D8ED6A"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2C104D">
              <w:rPr>
                <w:rFonts w:ascii="Arial Narrow" w:hAnsi="Arial Narrow" w:cs="Times New Roman"/>
                <w:sz w:val="20"/>
                <w:szCs w:val="20"/>
                <w:vertAlign w:val="superscript"/>
              </w:rPr>
              <w:t>4</w:t>
            </w:r>
            <w:r w:rsidRPr="00994318">
              <w:rPr>
                <w:rFonts w:ascii="Arial Narrow" w:hAnsi="Arial Narrow" w:cs="Times New Roman"/>
                <w:sz w:val="20"/>
                <w:szCs w:val="20"/>
              </w:rPr>
              <w:t> </w:t>
            </w:r>
          </w:p>
        </w:tc>
      </w:tr>
      <w:tr w:rsidR="00994318" w:rsidRPr="00994318" w14:paraId="115B4EF4" w14:textId="77777777" w:rsidTr="00FA6924">
        <w:trPr>
          <w:trHeight w:val="55"/>
        </w:trPr>
        <w:tc>
          <w:tcPr>
            <w:tcW w:w="2784" w:type="dxa"/>
            <w:tcBorders>
              <w:top w:val="single" w:sz="6" w:space="0" w:color="auto"/>
              <w:left w:val="single" w:sz="6" w:space="0" w:color="auto"/>
              <w:bottom w:val="single" w:sz="6" w:space="0" w:color="auto"/>
              <w:right w:val="single" w:sz="6" w:space="0" w:color="auto"/>
            </w:tcBorders>
            <w:hideMark/>
          </w:tcPr>
          <w:p w14:paraId="6BB79BDF" w14:textId="77777777" w:rsidR="00994318" w:rsidRPr="00994318" w:rsidRDefault="00994318" w:rsidP="00994318">
            <w:pPr>
              <w:jc w:val="left"/>
              <w:textAlignment w:val="baseline"/>
              <w:rPr>
                <w:rFonts w:ascii="Times New Roman" w:hAnsi="Times New Roman" w:cs="Times New Roman"/>
              </w:rPr>
            </w:pPr>
            <w:r w:rsidRPr="00994318">
              <w:rPr>
                <w:rFonts w:ascii="Arial Narrow" w:hAnsi="Arial Narrow" w:cs="Times New Roman"/>
                <w:sz w:val="20"/>
                <w:szCs w:val="20"/>
              </w:rPr>
              <w:t>Net cost to PBS/RPBS/MBS </w:t>
            </w:r>
          </w:p>
        </w:tc>
        <w:tc>
          <w:tcPr>
            <w:tcW w:w="1033" w:type="dxa"/>
            <w:tcBorders>
              <w:top w:val="single" w:sz="6" w:space="0" w:color="auto"/>
              <w:left w:val="single" w:sz="6" w:space="0" w:color="auto"/>
              <w:bottom w:val="single" w:sz="6" w:space="0" w:color="auto"/>
              <w:right w:val="single" w:sz="6" w:space="0" w:color="auto"/>
            </w:tcBorders>
            <w:hideMark/>
          </w:tcPr>
          <w:p w14:paraId="7DE3A2E8" w14:textId="0118CB50"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2A1057">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hideMark/>
          </w:tcPr>
          <w:p w14:paraId="20EDA9E0" w14:textId="2F3C5A56"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2A1057">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hideMark/>
          </w:tcPr>
          <w:p w14:paraId="589AB923" w14:textId="39625768"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2A1057">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hideMark/>
          </w:tcPr>
          <w:p w14:paraId="42BD477C" w14:textId="0CBFFEAC"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2A1057">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33" w:type="dxa"/>
            <w:tcBorders>
              <w:top w:val="single" w:sz="6" w:space="0" w:color="auto"/>
              <w:left w:val="single" w:sz="6" w:space="0" w:color="auto"/>
              <w:bottom w:val="single" w:sz="6" w:space="0" w:color="auto"/>
              <w:right w:val="single" w:sz="6" w:space="0" w:color="auto"/>
            </w:tcBorders>
            <w:hideMark/>
          </w:tcPr>
          <w:p w14:paraId="726C3CBB" w14:textId="3C99CC06"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2A1057">
              <w:rPr>
                <w:rFonts w:ascii="Arial Narrow" w:hAnsi="Arial Narrow" w:cs="Times New Roman"/>
                <w:sz w:val="20"/>
                <w:szCs w:val="20"/>
                <w:vertAlign w:val="superscript"/>
              </w:rPr>
              <w:t>3</w:t>
            </w:r>
            <w:r w:rsidRPr="00994318">
              <w:rPr>
                <w:rFonts w:ascii="Arial Narrow" w:hAnsi="Arial Narrow" w:cs="Times New Roman"/>
                <w:sz w:val="20"/>
                <w:szCs w:val="20"/>
              </w:rPr>
              <w:t> </w:t>
            </w:r>
          </w:p>
        </w:tc>
        <w:tc>
          <w:tcPr>
            <w:tcW w:w="1062" w:type="dxa"/>
            <w:tcBorders>
              <w:top w:val="single" w:sz="6" w:space="0" w:color="auto"/>
              <w:left w:val="single" w:sz="6" w:space="0" w:color="auto"/>
              <w:bottom w:val="single" w:sz="6" w:space="0" w:color="auto"/>
              <w:right w:val="single" w:sz="6" w:space="0" w:color="auto"/>
            </w:tcBorders>
            <w:hideMark/>
          </w:tcPr>
          <w:p w14:paraId="3D62C639" w14:textId="7334DD37" w:rsidR="00994318" w:rsidRPr="00994318" w:rsidRDefault="00994318" w:rsidP="00994318">
            <w:pPr>
              <w:jc w:val="center"/>
              <w:textAlignment w:val="baseline"/>
              <w:rPr>
                <w:rFonts w:ascii="Times New Roman" w:hAnsi="Times New Roman" w:cs="Times New Roman"/>
              </w:rPr>
            </w:pPr>
            <w:r w:rsidRPr="00994318">
              <w:rPr>
                <w:rFonts w:ascii="Arial Narrow" w:hAnsi="Arial Narrow" w:cs="Times New Roman"/>
                <w:sz w:val="20"/>
                <w:szCs w:val="20"/>
              </w:rPr>
              <w:t>$</w:t>
            </w:r>
            <w:r w:rsidR="00C8249A" w:rsidRPr="00C8249A">
              <w:rPr>
                <w:rFonts w:ascii="Arial Narrow" w:hAnsi="Arial Narrow" w:cs="Times New Roman"/>
                <w:sz w:val="20"/>
                <w:szCs w:val="20"/>
                <w:highlight w:val="black"/>
              </w:rPr>
              <w:t>&amp;&amp;&amp;&amp;</w:t>
            </w:r>
            <w:r w:rsidR="002A1057">
              <w:rPr>
                <w:rFonts w:ascii="Arial Narrow" w:hAnsi="Arial Narrow" w:cs="Times New Roman"/>
                <w:sz w:val="20"/>
                <w:szCs w:val="20"/>
                <w:vertAlign w:val="superscript"/>
              </w:rPr>
              <w:t>5</w:t>
            </w:r>
            <w:r w:rsidRPr="00994318">
              <w:rPr>
                <w:rFonts w:ascii="Arial Narrow" w:hAnsi="Arial Narrow" w:cs="Times New Roman"/>
                <w:sz w:val="20"/>
                <w:szCs w:val="20"/>
              </w:rPr>
              <w:t> </w:t>
            </w:r>
          </w:p>
        </w:tc>
      </w:tr>
      <w:tr w:rsidR="00FA6924" w:rsidRPr="00994318" w14:paraId="2F2629ED" w14:textId="77777777" w:rsidTr="00FA6924">
        <w:trPr>
          <w:trHeight w:val="55"/>
        </w:trPr>
        <w:tc>
          <w:tcPr>
            <w:tcW w:w="9011" w:type="dxa"/>
            <w:gridSpan w:val="7"/>
            <w:tcBorders>
              <w:top w:val="single" w:sz="6" w:space="0" w:color="auto"/>
              <w:left w:val="single" w:sz="6" w:space="0" w:color="auto"/>
              <w:bottom w:val="single" w:sz="6" w:space="0" w:color="auto"/>
              <w:right w:val="single" w:sz="6" w:space="0" w:color="auto"/>
            </w:tcBorders>
          </w:tcPr>
          <w:p w14:paraId="321D7534" w14:textId="5F259BC6" w:rsidR="00FA6924" w:rsidRPr="00FA6924" w:rsidRDefault="00FA6924" w:rsidP="00FA6924">
            <w:pPr>
              <w:jc w:val="left"/>
              <w:textAlignment w:val="baseline"/>
              <w:rPr>
                <w:rFonts w:ascii="Arial Narrow" w:hAnsi="Arial Narrow" w:cs="Times New Roman"/>
                <w:b/>
                <w:bCs/>
                <w:sz w:val="20"/>
                <w:szCs w:val="20"/>
              </w:rPr>
            </w:pPr>
            <w:r w:rsidRPr="00FA6924">
              <w:rPr>
                <w:rFonts w:ascii="Arial Narrow" w:hAnsi="Arial Narrow" w:cs="Times New Roman"/>
                <w:b/>
                <w:bCs/>
                <w:sz w:val="20"/>
                <w:szCs w:val="20"/>
              </w:rPr>
              <w:t xml:space="preserve">Pre-PBAC response </w:t>
            </w:r>
            <w:r w:rsidR="00567D41">
              <w:rPr>
                <w:rFonts w:ascii="Arial Narrow" w:hAnsi="Arial Narrow" w:cs="Times New Roman"/>
                <w:b/>
                <w:bCs/>
                <w:sz w:val="20"/>
                <w:szCs w:val="20"/>
              </w:rPr>
              <w:t>(</w:t>
            </w:r>
            <w:r w:rsidRPr="00FA6924">
              <w:rPr>
                <w:rFonts w:ascii="Arial Narrow" w:hAnsi="Arial Narrow" w:cs="Times New Roman"/>
                <w:b/>
                <w:bCs/>
                <w:sz w:val="20"/>
                <w:szCs w:val="20"/>
              </w:rPr>
              <w:t>2 mg vial = $485)</w:t>
            </w:r>
          </w:p>
        </w:tc>
      </w:tr>
      <w:tr w:rsidR="00567D41" w:rsidRPr="00994318" w14:paraId="1A0CB0E4" w14:textId="77777777" w:rsidTr="00FA6924">
        <w:trPr>
          <w:trHeight w:val="55"/>
        </w:trPr>
        <w:tc>
          <w:tcPr>
            <w:tcW w:w="2784" w:type="dxa"/>
            <w:tcBorders>
              <w:top w:val="single" w:sz="6" w:space="0" w:color="auto"/>
              <w:left w:val="single" w:sz="6" w:space="0" w:color="auto"/>
              <w:bottom w:val="single" w:sz="6" w:space="0" w:color="auto"/>
              <w:right w:val="single" w:sz="6" w:space="0" w:color="auto"/>
            </w:tcBorders>
          </w:tcPr>
          <w:p w14:paraId="3A00936A" w14:textId="409EAFD1" w:rsidR="00567D41" w:rsidRPr="00994318" w:rsidRDefault="00567D41" w:rsidP="00567D41">
            <w:pPr>
              <w:jc w:val="left"/>
              <w:textAlignment w:val="baseline"/>
              <w:rPr>
                <w:rFonts w:ascii="Arial Narrow" w:hAnsi="Arial Narrow" w:cs="Times New Roman"/>
                <w:sz w:val="20"/>
                <w:szCs w:val="20"/>
              </w:rPr>
            </w:pPr>
            <w:r>
              <w:rPr>
                <w:rFonts w:ascii="Arial Narrow" w:hAnsi="Arial Narrow" w:cs="Times New Roman"/>
                <w:sz w:val="20"/>
                <w:szCs w:val="20"/>
              </w:rPr>
              <w:t>Net cost to PBS/RPBS</w:t>
            </w:r>
          </w:p>
        </w:tc>
        <w:tc>
          <w:tcPr>
            <w:tcW w:w="1033" w:type="dxa"/>
            <w:tcBorders>
              <w:top w:val="single" w:sz="6" w:space="0" w:color="auto"/>
              <w:left w:val="single" w:sz="6" w:space="0" w:color="auto"/>
              <w:bottom w:val="single" w:sz="6" w:space="0" w:color="auto"/>
              <w:right w:val="single" w:sz="6" w:space="0" w:color="auto"/>
            </w:tcBorders>
          </w:tcPr>
          <w:p w14:paraId="43240B12" w14:textId="4E177B6B" w:rsidR="00567D41" w:rsidRPr="002A1057" w:rsidRDefault="00567D41" w:rsidP="00567D41">
            <w:pPr>
              <w:jc w:val="center"/>
              <w:textAlignment w:val="baseline"/>
              <w:rPr>
                <w:rFonts w:ascii="Arial Narrow" w:hAnsi="Arial Narrow" w:cs="Times New Roman"/>
                <w:sz w:val="20"/>
                <w:szCs w:val="20"/>
                <w:vertAlign w:val="superscript"/>
              </w:rPr>
            </w:pPr>
            <w:r w:rsidRPr="00567D41">
              <w:rPr>
                <w:rFonts w:ascii="Arial Narrow" w:hAnsi="Arial Narrow"/>
                <w:sz w:val="20"/>
                <w:szCs w:val="20"/>
              </w:rPr>
              <w:t>$</w:t>
            </w:r>
            <w:r w:rsidR="00C8249A" w:rsidRPr="00C8249A">
              <w:rPr>
                <w:rFonts w:ascii="Arial Narrow" w:hAnsi="Arial Narrow"/>
                <w:sz w:val="20"/>
                <w:szCs w:val="20"/>
                <w:highlight w:val="black"/>
              </w:rPr>
              <w:t>&amp;&amp;&amp;&amp;</w:t>
            </w:r>
            <w:r w:rsidR="002A1057">
              <w:rPr>
                <w:rFonts w:ascii="Arial Narrow" w:hAnsi="Arial Narrow"/>
                <w:sz w:val="20"/>
                <w:szCs w:val="20"/>
                <w:vertAlign w:val="superscript"/>
              </w:rPr>
              <w:t>4</w:t>
            </w:r>
          </w:p>
        </w:tc>
        <w:tc>
          <w:tcPr>
            <w:tcW w:w="1033" w:type="dxa"/>
            <w:tcBorders>
              <w:top w:val="single" w:sz="6" w:space="0" w:color="auto"/>
              <w:left w:val="single" w:sz="6" w:space="0" w:color="auto"/>
              <w:bottom w:val="single" w:sz="6" w:space="0" w:color="auto"/>
              <w:right w:val="single" w:sz="6" w:space="0" w:color="auto"/>
            </w:tcBorders>
          </w:tcPr>
          <w:p w14:paraId="58C988E7" w14:textId="75E69C32" w:rsidR="00567D41" w:rsidRPr="002A1057" w:rsidRDefault="00567D41" w:rsidP="00567D41">
            <w:pPr>
              <w:jc w:val="center"/>
              <w:textAlignment w:val="baseline"/>
              <w:rPr>
                <w:rFonts w:ascii="Arial Narrow" w:hAnsi="Arial Narrow" w:cs="Times New Roman"/>
                <w:sz w:val="20"/>
                <w:szCs w:val="20"/>
                <w:vertAlign w:val="superscript"/>
              </w:rPr>
            </w:pPr>
            <w:r w:rsidRPr="00567D41">
              <w:rPr>
                <w:rFonts w:ascii="Arial Narrow" w:hAnsi="Arial Narrow"/>
                <w:sz w:val="20"/>
                <w:szCs w:val="20"/>
              </w:rPr>
              <w:t>$</w:t>
            </w:r>
            <w:r w:rsidR="00C8249A" w:rsidRPr="00C8249A">
              <w:rPr>
                <w:rFonts w:ascii="Arial Narrow" w:hAnsi="Arial Narrow"/>
                <w:sz w:val="20"/>
                <w:szCs w:val="20"/>
                <w:highlight w:val="black"/>
              </w:rPr>
              <w:t>&amp;&amp;&amp;&amp;</w:t>
            </w:r>
            <w:r w:rsidR="002A1057">
              <w:rPr>
                <w:rFonts w:ascii="Arial Narrow" w:hAnsi="Arial Narrow"/>
                <w:sz w:val="20"/>
                <w:szCs w:val="20"/>
                <w:vertAlign w:val="superscript"/>
              </w:rPr>
              <w:t>3</w:t>
            </w:r>
          </w:p>
        </w:tc>
        <w:tc>
          <w:tcPr>
            <w:tcW w:w="1033" w:type="dxa"/>
            <w:tcBorders>
              <w:top w:val="single" w:sz="6" w:space="0" w:color="auto"/>
              <w:left w:val="single" w:sz="6" w:space="0" w:color="auto"/>
              <w:bottom w:val="single" w:sz="6" w:space="0" w:color="auto"/>
              <w:right w:val="single" w:sz="6" w:space="0" w:color="auto"/>
            </w:tcBorders>
          </w:tcPr>
          <w:p w14:paraId="4695FE2E" w14:textId="2B0332AF" w:rsidR="00567D41" w:rsidRPr="004E7A8D" w:rsidRDefault="00567D41" w:rsidP="00567D41">
            <w:pPr>
              <w:jc w:val="center"/>
              <w:textAlignment w:val="baseline"/>
              <w:rPr>
                <w:rFonts w:ascii="Arial Narrow" w:hAnsi="Arial Narrow" w:cs="Times New Roman"/>
                <w:sz w:val="20"/>
                <w:szCs w:val="20"/>
                <w:vertAlign w:val="superscript"/>
              </w:rPr>
            </w:pPr>
            <w:r w:rsidRPr="00567D41">
              <w:rPr>
                <w:rFonts w:ascii="Arial Narrow" w:hAnsi="Arial Narrow"/>
                <w:sz w:val="20"/>
                <w:szCs w:val="20"/>
              </w:rPr>
              <w:t>$</w:t>
            </w:r>
            <w:r w:rsidR="00C8249A" w:rsidRPr="00C8249A">
              <w:rPr>
                <w:rFonts w:ascii="Arial Narrow" w:hAnsi="Arial Narrow"/>
                <w:sz w:val="20"/>
                <w:szCs w:val="20"/>
                <w:highlight w:val="black"/>
              </w:rPr>
              <w:t>&amp;&amp;&amp;&amp;</w:t>
            </w:r>
            <w:r w:rsidR="004E7A8D">
              <w:rPr>
                <w:rFonts w:ascii="Arial Narrow" w:hAnsi="Arial Narrow"/>
                <w:sz w:val="20"/>
                <w:szCs w:val="20"/>
                <w:vertAlign w:val="superscript"/>
              </w:rPr>
              <w:t>3</w:t>
            </w:r>
          </w:p>
        </w:tc>
        <w:tc>
          <w:tcPr>
            <w:tcW w:w="1033" w:type="dxa"/>
            <w:tcBorders>
              <w:top w:val="single" w:sz="6" w:space="0" w:color="auto"/>
              <w:left w:val="single" w:sz="6" w:space="0" w:color="auto"/>
              <w:bottom w:val="single" w:sz="6" w:space="0" w:color="auto"/>
              <w:right w:val="single" w:sz="6" w:space="0" w:color="auto"/>
            </w:tcBorders>
          </w:tcPr>
          <w:p w14:paraId="0344F2A5" w14:textId="34BC3B9E" w:rsidR="00567D41" w:rsidRPr="004E7A8D" w:rsidRDefault="00567D41" w:rsidP="00567D41">
            <w:pPr>
              <w:jc w:val="center"/>
              <w:textAlignment w:val="baseline"/>
              <w:rPr>
                <w:rFonts w:ascii="Arial Narrow" w:hAnsi="Arial Narrow" w:cs="Times New Roman"/>
                <w:sz w:val="20"/>
                <w:szCs w:val="20"/>
                <w:vertAlign w:val="superscript"/>
              </w:rPr>
            </w:pPr>
            <w:r w:rsidRPr="00567D41">
              <w:rPr>
                <w:rFonts w:ascii="Arial Narrow" w:hAnsi="Arial Narrow"/>
                <w:sz w:val="20"/>
                <w:szCs w:val="20"/>
              </w:rPr>
              <w:t>$</w:t>
            </w:r>
            <w:r w:rsidR="00C8249A" w:rsidRPr="00C8249A">
              <w:rPr>
                <w:rFonts w:ascii="Arial Narrow" w:hAnsi="Arial Narrow"/>
                <w:sz w:val="20"/>
                <w:szCs w:val="20"/>
                <w:highlight w:val="black"/>
              </w:rPr>
              <w:t>&amp;&amp;&amp;&amp;</w:t>
            </w:r>
            <w:r w:rsidR="004E7A8D">
              <w:rPr>
                <w:rFonts w:ascii="Arial Narrow" w:hAnsi="Arial Narrow"/>
                <w:sz w:val="20"/>
                <w:szCs w:val="20"/>
                <w:vertAlign w:val="superscript"/>
              </w:rPr>
              <w:t>3</w:t>
            </w:r>
          </w:p>
        </w:tc>
        <w:tc>
          <w:tcPr>
            <w:tcW w:w="1033" w:type="dxa"/>
            <w:tcBorders>
              <w:top w:val="single" w:sz="6" w:space="0" w:color="auto"/>
              <w:left w:val="single" w:sz="6" w:space="0" w:color="auto"/>
              <w:bottom w:val="single" w:sz="6" w:space="0" w:color="auto"/>
              <w:right w:val="single" w:sz="6" w:space="0" w:color="auto"/>
            </w:tcBorders>
          </w:tcPr>
          <w:p w14:paraId="071D65CF" w14:textId="3447E049" w:rsidR="00567D41" w:rsidRPr="004E7A8D" w:rsidRDefault="00567D41" w:rsidP="00567D41">
            <w:pPr>
              <w:jc w:val="center"/>
              <w:textAlignment w:val="baseline"/>
              <w:rPr>
                <w:rFonts w:ascii="Arial Narrow" w:hAnsi="Arial Narrow" w:cs="Times New Roman"/>
                <w:sz w:val="20"/>
                <w:szCs w:val="20"/>
                <w:vertAlign w:val="superscript"/>
              </w:rPr>
            </w:pPr>
            <w:r w:rsidRPr="00567D41">
              <w:rPr>
                <w:rFonts w:ascii="Arial Narrow" w:hAnsi="Arial Narrow"/>
                <w:sz w:val="20"/>
                <w:szCs w:val="20"/>
              </w:rPr>
              <w:t>$</w:t>
            </w:r>
            <w:r w:rsidR="00C8249A" w:rsidRPr="00C8249A">
              <w:rPr>
                <w:rFonts w:ascii="Arial Narrow" w:hAnsi="Arial Narrow"/>
                <w:sz w:val="20"/>
                <w:szCs w:val="20"/>
                <w:highlight w:val="black"/>
              </w:rPr>
              <w:t>&amp;&amp;&amp;&amp;</w:t>
            </w:r>
            <w:r w:rsidR="004E7A8D">
              <w:rPr>
                <w:rFonts w:ascii="Arial Narrow" w:hAnsi="Arial Narrow"/>
                <w:sz w:val="20"/>
                <w:szCs w:val="20"/>
                <w:vertAlign w:val="superscript"/>
              </w:rPr>
              <w:t>3</w:t>
            </w:r>
          </w:p>
        </w:tc>
        <w:tc>
          <w:tcPr>
            <w:tcW w:w="1062" w:type="dxa"/>
            <w:tcBorders>
              <w:top w:val="single" w:sz="6" w:space="0" w:color="auto"/>
              <w:left w:val="single" w:sz="6" w:space="0" w:color="auto"/>
              <w:bottom w:val="single" w:sz="6" w:space="0" w:color="auto"/>
              <w:right w:val="single" w:sz="6" w:space="0" w:color="auto"/>
            </w:tcBorders>
          </w:tcPr>
          <w:p w14:paraId="0DD75CB8" w14:textId="447419B9" w:rsidR="00567D41" w:rsidRPr="004E7A8D" w:rsidRDefault="00567D41" w:rsidP="00567D41">
            <w:pPr>
              <w:jc w:val="center"/>
              <w:textAlignment w:val="baseline"/>
              <w:rPr>
                <w:rFonts w:ascii="Arial Narrow" w:hAnsi="Arial Narrow" w:cs="Times New Roman"/>
                <w:sz w:val="20"/>
                <w:szCs w:val="20"/>
                <w:vertAlign w:val="superscript"/>
              </w:rPr>
            </w:pPr>
            <w:r w:rsidRPr="00567D41">
              <w:rPr>
                <w:rFonts w:ascii="Arial Narrow" w:hAnsi="Arial Narrow"/>
                <w:sz w:val="20"/>
                <w:szCs w:val="20"/>
              </w:rPr>
              <w:t>$</w:t>
            </w:r>
            <w:r w:rsidR="00C8249A" w:rsidRPr="00C8249A">
              <w:rPr>
                <w:rFonts w:ascii="Arial Narrow" w:hAnsi="Arial Narrow"/>
                <w:sz w:val="20"/>
                <w:szCs w:val="20"/>
                <w:highlight w:val="black"/>
              </w:rPr>
              <w:t>&amp;&amp;&amp;&amp;</w:t>
            </w:r>
            <w:r w:rsidR="004E7A8D">
              <w:rPr>
                <w:rFonts w:ascii="Arial Narrow" w:hAnsi="Arial Narrow"/>
                <w:sz w:val="20"/>
                <w:szCs w:val="20"/>
                <w:vertAlign w:val="superscript"/>
              </w:rPr>
              <w:t>3</w:t>
            </w:r>
          </w:p>
        </w:tc>
      </w:tr>
    </w:tbl>
    <w:p w14:paraId="76F09CBC" w14:textId="77777777" w:rsidR="00994318" w:rsidRPr="00994318" w:rsidRDefault="00994318" w:rsidP="00994318">
      <w:pPr>
        <w:textAlignment w:val="baseline"/>
        <w:rPr>
          <w:rFonts w:ascii="Segoe UI" w:hAnsi="Segoe UI" w:cs="Segoe UI"/>
          <w:sz w:val="18"/>
          <w:szCs w:val="18"/>
        </w:rPr>
      </w:pPr>
      <w:r w:rsidRPr="00994318">
        <w:rPr>
          <w:rFonts w:ascii="Arial Narrow" w:hAnsi="Arial Narrow" w:cs="Segoe UI"/>
          <w:sz w:val="18"/>
          <w:szCs w:val="18"/>
        </w:rPr>
        <w:t>Source: Tables 116 to 119, pp191-193; Table 122, p195; Tables 123 to 125, pp196-197; Table 126, p197; and Table 132, p200 of the submission; MS Excel ‘Zepzelca_SCLC_BIM.xlsx’ provided with the submission. </w:t>
      </w:r>
    </w:p>
    <w:p w14:paraId="07B9DE0C" w14:textId="77777777" w:rsidR="00994318" w:rsidRPr="00994318" w:rsidRDefault="00994318" w:rsidP="00994318">
      <w:pPr>
        <w:textAlignment w:val="baseline"/>
        <w:rPr>
          <w:rFonts w:ascii="Segoe UI" w:hAnsi="Segoe UI" w:cs="Segoe UI"/>
          <w:sz w:val="18"/>
          <w:szCs w:val="18"/>
        </w:rPr>
      </w:pPr>
      <w:r w:rsidRPr="00994318">
        <w:rPr>
          <w:rFonts w:ascii="Arial Narrow" w:hAnsi="Arial Narrow" w:cs="Segoe UI"/>
          <w:sz w:val="18"/>
          <w:szCs w:val="18"/>
        </w:rPr>
        <w:t>Abbreviations: PBS, Pharmaceutical Benefits Scheme; RPBS, Repatriation Pharmaceutical Benefits Scheme. </w:t>
      </w:r>
    </w:p>
    <w:p w14:paraId="00882EAE" w14:textId="77777777" w:rsidR="00994318" w:rsidRPr="00994318" w:rsidRDefault="00994318" w:rsidP="00994318">
      <w:pPr>
        <w:textAlignment w:val="baseline"/>
        <w:rPr>
          <w:rFonts w:ascii="Segoe UI" w:hAnsi="Segoe UI" w:cs="Segoe UI"/>
          <w:sz w:val="18"/>
          <w:szCs w:val="18"/>
        </w:rPr>
      </w:pPr>
      <w:r w:rsidRPr="00994318">
        <w:rPr>
          <w:rFonts w:ascii="Arial Narrow" w:hAnsi="Arial Narrow" w:cs="Segoe UI"/>
          <w:sz w:val="14"/>
          <w:szCs w:val="14"/>
          <w:vertAlign w:val="superscript"/>
        </w:rPr>
        <w:t>a</w:t>
      </w:r>
      <w:r w:rsidRPr="00994318">
        <w:rPr>
          <w:rFonts w:ascii="Arial Narrow" w:hAnsi="Arial Narrow" w:cs="Segoe UI"/>
          <w:sz w:val="18"/>
          <w:szCs w:val="18"/>
        </w:rPr>
        <w:t> Based on projected utilisation of atezolizumab and durvalumab scripts, assuming uptake of 60% in Year 1, 70% in Year 2, 80% in Years 3-6, with script substitution for atezolizumab 3 weekly (11928T, 11929W, 14225Q, 14226R) as monotherapy to lurbinectedin 3 weekly (6.1 to 8.1 doses/course); atezolizumab (12076N, 12078Q) and durvalumab (13780G, 13766M) 4 weekly as monotherapy to lurbinectedin 3 weekly (4.58 to 8.1 doses/course).  </w:t>
      </w:r>
    </w:p>
    <w:p w14:paraId="03738528" w14:textId="77777777" w:rsidR="00994318" w:rsidRPr="00994318" w:rsidRDefault="00994318" w:rsidP="00994318">
      <w:pPr>
        <w:textAlignment w:val="baseline"/>
        <w:rPr>
          <w:rFonts w:ascii="Segoe UI" w:hAnsi="Segoe UI" w:cs="Segoe UI"/>
          <w:sz w:val="18"/>
          <w:szCs w:val="18"/>
        </w:rPr>
      </w:pPr>
      <w:r w:rsidRPr="00994318">
        <w:rPr>
          <w:rFonts w:ascii="Arial Narrow" w:hAnsi="Arial Narrow" w:cs="Segoe UI"/>
          <w:sz w:val="14"/>
          <w:szCs w:val="14"/>
          <w:vertAlign w:val="superscript"/>
        </w:rPr>
        <w:t>b </w:t>
      </w:r>
      <w:r w:rsidRPr="00994318">
        <w:rPr>
          <w:rFonts w:ascii="Arial Narrow" w:hAnsi="Arial Narrow" w:cs="Segoe UI"/>
          <w:sz w:val="18"/>
          <w:szCs w:val="18"/>
        </w:rPr>
        <w:t>Based on a weighted average DPMA of $3,023.21. </w:t>
      </w:r>
    </w:p>
    <w:p w14:paraId="01C80F00" w14:textId="77777777" w:rsidR="00994318" w:rsidRPr="00994318" w:rsidRDefault="00994318" w:rsidP="00994318">
      <w:pPr>
        <w:textAlignment w:val="baseline"/>
        <w:rPr>
          <w:rFonts w:ascii="Segoe UI" w:hAnsi="Segoe UI" w:cs="Segoe UI"/>
          <w:sz w:val="18"/>
          <w:szCs w:val="18"/>
        </w:rPr>
      </w:pPr>
      <w:r w:rsidRPr="00994318">
        <w:rPr>
          <w:rFonts w:ascii="Arial Narrow" w:hAnsi="Arial Narrow" w:cs="Segoe UI"/>
          <w:sz w:val="14"/>
          <w:szCs w:val="14"/>
          <w:vertAlign w:val="superscript"/>
        </w:rPr>
        <w:t>c </w:t>
      </w:r>
      <w:r w:rsidRPr="00994318">
        <w:rPr>
          <w:rFonts w:ascii="Arial Narrow" w:hAnsi="Arial Narrow" w:cs="Segoe UI"/>
          <w:sz w:val="18"/>
          <w:szCs w:val="18"/>
        </w:rPr>
        <w:t>Based on an average PBS copayment of $4.63 (98.16% of scripts) and an average RPBS copayment of $7.61 (1.84% of scripts).  </w:t>
      </w:r>
    </w:p>
    <w:p w14:paraId="0053C71D" w14:textId="77777777" w:rsidR="00D808C2" w:rsidRDefault="00994318" w:rsidP="00184A88">
      <w:pPr>
        <w:textAlignment w:val="baseline"/>
        <w:rPr>
          <w:rFonts w:ascii="Arial Narrow" w:hAnsi="Arial Narrow" w:cs="Segoe UI"/>
          <w:sz w:val="18"/>
          <w:szCs w:val="18"/>
        </w:rPr>
      </w:pPr>
      <w:r w:rsidRPr="00994318">
        <w:rPr>
          <w:rFonts w:ascii="Arial Narrow" w:hAnsi="Arial Narrow" w:cs="Segoe UI"/>
          <w:sz w:val="14"/>
          <w:szCs w:val="14"/>
          <w:vertAlign w:val="superscript"/>
        </w:rPr>
        <w:t>d</w:t>
      </w:r>
      <w:r w:rsidRPr="00994318">
        <w:rPr>
          <w:rFonts w:ascii="Arial Narrow" w:hAnsi="Arial Narrow" w:cs="Segoe UI"/>
          <w:sz w:val="18"/>
          <w:szCs w:val="18"/>
        </w:rPr>
        <w:t> MBS item 13950 (administration of one or more antineoplastic agents). Fee: $126.00, 80% benefit $100.80.</w:t>
      </w:r>
    </w:p>
    <w:p w14:paraId="270A3500" w14:textId="0AE7BA5F" w:rsidR="00D808C2" w:rsidRPr="00D808C2" w:rsidRDefault="00D808C2" w:rsidP="00D808C2">
      <w:pPr>
        <w:textAlignment w:val="baseline"/>
        <w:rPr>
          <w:rFonts w:ascii="Arial Narrow" w:hAnsi="Arial Narrow" w:cs="Segoe UI"/>
          <w:i/>
          <w:sz w:val="18"/>
          <w:szCs w:val="18"/>
        </w:rPr>
      </w:pPr>
      <w:r w:rsidRPr="00D808C2">
        <w:rPr>
          <w:rFonts w:ascii="Arial Narrow" w:hAnsi="Arial Narrow" w:cs="Segoe UI"/>
          <w:i/>
          <w:sz w:val="18"/>
          <w:szCs w:val="18"/>
        </w:rPr>
        <w:t xml:space="preserve">The redacted values correspond to the following ranges: </w:t>
      </w:r>
    </w:p>
    <w:p w14:paraId="4DA00436" w14:textId="686EB717" w:rsidR="00D808C2" w:rsidRPr="00D808C2" w:rsidRDefault="00D808C2" w:rsidP="00D808C2">
      <w:pPr>
        <w:textAlignment w:val="baseline"/>
        <w:rPr>
          <w:rFonts w:ascii="Arial Narrow" w:hAnsi="Arial Narrow" w:cs="Segoe UI"/>
          <w:i/>
          <w:sz w:val="18"/>
          <w:szCs w:val="18"/>
        </w:rPr>
      </w:pPr>
      <w:r w:rsidRPr="00D808C2">
        <w:rPr>
          <w:rFonts w:ascii="Arial Narrow" w:hAnsi="Arial Narrow" w:cs="Segoe UI"/>
          <w:i/>
          <w:sz w:val="18"/>
          <w:szCs w:val="18"/>
          <w:vertAlign w:val="superscript"/>
        </w:rPr>
        <w:t>1</w:t>
      </w:r>
      <w:r w:rsidRPr="00D808C2">
        <w:rPr>
          <w:rFonts w:ascii="Arial Narrow" w:hAnsi="Arial Narrow" w:cs="Segoe UI"/>
          <w:i/>
          <w:sz w:val="18"/>
          <w:szCs w:val="18"/>
        </w:rPr>
        <w:t xml:space="preserve"> </w:t>
      </w:r>
      <w:r w:rsidR="00596939" w:rsidRPr="00596939">
        <w:rPr>
          <w:rFonts w:ascii="Arial Narrow" w:hAnsi="Arial Narrow" w:cs="Segoe UI"/>
          <w:i/>
          <w:sz w:val="18"/>
          <w:szCs w:val="18"/>
        </w:rPr>
        <w:t>500 to &lt; 5,000</w:t>
      </w:r>
    </w:p>
    <w:p w14:paraId="0ECE62D6" w14:textId="748BD0AD" w:rsidR="00D808C2" w:rsidRPr="00D808C2" w:rsidRDefault="00D808C2" w:rsidP="00D808C2">
      <w:pPr>
        <w:textAlignment w:val="baseline"/>
        <w:rPr>
          <w:rFonts w:ascii="Arial Narrow" w:hAnsi="Arial Narrow" w:cs="Segoe UI"/>
          <w:i/>
          <w:sz w:val="18"/>
          <w:szCs w:val="18"/>
        </w:rPr>
      </w:pPr>
      <w:r w:rsidRPr="00D808C2">
        <w:rPr>
          <w:rFonts w:ascii="Arial Narrow" w:hAnsi="Arial Narrow" w:cs="Segoe UI"/>
          <w:i/>
          <w:sz w:val="18"/>
          <w:szCs w:val="18"/>
          <w:vertAlign w:val="superscript"/>
        </w:rPr>
        <w:t>2</w:t>
      </w:r>
      <w:r w:rsidRPr="00D808C2">
        <w:rPr>
          <w:rFonts w:ascii="Arial Narrow" w:hAnsi="Arial Narrow" w:cs="Segoe UI"/>
          <w:i/>
          <w:sz w:val="18"/>
          <w:szCs w:val="18"/>
        </w:rPr>
        <w:t xml:space="preserve"> </w:t>
      </w:r>
      <w:r w:rsidR="00174528" w:rsidRPr="00174528">
        <w:rPr>
          <w:rFonts w:ascii="Arial Narrow" w:hAnsi="Arial Narrow" w:cs="Segoe UI"/>
          <w:i/>
          <w:sz w:val="18"/>
          <w:szCs w:val="18"/>
        </w:rPr>
        <w:t>5,000 to &lt; 10,000</w:t>
      </w:r>
    </w:p>
    <w:p w14:paraId="1EB26FB4" w14:textId="3C569F40" w:rsidR="00D808C2" w:rsidRPr="00D808C2" w:rsidRDefault="00D808C2" w:rsidP="00D808C2">
      <w:pPr>
        <w:textAlignment w:val="baseline"/>
        <w:rPr>
          <w:rFonts w:ascii="Arial Narrow" w:hAnsi="Arial Narrow" w:cs="Segoe UI"/>
          <w:i/>
          <w:sz w:val="18"/>
          <w:szCs w:val="18"/>
        </w:rPr>
      </w:pPr>
      <w:r w:rsidRPr="00D808C2">
        <w:rPr>
          <w:rFonts w:ascii="Arial Narrow" w:hAnsi="Arial Narrow" w:cs="Segoe UI"/>
          <w:i/>
          <w:sz w:val="18"/>
          <w:szCs w:val="18"/>
          <w:vertAlign w:val="superscript"/>
        </w:rPr>
        <w:t>3</w:t>
      </w:r>
      <w:r w:rsidRPr="00D808C2">
        <w:rPr>
          <w:rFonts w:ascii="Arial Narrow" w:hAnsi="Arial Narrow" w:cs="Segoe UI"/>
          <w:i/>
          <w:sz w:val="18"/>
          <w:szCs w:val="18"/>
        </w:rPr>
        <w:t xml:space="preserve"> </w:t>
      </w:r>
      <w:r w:rsidR="0072054E" w:rsidRPr="0072054E">
        <w:rPr>
          <w:rFonts w:ascii="Arial Narrow" w:hAnsi="Arial Narrow" w:cs="Segoe UI"/>
          <w:i/>
          <w:sz w:val="18"/>
          <w:szCs w:val="18"/>
        </w:rPr>
        <w:t>$10 million to &lt; $20 million</w:t>
      </w:r>
    </w:p>
    <w:p w14:paraId="3E741C90" w14:textId="05037AAF" w:rsidR="00D808C2" w:rsidRPr="00D808C2" w:rsidRDefault="00D808C2" w:rsidP="00D808C2">
      <w:pPr>
        <w:textAlignment w:val="baseline"/>
        <w:rPr>
          <w:rFonts w:ascii="Arial Narrow" w:hAnsi="Arial Narrow" w:cs="Segoe UI"/>
          <w:i/>
          <w:sz w:val="18"/>
          <w:szCs w:val="18"/>
        </w:rPr>
      </w:pPr>
      <w:r w:rsidRPr="00D808C2">
        <w:rPr>
          <w:rFonts w:ascii="Arial Narrow" w:hAnsi="Arial Narrow" w:cs="Segoe UI"/>
          <w:i/>
          <w:sz w:val="18"/>
          <w:szCs w:val="18"/>
          <w:vertAlign w:val="superscript"/>
        </w:rPr>
        <w:t>4</w:t>
      </w:r>
      <w:r w:rsidRPr="00D808C2">
        <w:rPr>
          <w:rFonts w:ascii="Arial Narrow" w:hAnsi="Arial Narrow" w:cs="Segoe UI"/>
          <w:i/>
          <w:sz w:val="18"/>
          <w:szCs w:val="18"/>
        </w:rPr>
        <w:t xml:space="preserve"> </w:t>
      </w:r>
      <w:r w:rsidR="00630572" w:rsidRPr="00630572">
        <w:rPr>
          <w:rFonts w:ascii="Arial Narrow" w:hAnsi="Arial Narrow" w:cs="Segoe UI"/>
          <w:i/>
          <w:sz w:val="18"/>
          <w:szCs w:val="18"/>
        </w:rPr>
        <w:t>$0 to &lt; $10 million</w:t>
      </w:r>
    </w:p>
    <w:p w14:paraId="3AC9C44E" w14:textId="4ED235E0" w:rsidR="00D808C2" w:rsidRPr="00D808C2" w:rsidRDefault="00D808C2" w:rsidP="00D808C2">
      <w:pPr>
        <w:textAlignment w:val="baseline"/>
        <w:rPr>
          <w:rFonts w:ascii="Arial Narrow" w:hAnsi="Arial Narrow" w:cs="Segoe UI"/>
          <w:i/>
          <w:sz w:val="18"/>
          <w:szCs w:val="18"/>
        </w:rPr>
      </w:pPr>
      <w:r w:rsidRPr="00D808C2">
        <w:rPr>
          <w:rFonts w:ascii="Arial Narrow" w:hAnsi="Arial Narrow" w:cs="Segoe UI"/>
          <w:i/>
          <w:sz w:val="18"/>
          <w:szCs w:val="18"/>
          <w:vertAlign w:val="superscript"/>
        </w:rPr>
        <w:t>5</w:t>
      </w:r>
      <w:r w:rsidRPr="00D808C2">
        <w:rPr>
          <w:rFonts w:ascii="Arial Narrow" w:hAnsi="Arial Narrow" w:cs="Segoe UI"/>
          <w:i/>
          <w:sz w:val="18"/>
          <w:szCs w:val="18"/>
        </w:rPr>
        <w:t xml:space="preserve"> </w:t>
      </w:r>
      <w:r w:rsidR="00BB1570" w:rsidRPr="00BB1570">
        <w:rPr>
          <w:rFonts w:ascii="Arial Narrow" w:hAnsi="Arial Narrow" w:cs="Segoe UI"/>
          <w:i/>
          <w:sz w:val="18"/>
          <w:szCs w:val="18"/>
        </w:rPr>
        <w:t>$20 million to &lt; $30 million</w:t>
      </w:r>
    </w:p>
    <w:p w14:paraId="17BCA5C1" w14:textId="697CA898" w:rsidR="00994318" w:rsidRDefault="00994318" w:rsidP="00184A88">
      <w:pPr>
        <w:textAlignment w:val="baseline"/>
      </w:pPr>
    </w:p>
    <w:p w14:paraId="51534BAD" w14:textId="21E2973A" w:rsidR="00123B3D" w:rsidRDefault="004751F5" w:rsidP="000A7B0E">
      <w:pPr>
        <w:pStyle w:val="COMESnumberedpara"/>
      </w:pPr>
      <w:r w:rsidRPr="00470DA8">
        <w:rPr>
          <w:rFonts w:cstheme="minorHAnsi"/>
          <w:bCs/>
          <w:szCs w:val="24"/>
        </w:rPr>
        <w:t xml:space="preserve">At year 6, the estimated net cost to the PBS </w:t>
      </w:r>
      <w:r w:rsidR="00184A88">
        <w:rPr>
          <w:rFonts w:cstheme="minorHAnsi"/>
          <w:bCs/>
          <w:szCs w:val="24"/>
        </w:rPr>
        <w:t>was</w:t>
      </w:r>
      <w:r w:rsidRPr="00470DA8">
        <w:rPr>
          <w:rFonts w:cstheme="minorHAnsi"/>
          <w:bCs/>
          <w:szCs w:val="24"/>
        </w:rPr>
        <w:t xml:space="preserve"> </w:t>
      </w:r>
      <w:r w:rsidR="00321605" w:rsidRPr="00321605">
        <w:rPr>
          <w:rFonts w:cstheme="minorHAnsi"/>
          <w:bCs/>
          <w:szCs w:val="24"/>
        </w:rPr>
        <w:t>$20 million to &lt; $30 million</w:t>
      </w:r>
      <w:r w:rsidR="008B2F06">
        <w:rPr>
          <w:rFonts w:cstheme="minorHAnsi"/>
          <w:bCs/>
          <w:szCs w:val="24"/>
        </w:rPr>
        <w:t>,</w:t>
      </w:r>
      <w:r w:rsidR="003A60C5" w:rsidRPr="00470DA8">
        <w:rPr>
          <w:rFonts w:cstheme="minorHAnsi"/>
          <w:bCs/>
          <w:szCs w:val="24"/>
        </w:rPr>
        <w:t xml:space="preserve"> with </w:t>
      </w:r>
      <w:r w:rsidR="004E1E3E">
        <w:rPr>
          <w:rFonts w:cstheme="minorHAnsi"/>
          <w:bCs/>
          <w:szCs w:val="24"/>
        </w:rPr>
        <w:t xml:space="preserve">a </w:t>
      </w:r>
      <w:r w:rsidR="003A60C5" w:rsidRPr="00470DA8">
        <w:rPr>
          <w:rFonts w:cstheme="minorHAnsi"/>
          <w:bCs/>
          <w:szCs w:val="24"/>
        </w:rPr>
        <w:t>total cost over 6</w:t>
      </w:r>
      <w:r w:rsidR="007356B3">
        <w:rPr>
          <w:rFonts w:cstheme="minorHAnsi"/>
          <w:bCs/>
          <w:szCs w:val="24"/>
        </w:rPr>
        <w:t> </w:t>
      </w:r>
      <w:r w:rsidR="003A60C5" w:rsidRPr="00470DA8">
        <w:rPr>
          <w:rFonts w:cstheme="minorHAnsi"/>
          <w:bCs/>
          <w:szCs w:val="24"/>
        </w:rPr>
        <w:t xml:space="preserve">years of </w:t>
      </w:r>
      <w:r w:rsidR="00A5634F" w:rsidRPr="00A5634F">
        <w:rPr>
          <w:rFonts w:cstheme="minorHAnsi"/>
          <w:bCs/>
          <w:szCs w:val="24"/>
        </w:rPr>
        <w:t>$100 million to &lt; $200 million</w:t>
      </w:r>
      <w:r w:rsidR="00470DA8" w:rsidRPr="00470DA8">
        <w:rPr>
          <w:rFonts w:cstheme="minorHAnsi"/>
          <w:bCs/>
          <w:szCs w:val="24"/>
        </w:rPr>
        <w:t>. Using the revise</w:t>
      </w:r>
      <w:r w:rsidR="00470DA8">
        <w:rPr>
          <w:rFonts w:cstheme="minorHAnsi"/>
          <w:bCs/>
          <w:szCs w:val="24"/>
        </w:rPr>
        <w:t>d 2 mg vial price</w:t>
      </w:r>
      <w:r w:rsidR="004E1E3E">
        <w:rPr>
          <w:rFonts w:cstheme="minorHAnsi"/>
          <w:bCs/>
          <w:szCs w:val="24"/>
        </w:rPr>
        <w:t xml:space="preserve"> proposed in the pre-PBAC response</w:t>
      </w:r>
      <w:r w:rsidR="00470DA8">
        <w:rPr>
          <w:rFonts w:cstheme="minorHAnsi"/>
          <w:bCs/>
          <w:szCs w:val="24"/>
        </w:rPr>
        <w:t xml:space="preserve">, the total cost over 6 years was </w:t>
      </w:r>
      <w:r w:rsidR="00D22661" w:rsidRPr="00D22661">
        <w:rPr>
          <w:rFonts w:cstheme="minorHAnsi"/>
          <w:bCs/>
          <w:szCs w:val="24"/>
        </w:rPr>
        <w:t>$70 million to &lt; $80 million</w:t>
      </w:r>
      <w:r w:rsidR="002718F5">
        <w:rPr>
          <w:rFonts w:cstheme="minorHAnsi"/>
          <w:bCs/>
          <w:szCs w:val="24"/>
        </w:rPr>
        <w:t>.</w:t>
      </w:r>
    </w:p>
    <w:p w14:paraId="23CECA16" w14:textId="77777777" w:rsidR="0009415A" w:rsidRPr="000E0059" w:rsidRDefault="0009415A" w:rsidP="00B2525F">
      <w:pPr>
        <w:pStyle w:val="COMESSubsectionheading"/>
      </w:pPr>
      <w:r>
        <w:t>Quality Use of Medicine (</w:t>
      </w:r>
      <w:r w:rsidRPr="0008321F">
        <w:t>QUM</w:t>
      </w:r>
      <w:r>
        <w:t>)</w:t>
      </w:r>
    </w:p>
    <w:p w14:paraId="6C15A2E7" w14:textId="0128719E" w:rsidR="0009415A" w:rsidRDefault="00CA49A3" w:rsidP="00D67D8D">
      <w:pPr>
        <w:pStyle w:val="COMESnumberedpara"/>
      </w:pPr>
      <w:r w:rsidRPr="00560881">
        <w:rPr>
          <w:lang w:val="en-US"/>
        </w:rPr>
        <w:t xml:space="preserve">The </w:t>
      </w:r>
      <w:r w:rsidR="00607E3B" w:rsidRPr="00560881">
        <w:rPr>
          <w:lang w:val="en-US"/>
        </w:rPr>
        <w:t xml:space="preserve">DUSC </w:t>
      </w:r>
      <w:r w:rsidR="00A42216" w:rsidRPr="00560881">
        <w:rPr>
          <w:lang w:val="en-US"/>
        </w:rPr>
        <w:t xml:space="preserve">noted that no quality use of medicine issues </w:t>
      </w:r>
      <w:proofErr w:type="gramStart"/>
      <w:r w:rsidR="00A42216" w:rsidRPr="00560881">
        <w:rPr>
          <w:lang w:val="en-US"/>
        </w:rPr>
        <w:t>were</w:t>
      </w:r>
      <w:proofErr w:type="gramEnd"/>
      <w:r w:rsidR="00A42216" w:rsidRPr="00560881">
        <w:rPr>
          <w:lang w:val="en-US"/>
        </w:rPr>
        <w:t xml:space="preserve"> presented by the submission</w:t>
      </w:r>
      <w:r w:rsidR="00560881" w:rsidRPr="00560881">
        <w:rPr>
          <w:lang w:val="en-US"/>
        </w:rPr>
        <w:t xml:space="preserve">. However, the </w:t>
      </w:r>
      <w:r w:rsidR="0009415A" w:rsidRPr="00560881">
        <w:rPr>
          <w:lang w:val="en-US"/>
        </w:rPr>
        <w:t>DUSC noted the draft Product Information states the requirement for primary prophylaxis with granulocyte colony-stimulating factor (G</w:t>
      </w:r>
      <w:r w:rsidR="007356B3">
        <w:rPr>
          <w:lang w:val="en-US"/>
        </w:rPr>
        <w:noBreakHyphen/>
      </w:r>
      <w:r w:rsidR="0009415A" w:rsidRPr="00560881">
        <w:rPr>
          <w:lang w:val="en-US"/>
        </w:rPr>
        <w:t xml:space="preserve">CSF) to reduce the risk of febrile neutropenia (unless contraindicated) </w:t>
      </w:r>
      <w:r w:rsidR="006C1B75">
        <w:rPr>
          <w:lang w:val="en-US"/>
        </w:rPr>
        <w:t xml:space="preserve">and </w:t>
      </w:r>
      <w:r w:rsidR="009179D3">
        <w:rPr>
          <w:lang w:val="en-US"/>
        </w:rPr>
        <w:t>advised</w:t>
      </w:r>
      <w:r w:rsidR="009179D3" w:rsidRPr="00560881">
        <w:rPr>
          <w:lang w:val="en-US"/>
        </w:rPr>
        <w:t xml:space="preserve"> </w:t>
      </w:r>
      <w:r w:rsidR="0009415A" w:rsidRPr="00560881">
        <w:rPr>
          <w:lang w:val="en-US"/>
        </w:rPr>
        <w:t xml:space="preserve">prescriber education </w:t>
      </w:r>
      <w:proofErr w:type="gramStart"/>
      <w:r w:rsidR="0009415A" w:rsidRPr="00560881">
        <w:rPr>
          <w:lang w:val="en-US"/>
        </w:rPr>
        <w:t>be</w:t>
      </w:r>
      <w:proofErr w:type="gramEnd"/>
      <w:r w:rsidR="0009415A" w:rsidRPr="00560881">
        <w:rPr>
          <w:lang w:val="en-US"/>
        </w:rPr>
        <w:t xml:space="preserve"> provided</w:t>
      </w:r>
      <w:r w:rsidR="00D67D8D">
        <w:rPr>
          <w:lang w:val="en-US"/>
        </w:rPr>
        <w:t xml:space="preserve"> regarding the routine use of G-CSF as prophylaxis for </w:t>
      </w:r>
      <w:proofErr w:type="spellStart"/>
      <w:r w:rsidR="00D67D8D">
        <w:rPr>
          <w:lang w:val="en-US"/>
        </w:rPr>
        <w:t>haematological</w:t>
      </w:r>
      <w:proofErr w:type="spellEnd"/>
      <w:r w:rsidR="00D67D8D">
        <w:rPr>
          <w:lang w:val="en-US"/>
        </w:rPr>
        <w:t xml:space="preserve"> toxicities</w:t>
      </w:r>
      <w:r w:rsidR="0009415A" w:rsidRPr="00560881">
        <w:rPr>
          <w:lang w:val="en-US"/>
        </w:rPr>
        <w:t xml:space="preserve">. </w:t>
      </w:r>
    </w:p>
    <w:p w14:paraId="6015A395" w14:textId="2EDB6A4E" w:rsidR="00576972" w:rsidRPr="00F92AC3" w:rsidRDefault="00576972" w:rsidP="00713AA5">
      <w:pPr>
        <w:pStyle w:val="COMESSubsectionheading"/>
      </w:pPr>
      <w:bookmarkStart w:id="55" w:name="_Toc22897649"/>
      <w:bookmarkStart w:id="56" w:name="_Toc208928163"/>
      <w:r w:rsidRPr="00F92AC3">
        <w:t>Financial Management – Risk Sharing Arrangements</w:t>
      </w:r>
      <w:bookmarkEnd w:id="55"/>
      <w:bookmarkEnd w:id="56"/>
    </w:p>
    <w:p w14:paraId="1CC82BD8" w14:textId="059FB57B" w:rsidR="009329FF" w:rsidRPr="009329FF" w:rsidRDefault="009329FF" w:rsidP="00713AA5">
      <w:pPr>
        <w:pStyle w:val="COMESnumberedpara"/>
        <w:keepNext/>
        <w:keepLines/>
        <w:widowControl w:val="0"/>
        <w:rPr>
          <w:color w:val="0066FF"/>
        </w:rPr>
      </w:pPr>
      <w:r w:rsidRPr="00F92AC3">
        <w:t xml:space="preserve">The submission stated that the sponsor is willing to </w:t>
      </w:r>
      <w:proofErr w:type="gramStart"/>
      <w:r w:rsidRPr="00F92AC3">
        <w:t>enter into</w:t>
      </w:r>
      <w:proofErr w:type="gramEnd"/>
      <w:r w:rsidRPr="00F92AC3">
        <w:t xml:space="preserve"> a</w:t>
      </w:r>
      <w:r>
        <w:t xml:space="preserve"> risk sharing arrangement (RSA)</w:t>
      </w:r>
      <w:r w:rsidRPr="00F92AC3">
        <w:t xml:space="preserve"> for lurbinectedin in ES-SCLC. The submission noted that an RSA is currently in place for atezolizumab in ES-SCLC induction and maintenance therapy, with a cost-effectiveness-based expenditure cap (para</w:t>
      </w:r>
      <w:r w:rsidR="00D67D8D">
        <w:t>graph</w:t>
      </w:r>
      <w:r w:rsidRPr="00F92AC3">
        <w:t>s 5.15</w:t>
      </w:r>
      <w:r w:rsidR="00812AD7">
        <w:t xml:space="preserve"> to </w:t>
      </w:r>
      <w:r w:rsidRPr="00F92AC3">
        <w:t xml:space="preserve">5.19 and 6.11, </w:t>
      </w:r>
      <w:r w:rsidR="008B2F06">
        <w:t>a</w:t>
      </w:r>
      <w:r w:rsidRPr="00F92AC3">
        <w:t>tezolizumab PSD, November 2019 PBAC meeting).</w:t>
      </w:r>
      <w:r w:rsidRPr="00F92AC3">
        <w:rPr>
          <w:color w:val="0066FF"/>
        </w:rPr>
        <w:t xml:space="preserve"> </w:t>
      </w:r>
    </w:p>
    <w:p w14:paraId="04316E58" w14:textId="49F75AE0" w:rsidR="00342527" w:rsidRDefault="009329FF" w:rsidP="00713AA5">
      <w:pPr>
        <w:pStyle w:val="COMESnumberedpara"/>
        <w:keepNext/>
        <w:keepLines/>
        <w:widowControl w:val="0"/>
        <w:numPr>
          <w:ilvl w:val="0"/>
          <w:numId w:val="0"/>
        </w:numPr>
        <w:ind w:left="720"/>
      </w:pPr>
      <w:r w:rsidRPr="00C238FC">
        <w:rPr>
          <w:i/>
          <w:iCs/>
        </w:rPr>
        <w:t>For more detail on PBAC’s view, see section 7 PBAC outcome.</w:t>
      </w:r>
    </w:p>
    <w:p w14:paraId="019EF09A" w14:textId="77777777" w:rsidR="0083285A" w:rsidRPr="0090150D" w:rsidRDefault="0083285A" w:rsidP="0083285A">
      <w:pPr>
        <w:pStyle w:val="2-SectionHeading"/>
        <w:numPr>
          <w:ilvl w:val="0"/>
          <w:numId w:val="6"/>
        </w:numPr>
      </w:pPr>
      <w:bookmarkStart w:id="57" w:name="_Hlk76381249"/>
      <w:bookmarkStart w:id="58" w:name="_Hlk76377955"/>
      <w:r w:rsidRPr="0090150D">
        <w:t>PBAC Outcome</w:t>
      </w:r>
    </w:p>
    <w:p w14:paraId="747B3213" w14:textId="4988422C" w:rsidR="0083285A" w:rsidRDefault="0083285A" w:rsidP="1CE34460">
      <w:pPr>
        <w:widowControl w:val="0"/>
        <w:numPr>
          <w:ilvl w:val="1"/>
          <w:numId w:val="6"/>
        </w:numPr>
        <w:spacing w:after="120"/>
        <w:rPr>
          <w:rFonts w:asciiTheme="minorHAnsi" w:hAnsiTheme="minorHAnsi"/>
          <w:snapToGrid w:val="0"/>
          <w:lang w:val="en-GB"/>
        </w:rPr>
      </w:pPr>
      <w:r w:rsidRPr="1CE34460">
        <w:rPr>
          <w:rFonts w:asciiTheme="minorHAnsi" w:hAnsiTheme="minorHAnsi"/>
          <w:snapToGrid w:val="0"/>
          <w:lang w:val="en-GB"/>
        </w:rPr>
        <w:t>The PBAC did not recommen</w:t>
      </w:r>
      <w:r w:rsidR="00287B7B" w:rsidRPr="1CE34460">
        <w:rPr>
          <w:rFonts w:asciiTheme="minorHAnsi" w:hAnsiTheme="minorHAnsi"/>
          <w:snapToGrid w:val="0"/>
          <w:lang w:val="en-GB"/>
        </w:rPr>
        <w:t>d lurbinectedin</w:t>
      </w:r>
      <w:r w:rsidR="004F2815" w:rsidRPr="1CE34460">
        <w:rPr>
          <w:rFonts w:asciiTheme="minorHAnsi" w:hAnsiTheme="minorHAnsi"/>
          <w:snapToGrid w:val="0"/>
          <w:lang w:val="en-GB"/>
        </w:rPr>
        <w:t xml:space="preserve">, </w:t>
      </w:r>
      <w:r w:rsidR="008E2BA5" w:rsidRPr="1CE34460">
        <w:rPr>
          <w:rFonts w:asciiTheme="minorHAnsi" w:hAnsiTheme="minorHAnsi"/>
          <w:snapToGrid w:val="0"/>
          <w:lang w:val="en-GB"/>
        </w:rPr>
        <w:t>in combination with atezolizumab</w:t>
      </w:r>
      <w:r w:rsidR="004F2815" w:rsidRPr="1CE34460">
        <w:rPr>
          <w:rFonts w:asciiTheme="minorHAnsi" w:hAnsiTheme="minorHAnsi"/>
          <w:snapToGrid w:val="0"/>
          <w:lang w:val="en-GB"/>
        </w:rPr>
        <w:t>,</w:t>
      </w:r>
      <w:r w:rsidR="008E2BA5" w:rsidRPr="1CE34460">
        <w:rPr>
          <w:rFonts w:asciiTheme="minorHAnsi" w:hAnsiTheme="minorHAnsi"/>
          <w:snapToGrid w:val="0"/>
          <w:lang w:val="en-GB"/>
        </w:rPr>
        <w:t xml:space="preserve"> for first-line maintenance treatment </w:t>
      </w:r>
      <w:r w:rsidR="00DC16CA" w:rsidRPr="1CE34460">
        <w:rPr>
          <w:rFonts w:asciiTheme="minorHAnsi" w:hAnsiTheme="minorHAnsi"/>
          <w:snapToGrid w:val="0"/>
          <w:lang w:val="en-GB"/>
        </w:rPr>
        <w:t xml:space="preserve">of extensive-stage small cell lung cancer (ES-SCLC) </w:t>
      </w:r>
      <w:r w:rsidR="004F2815" w:rsidRPr="1CE34460">
        <w:rPr>
          <w:rFonts w:asciiTheme="minorHAnsi" w:hAnsiTheme="minorHAnsi"/>
          <w:snapToGrid w:val="0"/>
          <w:lang w:val="en-GB"/>
        </w:rPr>
        <w:t xml:space="preserve">in </w:t>
      </w:r>
      <w:r w:rsidR="00DC16CA" w:rsidRPr="1CE34460">
        <w:rPr>
          <w:rFonts w:asciiTheme="minorHAnsi" w:hAnsiTheme="minorHAnsi"/>
          <w:snapToGrid w:val="0"/>
          <w:lang w:val="en-GB"/>
        </w:rPr>
        <w:t>patients who have not progressed on or after first line induction therapy with atezolizumab</w:t>
      </w:r>
      <w:r w:rsidR="003D1EA3" w:rsidRPr="1CE34460">
        <w:rPr>
          <w:rFonts w:asciiTheme="minorHAnsi" w:hAnsiTheme="minorHAnsi"/>
          <w:snapToGrid w:val="0"/>
          <w:lang w:val="en-GB"/>
        </w:rPr>
        <w:t>, a platinum-based antineoplastic drug, and etop</w:t>
      </w:r>
      <w:r w:rsidR="004F2815" w:rsidRPr="1CE34460">
        <w:rPr>
          <w:rFonts w:asciiTheme="minorHAnsi" w:hAnsiTheme="minorHAnsi"/>
          <w:snapToGrid w:val="0"/>
          <w:lang w:val="en-GB"/>
        </w:rPr>
        <w:t>o</w:t>
      </w:r>
      <w:r w:rsidR="003D1EA3" w:rsidRPr="1CE34460">
        <w:rPr>
          <w:rFonts w:asciiTheme="minorHAnsi" w:hAnsiTheme="minorHAnsi"/>
          <w:snapToGrid w:val="0"/>
          <w:lang w:val="en-GB"/>
        </w:rPr>
        <w:t>side</w:t>
      </w:r>
      <w:r w:rsidR="008B2F06" w:rsidRPr="1CE34460">
        <w:rPr>
          <w:rFonts w:asciiTheme="minorHAnsi" w:hAnsiTheme="minorHAnsi"/>
          <w:snapToGrid w:val="0"/>
          <w:lang w:val="en-GB"/>
        </w:rPr>
        <w:t xml:space="preserve"> for listing on the PBS</w:t>
      </w:r>
      <w:r w:rsidR="003D1EA3" w:rsidRPr="1CE34460">
        <w:rPr>
          <w:rFonts w:asciiTheme="minorHAnsi" w:hAnsiTheme="minorHAnsi"/>
          <w:snapToGrid w:val="0"/>
          <w:lang w:val="en-GB"/>
        </w:rPr>
        <w:t>.</w:t>
      </w:r>
      <w:r w:rsidR="00991146" w:rsidRPr="1CE34460">
        <w:rPr>
          <w:rFonts w:asciiTheme="minorHAnsi" w:hAnsiTheme="minorHAnsi"/>
          <w:snapToGrid w:val="0"/>
          <w:lang w:val="en-GB"/>
        </w:rPr>
        <w:t xml:space="preserve"> The PBAC acknowledged the</w:t>
      </w:r>
      <w:r w:rsidR="00F21DC3" w:rsidRPr="1CE34460">
        <w:rPr>
          <w:rFonts w:asciiTheme="minorHAnsi" w:hAnsiTheme="minorHAnsi"/>
          <w:snapToGrid w:val="0"/>
          <w:lang w:val="en-GB"/>
        </w:rPr>
        <w:t xml:space="preserve"> high</w:t>
      </w:r>
      <w:r w:rsidR="004E5D37" w:rsidRPr="1CE34460">
        <w:rPr>
          <w:rFonts w:asciiTheme="minorHAnsi" w:hAnsiTheme="minorHAnsi"/>
          <w:snapToGrid w:val="0"/>
          <w:lang w:val="en-GB"/>
        </w:rPr>
        <w:t xml:space="preserve"> clinical</w:t>
      </w:r>
      <w:r w:rsidR="00991146" w:rsidRPr="1CE34460">
        <w:rPr>
          <w:rFonts w:asciiTheme="minorHAnsi" w:hAnsiTheme="minorHAnsi"/>
          <w:snapToGrid w:val="0"/>
          <w:lang w:val="en-GB"/>
        </w:rPr>
        <w:t xml:space="preserve"> need for</w:t>
      </w:r>
      <w:r w:rsidR="00F21DC3" w:rsidRPr="1CE34460">
        <w:rPr>
          <w:rFonts w:asciiTheme="minorHAnsi" w:hAnsiTheme="minorHAnsi"/>
          <w:snapToGrid w:val="0"/>
          <w:lang w:val="en-GB"/>
        </w:rPr>
        <w:t xml:space="preserve"> </w:t>
      </w:r>
      <w:r w:rsidR="00081807" w:rsidRPr="1CE34460">
        <w:rPr>
          <w:rFonts w:asciiTheme="minorHAnsi" w:hAnsiTheme="minorHAnsi"/>
          <w:snapToGrid w:val="0"/>
          <w:lang w:val="en-GB"/>
        </w:rPr>
        <w:t>effective therapies for ES-SCLC</w:t>
      </w:r>
      <w:r w:rsidR="00396E2F" w:rsidRPr="1CE34460">
        <w:rPr>
          <w:rFonts w:asciiTheme="minorHAnsi" w:hAnsiTheme="minorHAnsi"/>
          <w:snapToGrid w:val="0"/>
          <w:lang w:val="en-GB"/>
        </w:rPr>
        <w:t>;</w:t>
      </w:r>
      <w:r w:rsidR="00081807" w:rsidRPr="1CE34460">
        <w:rPr>
          <w:rFonts w:asciiTheme="minorHAnsi" w:hAnsiTheme="minorHAnsi"/>
          <w:snapToGrid w:val="0"/>
          <w:lang w:val="en-GB"/>
        </w:rPr>
        <w:t xml:space="preserve"> </w:t>
      </w:r>
      <w:r w:rsidR="00396E2F" w:rsidRPr="1CE34460">
        <w:rPr>
          <w:rFonts w:asciiTheme="minorHAnsi" w:hAnsiTheme="minorHAnsi"/>
          <w:snapToGrid w:val="0"/>
          <w:lang w:val="en-GB"/>
        </w:rPr>
        <w:t>however</w:t>
      </w:r>
      <w:r w:rsidR="00303AE3" w:rsidRPr="1CE34460">
        <w:rPr>
          <w:rFonts w:asciiTheme="minorHAnsi" w:hAnsiTheme="minorHAnsi"/>
          <w:snapToGrid w:val="0"/>
          <w:lang w:val="en-GB"/>
        </w:rPr>
        <w:t>,</w:t>
      </w:r>
      <w:r w:rsidR="00105DE7" w:rsidRPr="1CE34460">
        <w:rPr>
          <w:rFonts w:asciiTheme="minorHAnsi" w:hAnsiTheme="minorHAnsi"/>
          <w:snapToGrid w:val="0"/>
          <w:lang w:val="en-GB"/>
        </w:rPr>
        <w:t xml:space="preserve"> noted</w:t>
      </w:r>
      <w:r w:rsidR="00303AE3" w:rsidRPr="1CE34460">
        <w:rPr>
          <w:rFonts w:asciiTheme="minorHAnsi" w:hAnsiTheme="minorHAnsi"/>
          <w:snapToGrid w:val="0"/>
          <w:lang w:val="en-GB"/>
        </w:rPr>
        <w:t xml:space="preserve"> the </w:t>
      </w:r>
      <w:r w:rsidR="001017CF">
        <w:rPr>
          <w:rFonts w:asciiTheme="minorHAnsi" w:hAnsiTheme="minorHAnsi"/>
          <w:snapToGrid w:val="0"/>
          <w:lang w:val="en-GB"/>
        </w:rPr>
        <w:t>small</w:t>
      </w:r>
      <w:r w:rsidR="001017CF" w:rsidRPr="1CE34460">
        <w:rPr>
          <w:rFonts w:asciiTheme="minorHAnsi" w:hAnsiTheme="minorHAnsi"/>
          <w:snapToGrid w:val="0"/>
          <w:lang w:val="en-GB"/>
        </w:rPr>
        <w:t xml:space="preserve"> </w:t>
      </w:r>
      <w:r w:rsidR="00105DE7" w:rsidRPr="1CE34460">
        <w:rPr>
          <w:rFonts w:asciiTheme="minorHAnsi" w:hAnsiTheme="minorHAnsi"/>
          <w:snapToGrid w:val="0"/>
          <w:lang w:val="en-GB"/>
        </w:rPr>
        <w:t xml:space="preserve">overall survival </w:t>
      </w:r>
      <w:r w:rsidR="002030F4" w:rsidRPr="1CE34460">
        <w:rPr>
          <w:rFonts w:asciiTheme="minorHAnsi" w:hAnsiTheme="minorHAnsi"/>
          <w:snapToGrid w:val="0"/>
          <w:lang w:val="en-GB"/>
        </w:rPr>
        <w:t>benefit</w:t>
      </w:r>
      <w:r w:rsidR="00063694">
        <w:rPr>
          <w:rFonts w:asciiTheme="minorHAnsi" w:hAnsiTheme="minorHAnsi"/>
          <w:snapToGrid w:val="0"/>
          <w:lang w:val="en-GB"/>
        </w:rPr>
        <w:t xml:space="preserve"> and substantial </w:t>
      </w:r>
      <w:r w:rsidR="006C405D">
        <w:rPr>
          <w:rFonts w:asciiTheme="minorHAnsi" w:hAnsiTheme="minorHAnsi"/>
          <w:snapToGrid w:val="0"/>
          <w:lang w:val="en-GB"/>
        </w:rPr>
        <w:t>toxicity</w:t>
      </w:r>
      <w:r w:rsidR="002030F4" w:rsidRPr="1CE34460">
        <w:rPr>
          <w:rFonts w:asciiTheme="minorHAnsi" w:hAnsiTheme="minorHAnsi"/>
          <w:snapToGrid w:val="0"/>
          <w:lang w:val="en-GB"/>
        </w:rPr>
        <w:t xml:space="preserve"> demonstrated in the key trial</w:t>
      </w:r>
      <w:r w:rsidR="00151E5D" w:rsidRPr="1CE34460">
        <w:rPr>
          <w:rFonts w:asciiTheme="minorHAnsi" w:hAnsiTheme="minorHAnsi"/>
          <w:snapToGrid w:val="0"/>
          <w:lang w:val="en-GB"/>
        </w:rPr>
        <w:t xml:space="preserve"> compared to </w:t>
      </w:r>
      <w:r w:rsidR="00CA3B0F" w:rsidRPr="1CE34460">
        <w:rPr>
          <w:rFonts w:asciiTheme="minorHAnsi" w:hAnsiTheme="minorHAnsi"/>
          <w:snapToGrid w:val="0"/>
          <w:lang w:val="en-GB"/>
        </w:rPr>
        <w:t>atezolizumab monotherapy</w:t>
      </w:r>
      <w:r w:rsidR="004E5D37" w:rsidRPr="1CE34460">
        <w:rPr>
          <w:rFonts w:asciiTheme="minorHAnsi" w:hAnsiTheme="minorHAnsi"/>
          <w:snapToGrid w:val="0"/>
          <w:lang w:val="en-GB"/>
        </w:rPr>
        <w:t xml:space="preserve">. </w:t>
      </w:r>
      <w:r w:rsidR="00991146" w:rsidRPr="1CE34460">
        <w:rPr>
          <w:rFonts w:asciiTheme="minorHAnsi" w:hAnsiTheme="minorHAnsi"/>
          <w:snapToGrid w:val="0"/>
          <w:lang w:val="en-GB"/>
        </w:rPr>
        <w:t xml:space="preserve"> </w:t>
      </w:r>
      <w:r w:rsidR="006C5DF5" w:rsidRPr="1CE34460">
        <w:rPr>
          <w:rFonts w:asciiTheme="minorHAnsi" w:hAnsiTheme="minorHAnsi"/>
          <w:snapToGrid w:val="0"/>
          <w:lang w:val="en-GB"/>
        </w:rPr>
        <w:t>T</w:t>
      </w:r>
      <w:r w:rsidR="002C29C0" w:rsidRPr="1CE34460">
        <w:rPr>
          <w:rFonts w:asciiTheme="minorHAnsi" w:hAnsiTheme="minorHAnsi"/>
          <w:snapToGrid w:val="0"/>
          <w:lang w:val="en-GB"/>
        </w:rPr>
        <w:t>he PBA</w:t>
      </w:r>
      <w:r w:rsidR="000B0FE3" w:rsidRPr="1CE34460">
        <w:rPr>
          <w:rFonts w:asciiTheme="minorHAnsi" w:hAnsiTheme="minorHAnsi"/>
          <w:snapToGrid w:val="0"/>
          <w:lang w:val="en-GB"/>
        </w:rPr>
        <w:t>C considered that the economic model was overly optimistic</w:t>
      </w:r>
      <w:r w:rsidR="00B504E3" w:rsidRPr="1CE34460">
        <w:rPr>
          <w:rFonts w:asciiTheme="minorHAnsi" w:hAnsiTheme="minorHAnsi"/>
          <w:snapToGrid w:val="0"/>
          <w:lang w:val="en-GB"/>
        </w:rPr>
        <w:t>, and highly sensitive</w:t>
      </w:r>
      <w:r w:rsidR="000505AD" w:rsidRPr="1CE34460">
        <w:rPr>
          <w:rFonts w:asciiTheme="minorHAnsi" w:hAnsiTheme="minorHAnsi"/>
          <w:snapToGrid w:val="0"/>
          <w:lang w:val="en-GB"/>
        </w:rPr>
        <w:t xml:space="preserve"> to </w:t>
      </w:r>
      <w:proofErr w:type="gramStart"/>
      <w:r w:rsidR="000505AD" w:rsidRPr="1CE34460">
        <w:rPr>
          <w:rFonts w:asciiTheme="minorHAnsi" w:hAnsiTheme="minorHAnsi"/>
          <w:snapToGrid w:val="0"/>
          <w:lang w:val="en-GB"/>
        </w:rPr>
        <w:t>a number of</w:t>
      </w:r>
      <w:proofErr w:type="gramEnd"/>
      <w:r w:rsidR="000505AD" w:rsidRPr="1CE34460">
        <w:rPr>
          <w:rFonts w:asciiTheme="minorHAnsi" w:hAnsiTheme="minorHAnsi"/>
          <w:snapToGrid w:val="0"/>
          <w:lang w:val="en-GB"/>
        </w:rPr>
        <w:t xml:space="preserve"> inputs</w:t>
      </w:r>
      <w:r w:rsidR="00022628" w:rsidRPr="1CE34460">
        <w:rPr>
          <w:rFonts w:asciiTheme="minorHAnsi" w:hAnsiTheme="minorHAnsi"/>
          <w:snapToGrid w:val="0"/>
          <w:lang w:val="en-GB"/>
        </w:rPr>
        <w:t xml:space="preserve">, which resulted in a high and uncertain </w:t>
      </w:r>
      <w:r w:rsidR="00AD57ED" w:rsidRPr="1CE34460">
        <w:rPr>
          <w:rFonts w:asciiTheme="minorHAnsi" w:hAnsiTheme="minorHAnsi"/>
          <w:snapToGrid w:val="0"/>
          <w:lang w:val="en-GB"/>
        </w:rPr>
        <w:t>incremental cost-effectiveness ratio (</w:t>
      </w:r>
      <w:r w:rsidR="00022628" w:rsidRPr="1CE34460">
        <w:rPr>
          <w:rFonts w:asciiTheme="minorHAnsi" w:hAnsiTheme="minorHAnsi"/>
          <w:snapToGrid w:val="0"/>
          <w:lang w:val="en-GB"/>
        </w:rPr>
        <w:t>ICER</w:t>
      </w:r>
      <w:r w:rsidR="00AD57ED" w:rsidRPr="1CE34460">
        <w:rPr>
          <w:rFonts w:asciiTheme="minorHAnsi" w:hAnsiTheme="minorHAnsi"/>
          <w:snapToGrid w:val="0"/>
          <w:lang w:val="en-GB"/>
        </w:rPr>
        <w:t>)</w:t>
      </w:r>
      <w:r w:rsidR="00022628" w:rsidRPr="1CE34460">
        <w:rPr>
          <w:rFonts w:asciiTheme="minorHAnsi" w:hAnsiTheme="minorHAnsi"/>
          <w:snapToGrid w:val="0"/>
          <w:lang w:val="en-GB"/>
        </w:rPr>
        <w:t xml:space="preserve">. </w:t>
      </w:r>
      <w:r w:rsidR="00987CE8" w:rsidRPr="1CE34460">
        <w:rPr>
          <w:rFonts w:asciiTheme="minorHAnsi" w:hAnsiTheme="minorHAnsi"/>
          <w:snapToGrid w:val="0"/>
          <w:lang w:val="en-GB"/>
        </w:rPr>
        <w:t>The PBAC considered that the utilisation estimates were reasonable.</w:t>
      </w:r>
    </w:p>
    <w:p w14:paraId="59F1DF02" w14:textId="56C28C8E" w:rsidR="0069336A" w:rsidRPr="0069336A" w:rsidRDefault="00623A83" w:rsidP="005A51BF">
      <w:pPr>
        <w:widowControl w:val="0"/>
        <w:numPr>
          <w:ilvl w:val="1"/>
          <w:numId w:val="6"/>
        </w:numPr>
        <w:spacing w:after="120"/>
        <w:rPr>
          <w:rFonts w:asciiTheme="minorHAnsi" w:hAnsiTheme="minorHAnsi"/>
          <w:snapToGrid w:val="0"/>
          <w:lang w:val="en-GB"/>
        </w:rPr>
      </w:pPr>
      <w:bookmarkStart w:id="59" w:name="_Hlk216251321"/>
      <w:r w:rsidRPr="00623A83">
        <w:rPr>
          <w:rFonts w:asciiTheme="minorHAnsi" w:hAnsiTheme="minorHAnsi"/>
          <w:snapToGrid w:val="0"/>
          <w:lang w:val="en-GB"/>
        </w:rPr>
        <w:t xml:space="preserve">The PBAC considered that the primary reason for this outcome was the </w:t>
      </w:r>
      <w:r w:rsidR="008771A9">
        <w:rPr>
          <w:rFonts w:asciiTheme="minorHAnsi" w:hAnsiTheme="minorHAnsi"/>
          <w:snapToGrid w:val="0"/>
          <w:lang w:val="en-GB"/>
        </w:rPr>
        <w:t>economic evaluation</w:t>
      </w:r>
      <w:r w:rsidRPr="00623A83">
        <w:rPr>
          <w:rFonts w:asciiTheme="minorHAnsi" w:hAnsiTheme="minorHAnsi"/>
          <w:snapToGrid w:val="0"/>
          <w:lang w:val="en-GB"/>
        </w:rPr>
        <w:t>.</w:t>
      </w:r>
      <w:r w:rsidRPr="00623A83">
        <w:rPr>
          <w:rFonts w:asciiTheme="minorHAnsi" w:hAnsiTheme="minorHAnsi"/>
          <w:snapToGrid w:val="0"/>
        </w:rPr>
        <w:t> </w:t>
      </w:r>
      <w:r w:rsidR="002D41D2">
        <w:rPr>
          <w:rFonts w:asciiTheme="minorHAnsi" w:hAnsiTheme="minorHAnsi"/>
          <w:snapToGrid w:val="0"/>
        </w:rPr>
        <w:t xml:space="preserve">The PBAC considered that the </w:t>
      </w:r>
      <w:r w:rsidR="005F3ED0">
        <w:rPr>
          <w:rFonts w:asciiTheme="minorHAnsi" w:hAnsiTheme="minorHAnsi"/>
          <w:snapToGrid w:val="0"/>
        </w:rPr>
        <w:t xml:space="preserve">base case ICER of </w:t>
      </w:r>
      <w:r w:rsidR="001B3EF2" w:rsidRPr="001B3EF2">
        <w:rPr>
          <w:rFonts w:asciiTheme="minorHAnsi" w:hAnsiTheme="minorHAnsi"/>
          <w:snapToGrid w:val="0"/>
        </w:rPr>
        <w:t>$115,000 to &lt; $135,000</w:t>
      </w:r>
      <w:r w:rsidR="005F3ED0">
        <w:rPr>
          <w:rFonts w:asciiTheme="minorHAnsi" w:hAnsiTheme="minorHAnsi"/>
          <w:snapToGrid w:val="0"/>
        </w:rPr>
        <w:t xml:space="preserve"> per quality adjusted life year (QALY) </w:t>
      </w:r>
      <w:r w:rsidR="000A7B0E">
        <w:rPr>
          <w:rFonts w:asciiTheme="minorHAnsi" w:hAnsiTheme="minorHAnsi"/>
          <w:snapToGrid w:val="0"/>
        </w:rPr>
        <w:t xml:space="preserve">presented in the submission </w:t>
      </w:r>
      <w:r w:rsidR="005F3ED0">
        <w:rPr>
          <w:rFonts w:asciiTheme="minorHAnsi" w:hAnsiTheme="minorHAnsi"/>
          <w:snapToGrid w:val="0"/>
        </w:rPr>
        <w:t xml:space="preserve">was high and likely underestimated. </w:t>
      </w:r>
    </w:p>
    <w:bookmarkEnd w:id="59"/>
    <w:p w14:paraId="4DF4DA3C" w14:textId="002BB74A" w:rsidR="008F1067" w:rsidRPr="002C2539" w:rsidRDefault="00472648" w:rsidP="002C2539">
      <w:pPr>
        <w:widowControl w:val="0"/>
        <w:numPr>
          <w:ilvl w:val="1"/>
          <w:numId w:val="6"/>
        </w:numPr>
        <w:spacing w:after="120"/>
        <w:rPr>
          <w:rFonts w:asciiTheme="minorHAnsi" w:hAnsiTheme="minorHAnsi"/>
          <w:snapToGrid w:val="0"/>
          <w:lang w:val="en-GB"/>
        </w:rPr>
      </w:pPr>
      <w:r>
        <w:rPr>
          <w:rFonts w:asciiTheme="minorHAnsi" w:hAnsiTheme="minorHAnsi"/>
          <w:snapToGrid w:val="0"/>
        </w:rPr>
        <w:t xml:space="preserve">The PBAC acknowledged the consumer comments from </w:t>
      </w:r>
      <w:r w:rsidR="004B0D3E">
        <w:rPr>
          <w:rFonts w:asciiTheme="minorHAnsi" w:hAnsiTheme="minorHAnsi"/>
          <w:snapToGrid w:val="0"/>
        </w:rPr>
        <w:t>health professionals</w:t>
      </w:r>
      <w:r w:rsidR="00D128D6">
        <w:rPr>
          <w:rFonts w:asciiTheme="minorHAnsi" w:hAnsiTheme="minorHAnsi"/>
          <w:snapToGrid w:val="0"/>
        </w:rPr>
        <w:t>, patient support</w:t>
      </w:r>
      <w:r w:rsidR="004B0D3E">
        <w:rPr>
          <w:rFonts w:asciiTheme="minorHAnsi" w:hAnsiTheme="minorHAnsi"/>
          <w:snapToGrid w:val="0"/>
        </w:rPr>
        <w:t xml:space="preserve"> </w:t>
      </w:r>
      <w:r>
        <w:rPr>
          <w:rFonts w:asciiTheme="minorHAnsi" w:hAnsiTheme="minorHAnsi"/>
          <w:snapToGrid w:val="0"/>
        </w:rPr>
        <w:t>organisations</w:t>
      </w:r>
      <w:r w:rsidR="00D128D6">
        <w:rPr>
          <w:rFonts w:asciiTheme="minorHAnsi" w:hAnsiTheme="minorHAnsi"/>
          <w:snapToGrid w:val="0"/>
        </w:rPr>
        <w:t xml:space="preserve"> and professional organisations </w:t>
      </w:r>
      <w:r w:rsidR="001F6FC7">
        <w:rPr>
          <w:rFonts w:asciiTheme="minorHAnsi" w:hAnsiTheme="minorHAnsi"/>
          <w:snapToGrid w:val="0"/>
        </w:rPr>
        <w:t>which were supportive of the submission</w:t>
      </w:r>
      <w:r w:rsidR="00D128D6">
        <w:rPr>
          <w:rFonts w:asciiTheme="minorHAnsi" w:hAnsiTheme="minorHAnsi"/>
          <w:snapToGrid w:val="0"/>
        </w:rPr>
        <w:t xml:space="preserve"> and highlighted the</w:t>
      </w:r>
      <w:r w:rsidR="00FB1254">
        <w:rPr>
          <w:rFonts w:asciiTheme="minorHAnsi" w:hAnsiTheme="minorHAnsi"/>
          <w:snapToGrid w:val="0"/>
        </w:rPr>
        <w:t xml:space="preserve"> high clinical need for effective treatments </w:t>
      </w:r>
      <w:r w:rsidR="00321444">
        <w:rPr>
          <w:rFonts w:asciiTheme="minorHAnsi" w:hAnsiTheme="minorHAnsi"/>
          <w:snapToGrid w:val="0"/>
        </w:rPr>
        <w:t xml:space="preserve">for this aggressive </w:t>
      </w:r>
      <w:r w:rsidR="009E7FD9">
        <w:rPr>
          <w:rFonts w:asciiTheme="minorHAnsi" w:hAnsiTheme="minorHAnsi"/>
          <w:snapToGrid w:val="0"/>
        </w:rPr>
        <w:t>disease</w:t>
      </w:r>
      <w:r w:rsidR="007769CC">
        <w:rPr>
          <w:rFonts w:asciiTheme="minorHAnsi" w:hAnsiTheme="minorHAnsi"/>
          <w:snapToGrid w:val="0"/>
        </w:rPr>
        <w:t xml:space="preserve">. </w:t>
      </w:r>
    </w:p>
    <w:p w14:paraId="5ED88F1F" w14:textId="0F572138" w:rsidR="0083285A" w:rsidRPr="00CE42B4" w:rsidRDefault="007F4935" w:rsidP="72707756">
      <w:pPr>
        <w:widowControl w:val="0"/>
        <w:numPr>
          <w:ilvl w:val="1"/>
          <w:numId w:val="6"/>
        </w:numPr>
        <w:spacing w:after="120"/>
        <w:rPr>
          <w:rFonts w:asciiTheme="minorHAnsi" w:hAnsiTheme="minorHAnsi"/>
          <w:snapToGrid w:val="0"/>
          <w:lang w:val="en-GB"/>
        </w:rPr>
      </w:pPr>
      <w:r w:rsidRPr="72707756">
        <w:rPr>
          <w:rFonts w:asciiTheme="minorHAnsi" w:hAnsiTheme="minorHAnsi"/>
          <w:snapToGrid w:val="0"/>
          <w:lang w:val="en-GB"/>
        </w:rPr>
        <w:t xml:space="preserve">The PBAC </w:t>
      </w:r>
      <w:r w:rsidR="005A51BF">
        <w:rPr>
          <w:rFonts w:asciiTheme="minorHAnsi" w:hAnsiTheme="minorHAnsi"/>
          <w:snapToGrid w:val="0"/>
          <w:lang w:val="en-GB"/>
        </w:rPr>
        <w:t xml:space="preserve">considered that </w:t>
      </w:r>
      <w:r w:rsidR="00AC3831">
        <w:rPr>
          <w:rFonts w:asciiTheme="minorHAnsi" w:hAnsiTheme="minorHAnsi"/>
          <w:snapToGrid w:val="0"/>
          <w:lang w:val="en-GB"/>
        </w:rPr>
        <w:t>the nomination of</w:t>
      </w:r>
      <w:r w:rsidR="005A51BF" w:rsidRPr="72707756">
        <w:rPr>
          <w:rFonts w:asciiTheme="minorHAnsi" w:hAnsiTheme="minorHAnsi"/>
          <w:snapToGrid w:val="0"/>
          <w:lang w:val="en-GB"/>
        </w:rPr>
        <w:t xml:space="preserve"> </w:t>
      </w:r>
      <w:r w:rsidR="00BB2824" w:rsidRPr="72707756">
        <w:rPr>
          <w:rFonts w:asciiTheme="minorHAnsi" w:hAnsiTheme="minorHAnsi"/>
          <w:snapToGrid w:val="0"/>
          <w:lang w:val="en-GB"/>
        </w:rPr>
        <w:t>atezolizumab as the comparator</w:t>
      </w:r>
      <w:r w:rsidR="00AC3831">
        <w:rPr>
          <w:rFonts w:asciiTheme="minorHAnsi" w:hAnsiTheme="minorHAnsi"/>
          <w:snapToGrid w:val="0"/>
          <w:lang w:val="en-GB"/>
        </w:rPr>
        <w:t xml:space="preserve"> was appropriate</w:t>
      </w:r>
      <w:r w:rsidR="0069336A">
        <w:rPr>
          <w:rFonts w:asciiTheme="minorHAnsi" w:hAnsiTheme="minorHAnsi"/>
          <w:snapToGrid w:val="0"/>
          <w:lang w:val="en-GB"/>
        </w:rPr>
        <w:t xml:space="preserve"> but noted that durvalumab is also PBS listed for </w:t>
      </w:r>
      <w:r w:rsidR="00826365">
        <w:rPr>
          <w:rFonts w:asciiTheme="minorHAnsi" w:hAnsiTheme="minorHAnsi"/>
          <w:snapToGrid w:val="0"/>
          <w:lang w:val="en-GB"/>
        </w:rPr>
        <w:t>induction and maintenance therapy</w:t>
      </w:r>
      <w:r w:rsidR="00A1734E">
        <w:rPr>
          <w:rFonts w:asciiTheme="minorHAnsi" w:hAnsiTheme="minorHAnsi"/>
          <w:snapToGrid w:val="0"/>
          <w:lang w:val="en-GB"/>
        </w:rPr>
        <w:t xml:space="preserve"> in this setting.</w:t>
      </w:r>
    </w:p>
    <w:p w14:paraId="34F79432" w14:textId="532EB249" w:rsidR="0083285A" w:rsidRPr="00CE42B4" w:rsidRDefault="008D6F8A" w:rsidP="72707756">
      <w:pPr>
        <w:widowControl w:val="0"/>
        <w:numPr>
          <w:ilvl w:val="1"/>
          <w:numId w:val="6"/>
        </w:numPr>
        <w:spacing w:after="120"/>
        <w:rPr>
          <w:rFonts w:asciiTheme="minorHAnsi" w:hAnsiTheme="minorHAnsi"/>
          <w:snapToGrid w:val="0"/>
          <w:lang w:val="en-GB"/>
        </w:rPr>
      </w:pPr>
      <w:r w:rsidRPr="72707756">
        <w:rPr>
          <w:rFonts w:asciiTheme="minorHAnsi" w:hAnsiTheme="minorHAnsi"/>
          <w:snapToGrid w:val="0"/>
          <w:lang w:val="en-GB"/>
        </w:rPr>
        <w:t>The PBAC</w:t>
      </w:r>
      <w:r w:rsidR="00AC3831">
        <w:rPr>
          <w:rFonts w:asciiTheme="minorHAnsi" w:hAnsiTheme="minorHAnsi"/>
          <w:snapToGrid w:val="0"/>
          <w:lang w:val="en-GB"/>
        </w:rPr>
        <w:t xml:space="preserve"> noted that the submission was based on the results of </w:t>
      </w:r>
      <w:r w:rsidR="00D54CB1">
        <w:rPr>
          <w:rFonts w:asciiTheme="minorHAnsi" w:hAnsiTheme="minorHAnsi"/>
          <w:snapToGrid w:val="0"/>
          <w:lang w:val="en-GB"/>
        </w:rPr>
        <w:t>the</w:t>
      </w:r>
      <w:r w:rsidRPr="72707756">
        <w:rPr>
          <w:rFonts w:asciiTheme="minorHAnsi" w:hAnsiTheme="minorHAnsi"/>
          <w:snapToGrid w:val="0"/>
          <w:lang w:val="en-GB"/>
        </w:rPr>
        <w:t xml:space="preserve"> </w:t>
      </w:r>
      <w:proofErr w:type="spellStart"/>
      <w:r w:rsidRPr="72707756">
        <w:rPr>
          <w:rFonts w:asciiTheme="minorHAnsi" w:hAnsiTheme="minorHAnsi"/>
          <w:snapToGrid w:val="0"/>
          <w:lang w:val="en-GB"/>
        </w:rPr>
        <w:t>IMforte</w:t>
      </w:r>
      <w:proofErr w:type="spellEnd"/>
      <w:r w:rsidRPr="72707756">
        <w:rPr>
          <w:rFonts w:asciiTheme="minorHAnsi" w:hAnsiTheme="minorHAnsi"/>
          <w:snapToGrid w:val="0"/>
          <w:lang w:val="en-GB"/>
        </w:rPr>
        <w:t xml:space="preserve"> trial </w:t>
      </w:r>
      <w:r w:rsidR="00D54CB1">
        <w:rPr>
          <w:rFonts w:asciiTheme="minorHAnsi" w:hAnsiTheme="minorHAnsi"/>
          <w:snapToGrid w:val="0"/>
          <w:lang w:val="en-GB"/>
        </w:rPr>
        <w:t xml:space="preserve">which </w:t>
      </w:r>
      <w:r w:rsidR="00133368">
        <w:rPr>
          <w:rFonts w:asciiTheme="minorHAnsi" w:hAnsiTheme="minorHAnsi"/>
          <w:snapToGrid w:val="0"/>
          <w:lang w:val="en-GB"/>
        </w:rPr>
        <w:t xml:space="preserve">was an open-label trial that </w:t>
      </w:r>
      <w:r w:rsidR="00D54CB1">
        <w:rPr>
          <w:rFonts w:asciiTheme="minorHAnsi" w:hAnsiTheme="minorHAnsi"/>
          <w:snapToGrid w:val="0"/>
          <w:lang w:val="en-GB"/>
        </w:rPr>
        <w:t xml:space="preserve">compared lurbinectedin in combination with atezolizumab with </w:t>
      </w:r>
      <w:r w:rsidR="007627A9">
        <w:rPr>
          <w:rFonts w:asciiTheme="minorHAnsi" w:hAnsiTheme="minorHAnsi"/>
          <w:snapToGrid w:val="0"/>
          <w:lang w:val="en-GB"/>
        </w:rPr>
        <w:t>atezolizumab monotherapy</w:t>
      </w:r>
      <w:r w:rsidR="003A6F6F">
        <w:rPr>
          <w:rFonts w:asciiTheme="minorHAnsi" w:hAnsiTheme="minorHAnsi"/>
          <w:snapToGrid w:val="0"/>
          <w:lang w:val="en-GB"/>
        </w:rPr>
        <w:t xml:space="preserve"> over a median follow up of 15 months</w:t>
      </w:r>
      <w:r w:rsidR="007627A9">
        <w:rPr>
          <w:rFonts w:asciiTheme="minorHAnsi" w:hAnsiTheme="minorHAnsi"/>
          <w:snapToGrid w:val="0"/>
          <w:lang w:val="en-GB"/>
        </w:rPr>
        <w:t xml:space="preserve">. </w:t>
      </w:r>
    </w:p>
    <w:p w14:paraId="18FD0647" w14:textId="59BFA79E" w:rsidR="0083285A" w:rsidRDefault="0047362C" w:rsidP="00713AA5">
      <w:pPr>
        <w:keepNext/>
        <w:keepLines/>
        <w:widowControl w:val="0"/>
        <w:numPr>
          <w:ilvl w:val="1"/>
          <w:numId w:val="6"/>
        </w:numPr>
        <w:spacing w:after="120"/>
        <w:rPr>
          <w:rFonts w:asciiTheme="minorHAnsi" w:hAnsiTheme="minorHAnsi"/>
          <w:snapToGrid w:val="0"/>
          <w:lang w:val="en-GB"/>
        </w:rPr>
      </w:pPr>
      <w:r w:rsidRPr="72707756">
        <w:rPr>
          <w:rFonts w:asciiTheme="minorHAnsi" w:hAnsiTheme="minorHAnsi"/>
          <w:snapToGrid w:val="0"/>
          <w:lang w:val="en-GB"/>
        </w:rPr>
        <w:t xml:space="preserve">The PBAC noted that </w:t>
      </w:r>
      <w:r w:rsidR="005571F1" w:rsidRPr="72707756">
        <w:rPr>
          <w:rFonts w:asciiTheme="minorHAnsi" w:hAnsiTheme="minorHAnsi"/>
          <w:snapToGrid w:val="0"/>
          <w:lang w:val="en-GB"/>
        </w:rPr>
        <w:t xml:space="preserve">lurbinectedin </w:t>
      </w:r>
      <w:r w:rsidR="0037160E">
        <w:rPr>
          <w:rFonts w:asciiTheme="minorHAnsi" w:hAnsiTheme="minorHAnsi"/>
          <w:snapToGrid w:val="0"/>
          <w:lang w:val="en-GB"/>
        </w:rPr>
        <w:t>plus</w:t>
      </w:r>
      <w:r w:rsidR="005571F1" w:rsidRPr="72707756">
        <w:rPr>
          <w:rFonts w:asciiTheme="minorHAnsi" w:hAnsiTheme="minorHAnsi"/>
          <w:snapToGrid w:val="0"/>
          <w:lang w:val="en-GB"/>
        </w:rPr>
        <w:t xml:space="preserve"> atezolizumab </w:t>
      </w:r>
      <w:r w:rsidR="00BE15CC">
        <w:rPr>
          <w:rFonts w:asciiTheme="minorHAnsi" w:hAnsiTheme="minorHAnsi"/>
          <w:snapToGrid w:val="0"/>
          <w:lang w:val="en-GB"/>
        </w:rPr>
        <w:t>resulted in</w:t>
      </w:r>
      <w:r w:rsidR="00BE15CC" w:rsidRPr="72707756">
        <w:rPr>
          <w:rFonts w:asciiTheme="minorHAnsi" w:hAnsiTheme="minorHAnsi"/>
          <w:snapToGrid w:val="0"/>
          <w:lang w:val="en-GB"/>
        </w:rPr>
        <w:t xml:space="preserve"> </w:t>
      </w:r>
      <w:r w:rsidR="006E4039">
        <w:rPr>
          <w:rFonts w:asciiTheme="minorHAnsi" w:hAnsiTheme="minorHAnsi"/>
          <w:snapToGrid w:val="0"/>
          <w:lang w:val="en-GB"/>
        </w:rPr>
        <w:t xml:space="preserve">a statistically significant </w:t>
      </w:r>
      <w:r w:rsidR="00737172" w:rsidRPr="72707756">
        <w:rPr>
          <w:rFonts w:asciiTheme="minorHAnsi" w:hAnsiTheme="minorHAnsi"/>
          <w:snapToGrid w:val="0"/>
          <w:lang w:val="en-GB"/>
        </w:rPr>
        <w:t>benefit</w:t>
      </w:r>
      <w:r w:rsidR="008656BD" w:rsidRPr="72707756">
        <w:rPr>
          <w:rFonts w:asciiTheme="minorHAnsi" w:hAnsiTheme="minorHAnsi"/>
          <w:snapToGrid w:val="0"/>
          <w:lang w:val="en-GB"/>
        </w:rPr>
        <w:t xml:space="preserve"> </w:t>
      </w:r>
      <w:r w:rsidR="00713E2D">
        <w:rPr>
          <w:rFonts w:asciiTheme="minorHAnsi" w:hAnsiTheme="minorHAnsi"/>
          <w:snapToGrid w:val="0"/>
          <w:lang w:val="en-GB"/>
        </w:rPr>
        <w:t xml:space="preserve">over atezolizumab </w:t>
      </w:r>
      <w:r w:rsidR="008656BD" w:rsidRPr="72707756">
        <w:rPr>
          <w:rFonts w:asciiTheme="minorHAnsi" w:hAnsiTheme="minorHAnsi"/>
          <w:snapToGrid w:val="0"/>
          <w:lang w:val="en-GB"/>
        </w:rPr>
        <w:t xml:space="preserve">in </w:t>
      </w:r>
      <w:r w:rsidR="005977FC">
        <w:rPr>
          <w:rFonts w:asciiTheme="minorHAnsi" w:hAnsiTheme="minorHAnsi"/>
          <w:snapToGrid w:val="0"/>
          <w:lang w:val="en-GB"/>
        </w:rPr>
        <w:t xml:space="preserve">both </w:t>
      </w:r>
      <w:r w:rsidR="002C3F61">
        <w:rPr>
          <w:rFonts w:asciiTheme="minorHAnsi" w:hAnsiTheme="minorHAnsi"/>
          <w:snapToGrid w:val="0"/>
          <w:lang w:val="en-GB"/>
        </w:rPr>
        <w:t xml:space="preserve">progression free survival </w:t>
      </w:r>
      <w:r w:rsidR="00713E2D">
        <w:rPr>
          <w:rFonts w:asciiTheme="minorHAnsi" w:hAnsiTheme="minorHAnsi"/>
          <w:snapToGrid w:val="0"/>
          <w:lang w:val="en-GB"/>
        </w:rPr>
        <w:t>(</w:t>
      </w:r>
      <w:r w:rsidR="005977FC">
        <w:rPr>
          <w:rFonts w:asciiTheme="minorHAnsi" w:hAnsiTheme="minorHAnsi"/>
          <w:snapToGrid w:val="0"/>
          <w:lang w:val="en-GB"/>
        </w:rPr>
        <w:t>5.36 months versus 2.14 months; HR = 0.54; 95% CI: 0.43, 0.67)</w:t>
      </w:r>
      <w:r w:rsidR="006E4039">
        <w:rPr>
          <w:rFonts w:asciiTheme="minorHAnsi" w:hAnsiTheme="minorHAnsi"/>
          <w:snapToGrid w:val="0"/>
          <w:lang w:val="en-GB"/>
        </w:rPr>
        <w:t xml:space="preserve"> and </w:t>
      </w:r>
      <w:r w:rsidR="008656BD" w:rsidRPr="72707756">
        <w:rPr>
          <w:rFonts w:asciiTheme="minorHAnsi" w:hAnsiTheme="minorHAnsi"/>
          <w:snapToGrid w:val="0"/>
          <w:lang w:val="en-GB"/>
        </w:rPr>
        <w:t>overall survival</w:t>
      </w:r>
      <w:r w:rsidR="6E361867" w:rsidRPr="72707756">
        <w:rPr>
          <w:rFonts w:asciiTheme="minorHAnsi" w:hAnsiTheme="minorHAnsi"/>
          <w:snapToGrid w:val="0"/>
          <w:lang w:val="en-GB"/>
        </w:rPr>
        <w:t xml:space="preserve"> </w:t>
      </w:r>
      <w:r w:rsidR="008656BD" w:rsidRPr="72707756">
        <w:rPr>
          <w:rFonts w:asciiTheme="minorHAnsi" w:hAnsiTheme="minorHAnsi"/>
          <w:snapToGrid w:val="0"/>
          <w:lang w:val="en-GB"/>
        </w:rPr>
        <w:t>(13.2</w:t>
      </w:r>
      <w:r w:rsidR="007356B3">
        <w:rPr>
          <w:rFonts w:asciiTheme="minorHAnsi" w:hAnsiTheme="minorHAnsi"/>
          <w:snapToGrid w:val="0"/>
          <w:lang w:val="en-GB"/>
        </w:rPr>
        <w:t> </w:t>
      </w:r>
      <w:r w:rsidR="008656BD" w:rsidRPr="72707756">
        <w:rPr>
          <w:rFonts w:asciiTheme="minorHAnsi" w:hAnsiTheme="minorHAnsi"/>
          <w:snapToGrid w:val="0"/>
          <w:lang w:val="en-GB"/>
        </w:rPr>
        <w:t>months</w:t>
      </w:r>
      <w:r w:rsidR="007356B3">
        <w:rPr>
          <w:rFonts w:asciiTheme="minorHAnsi" w:hAnsiTheme="minorHAnsi"/>
          <w:snapToGrid w:val="0"/>
          <w:lang w:val="en-GB"/>
        </w:rPr>
        <w:t> </w:t>
      </w:r>
      <w:r w:rsidR="008656BD" w:rsidRPr="72707756">
        <w:rPr>
          <w:rFonts w:asciiTheme="minorHAnsi" w:hAnsiTheme="minorHAnsi"/>
          <w:snapToGrid w:val="0"/>
          <w:lang w:val="en-GB"/>
        </w:rPr>
        <w:t>vs</w:t>
      </w:r>
      <w:r w:rsidR="007356B3">
        <w:rPr>
          <w:rFonts w:asciiTheme="minorHAnsi" w:hAnsiTheme="minorHAnsi"/>
          <w:snapToGrid w:val="0"/>
          <w:lang w:val="en-GB"/>
        </w:rPr>
        <w:t> </w:t>
      </w:r>
      <w:r w:rsidR="008656BD" w:rsidRPr="72707756">
        <w:rPr>
          <w:rFonts w:asciiTheme="minorHAnsi" w:hAnsiTheme="minorHAnsi"/>
          <w:snapToGrid w:val="0"/>
          <w:lang w:val="en-GB"/>
        </w:rPr>
        <w:t>10.6 months</w:t>
      </w:r>
      <w:r w:rsidR="002C3F61">
        <w:rPr>
          <w:rFonts w:asciiTheme="minorHAnsi" w:hAnsiTheme="minorHAnsi"/>
          <w:snapToGrid w:val="0"/>
          <w:lang w:val="en-GB"/>
        </w:rPr>
        <w:t>; HR = 0.73; 85% CI: 0.57, 0.95</w:t>
      </w:r>
      <w:r w:rsidR="008656BD" w:rsidRPr="72707756">
        <w:rPr>
          <w:rFonts w:asciiTheme="minorHAnsi" w:hAnsiTheme="minorHAnsi"/>
          <w:snapToGrid w:val="0"/>
          <w:lang w:val="en-GB"/>
        </w:rPr>
        <w:t>)</w:t>
      </w:r>
      <w:r w:rsidR="00E513FD" w:rsidRPr="72707756">
        <w:rPr>
          <w:rFonts w:asciiTheme="minorHAnsi" w:hAnsiTheme="minorHAnsi"/>
          <w:snapToGrid w:val="0"/>
          <w:lang w:val="en-GB"/>
        </w:rPr>
        <w:t>.</w:t>
      </w:r>
      <w:r w:rsidR="006E4039">
        <w:rPr>
          <w:rFonts w:asciiTheme="minorHAnsi" w:hAnsiTheme="minorHAnsi"/>
          <w:snapToGrid w:val="0"/>
          <w:lang w:val="en-GB"/>
        </w:rPr>
        <w:t xml:space="preserve"> However, the PBAC considered that the </w:t>
      </w:r>
      <w:r w:rsidR="00722873">
        <w:rPr>
          <w:rFonts w:asciiTheme="minorHAnsi" w:hAnsiTheme="minorHAnsi"/>
          <w:snapToGrid w:val="0"/>
          <w:lang w:val="en-GB"/>
        </w:rPr>
        <w:t>magnitude of the benefit</w:t>
      </w:r>
      <w:r w:rsidR="00E74730">
        <w:rPr>
          <w:rFonts w:asciiTheme="minorHAnsi" w:hAnsiTheme="minorHAnsi"/>
          <w:snapToGrid w:val="0"/>
          <w:lang w:val="en-GB"/>
        </w:rPr>
        <w:t xml:space="preserve"> </w:t>
      </w:r>
      <w:r w:rsidR="00722873">
        <w:rPr>
          <w:rFonts w:asciiTheme="minorHAnsi" w:hAnsiTheme="minorHAnsi"/>
          <w:snapToGrid w:val="0"/>
          <w:lang w:val="en-GB"/>
        </w:rPr>
        <w:t xml:space="preserve">was </w:t>
      </w:r>
      <w:r w:rsidR="00E41314">
        <w:rPr>
          <w:rFonts w:asciiTheme="minorHAnsi" w:hAnsiTheme="minorHAnsi"/>
          <w:snapToGrid w:val="0"/>
          <w:lang w:val="en-GB"/>
        </w:rPr>
        <w:t xml:space="preserve">small </w:t>
      </w:r>
      <w:r w:rsidR="00E74730">
        <w:rPr>
          <w:rFonts w:asciiTheme="minorHAnsi" w:hAnsiTheme="minorHAnsi"/>
          <w:snapToGrid w:val="0"/>
          <w:lang w:val="en-GB"/>
        </w:rPr>
        <w:t>(</w:t>
      </w:r>
      <w:proofErr w:type="gramStart"/>
      <w:r w:rsidR="002D68CA">
        <w:rPr>
          <w:rFonts w:asciiTheme="minorHAnsi" w:hAnsiTheme="minorHAnsi"/>
          <w:snapToGrid w:val="0"/>
          <w:lang w:val="en-GB"/>
        </w:rPr>
        <w:t>3.22 month</w:t>
      </w:r>
      <w:proofErr w:type="gramEnd"/>
      <w:r w:rsidR="002D68CA">
        <w:rPr>
          <w:rFonts w:asciiTheme="minorHAnsi" w:hAnsiTheme="minorHAnsi"/>
          <w:snapToGrid w:val="0"/>
          <w:lang w:val="en-GB"/>
        </w:rPr>
        <w:t xml:space="preserve"> improvement in progression free survival and </w:t>
      </w:r>
      <w:proofErr w:type="gramStart"/>
      <w:r w:rsidR="00E74730">
        <w:rPr>
          <w:rFonts w:asciiTheme="minorHAnsi" w:hAnsiTheme="minorHAnsi"/>
          <w:snapToGrid w:val="0"/>
          <w:lang w:val="en-GB"/>
        </w:rPr>
        <w:t>2.6 month</w:t>
      </w:r>
      <w:proofErr w:type="gramEnd"/>
      <w:r w:rsidR="00E74730">
        <w:rPr>
          <w:rFonts w:asciiTheme="minorHAnsi" w:hAnsiTheme="minorHAnsi"/>
          <w:snapToGrid w:val="0"/>
          <w:lang w:val="en-GB"/>
        </w:rPr>
        <w:t xml:space="preserve"> improvement for overall survival)</w:t>
      </w:r>
      <w:r w:rsidR="002D68CA">
        <w:rPr>
          <w:rFonts w:asciiTheme="minorHAnsi" w:hAnsiTheme="minorHAnsi"/>
          <w:snapToGrid w:val="0"/>
          <w:lang w:val="en-GB"/>
        </w:rPr>
        <w:t xml:space="preserve"> </w:t>
      </w:r>
      <w:r w:rsidR="00722873">
        <w:rPr>
          <w:rFonts w:asciiTheme="minorHAnsi" w:hAnsiTheme="minorHAnsi"/>
          <w:snapToGrid w:val="0"/>
          <w:lang w:val="en-GB"/>
        </w:rPr>
        <w:t>and noted that the overall survival data were immature</w:t>
      </w:r>
      <w:r w:rsidR="00AE0516">
        <w:rPr>
          <w:rFonts w:asciiTheme="minorHAnsi" w:hAnsiTheme="minorHAnsi"/>
          <w:snapToGrid w:val="0"/>
          <w:lang w:val="en-GB"/>
        </w:rPr>
        <w:t>.</w:t>
      </w:r>
      <w:r w:rsidR="00A458E3">
        <w:rPr>
          <w:rFonts w:asciiTheme="minorHAnsi" w:hAnsiTheme="minorHAnsi"/>
          <w:snapToGrid w:val="0"/>
          <w:lang w:val="en-GB"/>
        </w:rPr>
        <w:t xml:space="preserve"> The PBAC were also concerned that the benefit </w:t>
      </w:r>
      <w:r w:rsidR="00BF4FC9">
        <w:rPr>
          <w:rFonts w:asciiTheme="minorHAnsi" w:hAnsiTheme="minorHAnsi"/>
          <w:snapToGrid w:val="0"/>
          <w:lang w:val="en-GB"/>
        </w:rPr>
        <w:t xml:space="preserve">observed in the </w:t>
      </w:r>
      <w:proofErr w:type="spellStart"/>
      <w:r w:rsidR="00BF4FC9">
        <w:rPr>
          <w:rFonts w:asciiTheme="minorHAnsi" w:hAnsiTheme="minorHAnsi"/>
          <w:snapToGrid w:val="0"/>
          <w:lang w:val="en-GB"/>
        </w:rPr>
        <w:t>IMforte</w:t>
      </w:r>
      <w:proofErr w:type="spellEnd"/>
      <w:r w:rsidR="00BF4FC9">
        <w:rPr>
          <w:rFonts w:asciiTheme="minorHAnsi" w:hAnsiTheme="minorHAnsi"/>
          <w:snapToGrid w:val="0"/>
          <w:lang w:val="en-GB"/>
        </w:rPr>
        <w:t xml:space="preserve"> trial </w:t>
      </w:r>
      <w:r w:rsidR="00A458E3">
        <w:rPr>
          <w:rFonts w:asciiTheme="minorHAnsi" w:hAnsiTheme="minorHAnsi"/>
          <w:snapToGrid w:val="0"/>
          <w:lang w:val="en-GB"/>
        </w:rPr>
        <w:t>may not be realised in clinical practice</w:t>
      </w:r>
      <w:r w:rsidR="00BF4FC9">
        <w:rPr>
          <w:rFonts w:asciiTheme="minorHAnsi" w:hAnsiTheme="minorHAnsi"/>
          <w:snapToGrid w:val="0"/>
          <w:lang w:val="en-GB"/>
        </w:rPr>
        <w:t xml:space="preserve"> as trial patients are generally fitter than those in the </w:t>
      </w:r>
      <w:proofErr w:type="gramStart"/>
      <w:r w:rsidR="00BF4FC9">
        <w:rPr>
          <w:rFonts w:asciiTheme="minorHAnsi" w:hAnsiTheme="minorHAnsi"/>
          <w:snapToGrid w:val="0"/>
          <w:lang w:val="en-GB"/>
        </w:rPr>
        <w:t>real world</w:t>
      </w:r>
      <w:proofErr w:type="gramEnd"/>
      <w:r w:rsidR="00BF4FC9">
        <w:rPr>
          <w:rFonts w:asciiTheme="minorHAnsi" w:hAnsiTheme="minorHAnsi"/>
          <w:snapToGrid w:val="0"/>
          <w:lang w:val="en-GB"/>
        </w:rPr>
        <w:t xml:space="preserve"> setting.</w:t>
      </w:r>
    </w:p>
    <w:p w14:paraId="3DE6898A" w14:textId="69D614D5" w:rsidR="0083285A" w:rsidRPr="00AF3574" w:rsidRDefault="004C5821" w:rsidP="00713AA5">
      <w:pPr>
        <w:keepLines/>
        <w:widowControl w:val="0"/>
        <w:numPr>
          <w:ilvl w:val="1"/>
          <w:numId w:val="6"/>
        </w:numPr>
        <w:spacing w:after="120"/>
        <w:rPr>
          <w:rFonts w:asciiTheme="minorHAnsi" w:hAnsiTheme="minorHAnsi"/>
          <w:snapToGrid w:val="0"/>
        </w:rPr>
      </w:pPr>
      <w:r w:rsidRPr="20D60DA8">
        <w:rPr>
          <w:rFonts w:asciiTheme="minorHAnsi" w:hAnsiTheme="minorHAnsi"/>
        </w:rPr>
        <w:t>In terms of safety, t</w:t>
      </w:r>
      <w:r w:rsidR="00E513FD" w:rsidRPr="20D60DA8">
        <w:rPr>
          <w:rFonts w:asciiTheme="minorHAnsi" w:hAnsiTheme="minorHAnsi"/>
          <w:snapToGrid w:val="0"/>
        </w:rPr>
        <w:t xml:space="preserve">he PBAC noted that </w:t>
      </w:r>
      <w:r w:rsidR="00B5741A" w:rsidRPr="20D60DA8">
        <w:rPr>
          <w:rFonts w:asciiTheme="minorHAnsi" w:hAnsiTheme="minorHAnsi"/>
          <w:snapToGrid w:val="0"/>
        </w:rPr>
        <w:t xml:space="preserve">lurbinectedin </w:t>
      </w:r>
      <w:r w:rsidRPr="20D60DA8">
        <w:rPr>
          <w:rFonts w:asciiTheme="minorHAnsi" w:hAnsiTheme="minorHAnsi"/>
        </w:rPr>
        <w:t xml:space="preserve">plus atezolizumab </w:t>
      </w:r>
      <w:r w:rsidR="00B5741A" w:rsidRPr="20D60DA8">
        <w:rPr>
          <w:rFonts w:asciiTheme="minorHAnsi" w:hAnsiTheme="minorHAnsi"/>
          <w:snapToGrid w:val="0"/>
        </w:rPr>
        <w:t xml:space="preserve">was associated with </w:t>
      </w:r>
      <w:r w:rsidR="003C1637" w:rsidRPr="20D60DA8">
        <w:rPr>
          <w:rFonts w:asciiTheme="minorHAnsi" w:hAnsiTheme="minorHAnsi"/>
        </w:rPr>
        <w:t>a higher incidence of</w:t>
      </w:r>
      <w:r w:rsidR="00DF3548" w:rsidRPr="20D60DA8">
        <w:rPr>
          <w:rFonts w:asciiTheme="minorHAnsi" w:hAnsiTheme="minorHAnsi"/>
        </w:rPr>
        <w:t xml:space="preserve"> any adverse event (</w:t>
      </w:r>
      <w:r w:rsidR="00DF6822">
        <w:rPr>
          <w:rFonts w:asciiTheme="minorHAnsi" w:hAnsiTheme="minorHAnsi"/>
        </w:rPr>
        <w:t>97.1% vs 80.5%</w:t>
      </w:r>
      <w:r w:rsidR="00C81123" w:rsidRPr="20D60DA8">
        <w:rPr>
          <w:rFonts w:asciiTheme="minorHAnsi" w:hAnsiTheme="minorHAnsi"/>
        </w:rPr>
        <w:t>)</w:t>
      </w:r>
      <w:r w:rsidR="00DF3548" w:rsidRPr="20D60DA8">
        <w:rPr>
          <w:rFonts w:asciiTheme="minorHAnsi" w:hAnsiTheme="minorHAnsi"/>
        </w:rPr>
        <w:t>, Grade 3-4 adverse event</w:t>
      </w:r>
      <w:r w:rsidR="0047136C" w:rsidRPr="20D60DA8">
        <w:rPr>
          <w:rFonts w:asciiTheme="minorHAnsi" w:hAnsiTheme="minorHAnsi"/>
        </w:rPr>
        <w:t>s</w:t>
      </w:r>
      <w:r w:rsidR="00C81123" w:rsidRPr="20D60DA8">
        <w:rPr>
          <w:rFonts w:asciiTheme="minorHAnsi" w:hAnsiTheme="minorHAnsi"/>
        </w:rPr>
        <w:t xml:space="preserve"> (</w:t>
      </w:r>
      <w:r w:rsidR="008919CC">
        <w:rPr>
          <w:rFonts w:asciiTheme="minorHAnsi" w:hAnsiTheme="minorHAnsi"/>
        </w:rPr>
        <w:t>38.0</w:t>
      </w:r>
      <w:r w:rsidR="0047136C" w:rsidRPr="20D60DA8">
        <w:rPr>
          <w:rFonts w:asciiTheme="minorHAnsi" w:hAnsiTheme="minorHAnsi"/>
        </w:rPr>
        <w:t>%</w:t>
      </w:r>
      <w:r w:rsidR="00C81123" w:rsidRPr="20D60DA8">
        <w:rPr>
          <w:rFonts w:asciiTheme="minorHAnsi" w:hAnsiTheme="minorHAnsi"/>
        </w:rPr>
        <w:t xml:space="preserve"> vs </w:t>
      </w:r>
      <w:r w:rsidR="008919CC">
        <w:rPr>
          <w:rFonts w:asciiTheme="minorHAnsi" w:hAnsiTheme="minorHAnsi"/>
        </w:rPr>
        <w:t>22.0</w:t>
      </w:r>
      <w:r w:rsidR="00DF6822">
        <w:rPr>
          <w:rFonts w:asciiTheme="minorHAnsi" w:hAnsiTheme="minorHAnsi"/>
        </w:rPr>
        <w:t>%</w:t>
      </w:r>
      <w:r w:rsidR="0047136C" w:rsidRPr="20D60DA8">
        <w:rPr>
          <w:rFonts w:asciiTheme="minorHAnsi" w:hAnsiTheme="minorHAnsi"/>
        </w:rPr>
        <w:t>%</w:t>
      </w:r>
      <w:r w:rsidR="00C81123" w:rsidRPr="20D60DA8">
        <w:rPr>
          <w:rFonts w:asciiTheme="minorHAnsi" w:hAnsiTheme="minorHAnsi"/>
        </w:rPr>
        <w:t>)</w:t>
      </w:r>
      <w:r w:rsidR="00DF7134" w:rsidRPr="20D60DA8">
        <w:rPr>
          <w:rFonts w:asciiTheme="minorHAnsi" w:hAnsiTheme="minorHAnsi"/>
        </w:rPr>
        <w:t xml:space="preserve"> and</w:t>
      </w:r>
      <w:r w:rsidR="00B5741A" w:rsidRPr="20D60DA8">
        <w:rPr>
          <w:rFonts w:asciiTheme="minorHAnsi" w:hAnsiTheme="minorHAnsi"/>
          <w:snapToGrid w:val="0"/>
        </w:rPr>
        <w:t xml:space="preserve"> serious adverse events</w:t>
      </w:r>
      <w:r w:rsidR="00C105B4" w:rsidRPr="20D60DA8">
        <w:rPr>
          <w:rFonts w:asciiTheme="minorHAnsi" w:hAnsiTheme="minorHAnsi"/>
          <w:snapToGrid w:val="0"/>
        </w:rPr>
        <w:t xml:space="preserve"> </w:t>
      </w:r>
      <w:r w:rsidR="007D7FD0" w:rsidRPr="20D60DA8">
        <w:rPr>
          <w:rFonts w:asciiTheme="minorHAnsi" w:hAnsiTheme="minorHAnsi"/>
          <w:snapToGrid w:val="0"/>
        </w:rPr>
        <w:t>(</w:t>
      </w:r>
      <w:r w:rsidR="003A1828">
        <w:rPr>
          <w:rFonts w:asciiTheme="minorHAnsi" w:hAnsiTheme="minorHAnsi"/>
          <w:snapToGrid w:val="0"/>
        </w:rPr>
        <w:t>31.0</w:t>
      </w:r>
      <w:r w:rsidR="007D7FD0" w:rsidRPr="20D60DA8">
        <w:rPr>
          <w:rFonts w:asciiTheme="minorHAnsi" w:hAnsiTheme="minorHAnsi"/>
          <w:snapToGrid w:val="0"/>
        </w:rPr>
        <w:t>%</w:t>
      </w:r>
      <w:r w:rsidR="00D70CCF" w:rsidRPr="20D60DA8">
        <w:rPr>
          <w:rFonts w:asciiTheme="minorHAnsi" w:hAnsiTheme="minorHAnsi"/>
          <w:snapToGrid w:val="0"/>
        </w:rPr>
        <w:t xml:space="preserve"> vs </w:t>
      </w:r>
      <w:r w:rsidR="003A1828">
        <w:rPr>
          <w:rFonts w:asciiTheme="minorHAnsi" w:hAnsiTheme="minorHAnsi"/>
          <w:snapToGrid w:val="0"/>
        </w:rPr>
        <w:t>17</w:t>
      </w:r>
      <w:r w:rsidR="00D70CCF" w:rsidRPr="20D60DA8">
        <w:rPr>
          <w:rFonts w:asciiTheme="minorHAnsi" w:hAnsiTheme="minorHAnsi"/>
          <w:snapToGrid w:val="0"/>
        </w:rPr>
        <w:t>%)</w:t>
      </w:r>
      <w:r w:rsidR="00DF7134" w:rsidRPr="20D60DA8">
        <w:rPr>
          <w:rFonts w:asciiTheme="minorHAnsi" w:hAnsiTheme="minorHAnsi"/>
        </w:rPr>
        <w:t xml:space="preserve"> than </w:t>
      </w:r>
      <w:r w:rsidR="00DF7134" w:rsidRPr="00AF3574">
        <w:rPr>
          <w:rFonts w:asciiTheme="minorHAnsi" w:hAnsiTheme="minorHAnsi"/>
        </w:rPr>
        <w:t>atezolizumab. Additionally</w:t>
      </w:r>
      <w:r w:rsidR="004E6861" w:rsidRPr="00AF3574">
        <w:rPr>
          <w:rFonts w:asciiTheme="minorHAnsi" w:hAnsiTheme="minorHAnsi"/>
          <w:snapToGrid w:val="0"/>
        </w:rPr>
        <w:t xml:space="preserve">, </w:t>
      </w:r>
      <w:r w:rsidR="00DF7134" w:rsidRPr="00AF3574">
        <w:rPr>
          <w:rFonts w:asciiTheme="minorHAnsi" w:hAnsiTheme="minorHAnsi"/>
        </w:rPr>
        <w:t xml:space="preserve">the PBAC noted that lurbinectedin plus atezolizumab was associated with </w:t>
      </w:r>
      <w:r w:rsidR="00A05536" w:rsidRPr="00AF3574">
        <w:rPr>
          <w:rFonts w:asciiTheme="minorHAnsi" w:hAnsiTheme="minorHAnsi"/>
        </w:rPr>
        <w:t xml:space="preserve">a higher incidence of </w:t>
      </w:r>
      <w:r w:rsidR="00AB4349" w:rsidRPr="00AF3574">
        <w:rPr>
          <w:rFonts w:asciiTheme="minorHAnsi" w:hAnsiTheme="minorHAnsi"/>
        </w:rPr>
        <w:t xml:space="preserve">Grade </w:t>
      </w:r>
      <w:r w:rsidR="004E6861" w:rsidRPr="00AF3574">
        <w:rPr>
          <w:rFonts w:asciiTheme="minorHAnsi" w:hAnsiTheme="minorHAnsi"/>
          <w:snapToGrid w:val="0"/>
        </w:rPr>
        <w:t>5 adverse events (</w:t>
      </w:r>
      <w:r w:rsidR="00A05536" w:rsidRPr="00AF3574">
        <w:rPr>
          <w:rFonts w:asciiTheme="minorHAnsi" w:hAnsiTheme="minorHAnsi"/>
        </w:rPr>
        <w:t xml:space="preserve">i.e. death; </w:t>
      </w:r>
      <w:r w:rsidR="004E6861" w:rsidRPr="00AF3574">
        <w:rPr>
          <w:rFonts w:asciiTheme="minorHAnsi" w:hAnsiTheme="minorHAnsi"/>
          <w:snapToGrid w:val="0"/>
        </w:rPr>
        <w:t>5% vs 2.5%)</w:t>
      </w:r>
      <w:r w:rsidR="008E6E66" w:rsidRPr="00AF3574">
        <w:rPr>
          <w:rFonts w:asciiTheme="minorHAnsi" w:hAnsiTheme="minorHAnsi"/>
          <w:snapToGrid w:val="0"/>
        </w:rPr>
        <w:t>.</w:t>
      </w:r>
    </w:p>
    <w:p w14:paraId="74567BAD" w14:textId="101C6B4E" w:rsidR="00836DC0" w:rsidRPr="00AF3574" w:rsidRDefault="005B7A40" w:rsidP="00836DC0">
      <w:pPr>
        <w:widowControl w:val="0"/>
        <w:numPr>
          <w:ilvl w:val="1"/>
          <w:numId w:val="6"/>
        </w:numPr>
        <w:spacing w:after="120"/>
        <w:rPr>
          <w:rFonts w:asciiTheme="minorHAnsi" w:hAnsiTheme="minorHAnsi"/>
          <w:snapToGrid w:val="0"/>
        </w:rPr>
      </w:pPr>
      <w:r w:rsidRPr="00AF3574">
        <w:rPr>
          <w:rFonts w:asciiTheme="minorHAnsi" w:hAnsiTheme="minorHAnsi"/>
          <w:snapToGrid w:val="0"/>
          <w:lang w:val="en-GB"/>
        </w:rPr>
        <w:t>T</w:t>
      </w:r>
      <w:r w:rsidR="003550D9" w:rsidRPr="00AF3574">
        <w:rPr>
          <w:rFonts w:asciiTheme="minorHAnsi" w:hAnsiTheme="minorHAnsi"/>
          <w:snapToGrid w:val="0"/>
          <w:lang w:val="en-GB"/>
        </w:rPr>
        <w:t>he PBAC considered that although</w:t>
      </w:r>
      <w:r w:rsidR="00EF71F4" w:rsidRPr="00AF3574">
        <w:rPr>
          <w:rFonts w:asciiTheme="minorHAnsi" w:hAnsiTheme="minorHAnsi"/>
          <w:snapToGrid w:val="0"/>
          <w:lang w:val="en-GB"/>
        </w:rPr>
        <w:t xml:space="preserve">, </w:t>
      </w:r>
      <w:proofErr w:type="gramStart"/>
      <w:r w:rsidR="00EF71F4" w:rsidRPr="00AF3574">
        <w:rPr>
          <w:rFonts w:asciiTheme="minorHAnsi" w:hAnsiTheme="minorHAnsi"/>
          <w:snapToGrid w:val="0"/>
          <w:lang w:val="en-GB"/>
        </w:rPr>
        <w:t>on the basis of</w:t>
      </w:r>
      <w:proofErr w:type="gramEnd"/>
      <w:r w:rsidR="00EF71F4" w:rsidRPr="00AF3574">
        <w:rPr>
          <w:rFonts w:asciiTheme="minorHAnsi" w:hAnsiTheme="minorHAnsi"/>
          <w:snapToGrid w:val="0"/>
          <w:lang w:val="en-GB"/>
        </w:rPr>
        <w:t xml:space="preserve"> the </w:t>
      </w:r>
      <w:proofErr w:type="spellStart"/>
      <w:r w:rsidR="00EF71F4" w:rsidRPr="00AF3574">
        <w:rPr>
          <w:rFonts w:asciiTheme="minorHAnsi" w:hAnsiTheme="minorHAnsi"/>
          <w:snapToGrid w:val="0"/>
          <w:lang w:val="en-GB"/>
        </w:rPr>
        <w:t>IMforte</w:t>
      </w:r>
      <w:proofErr w:type="spellEnd"/>
      <w:r w:rsidR="00EF71F4" w:rsidRPr="00AF3574">
        <w:rPr>
          <w:rFonts w:asciiTheme="minorHAnsi" w:hAnsiTheme="minorHAnsi"/>
          <w:snapToGrid w:val="0"/>
          <w:lang w:val="en-GB"/>
        </w:rPr>
        <w:t xml:space="preserve"> trial,</w:t>
      </w:r>
      <w:r w:rsidR="003550D9" w:rsidRPr="00AF3574">
        <w:rPr>
          <w:rFonts w:asciiTheme="minorHAnsi" w:hAnsiTheme="minorHAnsi"/>
          <w:snapToGrid w:val="0"/>
          <w:lang w:val="en-GB"/>
        </w:rPr>
        <w:t xml:space="preserve"> lurbinectedin plus atezolizumab </w:t>
      </w:r>
      <w:r w:rsidRPr="00AF3574">
        <w:rPr>
          <w:rFonts w:asciiTheme="minorHAnsi" w:hAnsiTheme="minorHAnsi"/>
          <w:snapToGrid w:val="0"/>
          <w:lang w:val="en-GB"/>
        </w:rPr>
        <w:t xml:space="preserve">was statistically significantly superior </w:t>
      </w:r>
      <w:r w:rsidR="00EF71F4" w:rsidRPr="00AF3574">
        <w:rPr>
          <w:rFonts w:asciiTheme="minorHAnsi" w:hAnsiTheme="minorHAnsi"/>
          <w:snapToGrid w:val="0"/>
          <w:lang w:val="en-GB"/>
        </w:rPr>
        <w:t>to</w:t>
      </w:r>
      <w:r w:rsidRPr="00AF3574">
        <w:rPr>
          <w:rFonts w:asciiTheme="minorHAnsi" w:hAnsiTheme="minorHAnsi"/>
          <w:snapToGrid w:val="0"/>
          <w:lang w:val="en-GB"/>
        </w:rPr>
        <w:t xml:space="preserve"> atezolizumab in terms of effectiveness, the </w:t>
      </w:r>
      <w:r w:rsidR="00045B42">
        <w:rPr>
          <w:rFonts w:asciiTheme="minorHAnsi" w:hAnsiTheme="minorHAnsi"/>
          <w:snapToGrid w:val="0"/>
          <w:lang w:val="en-GB"/>
        </w:rPr>
        <w:t>small</w:t>
      </w:r>
      <w:r w:rsidR="00045B42" w:rsidRPr="00AF3574">
        <w:rPr>
          <w:rFonts w:asciiTheme="minorHAnsi" w:hAnsiTheme="minorHAnsi"/>
          <w:snapToGrid w:val="0"/>
          <w:lang w:val="en-GB"/>
        </w:rPr>
        <w:t xml:space="preserve"> </w:t>
      </w:r>
      <w:r w:rsidR="003406E8" w:rsidRPr="00AF3574">
        <w:rPr>
          <w:rFonts w:asciiTheme="minorHAnsi" w:hAnsiTheme="minorHAnsi"/>
          <w:snapToGrid w:val="0"/>
          <w:lang w:val="en-GB"/>
        </w:rPr>
        <w:t xml:space="preserve">clinical improvement in overall survival </w:t>
      </w:r>
      <w:r w:rsidR="00A3371C" w:rsidRPr="00AF3574">
        <w:rPr>
          <w:rFonts w:asciiTheme="minorHAnsi" w:hAnsiTheme="minorHAnsi"/>
          <w:snapToGrid w:val="0"/>
          <w:lang w:val="en-GB"/>
        </w:rPr>
        <w:t xml:space="preserve">of 2.6 months was associated with </w:t>
      </w:r>
      <w:r w:rsidR="00EF71F4" w:rsidRPr="00AF3574">
        <w:rPr>
          <w:rFonts w:asciiTheme="minorHAnsi" w:hAnsiTheme="minorHAnsi"/>
          <w:snapToGrid w:val="0"/>
          <w:lang w:val="en-GB"/>
        </w:rPr>
        <w:t>a higher incidence</w:t>
      </w:r>
      <w:r w:rsidR="00B22FAF" w:rsidRPr="00AF3574">
        <w:rPr>
          <w:rFonts w:asciiTheme="minorHAnsi" w:hAnsiTheme="minorHAnsi"/>
          <w:snapToGrid w:val="0"/>
          <w:lang w:val="en-GB"/>
        </w:rPr>
        <w:t xml:space="preserve"> of</w:t>
      </w:r>
      <w:r w:rsidR="00A3371C" w:rsidRPr="00AF3574">
        <w:rPr>
          <w:rFonts w:asciiTheme="minorHAnsi" w:hAnsiTheme="minorHAnsi"/>
          <w:snapToGrid w:val="0"/>
          <w:lang w:val="en-GB"/>
        </w:rPr>
        <w:t xml:space="preserve"> adverse events</w:t>
      </w:r>
      <w:r w:rsidR="00B22FAF" w:rsidRPr="00AF3574">
        <w:rPr>
          <w:rFonts w:asciiTheme="minorHAnsi" w:hAnsiTheme="minorHAnsi"/>
          <w:snapToGrid w:val="0"/>
          <w:lang w:val="en-GB"/>
        </w:rPr>
        <w:t>.</w:t>
      </w:r>
      <w:r w:rsidR="00836DC0" w:rsidRPr="00AF3574">
        <w:rPr>
          <w:rFonts w:asciiTheme="minorHAnsi" w:hAnsiTheme="minorHAnsi"/>
          <w:snapToGrid w:val="0"/>
          <w:lang w:val="en-GB"/>
        </w:rPr>
        <w:t xml:space="preserve"> </w:t>
      </w:r>
    </w:p>
    <w:p w14:paraId="609ADACD" w14:textId="5F8A1838" w:rsidR="000741F2" w:rsidRDefault="007A3877" w:rsidP="72707756">
      <w:pPr>
        <w:widowControl w:val="0"/>
        <w:numPr>
          <w:ilvl w:val="1"/>
          <w:numId w:val="6"/>
        </w:numPr>
        <w:spacing w:after="120"/>
        <w:rPr>
          <w:rFonts w:asciiTheme="minorHAnsi" w:hAnsiTheme="minorHAnsi"/>
          <w:snapToGrid w:val="0"/>
          <w:lang w:val="en-GB"/>
        </w:rPr>
      </w:pPr>
      <w:r w:rsidRPr="00AF3574">
        <w:rPr>
          <w:rFonts w:asciiTheme="minorHAnsi" w:hAnsiTheme="minorHAnsi"/>
          <w:snapToGrid w:val="0"/>
          <w:lang w:val="en-GB"/>
        </w:rPr>
        <w:t xml:space="preserve">The </w:t>
      </w:r>
      <w:r w:rsidR="00A35771" w:rsidRPr="00AF3574">
        <w:rPr>
          <w:rFonts w:asciiTheme="minorHAnsi" w:hAnsiTheme="minorHAnsi"/>
          <w:snapToGrid w:val="0"/>
          <w:lang w:val="en-GB"/>
        </w:rPr>
        <w:t xml:space="preserve">PBAC considered that the base case ICER presented in the submission of </w:t>
      </w:r>
      <w:r w:rsidR="0065778D" w:rsidRPr="0065778D">
        <w:rPr>
          <w:rFonts w:asciiTheme="minorHAnsi" w:hAnsiTheme="minorHAnsi"/>
          <w:snapToGrid w:val="0"/>
          <w:lang w:val="en-GB"/>
        </w:rPr>
        <w:t>$115,000 to &lt; $135,000</w:t>
      </w:r>
      <w:r w:rsidR="007356B3">
        <w:rPr>
          <w:rFonts w:asciiTheme="minorHAnsi" w:hAnsiTheme="minorHAnsi"/>
          <w:snapToGrid w:val="0"/>
          <w:lang w:val="en-GB"/>
        </w:rPr>
        <w:t> </w:t>
      </w:r>
      <w:r w:rsidR="004A3B54" w:rsidRPr="00AF3574">
        <w:rPr>
          <w:rFonts w:asciiTheme="minorHAnsi" w:hAnsiTheme="minorHAnsi"/>
          <w:snapToGrid w:val="0"/>
          <w:lang w:val="en-GB"/>
        </w:rPr>
        <w:t>per quality adjusted</w:t>
      </w:r>
      <w:r w:rsidR="004A3B54">
        <w:rPr>
          <w:rFonts w:asciiTheme="minorHAnsi" w:hAnsiTheme="minorHAnsi"/>
          <w:snapToGrid w:val="0"/>
          <w:lang w:val="en-GB"/>
        </w:rPr>
        <w:t xml:space="preserve"> life year (QALY) was high. The </w:t>
      </w:r>
      <w:r w:rsidRPr="72707756">
        <w:rPr>
          <w:rFonts w:asciiTheme="minorHAnsi" w:hAnsiTheme="minorHAnsi"/>
          <w:snapToGrid w:val="0"/>
          <w:lang w:val="en-GB"/>
        </w:rPr>
        <w:t xml:space="preserve">PBAC noted that the </w:t>
      </w:r>
      <w:r w:rsidR="00617238" w:rsidRPr="72707756">
        <w:rPr>
          <w:rFonts w:asciiTheme="minorHAnsi" w:hAnsiTheme="minorHAnsi"/>
          <w:snapToGrid w:val="0"/>
          <w:lang w:val="en-GB"/>
        </w:rPr>
        <w:t xml:space="preserve">economic </w:t>
      </w:r>
      <w:r w:rsidRPr="72707756">
        <w:rPr>
          <w:rFonts w:asciiTheme="minorHAnsi" w:hAnsiTheme="minorHAnsi"/>
          <w:snapToGrid w:val="0"/>
          <w:lang w:val="en-GB"/>
        </w:rPr>
        <w:t>model</w:t>
      </w:r>
      <w:r w:rsidR="002A1CEA">
        <w:rPr>
          <w:rFonts w:asciiTheme="minorHAnsi" w:hAnsiTheme="minorHAnsi"/>
          <w:snapToGrid w:val="0"/>
          <w:lang w:val="en-GB"/>
        </w:rPr>
        <w:t xml:space="preserve">, </w:t>
      </w:r>
      <w:r w:rsidR="006E3544">
        <w:rPr>
          <w:rFonts w:asciiTheme="minorHAnsi" w:hAnsiTheme="minorHAnsi"/>
          <w:snapToGrid w:val="0"/>
          <w:lang w:val="en-GB"/>
        </w:rPr>
        <w:t>al</w:t>
      </w:r>
      <w:r w:rsidR="002A1CEA">
        <w:rPr>
          <w:rFonts w:asciiTheme="minorHAnsi" w:hAnsiTheme="minorHAnsi"/>
          <w:snapToGrid w:val="0"/>
          <w:lang w:val="en-GB"/>
        </w:rPr>
        <w:t xml:space="preserve">though </w:t>
      </w:r>
      <w:r w:rsidR="00C23EBF">
        <w:rPr>
          <w:rFonts w:asciiTheme="minorHAnsi" w:hAnsiTheme="minorHAnsi"/>
          <w:snapToGrid w:val="0"/>
          <w:lang w:val="en-GB"/>
        </w:rPr>
        <w:t xml:space="preserve">structurally sound, included </w:t>
      </w:r>
      <w:proofErr w:type="gramStart"/>
      <w:r w:rsidR="00440FA9">
        <w:rPr>
          <w:rFonts w:asciiTheme="minorHAnsi" w:hAnsiTheme="minorHAnsi"/>
          <w:snapToGrid w:val="0"/>
          <w:lang w:val="en-GB"/>
        </w:rPr>
        <w:t>a number of</w:t>
      </w:r>
      <w:proofErr w:type="gramEnd"/>
      <w:r w:rsidR="003C1933">
        <w:rPr>
          <w:rFonts w:asciiTheme="minorHAnsi" w:hAnsiTheme="minorHAnsi"/>
          <w:snapToGrid w:val="0"/>
          <w:lang w:val="en-GB"/>
        </w:rPr>
        <w:t xml:space="preserve"> </w:t>
      </w:r>
      <w:r w:rsidR="00942CD8">
        <w:rPr>
          <w:rFonts w:asciiTheme="minorHAnsi" w:hAnsiTheme="minorHAnsi"/>
          <w:snapToGrid w:val="0"/>
          <w:lang w:val="en-GB"/>
        </w:rPr>
        <w:t>optimistic assumptions, including</w:t>
      </w:r>
      <w:r w:rsidR="000741F2">
        <w:rPr>
          <w:rFonts w:asciiTheme="minorHAnsi" w:hAnsiTheme="minorHAnsi"/>
          <w:snapToGrid w:val="0"/>
          <w:lang w:val="en-GB"/>
        </w:rPr>
        <w:t>:</w:t>
      </w:r>
    </w:p>
    <w:p w14:paraId="4CB0B6DD" w14:textId="38653034" w:rsidR="00DE1378" w:rsidRDefault="009710E5" w:rsidP="00DD6269">
      <w:pPr>
        <w:widowControl w:val="0"/>
        <w:numPr>
          <w:ilvl w:val="1"/>
          <w:numId w:val="44"/>
        </w:numPr>
        <w:spacing w:after="120"/>
        <w:ind w:left="1077" w:hanging="357"/>
        <w:rPr>
          <w:rFonts w:asciiTheme="minorHAnsi" w:hAnsiTheme="minorHAnsi"/>
          <w:snapToGrid w:val="0"/>
          <w:lang w:val="en-GB"/>
        </w:rPr>
      </w:pPr>
      <w:r>
        <w:rPr>
          <w:rFonts w:asciiTheme="minorHAnsi" w:hAnsiTheme="minorHAnsi"/>
          <w:snapToGrid w:val="0"/>
          <w:lang w:val="en-GB"/>
        </w:rPr>
        <w:t>a 7.5</w:t>
      </w:r>
      <w:r w:rsidR="006E3544">
        <w:rPr>
          <w:rFonts w:asciiTheme="minorHAnsi" w:hAnsiTheme="minorHAnsi"/>
          <w:snapToGrid w:val="0"/>
          <w:lang w:val="en-GB"/>
        </w:rPr>
        <w:t>-</w:t>
      </w:r>
      <w:r>
        <w:rPr>
          <w:rFonts w:asciiTheme="minorHAnsi" w:hAnsiTheme="minorHAnsi"/>
          <w:snapToGrid w:val="0"/>
          <w:lang w:val="en-GB"/>
        </w:rPr>
        <w:t>year time horizon</w:t>
      </w:r>
      <w:r w:rsidR="00F068F3">
        <w:rPr>
          <w:rFonts w:asciiTheme="minorHAnsi" w:hAnsiTheme="minorHAnsi"/>
          <w:snapToGrid w:val="0"/>
          <w:lang w:val="en-GB"/>
        </w:rPr>
        <w:t xml:space="preserve">. The PBAC </w:t>
      </w:r>
      <w:r w:rsidR="00E5697C">
        <w:rPr>
          <w:rFonts w:asciiTheme="minorHAnsi" w:hAnsiTheme="minorHAnsi"/>
          <w:snapToGrid w:val="0"/>
          <w:lang w:val="en-GB"/>
        </w:rPr>
        <w:t>recalled that it had</w:t>
      </w:r>
      <w:r w:rsidR="00F068F3">
        <w:rPr>
          <w:rFonts w:asciiTheme="minorHAnsi" w:hAnsiTheme="minorHAnsi"/>
          <w:snapToGrid w:val="0"/>
          <w:lang w:val="en-GB"/>
        </w:rPr>
        <w:t xml:space="preserve"> previously accepted a </w:t>
      </w:r>
      <w:proofErr w:type="gramStart"/>
      <w:r w:rsidR="00F068F3">
        <w:rPr>
          <w:rFonts w:asciiTheme="minorHAnsi" w:hAnsiTheme="minorHAnsi"/>
          <w:snapToGrid w:val="0"/>
          <w:lang w:val="en-GB"/>
        </w:rPr>
        <w:t>5</w:t>
      </w:r>
      <w:r w:rsidR="007356B3">
        <w:rPr>
          <w:rFonts w:asciiTheme="minorHAnsi" w:hAnsiTheme="minorHAnsi"/>
          <w:snapToGrid w:val="0"/>
          <w:lang w:val="en-GB"/>
        </w:rPr>
        <w:t> </w:t>
      </w:r>
      <w:r w:rsidR="00F068F3">
        <w:rPr>
          <w:rFonts w:asciiTheme="minorHAnsi" w:hAnsiTheme="minorHAnsi"/>
          <w:snapToGrid w:val="0"/>
          <w:lang w:val="en-GB"/>
        </w:rPr>
        <w:t>year</w:t>
      </w:r>
      <w:proofErr w:type="gramEnd"/>
      <w:r w:rsidR="007356B3">
        <w:rPr>
          <w:rFonts w:asciiTheme="minorHAnsi" w:hAnsiTheme="minorHAnsi"/>
          <w:snapToGrid w:val="0"/>
          <w:lang w:val="en-GB"/>
        </w:rPr>
        <w:t> </w:t>
      </w:r>
      <w:r w:rsidR="00F068F3">
        <w:rPr>
          <w:rFonts w:asciiTheme="minorHAnsi" w:hAnsiTheme="minorHAnsi"/>
          <w:snapToGrid w:val="0"/>
          <w:lang w:val="en-GB"/>
        </w:rPr>
        <w:t xml:space="preserve">time horizon for </w:t>
      </w:r>
      <w:r w:rsidR="00D6283F">
        <w:rPr>
          <w:rFonts w:asciiTheme="minorHAnsi" w:hAnsiTheme="minorHAnsi"/>
          <w:snapToGrid w:val="0"/>
          <w:lang w:val="en-GB"/>
        </w:rPr>
        <w:t>atezolizumab</w:t>
      </w:r>
      <w:r w:rsidR="00E5697C">
        <w:rPr>
          <w:rFonts w:asciiTheme="minorHAnsi" w:hAnsiTheme="minorHAnsi"/>
          <w:snapToGrid w:val="0"/>
          <w:lang w:val="en-GB"/>
        </w:rPr>
        <w:t xml:space="preserve"> (paragraph 7.12, atezolizumab PSD, July 2019 PBAC meeting).</w:t>
      </w:r>
      <w:r w:rsidR="00D6283F">
        <w:rPr>
          <w:rFonts w:asciiTheme="minorHAnsi" w:hAnsiTheme="minorHAnsi"/>
          <w:snapToGrid w:val="0"/>
          <w:lang w:val="en-GB"/>
        </w:rPr>
        <w:t xml:space="preserve"> The PBAC noted that the </w:t>
      </w:r>
      <w:r w:rsidR="00DE1378">
        <w:rPr>
          <w:rFonts w:asciiTheme="minorHAnsi" w:hAnsiTheme="minorHAnsi"/>
          <w:snapToGrid w:val="0"/>
          <w:lang w:val="en-GB"/>
        </w:rPr>
        <w:t xml:space="preserve">pre-PBAC response included a </w:t>
      </w:r>
      <w:proofErr w:type="gramStart"/>
      <w:r w:rsidR="00DE1378">
        <w:rPr>
          <w:rFonts w:asciiTheme="minorHAnsi" w:hAnsiTheme="minorHAnsi"/>
          <w:snapToGrid w:val="0"/>
          <w:lang w:val="en-GB"/>
        </w:rPr>
        <w:t>5</w:t>
      </w:r>
      <w:r w:rsidR="007356B3">
        <w:rPr>
          <w:rFonts w:asciiTheme="minorHAnsi" w:hAnsiTheme="minorHAnsi"/>
          <w:snapToGrid w:val="0"/>
          <w:lang w:val="en-GB"/>
        </w:rPr>
        <w:t> </w:t>
      </w:r>
      <w:r w:rsidR="00DE1378">
        <w:rPr>
          <w:rFonts w:asciiTheme="minorHAnsi" w:hAnsiTheme="minorHAnsi"/>
          <w:snapToGrid w:val="0"/>
          <w:lang w:val="en-GB"/>
        </w:rPr>
        <w:t>year</w:t>
      </w:r>
      <w:proofErr w:type="gramEnd"/>
      <w:r w:rsidR="007356B3">
        <w:rPr>
          <w:rFonts w:asciiTheme="minorHAnsi" w:hAnsiTheme="minorHAnsi"/>
          <w:snapToGrid w:val="0"/>
          <w:lang w:val="en-GB"/>
        </w:rPr>
        <w:t> </w:t>
      </w:r>
      <w:r w:rsidR="00DE1378">
        <w:rPr>
          <w:rFonts w:asciiTheme="minorHAnsi" w:hAnsiTheme="minorHAnsi"/>
          <w:snapToGrid w:val="0"/>
          <w:lang w:val="en-GB"/>
        </w:rPr>
        <w:t xml:space="preserve">time </w:t>
      </w:r>
      <w:proofErr w:type="gramStart"/>
      <w:r w:rsidR="00DE1378">
        <w:rPr>
          <w:rFonts w:asciiTheme="minorHAnsi" w:hAnsiTheme="minorHAnsi"/>
          <w:snapToGrid w:val="0"/>
          <w:lang w:val="en-GB"/>
        </w:rPr>
        <w:t>horizon;</w:t>
      </w:r>
      <w:proofErr w:type="gramEnd"/>
    </w:p>
    <w:p w14:paraId="66B7FA7B" w14:textId="3F134BF4" w:rsidR="00794936" w:rsidRDefault="004A5885" w:rsidP="00DD6269">
      <w:pPr>
        <w:widowControl w:val="0"/>
        <w:numPr>
          <w:ilvl w:val="1"/>
          <w:numId w:val="44"/>
        </w:numPr>
        <w:spacing w:after="120"/>
        <w:ind w:left="1077" w:hanging="357"/>
        <w:rPr>
          <w:rFonts w:asciiTheme="minorHAnsi" w:hAnsiTheme="minorHAnsi"/>
          <w:snapToGrid w:val="0"/>
          <w:lang w:val="en-GB"/>
        </w:rPr>
      </w:pPr>
      <w:r>
        <w:rPr>
          <w:rFonts w:asciiTheme="minorHAnsi" w:hAnsiTheme="minorHAnsi"/>
          <w:snapToGrid w:val="0"/>
          <w:lang w:val="en-GB"/>
        </w:rPr>
        <w:t xml:space="preserve">the use of Kaplan Meier data </w:t>
      </w:r>
      <w:r w:rsidR="00F8120A">
        <w:rPr>
          <w:rFonts w:asciiTheme="minorHAnsi" w:hAnsiTheme="minorHAnsi"/>
          <w:snapToGrid w:val="0"/>
          <w:lang w:val="en-GB"/>
        </w:rPr>
        <w:t>directly up to 14.95 months (the median duration of follow up)</w:t>
      </w:r>
      <w:r w:rsidR="009201A3">
        <w:rPr>
          <w:rFonts w:asciiTheme="minorHAnsi" w:hAnsiTheme="minorHAnsi"/>
          <w:snapToGrid w:val="0"/>
          <w:lang w:val="en-GB"/>
        </w:rPr>
        <w:t xml:space="preserve">. The PBAC noted that the model was sensitive to </w:t>
      </w:r>
      <w:r w:rsidR="00794936">
        <w:rPr>
          <w:rFonts w:asciiTheme="minorHAnsi" w:hAnsiTheme="minorHAnsi"/>
          <w:snapToGrid w:val="0"/>
          <w:lang w:val="en-GB"/>
        </w:rPr>
        <w:t>the point of extrapolation used;</w:t>
      </w:r>
      <w:r w:rsidR="00ED1D34">
        <w:rPr>
          <w:rFonts w:asciiTheme="minorHAnsi" w:hAnsiTheme="minorHAnsi"/>
          <w:snapToGrid w:val="0"/>
          <w:lang w:val="en-GB"/>
        </w:rPr>
        <w:t xml:space="preserve"> and</w:t>
      </w:r>
    </w:p>
    <w:p w14:paraId="647B9462" w14:textId="6CFD24C5" w:rsidR="007A3AF1" w:rsidRDefault="00AF3574" w:rsidP="00DD6269">
      <w:pPr>
        <w:widowControl w:val="0"/>
        <w:numPr>
          <w:ilvl w:val="1"/>
          <w:numId w:val="44"/>
        </w:numPr>
        <w:spacing w:after="120"/>
        <w:ind w:left="1077" w:hanging="357"/>
        <w:rPr>
          <w:rFonts w:asciiTheme="minorHAnsi" w:hAnsiTheme="minorHAnsi"/>
          <w:snapToGrid w:val="0"/>
          <w:lang w:val="en-GB"/>
        </w:rPr>
      </w:pPr>
      <w:r>
        <w:rPr>
          <w:rFonts w:asciiTheme="minorHAnsi" w:hAnsiTheme="minorHAnsi"/>
          <w:snapToGrid w:val="0"/>
          <w:lang w:val="en-GB"/>
        </w:rPr>
        <w:t xml:space="preserve">that </w:t>
      </w:r>
      <w:r w:rsidR="008B17F5">
        <w:rPr>
          <w:rFonts w:asciiTheme="minorHAnsi" w:hAnsiTheme="minorHAnsi"/>
          <w:snapToGrid w:val="0"/>
          <w:lang w:val="en-GB"/>
        </w:rPr>
        <w:t>there was</w:t>
      </w:r>
      <w:r w:rsidR="000741F2">
        <w:rPr>
          <w:rFonts w:asciiTheme="minorHAnsi" w:hAnsiTheme="minorHAnsi"/>
          <w:snapToGrid w:val="0"/>
          <w:lang w:val="en-GB"/>
        </w:rPr>
        <w:t xml:space="preserve"> no convergence</w:t>
      </w:r>
      <w:r w:rsidR="008B17F5">
        <w:rPr>
          <w:rFonts w:asciiTheme="minorHAnsi" w:hAnsiTheme="minorHAnsi"/>
          <w:snapToGrid w:val="0"/>
          <w:lang w:val="en-GB"/>
        </w:rPr>
        <w:t xml:space="preserve"> applied </w:t>
      </w:r>
      <w:r w:rsidR="00BF46AF">
        <w:rPr>
          <w:rFonts w:asciiTheme="minorHAnsi" w:hAnsiTheme="minorHAnsi"/>
          <w:snapToGrid w:val="0"/>
          <w:lang w:val="en-GB"/>
        </w:rPr>
        <w:t>to the overall survival curves. The PBAC recalled that when considering atezolizumab, it had recommended curve convergence (paragraph 7.12</w:t>
      </w:r>
      <w:r w:rsidR="00E5697C">
        <w:rPr>
          <w:rFonts w:asciiTheme="minorHAnsi" w:hAnsiTheme="minorHAnsi"/>
          <w:snapToGrid w:val="0"/>
          <w:lang w:val="en-GB"/>
        </w:rPr>
        <w:t>, atezolizumab PSD, July 2019 PBAC meeting)</w:t>
      </w:r>
      <w:r w:rsidR="000741F2">
        <w:rPr>
          <w:rFonts w:asciiTheme="minorHAnsi" w:hAnsiTheme="minorHAnsi"/>
          <w:snapToGrid w:val="0"/>
          <w:lang w:val="en-GB"/>
        </w:rPr>
        <w:t>.</w:t>
      </w:r>
    </w:p>
    <w:p w14:paraId="2890A716" w14:textId="1ADBEAE2" w:rsidR="00AA5FFC" w:rsidRDefault="004A3B54" w:rsidP="72707756">
      <w:pPr>
        <w:widowControl w:val="0"/>
        <w:numPr>
          <w:ilvl w:val="1"/>
          <w:numId w:val="6"/>
        </w:numPr>
        <w:spacing w:after="120"/>
        <w:rPr>
          <w:rFonts w:asciiTheme="minorHAnsi" w:hAnsiTheme="minorHAnsi"/>
          <w:snapToGrid w:val="0"/>
          <w:lang w:val="en-GB"/>
        </w:rPr>
      </w:pPr>
      <w:r>
        <w:rPr>
          <w:rFonts w:asciiTheme="minorHAnsi" w:hAnsiTheme="minorHAnsi"/>
          <w:snapToGrid w:val="0"/>
          <w:lang w:val="en-GB"/>
        </w:rPr>
        <w:t>The PBAC noted that the revised base case presented in the pre-PBAC response, which included a 5</w:t>
      </w:r>
      <w:r w:rsidR="0002500A">
        <w:rPr>
          <w:rFonts w:asciiTheme="minorHAnsi" w:hAnsiTheme="minorHAnsi"/>
          <w:snapToGrid w:val="0"/>
          <w:lang w:val="en-GB"/>
        </w:rPr>
        <w:t>-</w:t>
      </w:r>
      <w:r>
        <w:rPr>
          <w:rFonts w:asciiTheme="minorHAnsi" w:hAnsiTheme="minorHAnsi"/>
          <w:snapToGrid w:val="0"/>
          <w:lang w:val="en-GB"/>
        </w:rPr>
        <w:t xml:space="preserve">year time horizon and a reduced price of lurbinectedin, resulted in an ICER of </w:t>
      </w:r>
      <w:r w:rsidR="00B654A5" w:rsidRPr="00B654A5">
        <w:rPr>
          <w:rFonts w:asciiTheme="minorHAnsi" w:hAnsiTheme="minorHAnsi"/>
          <w:snapToGrid w:val="0"/>
          <w:lang w:val="en-GB"/>
        </w:rPr>
        <w:t>$75,000 to &lt; $95,000</w:t>
      </w:r>
      <w:r w:rsidR="004B6FA6">
        <w:rPr>
          <w:rFonts w:asciiTheme="minorHAnsi" w:hAnsiTheme="minorHAnsi"/>
          <w:snapToGrid w:val="0"/>
          <w:lang w:val="en-GB"/>
        </w:rPr>
        <w:t xml:space="preserve"> per QALY</w:t>
      </w:r>
      <w:r w:rsidR="00BD3287">
        <w:rPr>
          <w:rFonts w:asciiTheme="minorHAnsi" w:hAnsiTheme="minorHAnsi"/>
          <w:snapToGrid w:val="0"/>
          <w:lang w:val="en-GB"/>
        </w:rPr>
        <w:t>.</w:t>
      </w:r>
      <w:r w:rsidR="004B6FA6">
        <w:rPr>
          <w:rFonts w:asciiTheme="minorHAnsi" w:hAnsiTheme="minorHAnsi"/>
          <w:snapToGrid w:val="0"/>
          <w:lang w:val="en-GB"/>
        </w:rPr>
        <w:t xml:space="preserve"> The PBAC considered that </w:t>
      </w:r>
      <w:r w:rsidR="008F4371">
        <w:rPr>
          <w:rFonts w:asciiTheme="minorHAnsi" w:hAnsiTheme="minorHAnsi"/>
          <w:snapToGrid w:val="0"/>
          <w:lang w:val="en-GB"/>
        </w:rPr>
        <w:t>the ICER</w:t>
      </w:r>
      <w:r w:rsidR="004B6FA6">
        <w:rPr>
          <w:rFonts w:asciiTheme="minorHAnsi" w:hAnsiTheme="minorHAnsi"/>
          <w:snapToGrid w:val="0"/>
          <w:lang w:val="en-GB"/>
        </w:rPr>
        <w:t xml:space="preserve"> remained high</w:t>
      </w:r>
      <w:r w:rsidR="00CF443C">
        <w:rPr>
          <w:rFonts w:asciiTheme="minorHAnsi" w:hAnsiTheme="minorHAnsi"/>
          <w:snapToGrid w:val="0"/>
          <w:lang w:val="en-GB"/>
        </w:rPr>
        <w:t xml:space="preserve"> and </w:t>
      </w:r>
      <w:r w:rsidR="00596EEA">
        <w:rPr>
          <w:rFonts w:asciiTheme="minorHAnsi" w:hAnsiTheme="minorHAnsi"/>
          <w:snapToGrid w:val="0"/>
          <w:lang w:val="en-GB"/>
        </w:rPr>
        <w:t xml:space="preserve">that </w:t>
      </w:r>
      <w:r w:rsidR="008F4371">
        <w:rPr>
          <w:rFonts w:asciiTheme="minorHAnsi" w:hAnsiTheme="minorHAnsi"/>
          <w:snapToGrid w:val="0"/>
          <w:lang w:val="en-GB"/>
        </w:rPr>
        <w:t xml:space="preserve">lurbinectedin was not cost effective at the price proposed in the pre-PBAC response. The PBAC further </w:t>
      </w:r>
      <w:r w:rsidR="00CF443C">
        <w:rPr>
          <w:rFonts w:asciiTheme="minorHAnsi" w:hAnsiTheme="minorHAnsi"/>
          <w:snapToGrid w:val="0"/>
          <w:lang w:val="en-GB"/>
        </w:rPr>
        <w:t xml:space="preserve">noted that </w:t>
      </w:r>
      <w:r w:rsidR="008F4371">
        <w:rPr>
          <w:rFonts w:asciiTheme="minorHAnsi" w:hAnsiTheme="minorHAnsi"/>
          <w:snapToGrid w:val="0"/>
          <w:lang w:val="en-GB"/>
        </w:rPr>
        <w:t>the ICER</w:t>
      </w:r>
      <w:r w:rsidR="00CF443C">
        <w:rPr>
          <w:rFonts w:asciiTheme="minorHAnsi" w:hAnsiTheme="minorHAnsi"/>
          <w:snapToGrid w:val="0"/>
          <w:lang w:val="en-GB"/>
        </w:rPr>
        <w:t xml:space="preserve"> </w:t>
      </w:r>
      <w:r w:rsidR="00F54708">
        <w:rPr>
          <w:rFonts w:asciiTheme="minorHAnsi" w:hAnsiTheme="minorHAnsi"/>
          <w:snapToGrid w:val="0"/>
          <w:lang w:val="en-GB"/>
        </w:rPr>
        <w:t xml:space="preserve">would increase when additional changes, such as </w:t>
      </w:r>
      <w:r w:rsidR="000A1D96">
        <w:rPr>
          <w:rFonts w:asciiTheme="minorHAnsi" w:hAnsiTheme="minorHAnsi"/>
          <w:snapToGrid w:val="0"/>
          <w:lang w:val="en-GB"/>
        </w:rPr>
        <w:t>amending the point of extrapolation and including curve convergence</w:t>
      </w:r>
      <w:r w:rsidR="00CF443C">
        <w:rPr>
          <w:rFonts w:asciiTheme="minorHAnsi" w:hAnsiTheme="minorHAnsi"/>
          <w:snapToGrid w:val="0"/>
          <w:lang w:val="en-GB"/>
        </w:rPr>
        <w:t>,</w:t>
      </w:r>
      <w:r w:rsidR="000A1D96">
        <w:rPr>
          <w:rFonts w:asciiTheme="minorHAnsi" w:hAnsiTheme="minorHAnsi"/>
          <w:snapToGrid w:val="0"/>
          <w:lang w:val="en-GB"/>
        </w:rPr>
        <w:t xml:space="preserve"> were </w:t>
      </w:r>
      <w:r w:rsidR="0002500A">
        <w:rPr>
          <w:rFonts w:asciiTheme="minorHAnsi" w:hAnsiTheme="minorHAnsi"/>
          <w:snapToGrid w:val="0"/>
          <w:lang w:val="en-GB"/>
        </w:rPr>
        <w:t>incorporated into the model.</w:t>
      </w:r>
      <w:r w:rsidR="004B6FA6">
        <w:rPr>
          <w:rFonts w:asciiTheme="minorHAnsi" w:hAnsiTheme="minorHAnsi"/>
          <w:snapToGrid w:val="0"/>
          <w:lang w:val="en-GB"/>
        </w:rPr>
        <w:t xml:space="preserve"> </w:t>
      </w:r>
      <w:r w:rsidR="00BD3287">
        <w:rPr>
          <w:rFonts w:asciiTheme="minorHAnsi" w:hAnsiTheme="minorHAnsi"/>
          <w:snapToGrid w:val="0"/>
          <w:lang w:val="en-GB"/>
        </w:rPr>
        <w:t xml:space="preserve"> </w:t>
      </w:r>
    </w:p>
    <w:p w14:paraId="478D73C3" w14:textId="1B22DEFB" w:rsidR="006661E7" w:rsidRDefault="00D70269" w:rsidP="72707756">
      <w:pPr>
        <w:widowControl w:val="0"/>
        <w:numPr>
          <w:ilvl w:val="1"/>
          <w:numId w:val="6"/>
        </w:numPr>
        <w:spacing w:after="120"/>
        <w:rPr>
          <w:rFonts w:asciiTheme="minorHAnsi" w:hAnsiTheme="minorHAnsi"/>
          <w:snapToGrid w:val="0"/>
          <w:lang w:val="en-GB"/>
        </w:rPr>
      </w:pPr>
      <w:r>
        <w:rPr>
          <w:rFonts w:asciiTheme="minorHAnsi" w:hAnsiTheme="minorHAnsi"/>
          <w:snapToGrid w:val="0"/>
          <w:lang w:val="en-GB"/>
        </w:rPr>
        <w:t>T</w:t>
      </w:r>
      <w:r w:rsidR="006661E7">
        <w:rPr>
          <w:rFonts w:asciiTheme="minorHAnsi" w:hAnsiTheme="minorHAnsi"/>
          <w:snapToGrid w:val="0"/>
          <w:lang w:val="en-GB"/>
        </w:rPr>
        <w:t xml:space="preserve">he PBAC considered that the </w:t>
      </w:r>
      <w:r w:rsidR="008607F0">
        <w:rPr>
          <w:rFonts w:asciiTheme="minorHAnsi" w:hAnsiTheme="minorHAnsi"/>
          <w:snapToGrid w:val="0"/>
          <w:lang w:val="en-GB"/>
        </w:rPr>
        <w:t>utilisation estimates for the use of lurbinectedin plus atezolizumab as first-line maintenance therapy were reasonable.</w:t>
      </w:r>
      <w:r w:rsidR="00AB7225">
        <w:rPr>
          <w:rFonts w:asciiTheme="minorHAnsi" w:hAnsiTheme="minorHAnsi"/>
          <w:snapToGrid w:val="0"/>
          <w:lang w:val="en-GB"/>
        </w:rPr>
        <w:t xml:space="preserve"> </w:t>
      </w:r>
      <w:r w:rsidR="00FC582C">
        <w:rPr>
          <w:rFonts w:asciiTheme="minorHAnsi" w:hAnsiTheme="minorHAnsi"/>
          <w:snapToGrid w:val="0"/>
          <w:lang w:val="en-GB"/>
        </w:rPr>
        <w:t xml:space="preserve"> </w:t>
      </w:r>
    </w:p>
    <w:p w14:paraId="508F5DF6" w14:textId="24B56402" w:rsidR="002529FB" w:rsidRDefault="00103684" w:rsidP="002529FB">
      <w:pPr>
        <w:widowControl w:val="0"/>
        <w:numPr>
          <w:ilvl w:val="1"/>
          <w:numId w:val="6"/>
        </w:numPr>
        <w:spacing w:after="120"/>
        <w:rPr>
          <w:rFonts w:asciiTheme="minorHAnsi" w:hAnsiTheme="minorHAnsi"/>
          <w:snapToGrid w:val="0"/>
          <w:lang w:val="en-GB"/>
        </w:rPr>
      </w:pPr>
      <w:r>
        <w:rPr>
          <w:rFonts w:asciiTheme="minorHAnsi" w:hAnsiTheme="minorHAnsi"/>
          <w:snapToGrid w:val="0"/>
          <w:lang w:val="en-GB"/>
        </w:rPr>
        <w:t>T</w:t>
      </w:r>
      <w:r w:rsidR="002529FB" w:rsidRPr="00522516">
        <w:rPr>
          <w:rFonts w:asciiTheme="minorHAnsi" w:hAnsiTheme="minorHAnsi"/>
          <w:snapToGrid w:val="0"/>
          <w:lang w:val="en-GB"/>
        </w:rPr>
        <w:t>he PBAC noted that the clinical landscape of ES-SCLC was changing and considered lurbinectedin, as monotherapy, may be better placed as a later line therapy</w:t>
      </w:r>
      <w:r w:rsidR="002529FB">
        <w:rPr>
          <w:rFonts w:asciiTheme="minorHAnsi" w:hAnsiTheme="minorHAnsi"/>
          <w:snapToGrid w:val="0"/>
          <w:lang w:val="en-GB"/>
        </w:rPr>
        <w:t xml:space="preserve"> after progression on </w:t>
      </w:r>
      <w:r w:rsidR="002529FB" w:rsidRPr="007815C7">
        <w:rPr>
          <w:rFonts w:asciiTheme="minorHAnsi" w:hAnsiTheme="minorHAnsi"/>
          <w:snapToGrid w:val="0"/>
          <w:lang w:val="en-GB"/>
        </w:rPr>
        <w:t xml:space="preserve">or after prior platinum-containing therapy (as per </w:t>
      </w:r>
      <w:r w:rsidR="002529FB">
        <w:rPr>
          <w:rFonts w:asciiTheme="minorHAnsi" w:hAnsiTheme="minorHAnsi"/>
          <w:snapToGrid w:val="0"/>
          <w:lang w:val="en-GB"/>
        </w:rPr>
        <w:t xml:space="preserve">current approved </w:t>
      </w:r>
      <w:r w:rsidR="002529FB" w:rsidRPr="007815C7">
        <w:rPr>
          <w:rFonts w:asciiTheme="minorHAnsi" w:hAnsiTheme="minorHAnsi"/>
          <w:snapToGrid w:val="0"/>
          <w:lang w:val="en-GB"/>
        </w:rPr>
        <w:t>TGA indication).</w:t>
      </w:r>
    </w:p>
    <w:p w14:paraId="1816D162" w14:textId="7B5A4FEE" w:rsidR="0083285A" w:rsidRPr="0052609C" w:rsidRDefault="0083285A" w:rsidP="0083285A">
      <w:pPr>
        <w:widowControl w:val="0"/>
        <w:numPr>
          <w:ilvl w:val="1"/>
          <w:numId w:val="6"/>
        </w:numPr>
        <w:spacing w:after="120"/>
        <w:rPr>
          <w:rFonts w:asciiTheme="minorHAnsi" w:hAnsiTheme="minorHAnsi"/>
          <w:bCs/>
          <w:i/>
          <w:snapToGrid w:val="0"/>
          <w:lang w:val="en-GB"/>
        </w:rPr>
      </w:pPr>
      <w:r w:rsidRPr="00525B39">
        <w:rPr>
          <w:rFonts w:asciiTheme="minorHAnsi" w:hAnsiTheme="minorHAnsi"/>
          <w:bCs/>
          <w:snapToGrid w:val="0"/>
          <w:lang w:val="en-GB"/>
        </w:rPr>
        <w:t>The PBAC noted that this submission is eligible for an Independent Review.</w:t>
      </w:r>
    </w:p>
    <w:p w14:paraId="3E6B4A15" w14:textId="77777777" w:rsidR="0083285A" w:rsidRPr="00525B39" w:rsidRDefault="0083285A" w:rsidP="00713AA5">
      <w:pPr>
        <w:keepNext/>
        <w:keepLines/>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505EB49" w14:textId="1D605A60" w:rsidR="0083285A" w:rsidRDefault="0083285A" w:rsidP="00713AA5">
      <w:pPr>
        <w:keepNext/>
        <w:keepLines/>
        <w:rPr>
          <w:rFonts w:asciiTheme="minorHAnsi" w:hAnsiTheme="minorHAnsi"/>
          <w:bCs/>
          <w:snapToGrid w:val="0"/>
          <w:lang w:val="en-GB"/>
        </w:rPr>
      </w:pPr>
      <w:r>
        <w:rPr>
          <w:rFonts w:asciiTheme="minorHAnsi" w:hAnsiTheme="minorHAnsi"/>
          <w:bCs/>
          <w:snapToGrid w:val="0"/>
          <w:lang w:val="en-GB"/>
        </w:rPr>
        <w:t>Not recommended</w:t>
      </w:r>
    </w:p>
    <w:p w14:paraId="4CDB1FFD" w14:textId="77777777" w:rsidR="005713B1" w:rsidRPr="005713B1" w:rsidRDefault="005713B1" w:rsidP="005713B1">
      <w:pPr>
        <w:keepNext/>
        <w:spacing w:before="240" w:after="120"/>
        <w:ind w:left="720" w:hanging="720"/>
        <w:jc w:val="left"/>
        <w:outlineLvl w:val="0"/>
        <w:rPr>
          <w:rFonts w:asciiTheme="minorHAnsi" w:hAnsiTheme="minorHAnsi"/>
          <w:b/>
          <w:bCs/>
          <w:snapToGrid w:val="0"/>
          <w:sz w:val="32"/>
          <w:szCs w:val="32"/>
          <w:lang w:val="en-GB"/>
        </w:rPr>
      </w:pPr>
      <w:r w:rsidRPr="005713B1">
        <w:rPr>
          <w:rFonts w:asciiTheme="minorHAnsi" w:hAnsiTheme="minorHAnsi"/>
          <w:b/>
          <w:snapToGrid w:val="0"/>
          <w:sz w:val="32"/>
          <w:szCs w:val="32"/>
        </w:rPr>
        <w:t>9</w:t>
      </w:r>
      <w:r w:rsidRPr="005713B1">
        <w:rPr>
          <w:rFonts w:asciiTheme="minorHAnsi" w:hAnsiTheme="minorHAnsi"/>
          <w:b/>
          <w:snapToGrid w:val="0"/>
          <w:sz w:val="32"/>
          <w:szCs w:val="32"/>
        </w:rPr>
        <w:tab/>
        <w:t>Context for Decision</w:t>
      </w:r>
    </w:p>
    <w:p w14:paraId="0D671810" w14:textId="77777777" w:rsidR="005713B1" w:rsidRDefault="005713B1" w:rsidP="005713B1">
      <w:pPr>
        <w:spacing w:after="120"/>
        <w:ind w:left="720"/>
        <w:rPr>
          <w:rFonts w:asciiTheme="minorHAnsi" w:hAnsiTheme="minorHAnsi"/>
          <w:bCs/>
          <w:lang w:val="en-GB"/>
        </w:rPr>
      </w:pPr>
      <w:r w:rsidRPr="005713B1">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4D07FF8" w14:textId="77777777" w:rsidR="00AC1A64" w:rsidRPr="00AC1A64" w:rsidRDefault="00AC1A64" w:rsidP="00AC1A64">
      <w:pPr>
        <w:keepNext/>
        <w:spacing w:before="240" w:after="120"/>
        <w:ind w:left="720" w:hanging="720"/>
        <w:jc w:val="left"/>
        <w:outlineLvl w:val="0"/>
        <w:rPr>
          <w:rFonts w:asciiTheme="minorHAnsi" w:hAnsiTheme="minorHAnsi"/>
          <w:b/>
          <w:snapToGrid w:val="0"/>
          <w:sz w:val="32"/>
          <w:szCs w:val="32"/>
        </w:rPr>
      </w:pPr>
      <w:r w:rsidRPr="00AC1A64">
        <w:rPr>
          <w:rFonts w:asciiTheme="minorHAnsi" w:hAnsiTheme="minorHAnsi"/>
          <w:b/>
          <w:snapToGrid w:val="0"/>
          <w:sz w:val="32"/>
          <w:szCs w:val="32"/>
        </w:rPr>
        <w:t>10</w:t>
      </w:r>
      <w:r w:rsidRPr="00AC1A64">
        <w:rPr>
          <w:rFonts w:asciiTheme="minorHAnsi" w:hAnsiTheme="minorHAnsi"/>
          <w:b/>
          <w:snapToGrid w:val="0"/>
          <w:sz w:val="32"/>
          <w:szCs w:val="32"/>
        </w:rPr>
        <w:tab/>
        <w:t>Sponsor’s Comment</w:t>
      </w:r>
    </w:p>
    <w:p w14:paraId="1B29D7FE" w14:textId="77777777" w:rsidR="00AB474E" w:rsidRPr="001A1F7A" w:rsidRDefault="00AB474E" w:rsidP="00AB474E">
      <w:pPr>
        <w:spacing w:after="120"/>
        <w:ind w:left="720"/>
        <w:rPr>
          <w:rFonts w:asciiTheme="minorHAnsi" w:eastAsiaTheme="minorHAnsi" w:hAnsiTheme="minorHAnsi"/>
          <w:bCs/>
          <w:lang w:eastAsia="en-US"/>
        </w:rPr>
      </w:pPr>
      <w:r w:rsidRPr="001A1F7A">
        <w:rPr>
          <w:rFonts w:asciiTheme="minorHAnsi" w:eastAsiaTheme="minorHAnsi" w:hAnsiTheme="minorHAnsi"/>
          <w:bCs/>
          <w:lang w:eastAsia="en-US"/>
        </w:rPr>
        <w:t>The sponsor had no comment.</w:t>
      </w:r>
    </w:p>
    <w:p w14:paraId="44F1AAA4" w14:textId="77777777" w:rsidR="00AB474E" w:rsidRPr="005713B1" w:rsidRDefault="00AB474E" w:rsidP="00AC1A64">
      <w:pPr>
        <w:spacing w:after="120"/>
        <w:ind w:left="720"/>
        <w:rPr>
          <w:rFonts w:asciiTheme="minorHAnsi" w:hAnsiTheme="minorHAnsi"/>
          <w:bCs/>
          <w:lang w:val="en-GB"/>
        </w:rPr>
      </w:pPr>
    </w:p>
    <w:p w14:paraId="3BEA630D" w14:textId="77777777" w:rsidR="005713B1" w:rsidRPr="00525B39" w:rsidRDefault="005713B1" w:rsidP="00713AA5">
      <w:pPr>
        <w:keepNext/>
        <w:keepLines/>
        <w:rPr>
          <w:rFonts w:asciiTheme="minorHAnsi" w:hAnsiTheme="minorHAnsi"/>
          <w:bCs/>
          <w:snapToGrid w:val="0"/>
          <w:lang w:val="en-GB"/>
        </w:rPr>
      </w:pPr>
    </w:p>
    <w:bookmarkEnd w:id="57"/>
    <w:bookmarkEnd w:id="58"/>
    <w:p w14:paraId="3F201953" w14:textId="77777777" w:rsidR="0083285A" w:rsidRPr="00525B39" w:rsidRDefault="0083285A" w:rsidP="00713AA5">
      <w:pPr>
        <w:keepNext/>
        <w:keepLines/>
        <w:widowControl w:val="0"/>
        <w:rPr>
          <w:rFonts w:asciiTheme="minorHAnsi" w:hAnsiTheme="minorHAnsi"/>
          <w:b/>
          <w:bCs/>
          <w:snapToGrid w:val="0"/>
        </w:rPr>
      </w:pPr>
    </w:p>
    <w:sectPr w:rsidR="0083285A" w:rsidRPr="00525B39" w:rsidSect="001B7218">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EBCC" w14:textId="77777777" w:rsidR="00F51387" w:rsidRDefault="00F51387" w:rsidP="00124A51">
      <w:r>
        <w:separator/>
      </w:r>
    </w:p>
    <w:p w14:paraId="6DC9CB3F" w14:textId="77777777" w:rsidR="00F51387" w:rsidRDefault="00F51387"/>
    <w:p w14:paraId="71871D6E" w14:textId="77777777" w:rsidR="00F51387" w:rsidRDefault="00F51387"/>
    <w:p w14:paraId="6780F461" w14:textId="77777777" w:rsidR="00F51387" w:rsidRDefault="00F51387"/>
    <w:p w14:paraId="592C0AF9" w14:textId="77777777" w:rsidR="00F51387" w:rsidRDefault="00F51387"/>
  </w:endnote>
  <w:endnote w:type="continuationSeparator" w:id="0">
    <w:p w14:paraId="6CD961E4" w14:textId="77777777" w:rsidR="00F51387" w:rsidRDefault="00F51387" w:rsidP="00124A51">
      <w:r>
        <w:continuationSeparator/>
      </w:r>
    </w:p>
    <w:p w14:paraId="6A8D4988" w14:textId="77777777" w:rsidR="00F51387" w:rsidRDefault="00F51387"/>
    <w:p w14:paraId="494AE137" w14:textId="77777777" w:rsidR="00F51387" w:rsidRDefault="00F51387"/>
    <w:p w14:paraId="58AEC9A7" w14:textId="77777777" w:rsidR="00F51387" w:rsidRDefault="00F51387"/>
    <w:p w14:paraId="447B013B" w14:textId="77777777" w:rsidR="00F51387" w:rsidRDefault="00F51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6203" w14:textId="739A4C31" w:rsidR="003A1B63" w:rsidRDefault="00022E92">
    <w:pPr>
      <w:pStyle w:val="Footer"/>
    </w:pPr>
    <w:r>
      <w:rPr>
        <w:noProof/>
      </w:rPr>
      <mc:AlternateContent>
        <mc:Choice Requires="wps">
          <w:drawing>
            <wp:anchor distT="0" distB="0" distL="0" distR="0" simplePos="0" relativeHeight="251658250" behindDoc="0" locked="0" layoutInCell="1" allowOverlap="1" wp14:anchorId="0169EED6" wp14:editId="13689797">
              <wp:simplePos x="635" y="635"/>
              <wp:positionH relativeFrom="page">
                <wp:align>center</wp:align>
              </wp:positionH>
              <wp:positionV relativeFrom="page">
                <wp:align>bottom</wp:align>
              </wp:positionV>
              <wp:extent cx="622300" cy="376555"/>
              <wp:effectExtent l="0" t="0" r="6350" b="0"/>
              <wp:wrapNone/>
              <wp:docPr id="5976187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5AAEE5" w14:textId="77777777" w:rsidR="00022E92" w:rsidRPr="00022E92" w:rsidRDefault="00022E92" w:rsidP="00022E92">
                          <w:pPr>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69EED6" id="_x0000_t202" coordsize="21600,21600" o:spt="202" path="m,l,21600r21600,l21600,xe">
              <v:stroke joinstyle="miter"/>
              <v:path gradientshapeok="t" o:connecttype="rect"/>
            </v:shapetype>
            <v:shape id="Text Box 11" o:spid="_x0000_s1030" type="#_x0000_t202" alt="OFFICIAL" style="position:absolute;left:0;text-align:left;margin-left:0;margin-top:0;width:49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725AAEE5" w14:textId="77777777" w:rsidR="00022E92" w:rsidRPr="00022E92" w:rsidRDefault="00022E92" w:rsidP="00022E92">
                    <w:pPr>
                      <w:rPr>
                        <w:rFonts w:ascii="Aptos" w:eastAsia="Aptos" w:hAnsi="Aptos" w:cs="Aptos"/>
                        <w:noProof/>
                        <w:color w:val="FF0000"/>
                      </w:rPr>
                    </w:pPr>
                  </w:p>
                </w:txbxContent>
              </v:textbox>
              <w10:wrap anchorx="page" anchory="page"/>
            </v:shape>
          </w:pict>
        </mc:Fallback>
      </mc:AlternateContent>
    </w:r>
    <w:r w:rsidR="0054375A">
      <w:rPr>
        <w:noProof/>
      </w:rPr>
      <mc:AlternateContent>
        <mc:Choice Requires="wps">
          <w:drawing>
            <wp:anchor distT="0" distB="0" distL="0" distR="0" simplePos="0" relativeHeight="251658244" behindDoc="0" locked="0" layoutInCell="1" allowOverlap="1" wp14:anchorId="6B3F4724" wp14:editId="365694AB">
              <wp:simplePos x="635" y="635"/>
              <wp:positionH relativeFrom="page">
                <wp:align>center</wp:align>
              </wp:positionH>
              <wp:positionV relativeFrom="page">
                <wp:align>bottom</wp:align>
              </wp:positionV>
              <wp:extent cx="609600" cy="381000"/>
              <wp:effectExtent l="0" t="0" r="0" b="0"/>
              <wp:wrapNone/>
              <wp:docPr id="16607064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D34F611" w14:textId="43D0A4FF" w:rsidR="0054375A" w:rsidRPr="0054375A" w:rsidRDefault="0054375A" w:rsidP="0054375A">
                          <w:pPr>
                            <w:rPr>
                              <w:rFonts w:ascii="Aptos" w:eastAsia="Aptos" w:hAnsi="Aptos" w:cs="Aptos"/>
                              <w:noProof/>
                              <w:color w:val="FF0000"/>
                            </w:rPr>
                          </w:pPr>
                          <w:r w:rsidRPr="0054375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B3F4724" id="Text Box 5" o:spid="_x0000_s1031" type="#_x0000_t202" alt="OFFICIAL" style="position:absolute;left:0;text-align:left;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0D34F611" w14:textId="43D0A4FF" w:rsidR="0054375A" w:rsidRPr="0054375A" w:rsidRDefault="0054375A" w:rsidP="0054375A">
                    <w:pPr>
                      <w:rPr>
                        <w:rFonts w:ascii="Aptos" w:eastAsia="Aptos" w:hAnsi="Aptos" w:cs="Aptos"/>
                        <w:noProof/>
                        <w:color w:val="FF0000"/>
                      </w:rPr>
                    </w:pPr>
                    <w:r w:rsidRPr="0054375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68CF8AF" w:rsidR="00D843F2" w:rsidRDefault="00022E92" w:rsidP="00753B29">
    <w:pPr>
      <w:jc w:val="center"/>
    </w:pPr>
    <w:r>
      <w:rPr>
        <w:noProof/>
      </w:rPr>
      <mc:AlternateContent>
        <mc:Choice Requires="wps">
          <w:drawing>
            <wp:anchor distT="0" distB="0" distL="0" distR="0" simplePos="0" relativeHeight="251658251" behindDoc="0" locked="0" layoutInCell="1" allowOverlap="1" wp14:anchorId="792D2D0F" wp14:editId="46E509E4">
              <wp:simplePos x="914400" y="9406647"/>
              <wp:positionH relativeFrom="page">
                <wp:align>center</wp:align>
              </wp:positionH>
              <wp:positionV relativeFrom="page">
                <wp:align>bottom</wp:align>
              </wp:positionV>
              <wp:extent cx="622300" cy="376555"/>
              <wp:effectExtent l="0" t="0" r="6350" b="0"/>
              <wp:wrapNone/>
              <wp:docPr id="165794829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F0026A" w14:textId="77777777" w:rsidR="00022E92" w:rsidRPr="00022E92" w:rsidRDefault="00022E92" w:rsidP="00022E92">
                          <w:pPr>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2D2D0F" id="_x0000_t202" coordsize="21600,21600" o:spt="202" path="m,l,21600r21600,l21600,xe">
              <v:stroke joinstyle="miter"/>
              <v:path gradientshapeok="t" o:connecttype="rect"/>
            </v:shapetype>
            <v:shape id="Text Box 12" o:spid="_x0000_s1032" type="#_x0000_t202" alt="OFFICIAL" style="position:absolute;left:0;text-align:left;margin-left:0;margin-top:0;width:49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textbox style="mso-fit-shape-to-text:t" inset="0,0,0,15pt">
                <w:txbxContent>
                  <w:p w14:paraId="0BF0026A" w14:textId="77777777" w:rsidR="00022E92" w:rsidRPr="00022E92" w:rsidRDefault="00022E92" w:rsidP="00022E92">
                    <w:pPr>
                      <w:rPr>
                        <w:rFonts w:ascii="Aptos" w:eastAsia="Aptos" w:hAnsi="Aptos" w:cs="Aptos"/>
                        <w:noProof/>
                        <w:color w:val="FF0000"/>
                      </w:rPr>
                    </w:pPr>
                  </w:p>
                </w:txbxContent>
              </v:textbox>
              <w10:wrap anchorx="page" anchory="page"/>
            </v:shape>
          </w:pict>
        </mc:Fallback>
      </mc:AlternateContent>
    </w:r>
    <w:r w:rsidR="0054375A">
      <w:rPr>
        <w:noProof/>
      </w:rPr>
      <mc:AlternateContent>
        <mc:Choice Requires="wps">
          <w:drawing>
            <wp:anchor distT="0" distB="0" distL="0" distR="0" simplePos="0" relativeHeight="251658245" behindDoc="0" locked="0" layoutInCell="1" allowOverlap="1" wp14:anchorId="2705A733" wp14:editId="74E1CAA3">
              <wp:simplePos x="635" y="635"/>
              <wp:positionH relativeFrom="page">
                <wp:align>center</wp:align>
              </wp:positionH>
              <wp:positionV relativeFrom="page">
                <wp:align>bottom</wp:align>
              </wp:positionV>
              <wp:extent cx="609600" cy="381000"/>
              <wp:effectExtent l="0" t="0" r="0" b="0"/>
              <wp:wrapNone/>
              <wp:docPr id="7661460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4FEACB0" w14:textId="1933D792" w:rsidR="0054375A" w:rsidRPr="0054375A" w:rsidRDefault="0054375A" w:rsidP="0054375A">
                          <w:pPr>
                            <w:rPr>
                              <w:rFonts w:ascii="Aptos" w:eastAsia="Aptos" w:hAnsi="Aptos" w:cs="Aptos"/>
                              <w:noProof/>
                              <w:color w:val="FF0000"/>
                            </w:rPr>
                          </w:pPr>
                          <w:r w:rsidRPr="0054375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705A733" id="Text Box 6" o:spid="_x0000_s1033" type="#_x0000_t202" alt="OFFICIAL" style="position:absolute;left:0;text-align:left;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dY0cWwwCAAAcBAAA&#10;DgAAAAAAAAAAAAAAAAAuAgAAZHJzL2Uyb0RvYy54bWxQSwECLQAUAAYACAAAACEAcYc8J9oAAAAD&#10;AQAADwAAAAAAAAAAAAAAAABmBAAAZHJzL2Rvd25yZXYueG1sUEsFBgAAAAAEAAQA8wAAAG0FAAAA&#10;AA==&#10;" filled="f" stroked="f">
              <v:textbox style="mso-fit-shape-to-text:t" inset="0,0,0,15pt">
                <w:txbxContent>
                  <w:p w14:paraId="64FEACB0" w14:textId="1933D792" w:rsidR="0054375A" w:rsidRPr="0054375A" w:rsidRDefault="0054375A" w:rsidP="0054375A">
                    <w:pPr>
                      <w:rPr>
                        <w:rFonts w:ascii="Aptos" w:eastAsia="Aptos" w:hAnsi="Aptos" w:cs="Aptos"/>
                        <w:noProof/>
                        <w:color w:val="FF0000"/>
                      </w:rPr>
                    </w:pPr>
                    <w:r w:rsidRPr="0054375A">
                      <w:rPr>
                        <w:rFonts w:ascii="Aptos" w:eastAsia="Aptos" w:hAnsi="Aptos" w:cs="Aptos"/>
                        <w:noProof/>
                        <w:color w:val="FF0000"/>
                      </w:rPr>
                      <w:t>OFFICIAL</w:t>
                    </w:r>
                  </w:p>
                </w:txbxContent>
              </v:textbox>
              <w10:wrap anchorx="page" anchory="page"/>
            </v:shape>
          </w:pict>
        </mc:Fallback>
      </mc:AlternateContent>
    </w:r>
  </w:p>
  <w:p w14:paraId="37484CD3" w14:textId="65FD3DBD" w:rsidR="00D843F2" w:rsidRPr="007C1CD9" w:rsidRDefault="00CC5A5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AF6D" w14:textId="5B758F5E" w:rsidR="003A1B63" w:rsidRDefault="00022E92">
    <w:pPr>
      <w:pStyle w:val="Footer"/>
    </w:pPr>
    <w:r>
      <w:rPr>
        <w:noProof/>
      </w:rPr>
      <mc:AlternateContent>
        <mc:Choice Requires="wps">
          <w:drawing>
            <wp:anchor distT="0" distB="0" distL="0" distR="0" simplePos="0" relativeHeight="251658249" behindDoc="0" locked="0" layoutInCell="1" allowOverlap="1" wp14:anchorId="4809F6C5" wp14:editId="7648A99B">
              <wp:simplePos x="635" y="635"/>
              <wp:positionH relativeFrom="page">
                <wp:align>center</wp:align>
              </wp:positionH>
              <wp:positionV relativeFrom="page">
                <wp:align>bottom</wp:align>
              </wp:positionV>
              <wp:extent cx="622300" cy="376555"/>
              <wp:effectExtent l="0" t="0" r="6350" b="0"/>
              <wp:wrapNone/>
              <wp:docPr id="38264307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90A5DD" w14:textId="77777777" w:rsidR="00022E92" w:rsidRPr="00022E92" w:rsidRDefault="00022E92" w:rsidP="00022E92">
                          <w:pPr>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9F6C5" id="_x0000_t202" coordsize="21600,21600" o:spt="202" path="m,l,21600r21600,l21600,xe">
              <v:stroke joinstyle="miter"/>
              <v:path gradientshapeok="t" o:connecttype="rect"/>
            </v:shapetype>
            <v:shape id="Text Box 10" o:spid="_x0000_s1036" type="#_x0000_t202" alt="OFFICIAL" style="position:absolute;left:0;text-align:left;margin-left:0;margin-top:0;width:49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lcLS+w0CAAAdBAAA&#10;DgAAAAAAAAAAAAAAAAAuAgAAZHJzL2Uyb0RvYy54bWxQSwECLQAUAAYACAAAACEAaYjbD9kAAAAD&#10;AQAADwAAAAAAAAAAAAAAAABnBAAAZHJzL2Rvd25yZXYueG1sUEsFBgAAAAAEAAQA8wAAAG0FAAAA&#10;AA==&#10;" filled="f" stroked="f">
              <v:textbox style="mso-fit-shape-to-text:t" inset="0,0,0,15pt">
                <w:txbxContent>
                  <w:p w14:paraId="5990A5DD" w14:textId="77777777" w:rsidR="00022E92" w:rsidRPr="00022E92" w:rsidRDefault="00022E92" w:rsidP="00022E92">
                    <w:pPr>
                      <w:rPr>
                        <w:rFonts w:ascii="Aptos" w:eastAsia="Aptos" w:hAnsi="Aptos" w:cs="Aptos"/>
                        <w:noProof/>
                        <w:color w:val="FF0000"/>
                      </w:rPr>
                    </w:pPr>
                  </w:p>
                </w:txbxContent>
              </v:textbox>
              <w10:wrap anchorx="page" anchory="page"/>
            </v:shape>
          </w:pict>
        </mc:Fallback>
      </mc:AlternateContent>
    </w:r>
    <w:r w:rsidR="0054375A">
      <w:rPr>
        <w:noProof/>
      </w:rPr>
      <mc:AlternateContent>
        <mc:Choice Requires="wps">
          <w:drawing>
            <wp:anchor distT="0" distB="0" distL="0" distR="0" simplePos="0" relativeHeight="251658243" behindDoc="0" locked="0" layoutInCell="1" allowOverlap="1" wp14:anchorId="52177430" wp14:editId="3036F044">
              <wp:simplePos x="635" y="635"/>
              <wp:positionH relativeFrom="page">
                <wp:align>center</wp:align>
              </wp:positionH>
              <wp:positionV relativeFrom="page">
                <wp:align>bottom</wp:align>
              </wp:positionV>
              <wp:extent cx="609600" cy="381000"/>
              <wp:effectExtent l="0" t="0" r="0" b="0"/>
              <wp:wrapNone/>
              <wp:docPr id="13674531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F9EBF78" w14:textId="482435F6" w:rsidR="0054375A" w:rsidRPr="0054375A" w:rsidRDefault="0054375A" w:rsidP="0054375A">
                          <w:pPr>
                            <w:rPr>
                              <w:rFonts w:ascii="Aptos" w:eastAsia="Aptos" w:hAnsi="Aptos" w:cs="Aptos"/>
                              <w:noProof/>
                              <w:color w:val="FF0000"/>
                            </w:rPr>
                          </w:pPr>
                          <w:r w:rsidRPr="0054375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52177430" id="Text Box 4" o:spid="_x0000_s1037" type="#_x0000_t202" alt="OFFICIAL" style="position:absolute;left:0;text-align:left;margin-left:0;margin-top:0;width:48pt;height:3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vKGRKAwCAAAdBAAA&#10;DgAAAAAAAAAAAAAAAAAuAgAAZHJzL2Uyb0RvYy54bWxQSwECLQAUAAYACAAAACEAcYc8J9oAAAAD&#10;AQAADwAAAAAAAAAAAAAAAABmBAAAZHJzL2Rvd25yZXYueG1sUEsFBgAAAAAEAAQA8wAAAG0FAAAA&#10;AA==&#10;" filled="f" stroked="f">
              <v:textbox style="mso-fit-shape-to-text:t" inset="0,0,0,15pt">
                <w:txbxContent>
                  <w:p w14:paraId="3F9EBF78" w14:textId="482435F6" w:rsidR="0054375A" w:rsidRPr="0054375A" w:rsidRDefault="0054375A" w:rsidP="0054375A">
                    <w:pPr>
                      <w:rPr>
                        <w:rFonts w:ascii="Aptos" w:eastAsia="Aptos" w:hAnsi="Aptos" w:cs="Aptos"/>
                        <w:noProof/>
                        <w:color w:val="FF0000"/>
                      </w:rPr>
                    </w:pPr>
                    <w:r w:rsidRPr="0054375A">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C2F9" w14:textId="77777777" w:rsidR="00F51387" w:rsidRDefault="00F51387" w:rsidP="00124A51">
      <w:r>
        <w:separator/>
      </w:r>
    </w:p>
    <w:p w14:paraId="30B5A3B3" w14:textId="77777777" w:rsidR="00F51387" w:rsidRDefault="00F51387"/>
    <w:p w14:paraId="4355CA51" w14:textId="77777777" w:rsidR="00F51387" w:rsidRDefault="00F51387"/>
    <w:p w14:paraId="4D3F596B" w14:textId="77777777" w:rsidR="00F51387" w:rsidRDefault="00F51387"/>
    <w:p w14:paraId="12564F77" w14:textId="77777777" w:rsidR="00F51387" w:rsidRDefault="00F51387"/>
  </w:footnote>
  <w:footnote w:type="continuationSeparator" w:id="0">
    <w:p w14:paraId="0EA2C81E" w14:textId="77777777" w:rsidR="00F51387" w:rsidRDefault="00F51387" w:rsidP="00124A51">
      <w:r>
        <w:continuationSeparator/>
      </w:r>
    </w:p>
    <w:p w14:paraId="15E3D26F" w14:textId="77777777" w:rsidR="00F51387" w:rsidRDefault="00F51387"/>
    <w:p w14:paraId="600CB441" w14:textId="77777777" w:rsidR="00F51387" w:rsidRDefault="00F51387"/>
    <w:p w14:paraId="626C09D6" w14:textId="77777777" w:rsidR="00F51387" w:rsidRDefault="00F51387"/>
    <w:p w14:paraId="65C249FB" w14:textId="77777777" w:rsidR="00F51387" w:rsidRDefault="00F51387"/>
  </w:footnote>
  <w:footnote w:id="1">
    <w:p w14:paraId="2FEBCE9B" w14:textId="0C8C0E36" w:rsidR="0094446A" w:rsidRDefault="0094446A">
      <w:pPr>
        <w:pStyle w:val="FootnoteText"/>
      </w:pPr>
      <w:r>
        <w:rPr>
          <w:rStyle w:val="FootnoteReference"/>
        </w:rPr>
        <w:footnoteRef/>
      </w:r>
      <w:r>
        <w:t xml:space="preserve"> </w:t>
      </w:r>
      <w:r w:rsidR="00DD193E">
        <w:t xml:space="preserve">Available at: </w:t>
      </w:r>
      <w:hyperlink r:id="rId1" w:history="1">
        <w:r w:rsidR="00DD193E" w:rsidRPr="00DD193E">
          <w:rPr>
            <w:rStyle w:val="Hyperlink"/>
          </w:rPr>
          <w:t>durvalumab-psd-nov-2020.pdf</w:t>
        </w:r>
      </w:hyperlink>
    </w:p>
  </w:footnote>
  <w:footnote w:id="2">
    <w:p w14:paraId="7A374441" w14:textId="4A17765E" w:rsidR="006D51CA" w:rsidRPr="008C1A18" w:rsidRDefault="006D51CA">
      <w:pPr>
        <w:pStyle w:val="FootnoteText"/>
      </w:pPr>
      <w:r>
        <w:rPr>
          <w:rStyle w:val="FootnoteReference"/>
        </w:rPr>
        <w:footnoteRef/>
      </w:r>
      <w:r>
        <w:t xml:space="preserve"> </w:t>
      </w:r>
      <w:r w:rsidR="00674861">
        <w:t xml:space="preserve">Sugimura </w:t>
      </w:r>
      <w:r w:rsidR="008C1A18">
        <w:t xml:space="preserve">H, Yang P. </w:t>
      </w:r>
      <w:r w:rsidR="008C1A18" w:rsidRPr="008C1A18">
        <w:t>Long-term Survivorship in Lung Cancer: A Review</w:t>
      </w:r>
      <w:r w:rsidR="00674861">
        <w:t xml:space="preserve">. </w:t>
      </w:r>
      <w:r w:rsidR="008C1A18">
        <w:rPr>
          <w:i/>
          <w:iCs/>
        </w:rPr>
        <w:t>Chest</w:t>
      </w:r>
      <w:r w:rsidR="00A45314">
        <w:rPr>
          <w:i/>
          <w:iCs/>
        </w:rPr>
        <w:t xml:space="preserve"> </w:t>
      </w:r>
      <w:r w:rsidR="00A45314" w:rsidRPr="00A45314">
        <w:t>2006;</w:t>
      </w:r>
      <w:r w:rsidR="00A45314">
        <w:rPr>
          <w:i/>
          <w:iCs/>
        </w:rPr>
        <w:t xml:space="preserve"> </w:t>
      </w:r>
      <w:r w:rsidR="00A45314">
        <w:t>129(4):</w:t>
      </w:r>
      <w:r w:rsidR="00453B4B">
        <w:t>1088-1097.</w:t>
      </w:r>
    </w:p>
  </w:footnote>
  <w:footnote w:id="3">
    <w:p w14:paraId="2971C337" w14:textId="6A2C8F96" w:rsidR="002D112F" w:rsidRDefault="002D112F">
      <w:pPr>
        <w:pStyle w:val="FootnoteText"/>
      </w:pPr>
      <w:r>
        <w:rPr>
          <w:rStyle w:val="FootnoteReference"/>
        </w:rPr>
        <w:footnoteRef/>
      </w:r>
      <w:r>
        <w:t xml:space="preserve"> </w:t>
      </w:r>
      <w:r w:rsidR="00241BD3" w:rsidRPr="00241BD3">
        <w:t>https://www.cancer.gov/types/lung/patient/small-cell-lung-treatment-pdq</w:t>
      </w:r>
    </w:p>
  </w:footnote>
  <w:footnote w:id="4">
    <w:p w14:paraId="2AAA7D7D" w14:textId="66C53DAD" w:rsidR="00241BD3" w:rsidRDefault="00241BD3">
      <w:pPr>
        <w:pStyle w:val="FootnoteText"/>
      </w:pPr>
      <w:r>
        <w:rPr>
          <w:rStyle w:val="FootnoteReference"/>
        </w:rPr>
        <w:footnoteRef/>
      </w:r>
      <w:r>
        <w:t xml:space="preserve"> </w:t>
      </w:r>
      <w:r w:rsidR="00916FFB">
        <w:t>R</w:t>
      </w:r>
      <w:r w:rsidR="00916FFB" w:rsidRPr="00916FFB">
        <w:t xml:space="preserve">eck </w:t>
      </w:r>
      <w:r w:rsidR="0084118B">
        <w:t>et al.</w:t>
      </w:r>
      <w:r w:rsidR="00916FFB" w:rsidRPr="00916FFB">
        <w:t xml:space="preserve"> IMpower133: Updated overall survival (OS) analysis of first-line (1L) atezolizumab (atezo) + carboplatin + etoposide in extensive-stage SCLC (ES-SCLC). </w:t>
      </w:r>
      <w:r w:rsidR="00916FFB" w:rsidRPr="0084118B">
        <w:rPr>
          <w:i/>
          <w:iCs/>
        </w:rPr>
        <w:t>Annals of Oncology</w:t>
      </w:r>
      <w:r w:rsidR="00916FFB" w:rsidRPr="00916FFB">
        <w:t xml:space="preserve"> </w:t>
      </w:r>
      <w:r w:rsidR="0084118B">
        <w:t xml:space="preserve">2019; </w:t>
      </w:r>
      <w:r w:rsidR="00916FFB" w:rsidRPr="00916FFB">
        <w:t>30: v710-v711</w:t>
      </w:r>
    </w:p>
  </w:footnote>
  <w:footnote w:id="5">
    <w:p w14:paraId="6EF44C61" w14:textId="6B0D5960" w:rsidR="0023164E" w:rsidRDefault="0023164E">
      <w:pPr>
        <w:pStyle w:val="FootnoteText"/>
      </w:pPr>
      <w:r>
        <w:rPr>
          <w:rStyle w:val="FootnoteReference"/>
        </w:rPr>
        <w:footnoteRef/>
      </w:r>
      <w:r w:rsidR="00241BD3">
        <w:t xml:space="preserve"> </w:t>
      </w:r>
      <w:r w:rsidRPr="0023164E">
        <w:t>https://www.pbs.gov.au/info/industry/listing/elements/pbac-meetings/pbac-outcomes/recommendations-made-by-the-pbac-</w:t>
      </w:r>
      <w:r w:rsidR="00CB19AB">
        <w:t>november</w:t>
      </w:r>
      <w:r w:rsidRPr="0023164E">
        <w:t>-202</w:t>
      </w:r>
      <w:r w:rsidR="00CB19AB">
        <w:t>0.</w:t>
      </w:r>
    </w:p>
  </w:footnote>
  <w:footnote w:id="6">
    <w:p w14:paraId="2EF2ABBE" w14:textId="6171BA4A" w:rsidR="008158FA" w:rsidRDefault="008158FA">
      <w:pPr>
        <w:pStyle w:val="FootnoteText"/>
      </w:pPr>
      <w:r>
        <w:rPr>
          <w:rStyle w:val="FootnoteReference"/>
        </w:rPr>
        <w:footnoteRef/>
      </w:r>
      <w:r>
        <w:t xml:space="preserve"> </w:t>
      </w:r>
      <w:r w:rsidRPr="008158FA">
        <w:t>ASCO. 2025. Tarlatamab versus chemotherapy (CTx) as second-line (2L) treatment for small cell lung cancer (SCLC): Primary analysis of Ph3 DeLLphi-304. https://www.asco.org/abstracts-presentations/ABSTRACT487828</w:t>
      </w:r>
      <w:r>
        <w:t>.</w:t>
      </w:r>
    </w:p>
  </w:footnote>
  <w:footnote w:id="7">
    <w:p w14:paraId="47DC0947" w14:textId="6783F70F" w:rsidR="00B72B11" w:rsidRDefault="00B72B11">
      <w:pPr>
        <w:pStyle w:val="FootnoteText"/>
      </w:pPr>
      <w:r>
        <w:rPr>
          <w:rStyle w:val="FootnoteReference"/>
        </w:rPr>
        <w:footnoteRef/>
      </w:r>
      <w:r>
        <w:t xml:space="preserve"> </w:t>
      </w:r>
      <w:r w:rsidR="00EB62FA" w:rsidRPr="00EB62FA">
        <w:t xml:space="preserve">Dingemans </w:t>
      </w:r>
      <w:r w:rsidR="00EB62FA">
        <w:t>et al</w:t>
      </w:r>
      <w:r w:rsidR="00EB62FA" w:rsidRPr="00EB62FA">
        <w:t xml:space="preserve">. Small-cell lung cancer: ESMO Clinical Practice Guidelines for diagnosis, treatment and follow-up. </w:t>
      </w:r>
      <w:r w:rsidR="00EB62FA" w:rsidRPr="00EB62FA">
        <w:rPr>
          <w:i/>
          <w:iCs/>
        </w:rPr>
        <w:t>Annals of Oncology</w:t>
      </w:r>
      <w:r w:rsidR="00EB62FA" w:rsidRPr="00EB62FA">
        <w:t xml:space="preserve"> </w:t>
      </w:r>
      <w:r w:rsidR="00EB62FA">
        <w:t xml:space="preserve">2021; </w:t>
      </w:r>
      <w:r w:rsidR="00EB62FA" w:rsidRPr="00EB62FA">
        <w:t>32(7): 839-853.</w:t>
      </w:r>
    </w:p>
  </w:footnote>
  <w:footnote w:id="8">
    <w:p w14:paraId="3AE2DB76" w14:textId="4A6AA1F0" w:rsidR="00F5390F" w:rsidRDefault="00F5390F">
      <w:pPr>
        <w:pStyle w:val="FootnoteText"/>
      </w:pPr>
      <w:r>
        <w:rPr>
          <w:rStyle w:val="FootnoteReference"/>
        </w:rPr>
        <w:footnoteRef/>
      </w:r>
      <w:r>
        <w:t xml:space="preserve"> </w:t>
      </w:r>
      <w:r w:rsidRPr="00F5390F">
        <w:t xml:space="preserve">Cherny NI, et al: ESMO-Magnitude of Clinical Benefit Scale version 1.1. </w:t>
      </w:r>
      <w:r w:rsidRPr="00EC7361">
        <w:rPr>
          <w:i/>
          <w:iCs/>
        </w:rPr>
        <w:t>Annals of Oncology</w:t>
      </w:r>
      <w:r w:rsidR="00EC7361">
        <w:t>. 2017;</w:t>
      </w:r>
      <w:r w:rsidR="00873105">
        <w:t xml:space="preserve"> </w:t>
      </w:r>
      <w:r w:rsidRPr="00F5390F">
        <w:t>28:2340-2366</w:t>
      </w:r>
      <w:r w:rsidR="00EC7361">
        <w:t>.</w:t>
      </w:r>
    </w:p>
  </w:footnote>
  <w:footnote w:id="9">
    <w:p w14:paraId="0A9BEF53" w14:textId="3A1DE753" w:rsidR="00893517" w:rsidRDefault="00893517" w:rsidP="00893517">
      <w:pPr>
        <w:pStyle w:val="FootnoteText"/>
      </w:pPr>
      <w:r w:rsidRPr="3374B84E">
        <w:rPr>
          <w:rStyle w:val="FootnoteReference"/>
        </w:rPr>
        <w:footnoteRef/>
      </w:r>
      <w:r>
        <w:t xml:space="preserve"> Huang et al. Patterns of care for people with small cell lung cancer in Victoria, 2011–19: a retrospective, population-based registry data study. </w:t>
      </w:r>
      <w:r w:rsidRPr="3374B84E">
        <w:rPr>
          <w:i/>
          <w:iCs/>
        </w:rPr>
        <w:t>Medical Journal of Australia</w:t>
      </w:r>
      <w:r w:rsidR="00873105">
        <w:rPr>
          <w:i/>
          <w:iCs/>
        </w:rPr>
        <w:t>.</w:t>
      </w:r>
      <w:r>
        <w:t xml:space="preserve"> 2023; 219(3):120-126.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AF68" w14:textId="618AC834" w:rsidR="003A1B63" w:rsidRDefault="00022E92">
    <w:pPr>
      <w:pStyle w:val="Header"/>
    </w:pPr>
    <w:r>
      <w:rPr>
        <w:noProof/>
      </w:rPr>
      <mc:AlternateContent>
        <mc:Choice Requires="wps">
          <w:drawing>
            <wp:anchor distT="0" distB="0" distL="0" distR="0" simplePos="0" relativeHeight="251658247" behindDoc="0" locked="0" layoutInCell="1" allowOverlap="1" wp14:anchorId="242F4E3B" wp14:editId="373ACD7E">
              <wp:simplePos x="635" y="635"/>
              <wp:positionH relativeFrom="page">
                <wp:align>center</wp:align>
              </wp:positionH>
              <wp:positionV relativeFrom="page">
                <wp:align>top</wp:align>
              </wp:positionV>
              <wp:extent cx="622300" cy="376555"/>
              <wp:effectExtent l="0" t="0" r="6350" b="4445"/>
              <wp:wrapNone/>
              <wp:docPr id="3656648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A32083" w14:textId="4323174F" w:rsidR="00022E92" w:rsidRPr="00022E92" w:rsidRDefault="00022E92" w:rsidP="00022E92">
                          <w:pPr>
                            <w:rPr>
                              <w:rFonts w:ascii="Aptos" w:eastAsia="Aptos" w:hAnsi="Aptos" w:cs="Aptos"/>
                              <w:noProof/>
                              <w:color w:val="FF0000"/>
                            </w:rPr>
                          </w:pPr>
                          <w:r w:rsidRPr="00022E9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2F4E3B" id="_x0000_t202" coordsize="21600,21600" o:spt="202" path="m,l,21600r21600,l21600,xe">
              <v:stroke joinstyle="miter"/>
              <v:path gradientshapeok="t" o:connecttype="rect"/>
            </v:shapetype>
            <v:shape id="Text Box 8" o:spid="_x0000_s1026" type="#_x0000_t202" alt="OFFICIAL" style="position:absolute;left:0;text-align:left;margin-left:0;margin-top:0;width:49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EA32083" w14:textId="4323174F" w:rsidR="00022E92" w:rsidRPr="00022E92" w:rsidRDefault="00022E92" w:rsidP="00022E92">
                    <w:pPr>
                      <w:rPr>
                        <w:rFonts w:ascii="Aptos" w:eastAsia="Aptos" w:hAnsi="Aptos" w:cs="Aptos"/>
                        <w:noProof/>
                        <w:color w:val="FF0000"/>
                      </w:rPr>
                    </w:pPr>
                    <w:r w:rsidRPr="00022E92">
                      <w:rPr>
                        <w:rFonts w:ascii="Aptos" w:eastAsia="Aptos" w:hAnsi="Aptos" w:cs="Aptos"/>
                        <w:noProof/>
                        <w:color w:val="FF0000"/>
                      </w:rPr>
                      <w:t>OFFICIAL</w:t>
                    </w:r>
                  </w:p>
                </w:txbxContent>
              </v:textbox>
              <w10:wrap anchorx="page" anchory="page"/>
            </v:shape>
          </w:pict>
        </mc:Fallback>
      </mc:AlternateContent>
    </w:r>
    <w:r w:rsidR="0054375A">
      <w:rPr>
        <w:noProof/>
      </w:rPr>
      <mc:AlternateContent>
        <mc:Choice Requires="wps">
          <w:drawing>
            <wp:anchor distT="0" distB="0" distL="0" distR="0" simplePos="0" relativeHeight="251658241" behindDoc="0" locked="0" layoutInCell="1" allowOverlap="1" wp14:anchorId="78EC9CA1" wp14:editId="3DC79550">
              <wp:simplePos x="635" y="635"/>
              <wp:positionH relativeFrom="page">
                <wp:align>center</wp:align>
              </wp:positionH>
              <wp:positionV relativeFrom="page">
                <wp:align>top</wp:align>
              </wp:positionV>
              <wp:extent cx="609600" cy="381000"/>
              <wp:effectExtent l="0" t="0" r="0" b="0"/>
              <wp:wrapNone/>
              <wp:docPr id="11060674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C9633CE" w14:textId="294E5961" w:rsidR="0054375A" w:rsidRPr="0054375A" w:rsidRDefault="0054375A" w:rsidP="0054375A">
                          <w:pPr>
                            <w:rPr>
                              <w:rFonts w:ascii="Aptos" w:eastAsia="Aptos" w:hAnsi="Aptos" w:cs="Aptos"/>
                              <w:noProof/>
                              <w:color w:val="FF0000"/>
                            </w:rPr>
                          </w:pPr>
                          <w:r w:rsidRPr="0054375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8EC9CA1" id="Text Box 2" o:spid="_x0000_s1027" type="#_x0000_t202" alt="OFFICIAL" style="position:absolute;left:0;text-align:left;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7C9633CE" w14:textId="294E5961" w:rsidR="0054375A" w:rsidRPr="0054375A" w:rsidRDefault="0054375A" w:rsidP="0054375A">
                    <w:pPr>
                      <w:rPr>
                        <w:rFonts w:ascii="Aptos" w:eastAsia="Aptos" w:hAnsi="Aptos" w:cs="Aptos"/>
                        <w:noProof/>
                        <w:color w:val="FF0000"/>
                      </w:rPr>
                    </w:pPr>
                    <w:r w:rsidRPr="0054375A">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0" w:name="_Hlk76375146"/>
  <w:p w14:paraId="13C534EA" w14:textId="29F40DD7" w:rsidR="00F20B8A" w:rsidRPr="00F20B8A" w:rsidRDefault="00022E92" w:rsidP="00F20B8A">
    <w:pPr>
      <w:pStyle w:val="Header"/>
    </w:pPr>
    <w:r>
      <w:rPr>
        <w:noProof/>
      </w:rPr>
      <mc:AlternateContent>
        <mc:Choice Requires="wps">
          <w:drawing>
            <wp:anchor distT="0" distB="0" distL="0" distR="0" simplePos="0" relativeHeight="251658248" behindDoc="0" locked="0" layoutInCell="1" allowOverlap="1" wp14:anchorId="588D1B3D" wp14:editId="32D8EC2D">
              <wp:simplePos x="914400" y="914400"/>
              <wp:positionH relativeFrom="page">
                <wp:align>center</wp:align>
              </wp:positionH>
              <wp:positionV relativeFrom="page">
                <wp:align>top</wp:align>
              </wp:positionV>
              <wp:extent cx="622300" cy="376555"/>
              <wp:effectExtent l="0" t="0" r="6350" b="4445"/>
              <wp:wrapNone/>
              <wp:docPr id="81257145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C1DBCD" w14:textId="1B1A134D" w:rsidR="00022E92" w:rsidRPr="00022E92" w:rsidRDefault="00022E92" w:rsidP="00022E92">
                          <w:pPr>
                            <w:rPr>
                              <w:rFonts w:ascii="Aptos" w:eastAsia="Aptos" w:hAnsi="Aptos" w:cs="Aptos"/>
                              <w:noProof/>
                              <w:color w:val="FF0000"/>
                            </w:rPr>
                          </w:pPr>
                          <w:r w:rsidRPr="00022E9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D1B3D" id="_x0000_t202" coordsize="21600,21600" o:spt="202" path="m,l,21600r21600,l21600,xe">
              <v:stroke joinstyle="miter"/>
              <v:path gradientshapeok="t" o:connecttype="rect"/>
            </v:shapetype>
            <v:shape id="Text Box 9" o:spid="_x0000_s1028" type="#_x0000_t202" alt="OFFICIAL" style="position:absolute;left:0;text-align:left;margin-left:0;margin-top:0;width:49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FC1DBCD" w14:textId="1B1A134D" w:rsidR="00022E92" w:rsidRPr="00022E92" w:rsidRDefault="00022E92" w:rsidP="00022E92">
                    <w:pPr>
                      <w:rPr>
                        <w:rFonts w:ascii="Aptos" w:eastAsia="Aptos" w:hAnsi="Aptos" w:cs="Aptos"/>
                        <w:noProof/>
                        <w:color w:val="FF0000"/>
                      </w:rPr>
                    </w:pPr>
                    <w:r w:rsidRPr="00022E92">
                      <w:rPr>
                        <w:rFonts w:ascii="Aptos" w:eastAsia="Aptos" w:hAnsi="Aptos" w:cs="Aptos"/>
                        <w:noProof/>
                        <w:color w:val="FF0000"/>
                      </w:rPr>
                      <w:t>OFFICIAL</w:t>
                    </w:r>
                  </w:p>
                </w:txbxContent>
              </v:textbox>
              <w10:wrap anchorx="page" anchory="page"/>
            </v:shape>
          </w:pict>
        </mc:Fallback>
      </mc:AlternateContent>
    </w:r>
    <w:r w:rsidR="0054375A">
      <w:rPr>
        <w:noProof/>
      </w:rPr>
      <mc:AlternateContent>
        <mc:Choice Requires="wps">
          <w:drawing>
            <wp:anchor distT="0" distB="0" distL="0" distR="0" simplePos="0" relativeHeight="251658242" behindDoc="0" locked="0" layoutInCell="1" allowOverlap="1" wp14:anchorId="410E15E8" wp14:editId="3EB706BA">
              <wp:simplePos x="635" y="635"/>
              <wp:positionH relativeFrom="page">
                <wp:align>center</wp:align>
              </wp:positionH>
              <wp:positionV relativeFrom="page">
                <wp:align>top</wp:align>
              </wp:positionV>
              <wp:extent cx="609600" cy="381000"/>
              <wp:effectExtent l="0" t="0" r="0" b="0"/>
              <wp:wrapNone/>
              <wp:docPr id="18241079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2AECAEF" w14:textId="76ABFA87" w:rsidR="0054375A" w:rsidRPr="0054375A" w:rsidRDefault="0054375A" w:rsidP="0054375A">
                          <w:pPr>
                            <w:rPr>
                              <w:rFonts w:ascii="Aptos" w:eastAsia="Aptos" w:hAnsi="Aptos" w:cs="Aptos"/>
                              <w:noProof/>
                              <w:color w:val="FF0000"/>
                            </w:rPr>
                          </w:pPr>
                          <w:r w:rsidRPr="0054375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10E15E8" id="Text Box 3" o:spid="_x0000_s1029" type="#_x0000_t202" alt="OFFICIAL" style="position:absolute;left:0;text-align:left;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" filled="f" stroked="f">
              <v:textbox style="mso-fit-shape-to-text:t" inset="0,15pt,0,0">
                <w:txbxContent>
                  <w:p w14:paraId="32AECAEF" w14:textId="76ABFA87" w:rsidR="0054375A" w:rsidRPr="0054375A" w:rsidRDefault="0054375A" w:rsidP="0054375A">
                    <w:pPr>
                      <w:rPr>
                        <w:rFonts w:ascii="Aptos" w:eastAsia="Aptos" w:hAnsi="Aptos" w:cs="Aptos"/>
                        <w:noProof/>
                        <w:color w:val="FF0000"/>
                      </w:rPr>
                    </w:pPr>
                    <w:r w:rsidRPr="0054375A">
                      <w:rPr>
                        <w:rFonts w:ascii="Aptos" w:eastAsia="Aptos" w:hAnsi="Aptos" w:cs="Aptos"/>
                        <w:noProof/>
                        <w:color w:val="FF0000"/>
                      </w:rPr>
                      <w:t>OFFICIAL</w:t>
                    </w:r>
                  </w:p>
                </w:txbxContent>
              </v:textbox>
              <w10:wrap anchorx="page" anchory="page"/>
            </v:shape>
          </w:pict>
        </mc:Fallback>
      </mc:AlternateContent>
    </w:r>
    <w:r w:rsidR="00F11CB1">
      <w:t>Public Summary Document</w:t>
    </w:r>
    <w:r w:rsidR="00F20B8A" w:rsidRPr="00F20B8A">
      <w:t xml:space="preserve"> – </w:t>
    </w:r>
    <w:r w:rsidR="00F20B8A">
      <w:t>November 2025</w:t>
    </w:r>
    <w:r w:rsidR="00F20B8A" w:rsidRPr="00F20B8A">
      <w:t xml:space="preserve"> PBAC Meeting</w:t>
    </w:r>
  </w:p>
  <w:bookmarkEnd w:id="60"/>
  <w:p w14:paraId="03AF943B" w14:textId="77777777" w:rsidR="00D843F2" w:rsidRPr="008C7ECB" w:rsidRDefault="00D843F2" w:rsidP="00B94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91DC" w14:textId="046CAF5F" w:rsidR="003A1B63" w:rsidRDefault="00022E92">
    <w:pPr>
      <w:pStyle w:val="Header"/>
    </w:pPr>
    <w:r>
      <w:rPr>
        <w:noProof/>
      </w:rPr>
      <mc:AlternateContent>
        <mc:Choice Requires="wps">
          <w:drawing>
            <wp:anchor distT="0" distB="0" distL="0" distR="0" simplePos="0" relativeHeight="251658246" behindDoc="0" locked="0" layoutInCell="1" allowOverlap="1" wp14:anchorId="589080D1" wp14:editId="06692E88">
              <wp:simplePos x="635" y="635"/>
              <wp:positionH relativeFrom="page">
                <wp:align>center</wp:align>
              </wp:positionH>
              <wp:positionV relativeFrom="page">
                <wp:align>top</wp:align>
              </wp:positionV>
              <wp:extent cx="622300" cy="376555"/>
              <wp:effectExtent l="0" t="0" r="6350" b="4445"/>
              <wp:wrapNone/>
              <wp:docPr id="18311513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230E1A0" w14:textId="77777777" w:rsidR="00022E92" w:rsidRPr="00022E92" w:rsidRDefault="00022E92" w:rsidP="00022E92">
                          <w:pPr>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9080D1" id="_x0000_t202" coordsize="21600,21600" o:spt="202" path="m,l,21600r21600,l21600,xe">
              <v:stroke joinstyle="miter"/>
              <v:path gradientshapeok="t" o:connecttype="rect"/>
            </v:shapetype>
            <v:shape id="Text Box 7" o:spid="_x0000_s1034" type="#_x0000_t202" alt="OFFICIAL" style="position:absolute;left:0;text-align:left;margin-left:0;margin-top:0;width:49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mWDQ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w+MJlg0CAAAcBAAA&#10;DgAAAAAAAAAAAAAAAAAuAgAAZHJzL2Uyb0RvYy54bWxQSwECLQAUAAYACAAAACEAinsHsNkAAAAD&#10;AQAADwAAAAAAAAAAAAAAAABnBAAAZHJzL2Rvd25yZXYueG1sUEsFBgAAAAAEAAQA8wAAAG0FAAAA&#10;AA==&#10;" filled="f" stroked="f">
              <v:textbox style="mso-fit-shape-to-text:t" inset="0,15pt,0,0">
                <w:txbxContent>
                  <w:p w14:paraId="4230E1A0" w14:textId="77777777" w:rsidR="00022E92" w:rsidRPr="00022E92" w:rsidRDefault="00022E92" w:rsidP="00022E92">
                    <w:pPr>
                      <w:rPr>
                        <w:rFonts w:ascii="Aptos" w:eastAsia="Aptos" w:hAnsi="Aptos" w:cs="Aptos"/>
                        <w:noProof/>
                        <w:color w:val="FF0000"/>
                      </w:rPr>
                    </w:pPr>
                  </w:p>
                </w:txbxContent>
              </v:textbox>
              <w10:wrap anchorx="page" anchory="page"/>
            </v:shape>
          </w:pict>
        </mc:Fallback>
      </mc:AlternateContent>
    </w:r>
    <w:r w:rsidR="0054375A">
      <w:rPr>
        <w:noProof/>
      </w:rPr>
      <mc:AlternateContent>
        <mc:Choice Requires="wps">
          <w:drawing>
            <wp:anchor distT="0" distB="0" distL="0" distR="0" simplePos="0" relativeHeight="251658240" behindDoc="0" locked="0" layoutInCell="1" allowOverlap="1" wp14:anchorId="71952F7B" wp14:editId="528D80FF">
              <wp:simplePos x="635" y="635"/>
              <wp:positionH relativeFrom="page">
                <wp:align>center</wp:align>
              </wp:positionH>
              <wp:positionV relativeFrom="page">
                <wp:align>top</wp:align>
              </wp:positionV>
              <wp:extent cx="609600" cy="381000"/>
              <wp:effectExtent l="0" t="0" r="0" b="0"/>
              <wp:wrapNone/>
              <wp:docPr id="4079798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F0B3DF1" w14:textId="6D54354B" w:rsidR="0054375A" w:rsidRPr="0054375A" w:rsidRDefault="0054375A" w:rsidP="0054375A">
                          <w:pPr>
                            <w:rPr>
                              <w:rFonts w:ascii="Aptos" w:eastAsia="Aptos" w:hAnsi="Aptos" w:cs="Aptos"/>
                              <w:noProof/>
                              <w:color w:val="FF0000"/>
                            </w:rPr>
                          </w:pPr>
                          <w:r w:rsidRPr="0054375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1952F7B" id="Text Box 1" o:spid="_x0000_s1035" type="#_x0000_t202" alt="OFFICIAL" style="position:absolute;left:0;text-align:left;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CsNAZUDAIAABwEAAAO&#10;AAAAAAAAAAAAAAAAAC4CAABkcnMvZTJvRG9jLnhtbFBLAQItABQABgAIAAAAIQCSdOCY2QAAAAMB&#10;AAAPAAAAAAAAAAAAAAAAAGYEAABkcnMvZG93bnJldi54bWxQSwUGAAAAAAQABADzAAAAbAUAAAAA&#10;" filled="f" stroked="f">
              <v:textbox style="mso-fit-shape-to-text:t" inset="0,15pt,0,0">
                <w:txbxContent>
                  <w:p w14:paraId="7F0B3DF1" w14:textId="6D54354B" w:rsidR="0054375A" w:rsidRPr="0054375A" w:rsidRDefault="0054375A" w:rsidP="0054375A">
                    <w:pPr>
                      <w:rPr>
                        <w:rFonts w:ascii="Aptos" w:eastAsia="Aptos" w:hAnsi="Aptos" w:cs="Aptos"/>
                        <w:noProof/>
                        <w:color w:val="FF0000"/>
                      </w:rPr>
                    </w:pPr>
                    <w:r w:rsidRPr="0054375A">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3EC6F2"/>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922FB"/>
    <w:multiLevelType w:val="hybridMultilevel"/>
    <w:tmpl w:val="7E003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C80E77"/>
    <w:multiLevelType w:val="hybridMultilevel"/>
    <w:tmpl w:val="4AD89AFA"/>
    <w:lvl w:ilvl="0" w:tplc="761A2F44">
      <w:start w:val="6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4F18E9"/>
    <w:multiLevelType w:val="hybridMultilevel"/>
    <w:tmpl w:val="C1BA7480"/>
    <w:lvl w:ilvl="0" w:tplc="985A44CA">
      <w:start w:val="55"/>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9303AD"/>
    <w:multiLevelType w:val="hybridMultilevel"/>
    <w:tmpl w:val="941EBF12"/>
    <w:lvl w:ilvl="0" w:tplc="B15EDC2C">
      <w:numFmt w:val="none"/>
      <w:lvlText w:val=""/>
      <w:lvlJc w:val="left"/>
      <w:pPr>
        <w:tabs>
          <w:tab w:val="num" w:pos="360"/>
        </w:tabs>
      </w:pPr>
    </w:lvl>
    <w:lvl w:ilvl="1" w:tplc="30CA2A22">
      <w:start w:val="1"/>
      <w:numFmt w:val="lowerLetter"/>
      <w:lvlText w:val="%2."/>
      <w:lvlJc w:val="left"/>
      <w:pPr>
        <w:ind w:left="1440" w:hanging="360"/>
      </w:pPr>
    </w:lvl>
    <w:lvl w:ilvl="2" w:tplc="CE423A30">
      <w:start w:val="1"/>
      <w:numFmt w:val="lowerRoman"/>
      <w:lvlText w:val="%3."/>
      <w:lvlJc w:val="right"/>
      <w:pPr>
        <w:ind w:left="2160" w:hanging="180"/>
      </w:pPr>
    </w:lvl>
    <w:lvl w:ilvl="3" w:tplc="B0E829BA">
      <w:start w:val="1"/>
      <w:numFmt w:val="decimal"/>
      <w:lvlText w:val="%4."/>
      <w:lvlJc w:val="left"/>
      <w:pPr>
        <w:ind w:left="2880" w:hanging="360"/>
      </w:pPr>
    </w:lvl>
    <w:lvl w:ilvl="4" w:tplc="4254F702">
      <w:start w:val="1"/>
      <w:numFmt w:val="lowerLetter"/>
      <w:lvlText w:val="%5."/>
      <w:lvlJc w:val="left"/>
      <w:pPr>
        <w:ind w:left="3600" w:hanging="360"/>
      </w:pPr>
    </w:lvl>
    <w:lvl w:ilvl="5" w:tplc="A31AB3F2">
      <w:start w:val="1"/>
      <w:numFmt w:val="lowerRoman"/>
      <w:lvlText w:val="%6."/>
      <w:lvlJc w:val="right"/>
      <w:pPr>
        <w:ind w:left="4320" w:hanging="180"/>
      </w:pPr>
    </w:lvl>
    <w:lvl w:ilvl="6" w:tplc="B83669CE">
      <w:start w:val="1"/>
      <w:numFmt w:val="decimal"/>
      <w:lvlText w:val="%7."/>
      <w:lvlJc w:val="left"/>
      <w:pPr>
        <w:ind w:left="5040" w:hanging="360"/>
      </w:pPr>
    </w:lvl>
    <w:lvl w:ilvl="7" w:tplc="8A6E2100">
      <w:start w:val="1"/>
      <w:numFmt w:val="lowerLetter"/>
      <w:lvlText w:val="%8."/>
      <w:lvlJc w:val="left"/>
      <w:pPr>
        <w:ind w:left="5760" w:hanging="360"/>
      </w:pPr>
    </w:lvl>
    <w:lvl w:ilvl="8" w:tplc="7292ADE0">
      <w:start w:val="1"/>
      <w:numFmt w:val="lowerRoman"/>
      <w:lvlText w:val="%9."/>
      <w:lvlJc w:val="right"/>
      <w:pPr>
        <w:ind w:left="6480" w:hanging="180"/>
      </w:pPr>
    </w:lvl>
  </w:abstractNum>
  <w:abstractNum w:abstractNumId="9" w15:restartNumberingAfterBreak="0">
    <w:nsid w:val="14982C81"/>
    <w:multiLevelType w:val="hybridMultilevel"/>
    <w:tmpl w:val="32ECDA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B219F8"/>
    <w:multiLevelType w:val="hybridMultilevel"/>
    <w:tmpl w:val="6CA0CEB4"/>
    <w:lvl w:ilvl="0" w:tplc="4F38898A">
      <w:start w:val="1"/>
      <w:numFmt w:val="bullet"/>
      <w:pStyle w:val="COMESmainissue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833CE1"/>
    <w:multiLevelType w:val="multilevel"/>
    <w:tmpl w:val="1DA4A67E"/>
    <w:lvl w:ilvl="0">
      <w:start w:val="1"/>
      <w:numFmt w:val="decimal"/>
      <w:lvlText w:val="%1"/>
      <w:lvlJc w:val="left"/>
      <w:pPr>
        <w:ind w:left="720" w:hanging="720"/>
      </w:pPr>
      <w:rPr>
        <w:rFonts w:ascii="Calibri" w:hAnsi="Calibri" w:hint="default"/>
        <w:b/>
        <w:i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551235"/>
    <w:multiLevelType w:val="hybridMultilevel"/>
    <w:tmpl w:val="2CBEBCD8"/>
    <w:lvl w:ilvl="0" w:tplc="426E0A5A">
      <w:start w:val="1"/>
      <w:numFmt w:val="decimal"/>
      <w:lvlText w:val="%1."/>
      <w:lvlJc w:val="left"/>
      <w:pPr>
        <w:ind w:left="720" w:hanging="360"/>
      </w:pPr>
      <w:rPr>
        <w:rFonts w:ascii="Calibri" w:hAnsi="Calibri" w:cs="Calibri" w:hint="default"/>
        <w:i w:val="0"/>
        <w:i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A03371"/>
    <w:multiLevelType w:val="hybridMultilevel"/>
    <w:tmpl w:val="80247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46AD7"/>
    <w:multiLevelType w:val="hybridMultilevel"/>
    <w:tmpl w:val="C938F272"/>
    <w:lvl w:ilvl="0" w:tplc="CFE87BE0">
      <w:start w:val="1"/>
      <w:numFmt w:val="bullet"/>
      <w:pStyle w:val="ListParagraph"/>
      <w:lvlText w:val=""/>
      <w:lvlJc w:val="left"/>
      <w:pPr>
        <w:ind w:left="1440" w:hanging="360"/>
      </w:pPr>
      <w:rPr>
        <w:rFonts w:ascii="Symbol" w:hAnsi="Symbol" w:hint="default"/>
      </w:rPr>
    </w:lvl>
    <w:lvl w:ilvl="1" w:tplc="C1A6A56A">
      <w:numFmt w:val="bullet"/>
      <w:lvlText w:val="•"/>
      <w:lvlJc w:val="left"/>
      <w:pPr>
        <w:ind w:left="2160" w:hanging="360"/>
      </w:pPr>
      <w:rPr>
        <w:rFonts w:ascii="Arial Narrow" w:eastAsiaTheme="majorEastAsia" w:hAnsi="Arial Narrow" w:cstheme="majorBid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4A2666C"/>
    <w:multiLevelType w:val="hybridMultilevel"/>
    <w:tmpl w:val="294A60DE"/>
    <w:lvl w:ilvl="0" w:tplc="985A44CA">
      <w:start w:val="55"/>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F3780"/>
    <w:multiLevelType w:val="hybridMultilevel"/>
    <w:tmpl w:val="DE307B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Templateinstructions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01ECA"/>
    <w:multiLevelType w:val="hybridMultilevel"/>
    <w:tmpl w:val="C5165AC2"/>
    <w:lvl w:ilvl="0" w:tplc="985A44CA">
      <w:start w:val="55"/>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D27A6"/>
    <w:multiLevelType w:val="hybridMultilevel"/>
    <w:tmpl w:val="E99EEB96"/>
    <w:lvl w:ilvl="0" w:tplc="8A48566A">
      <w:start w:val="1"/>
      <w:numFmt w:val="bullet"/>
      <w:lvlText w:val=""/>
      <w:lvlJc w:val="left"/>
      <w:pPr>
        <w:ind w:left="1080" w:hanging="360"/>
      </w:pPr>
      <w:rPr>
        <w:rFonts w:ascii="Symbol" w:hAnsi="Symbol" w:hint="default"/>
      </w:rPr>
    </w:lvl>
    <w:lvl w:ilvl="1" w:tplc="9C5E5BE4">
      <w:start w:val="1"/>
      <w:numFmt w:val="bullet"/>
      <w:lvlText w:val="o"/>
      <w:lvlJc w:val="left"/>
      <w:pPr>
        <w:ind w:left="1800" w:hanging="360"/>
      </w:pPr>
      <w:rPr>
        <w:rFonts w:ascii="Courier New" w:hAnsi="Courier New" w:hint="default"/>
      </w:rPr>
    </w:lvl>
    <w:lvl w:ilvl="2" w:tplc="9CBEA8A4">
      <w:start w:val="1"/>
      <w:numFmt w:val="bullet"/>
      <w:lvlText w:val=""/>
      <w:lvlJc w:val="left"/>
      <w:pPr>
        <w:ind w:left="2520" w:hanging="360"/>
      </w:pPr>
      <w:rPr>
        <w:rFonts w:ascii="Wingdings" w:hAnsi="Wingdings" w:hint="default"/>
      </w:rPr>
    </w:lvl>
    <w:lvl w:ilvl="3" w:tplc="1968EE36">
      <w:start w:val="1"/>
      <w:numFmt w:val="bullet"/>
      <w:lvlText w:val=""/>
      <w:lvlJc w:val="left"/>
      <w:pPr>
        <w:ind w:left="3240" w:hanging="360"/>
      </w:pPr>
      <w:rPr>
        <w:rFonts w:ascii="Symbol" w:hAnsi="Symbol" w:hint="default"/>
      </w:rPr>
    </w:lvl>
    <w:lvl w:ilvl="4" w:tplc="163088CC">
      <w:start w:val="1"/>
      <w:numFmt w:val="bullet"/>
      <w:lvlText w:val="o"/>
      <w:lvlJc w:val="left"/>
      <w:pPr>
        <w:ind w:left="3960" w:hanging="360"/>
      </w:pPr>
      <w:rPr>
        <w:rFonts w:ascii="Courier New" w:hAnsi="Courier New" w:hint="default"/>
      </w:rPr>
    </w:lvl>
    <w:lvl w:ilvl="5" w:tplc="83AE4572">
      <w:start w:val="1"/>
      <w:numFmt w:val="bullet"/>
      <w:lvlText w:val=""/>
      <w:lvlJc w:val="left"/>
      <w:pPr>
        <w:ind w:left="4680" w:hanging="360"/>
      </w:pPr>
      <w:rPr>
        <w:rFonts w:ascii="Wingdings" w:hAnsi="Wingdings" w:hint="default"/>
      </w:rPr>
    </w:lvl>
    <w:lvl w:ilvl="6" w:tplc="7D6AB0AA">
      <w:start w:val="1"/>
      <w:numFmt w:val="bullet"/>
      <w:lvlText w:val=""/>
      <w:lvlJc w:val="left"/>
      <w:pPr>
        <w:ind w:left="5400" w:hanging="360"/>
      </w:pPr>
      <w:rPr>
        <w:rFonts w:ascii="Symbol" w:hAnsi="Symbol" w:hint="default"/>
      </w:rPr>
    </w:lvl>
    <w:lvl w:ilvl="7" w:tplc="DA64BAD4">
      <w:start w:val="1"/>
      <w:numFmt w:val="bullet"/>
      <w:lvlText w:val="o"/>
      <w:lvlJc w:val="left"/>
      <w:pPr>
        <w:ind w:left="6120" w:hanging="360"/>
      </w:pPr>
      <w:rPr>
        <w:rFonts w:ascii="Courier New" w:hAnsi="Courier New" w:hint="default"/>
      </w:rPr>
    </w:lvl>
    <w:lvl w:ilvl="8" w:tplc="0ABACB40">
      <w:start w:val="1"/>
      <w:numFmt w:val="bullet"/>
      <w:lvlText w:val=""/>
      <w:lvlJc w:val="left"/>
      <w:pPr>
        <w:ind w:left="684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F435DC"/>
    <w:multiLevelType w:val="multilevel"/>
    <w:tmpl w:val="BC78D2F6"/>
    <w:lvl w:ilvl="0">
      <w:start w:val="1"/>
      <w:numFmt w:val="decimal"/>
      <w:lvlText w:val="%1"/>
      <w:lvlJc w:val="left"/>
      <w:pPr>
        <w:ind w:left="720" w:hanging="720"/>
      </w:pPr>
      <w:rPr>
        <w:rFonts w:ascii="Calibri" w:hAnsi="Calibri" w:hint="default"/>
        <w:b/>
        <w:i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06F8CC2"/>
    <w:multiLevelType w:val="hybridMultilevel"/>
    <w:tmpl w:val="3EF6D05C"/>
    <w:lvl w:ilvl="0" w:tplc="EB664408">
      <w:numFmt w:val="none"/>
      <w:lvlText w:val=""/>
      <w:lvlJc w:val="left"/>
      <w:pPr>
        <w:tabs>
          <w:tab w:val="num" w:pos="360"/>
        </w:tabs>
      </w:pPr>
    </w:lvl>
    <w:lvl w:ilvl="1" w:tplc="391AED74">
      <w:start w:val="1"/>
      <w:numFmt w:val="lowerLetter"/>
      <w:lvlText w:val="%2."/>
      <w:lvlJc w:val="left"/>
      <w:pPr>
        <w:ind w:left="1440" w:hanging="360"/>
      </w:pPr>
    </w:lvl>
    <w:lvl w:ilvl="2" w:tplc="3A0E85D0">
      <w:start w:val="1"/>
      <w:numFmt w:val="lowerRoman"/>
      <w:lvlText w:val="%3."/>
      <w:lvlJc w:val="right"/>
      <w:pPr>
        <w:ind w:left="2160" w:hanging="180"/>
      </w:pPr>
    </w:lvl>
    <w:lvl w:ilvl="3" w:tplc="1EC6EBAE">
      <w:start w:val="1"/>
      <w:numFmt w:val="decimal"/>
      <w:lvlText w:val="%4."/>
      <w:lvlJc w:val="left"/>
      <w:pPr>
        <w:ind w:left="2880" w:hanging="360"/>
      </w:pPr>
    </w:lvl>
    <w:lvl w:ilvl="4" w:tplc="373456A6">
      <w:start w:val="1"/>
      <w:numFmt w:val="lowerLetter"/>
      <w:lvlText w:val="%5."/>
      <w:lvlJc w:val="left"/>
      <w:pPr>
        <w:ind w:left="3600" w:hanging="360"/>
      </w:pPr>
    </w:lvl>
    <w:lvl w:ilvl="5" w:tplc="B3E4B5CE">
      <w:start w:val="1"/>
      <w:numFmt w:val="lowerRoman"/>
      <w:lvlText w:val="%6."/>
      <w:lvlJc w:val="right"/>
      <w:pPr>
        <w:ind w:left="4320" w:hanging="180"/>
      </w:pPr>
    </w:lvl>
    <w:lvl w:ilvl="6" w:tplc="3F22468E">
      <w:start w:val="1"/>
      <w:numFmt w:val="decimal"/>
      <w:lvlText w:val="%7."/>
      <w:lvlJc w:val="left"/>
      <w:pPr>
        <w:ind w:left="5040" w:hanging="360"/>
      </w:pPr>
    </w:lvl>
    <w:lvl w:ilvl="7" w:tplc="3758873C">
      <w:start w:val="1"/>
      <w:numFmt w:val="lowerLetter"/>
      <w:lvlText w:val="%8."/>
      <w:lvlJc w:val="left"/>
      <w:pPr>
        <w:ind w:left="5760" w:hanging="360"/>
      </w:pPr>
    </w:lvl>
    <w:lvl w:ilvl="8" w:tplc="A5BEF19A">
      <w:start w:val="1"/>
      <w:numFmt w:val="lowerRoman"/>
      <w:lvlText w:val="%9."/>
      <w:lvlJc w:val="right"/>
      <w:pPr>
        <w:ind w:left="6480" w:hanging="180"/>
      </w:pPr>
    </w:lvl>
  </w:abstractNum>
  <w:abstractNum w:abstractNumId="2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4A43EEF"/>
    <w:multiLevelType w:val="hybridMultilevel"/>
    <w:tmpl w:val="146014D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0" w15:restartNumberingAfterBreak="0">
    <w:nsid w:val="66E5B4EE"/>
    <w:multiLevelType w:val="hybridMultilevel"/>
    <w:tmpl w:val="D806F9D8"/>
    <w:lvl w:ilvl="0" w:tplc="8B583BB6">
      <w:numFmt w:val="none"/>
      <w:lvlText w:val=""/>
      <w:lvlJc w:val="left"/>
      <w:pPr>
        <w:tabs>
          <w:tab w:val="num" w:pos="360"/>
        </w:tabs>
      </w:pPr>
    </w:lvl>
    <w:lvl w:ilvl="1" w:tplc="1D8A7C06">
      <w:start w:val="1"/>
      <w:numFmt w:val="lowerLetter"/>
      <w:lvlText w:val="%2."/>
      <w:lvlJc w:val="left"/>
      <w:pPr>
        <w:ind w:left="1440" w:hanging="360"/>
      </w:pPr>
    </w:lvl>
    <w:lvl w:ilvl="2" w:tplc="634CC868">
      <w:start w:val="1"/>
      <w:numFmt w:val="lowerRoman"/>
      <w:lvlText w:val="%3."/>
      <w:lvlJc w:val="right"/>
      <w:pPr>
        <w:ind w:left="2160" w:hanging="180"/>
      </w:pPr>
    </w:lvl>
    <w:lvl w:ilvl="3" w:tplc="EC08AE46">
      <w:start w:val="1"/>
      <w:numFmt w:val="decimal"/>
      <w:lvlText w:val="%4."/>
      <w:lvlJc w:val="left"/>
      <w:pPr>
        <w:ind w:left="2880" w:hanging="360"/>
      </w:pPr>
    </w:lvl>
    <w:lvl w:ilvl="4" w:tplc="61D20B92">
      <w:start w:val="1"/>
      <w:numFmt w:val="lowerLetter"/>
      <w:lvlText w:val="%5."/>
      <w:lvlJc w:val="left"/>
      <w:pPr>
        <w:ind w:left="3600" w:hanging="360"/>
      </w:pPr>
    </w:lvl>
    <w:lvl w:ilvl="5" w:tplc="3BA80D24">
      <w:start w:val="1"/>
      <w:numFmt w:val="lowerRoman"/>
      <w:lvlText w:val="%6."/>
      <w:lvlJc w:val="right"/>
      <w:pPr>
        <w:ind w:left="4320" w:hanging="180"/>
      </w:pPr>
    </w:lvl>
    <w:lvl w:ilvl="6" w:tplc="7ED2DAE0">
      <w:start w:val="1"/>
      <w:numFmt w:val="decimal"/>
      <w:lvlText w:val="%7."/>
      <w:lvlJc w:val="left"/>
      <w:pPr>
        <w:ind w:left="5040" w:hanging="360"/>
      </w:pPr>
    </w:lvl>
    <w:lvl w:ilvl="7" w:tplc="4BF0BB04">
      <w:start w:val="1"/>
      <w:numFmt w:val="lowerLetter"/>
      <w:lvlText w:val="%8."/>
      <w:lvlJc w:val="left"/>
      <w:pPr>
        <w:ind w:left="5760" w:hanging="360"/>
      </w:pPr>
    </w:lvl>
    <w:lvl w:ilvl="8" w:tplc="085295D0">
      <w:start w:val="1"/>
      <w:numFmt w:val="lowerRoman"/>
      <w:lvlText w:val="%9."/>
      <w:lvlJc w:val="right"/>
      <w:pPr>
        <w:ind w:left="6480" w:hanging="180"/>
      </w:pPr>
    </w:lvl>
  </w:abstractNum>
  <w:abstractNum w:abstractNumId="31" w15:restartNumberingAfterBreak="0">
    <w:nsid w:val="6AF22442"/>
    <w:multiLevelType w:val="hybridMultilevel"/>
    <w:tmpl w:val="9BA0DDB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EF6DFA"/>
    <w:multiLevelType w:val="hybridMultilevel"/>
    <w:tmpl w:val="5D9ED1EC"/>
    <w:lvl w:ilvl="0" w:tplc="985A44CA">
      <w:start w:val="55"/>
      <w:numFmt w:val="bullet"/>
      <w:lvlText w:val="-"/>
      <w:lvlJc w:val="left"/>
      <w:pPr>
        <w:ind w:left="360" w:hanging="360"/>
      </w:pPr>
      <w:rPr>
        <w:rFonts w:ascii="Arial Narrow" w:eastAsiaTheme="majorEastAsia" w:hAnsi="Arial Narrow" w:cstheme="maj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D3F5B78"/>
    <w:multiLevelType w:val="hybridMultilevel"/>
    <w:tmpl w:val="9DBCE732"/>
    <w:lvl w:ilvl="0" w:tplc="1DCC7914">
      <w:start w:val="1"/>
      <w:numFmt w:val="bullet"/>
      <w:lvlText w:val=""/>
      <w:lvlJc w:val="left"/>
      <w:pPr>
        <w:tabs>
          <w:tab w:val="num" w:pos="720"/>
        </w:tabs>
        <w:ind w:left="720" w:hanging="360"/>
      </w:pPr>
      <w:rPr>
        <w:rFonts w:ascii="Symbol" w:hAnsi="Symbol" w:hint="default"/>
      </w:rPr>
    </w:lvl>
    <w:lvl w:ilvl="1" w:tplc="506EE89A" w:tentative="1">
      <w:start w:val="1"/>
      <w:numFmt w:val="bullet"/>
      <w:lvlText w:val=""/>
      <w:lvlJc w:val="left"/>
      <w:pPr>
        <w:tabs>
          <w:tab w:val="num" w:pos="1440"/>
        </w:tabs>
        <w:ind w:left="1440" w:hanging="360"/>
      </w:pPr>
      <w:rPr>
        <w:rFonts w:ascii="Symbol" w:hAnsi="Symbol" w:hint="default"/>
      </w:rPr>
    </w:lvl>
    <w:lvl w:ilvl="2" w:tplc="1DCC6EAE" w:tentative="1">
      <w:start w:val="1"/>
      <w:numFmt w:val="bullet"/>
      <w:lvlText w:val=""/>
      <w:lvlJc w:val="left"/>
      <w:pPr>
        <w:tabs>
          <w:tab w:val="num" w:pos="2160"/>
        </w:tabs>
        <w:ind w:left="2160" w:hanging="360"/>
      </w:pPr>
      <w:rPr>
        <w:rFonts w:ascii="Symbol" w:hAnsi="Symbol" w:hint="default"/>
      </w:rPr>
    </w:lvl>
    <w:lvl w:ilvl="3" w:tplc="9CF4C370" w:tentative="1">
      <w:start w:val="1"/>
      <w:numFmt w:val="bullet"/>
      <w:lvlText w:val=""/>
      <w:lvlJc w:val="left"/>
      <w:pPr>
        <w:tabs>
          <w:tab w:val="num" w:pos="2880"/>
        </w:tabs>
        <w:ind w:left="2880" w:hanging="360"/>
      </w:pPr>
      <w:rPr>
        <w:rFonts w:ascii="Symbol" w:hAnsi="Symbol" w:hint="default"/>
      </w:rPr>
    </w:lvl>
    <w:lvl w:ilvl="4" w:tplc="53CE735A" w:tentative="1">
      <w:start w:val="1"/>
      <w:numFmt w:val="bullet"/>
      <w:lvlText w:val=""/>
      <w:lvlJc w:val="left"/>
      <w:pPr>
        <w:tabs>
          <w:tab w:val="num" w:pos="3600"/>
        </w:tabs>
        <w:ind w:left="3600" w:hanging="360"/>
      </w:pPr>
      <w:rPr>
        <w:rFonts w:ascii="Symbol" w:hAnsi="Symbol" w:hint="default"/>
      </w:rPr>
    </w:lvl>
    <w:lvl w:ilvl="5" w:tplc="E8046FAA" w:tentative="1">
      <w:start w:val="1"/>
      <w:numFmt w:val="bullet"/>
      <w:lvlText w:val=""/>
      <w:lvlJc w:val="left"/>
      <w:pPr>
        <w:tabs>
          <w:tab w:val="num" w:pos="4320"/>
        </w:tabs>
        <w:ind w:left="4320" w:hanging="360"/>
      </w:pPr>
      <w:rPr>
        <w:rFonts w:ascii="Symbol" w:hAnsi="Symbol" w:hint="default"/>
      </w:rPr>
    </w:lvl>
    <w:lvl w:ilvl="6" w:tplc="6F52049C" w:tentative="1">
      <w:start w:val="1"/>
      <w:numFmt w:val="bullet"/>
      <w:lvlText w:val=""/>
      <w:lvlJc w:val="left"/>
      <w:pPr>
        <w:tabs>
          <w:tab w:val="num" w:pos="5040"/>
        </w:tabs>
        <w:ind w:left="5040" w:hanging="360"/>
      </w:pPr>
      <w:rPr>
        <w:rFonts w:ascii="Symbol" w:hAnsi="Symbol" w:hint="default"/>
      </w:rPr>
    </w:lvl>
    <w:lvl w:ilvl="7" w:tplc="1E109A70" w:tentative="1">
      <w:start w:val="1"/>
      <w:numFmt w:val="bullet"/>
      <w:lvlText w:val=""/>
      <w:lvlJc w:val="left"/>
      <w:pPr>
        <w:tabs>
          <w:tab w:val="num" w:pos="5760"/>
        </w:tabs>
        <w:ind w:left="5760" w:hanging="360"/>
      </w:pPr>
      <w:rPr>
        <w:rFonts w:ascii="Symbol" w:hAnsi="Symbol" w:hint="default"/>
      </w:rPr>
    </w:lvl>
    <w:lvl w:ilvl="8" w:tplc="438A8D14"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22F34D4"/>
    <w:multiLevelType w:val="hybridMultilevel"/>
    <w:tmpl w:val="F0E66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8D707F"/>
    <w:multiLevelType w:val="hybridMultilevel"/>
    <w:tmpl w:val="CF52363E"/>
    <w:lvl w:ilvl="0" w:tplc="55B0911C">
      <w:numFmt w:val="none"/>
      <w:lvlText w:val=""/>
      <w:lvlJc w:val="left"/>
      <w:pPr>
        <w:tabs>
          <w:tab w:val="num" w:pos="360"/>
        </w:tabs>
      </w:pPr>
    </w:lvl>
    <w:lvl w:ilvl="1" w:tplc="85604F36">
      <w:start w:val="1"/>
      <w:numFmt w:val="lowerLetter"/>
      <w:lvlText w:val="%2."/>
      <w:lvlJc w:val="left"/>
      <w:pPr>
        <w:ind w:left="1440" w:hanging="360"/>
      </w:pPr>
    </w:lvl>
    <w:lvl w:ilvl="2" w:tplc="4FA27DD6">
      <w:start w:val="1"/>
      <w:numFmt w:val="lowerRoman"/>
      <w:lvlText w:val="%3."/>
      <w:lvlJc w:val="right"/>
      <w:pPr>
        <w:ind w:left="2160" w:hanging="180"/>
      </w:pPr>
    </w:lvl>
    <w:lvl w:ilvl="3" w:tplc="170A2344">
      <w:start w:val="1"/>
      <w:numFmt w:val="decimal"/>
      <w:lvlText w:val="%4."/>
      <w:lvlJc w:val="left"/>
      <w:pPr>
        <w:ind w:left="2880" w:hanging="360"/>
      </w:pPr>
    </w:lvl>
    <w:lvl w:ilvl="4" w:tplc="66C63F78">
      <w:start w:val="1"/>
      <w:numFmt w:val="lowerLetter"/>
      <w:lvlText w:val="%5."/>
      <w:lvlJc w:val="left"/>
      <w:pPr>
        <w:ind w:left="3600" w:hanging="360"/>
      </w:pPr>
    </w:lvl>
    <w:lvl w:ilvl="5" w:tplc="2A24306A">
      <w:start w:val="1"/>
      <w:numFmt w:val="lowerRoman"/>
      <w:lvlText w:val="%6."/>
      <w:lvlJc w:val="right"/>
      <w:pPr>
        <w:ind w:left="4320" w:hanging="180"/>
      </w:pPr>
    </w:lvl>
    <w:lvl w:ilvl="6" w:tplc="CC5EB1DA">
      <w:start w:val="1"/>
      <w:numFmt w:val="decimal"/>
      <w:lvlText w:val="%7."/>
      <w:lvlJc w:val="left"/>
      <w:pPr>
        <w:ind w:left="5040" w:hanging="360"/>
      </w:pPr>
    </w:lvl>
    <w:lvl w:ilvl="7" w:tplc="867E316C">
      <w:start w:val="1"/>
      <w:numFmt w:val="lowerLetter"/>
      <w:lvlText w:val="%8."/>
      <w:lvlJc w:val="left"/>
      <w:pPr>
        <w:ind w:left="5760" w:hanging="360"/>
      </w:pPr>
    </w:lvl>
    <w:lvl w:ilvl="8" w:tplc="79DC75AC">
      <w:start w:val="1"/>
      <w:numFmt w:val="lowerRoman"/>
      <w:lvlText w:val="%9."/>
      <w:lvlJc w:val="right"/>
      <w:pPr>
        <w:ind w:left="6480" w:hanging="180"/>
      </w:pPr>
    </w:lvl>
  </w:abstractNum>
  <w:abstractNum w:abstractNumId="38" w15:restartNumberingAfterBreak="0">
    <w:nsid w:val="784D033C"/>
    <w:multiLevelType w:val="multilevel"/>
    <w:tmpl w:val="BFE2D8F8"/>
    <w:lvl w:ilvl="0">
      <w:start w:val="1"/>
      <w:numFmt w:val="decimal"/>
      <w:pStyle w:val="COMESH2"/>
      <w:lvlText w:val="%1"/>
      <w:lvlJc w:val="left"/>
      <w:pPr>
        <w:ind w:left="720" w:hanging="720"/>
      </w:pPr>
      <w:rPr>
        <w:rFonts w:ascii="Calibri" w:hAnsi="Calibri" w:hint="default"/>
        <w:b/>
        <w:i w:val="0"/>
      </w:rPr>
    </w:lvl>
    <w:lvl w:ilvl="1">
      <w:start w:val="1"/>
      <w:numFmt w:val="decimal"/>
      <w:pStyle w:val="COMESnumberedpara"/>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4F2F25"/>
    <w:multiLevelType w:val="hybridMultilevel"/>
    <w:tmpl w:val="A680F53E"/>
    <w:lvl w:ilvl="0" w:tplc="0754643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77392C"/>
    <w:multiLevelType w:val="hybridMultilevel"/>
    <w:tmpl w:val="312E16E2"/>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1" w15:restartNumberingAfterBreak="0">
    <w:nsid w:val="7F680B5F"/>
    <w:multiLevelType w:val="hybridMultilevel"/>
    <w:tmpl w:val="B25C0376"/>
    <w:lvl w:ilvl="0" w:tplc="14E26346">
      <w:start w:val="1"/>
      <w:numFmt w:val="lowerLetter"/>
      <w:lvlText w:val="%1)"/>
      <w:lvlJc w:val="left"/>
      <w:pPr>
        <w:ind w:left="1440" w:hanging="360"/>
      </w:pPr>
      <w:rPr>
        <w:i w:val="0"/>
        <w:i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98162897">
    <w:abstractNumId w:val="22"/>
  </w:num>
  <w:num w:numId="2" w16cid:durableId="1632205528">
    <w:abstractNumId w:val="27"/>
  </w:num>
  <w:num w:numId="3" w16cid:durableId="1897815689">
    <w:abstractNumId w:val="8"/>
  </w:num>
  <w:num w:numId="4" w16cid:durableId="1190341052">
    <w:abstractNumId w:val="37"/>
  </w:num>
  <w:num w:numId="5" w16cid:durableId="657226190">
    <w:abstractNumId w:val="30"/>
  </w:num>
  <w:num w:numId="6" w16cid:durableId="816186631">
    <w:abstractNumId w:val="38"/>
  </w:num>
  <w:num w:numId="7" w16cid:durableId="917793048">
    <w:abstractNumId w:val="20"/>
  </w:num>
  <w:num w:numId="8" w16cid:durableId="220360847">
    <w:abstractNumId w:val="28"/>
  </w:num>
  <w:num w:numId="9" w16cid:durableId="268196418">
    <w:abstractNumId w:val="17"/>
  </w:num>
  <w:num w:numId="10" w16cid:durableId="1048839230">
    <w:abstractNumId w:val="38"/>
  </w:num>
  <w:num w:numId="11" w16cid:durableId="374349641">
    <w:abstractNumId w:val="0"/>
  </w:num>
  <w:num w:numId="12" w16cid:durableId="1681078653">
    <w:abstractNumId w:val="10"/>
  </w:num>
  <w:num w:numId="13" w16cid:durableId="18014609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0735462">
    <w:abstractNumId w:val="29"/>
  </w:num>
  <w:num w:numId="15" w16cid:durableId="944077282">
    <w:abstractNumId w:val="9"/>
  </w:num>
  <w:num w:numId="16" w16cid:durableId="1004822495">
    <w:abstractNumId w:val="21"/>
  </w:num>
  <w:num w:numId="17" w16cid:durableId="888615913">
    <w:abstractNumId w:val="18"/>
  </w:num>
  <w:num w:numId="18" w16cid:durableId="1802377071">
    <w:abstractNumId w:val="33"/>
  </w:num>
  <w:num w:numId="19" w16cid:durableId="2107650264">
    <w:abstractNumId w:val="7"/>
  </w:num>
  <w:num w:numId="20" w16cid:durableId="1097872934">
    <w:abstractNumId w:val="2"/>
  </w:num>
  <w:num w:numId="21" w16cid:durableId="723333493">
    <w:abstractNumId w:val="6"/>
  </w:num>
  <w:num w:numId="22" w16cid:durableId="1757363947">
    <w:abstractNumId w:val="39"/>
  </w:num>
  <w:num w:numId="23" w16cid:durableId="67844984">
    <w:abstractNumId w:val="14"/>
  </w:num>
  <w:num w:numId="24" w16cid:durableId="516848714">
    <w:abstractNumId w:val="40"/>
  </w:num>
  <w:num w:numId="25" w16cid:durableId="1758356004">
    <w:abstractNumId w:val="41"/>
  </w:num>
  <w:num w:numId="26" w16cid:durableId="126240624">
    <w:abstractNumId w:val="31"/>
  </w:num>
  <w:num w:numId="27" w16cid:durableId="1507749685">
    <w:abstractNumId w:val="34"/>
  </w:num>
  <w:num w:numId="28" w16cid:durableId="352343115">
    <w:abstractNumId w:val="4"/>
  </w:num>
  <w:num w:numId="29" w16cid:durableId="1442530618">
    <w:abstractNumId w:val="13"/>
  </w:num>
  <w:num w:numId="30" w16cid:durableId="363988700">
    <w:abstractNumId w:val="32"/>
  </w:num>
  <w:num w:numId="31" w16cid:durableId="672953434">
    <w:abstractNumId w:val="36"/>
  </w:num>
  <w:num w:numId="32" w16cid:durableId="1369837859">
    <w:abstractNumId w:val="16"/>
  </w:num>
  <w:num w:numId="33" w16cid:durableId="1573005167">
    <w:abstractNumId w:val="23"/>
  </w:num>
  <w:num w:numId="34" w16cid:durableId="408699874">
    <w:abstractNumId w:val="24"/>
  </w:num>
  <w:num w:numId="35" w16cid:durableId="1569418770">
    <w:abstractNumId w:val="5"/>
  </w:num>
  <w:num w:numId="36" w16cid:durableId="705176722">
    <w:abstractNumId w:val="1"/>
  </w:num>
  <w:num w:numId="37" w16cid:durableId="1926569401">
    <w:abstractNumId w:val="12"/>
  </w:num>
  <w:num w:numId="38" w16cid:durableId="1979457665">
    <w:abstractNumId w:val="15"/>
  </w:num>
  <w:num w:numId="39" w16cid:durableId="2038313566">
    <w:abstractNumId w:val="11"/>
  </w:num>
  <w:num w:numId="40" w16cid:durableId="129744317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997201">
    <w:abstractNumId w:val="35"/>
  </w:num>
  <w:num w:numId="42" w16cid:durableId="348216114">
    <w:abstractNumId w:val="3"/>
  </w:num>
  <w:num w:numId="43" w16cid:durableId="1419981331">
    <w:abstractNumId w:val="19"/>
  </w:num>
  <w:num w:numId="44" w16cid:durableId="2043821805">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F4B"/>
    <w:rsid w:val="0000110B"/>
    <w:rsid w:val="000018FF"/>
    <w:rsid w:val="00001BD2"/>
    <w:rsid w:val="0000213F"/>
    <w:rsid w:val="00002150"/>
    <w:rsid w:val="000023DD"/>
    <w:rsid w:val="00002640"/>
    <w:rsid w:val="00002C96"/>
    <w:rsid w:val="00003240"/>
    <w:rsid w:val="0000327E"/>
    <w:rsid w:val="0000342D"/>
    <w:rsid w:val="00003499"/>
    <w:rsid w:val="00003667"/>
    <w:rsid w:val="000039B7"/>
    <w:rsid w:val="00003ADF"/>
    <w:rsid w:val="00003B45"/>
    <w:rsid w:val="000042EF"/>
    <w:rsid w:val="000048AC"/>
    <w:rsid w:val="00004EFB"/>
    <w:rsid w:val="00005015"/>
    <w:rsid w:val="00005282"/>
    <w:rsid w:val="000056B9"/>
    <w:rsid w:val="00005AC5"/>
    <w:rsid w:val="00005E7C"/>
    <w:rsid w:val="0000639A"/>
    <w:rsid w:val="00007369"/>
    <w:rsid w:val="00007384"/>
    <w:rsid w:val="00007509"/>
    <w:rsid w:val="00007558"/>
    <w:rsid w:val="0000787F"/>
    <w:rsid w:val="0001053C"/>
    <w:rsid w:val="00010684"/>
    <w:rsid w:val="000107B7"/>
    <w:rsid w:val="000107CF"/>
    <w:rsid w:val="00010EC9"/>
    <w:rsid w:val="000114D5"/>
    <w:rsid w:val="000114E5"/>
    <w:rsid w:val="00011986"/>
    <w:rsid w:val="00011AD4"/>
    <w:rsid w:val="00011B18"/>
    <w:rsid w:val="000120BD"/>
    <w:rsid w:val="00012468"/>
    <w:rsid w:val="00012696"/>
    <w:rsid w:val="000126F0"/>
    <w:rsid w:val="00012E99"/>
    <w:rsid w:val="00013247"/>
    <w:rsid w:val="000138DE"/>
    <w:rsid w:val="00014246"/>
    <w:rsid w:val="00014580"/>
    <w:rsid w:val="000146B8"/>
    <w:rsid w:val="00014AB6"/>
    <w:rsid w:val="00014D25"/>
    <w:rsid w:val="000152E2"/>
    <w:rsid w:val="00015370"/>
    <w:rsid w:val="00015886"/>
    <w:rsid w:val="00015A9E"/>
    <w:rsid w:val="00015D64"/>
    <w:rsid w:val="00015E56"/>
    <w:rsid w:val="00015EEF"/>
    <w:rsid w:val="000162EF"/>
    <w:rsid w:val="000171D8"/>
    <w:rsid w:val="000171E4"/>
    <w:rsid w:val="00017BAF"/>
    <w:rsid w:val="000207C9"/>
    <w:rsid w:val="00020B23"/>
    <w:rsid w:val="000218C3"/>
    <w:rsid w:val="00021BA1"/>
    <w:rsid w:val="0002225F"/>
    <w:rsid w:val="00022534"/>
    <w:rsid w:val="00022628"/>
    <w:rsid w:val="000229B1"/>
    <w:rsid w:val="00022E92"/>
    <w:rsid w:val="00023024"/>
    <w:rsid w:val="00023268"/>
    <w:rsid w:val="00023763"/>
    <w:rsid w:val="000237B7"/>
    <w:rsid w:val="00024EB5"/>
    <w:rsid w:val="00024F47"/>
    <w:rsid w:val="0002500A"/>
    <w:rsid w:val="00025765"/>
    <w:rsid w:val="00026F6A"/>
    <w:rsid w:val="00027468"/>
    <w:rsid w:val="000274B8"/>
    <w:rsid w:val="000276E4"/>
    <w:rsid w:val="00027E5A"/>
    <w:rsid w:val="00027F78"/>
    <w:rsid w:val="0003037E"/>
    <w:rsid w:val="000303B6"/>
    <w:rsid w:val="00030441"/>
    <w:rsid w:val="0003161F"/>
    <w:rsid w:val="00031E8D"/>
    <w:rsid w:val="00031E9E"/>
    <w:rsid w:val="0003204C"/>
    <w:rsid w:val="0003250A"/>
    <w:rsid w:val="000331F7"/>
    <w:rsid w:val="000334A6"/>
    <w:rsid w:val="00033863"/>
    <w:rsid w:val="000339F6"/>
    <w:rsid w:val="00033BA7"/>
    <w:rsid w:val="00033F2E"/>
    <w:rsid w:val="00033F49"/>
    <w:rsid w:val="00034535"/>
    <w:rsid w:val="00034B38"/>
    <w:rsid w:val="0003573D"/>
    <w:rsid w:val="00035767"/>
    <w:rsid w:val="00035B5F"/>
    <w:rsid w:val="00035B96"/>
    <w:rsid w:val="00035DC0"/>
    <w:rsid w:val="00035F59"/>
    <w:rsid w:val="00036829"/>
    <w:rsid w:val="00036D10"/>
    <w:rsid w:val="00040895"/>
    <w:rsid w:val="00040CC0"/>
    <w:rsid w:val="000410A0"/>
    <w:rsid w:val="00041E68"/>
    <w:rsid w:val="00042152"/>
    <w:rsid w:val="00042355"/>
    <w:rsid w:val="0004246A"/>
    <w:rsid w:val="00042535"/>
    <w:rsid w:val="00042FCE"/>
    <w:rsid w:val="000430A3"/>
    <w:rsid w:val="00043162"/>
    <w:rsid w:val="00043495"/>
    <w:rsid w:val="00043532"/>
    <w:rsid w:val="000435EE"/>
    <w:rsid w:val="00043C2C"/>
    <w:rsid w:val="00043C37"/>
    <w:rsid w:val="00043E59"/>
    <w:rsid w:val="00044E89"/>
    <w:rsid w:val="00045017"/>
    <w:rsid w:val="00045A2B"/>
    <w:rsid w:val="00045B42"/>
    <w:rsid w:val="000464E5"/>
    <w:rsid w:val="000465C5"/>
    <w:rsid w:val="0004698F"/>
    <w:rsid w:val="00046A34"/>
    <w:rsid w:val="00046D64"/>
    <w:rsid w:val="00047AAA"/>
    <w:rsid w:val="00047B06"/>
    <w:rsid w:val="000505AD"/>
    <w:rsid w:val="000508C2"/>
    <w:rsid w:val="000509EE"/>
    <w:rsid w:val="00050A64"/>
    <w:rsid w:val="00052062"/>
    <w:rsid w:val="00052442"/>
    <w:rsid w:val="00052D4F"/>
    <w:rsid w:val="000533DA"/>
    <w:rsid w:val="0005348A"/>
    <w:rsid w:val="000536F3"/>
    <w:rsid w:val="000539D0"/>
    <w:rsid w:val="00054621"/>
    <w:rsid w:val="000546D7"/>
    <w:rsid w:val="00054798"/>
    <w:rsid w:val="00054A8D"/>
    <w:rsid w:val="00054AAB"/>
    <w:rsid w:val="00054CF7"/>
    <w:rsid w:val="00054EAD"/>
    <w:rsid w:val="000552DE"/>
    <w:rsid w:val="00055C89"/>
    <w:rsid w:val="00055D0C"/>
    <w:rsid w:val="0005661E"/>
    <w:rsid w:val="00056BAC"/>
    <w:rsid w:val="00056ECF"/>
    <w:rsid w:val="00057070"/>
    <w:rsid w:val="0005725D"/>
    <w:rsid w:val="0005756F"/>
    <w:rsid w:val="00057631"/>
    <w:rsid w:val="000576D9"/>
    <w:rsid w:val="00057A40"/>
    <w:rsid w:val="00060111"/>
    <w:rsid w:val="000602C8"/>
    <w:rsid w:val="000604DF"/>
    <w:rsid w:val="0006074D"/>
    <w:rsid w:val="00060B67"/>
    <w:rsid w:val="000615F0"/>
    <w:rsid w:val="000617D4"/>
    <w:rsid w:val="00061E3C"/>
    <w:rsid w:val="00062324"/>
    <w:rsid w:val="00062EFA"/>
    <w:rsid w:val="00063391"/>
    <w:rsid w:val="000633BE"/>
    <w:rsid w:val="00063419"/>
    <w:rsid w:val="00063694"/>
    <w:rsid w:val="000636CF"/>
    <w:rsid w:val="00063D41"/>
    <w:rsid w:val="00063F7A"/>
    <w:rsid w:val="00064138"/>
    <w:rsid w:val="0006418D"/>
    <w:rsid w:val="00065057"/>
    <w:rsid w:val="000653B5"/>
    <w:rsid w:val="000656FA"/>
    <w:rsid w:val="00066038"/>
    <w:rsid w:val="00066223"/>
    <w:rsid w:val="00066360"/>
    <w:rsid w:val="00066614"/>
    <w:rsid w:val="00066688"/>
    <w:rsid w:val="000666D4"/>
    <w:rsid w:val="00066A75"/>
    <w:rsid w:val="00066AF8"/>
    <w:rsid w:val="00066E8C"/>
    <w:rsid w:val="00067763"/>
    <w:rsid w:val="00067CA8"/>
    <w:rsid w:val="00070D14"/>
    <w:rsid w:val="00070D96"/>
    <w:rsid w:val="000710FB"/>
    <w:rsid w:val="00071182"/>
    <w:rsid w:val="00071248"/>
    <w:rsid w:val="00071703"/>
    <w:rsid w:val="000719B4"/>
    <w:rsid w:val="00071C70"/>
    <w:rsid w:val="00071D70"/>
    <w:rsid w:val="000720B9"/>
    <w:rsid w:val="000720DA"/>
    <w:rsid w:val="000723D0"/>
    <w:rsid w:val="00072EFF"/>
    <w:rsid w:val="0007339C"/>
    <w:rsid w:val="000734DC"/>
    <w:rsid w:val="000737C7"/>
    <w:rsid w:val="000737F7"/>
    <w:rsid w:val="000741F2"/>
    <w:rsid w:val="0007426B"/>
    <w:rsid w:val="00074402"/>
    <w:rsid w:val="0007467E"/>
    <w:rsid w:val="0007493D"/>
    <w:rsid w:val="00074C47"/>
    <w:rsid w:val="00075207"/>
    <w:rsid w:val="00075603"/>
    <w:rsid w:val="00075B15"/>
    <w:rsid w:val="00076062"/>
    <w:rsid w:val="00076429"/>
    <w:rsid w:val="0007672F"/>
    <w:rsid w:val="00076882"/>
    <w:rsid w:val="00076B54"/>
    <w:rsid w:val="00076CE5"/>
    <w:rsid w:val="00076DAB"/>
    <w:rsid w:val="000772A2"/>
    <w:rsid w:val="000774F0"/>
    <w:rsid w:val="00077E63"/>
    <w:rsid w:val="00080909"/>
    <w:rsid w:val="00080998"/>
    <w:rsid w:val="000812CA"/>
    <w:rsid w:val="00081807"/>
    <w:rsid w:val="000818D7"/>
    <w:rsid w:val="00081E63"/>
    <w:rsid w:val="00081EEA"/>
    <w:rsid w:val="0008258D"/>
    <w:rsid w:val="000825A2"/>
    <w:rsid w:val="000828F2"/>
    <w:rsid w:val="00082B18"/>
    <w:rsid w:val="00082EA2"/>
    <w:rsid w:val="00083143"/>
    <w:rsid w:val="0008316B"/>
    <w:rsid w:val="0008318E"/>
    <w:rsid w:val="0008337F"/>
    <w:rsid w:val="000833F0"/>
    <w:rsid w:val="00083815"/>
    <w:rsid w:val="000838B0"/>
    <w:rsid w:val="00083B5B"/>
    <w:rsid w:val="00083C6A"/>
    <w:rsid w:val="00083E99"/>
    <w:rsid w:val="00083EF8"/>
    <w:rsid w:val="00084438"/>
    <w:rsid w:val="00084453"/>
    <w:rsid w:val="00084495"/>
    <w:rsid w:val="00084FA8"/>
    <w:rsid w:val="0008567E"/>
    <w:rsid w:val="000856C5"/>
    <w:rsid w:val="00085869"/>
    <w:rsid w:val="00085B78"/>
    <w:rsid w:val="00085C31"/>
    <w:rsid w:val="00085F57"/>
    <w:rsid w:val="00087594"/>
    <w:rsid w:val="00090066"/>
    <w:rsid w:val="00090123"/>
    <w:rsid w:val="00090176"/>
    <w:rsid w:val="000902D9"/>
    <w:rsid w:val="0009045E"/>
    <w:rsid w:val="00090BA5"/>
    <w:rsid w:val="00090C7E"/>
    <w:rsid w:val="00090D56"/>
    <w:rsid w:val="000911AC"/>
    <w:rsid w:val="00091B91"/>
    <w:rsid w:val="00091DB0"/>
    <w:rsid w:val="00091E24"/>
    <w:rsid w:val="000920BF"/>
    <w:rsid w:val="000921BF"/>
    <w:rsid w:val="00092600"/>
    <w:rsid w:val="0009262B"/>
    <w:rsid w:val="0009299B"/>
    <w:rsid w:val="000929FE"/>
    <w:rsid w:val="00093143"/>
    <w:rsid w:val="000931B5"/>
    <w:rsid w:val="00093310"/>
    <w:rsid w:val="00093537"/>
    <w:rsid w:val="00093BF4"/>
    <w:rsid w:val="0009415A"/>
    <w:rsid w:val="000942F1"/>
    <w:rsid w:val="0009445C"/>
    <w:rsid w:val="00094BCD"/>
    <w:rsid w:val="00094FCD"/>
    <w:rsid w:val="000951C5"/>
    <w:rsid w:val="00095200"/>
    <w:rsid w:val="00095493"/>
    <w:rsid w:val="000955DC"/>
    <w:rsid w:val="000956EE"/>
    <w:rsid w:val="00095835"/>
    <w:rsid w:val="00095FE5"/>
    <w:rsid w:val="00096263"/>
    <w:rsid w:val="00096284"/>
    <w:rsid w:val="000A0137"/>
    <w:rsid w:val="000A05A1"/>
    <w:rsid w:val="000A142C"/>
    <w:rsid w:val="000A1521"/>
    <w:rsid w:val="000A1717"/>
    <w:rsid w:val="000A1936"/>
    <w:rsid w:val="000A1BC0"/>
    <w:rsid w:val="000A1D96"/>
    <w:rsid w:val="000A1E12"/>
    <w:rsid w:val="000A2557"/>
    <w:rsid w:val="000A28A9"/>
    <w:rsid w:val="000A2F42"/>
    <w:rsid w:val="000A2F9E"/>
    <w:rsid w:val="000A2FF1"/>
    <w:rsid w:val="000A30ED"/>
    <w:rsid w:val="000A3206"/>
    <w:rsid w:val="000A3E07"/>
    <w:rsid w:val="000A3E47"/>
    <w:rsid w:val="000A3E57"/>
    <w:rsid w:val="000A4ABE"/>
    <w:rsid w:val="000A4BA1"/>
    <w:rsid w:val="000A4C56"/>
    <w:rsid w:val="000A50FA"/>
    <w:rsid w:val="000A5218"/>
    <w:rsid w:val="000A522B"/>
    <w:rsid w:val="000A5FF5"/>
    <w:rsid w:val="000A6039"/>
    <w:rsid w:val="000A727C"/>
    <w:rsid w:val="000A736C"/>
    <w:rsid w:val="000A7453"/>
    <w:rsid w:val="000A7487"/>
    <w:rsid w:val="000A7AA7"/>
    <w:rsid w:val="000A7B0E"/>
    <w:rsid w:val="000A7D08"/>
    <w:rsid w:val="000B0121"/>
    <w:rsid w:val="000B023E"/>
    <w:rsid w:val="000B0670"/>
    <w:rsid w:val="000B093B"/>
    <w:rsid w:val="000B0B33"/>
    <w:rsid w:val="000B0E60"/>
    <w:rsid w:val="000B0E75"/>
    <w:rsid w:val="000B0FE3"/>
    <w:rsid w:val="000B1093"/>
    <w:rsid w:val="000B1366"/>
    <w:rsid w:val="000B2242"/>
    <w:rsid w:val="000B2333"/>
    <w:rsid w:val="000B2682"/>
    <w:rsid w:val="000B2A0C"/>
    <w:rsid w:val="000B2DCB"/>
    <w:rsid w:val="000B3174"/>
    <w:rsid w:val="000B3B54"/>
    <w:rsid w:val="000B4BC1"/>
    <w:rsid w:val="000B4DF7"/>
    <w:rsid w:val="000B4F50"/>
    <w:rsid w:val="000B4FF6"/>
    <w:rsid w:val="000B50D5"/>
    <w:rsid w:val="000B5188"/>
    <w:rsid w:val="000B56FB"/>
    <w:rsid w:val="000B5AE9"/>
    <w:rsid w:val="000B5C24"/>
    <w:rsid w:val="000B5CE0"/>
    <w:rsid w:val="000B6093"/>
    <w:rsid w:val="000B60C1"/>
    <w:rsid w:val="000B63AD"/>
    <w:rsid w:val="000B65AA"/>
    <w:rsid w:val="000B6763"/>
    <w:rsid w:val="000B67A1"/>
    <w:rsid w:val="000B6CAC"/>
    <w:rsid w:val="000B74B2"/>
    <w:rsid w:val="000B7612"/>
    <w:rsid w:val="000B7770"/>
    <w:rsid w:val="000B78AE"/>
    <w:rsid w:val="000C020C"/>
    <w:rsid w:val="000C0821"/>
    <w:rsid w:val="000C09FB"/>
    <w:rsid w:val="000C0B56"/>
    <w:rsid w:val="000C0C00"/>
    <w:rsid w:val="000C0C8C"/>
    <w:rsid w:val="000C0D60"/>
    <w:rsid w:val="000C1D09"/>
    <w:rsid w:val="000C20AB"/>
    <w:rsid w:val="000C21DF"/>
    <w:rsid w:val="000C25EE"/>
    <w:rsid w:val="000C273E"/>
    <w:rsid w:val="000C2B2B"/>
    <w:rsid w:val="000C2BAD"/>
    <w:rsid w:val="000C31C4"/>
    <w:rsid w:val="000C36DA"/>
    <w:rsid w:val="000C3B1D"/>
    <w:rsid w:val="000C3BBE"/>
    <w:rsid w:val="000C3C5D"/>
    <w:rsid w:val="000C3DF9"/>
    <w:rsid w:val="000C3F31"/>
    <w:rsid w:val="000C3FB3"/>
    <w:rsid w:val="000C4641"/>
    <w:rsid w:val="000C4BD5"/>
    <w:rsid w:val="000C4CF2"/>
    <w:rsid w:val="000C4FF7"/>
    <w:rsid w:val="000C53EA"/>
    <w:rsid w:val="000C57E1"/>
    <w:rsid w:val="000C591E"/>
    <w:rsid w:val="000C61F8"/>
    <w:rsid w:val="000C657F"/>
    <w:rsid w:val="000C6713"/>
    <w:rsid w:val="000C67D7"/>
    <w:rsid w:val="000C6D07"/>
    <w:rsid w:val="000C70AE"/>
    <w:rsid w:val="000C78AF"/>
    <w:rsid w:val="000C79A3"/>
    <w:rsid w:val="000C7A37"/>
    <w:rsid w:val="000D0117"/>
    <w:rsid w:val="000D0552"/>
    <w:rsid w:val="000D0558"/>
    <w:rsid w:val="000D0679"/>
    <w:rsid w:val="000D08B6"/>
    <w:rsid w:val="000D0C5E"/>
    <w:rsid w:val="000D0D17"/>
    <w:rsid w:val="000D15B7"/>
    <w:rsid w:val="000D15FE"/>
    <w:rsid w:val="000D1667"/>
    <w:rsid w:val="000D1846"/>
    <w:rsid w:val="000D19DB"/>
    <w:rsid w:val="000D1BFC"/>
    <w:rsid w:val="000D1D5D"/>
    <w:rsid w:val="000D281A"/>
    <w:rsid w:val="000D2848"/>
    <w:rsid w:val="000D326A"/>
    <w:rsid w:val="000D34FA"/>
    <w:rsid w:val="000D3A68"/>
    <w:rsid w:val="000D3B00"/>
    <w:rsid w:val="000D3B93"/>
    <w:rsid w:val="000D3BD0"/>
    <w:rsid w:val="000D3FD6"/>
    <w:rsid w:val="000D44C8"/>
    <w:rsid w:val="000D4794"/>
    <w:rsid w:val="000D4E1B"/>
    <w:rsid w:val="000D4EEB"/>
    <w:rsid w:val="000D5093"/>
    <w:rsid w:val="000D51FB"/>
    <w:rsid w:val="000D531C"/>
    <w:rsid w:val="000D58CE"/>
    <w:rsid w:val="000D5F27"/>
    <w:rsid w:val="000D6728"/>
    <w:rsid w:val="000D6871"/>
    <w:rsid w:val="000D687F"/>
    <w:rsid w:val="000D6A17"/>
    <w:rsid w:val="000D6B56"/>
    <w:rsid w:val="000D6C7B"/>
    <w:rsid w:val="000D6D17"/>
    <w:rsid w:val="000D6DF3"/>
    <w:rsid w:val="000E036F"/>
    <w:rsid w:val="000E0640"/>
    <w:rsid w:val="000E072D"/>
    <w:rsid w:val="000E0945"/>
    <w:rsid w:val="000E09DF"/>
    <w:rsid w:val="000E0EFB"/>
    <w:rsid w:val="000E11D8"/>
    <w:rsid w:val="000E135D"/>
    <w:rsid w:val="000E179A"/>
    <w:rsid w:val="000E1A86"/>
    <w:rsid w:val="000E25D3"/>
    <w:rsid w:val="000E2B25"/>
    <w:rsid w:val="000E3091"/>
    <w:rsid w:val="000E30DE"/>
    <w:rsid w:val="000E38EA"/>
    <w:rsid w:val="000E3B7D"/>
    <w:rsid w:val="000E3D0D"/>
    <w:rsid w:val="000E422F"/>
    <w:rsid w:val="000E427A"/>
    <w:rsid w:val="000E48EE"/>
    <w:rsid w:val="000E54DC"/>
    <w:rsid w:val="000E5FC2"/>
    <w:rsid w:val="000E6728"/>
    <w:rsid w:val="000E74A8"/>
    <w:rsid w:val="000E7A9C"/>
    <w:rsid w:val="000E7ACA"/>
    <w:rsid w:val="000F00BA"/>
    <w:rsid w:val="000F0159"/>
    <w:rsid w:val="000F0178"/>
    <w:rsid w:val="000F097B"/>
    <w:rsid w:val="000F0B36"/>
    <w:rsid w:val="000F169E"/>
    <w:rsid w:val="000F1E9B"/>
    <w:rsid w:val="000F2969"/>
    <w:rsid w:val="000F2AF4"/>
    <w:rsid w:val="000F2B3A"/>
    <w:rsid w:val="000F2CC4"/>
    <w:rsid w:val="000F316A"/>
    <w:rsid w:val="000F37AE"/>
    <w:rsid w:val="000F3C74"/>
    <w:rsid w:val="000F4251"/>
    <w:rsid w:val="000F44CF"/>
    <w:rsid w:val="000F4580"/>
    <w:rsid w:val="000F46D1"/>
    <w:rsid w:val="000F47A5"/>
    <w:rsid w:val="000F4BB8"/>
    <w:rsid w:val="000F4BE3"/>
    <w:rsid w:val="000F4FA9"/>
    <w:rsid w:val="000F53FB"/>
    <w:rsid w:val="000F56A2"/>
    <w:rsid w:val="000F56E2"/>
    <w:rsid w:val="000F6668"/>
    <w:rsid w:val="000F69AC"/>
    <w:rsid w:val="000F6E03"/>
    <w:rsid w:val="000F7127"/>
    <w:rsid w:val="000F788A"/>
    <w:rsid w:val="000F7B54"/>
    <w:rsid w:val="000F7E5F"/>
    <w:rsid w:val="000F7FC8"/>
    <w:rsid w:val="001000B3"/>
    <w:rsid w:val="001003B3"/>
    <w:rsid w:val="0010086B"/>
    <w:rsid w:val="00100F8A"/>
    <w:rsid w:val="0010127F"/>
    <w:rsid w:val="001017CF"/>
    <w:rsid w:val="00101E1F"/>
    <w:rsid w:val="0010244A"/>
    <w:rsid w:val="001026BD"/>
    <w:rsid w:val="00102998"/>
    <w:rsid w:val="00102F0E"/>
    <w:rsid w:val="00103241"/>
    <w:rsid w:val="00103684"/>
    <w:rsid w:val="00103A15"/>
    <w:rsid w:val="0010452E"/>
    <w:rsid w:val="00104589"/>
    <w:rsid w:val="00104B07"/>
    <w:rsid w:val="00104B13"/>
    <w:rsid w:val="00105335"/>
    <w:rsid w:val="00105875"/>
    <w:rsid w:val="00105AE2"/>
    <w:rsid w:val="00105DE7"/>
    <w:rsid w:val="001060C6"/>
    <w:rsid w:val="001065EE"/>
    <w:rsid w:val="001069EE"/>
    <w:rsid w:val="00106B80"/>
    <w:rsid w:val="0010767A"/>
    <w:rsid w:val="001076B9"/>
    <w:rsid w:val="00107709"/>
    <w:rsid w:val="0011032E"/>
    <w:rsid w:val="001103A0"/>
    <w:rsid w:val="00110910"/>
    <w:rsid w:val="00110B7E"/>
    <w:rsid w:val="00111717"/>
    <w:rsid w:val="00111D59"/>
    <w:rsid w:val="00111F99"/>
    <w:rsid w:val="001128C3"/>
    <w:rsid w:val="00112C02"/>
    <w:rsid w:val="00112D69"/>
    <w:rsid w:val="00112E53"/>
    <w:rsid w:val="0011302E"/>
    <w:rsid w:val="00113061"/>
    <w:rsid w:val="0011348B"/>
    <w:rsid w:val="00113F87"/>
    <w:rsid w:val="00114271"/>
    <w:rsid w:val="0011430E"/>
    <w:rsid w:val="00114550"/>
    <w:rsid w:val="00114607"/>
    <w:rsid w:val="00114A7F"/>
    <w:rsid w:val="00114CEB"/>
    <w:rsid w:val="00114E68"/>
    <w:rsid w:val="00114ED5"/>
    <w:rsid w:val="0011518F"/>
    <w:rsid w:val="001152EA"/>
    <w:rsid w:val="00115866"/>
    <w:rsid w:val="00115982"/>
    <w:rsid w:val="001159E9"/>
    <w:rsid w:val="00116049"/>
    <w:rsid w:val="001161E6"/>
    <w:rsid w:val="00116294"/>
    <w:rsid w:val="00116A4B"/>
    <w:rsid w:val="00116C53"/>
    <w:rsid w:val="001173A6"/>
    <w:rsid w:val="0011745E"/>
    <w:rsid w:val="00117741"/>
    <w:rsid w:val="001177D0"/>
    <w:rsid w:val="001178CE"/>
    <w:rsid w:val="00117F70"/>
    <w:rsid w:val="00120085"/>
    <w:rsid w:val="001200B6"/>
    <w:rsid w:val="001202E6"/>
    <w:rsid w:val="001211A8"/>
    <w:rsid w:val="00121799"/>
    <w:rsid w:val="00121EB4"/>
    <w:rsid w:val="00121F14"/>
    <w:rsid w:val="00121F3D"/>
    <w:rsid w:val="001222FC"/>
    <w:rsid w:val="00122773"/>
    <w:rsid w:val="0012354A"/>
    <w:rsid w:val="00123902"/>
    <w:rsid w:val="00123921"/>
    <w:rsid w:val="0012393D"/>
    <w:rsid w:val="00123B3D"/>
    <w:rsid w:val="00123BFC"/>
    <w:rsid w:val="00124739"/>
    <w:rsid w:val="0012490F"/>
    <w:rsid w:val="00124A51"/>
    <w:rsid w:val="0012506B"/>
    <w:rsid w:val="001253CF"/>
    <w:rsid w:val="00125771"/>
    <w:rsid w:val="0012594B"/>
    <w:rsid w:val="00126303"/>
    <w:rsid w:val="00126621"/>
    <w:rsid w:val="00126657"/>
    <w:rsid w:val="00126B1D"/>
    <w:rsid w:val="00126F21"/>
    <w:rsid w:val="00127037"/>
    <w:rsid w:val="00127237"/>
    <w:rsid w:val="00127494"/>
    <w:rsid w:val="00127B71"/>
    <w:rsid w:val="0013009C"/>
    <w:rsid w:val="001301A0"/>
    <w:rsid w:val="001301E9"/>
    <w:rsid w:val="0013095A"/>
    <w:rsid w:val="0013171D"/>
    <w:rsid w:val="00131801"/>
    <w:rsid w:val="00131A9A"/>
    <w:rsid w:val="00131D82"/>
    <w:rsid w:val="0013229E"/>
    <w:rsid w:val="001325D8"/>
    <w:rsid w:val="00132B22"/>
    <w:rsid w:val="00133368"/>
    <w:rsid w:val="00133D25"/>
    <w:rsid w:val="00133D36"/>
    <w:rsid w:val="0013408E"/>
    <w:rsid w:val="001341AB"/>
    <w:rsid w:val="00134369"/>
    <w:rsid w:val="00134648"/>
    <w:rsid w:val="00134CAF"/>
    <w:rsid w:val="00135689"/>
    <w:rsid w:val="00135B64"/>
    <w:rsid w:val="00136010"/>
    <w:rsid w:val="00136676"/>
    <w:rsid w:val="00137016"/>
    <w:rsid w:val="00137645"/>
    <w:rsid w:val="001377AF"/>
    <w:rsid w:val="00137825"/>
    <w:rsid w:val="00137BDF"/>
    <w:rsid w:val="00137C88"/>
    <w:rsid w:val="00137D6E"/>
    <w:rsid w:val="001400B0"/>
    <w:rsid w:val="0014015A"/>
    <w:rsid w:val="00140BBC"/>
    <w:rsid w:val="00140E99"/>
    <w:rsid w:val="0014112D"/>
    <w:rsid w:val="001415E5"/>
    <w:rsid w:val="0014188E"/>
    <w:rsid w:val="00141933"/>
    <w:rsid w:val="00142B88"/>
    <w:rsid w:val="001431C2"/>
    <w:rsid w:val="0014396C"/>
    <w:rsid w:val="00143F67"/>
    <w:rsid w:val="0014443D"/>
    <w:rsid w:val="00144D17"/>
    <w:rsid w:val="001450B5"/>
    <w:rsid w:val="0014514C"/>
    <w:rsid w:val="00145234"/>
    <w:rsid w:val="00145540"/>
    <w:rsid w:val="00145574"/>
    <w:rsid w:val="0014562D"/>
    <w:rsid w:val="001456B0"/>
    <w:rsid w:val="00145F73"/>
    <w:rsid w:val="0014614C"/>
    <w:rsid w:val="0014617A"/>
    <w:rsid w:val="00146670"/>
    <w:rsid w:val="00146686"/>
    <w:rsid w:val="00146C57"/>
    <w:rsid w:val="00147144"/>
    <w:rsid w:val="001474A9"/>
    <w:rsid w:val="00147C81"/>
    <w:rsid w:val="00150DD4"/>
    <w:rsid w:val="0015169C"/>
    <w:rsid w:val="001517FE"/>
    <w:rsid w:val="00151A2C"/>
    <w:rsid w:val="00151AD9"/>
    <w:rsid w:val="00151E5D"/>
    <w:rsid w:val="00151FF4"/>
    <w:rsid w:val="00152629"/>
    <w:rsid w:val="001526B8"/>
    <w:rsid w:val="00152974"/>
    <w:rsid w:val="00153B76"/>
    <w:rsid w:val="00153BD5"/>
    <w:rsid w:val="0015402B"/>
    <w:rsid w:val="00154356"/>
    <w:rsid w:val="001547AB"/>
    <w:rsid w:val="0015486A"/>
    <w:rsid w:val="00154B7F"/>
    <w:rsid w:val="0015509F"/>
    <w:rsid w:val="0015552A"/>
    <w:rsid w:val="0015577D"/>
    <w:rsid w:val="00155997"/>
    <w:rsid w:val="00155AAD"/>
    <w:rsid w:val="00156152"/>
    <w:rsid w:val="00156462"/>
    <w:rsid w:val="00156F8F"/>
    <w:rsid w:val="00157130"/>
    <w:rsid w:val="001576B1"/>
    <w:rsid w:val="00157D12"/>
    <w:rsid w:val="00160100"/>
    <w:rsid w:val="0016019A"/>
    <w:rsid w:val="001601FA"/>
    <w:rsid w:val="0016047B"/>
    <w:rsid w:val="0016087C"/>
    <w:rsid w:val="00160A4C"/>
    <w:rsid w:val="001615C1"/>
    <w:rsid w:val="00161803"/>
    <w:rsid w:val="001622B2"/>
    <w:rsid w:val="00162913"/>
    <w:rsid w:val="00162DB7"/>
    <w:rsid w:val="00163071"/>
    <w:rsid w:val="001633DB"/>
    <w:rsid w:val="00163EFF"/>
    <w:rsid w:val="00163F66"/>
    <w:rsid w:val="001641B5"/>
    <w:rsid w:val="0016478E"/>
    <w:rsid w:val="00164C49"/>
    <w:rsid w:val="0016508E"/>
    <w:rsid w:val="001656D8"/>
    <w:rsid w:val="00165EC4"/>
    <w:rsid w:val="001661FB"/>
    <w:rsid w:val="001668F9"/>
    <w:rsid w:val="001671A0"/>
    <w:rsid w:val="0016767F"/>
    <w:rsid w:val="001676FB"/>
    <w:rsid w:val="00167936"/>
    <w:rsid w:val="001679EC"/>
    <w:rsid w:val="00167C38"/>
    <w:rsid w:val="00167E66"/>
    <w:rsid w:val="0017033B"/>
    <w:rsid w:val="0017081B"/>
    <w:rsid w:val="00170856"/>
    <w:rsid w:val="00170D2C"/>
    <w:rsid w:val="00171537"/>
    <w:rsid w:val="0017198A"/>
    <w:rsid w:val="00171D61"/>
    <w:rsid w:val="00172496"/>
    <w:rsid w:val="00172E21"/>
    <w:rsid w:val="00172FD1"/>
    <w:rsid w:val="00172FFC"/>
    <w:rsid w:val="001734C1"/>
    <w:rsid w:val="00173565"/>
    <w:rsid w:val="001737C5"/>
    <w:rsid w:val="00173B07"/>
    <w:rsid w:val="00173ED0"/>
    <w:rsid w:val="001741D0"/>
    <w:rsid w:val="00174523"/>
    <w:rsid w:val="00174528"/>
    <w:rsid w:val="00174A19"/>
    <w:rsid w:val="00174ABD"/>
    <w:rsid w:val="00174C09"/>
    <w:rsid w:val="001750C4"/>
    <w:rsid w:val="001750DC"/>
    <w:rsid w:val="001751FA"/>
    <w:rsid w:val="001753C1"/>
    <w:rsid w:val="0017573E"/>
    <w:rsid w:val="00175906"/>
    <w:rsid w:val="00175D4A"/>
    <w:rsid w:val="001765F7"/>
    <w:rsid w:val="001768BC"/>
    <w:rsid w:val="00176FF2"/>
    <w:rsid w:val="00177D2A"/>
    <w:rsid w:val="00177F45"/>
    <w:rsid w:val="00180125"/>
    <w:rsid w:val="00180165"/>
    <w:rsid w:val="001802A5"/>
    <w:rsid w:val="001806DF"/>
    <w:rsid w:val="00180F55"/>
    <w:rsid w:val="0018154F"/>
    <w:rsid w:val="001815A6"/>
    <w:rsid w:val="00181C10"/>
    <w:rsid w:val="00181D9C"/>
    <w:rsid w:val="00182C33"/>
    <w:rsid w:val="00183329"/>
    <w:rsid w:val="001837FF"/>
    <w:rsid w:val="00183C21"/>
    <w:rsid w:val="00183CA9"/>
    <w:rsid w:val="00183D43"/>
    <w:rsid w:val="001842D9"/>
    <w:rsid w:val="001846A8"/>
    <w:rsid w:val="00184A88"/>
    <w:rsid w:val="00184B0E"/>
    <w:rsid w:val="00185101"/>
    <w:rsid w:val="00185A59"/>
    <w:rsid w:val="00185CEF"/>
    <w:rsid w:val="00185ECB"/>
    <w:rsid w:val="00185F5A"/>
    <w:rsid w:val="001860BB"/>
    <w:rsid w:val="00186130"/>
    <w:rsid w:val="00186D04"/>
    <w:rsid w:val="00186D66"/>
    <w:rsid w:val="00187222"/>
    <w:rsid w:val="0018752F"/>
    <w:rsid w:val="001879FB"/>
    <w:rsid w:val="0019057C"/>
    <w:rsid w:val="00190582"/>
    <w:rsid w:val="00190905"/>
    <w:rsid w:val="00190CD9"/>
    <w:rsid w:val="001910C2"/>
    <w:rsid w:val="00191711"/>
    <w:rsid w:val="00191B67"/>
    <w:rsid w:val="00191DF5"/>
    <w:rsid w:val="00192356"/>
    <w:rsid w:val="001923A5"/>
    <w:rsid w:val="00192503"/>
    <w:rsid w:val="00192F40"/>
    <w:rsid w:val="001936BB"/>
    <w:rsid w:val="00193838"/>
    <w:rsid w:val="00193FDC"/>
    <w:rsid w:val="0019457A"/>
    <w:rsid w:val="00194918"/>
    <w:rsid w:val="00194AD8"/>
    <w:rsid w:val="00195046"/>
    <w:rsid w:val="00195222"/>
    <w:rsid w:val="00195452"/>
    <w:rsid w:val="001957F8"/>
    <w:rsid w:val="00195C03"/>
    <w:rsid w:val="00196E99"/>
    <w:rsid w:val="001973E1"/>
    <w:rsid w:val="00197579"/>
    <w:rsid w:val="001975D8"/>
    <w:rsid w:val="001A0054"/>
    <w:rsid w:val="001A00F2"/>
    <w:rsid w:val="001A0B5E"/>
    <w:rsid w:val="001A0E58"/>
    <w:rsid w:val="001A15B9"/>
    <w:rsid w:val="001A178E"/>
    <w:rsid w:val="001A1E62"/>
    <w:rsid w:val="001A1F7A"/>
    <w:rsid w:val="001A2096"/>
    <w:rsid w:val="001A27DC"/>
    <w:rsid w:val="001A2962"/>
    <w:rsid w:val="001A2ECB"/>
    <w:rsid w:val="001A30D9"/>
    <w:rsid w:val="001A3A37"/>
    <w:rsid w:val="001A3DB7"/>
    <w:rsid w:val="001A43FA"/>
    <w:rsid w:val="001A47C5"/>
    <w:rsid w:val="001A4EB0"/>
    <w:rsid w:val="001A550A"/>
    <w:rsid w:val="001A5803"/>
    <w:rsid w:val="001A5861"/>
    <w:rsid w:val="001A59FB"/>
    <w:rsid w:val="001A5E9E"/>
    <w:rsid w:val="001A6354"/>
    <w:rsid w:val="001A6366"/>
    <w:rsid w:val="001A7938"/>
    <w:rsid w:val="001A7AE8"/>
    <w:rsid w:val="001A7F8F"/>
    <w:rsid w:val="001B0A35"/>
    <w:rsid w:val="001B0BA4"/>
    <w:rsid w:val="001B123F"/>
    <w:rsid w:val="001B204E"/>
    <w:rsid w:val="001B2372"/>
    <w:rsid w:val="001B2548"/>
    <w:rsid w:val="001B2C63"/>
    <w:rsid w:val="001B2C7E"/>
    <w:rsid w:val="001B3106"/>
    <w:rsid w:val="001B3443"/>
    <w:rsid w:val="001B3869"/>
    <w:rsid w:val="001B3D1B"/>
    <w:rsid w:val="001B3EF2"/>
    <w:rsid w:val="001B3F65"/>
    <w:rsid w:val="001B4D20"/>
    <w:rsid w:val="001B650A"/>
    <w:rsid w:val="001B66C0"/>
    <w:rsid w:val="001B6B0B"/>
    <w:rsid w:val="001B7218"/>
    <w:rsid w:val="001B725B"/>
    <w:rsid w:val="001B7624"/>
    <w:rsid w:val="001B7D71"/>
    <w:rsid w:val="001B7F84"/>
    <w:rsid w:val="001C004E"/>
    <w:rsid w:val="001C020C"/>
    <w:rsid w:val="001C02B4"/>
    <w:rsid w:val="001C1383"/>
    <w:rsid w:val="001C156A"/>
    <w:rsid w:val="001C19FB"/>
    <w:rsid w:val="001C1A8A"/>
    <w:rsid w:val="001C2260"/>
    <w:rsid w:val="001C233E"/>
    <w:rsid w:val="001C23EE"/>
    <w:rsid w:val="001C2586"/>
    <w:rsid w:val="001C276C"/>
    <w:rsid w:val="001C2A9B"/>
    <w:rsid w:val="001C2D82"/>
    <w:rsid w:val="001C2DF6"/>
    <w:rsid w:val="001C31B9"/>
    <w:rsid w:val="001C3DD1"/>
    <w:rsid w:val="001C3DD6"/>
    <w:rsid w:val="001C40B0"/>
    <w:rsid w:val="001C4299"/>
    <w:rsid w:val="001C4874"/>
    <w:rsid w:val="001C4E78"/>
    <w:rsid w:val="001C5CC6"/>
    <w:rsid w:val="001C5F94"/>
    <w:rsid w:val="001C5FDA"/>
    <w:rsid w:val="001C62BC"/>
    <w:rsid w:val="001C6B82"/>
    <w:rsid w:val="001C6E66"/>
    <w:rsid w:val="001C736E"/>
    <w:rsid w:val="001C7399"/>
    <w:rsid w:val="001D0163"/>
    <w:rsid w:val="001D0270"/>
    <w:rsid w:val="001D03B3"/>
    <w:rsid w:val="001D1100"/>
    <w:rsid w:val="001D1391"/>
    <w:rsid w:val="001D13B2"/>
    <w:rsid w:val="001D1B43"/>
    <w:rsid w:val="001D1F86"/>
    <w:rsid w:val="001D25D7"/>
    <w:rsid w:val="001D2B16"/>
    <w:rsid w:val="001D3385"/>
    <w:rsid w:val="001D382B"/>
    <w:rsid w:val="001D3DCA"/>
    <w:rsid w:val="001D478B"/>
    <w:rsid w:val="001D50B2"/>
    <w:rsid w:val="001D5113"/>
    <w:rsid w:val="001D558C"/>
    <w:rsid w:val="001D56C0"/>
    <w:rsid w:val="001D58CB"/>
    <w:rsid w:val="001D5A09"/>
    <w:rsid w:val="001D61F9"/>
    <w:rsid w:val="001D6C1C"/>
    <w:rsid w:val="001D6DE8"/>
    <w:rsid w:val="001D71F4"/>
    <w:rsid w:val="001D72FD"/>
    <w:rsid w:val="001D7645"/>
    <w:rsid w:val="001E01D9"/>
    <w:rsid w:val="001E0316"/>
    <w:rsid w:val="001E091B"/>
    <w:rsid w:val="001E0B5A"/>
    <w:rsid w:val="001E1608"/>
    <w:rsid w:val="001E1BF4"/>
    <w:rsid w:val="001E1E31"/>
    <w:rsid w:val="001E1E86"/>
    <w:rsid w:val="001E20B5"/>
    <w:rsid w:val="001E238E"/>
    <w:rsid w:val="001E2483"/>
    <w:rsid w:val="001E27ED"/>
    <w:rsid w:val="001E293C"/>
    <w:rsid w:val="001E2B1E"/>
    <w:rsid w:val="001E2CFF"/>
    <w:rsid w:val="001E2F24"/>
    <w:rsid w:val="001E30D4"/>
    <w:rsid w:val="001E31BF"/>
    <w:rsid w:val="001E325C"/>
    <w:rsid w:val="001E34DF"/>
    <w:rsid w:val="001E3867"/>
    <w:rsid w:val="001E395C"/>
    <w:rsid w:val="001E3B71"/>
    <w:rsid w:val="001E4119"/>
    <w:rsid w:val="001E4177"/>
    <w:rsid w:val="001E4D6C"/>
    <w:rsid w:val="001E52EB"/>
    <w:rsid w:val="001E61D2"/>
    <w:rsid w:val="001E623C"/>
    <w:rsid w:val="001E6B43"/>
    <w:rsid w:val="001E6E44"/>
    <w:rsid w:val="001E740C"/>
    <w:rsid w:val="001F0123"/>
    <w:rsid w:val="001F0C0E"/>
    <w:rsid w:val="001F0EC2"/>
    <w:rsid w:val="001F1235"/>
    <w:rsid w:val="001F1ADF"/>
    <w:rsid w:val="001F1BD4"/>
    <w:rsid w:val="001F1CB3"/>
    <w:rsid w:val="001F23EA"/>
    <w:rsid w:val="001F25E5"/>
    <w:rsid w:val="001F2695"/>
    <w:rsid w:val="001F3104"/>
    <w:rsid w:val="001F3649"/>
    <w:rsid w:val="001F38B5"/>
    <w:rsid w:val="001F3F67"/>
    <w:rsid w:val="001F4081"/>
    <w:rsid w:val="001F4A7A"/>
    <w:rsid w:val="001F4B4C"/>
    <w:rsid w:val="001F56F8"/>
    <w:rsid w:val="001F629E"/>
    <w:rsid w:val="001F65EB"/>
    <w:rsid w:val="001F683C"/>
    <w:rsid w:val="001F6993"/>
    <w:rsid w:val="001F6A93"/>
    <w:rsid w:val="001F6FC7"/>
    <w:rsid w:val="001F7355"/>
    <w:rsid w:val="001F7361"/>
    <w:rsid w:val="001F761C"/>
    <w:rsid w:val="001F768C"/>
    <w:rsid w:val="001F7870"/>
    <w:rsid w:val="001F7C72"/>
    <w:rsid w:val="001F7FB0"/>
    <w:rsid w:val="00200541"/>
    <w:rsid w:val="0020056C"/>
    <w:rsid w:val="002005CC"/>
    <w:rsid w:val="00200CB3"/>
    <w:rsid w:val="002011B0"/>
    <w:rsid w:val="00201BE5"/>
    <w:rsid w:val="00201BED"/>
    <w:rsid w:val="00201DBB"/>
    <w:rsid w:val="00201F07"/>
    <w:rsid w:val="002023F1"/>
    <w:rsid w:val="00202406"/>
    <w:rsid w:val="002026EE"/>
    <w:rsid w:val="002030DB"/>
    <w:rsid w:val="002030F4"/>
    <w:rsid w:val="00203181"/>
    <w:rsid w:val="002031BF"/>
    <w:rsid w:val="00203374"/>
    <w:rsid w:val="00203783"/>
    <w:rsid w:val="0020385F"/>
    <w:rsid w:val="00203A67"/>
    <w:rsid w:val="00203FDD"/>
    <w:rsid w:val="002043B7"/>
    <w:rsid w:val="00204982"/>
    <w:rsid w:val="00204A56"/>
    <w:rsid w:val="00204FA4"/>
    <w:rsid w:val="00205632"/>
    <w:rsid w:val="002056C1"/>
    <w:rsid w:val="002057ED"/>
    <w:rsid w:val="00205AC5"/>
    <w:rsid w:val="00205B04"/>
    <w:rsid w:val="00205C78"/>
    <w:rsid w:val="0020602B"/>
    <w:rsid w:val="00206072"/>
    <w:rsid w:val="002061C2"/>
    <w:rsid w:val="002068A0"/>
    <w:rsid w:val="00206F48"/>
    <w:rsid w:val="00206FE0"/>
    <w:rsid w:val="00207021"/>
    <w:rsid w:val="0020708B"/>
    <w:rsid w:val="0020732F"/>
    <w:rsid w:val="002077A1"/>
    <w:rsid w:val="00207CA0"/>
    <w:rsid w:val="00207D00"/>
    <w:rsid w:val="002105C1"/>
    <w:rsid w:val="00210BD3"/>
    <w:rsid w:val="0021161F"/>
    <w:rsid w:val="002116FD"/>
    <w:rsid w:val="00211799"/>
    <w:rsid w:val="00211BB1"/>
    <w:rsid w:val="002122BF"/>
    <w:rsid w:val="00212480"/>
    <w:rsid w:val="002126D8"/>
    <w:rsid w:val="00212820"/>
    <w:rsid w:val="00212A64"/>
    <w:rsid w:val="00213361"/>
    <w:rsid w:val="002134CC"/>
    <w:rsid w:val="00213EF5"/>
    <w:rsid w:val="00213F3D"/>
    <w:rsid w:val="002141BF"/>
    <w:rsid w:val="002149AC"/>
    <w:rsid w:val="00214CA6"/>
    <w:rsid w:val="0021539C"/>
    <w:rsid w:val="0021554B"/>
    <w:rsid w:val="00215894"/>
    <w:rsid w:val="00215FC6"/>
    <w:rsid w:val="0021602B"/>
    <w:rsid w:val="00216839"/>
    <w:rsid w:val="002169D0"/>
    <w:rsid w:val="00216BF5"/>
    <w:rsid w:val="00216CCB"/>
    <w:rsid w:val="002170C2"/>
    <w:rsid w:val="00217E2A"/>
    <w:rsid w:val="00217F04"/>
    <w:rsid w:val="0022012B"/>
    <w:rsid w:val="002209A5"/>
    <w:rsid w:val="002209B8"/>
    <w:rsid w:val="002209F7"/>
    <w:rsid w:val="00220A35"/>
    <w:rsid w:val="00220CC2"/>
    <w:rsid w:val="00220DC8"/>
    <w:rsid w:val="00220FE6"/>
    <w:rsid w:val="00221843"/>
    <w:rsid w:val="00221C7E"/>
    <w:rsid w:val="00221D9F"/>
    <w:rsid w:val="00221FB3"/>
    <w:rsid w:val="002222CE"/>
    <w:rsid w:val="00222993"/>
    <w:rsid w:val="00222C19"/>
    <w:rsid w:val="0022350C"/>
    <w:rsid w:val="00223553"/>
    <w:rsid w:val="0022362B"/>
    <w:rsid w:val="00223B49"/>
    <w:rsid w:val="00223BC2"/>
    <w:rsid w:val="00223D5A"/>
    <w:rsid w:val="00223E20"/>
    <w:rsid w:val="00223ED7"/>
    <w:rsid w:val="00223F84"/>
    <w:rsid w:val="00224114"/>
    <w:rsid w:val="00224334"/>
    <w:rsid w:val="002246C0"/>
    <w:rsid w:val="002247FB"/>
    <w:rsid w:val="002249EB"/>
    <w:rsid w:val="00224ADB"/>
    <w:rsid w:val="00224DD4"/>
    <w:rsid w:val="0022548E"/>
    <w:rsid w:val="002254F1"/>
    <w:rsid w:val="002258D0"/>
    <w:rsid w:val="00225B36"/>
    <w:rsid w:val="00225EF6"/>
    <w:rsid w:val="002265F8"/>
    <w:rsid w:val="00226A7C"/>
    <w:rsid w:val="00226C8D"/>
    <w:rsid w:val="00226EC2"/>
    <w:rsid w:val="00226EF5"/>
    <w:rsid w:val="00227687"/>
    <w:rsid w:val="00227714"/>
    <w:rsid w:val="002278A0"/>
    <w:rsid w:val="00227F3A"/>
    <w:rsid w:val="002300B6"/>
    <w:rsid w:val="00230626"/>
    <w:rsid w:val="002309CC"/>
    <w:rsid w:val="00230D95"/>
    <w:rsid w:val="00230ED4"/>
    <w:rsid w:val="002311A5"/>
    <w:rsid w:val="002311E8"/>
    <w:rsid w:val="0023123F"/>
    <w:rsid w:val="00231517"/>
    <w:rsid w:val="0023164E"/>
    <w:rsid w:val="00231BA9"/>
    <w:rsid w:val="0023209F"/>
    <w:rsid w:val="00232718"/>
    <w:rsid w:val="002327A7"/>
    <w:rsid w:val="0023295A"/>
    <w:rsid w:val="00232E8C"/>
    <w:rsid w:val="00233902"/>
    <w:rsid w:val="00233938"/>
    <w:rsid w:val="00233C01"/>
    <w:rsid w:val="00233E30"/>
    <w:rsid w:val="00233E6C"/>
    <w:rsid w:val="002340AC"/>
    <w:rsid w:val="0023413C"/>
    <w:rsid w:val="0023416D"/>
    <w:rsid w:val="00234332"/>
    <w:rsid w:val="00234486"/>
    <w:rsid w:val="0023451E"/>
    <w:rsid w:val="002346F0"/>
    <w:rsid w:val="00236185"/>
    <w:rsid w:val="0023629D"/>
    <w:rsid w:val="002364AA"/>
    <w:rsid w:val="00236C68"/>
    <w:rsid w:val="00237255"/>
    <w:rsid w:val="002379EA"/>
    <w:rsid w:val="002411FC"/>
    <w:rsid w:val="002413FF"/>
    <w:rsid w:val="002414D2"/>
    <w:rsid w:val="00241BD3"/>
    <w:rsid w:val="002424AF"/>
    <w:rsid w:val="002427B6"/>
    <w:rsid w:val="00242B4F"/>
    <w:rsid w:val="00243256"/>
    <w:rsid w:val="00243875"/>
    <w:rsid w:val="002439DC"/>
    <w:rsid w:val="002441D2"/>
    <w:rsid w:val="0024496F"/>
    <w:rsid w:val="00244DC8"/>
    <w:rsid w:val="00244FC5"/>
    <w:rsid w:val="00245313"/>
    <w:rsid w:val="002458BA"/>
    <w:rsid w:val="00245AD7"/>
    <w:rsid w:val="00245CE9"/>
    <w:rsid w:val="00245D7E"/>
    <w:rsid w:val="002460CC"/>
    <w:rsid w:val="0024636C"/>
    <w:rsid w:val="002469C3"/>
    <w:rsid w:val="00246FAA"/>
    <w:rsid w:val="00247422"/>
    <w:rsid w:val="002478F8"/>
    <w:rsid w:val="00247925"/>
    <w:rsid w:val="00247E22"/>
    <w:rsid w:val="00250067"/>
    <w:rsid w:val="002503AC"/>
    <w:rsid w:val="0025086C"/>
    <w:rsid w:val="0025097C"/>
    <w:rsid w:val="00250C05"/>
    <w:rsid w:val="00251006"/>
    <w:rsid w:val="0025123F"/>
    <w:rsid w:val="002512DE"/>
    <w:rsid w:val="00251503"/>
    <w:rsid w:val="002517A3"/>
    <w:rsid w:val="00251A75"/>
    <w:rsid w:val="00251C84"/>
    <w:rsid w:val="002524D5"/>
    <w:rsid w:val="00252525"/>
    <w:rsid w:val="002529FB"/>
    <w:rsid w:val="00252AC4"/>
    <w:rsid w:val="00252F9D"/>
    <w:rsid w:val="0025309C"/>
    <w:rsid w:val="002533D3"/>
    <w:rsid w:val="0025396E"/>
    <w:rsid w:val="00253B1D"/>
    <w:rsid w:val="00253E03"/>
    <w:rsid w:val="002543A5"/>
    <w:rsid w:val="002544DD"/>
    <w:rsid w:val="00254AF2"/>
    <w:rsid w:val="00254CF9"/>
    <w:rsid w:val="00254DCF"/>
    <w:rsid w:val="00254F2F"/>
    <w:rsid w:val="0025534B"/>
    <w:rsid w:val="002557F0"/>
    <w:rsid w:val="0025582F"/>
    <w:rsid w:val="002559F7"/>
    <w:rsid w:val="00255BB7"/>
    <w:rsid w:val="00256193"/>
    <w:rsid w:val="00256420"/>
    <w:rsid w:val="00256FC5"/>
    <w:rsid w:val="002571C4"/>
    <w:rsid w:val="002573B6"/>
    <w:rsid w:val="00257541"/>
    <w:rsid w:val="00257584"/>
    <w:rsid w:val="00257A39"/>
    <w:rsid w:val="00257AC4"/>
    <w:rsid w:val="00257BBE"/>
    <w:rsid w:val="00257E2A"/>
    <w:rsid w:val="00260903"/>
    <w:rsid w:val="00260FE4"/>
    <w:rsid w:val="00261B2B"/>
    <w:rsid w:val="00261EE4"/>
    <w:rsid w:val="00261EEF"/>
    <w:rsid w:val="0026239C"/>
    <w:rsid w:val="00262A1A"/>
    <w:rsid w:val="00262A87"/>
    <w:rsid w:val="00262ABE"/>
    <w:rsid w:val="00262E17"/>
    <w:rsid w:val="00263B52"/>
    <w:rsid w:val="002642C3"/>
    <w:rsid w:val="002644D2"/>
    <w:rsid w:val="00264A02"/>
    <w:rsid w:val="00264D26"/>
    <w:rsid w:val="00264E39"/>
    <w:rsid w:val="00264EA1"/>
    <w:rsid w:val="00265880"/>
    <w:rsid w:val="002660BC"/>
    <w:rsid w:val="00266396"/>
    <w:rsid w:val="00267135"/>
    <w:rsid w:val="002671D4"/>
    <w:rsid w:val="002674ED"/>
    <w:rsid w:val="00267642"/>
    <w:rsid w:val="0026799A"/>
    <w:rsid w:val="00267AEA"/>
    <w:rsid w:val="002700E6"/>
    <w:rsid w:val="002704B1"/>
    <w:rsid w:val="002707CF"/>
    <w:rsid w:val="0027091E"/>
    <w:rsid w:val="002710EA"/>
    <w:rsid w:val="002711B3"/>
    <w:rsid w:val="0027130B"/>
    <w:rsid w:val="00271417"/>
    <w:rsid w:val="002715A1"/>
    <w:rsid w:val="002718F5"/>
    <w:rsid w:val="00271965"/>
    <w:rsid w:val="0027199C"/>
    <w:rsid w:val="002720A4"/>
    <w:rsid w:val="002724AA"/>
    <w:rsid w:val="00272582"/>
    <w:rsid w:val="002728AF"/>
    <w:rsid w:val="0027294B"/>
    <w:rsid w:val="00272C96"/>
    <w:rsid w:val="00272D28"/>
    <w:rsid w:val="00273447"/>
    <w:rsid w:val="00273867"/>
    <w:rsid w:val="00273920"/>
    <w:rsid w:val="00273AD3"/>
    <w:rsid w:val="00273B6B"/>
    <w:rsid w:val="00273BE3"/>
    <w:rsid w:val="00273EB4"/>
    <w:rsid w:val="00273FED"/>
    <w:rsid w:val="00274087"/>
    <w:rsid w:val="00274682"/>
    <w:rsid w:val="00274846"/>
    <w:rsid w:val="00275158"/>
    <w:rsid w:val="00275219"/>
    <w:rsid w:val="002755CE"/>
    <w:rsid w:val="00275C5A"/>
    <w:rsid w:val="00275F75"/>
    <w:rsid w:val="0027605E"/>
    <w:rsid w:val="0027611B"/>
    <w:rsid w:val="002763BF"/>
    <w:rsid w:val="002778F6"/>
    <w:rsid w:val="00277CBC"/>
    <w:rsid w:val="00277EA8"/>
    <w:rsid w:val="002805B8"/>
    <w:rsid w:val="00280918"/>
    <w:rsid w:val="00281014"/>
    <w:rsid w:val="0028129F"/>
    <w:rsid w:val="002813C6"/>
    <w:rsid w:val="0028163F"/>
    <w:rsid w:val="0028187C"/>
    <w:rsid w:val="00281D65"/>
    <w:rsid w:val="00282633"/>
    <w:rsid w:val="00282CEF"/>
    <w:rsid w:val="00283F2F"/>
    <w:rsid w:val="00283FF4"/>
    <w:rsid w:val="00284355"/>
    <w:rsid w:val="00285BCE"/>
    <w:rsid w:val="00285BE2"/>
    <w:rsid w:val="00285D6C"/>
    <w:rsid w:val="0028665D"/>
    <w:rsid w:val="0028679E"/>
    <w:rsid w:val="00286A98"/>
    <w:rsid w:val="00286C34"/>
    <w:rsid w:val="00286D80"/>
    <w:rsid w:val="00286E11"/>
    <w:rsid w:val="00287139"/>
    <w:rsid w:val="00287B7B"/>
    <w:rsid w:val="00287BD4"/>
    <w:rsid w:val="00290752"/>
    <w:rsid w:val="002909A3"/>
    <w:rsid w:val="0029113A"/>
    <w:rsid w:val="0029117A"/>
    <w:rsid w:val="00291C6F"/>
    <w:rsid w:val="00291CF7"/>
    <w:rsid w:val="00292154"/>
    <w:rsid w:val="00292625"/>
    <w:rsid w:val="00292C80"/>
    <w:rsid w:val="002933B5"/>
    <w:rsid w:val="0029366A"/>
    <w:rsid w:val="002937F3"/>
    <w:rsid w:val="0029406B"/>
    <w:rsid w:val="0029428A"/>
    <w:rsid w:val="002945C5"/>
    <w:rsid w:val="00294884"/>
    <w:rsid w:val="00294A3F"/>
    <w:rsid w:val="00294B88"/>
    <w:rsid w:val="00294BB7"/>
    <w:rsid w:val="00294E17"/>
    <w:rsid w:val="00295907"/>
    <w:rsid w:val="00295A59"/>
    <w:rsid w:val="00296000"/>
    <w:rsid w:val="00296561"/>
    <w:rsid w:val="0029677B"/>
    <w:rsid w:val="002969CE"/>
    <w:rsid w:val="00297471"/>
    <w:rsid w:val="00297CAB"/>
    <w:rsid w:val="002A05C0"/>
    <w:rsid w:val="002A0633"/>
    <w:rsid w:val="002A09DE"/>
    <w:rsid w:val="002A0E3C"/>
    <w:rsid w:val="002A1057"/>
    <w:rsid w:val="002A1173"/>
    <w:rsid w:val="002A14AB"/>
    <w:rsid w:val="002A1A37"/>
    <w:rsid w:val="002A1C79"/>
    <w:rsid w:val="002A1CEA"/>
    <w:rsid w:val="002A1D6C"/>
    <w:rsid w:val="002A222A"/>
    <w:rsid w:val="002A233A"/>
    <w:rsid w:val="002A25D9"/>
    <w:rsid w:val="002A2652"/>
    <w:rsid w:val="002A284F"/>
    <w:rsid w:val="002A2ADE"/>
    <w:rsid w:val="002A2F50"/>
    <w:rsid w:val="002A3561"/>
    <w:rsid w:val="002A37AD"/>
    <w:rsid w:val="002A3B63"/>
    <w:rsid w:val="002A3E84"/>
    <w:rsid w:val="002A4582"/>
    <w:rsid w:val="002A4EBC"/>
    <w:rsid w:val="002A546D"/>
    <w:rsid w:val="002A5544"/>
    <w:rsid w:val="002A59DF"/>
    <w:rsid w:val="002A5C90"/>
    <w:rsid w:val="002A6414"/>
    <w:rsid w:val="002A657E"/>
    <w:rsid w:val="002A6BDB"/>
    <w:rsid w:val="002A6D36"/>
    <w:rsid w:val="002A6F85"/>
    <w:rsid w:val="002A76EB"/>
    <w:rsid w:val="002A771B"/>
    <w:rsid w:val="002A7943"/>
    <w:rsid w:val="002A7991"/>
    <w:rsid w:val="002A7B92"/>
    <w:rsid w:val="002B01C4"/>
    <w:rsid w:val="002B05A1"/>
    <w:rsid w:val="002B076F"/>
    <w:rsid w:val="002B09A4"/>
    <w:rsid w:val="002B1C1F"/>
    <w:rsid w:val="002B1EA8"/>
    <w:rsid w:val="002B2723"/>
    <w:rsid w:val="002B2906"/>
    <w:rsid w:val="002B3189"/>
    <w:rsid w:val="002B33B7"/>
    <w:rsid w:val="002B35FB"/>
    <w:rsid w:val="002B3A88"/>
    <w:rsid w:val="002B432F"/>
    <w:rsid w:val="002B4507"/>
    <w:rsid w:val="002B4512"/>
    <w:rsid w:val="002B4FCC"/>
    <w:rsid w:val="002B5CFD"/>
    <w:rsid w:val="002B5DDB"/>
    <w:rsid w:val="002B62B3"/>
    <w:rsid w:val="002B6754"/>
    <w:rsid w:val="002B6885"/>
    <w:rsid w:val="002B6A41"/>
    <w:rsid w:val="002B6CCE"/>
    <w:rsid w:val="002B781A"/>
    <w:rsid w:val="002B7AC2"/>
    <w:rsid w:val="002B7BBC"/>
    <w:rsid w:val="002B7BFD"/>
    <w:rsid w:val="002B7CAD"/>
    <w:rsid w:val="002B7EBF"/>
    <w:rsid w:val="002C099D"/>
    <w:rsid w:val="002C09E3"/>
    <w:rsid w:val="002C104D"/>
    <w:rsid w:val="002C18B0"/>
    <w:rsid w:val="002C1ECB"/>
    <w:rsid w:val="002C1F04"/>
    <w:rsid w:val="002C207F"/>
    <w:rsid w:val="002C233D"/>
    <w:rsid w:val="002C24CD"/>
    <w:rsid w:val="002C2510"/>
    <w:rsid w:val="002C2539"/>
    <w:rsid w:val="002C2775"/>
    <w:rsid w:val="002C27C1"/>
    <w:rsid w:val="002C29C0"/>
    <w:rsid w:val="002C2DFE"/>
    <w:rsid w:val="002C3585"/>
    <w:rsid w:val="002C36E3"/>
    <w:rsid w:val="002C3F05"/>
    <w:rsid w:val="002C3F61"/>
    <w:rsid w:val="002C437F"/>
    <w:rsid w:val="002C4E00"/>
    <w:rsid w:val="002C5099"/>
    <w:rsid w:val="002C5435"/>
    <w:rsid w:val="002C54BF"/>
    <w:rsid w:val="002C5889"/>
    <w:rsid w:val="002C5E22"/>
    <w:rsid w:val="002C62DB"/>
    <w:rsid w:val="002C63D0"/>
    <w:rsid w:val="002C6794"/>
    <w:rsid w:val="002C6B27"/>
    <w:rsid w:val="002C7032"/>
    <w:rsid w:val="002C71CE"/>
    <w:rsid w:val="002C7656"/>
    <w:rsid w:val="002C78C8"/>
    <w:rsid w:val="002D00F9"/>
    <w:rsid w:val="002D07A4"/>
    <w:rsid w:val="002D08F8"/>
    <w:rsid w:val="002D0B57"/>
    <w:rsid w:val="002D112F"/>
    <w:rsid w:val="002D12BD"/>
    <w:rsid w:val="002D160C"/>
    <w:rsid w:val="002D18F4"/>
    <w:rsid w:val="002D1AB9"/>
    <w:rsid w:val="002D1EAC"/>
    <w:rsid w:val="002D21BB"/>
    <w:rsid w:val="002D260B"/>
    <w:rsid w:val="002D3299"/>
    <w:rsid w:val="002D33B0"/>
    <w:rsid w:val="002D3C2B"/>
    <w:rsid w:val="002D4056"/>
    <w:rsid w:val="002D4135"/>
    <w:rsid w:val="002D41D2"/>
    <w:rsid w:val="002D4591"/>
    <w:rsid w:val="002D4BFF"/>
    <w:rsid w:val="002D53BE"/>
    <w:rsid w:val="002D577C"/>
    <w:rsid w:val="002D5996"/>
    <w:rsid w:val="002D635A"/>
    <w:rsid w:val="002D650D"/>
    <w:rsid w:val="002D68CA"/>
    <w:rsid w:val="002D7070"/>
    <w:rsid w:val="002D77EB"/>
    <w:rsid w:val="002D7832"/>
    <w:rsid w:val="002D7B1E"/>
    <w:rsid w:val="002E0239"/>
    <w:rsid w:val="002E1071"/>
    <w:rsid w:val="002E10CD"/>
    <w:rsid w:val="002E15B9"/>
    <w:rsid w:val="002E162E"/>
    <w:rsid w:val="002E2158"/>
    <w:rsid w:val="002E25F4"/>
    <w:rsid w:val="002E26BF"/>
    <w:rsid w:val="002E26EA"/>
    <w:rsid w:val="002E298A"/>
    <w:rsid w:val="002E2DD6"/>
    <w:rsid w:val="002E2ECB"/>
    <w:rsid w:val="002E2F33"/>
    <w:rsid w:val="002E30D0"/>
    <w:rsid w:val="002E3A73"/>
    <w:rsid w:val="002E3C6D"/>
    <w:rsid w:val="002E3E79"/>
    <w:rsid w:val="002E4232"/>
    <w:rsid w:val="002E4660"/>
    <w:rsid w:val="002E495F"/>
    <w:rsid w:val="002E49E6"/>
    <w:rsid w:val="002E4BF0"/>
    <w:rsid w:val="002E4F02"/>
    <w:rsid w:val="002E5152"/>
    <w:rsid w:val="002E5393"/>
    <w:rsid w:val="002E5732"/>
    <w:rsid w:val="002E5997"/>
    <w:rsid w:val="002E5A09"/>
    <w:rsid w:val="002E5DBD"/>
    <w:rsid w:val="002E6180"/>
    <w:rsid w:val="002E6260"/>
    <w:rsid w:val="002E6A51"/>
    <w:rsid w:val="002E6E9E"/>
    <w:rsid w:val="002E7722"/>
    <w:rsid w:val="002E7A34"/>
    <w:rsid w:val="002F07BA"/>
    <w:rsid w:val="002F0DA9"/>
    <w:rsid w:val="002F1014"/>
    <w:rsid w:val="002F1085"/>
    <w:rsid w:val="002F1776"/>
    <w:rsid w:val="002F1DBA"/>
    <w:rsid w:val="002F1E3B"/>
    <w:rsid w:val="002F1FA8"/>
    <w:rsid w:val="002F2071"/>
    <w:rsid w:val="002F2108"/>
    <w:rsid w:val="002F235D"/>
    <w:rsid w:val="002F2583"/>
    <w:rsid w:val="002F26A6"/>
    <w:rsid w:val="002F2DD9"/>
    <w:rsid w:val="002F3029"/>
    <w:rsid w:val="002F35D5"/>
    <w:rsid w:val="002F3E37"/>
    <w:rsid w:val="002F404E"/>
    <w:rsid w:val="002F4AA3"/>
    <w:rsid w:val="002F5398"/>
    <w:rsid w:val="002F596B"/>
    <w:rsid w:val="002F643C"/>
    <w:rsid w:val="002F66E4"/>
    <w:rsid w:val="002F71C0"/>
    <w:rsid w:val="002F74F1"/>
    <w:rsid w:val="002F759C"/>
    <w:rsid w:val="002F785E"/>
    <w:rsid w:val="002F79F9"/>
    <w:rsid w:val="002F7D75"/>
    <w:rsid w:val="00300324"/>
    <w:rsid w:val="003009E4"/>
    <w:rsid w:val="00300B91"/>
    <w:rsid w:val="00300E01"/>
    <w:rsid w:val="00301017"/>
    <w:rsid w:val="003013BB"/>
    <w:rsid w:val="0030155F"/>
    <w:rsid w:val="00301C5B"/>
    <w:rsid w:val="0030230F"/>
    <w:rsid w:val="00302572"/>
    <w:rsid w:val="003026C2"/>
    <w:rsid w:val="003026DE"/>
    <w:rsid w:val="00302909"/>
    <w:rsid w:val="00302A41"/>
    <w:rsid w:val="00302C3B"/>
    <w:rsid w:val="00302E08"/>
    <w:rsid w:val="00303324"/>
    <w:rsid w:val="00303421"/>
    <w:rsid w:val="00303AAF"/>
    <w:rsid w:val="00303AE3"/>
    <w:rsid w:val="00304221"/>
    <w:rsid w:val="00304999"/>
    <w:rsid w:val="00304EFA"/>
    <w:rsid w:val="003053AE"/>
    <w:rsid w:val="00305770"/>
    <w:rsid w:val="0030587B"/>
    <w:rsid w:val="00305950"/>
    <w:rsid w:val="00305AAE"/>
    <w:rsid w:val="00306446"/>
    <w:rsid w:val="00306D98"/>
    <w:rsid w:val="00306ECE"/>
    <w:rsid w:val="00306EEA"/>
    <w:rsid w:val="0030716F"/>
    <w:rsid w:val="003075C5"/>
    <w:rsid w:val="0030786C"/>
    <w:rsid w:val="0031031A"/>
    <w:rsid w:val="003108EA"/>
    <w:rsid w:val="00310981"/>
    <w:rsid w:val="00310DC3"/>
    <w:rsid w:val="00311161"/>
    <w:rsid w:val="003114A3"/>
    <w:rsid w:val="003114E4"/>
    <w:rsid w:val="0031161F"/>
    <w:rsid w:val="00311D9B"/>
    <w:rsid w:val="003124D9"/>
    <w:rsid w:val="00312594"/>
    <w:rsid w:val="00312956"/>
    <w:rsid w:val="003129CC"/>
    <w:rsid w:val="00312A39"/>
    <w:rsid w:val="00312B71"/>
    <w:rsid w:val="00313698"/>
    <w:rsid w:val="00313708"/>
    <w:rsid w:val="003138AB"/>
    <w:rsid w:val="00313D42"/>
    <w:rsid w:val="00313DA5"/>
    <w:rsid w:val="00313F99"/>
    <w:rsid w:val="00313FA2"/>
    <w:rsid w:val="00314315"/>
    <w:rsid w:val="00314377"/>
    <w:rsid w:val="00314756"/>
    <w:rsid w:val="00314775"/>
    <w:rsid w:val="00314C16"/>
    <w:rsid w:val="003152A2"/>
    <w:rsid w:val="00315498"/>
    <w:rsid w:val="00315CCF"/>
    <w:rsid w:val="00316474"/>
    <w:rsid w:val="00316543"/>
    <w:rsid w:val="00316A22"/>
    <w:rsid w:val="00316BDC"/>
    <w:rsid w:val="00316E50"/>
    <w:rsid w:val="0031741E"/>
    <w:rsid w:val="00317600"/>
    <w:rsid w:val="00317BA3"/>
    <w:rsid w:val="00317E6A"/>
    <w:rsid w:val="00317E95"/>
    <w:rsid w:val="003207E3"/>
    <w:rsid w:val="003209DB"/>
    <w:rsid w:val="00320E49"/>
    <w:rsid w:val="00321185"/>
    <w:rsid w:val="00321444"/>
    <w:rsid w:val="00321512"/>
    <w:rsid w:val="00321605"/>
    <w:rsid w:val="0032197D"/>
    <w:rsid w:val="00321E30"/>
    <w:rsid w:val="00321FE7"/>
    <w:rsid w:val="00322107"/>
    <w:rsid w:val="00322355"/>
    <w:rsid w:val="00322846"/>
    <w:rsid w:val="00322AB0"/>
    <w:rsid w:val="003230F1"/>
    <w:rsid w:val="0032319A"/>
    <w:rsid w:val="0032363D"/>
    <w:rsid w:val="003239E9"/>
    <w:rsid w:val="00323D37"/>
    <w:rsid w:val="003241F0"/>
    <w:rsid w:val="0032461F"/>
    <w:rsid w:val="0032481E"/>
    <w:rsid w:val="00325084"/>
    <w:rsid w:val="00325137"/>
    <w:rsid w:val="00325262"/>
    <w:rsid w:val="00325267"/>
    <w:rsid w:val="00325333"/>
    <w:rsid w:val="0032565D"/>
    <w:rsid w:val="0032573E"/>
    <w:rsid w:val="00326479"/>
    <w:rsid w:val="0032671D"/>
    <w:rsid w:val="00326DA7"/>
    <w:rsid w:val="003270E4"/>
    <w:rsid w:val="00327DCF"/>
    <w:rsid w:val="0033057C"/>
    <w:rsid w:val="00330710"/>
    <w:rsid w:val="00330893"/>
    <w:rsid w:val="00330CD2"/>
    <w:rsid w:val="00330DAA"/>
    <w:rsid w:val="00330F5C"/>
    <w:rsid w:val="003311C2"/>
    <w:rsid w:val="003318E0"/>
    <w:rsid w:val="00331EDE"/>
    <w:rsid w:val="003324FB"/>
    <w:rsid w:val="00332948"/>
    <w:rsid w:val="003339BB"/>
    <w:rsid w:val="00333B3E"/>
    <w:rsid w:val="00333CB4"/>
    <w:rsid w:val="00333E07"/>
    <w:rsid w:val="00333E63"/>
    <w:rsid w:val="00334284"/>
    <w:rsid w:val="00334846"/>
    <w:rsid w:val="00334A6B"/>
    <w:rsid w:val="00335456"/>
    <w:rsid w:val="00335C67"/>
    <w:rsid w:val="00336290"/>
    <w:rsid w:val="003366C9"/>
    <w:rsid w:val="00336A3A"/>
    <w:rsid w:val="00336C9C"/>
    <w:rsid w:val="00336CCE"/>
    <w:rsid w:val="00336D44"/>
    <w:rsid w:val="003371B0"/>
    <w:rsid w:val="00337565"/>
    <w:rsid w:val="00337BB9"/>
    <w:rsid w:val="0034010A"/>
    <w:rsid w:val="00340143"/>
    <w:rsid w:val="003406E8"/>
    <w:rsid w:val="00340DF1"/>
    <w:rsid w:val="00340E83"/>
    <w:rsid w:val="003420B2"/>
    <w:rsid w:val="003421F4"/>
    <w:rsid w:val="00342527"/>
    <w:rsid w:val="00342581"/>
    <w:rsid w:val="0034269E"/>
    <w:rsid w:val="00342E5F"/>
    <w:rsid w:val="00343161"/>
    <w:rsid w:val="0034347A"/>
    <w:rsid w:val="00343645"/>
    <w:rsid w:val="003438AF"/>
    <w:rsid w:val="003441B7"/>
    <w:rsid w:val="003444B8"/>
    <w:rsid w:val="00344512"/>
    <w:rsid w:val="003445B1"/>
    <w:rsid w:val="00344749"/>
    <w:rsid w:val="0034499F"/>
    <w:rsid w:val="00344ABA"/>
    <w:rsid w:val="00344CB9"/>
    <w:rsid w:val="00345256"/>
    <w:rsid w:val="00345404"/>
    <w:rsid w:val="00345710"/>
    <w:rsid w:val="003458E5"/>
    <w:rsid w:val="00345BF1"/>
    <w:rsid w:val="00345C5A"/>
    <w:rsid w:val="0034677B"/>
    <w:rsid w:val="00346CCB"/>
    <w:rsid w:val="00346F22"/>
    <w:rsid w:val="00347C39"/>
    <w:rsid w:val="00347FA7"/>
    <w:rsid w:val="003506EF"/>
    <w:rsid w:val="00350F34"/>
    <w:rsid w:val="00351409"/>
    <w:rsid w:val="0035145A"/>
    <w:rsid w:val="003517F9"/>
    <w:rsid w:val="00351A5E"/>
    <w:rsid w:val="00351B10"/>
    <w:rsid w:val="00351BA9"/>
    <w:rsid w:val="00351D1D"/>
    <w:rsid w:val="00351E33"/>
    <w:rsid w:val="00352047"/>
    <w:rsid w:val="0035207F"/>
    <w:rsid w:val="00352276"/>
    <w:rsid w:val="003522DF"/>
    <w:rsid w:val="003525A2"/>
    <w:rsid w:val="003526B0"/>
    <w:rsid w:val="00352E97"/>
    <w:rsid w:val="00353EBD"/>
    <w:rsid w:val="0035467E"/>
    <w:rsid w:val="00354F5A"/>
    <w:rsid w:val="00354F64"/>
    <w:rsid w:val="003550D9"/>
    <w:rsid w:val="00355129"/>
    <w:rsid w:val="003558EE"/>
    <w:rsid w:val="0035612A"/>
    <w:rsid w:val="003561FA"/>
    <w:rsid w:val="0035620E"/>
    <w:rsid w:val="003566A4"/>
    <w:rsid w:val="00356ED1"/>
    <w:rsid w:val="003575BE"/>
    <w:rsid w:val="00357D8A"/>
    <w:rsid w:val="00357DF4"/>
    <w:rsid w:val="003600FC"/>
    <w:rsid w:val="00360345"/>
    <w:rsid w:val="00360BAF"/>
    <w:rsid w:val="00360E0D"/>
    <w:rsid w:val="00361292"/>
    <w:rsid w:val="00361923"/>
    <w:rsid w:val="00361A05"/>
    <w:rsid w:val="00361C4F"/>
    <w:rsid w:val="0036209E"/>
    <w:rsid w:val="00362200"/>
    <w:rsid w:val="00362287"/>
    <w:rsid w:val="003624C4"/>
    <w:rsid w:val="003629C9"/>
    <w:rsid w:val="00363261"/>
    <w:rsid w:val="00363787"/>
    <w:rsid w:val="00363B00"/>
    <w:rsid w:val="00363D39"/>
    <w:rsid w:val="003645B3"/>
    <w:rsid w:val="0036478D"/>
    <w:rsid w:val="003654AC"/>
    <w:rsid w:val="00365519"/>
    <w:rsid w:val="0036557F"/>
    <w:rsid w:val="00365726"/>
    <w:rsid w:val="00366009"/>
    <w:rsid w:val="00366A8B"/>
    <w:rsid w:val="003679A8"/>
    <w:rsid w:val="00370468"/>
    <w:rsid w:val="003710CF"/>
    <w:rsid w:val="0037160E"/>
    <w:rsid w:val="003716B1"/>
    <w:rsid w:val="00372D27"/>
    <w:rsid w:val="00373118"/>
    <w:rsid w:val="0037315E"/>
    <w:rsid w:val="0037358A"/>
    <w:rsid w:val="00373AAB"/>
    <w:rsid w:val="00373CF6"/>
    <w:rsid w:val="00374331"/>
    <w:rsid w:val="00374429"/>
    <w:rsid w:val="00374C22"/>
    <w:rsid w:val="00374DAF"/>
    <w:rsid w:val="00374F53"/>
    <w:rsid w:val="003750F6"/>
    <w:rsid w:val="00375B2A"/>
    <w:rsid w:val="00375CC7"/>
    <w:rsid w:val="00375D1F"/>
    <w:rsid w:val="00375D84"/>
    <w:rsid w:val="00375EE9"/>
    <w:rsid w:val="00376054"/>
    <w:rsid w:val="003760FC"/>
    <w:rsid w:val="00376172"/>
    <w:rsid w:val="00376D5D"/>
    <w:rsid w:val="00376EDB"/>
    <w:rsid w:val="0037718E"/>
    <w:rsid w:val="0037739D"/>
    <w:rsid w:val="003774A1"/>
    <w:rsid w:val="0037779C"/>
    <w:rsid w:val="00377ACD"/>
    <w:rsid w:val="00377C23"/>
    <w:rsid w:val="00377F9B"/>
    <w:rsid w:val="0038006A"/>
    <w:rsid w:val="003806B5"/>
    <w:rsid w:val="00380EB4"/>
    <w:rsid w:val="00380F6D"/>
    <w:rsid w:val="00380FB9"/>
    <w:rsid w:val="00381C5B"/>
    <w:rsid w:val="0038236B"/>
    <w:rsid w:val="0038247A"/>
    <w:rsid w:val="00382A31"/>
    <w:rsid w:val="0038339D"/>
    <w:rsid w:val="00383641"/>
    <w:rsid w:val="0038365C"/>
    <w:rsid w:val="0038369B"/>
    <w:rsid w:val="00383B78"/>
    <w:rsid w:val="00383D23"/>
    <w:rsid w:val="00383D7B"/>
    <w:rsid w:val="003847B6"/>
    <w:rsid w:val="00384D14"/>
    <w:rsid w:val="0038533A"/>
    <w:rsid w:val="00385862"/>
    <w:rsid w:val="00385A9D"/>
    <w:rsid w:val="00386C1F"/>
    <w:rsid w:val="00386E23"/>
    <w:rsid w:val="00387121"/>
    <w:rsid w:val="00387878"/>
    <w:rsid w:val="003879CE"/>
    <w:rsid w:val="00387CA5"/>
    <w:rsid w:val="00387D8F"/>
    <w:rsid w:val="00387F89"/>
    <w:rsid w:val="003902B1"/>
    <w:rsid w:val="00390613"/>
    <w:rsid w:val="00391006"/>
    <w:rsid w:val="00391068"/>
    <w:rsid w:val="0039179C"/>
    <w:rsid w:val="00391FC3"/>
    <w:rsid w:val="00392DC5"/>
    <w:rsid w:val="00392E84"/>
    <w:rsid w:val="003938D1"/>
    <w:rsid w:val="003939BE"/>
    <w:rsid w:val="003949B6"/>
    <w:rsid w:val="00394D60"/>
    <w:rsid w:val="003950BD"/>
    <w:rsid w:val="00395800"/>
    <w:rsid w:val="003958DA"/>
    <w:rsid w:val="00395F7D"/>
    <w:rsid w:val="00396896"/>
    <w:rsid w:val="003969C7"/>
    <w:rsid w:val="00396A43"/>
    <w:rsid w:val="00396E2F"/>
    <w:rsid w:val="00396FD0"/>
    <w:rsid w:val="0039766F"/>
    <w:rsid w:val="003977E6"/>
    <w:rsid w:val="00397946"/>
    <w:rsid w:val="00397E9D"/>
    <w:rsid w:val="003A06CB"/>
    <w:rsid w:val="003A09C4"/>
    <w:rsid w:val="003A0B0C"/>
    <w:rsid w:val="003A0EBD"/>
    <w:rsid w:val="003A1828"/>
    <w:rsid w:val="003A1A7A"/>
    <w:rsid w:val="003A1B63"/>
    <w:rsid w:val="003A1D89"/>
    <w:rsid w:val="003A20B7"/>
    <w:rsid w:val="003A2392"/>
    <w:rsid w:val="003A2831"/>
    <w:rsid w:val="003A28D4"/>
    <w:rsid w:val="003A2B13"/>
    <w:rsid w:val="003A394A"/>
    <w:rsid w:val="003A3A90"/>
    <w:rsid w:val="003A3CB6"/>
    <w:rsid w:val="003A3E34"/>
    <w:rsid w:val="003A3ED1"/>
    <w:rsid w:val="003A40DE"/>
    <w:rsid w:val="003A419D"/>
    <w:rsid w:val="003A44DB"/>
    <w:rsid w:val="003A493C"/>
    <w:rsid w:val="003A4C14"/>
    <w:rsid w:val="003A5204"/>
    <w:rsid w:val="003A523B"/>
    <w:rsid w:val="003A5275"/>
    <w:rsid w:val="003A56C0"/>
    <w:rsid w:val="003A576C"/>
    <w:rsid w:val="003A60C5"/>
    <w:rsid w:val="003A6216"/>
    <w:rsid w:val="003A64A6"/>
    <w:rsid w:val="003A68F0"/>
    <w:rsid w:val="003A6F6F"/>
    <w:rsid w:val="003A7F60"/>
    <w:rsid w:val="003B03A4"/>
    <w:rsid w:val="003B0502"/>
    <w:rsid w:val="003B0C36"/>
    <w:rsid w:val="003B0F44"/>
    <w:rsid w:val="003B0FFE"/>
    <w:rsid w:val="003B13F7"/>
    <w:rsid w:val="003B1AE4"/>
    <w:rsid w:val="003B1DDD"/>
    <w:rsid w:val="003B1F0F"/>
    <w:rsid w:val="003B2B85"/>
    <w:rsid w:val="003B32E9"/>
    <w:rsid w:val="003B3971"/>
    <w:rsid w:val="003B3B4B"/>
    <w:rsid w:val="003B3C0B"/>
    <w:rsid w:val="003B3D69"/>
    <w:rsid w:val="003B3EE9"/>
    <w:rsid w:val="003B42D6"/>
    <w:rsid w:val="003B4B5F"/>
    <w:rsid w:val="003B4D1D"/>
    <w:rsid w:val="003B5324"/>
    <w:rsid w:val="003B55D1"/>
    <w:rsid w:val="003B5B61"/>
    <w:rsid w:val="003B5C5B"/>
    <w:rsid w:val="003B5F9C"/>
    <w:rsid w:val="003B75B2"/>
    <w:rsid w:val="003B7693"/>
    <w:rsid w:val="003C055F"/>
    <w:rsid w:val="003C09DD"/>
    <w:rsid w:val="003C0C0C"/>
    <w:rsid w:val="003C1637"/>
    <w:rsid w:val="003C1654"/>
    <w:rsid w:val="003C1911"/>
    <w:rsid w:val="003C1933"/>
    <w:rsid w:val="003C2228"/>
    <w:rsid w:val="003C22F3"/>
    <w:rsid w:val="003C257F"/>
    <w:rsid w:val="003C2F96"/>
    <w:rsid w:val="003C2FDE"/>
    <w:rsid w:val="003C329C"/>
    <w:rsid w:val="003C3603"/>
    <w:rsid w:val="003C3CC4"/>
    <w:rsid w:val="003C4C87"/>
    <w:rsid w:val="003C5331"/>
    <w:rsid w:val="003C54EE"/>
    <w:rsid w:val="003C5542"/>
    <w:rsid w:val="003C5896"/>
    <w:rsid w:val="003C6ABE"/>
    <w:rsid w:val="003C6FCF"/>
    <w:rsid w:val="003C7806"/>
    <w:rsid w:val="003C7B42"/>
    <w:rsid w:val="003C7C15"/>
    <w:rsid w:val="003C7D19"/>
    <w:rsid w:val="003C7D2F"/>
    <w:rsid w:val="003D0C5A"/>
    <w:rsid w:val="003D0DB5"/>
    <w:rsid w:val="003D11F4"/>
    <w:rsid w:val="003D14B2"/>
    <w:rsid w:val="003D161F"/>
    <w:rsid w:val="003D1828"/>
    <w:rsid w:val="003D1ABA"/>
    <w:rsid w:val="003D1DE4"/>
    <w:rsid w:val="003D1E9A"/>
    <w:rsid w:val="003D1EA3"/>
    <w:rsid w:val="003D2422"/>
    <w:rsid w:val="003D24B0"/>
    <w:rsid w:val="003D273A"/>
    <w:rsid w:val="003D2977"/>
    <w:rsid w:val="003D29EE"/>
    <w:rsid w:val="003D36B9"/>
    <w:rsid w:val="003D3928"/>
    <w:rsid w:val="003D392D"/>
    <w:rsid w:val="003D39A1"/>
    <w:rsid w:val="003D3F51"/>
    <w:rsid w:val="003D3FBA"/>
    <w:rsid w:val="003D3FBF"/>
    <w:rsid w:val="003D42D2"/>
    <w:rsid w:val="003D42D5"/>
    <w:rsid w:val="003D4434"/>
    <w:rsid w:val="003D44F1"/>
    <w:rsid w:val="003D44F3"/>
    <w:rsid w:val="003D47FD"/>
    <w:rsid w:val="003D483A"/>
    <w:rsid w:val="003D48F2"/>
    <w:rsid w:val="003D4A30"/>
    <w:rsid w:val="003D4DF2"/>
    <w:rsid w:val="003D4EB3"/>
    <w:rsid w:val="003D4EBC"/>
    <w:rsid w:val="003D67FF"/>
    <w:rsid w:val="003D6889"/>
    <w:rsid w:val="003D722F"/>
    <w:rsid w:val="003D7452"/>
    <w:rsid w:val="003D754D"/>
    <w:rsid w:val="003D7663"/>
    <w:rsid w:val="003D79BB"/>
    <w:rsid w:val="003D7C98"/>
    <w:rsid w:val="003D7D61"/>
    <w:rsid w:val="003D7D9D"/>
    <w:rsid w:val="003E02F7"/>
    <w:rsid w:val="003E0543"/>
    <w:rsid w:val="003E061A"/>
    <w:rsid w:val="003E0727"/>
    <w:rsid w:val="003E0D33"/>
    <w:rsid w:val="003E14E2"/>
    <w:rsid w:val="003E1C2F"/>
    <w:rsid w:val="003E1EC8"/>
    <w:rsid w:val="003E226B"/>
    <w:rsid w:val="003E252D"/>
    <w:rsid w:val="003E3BB7"/>
    <w:rsid w:val="003E3BC8"/>
    <w:rsid w:val="003E4126"/>
    <w:rsid w:val="003E4515"/>
    <w:rsid w:val="003E53A5"/>
    <w:rsid w:val="003E5603"/>
    <w:rsid w:val="003E61EB"/>
    <w:rsid w:val="003E624B"/>
    <w:rsid w:val="003E6459"/>
    <w:rsid w:val="003E6675"/>
    <w:rsid w:val="003E7017"/>
    <w:rsid w:val="003E7279"/>
    <w:rsid w:val="003E7330"/>
    <w:rsid w:val="003E749E"/>
    <w:rsid w:val="003E7A9D"/>
    <w:rsid w:val="003E7CD0"/>
    <w:rsid w:val="003F0550"/>
    <w:rsid w:val="003F0679"/>
    <w:rsid w:val="003F08F8"/>
    <w:rsid w:val="003F0D97"/>
    <w:rsid w:val="003F0F63"/>
    <w:rsid w:val="003F1908"/>
    <w:rsid w:val="003F1C50"/>
    <w:rsid w:val="003F21ED"/>
    <w:rsid w:val="003F2920"/>
    <w:rsid w:val="003F2FF9"/>
    <w:rsid w:val="003F3CF1"/>
    <w:rsid w:val="003F4156"/>
    <w:rsid w:val="003F44A9"/>
    <w:rsid w:val="003F4A0E"/>
    <w:rsid w:val="003F4AAD"/>
    <w:rsid w:val="003F5439"/>
    <w:rsid w:val="003F544D"/>
    <w:rsid w:val="003F599B"/>
    <w:rsid w:val="003F5ADF"/>
    <w:rsid w:val="003F62C7"/>
    <w:rsid w:val="003F6FA1"/>
    <w:rsid w:val="003F7106"/>
    <w:rsid w:val="003F7D52"/>
    <w:rsid w:val="0040078B"/>
    <w:rsid w:val="00400B29"/>
    <w:rsid w:val="0040107A"/>
    <w:rsid w:val="004011A3"/>
    <w:rsid w:val="004011BC"/>
    <w:rsid w:val="00401580"/>
    <w:rsid w:val="00401847"/>
    <w:rsid w:val="004018C3"/>
    <w:rsid w:val="00401B4E"/>
    <w:rsid w:val="00402812"/>
    <w:rsid w:val="00402E41"/>
    <w:rsid w:val="004033EB"/>
    <w:rsid w:val="00403A95"/>
    <w:rsid w:val="004041D3"/>
    <w:rsid w:val="0040450C"/>
    <w:rsid w:val="0040504B"/>
    <w:rsid w:val="0040583D"/>
    <w:rsid w:val="004059F4"/>
    <w:rsid w:val="004060CD"/>
    <w:rsid w:val="004067AA"/>
    <w:rsid w:val="00406BE1"/>
    <w:rsid w:val="00406D01"/>
    <w:rsid w:val="0040740C"/>
    <w:rsid w:val="00407450"/>
    <w:rsid w:val="004076DF"/>
    <w:rsid w:val="004077C1"/>
    <w:rsid w:val="00407FE5"/>
    <w:rsid w:val="004101B0"/>
    <w:rsid w:val="00410326"/>
    <w:rsid w:val="00410708"/>
    <w:rsid w:val="004107A1"/>
    <w:rsid w:val="00410C6B"/>
    <w:rsid w:val="00410C94"/>
    <w:rsid w:val="00410EC7"/>
    <w:rsid w:val="004111F7"/>
    <w:rsid w:val="004116B1"/>
    <w:rsid w:val="0041180E"/>
    <w:rsid w:val="00411AB2"/>
    <w:rsid w:val="00411B39"/>
    <w:rsid w:val="00411B79"/>
    <w:rsid w:val="00411FBA"/>
    <w:rsid w:val="00412393"/>
    <w:rsid w:val="004127A7"/>
    <w:rsid w:val="00412F6F"/>
    <w:rsid w:val="0041315C"/>
    <w:rsid w:val="0041317C"/>
    <w:rsid w:val="0041356D"/>
    <w:rsid w:val="0041397E"/>
    <w:rsid w:val="00413A1E"/>
    <w:rsid w:val="00413EE0"/>
    <w:rsid w:val="00414476"/>
    <w:rsid w:val="004147DB"/>
    <w:rsid w:val="0041497A"/>
    <w:rsid w:val="00414C2E"/>
    <w:rsid w:val="004151CF"/>
    <w:rsid w:val="004154B1"/>
    <w:rsid w:val="004157C0"/>
    <w:rsid w:val="00415B84"/>
    <w:rsid w:val="00415EE1"/>
    <w:rsid w:val="0041609E"/>
    <w:rsid w:val="004160EC"/>
    <w:rsid w:val="0041615A"/>
    <w:rsid w:val="00416364"/>
    <w:rsid w:val="00416C71"/>
    <w:rsid w:val="004170E9"/>
    <w:rsid w:val="004173D8"/>
    <w:rsid w:val="00417656"/>
    <w:rsid w:val="00417B84"/>
    <w:rsid w:val="00417B8D"/>
    <w:rsid w:val="00417C1D"/>
    <w:rsid w:val="00420435"/>
    <w:rsid w:val="0042047F"/>
    <w:rsid w:val="00420951"/>
    <w:rsid w:val="00420AA6"/>
    <w:rsid w:val="00420B9F"/>
    <w:rsid w:val="00420E35"/>
    <w:rsid w:val="00421820"/>
    <w:rsid w:val="00421874"/>
    <w:rsid w:val="0042192C"/>
    <w:rsid w:val="00421E52"/>
    <w:rsid w:val="00422142"/>
    <w:rsid w:val="00422260"/>
    <w:rsid w:val="00422868"/>
    <w:rsid w:val="00422AC2"/>
    <w:rsid w:val="004235A6"/>
    <w:rsid w:val="0042387E"/>
    <w:rsid w:val="00423F6E"/>
    <w:rsid w:val="0042413F"/>
    <w:rsid w:val="0042434E"/>
    <w:rsid w:val="00424FCD"/>
    <w:rsid w:val="00425625"/>
    <w:rsid w:val="00425BE0"/>
    <w:rsid w:val="00426872"/>
    <w:rsid w:val="00427141"/>
    <w:rsid w:val="004272BC"/>
    <w:rsid w:val="00427B46"/>
    <w:rsid w:val="00427C26"/>
    <w:rsid w:val="00427DE3"/>
    <w:rsid w:val="00430201"/>
    <w:rsid w:val="004305D2"/>
    <w:rsid w:val="0043087D"/>
    <w:rsid w:val="00431010"/>
    <w:rsid w:val="004319F8"/>
    <w:rsid w:val="00431E55"/>
    <w:rsid w:val="004321F6"/>
    <w:rsid w:val="004324AD"/>
    <w:rsid w:val="004329AD"/>
    <w:rsid w:val="00432D52"/>
    <w:rsid w:val="00432D93"/>
    <w:rsid w:val="00433044"/>
    <w:rsid w:val="00433764"/>
    <w:rsid w:val="00433A31"/>
    <w:rsid w:val="00433BFC"/>
    <w:rsid w:val="00434088"/>
    <w:rsid w:val="00434179"/>
    <w:rsid w:val="004345E9"/>
    <w:rsid w:val="004350C2"/>
    <w:rsid w:val="0043510C"/>
    <w:rsid w:val="00435184"/>
    <w:rsid w:val="004351EB"/>
    <w:rsid w:val="004356C0"/>
    <w:rsid w:val="00436073"/>
    <w:rsid w:val="0043619D"/>
    <w:rsid w:val="0043625B"/>
    <w:rsid w:val="00436278"/>
    <w:rsid w:val="004362B2"/>
    <w:rsid w:val="00436517"/>
    <w:rsid w:val="00436F83"/>
    <w:rsid w:val="00437195"/>
    <w:rsid w:val="0043751B"/>
    <w:rsid w:val="004375B9"/>
    <w:rsid w:val="00437C59"/>
    <w:rsid w:val="00437D36"/>
    <w:rsid w:val="004405A6"/>
    <w:rsid w:val="004406F9"/>
    <w:rsid w:val="00440763"/>
    <w:rsid w:val="004407C8"/>
    <w:rsid w:val="0044083F"/>
    <w:rsid w:val="0044085F"/>
    <w:rsid w:val="00440907"/>
    <w:rsid w:val="00440913"/>
    <w:rsid w:val="00440C89"/>
    <w:rsid w:val="00440FA9"/>
    <w:rsid w:val="00442091"/>
    <w:rsid w:val="00442128"/>
    <w:rsid w:val="004423DE"/>
    <w:rsid w:val="004427AD"/>
    <w:rsid w:val="004428D0"/>
    <w:rsid w:val="00442BDC"/>
    <w:rsid w:val="00442F7F"/>
    <w:rsid w:val="004430C6"/>
    <w:rsid w:val="004430CC"/>
    <w:rsid w:val="00443790"/>
    <w:rsid w:val="00443905"/>
    <w:rsid w:val="00443F63"/>
    <w:rsid w:val="00444022"/>
    <w:rsid w:val="00444185"/>
    <w:rsid w:val="004443A7"/>
    <w:rsid w:val="0044442C"/>
    <w:rsid w:val="0044444E"/>
    <w:rsid w:val="004447DD"/>
    <w:rsid w:val="004447F0"/>
    <w:rsid w:val="0044482A"/>
    <w:rsid w:val="00444BE7"/>
    <w:rsid w:val="00444E72"/>
    <w:rsid w:val="004450A1"/>
    <w:rsid w:val="00445427"/>
    <w:rsid w:val="00445941"/>
    <w:rsid w:val="00445A0F"/>
    <w:rsid w:val="004461D5"/>
    <w:rsid w:val="00446215"/>
    <w:rsid w:val="004464EB"/>
    <w:rsid w:val="004467C8"/>
    <w:rsid w:val="00446A20"/>
    <w:rsid w:val="00446CC5"/>
    <w:rsid w:val="0044745B"/>
    <w:rsid w:val="00447D26"/>
    <w:rsid w:val="00447DFC"/>
    <w:rsid w:val="0045081E"/>
    <w:rsid w:val="0045094D"/>
    <w:rsid w:val="00450D82"/>
    <w:rsid w:val="004512AB"/>
    <w:rsid w:val="004527F5"/>
    <w:rsid w:val="00452CD2"/>
    <w:rsid w:val="00452DD0"/>
    <w:rsid w:val="00452E6A"/>
    <w:rsid w:val="00453241"/>
    <w:rsid w:val="004536D8"/>
    <w:rsid w:val="00453860"/>
    <w:rsid w:val="00453B06"/>
    <w:rsid w:val="00453B4B"/>
    <w:rsid w:val="00453BA6"/>
    <w:rsid w:val="00455AB1"/>
    <w:rsid w:val="00455D45"/>
    <w:rsid w:val="004561B8"/>
    <w:rsid w:val="0045643B"/>
    <w:rsid w:val="004569D2"/>
    <w:rsid w:val="00456F66"/>
    <w:rsid w:val="00457262"/>
    <w:rsid w:val="004572C6"/>
    <w:rsid w:val="00460D5C"/>
    <w:rsid w:val="00460F44"/>
    <w:rsid w:val="00461864"/>
    <w:rsid w:val="00461F8D"/>
    <w:rsid w:val="00462187"/>
    <w:rsid w:val="00462BD9"/>
    <w:rsid w:val="00462EC4"/>
    <w:rsid w:val="00463C51"/>
    <w:rsid w:val="00463C82"/>
    <w:rsid w:val="00464595"/>
    <w:rsid w:val="00465171"/>
    <w:rsid w:val="00465232"/>
    <w:rsid w:val="004658B5"/>
    <w:rsid w:val="0046606D"/>
    <w:rsid w:val="004666B2"/>
    <w:rsid w:val="0046689C"/>
    <w:rsid w:val="00466B8C"/>
    <w:rsid w:val="00466E64"/>
    <w:rsid w:val="004707BE"/>
    <w:rsid w:val="0047089C"/>
    <w:rsid w:val="004708AF"/>
    <w:rsid w:val="00470A92"/>
    <w:rsid w:val="00470DA8"/>
    <w:rsid w:val="0047136C"/>
    <w:rsid w:val="00471EA5"/>
    <w:rsid w:val="004723E1"/>
    <w:rsid w:val="00472648"/>
    <w:rsid w:val="00472A79"/>
    <w:rsid w:val="00472ECF"/>
    <w:rsid w:val="00473103"/>
    <w:rsid w:val="00473503"/>
    <w:rsid w:val="00473515"/>
    <w:rsid w:val="0047362C"/>
    <w:rsid w:val="00473DE9"/>
    <w:rsid w:val="00473F19"/>
    <w:rsid w:val="00474053"/>
    <w:rsid w:val="00474588"/>
    <w:rsid w:val="004747BB"/>
    <w:rsid w:val="00474DCD"/>
    <w:rsid w:val="004751F5"/>
    <w:rsid w:val="00475359"/>
    <w:rsid w:val="00475C37"/>
    <w:rsid w:val="00475E22"/>
    <w:rsid w:val="00475E3E"/>
    <w:rsid w:val="0047629D"/>
    <w:rsid w:val="004762EB"/>
    <w:rsid w:val="00477139"/>
    <w:rsid w:val="00477996"/>
    <w:rsid w:val="0048088E"/>
    <w:rsid w:val="00480F2B"/>
    <w:rsid w:val="00481A6B"/>
    <w:rsid w:val="00481F18"/>
    <w:rsid w:val="00481F40"/>
    <w:rsid w:val="004821A8"/>
    <w:rsid w:val="00482403"/>
    <w:rsid w:val="00482720"/>
    <w:rsid w:val="00482D0F"/>
    <w:rsid w:val="00483071"/>
    <w:rsid w:val="0048308B"/>
    <w:rsid w:val="004831BA"/>
    <w:rsid w:val="004835E7"/>
    <w:rsid w:val="00483C0A"/>
    <w:rsid w:val="004842B0"/>
    <w:rsid w:val="0048465E"/>
    <w:rsid w:val="00484B1F"/>
    <w:rsid w:val="00484C07"/>
    <w:rsid w:val="0048536A"/>
    <w:rsid w:val="00485567"/>
    <w:rsid w:val="004859E1"/>
    <w:rsid w:val="00486608"/>
    <w:rsid w:val="004867E2"/>
    <w:rsid w:val="0048730B"/>
    <w:rsid w:val="00487341"/>
    <w:rsid w:val="00487894"/>
    <w:rsid w:val="004900E1"/>
    <w:rsid w:val="00490809"/>
    <w:rsid w:val="00490905"/>
    <w:rsid w:val="00490B17"/>
    <w:rsid w:val="00490E94"/>
    <w:rsid w:val="00490EAC"/>
    <w:rsid w:val="0049167B"/>
    <w:rsid w:val="00491B03"/>
    <w:rsid w:val="00491B3A"/>
    <w:rsid w:val="00491B49"/>
    <w:rsid w:val="004924B9"/>
    <w:rsid w:val="004924E3"/>
    <w:rsid w:val="00492BD9"/>
    <w:rsid w:val="00492CFD"/>
    <w:rsid w:val="00492FFE"/>
    <w:rsid w:val="00493045"/>
    <w:rsid w:val="00493A5F"/>
    <w:rsid w:val="00493C88"/>
    <w:rsid w:val="00494207"/>
    <w:rsid w:val="004942B0"/>
    <w:rsid w:val="00494779"/>
    <w:rsid w:val="004948BB"/>
    <w:rsid w:val="00494DD5"/>
    <w:rsid w:val="00495065"/>
    <w:rsid w:val="00495C22"/>
    <w:rsid w:val="00495F5F"/>
    <w:rsid w:val="004962D2"/>
    <w:rsid w:val="00496B1B"/>
    <w:rsid w:val="00497081"/>
    <w:rsid w:val="004973C6"/>
    <w:rsid w:val="004973F4"/>
    <w:rsid w:val="00497A74"/>
    <w:rsid w:val="00497B01"/>
    <w:rsid w:val="004A03C2"/>
    <w:rsid w:val="004A0A4B"/>
    <w:rsid w:val="004A0DA1"/>
    <w:rsid w:val="004A111C"/>
    <w:rsid w:val="004A13D6"/>
    <w:rsid w:val="004A1856"/>
    <w:rsid w:val="004A1BD0"/>
    <w:rsid w:val="004A1C67"/>
    <w:rsid w:val="004A1D20"/>
    <w:rsid w:val="004A29FB"/>
    <w:rsid w:val="004A2D1B"/>
    <w:rsid w:val="004A3B54"/>
    <w:rsid w:val="004A40CE"/>
    <w:rsid w:val="004A40E2"/>
    <w:rsid w:val="004A4200"/>
    <w:rsid w:val="004A42B2"/>
    <w:rsid w:val="004A45FB"/>
    <w:rsid w:val="004A4896"/>
    <w:rsid w:val="004A52E9"/>
    <w:rsid w:val="004A5885"/>
    <w:rsid w:val="004A5F4F"/>
    <w:rsid w:val="004A6040"/>
    <w:rsid w:val="004A61B6"/>
    <w:rsid w:val="004A6597"/>
    <w:rsid w:val="004A65A6"/>
    <w:rsid w:val="004A6E2C"/>
    <w:rsid w:val="004A7517"/>
    <w:rsid w:val="004A776C"/>
    <w:rsid w:val="004A7848"/>
    <w:rsid w:val="004A793B"/>
    <w:rsid w:val="004B0470"/>
    <w:rsid w:val="004B0504"/>
    <w:rsid w:val="004B0779"/>
    <w:rsid w:val="004B0D3E"/>
    <w:rsid w:val="004B11E0"/>
    <w:rsid w:val="004B156B"/>
    <w:rsid w:val="004B1CB4"/>
    <w:rsid w:val="004B2518"/>
    <w:rsid w:val="004B271C"/>
    <w:rsid w:val="004B27B0"/>
    <w:rsid w:val="004B28B7"/>
    <w:rsid w:val="004B2EAF"/>
    <w:rsid w:val="004B2F18"/>
    <w:rsid w:val="004B3129"/>
    <w:rsid w:val="004B31BD"/>
    <w:rsid w:val="004B327F"/>
    <w:rsid w:val="004B3A6D"/>
    <w:rsid w:val="004B3DDB"/>
    <w:rsid w:val="004B44FD"/>
    <w:rsid w:val="004B4750"/>
    <w:rsid w:val="004B5B13"/>
    <w:rsid w:val="004B5BAF"/>
    <w:rsid w:val="004B5CFC"/>
    <w:rsid w:val="004B5D14"/>
    <w:rsid w:val="004B5EA0"/>
    <w:rsid w:val="004B6B37"/>
    <w:rsid w:val="004B6DFC"/>
    <w:rsid w:val="004B6F79"/>
    <w:rsid w:val="004B6FA6"/>
    <w:rsid w:val="004B751A"/>
    <w:rsid w:val="004B75B3"/>
    <w:rsid w:val="004B774D"/>
    <w:rsid w:val="004B7758"/>
    <w:rsid w:val="004B7851"/>
    <w:rsid w:val="004B7933"/>
    <w:rsid w:val="004B7A34"/>
    <w:rsid w:val="004B7C00"/>
    <w:rsid w:val="004C000C"/>
    <w:rsid w:val="004C032D"/>
    <w:rsid w:val="004C06CD"/>
    <w:rsid w:val="004C0F07"/>
    <w:rsid w:val="004C1012"/>
    <w:rsid w:val="004C103F"/>
    <w:rsid w:val="004C1437"/>
    <w:rsid w:val="004C1570"/>
    <w:rsid w:val="004C1757"/>
    <w:rsid w:val="004C2491"/>
    <w:rsid w:val="004C2AC2"/>
    <w:rsid w:val="004C2C15"/>
    <w:rsid w:val="004C2FBA"/>
    <w:rsid w:val="004C313E"/>
    <w:rsid w:val="004C3931"/>
    <w:rsid w:val="004C3B02"/>
    <w:rsid w:val="004C3D0D"/>
    <w:rsid w:val="004C41A9"/>
    <w:rsid w:val="004C45E5"/>
    <w:rsid w:val="004C4AB2"/>
    <w:rsid w:val="004C4AED"/>
    <w:rsid w:val="004C4E3E"/>
    <w:rsid w:val="004C55C8"/>
    <w:rsid w:val="004C5691"/>
    <w:rsid w:val="004C56A2"/>
    <w:rsid w:val="004C5821"/>
    <w:rsid w:val="004C58D3"/>
    <w:rsid w:val="004C5B89"/>
    <w:rsid w:val="004C6034"/>
    <w:rsid w:val="004C61D1"/>
    <w:rsid w:val="004C691D"/>
    <w:rsid w:val="004C72B5"/>
    <w:rsid w:val="004C7454"/>
    <w:rsid w:val="004C7629"/>
    <w:rsid w:val="004C7C45"/>
    <w:rsid w:val="004C7D34"/>
    <w:rsid w:val="004D0A77"/>
    <w:rsid w:val="004D0AB0"/>
    <w:rsid w:val="004D1045"/>
    <w:rsid w:val="004D1258"/>
    <w:rsid w:val="004D15CB"/>
    <w:rsid w:val="004D16F9"/>
    <w:rsid w:val="004D1A27"/>
    <w:rsid w:val="004D1AF4"/>
    <w:rsid w:val="004D22E6"/>
    <w:rsid w:val="004D22FE"/>
    <w:rsid w:val="004D2621"/>
    <w:rsid w:val="004D2670"/>
    <w:rsid w:val="004D2C2D"/>
    <w:rsid w:val="004D2D7E"/>
    <w:rsid w:val="004D2FF9"/>
    <w:rsid w:val="004D3631"/>
    <w:rsid w:val="004D40A9"/>
    <w:rsid w:val="004D465A"/>
    <w:rsid w:val="004D4A45"/>
    <w:rsid w:val="004D589A"/>
    <w:rsid w:val="004D5D19"/>
    <w:rsid w:val="004D60D9"/>
    <w:rsid w:val="004D671D"/>
    <w:rsid w:val="004D69B5"/>
    <w:rsid w:val="004D7227"/>
    <w:rsid w:val="004D7285"/>
    <w:rsid w:val="004D7316"/>
    <w:rsid w:val="004D7610"/>
    <w:rsid w:val="004D7B5E"/>
    <w:rsid w:val="004D7BC1"/>
    <w:rsid w:val="004E0E7F"/>
    <w:rsid w:val="004E0EB8"/>
    <w:rsid w:val="004E1123"/>
    <w:rsid w:val="004E189D"/>
    <w:rsid w:val="004E18E9"/>
    <w:rsid w:val="004E1927"/>
    <w:rsid w:val="004E198D"/>
    <w:rsid w:val="004E1B1D"/>
    <w:rsid w:val="004E1CFA"/>
    <w:rsid w:val="004E1DA6"/>
    <w:rsid w:val="004E1DD5"/>
    <w:rsid w:val="004E1E3E"/>
    <w:rsid w:val="004E2ADC"/>
    <w:rsid w:val="004E4169"/>
    <w:rsid w:val="004E43B2"/>
    <w:rsid w:val="004E4C79"/>
    <w:rsid w:val="004E4D95"/>
    <w:rsid w:val="004E52E3"/>
    <w:rsid w:val="004E5D20"/>
    <w:rsid w:val="004E5D37"/>
    <w:rsid w:val="004E5F1E"/>
    <w:rsid w:val="004E6650"/>
    <w:rsid w:val="004E667F"/>
    <w:rsid w:val="004E6861"/>
    <w:rsid w:val="004E6A6B"/>
    <w:rsid w:val="004E7168"/>
    <w:rsid w:val="004E761E"/>
    <w:rsid w:val="004E7A8D"/>
    <w:rsid w:val="004E7D6F"/>
    <w:rsid w:val="004E7DFD"/>
    <w:rsid w:val="004F006C"/>
    <w:rsid w:val="004F011C"/>
    <w:rsid w:val="004F075C"/>
    <w:rsid w:val="004F1138"/>
    <w:rsid w:val="004F1524"/>
    <w:rsid w:val="004F1607"/>
    <w:rsid w:val="004F195E"/>
    <w:rsid w:val="004F1D02"/>
    <w:rsid w:val="004F22D3"/>
    <w:rsid w:val="004F256E"/>
    <w:rsid w:val="004F2679"/>
    <w:rsid w:val="004F2815"/>
    <w:rsid w:val="004F2BE9"/>
    <w:rsid w:val="004F2C8A"/>
    <w:rsid w:val="004F2F21"/>
    <w:rsid w:val="004F311E"/>
    <w:rsid w:val="004F35B5"/>
    <w:rsid w:val="004F37CE"/>
    <w:rsid w:val="004F39BF"/>
    <w:rsid w:val="004F3DD2"/>
    <w:rsid w:val="004F3DE5"/>
    <w:rsid w:val="004F3E1B"/>
    <w:rsid w:val="004F414D"/>
    <w:rsid w:val="004F45A2"/>
    <w:rsid w:val="004F5012"/>
    <w:rsid w:val="004F58BF"/>
    <w:rsid w:val="004F5C0F"/>
    <w:rsid w:val="004F61F4"/>
    <w:rsid w:val="004F656F"/>
    <w:rsid w:val="004F65EE"/>
    <w:rsid w:val="004F6913"/>
    <w:rsid w:val="004F6CEE"/>
    <w:rsid w:val="004F711D"/>
    <w:rsid w:val="004F75E0"/>
    <w:rsid w:val="004F7865"/>
    <w:rsid w:val="004F7B09"/>
    <w:rsid w:val="004F7C31"/>
    <w:rsid w:val="004F7C90"/>
    <w:rsid w:val="00500A27"/>
    <w:rsid w:val="00501147"/>
    <w:rsid w:val="00501232"/>
    <w:rsid w:val="0050174E"/>
    <w:rsid w:val="00501854"/>
    <w:rsid w:val="0050219B"/>
    <w:rsid w:val="005022E5"/>
    <w:rsid w:val="00502A0A"/>
    <w:rsid w:val="00502BCD"/>
    <w:rsid w:val="00502EE8"/>
    <w:rsid w:val="005030FD"/>
    <w:rsid w:val="00503591"/>
    <w:rsid w:val="00503C2E"/>
    <w:rsid w:val="00503DD0"/>
    <w:rsid w:val="00503F17"/>
    <w:rsid w:val="00503F3A"/>
    <w:rsid w:val="00504797"/>
    <w:rsid w:val="005049B1"/>
    <w:rsid w:val="00504D6D"/>
    <w:rsid w:val="00505E88"/>
    <w:rsid w:val="00505F75"/>
    <w:rsid w:val="00506928"/>
    <w:rsid w:val="00507342"/>
    <w:rsid w:val="005074CE"/>
    <w:rsid w:val="005077EF"/>
    <w:rsid w:val="00507B0A"/>
    <w:rsid w:val="005101D4"/>
    <w:rsid w:val="005103D3"/>
    <w:rsid w:val="00510D4F"/>
    <w:rsid w:val="00510E1F"/>
    <w:rsid w:val="00511107"/>
    <w:rsid w:val="005112C4"/>
    <w:rsid w:val="005113E6"/>
    <w:rsid w:val="0051143C"/>
    <w:rsid w:val="00511796"/>
    <w:rsid w:val="00511AD5"/>
    <w:rsid w:val="00511DC7"/>
    <w:rsid w:val="00512106"/>
    <w:rsid w:val="0051228D"/>
    <w:rsid w:val="005124F6"/>
    <w:rsid w:val="005142C5"/>
    <w:rsid w:val="00514C21"/>
    <w:rsid w:val="00514C2F"/>
    <w:rsid w:val="00514DB7"/>
    <w:rsid w:val="0051501B"/>
    <w:rsid w:val="005152B5"/>
    <w:rsid w:val="00515886"/>
    <w:rsid w:val="00515CF4"/>
    <w:rsid w:val="0051636C"/>
    <w:rsid w:val="005172E8"/>
    <w:rsid w:val="00517A4F"/>
    <w:rsid w:val="00517D20"/>
    <w:rsid w:val="00517D34"/>
    <w:rsid w:val="00520477"/>
    <w:rsid w:val="00520CCA"/>
    <w:rsid w:val="00521034"/>
    <w:rsid w:val="0052103A"/>
    <w:rsid w:val="0052123C"/>
    <w:rsid w:val="00521319"/>
    <w:rsid w:val="00521529"/>
    <w:rsid w:val="00521563"/>
    <w:rsid w:val="005215E4"/>
    <w:rsid w:val="00521784"/>
    <w:rsid w:val="00521B6B"/>
    <w:rsid w:val="00521D5E"/>
    <w:rsid w:val="00521DD3"/>
    <w:rsid w:val="0052201A"/>
    <w:rsid w:val="005222FE"/>
    <w:rsid w:val="00522516"/>
    <w:rsid w:val="00522B1C"/>
    <w:rsid w:val="00522BC8"/>
    <w:rsid w:val="00522BF3"/>
    <w:rsid w:val="00522F82"/>
    <w:rsid w:val="005235BF"/>
    <w:rsid w:val="00523C28"/>
    <w:rsid w:val="0052414F"/>
    <w:rsid w:val="00524631"/>
    <w:rsid w:val="0052477E"/>
    <w:rsid w:val="0052609C"/>
    <w:rsid w:val="005263B9"/>
    <w:rsid w:val="00526547"/>
    <w:rsid w:val="005265D2"/>
    <w:rsid w:val="00526EFE"/>
    <w:rsid w:val="005275A8"/>
    <w:rsid w:val="00527791"/>
    <w:rsid w:val="0052780A"/>
    <w:rsid w:val="005306D4"/>
    <w:rsid w:val="00531280"/>
    <w:rsid w:val="005313E1"/>
    <w:rsid w:val="00531578"/>
    <w:rsid w:val="0053176B"/>
    <w:rsid w:val="00531FC9"/>
    <w:rsid w:val="00532210"/>
    <w:rsid w:val="005329FD"/>
    <w:rsid w:val="00532D4D"/>
    <w:rsid w:val="00532E5E"/>
    <w:rsid w:val="0053319B"/>
    <w:rsid w:val="0053327F"/>
    <w:rsid w:val="00533467"/>
    <w:rsid w:val="005337D2"/>
    <w:rsid w:val="00533E67"/>
    <w:rsid w:val="005341B3"/>
    <w:rsid w:val="005343A4"/>
    <w:rsid w:val="005343CC"/>
    <w:rsid w:val="00534599"/>
    <w:rsid w:val="00534726"/>
    <w:rsid w:val="0053486F"/>
    <w:rsid w:val="00535353"/>
    <w:rsid w:val="005358EA"/>
    <w:rsid w:val="00535A09"/>
    <w:rsid w:val="005363D4"/>
    <w:rsid w:val="00536486"/>
    <w:rsid w:val="00536854"/>
    <w:rsid w:val="00536F42"/>
    <w:rsid w:val="00537182"/>
    <w:rsid w:val="005373F1"/>
    <w:rsid w:val="005401B1"/>
    <w:rsid w:val="005401CF"/>
    <w:rsid w:val="00540306"/>
    <w:rsid w:val="005412CF"/>
    <w:rsid w:val="00541327"/>
    <w:rsid w:val="00541458"/>
    <w:rsid w:val="00541A9B"/>
    <w:rsid w:val="00541C5F"/>
    <w:rsid w:val="00541EDD"/>
    <w:rsid w:val="00541EED"/>
    <w:rsid w:val="0054268A"/>
    <w:rsid w:val="00542743"/>
    <w:rsid w:val="00542C2D"/>
    <w:rsid w:val="00542C60"/>
    <w:rsid w:val="00543147"/>
    <w:rsid w:val="00543604"/>
    <w:rsid w:val="0054365F"/>
    <w:rsid w:val="0054375A"/>
    <w:rsid w:val="00543D0B"/>
    <w:rsid w:val="00544057"/>
    <w:rsid w:val="00544251"/>
    <w:rsid w:val="00544451"/>
    <w:rsid w:val="0054458B"/>
    <w:rsid w:val="00544AF3"/>
    <w:rsid w:val="00546666"/>
    <w:rsid w:val="00546C2F"/>
    <w:rsid w:val="00546E33"/>
    <w:rsid w:val="005478BD"/>
    <w:rsid w:val="005479E3"/>
    <w:rsid w:val="00547A4B"/>
    <w:rsid w:val="00547BD0"/>
    <w:rsid w:val="005504FD"/>
    <w:rsid w:val="005505F8"/>
    <w:rsid w:val="00550682"/>
    <w:rsid w:val="0055073C"/>
    <w:rsid w:val="005514C6"/>
    <w:rsid w:val="00551985"/>
    <w:rsid w:val="00551E22"/>
    <w:rsid w:val="00552102"/>
    <w:rsid w:val="00552480"/>
    <w:rsid w:val="00552736"/>
    <w:rsid w:val="005528AA"/>
    <w:rsid w:val="005528FC"/>
    <w:rsid w:val="00552BD3"/>
    <w:rsid w:val="00553175"/>
    <w:rsid w:val="005532A0"/>
    <w:rsid w:val="00553493"/>
    <w:rsid w:val="00553840"/>
    <w:rsid w:val="005539A6"/>
    <w:rsid w:val="00553A4E"/>
    <w:rsid w:val="00553BF1"/>
    <w:rsid w:val="00553DCE"/>
    <w:rsid w:val="005541FE"/>
    <w:rsid w:val="005548BA"/>
    <w:rsid w:val="00555102"/>
    <w:rsid w:val="00555109"/>
    <w:rsid w:val="005558E8"/>
    <w:rsid w:val="00556B35"/>
    <w:rsid w:val="00556CD1"/>
    <w:rsid w:val="00556F2D"/>
    <w:rsid w:val="005571F1"/>
    <w:rsid w:val="0055741A"/>
    <w:rsid w:val="0056020B"/>
    <w:rsid w:val="0056039D"/>
    <w:rsid w:val="0056039F"/>
    <w:rsid w:val="0056075F"/>
    <w:rsid w:val="00560881"/>
    <w:rsid w:val="005611B7"/>
    <w:rsid w:val="005612D4"/>
    <w:rsid w:val="005617ED"/>
    <w:rsid w:val="005618D4"/>
    <w:rsid w:val="00561C73"/>
    <w:rsid w:val="005623C2"/>
    <w:rsid w:val="00562A25"/>
    <w:rsid w:val="00562AA9"/>
    <w:rsid w:val="00562BF2"/>
    <w:rsid w:val="00563A32"/>
    <w:rsid w:val="00563BDE"/>
    <w:rsid w:val="0056422A"/>
    <w:rsid w:val="005642FF"/>
    <w:rsid w:val="0056470C"/>
    <w:rsid w:val="005647AE"/>
    <w:rsid w:val="00564867"/>
    <w:rsid w:val="00564AEC"/>
    <w:rsid w:val="005654A0"/>
    <w:rsid w:val="00565600"/>
    <w:rsid w:val="00565BE9"/>
    <w:rsid w:val="00565C79"/>
    <w:rsid w:val="00565DF0"/>
    <w:rsid w:val="00565EA4"/>
    <w:rsid w:val="00566884"/>
    <w:rsid w:val="0056696F"/>
    <w:rsid w:val="00566E7E"/>
    <w:rsid w:val="00566EFB"/>
    <w:rsid w:val="00566F3E"/>
    <w:rsid w:val="0056748C"/>
    <w:rsid w:val="005679F5"/>
    <w:rsid w:val="00567AAE"/>
    <w:rsid w:val="00567D41"/>
    <w:rsid w:val="00567D6D"/>
    <w:rsid w:val="00570075"/>
    <w:rsid w:val="00570401"/>
    <w:rsid w:val="005708D2"/>
    <w:rsid w:val="00570A71"/>
    <w:rsid w:val="005713B1"/>
    <w:rsid w:val="005713C7"/>
    <w:rsid w:val="0057148D"/>
    <w:rsid w:val="0057149E"/>
    <w:rsid w:val="005717CF"/>
    <w:rsid w:val="00571C22"/>
    <w:rsid w:val="00572269"/>
    <w:rsid w:val="0057244A"/>
    <w:rsid w:val="0057266D"/>
    <w:rsid w:val="0057272B"/>
    <w:rsid w:val="00572CEA"/>
    <w:rsid w:val="00572E2A"/>
    <w:rsid w:val="00572F26"/>
    <w:rsid w:val="00572FAB"/>
    <w:rsid w:val="005732F8"/>
    <w:rsid w:val="00573340"/>
    <w:rsid w:val="00573CA1"/>
    <w:rsid w:val="005742C2"/>
    <w:rsid w:val="00574635"/>
    <w:rsid w:val="00574A73"/>
    <w:rsid w:val="005750C5"/>
    <w:rsid w:val="00575125"/>
    <w:rsid w:val="005752DE"/>
    <w:rsid w:val="00575CE7"/>
    <w:rsid w:val="00575D51"/>
    <w:rsid w:val="00575D60"/>
    <w:rsid w:val="00575D8D"/>
    <w:rsid w:val="00575DB2"/>
    <w:rsid w:val="0057610B"/>
    <w:rsid w:val="00576527"/>
    <w:rsid w:val="005767EC"/>
    <w:rsid w:val="00576972"/>
    <w:rsid w:val="00577248"/>
    <w:rsid w:val="00577749"/>
    <w:rsid w:val="00577BEC"/>
    <w:rsid w:val="00581BC4"/>
    <w:rsid w:val="00582403"/>
    <w:rsid w:val="00582DFB"/>
    <w:rsid w:val="00582E93"/>
    <w:rsid w:val="00582F77"/>
    <w:rsid w:val="00583501"/>
    <w:rsid w:val="00583699"/>
    <w:rsid w:val="00583ECE"/>
    <w:rsid w:val="00584801"/>
    <w:rsid w:val="00584DC3"/>
    <w:rsid w:val="005852CB"/>
    <w:rsid w:val="005858C3"/>
    <w:rsid w:val="00585CDD"/>
    <w:rsid w:val="0058610F"/>
    <w:rsid w:val="005863DD"/>
    <w:rsid w:val="005867A4"/>
    <w:rsid w:val="00587058"/>
    <w:rsid w:val="00587520"/>
    <w:rsid w:val="00587B7A"/>
    <w:rsid w:val="00587BD8"/>
    <w:rsid w:val="00587CF2"/>
    <w:rsid w:val="00590131"/>
    <w:rsid w:val="00590617"/>
    <w:rsid w:val="005909C9"/>
    <w:rsid w:val="005914E0"/>
    <w:rsid w:val="00591957"/>
    <w:rsid w:val="0059201B"/>
    <w:rsid w:val="005922C0"/>
    <w:rsid w:val="0059267D"/>
    <w:rsid w:val="005930B9"/>
    <w:rsid w:val="0059319C"/>
    <w:rsid w:val="005936DE"/>
    <w:rsid w:val="005937A5"/>
    <w:rsid w:val="00593E9D"/>
    <w:rsid w:val="00594ED6"/>
    <w:rsid w:val="005951F2"/>
    <w:rsid w:val="005954BD"/>
    <w:rsid w:val="0059569C"/>
    <w:rsid w:val="00595994"/>
    <w:rsid w:val="00595FDC"/>
    <w:rsid w:val="00596606"/>
    <w:rsid w:val="00596939"/>
    <w:rsid w:val="00596C21"/>
    <w:rsid w:val="00596EEA"/>
    <w:rsid w:val="005977FC"/>
    <w:rsid w:val="00597BA0"/>
    <w:rsid w:val="00597BF9"/>
    <w:rsid w:val="00597D4F"/>
    <w:rsid w:val="005A0058"/>
    <w:rsid w:val="005A00BF"/>
    <w:rsid w:val="005A0C11"/>
    <w:rsid w:val="005A1B18"/>
    <w:rsid w:val="005A1E84"/>
    <w:rsid w:val="005A279A"/>
    <w:rsid w:val="005A2E74"/>
    <w:rsid w:val="005A2EF6"/>
    <w:rsid w:val="005A309A"/>
    <w:rsid w:val="005A337A"/>
    <w:rsid w:val="005A3462"/>
    <w:rsid w:val="005A3664"/>
    <w:rsid w:val="005A373D"/>
    <w:rsid w:val="005A3831"/>
    <w:rsid w:val="005A39B2"/>
    <w:rsid w:val="005A51BF"/>
    <w:rsid w:val="005A5648"/>
    <w:rsid w:val="005A611B"/>
    <w:rsid w:val="005A6366"/>
    <w:rsid w:val="005A6842"/>
    <w:rsid w:val="005A68EE"/>
    <w:rsid w:val="005A6DA6"/>
    <w:rsid w:val="005A752B"/>
    <w:rsid w:val="005A7886"/>
    <w:rsid w:val="005B00FD"/>
    <w:rsid w:val="005B0B58"/>
    <w:rsid w:val="005B11A0"/>
    <w:rsid w:val="005B219A"/>
    <w:rsid w:val="005B2215"/>
    <w:rsid w:val="005B24F9"/>
    <w:rsid w:val="005B28F5"/>
    <w:rsid w:val="005B2E0C"/>
    <w:rsid w:val="005B3124"/>
    <w:rsid w:val="005B3671"/>
    <w:rsid w:val="005B37EE"/>
    <w:rsid w:val="005B3D43"/>
    <w:rsid w:val="005B4749"/>
    <w:rsid w:val="005B48EA"/>
    <w:rsid w:val="005B4E53"/>
    <w:rsid w:val="005B53C5"/>
    <w:rsid w:val="005B5740"/>
    <w:rsid w:val="005B5857"/>
    <w:rsid w:val="005B5B20"/>
    <w:rsid w:val="005B5F3E"/>
    <w:rsid w:val="005B6777"/>
    <w:rsid w:val="005B6BB7"/>
    <w:rsid w:val="005B7886"/>
    <w:rsid w:val="005B7A40"/>
    <w:rsid w:val="005B7AF9"/>
    <w:rsid w:val="005C0CE6"/>
    <w:rsid w:val="005C0D3F"/>
    <w:rsid w:val="005C0E64"/>
    <w:rsid w:val="005C19C4"/>
    <w:rsid w:val="005C1B83"/>
    <w:rsid w:val="005C1B8C"/>
    <w:rsid w:val="005C1C80"/>
    <w:rsid w:val="005C1D10"/>
    <w:rsid w:val="005C244C"/>
    <w:rsid w:val="005C2596"/>
    <w:rsid w:val="005C25FF"/>
    <w:rsid w:val="005C2786"/>
    <w:rsid w:val="005C2D55"/>
    <w:rsid w:val="005C346B"/>
    <w:rsid w:val="005C4215"/>
    <w:rsid w:val="005C4396"/>
    <w:rsid w:val="005C43D7"/>
    <w:rsid w:val="005C4454"/>
    <w:rsid w:val="005C46D0"/>
    <w:rsid w:val="005C4C1E"/>
    <w:rsid w:val="005C5792"/>
    <w:rsid w:val="005C58B9"/>
    <w:rsid w:val="005C5ABC"/>
    <w:rsid w:val="005C64B8"/>
    <w:rsid w:val="005C687F"/>
    <w:rsid w:val="005C6B0B"/>
    <w:rsid w:val="005C70EF"/>
    <w:rsid w:val="005C777D"/>
    <w:rsid w:val="005C7968"/>
    <w:rsid w:val="005D00A1"/>
    <w:rsid w:val="005D044D"/>
    <w:rsid w:val="005D06FA"/>
    <w:rsid w:val="005D0ABD"/>
    <w:rsid w:val="005D1445"/>
    <w:rsid w:val="005D18AD"/>
    <w:rsid w:val="005D195C"/>
    <w:rsid w:val="005D2149"/>
    <w:rsid w:val="005D26B4"/>
    <w:rsid w:val="005D2AF5"/>
    <w:rsid w:val="005D2B83"/>
    <w:rsid w:val="005D2DE0"/>
    <w:rsid w:val="005D30A3"/>
    <w:rsid w:val="005D395F"/>
    <w:rsid w:val="005D3D6E"/>
    <w:rsid w:val="005D4FC2"/>
    <w:rsid w:val="005D564D"/>
    <w:rsid w:val="005D56C2"/>
    <w:rsid w:val="005D5AC9"/>
    <w:rsid w:val="005D61D6"/>
    <w:rsid w:val="005D6731"/>
    <w:rsid w:val="005D6C56"/>
    <w:rsid w:val="005D6DF3"/>
    <w:rsid w:val="005D6E64"/>
    <w:rsid w:val="005D792A"/>
    <w:rsid w:val="005E019E"/>
    <w:rsid w:val="005E02CE"/>
    <w:rsid w:val="005E1572"/>
    <w:rsid w:val="005E1956"/>
    <w:rsid w:val="005E1995"/>
    <w:rsid w:val="005E1B9B"/>
    <w:rsid w:val="005E258B"/>
    <w:rsid w:val="005E2604"/>
    <w:rsid w:val="005E2FDF"/>
    <w:rsid w:val="005E34D4"/>
    <w:rsid w:val="005E3564"/>
    <w:rsid w:val="005E3927"/>
    <w:rsid w:val="005E3D14"/>
    <w:rsid w:val="005E4086"/>
    <w:rsid w:val="005E4203"/>
    <w:rsid w:val="005E421C"/>
    <w:rsid w:val="005E469B"/>
    <w:rsid w:val="005E4AB8"/>
    <w:rsid w:val="005E4BC6"/>
    <w:rsid w:val="005E50BC"/>
    <w:rsid w:val="005E5A01"/>
    <w:rsid w:val="005E5B54"/>
    <w:rsid w:val="005E6432"/>
    <w:rsid w:val="005E6869"/>
    <w:rsid w:val="005E6CBC"/>
    <w:rsid w:val="005E6E84"/>
    <w:rsid w:val="005E71FB"/>
    <w:rsid w:val="005E7217"/>
    <w:rsid w:val="005E72FF"/>
    <w:rsid w:val="005E73C0"/>
    <w:rsid w:val="005E767B"/>
    <w:rsid w:val="005F0047"/>
    <w:rsid w:val="005F0117"/>
    <w:rsid w:val="005F07ED"/>
    <w:rsid w:val="005F0D39"/>
    <w:rsid w:val="005F0DB5"/>
    <w:rsid w:val="005F0F34"/>
    <w:rsid w:val="005F1036"/>
    <w:rsid w:val="005F156A"/>
    <w:rsid w:val="005F15AF"/>
    <w:rsid w:val="005F1BE0"/>
    <w:rsid w:val="005F1BF5"/>
    <w:rsid w:val="005F1F58"/>
    <w:rsid w:val="005F2706"/>
    <w:rsid w:val="005F2A6E"/>
    <w:rsid w:val="005F2DC1"/>
    <w:rsid w:val="005F2EA3"/>
    <w:rsid w:val="005F2FD1"/>
    <w:rsid w:val="005F3413"/>
    <w:rsid w:val="005F3EAC"/>
    <w:rsid w:val="005F3ED0"/>
    <w:rsid w:val="005F459B"/>
    <w:rsid w:val="005F5238"/>
    <w:rsid w:val="005F5453"/>
    <w:rsid w:val="005F5960"/>
    <w:rsid w:val="005F5EF7"/>
    <w:rsid w:val="005F61E5"/>
    <w:rsid w:val="005F63E1"/>
    <w:rsid w:val="005F6A8F"/>
    <w:rsid w:val="005F6B4A"/>
    <w:rsid w:val="005F6BB7"/>
    <w:rsid w:val="005F6CB8"/>
    <w:rsid w:val="005F718F"/>
    <w:rsid w:val="005F7588"/>
    <w:rsid w:val="005F78D8"/>
    <w:rsid w:val="005F79B4"/>
    <w:rsid w:val="005F7CE4"/>
    <w:rsid w:val="006000AE"/>
    <w:rsid w:val="00600AA6"/>
    <w:rsid w:val="00600ACE"/>
    <w:rsid w:val="00601354"/>
    <w:rsid w:val="00601633"/>
    <w:rsid w:val="00601D2E"/>
    <w:rsid w:val="006028D3"/>
    <w:rsid w:val="006032C0"/>
    <w:rsid w:val="00603DB9"/>
    <w:rsid w:val="0060401A"/>
    <w:rsid w:val="00604089"/>
    <w:rsid w:val="0060414B"/>
    <w:rsid w:val="00604327"/>
    <w:rsid w:val="00604595"/>
    <w:rsid w:val="006046BE"/>
    <w:rsid w:val="00605CC0"/>
    <w:rsid w:val="006064E7"/>
    <w:rsid w:val="00606FBA"/>
    <w:rsid w:val="00607669"/>
    <w:rsid w:val="006076F4"/>
    <w:rsid w:val="006079EE"/>
    <w:rsid w:val="00607AFD"/>
    <w:rsid w:val="00607E04"/>
    <w:rsid w:val="00607E3B"/>
    <w:rsid w:val="006103FD"/>
    <w:rsid w:val="00610B0B"/>
    <w:rsid w:val="00610E0E"/>
    <w:rsid w:val="00610FD7"/>
    <w:rsid w:val="006119A9"/>
    <w:rsid w:val="006119FF"/>
    <w:rsid w:val="00611B12"/>
    <w:rsid w:val="00611C06"/>
    <w:rsid w:val="00611E07"/>
    <w:rsid w:val="006121AA"/>
    <w:rsid w:val="006125F5"/>
    <w:rsid w:val="00612F97"/>
    <w:rsid w:val="0061345D"/>
    <w:rsid w:val="006137B1"/>
    <w:rsid w:val="006138C0"/>
    <w:rsid w:val="00613B32"/>
    <w:rsid w:val="006141F6"/>
    <w:rsid w:val="006144C2"/>
    <w:rsid w:val="00614CD2"/>
    <w:rsid w:val="0061549B"/>
    <w:rsid w:val="00616332"/>
    <w:rsid w:val="006163FE"/>
    <w:rsid w:val="00616802"/>
    <w:rsid w:val="006169E6"/>
    <w:rsid w:val="00616B06"/>
    <w:rsid w:val="00617238"/>
    <w:rsid w:val="0061745C"/>
    <w:rsid w:val="00617D31"/>
    <w:rsid w:val="00617E12"/>
    <w:rsid w:val="006205ED"/>
    <w:rsid w:val="006206C2"/>
    <w:rsid w:val="00620C25"/>
    <w:rsid w:val="00620DD2"/>
    <w:rsid w:val="00621477"/>
    <w:rsid w:val="0062151F"/>
    <w:rsid w:val="00621ADA"/>
    <w:rsid w:val="00621C61"/>
    <w:rsid w:val="00622373"/>
    <w:rsid w:val="0062297E"/>
    <w:rsid w:val="00622A1B"/>
    <w:rsid w:val="00622EA1"/>
    <w:rsid w:val="0062365D"/>
    <w:rsid w:val="00623A83"/>
    <w:rsid w:val="00623BF0"/>
    <w:rsid w:val="00623C35"/>
    <w:rsid w:val="00623E52"/>
    <w:rsid w:val="00623F7B"/>
    <w:rsid w:val="00624111"/>
    <w:rsid w:val="006246B2"/>
    <w:rsid w:val="00624BD4"/>
    <w:rsid w:val="00624C92"/>
    <w:rsid w:val="00624CB8"/>
    <w:rsid w:val="00625206"/>
    <w:rsid w:val="006263F8"/>
    <w:rsid w:val="00626A67"/>
    <w:rsid w:val="0062712C"/>
    <w:rsid w:val="006273E9"/>
    <w:rsid w:val="00627631"/>
    <w:rsid w:val="00627F11"/>
    <w:rsid w:val="00630045"/>
    <w:rsid w:val="00630384"/>
    <w:rsid w:val="00630572"/>
    <w:rsid w:val="00630681"/>
    <w:rsid w:val="00630A81"/>
    <w:rsid w:val="0063155A"/>
    <w:rsid w:val="0063158F"/>
    <w:rsid w:val="006315D5"/>
    <w:rsid w:val="00631D6B"/>
    <w:rsid w:val="00631EC8"/>
    <w:rsid w:val="006320B6"/>
    <w:rsid w:val="00632183"/>
    <w:rsid w:val="006324E5"/>
    <w:rsid w:val="00632722"/>
    <w:rsid w:val="00632916"/>
    <w:rsid w:val="00632BFB"/>
    <w:rsid w:val="00633020"/>
    <w:rsid w:val="006330A1"/>
    <w:rsid w:val="00633707"/>
    <w:rsid w:val="00633743"/>
    <w:rsid w:val="00633F1E"/>
    <w:rsid w:val="00633F7F"/>
    <w:rsid w:val="006340F9"/>
    <w:rsid w:val="0063430C"/>
    <w:rsid w:val="0063479F"/>
    <w:rsid w:val="00634B82"/>
    <w:rsid w:val="00635383"/>
    <w:rsid w:val="006353F0"/>
    <w:rsid w:val="006357B5"/>
    <w:rsid w:val="00635E68"/>
    <w:rsid w:val="00636031"/>
    <w:rsid w:val="00636285"/>
    <w:rsid w:val="0063633E"/>
    <w:rsid w:val="006364A1"/>
    <w:rsid w:val="00636729"/>
    <w:rsid w:val="0063678E"/>
    <w:rsid w:val="006369A8"/>
    <w:rsid w:val="00637483"/>
    <w:rsid w:val="00637BFD"/>
    <w:rsid w:val="00637C14"/>
    <w:rsid w:val="00637C5C"/>
    <w:rsid w:val="00637F3C"/>
    <w:rsid w:val="00637FBC"/>
    <w:rsid w:val="00637FFE"/>
    <w:rsid w:val="006401B0"/>
    <w:rsid w:val="00640B24"/>
    <w:rsid w:val="00640CA0"/>
    <w:rsid w:val="00640FFA"/>
    <w:rsid w:val="00641794"/>
    <w:rsid w:val="00641C4E"/>
    <w:rsid w:val="00641CED"/>
    <w:rsid w:val="00641FB3"/>
    <w:rsid w:val="006424AA"/>
    <w:rsid w:val="00642C64"/>
    <w:rsid w:val="00642D3E"/>
    <w:rsid w:val="00643150"/>
    <w:rsid w:val="00643340"/>
    <w:rsid w:val="0064434C"/>
    <w:rsid w:val="006448B7"/>
    <w:rsid w:val="006449F2"/>
    <w:rsid w:val="00645102"/>
    <w:rsid w:val="00645314"/>
    <w:rsid w:val="0064552C"/>
    <w:rsid w:val="00645D41"/>
    <w:rsid w:val="00645D54"/>
    <w:rsid w:val="00646657"/>
    <w:rsid w:val="00646F4A"/>
    <w:rsid w:val="0064709C"/>
    <w:rsid w:val="006471CC"/>
    <w:rsid w:val="00647203"/>
    <w:rsid w:val="006472FE"/>
    <w:rsid w:val="006476DA"/>
    <w:rsid w:val="00647A29"/>
    <w:rsid w:val="00647A8C"/>
    <w:rsid w:val="00647AA2"/>
    <w:rsid w:val="00647D75"/>
    <w:rsid w:val="0065019C"/>
    <w:rsid w:val="006502FD"/>
    <w:rsid w:val="006503EF"/>
    <w:rsid w:val="00650588"/>
    <w:rsid w:val="0065079F"/>
    <w:rsid w:val="0065098D"/>
    <w:rsid w:val="00650A15"/>
    <w:rsid w:val="00651770"/>
    <w:rsid w:val="00651E13"/>
    <w:rsid w:val="0065228C"/>
    <w:rsid w:val="0065259F"/>
    <w:rsid w:val="00652747"/>
    <w:rsid w:val="00652A28"/>
    <w:rsid w:val="00652A44"/>
    <w:rsid w:val="00652DB3"/>
    <w:rsid w:val="006532E2"/>
    <w:rsid w:val="0065379F"/>
    <w:rsid w:val="00653CAB"/>
    <w:rsid w:val="00653DFF"/>
    <w:rsid w:val="0065467F"/>
    <w:rsid w:val="00655006"/>
    <w:rsid w:val="00655A79"/>
    <w:rsid w:val="00655ECF"/>
    <w:rsid w:val="00656140"/>
    <w:rsid w:val="00656188"/>
    <w:rsid w:val="00656884"/>
    <w:rsid w:val="0065715A"/>
    <w:rsid w:val="0065778D"/>
    <w:rsid w:val="00657823"/>
    <w:rsid w:val="00657932"/>
    <w:rsid w:val="00657B46"/>
    <w:rsid w:val="00657B6F"/>
    <w:rsid w:val="00657D17"/>
    <w:rsid w:val="006600C0"/>
    <w:rsid w:val="0066013D"/>
    <w:rsid w:val="006610F1"/>
    <w:rsid w:val="00661814"/>
    <w:rsid w:val="006618AF"/>
    <w:rsid w:val="00661C6B"/>
    <w:rsid w:val="00661FBB"/>
    <w:rsid w:val="006620AE"/>
    <w:rsid w:val="00662B7A"/>
    <w:rsid w:val="00662D3E"/>
    <w:rsid w:val="00663533"/>
    <w:rsid w:val="0066372E"/>
    <w:rsid w:val="00663A08"/>
    <w:rsid w:val="00663AA8"/>
    <w:rsid w:val="00663D07"/>
    <w:rsid w:val="00663DE2"/>
    <w:rsid w:val="0066497C"/>
    <w:rsid w:val="00665357"/>
    <w:rsid w:val="0066548E"/>
    <w:rsid w:val="00665C45"/>
    <w:rsid w:val="006661E7"/>
    <w:rsid w:val="0066651D"/>
    <w:rsid w:val="00666847"/>
    <w:rsid w:val="00666ABA"/>
    <w:rsid w:val="00666C82"/>
    <w:rsid w:val="006670D7"/>
    <w:rsid w:val="006675FF"/>
    <w:rsid w:val="006678C5"/>
    <w:rsid w:val="00667B1B"/>
    <w:rsid w:val="00667BE3"/>
    <w:rsid w:val="00667D25"/>
    <w:rsid w:val="00667DF2"/>
    <w:rsid w:val="00667E66"/>
    <w:rsid w:val="0067003F"/>
    <w:rsid w:val="006701B5"/>
    <w:rsid w:val="00670396"/>
    <w:rsid w:val="00670B3C"/>
    <w:rsid w:val="00670BF6"/>
    <w:rsid w:val="00671004"/>
    <w:rsid w:val="00671410"/>
    <w:rsid w:val="0067143C"/>
    <w:rsid w:val="0067194A"/>
    <w:rsid w:val="0067207B"/>
    <w:rsid w:val="0067233C"/>
    <w:rsid w:val="006723C7"/>
    <w:rsid w:val="00672646"/>
    <w:rsid w:val="00672694"/>
    <w:rsid w:val="006736A9"/>
    <w:rsid w:val="00673B9F"/>
    <w:rsid w:val="00673D99"/>
    <w:rsid w:val="00673FF1"/>
    <w:rsid w:val="006741B0"/>
    <w:rsid w:val="00674861"/>
    <w:rsid w:val="00674E42"/>
    <w:rsid w:val="00674EC9"/>
    <w:rsid w:val="00674F36"/>
    <w:rsid w:val="00675BDE"/>
    <w:rsid w:val="00675E67"/>
    <w:rsid w:val="00676563"/>
    <w:rsid w:val="00676B5A"/>
    <w:rsid w:val="00676F68"/>
    <w:rsid w:val="00676F7A"/>
    <w:rsid w:val="0067769E"/>
    <w:rsid w:val="00677DDB"/>
    <w:rsid w:val="0068016A"/>
    <w:rsid w:val="00680473"/>
    <w:rsid w:val="00680A36"/>
    <w:rsid w:val="00681155"/>
    <w:rsid w:val="006812FB"/>
    <w:rsid w:val="00681391"/>
    <w:rsid w:val="006813F8"/>
    <w:rsid w:val="00681FA6"/>
    <w:rsid w:val="00682112"/>
    <w:rsid w:val="0068225D"/>
    <w:rsid w:val="00682BA6"/>
    <w:rsid w:val="00682D45"/>
    <w:rsid w:val="00682E43"/>
    <w:rsid w:val="00682FAC"/>
    <w:rsid w:val="006830AF"/>
    <w:rsid w:val="006831B3"/>
    <w:rsid w:val="00683290"/>
    <w:rsid w:val="006835EC"/>
    <w:rsid w:val="006838A1"/>
    <w:rsid w:val="006839FD"/>
    <w:rsid w:val="00683A42"/>
    <w:rsid w:val="0068431C"/>
    <w:rsid w:val="00684679"/>
    <w:rsid w:val="006847BD"/>
    <w:rsid w:val="00684B75"/>
    <w:rsid w:val="00685125"/>
    <w:rsid w:val="006851FB"/>
    <w:rsid w:val="00685383"/>
    <w:rsid w:val="00685547"/>
    <w:rsid w:val="006856A9"/>
    <w:rsid w:val="006856E4"/>
    <w:rsid w:val="00685A6F"/>
    <w:rsid w:val="00686456"/>
    <w:rsid w:val="006866CC"/>
    <w:rsid w:val="00686878"/>
    <w:rsid w:val="00686938"/>
    <w:rsid w:val="00686957"/>
    <w:rsid w:val="006872BA"/>
    <w:rsid w:val="006904BB"/>
    <w:rsid w:val="00690795"/>
    <w:rsid w:val="00690C88"/>
    <w:rsid w:val="00690D18"/>
    <w:rsid w:val="00690F42"/>
    <w:rsid w:val="0069108A"/>
    <w:rsid w:val="00691648"/>
    <w:rsid w:val="006917D7"/>
    <w:rsid w:val="00691CA4"/>
    <w:rsid w:val="00692687"/>
    <w:rsid w:val="006927DC"/>
    <w:rsid w:val="00692A38"/>
    <w:rsid w:val="00692AA3"/>
    <w:rsid w:val="0069336A"/>
    <w:rsid w:val="00693879"/>
    <w:rsid w:val="006939B3"/>
    <w:rsid w:val="00693B2D"/>
    <w:rsid w:val="0069411A"/>
    <w:rsid w:val="006941E7"/>
    <w:rsid w:val="0069434C"/>
    <w:rsid w:val="006945BD"/>
    <w:rsid w:val="00694655"/>
    <w:rsid w:val="00694A06"/>
    <w:rsid w:val="00694AA4"/>
    <w:rsid w:val="00694F44"/>
    <w:rsid w:val="0069530C"/>
    <w:rsid w:val="00696B0D"/>
    <w:rsid w:val="00696C72"/>
    <w:rsid w:val="00696EF9"/>
    <w:rsid w:val="00696F51"/>
    <w:rsid w:val="0069742B"/>
    <w:rsid w:val="006979A5"/>
    <w:rsid w:val="00697C75"/>
    <w:rsid w:val="006A016F"/>
    <w:rsid w:val="006A03E4"/>
    <w:rsid w:val="006A0442"/>
    <w:rsid w:val="006A052D"/>
    <w:rsid w:val="006A0604"/>
    <w:rsid w:val="006A0B5D"/>
    <w:rsid w:val="006A0C0F"/>
    <w:rsid w:val="006A0DF7"/>
    <w:rsid w:val="006A0DFA"/>
    <w:rsid w:val="006A16BF"/>
    <w:rsid w:val="006A190D"/>
    <w:rsid w:val="006A20D7"/>
    <w:rsid w:val="006A22B0"/>
    <w:rsid w:val="006A267E"/>
    <w:rsid w:val="006A2A8C"/>
    <w:rsid w:val="006A2D35"/>
    <w:rsid w:val="006A2F1D"/>
    <w:rsid w:val="006A3AE9"/>
    <w:rsid w:val="006A402D"/>
    <w:rsid w:val="006A4321"/>
    <w:rsid w:val="006A43D9"/>
    <w:rsid w:val="006A4756"/>
    <w:rsid w:val="006A4BCC"/>
    <w:rsid w:val="006A4FE3"/>
    <w:rsid w:val="006A51D3"/>
    <w:rsid w:val="006A5350"/>
    <w:rsid w:val="006A6B99"/>
    <w:rsid w:val="006A6E97"/>
    <w:rsid w:val="006A7E5F"/>
    <w:rsid w:val="006B0093"/>
    <w:rsid w:val="006B0258"/>
    <w:rsid w:val="006B062B"/>
    <w:rsid w:val="006B07EF"/>
    <w:rsid w:val="006B09F5"/>
    <w:rsid w:val="006B1B3B"/>
    <w:rsid w:val="006B1C3A"/>
    <w:rsid w:val="006B2142"/>
    <w:rsid w:val="006B216F"/>
    <w:rsid w:val="006B261B"/>
    <w:rsid w:val="006B270A"/>
    <w:rsid w:val="006B2C90"/>
    <w:rsid w:val="006B32EA"/>
    <w:rsid w:val="006B33BE"/>
    <w:rsid w:val="006B34D7"/>
    <w:rsid w:val="006B35E6"/>
    <w:rsid w:val="006B37C7"/>
    <w:rsid w:val="006B3850"/>
    <w:rsid w:val="006B3D9A"/>
    <w:rsid w:val="006B418D"/>
    <w:rsid w:val="006B42F2"/>
    <w:rsid w:val="006B465A"/>
    <w:rsid w:val="006B46E8"/>
    <w:rsid w:val="006B4B53"/>
    <w:rsid w:val="006B514B"/>
    <w:rsid w:val="006B5396"/>
    <w:rsid w:val="006B5FEB"/>
    <w:rsid w:val="006B6018"/>
    <w:rsid w:val="006B6073"/>
    <w:rsid w:val="006B60AA"/>
    <w:rsid w:val="006B6195"/>
    <w:rsid w:val="006B68EE"/>
    <w:rsid w:val="006B6DD0"/>
    <w:rsid w:val="006B6F85"/>
    <w:rsid w:val="006B7570"/>
    <w:rsid w:val="006B7994"/>
    <w:rsid w:val="006C006A"/>
    <w:rsid w:val="006C0399"/>
    <w:rsid w:val="006C080B"/>
    <w:rsid w:val="006C0AA5"/>
    <w:rsid w:val="006C13DE"/>
    <w:rsid w:val="006C1967"/>
    <w:rsid w:val="006C1B75"/>
    <w:rsid w:val="006C2516"/>
    <w:rsid w:val="006C2A8E"/>
    <w:rsid w:val="006C2C9E"/>
    <w:rsid w:val="006C2E08"/>
    <w:rsid w:val="006C3255"/>
    <w:rsid w:val="006C390A"/>
    <w:rsid w:val="006C3944"/>
    <w:rsid w:val="006C3A5D"/>
    <w:rsid w:val="006C3DF2"/>
    <w:rsid w:val="006C3EC2"/>
    <w:rsid w:val="006C3F26"/>
    <w:rsid w:val="006C405D"/>
    <w:rsid w:val="006C435C"/>
    <w:rsid w:val="006C55FB"/>
    <w:rsid w:val="006C5B77"/>
    <w:rsid w:val="006C5B98"/>
    <w:rsid w:val="006C5DE5"/>
    <w:rsid w:val="006C5DF5"/>
    <w:rsid w:val="006C6FD2"/>
    <w:rsid w:val="006C721E"/>
    <w:rsid w:val="006C7511"/>
    <w:rsid w:val="006C75F2"/>
    <w:rsid w:val="006D09AF"/>
    <w:rsid w:val="006D0D17"/>
    <w:rsid w:val="006D116E"/>
    <w:rsid w:val="006D1A51"/>
    <w:rsid w:val="006D2046"/>
    <w:rsid w:val="006D296C"/>
    <w:rsid w:val="006D29B6"/>
    <w:rsid w:val="006D2DA4"/>
    <w:rsid w:val="006D332F"/>
    <w:rsid w:val="006D3C36"/>
    <w:rsid w:val="006D3C7D"/>
    <w:rsid w:val="006D3D4C"/>
    <w:rsid w:val="006D40F3"/>
    <w:rsid w:val="006D4598"/>
    <w:rsid w:val="006D4659"/>
    <w:rsid w:val="006D4959"/>
    <w:rsid w:val="006D51CA"/>
    <w:rsid w:val="006D5D5F"/>
    <w:rsid w:val="006D6338"/>
    <w:rsid w:val="006D653C"/>
    <w:rsid w:val="006D68FB"/>
    <w:rsid w:val="006D6DD1"/>
    <w:rsid w:val="006D74F0"/>
    <w:rsid w:val="006D7B25"/>
    <w:rsid w:val="006D7E60"/>
    <w:rsid w:val="006E0658"/>
    <w:rsid w:val="006E072D"/>
    <w:rsid w:val="006E099B"/>
    <w:rsid w:val="006E181F"/>
    <w:rsid w:val="006E200E"/>
    <w:rsid w:val="006E22D6"/>
    <w:rsid w:val="006E26A0"/>
    <w:rsid w:val="006E2868"/>
    <w:rsid w:val="006E2C16"/>
    <w:rsid w:val="006E3544"/>
    <w:rsid w:val="006E36D9"/>
    <w:rsid w:val="006E3850"/>
    <w:rsid w:val="006E398E"/>
    <w:rsid w:val="006E3DDD"/>
    <w:rsid w:val="006E3EF5"/>
    <w:rsid w:val="006E4039"/>
    <w:rsid w:val="006E405B"/>
    <w:rsid w:val="006E426F"/>
    <w:rsid w:val="006E42E1"/>
    <w:rsid w:val="006E486D"/>
    <w:rsid w:val="006E4895"/>
    <w:rsid w:val="006E4A8C"/>
    <w:rsid w:val="006E5230"/>
    <w:rsid w:val="006E5961"/>
    <w:rsid w:val="006E5ABE"/>
    <w:rsid w:val="006E5E44"/>
    <w:rsid w:val="006E5ED4"/>
    <w:rsid w:val="006E60D8"/>
    <w:rsid w:val="006E77B4"/>
    <w:rsid w:val="006E7BED"/>
    <w:rsid w:val="006F018C"/>
    <w:rsid w:val="006F0CFE"/>
    <w:rsid w:val="006F15EF"/>
    <w:rsid w:val="006F19F7"/>
    <w:rsid w:val="006F1CAF"/>
    <w:rsid w:val="006F2234"/>
    <w:rsid w:val="006F2371"/>
    <w:rsid w:val="006F29A6"/>
    <w:rsid w:val="006F2A72"/>
    <w:rsid w:val="006F2A85"/>
    <w:rsid w:val="006F2B54"/>
    <w:rsid w:val="006F2C25"/>
    <w:rsid w:val="006F2CCA"/>
    <w:rsid w:val="006F306C"/>
    <w:rsid w:val="006F30C4"/>
    <w:rsid w:val="006F3F45"/>
    <w:rsid w:val="006F46EC"/>
    <w:rsid w:val="006F4A94"/>
    <w:rsid w:val="006F4C16"/>
    <w:rsid w:val="006F5F9F"/>
    <w:rsid w:val="006F63A5"/>
    <w:rsid w:val="006F71A5"/>
    <w:rsid w:val="006F7D11"/>
    <w:rsid w:val="006F7F83"/>
    <w:rsid w:val="007002C1"/>
    <w:rsid w:val="00700845"/>
    <w:rsid w:val="00700D34"/>
    <w:rsid w:val="0070142B"/>
    <w:rsid w:val="00701480"/>
    <w:rsid w:val="00701544"/>
    <w:rsid w:val="00701EC4"/>
    <w:rsid w:val="0070216F"/>
    <w:rsid w:val="007021C6"/>
    <w:rsid w:val="0070276E"/>
    <w:rsid w:val="00702D09"/>
    <w:rsid w:val="00702E8A"/>
    <w:rsid w:val="00702F8F"/>
    <w:rsid w:val="00704386"/>
    <w:rsid w:val="00704587"/>
    <w:rsid w:val="00704599"/>
    <w:rsid w:val="00704C18"/>
    <w:rsid w:val="00704CBA"/>
    <w:rsid w:val="00704D4D"/>
    <w:rsid w:val="0070568C"/>
    <w:rsid w:val="00705738"/>
    <w:rsid w:val="0070588E"/>
    <w:rsid w:val="00706540"/>
    <w:rsid w:val="007065B2"/>
    <w:rsid w:val="00706A81"/>
    <w:rsid w:val="00706D68"/>
    <w:rsid w:val="007079FC"/>
    <w:rsid w:val="00707BA1"/>
    <w:rsid w:val="00707DD2"/>
    <w:rsid w:val="00707DE7"/>
    <w:rsid w:val="00707E65"/>
    <w:rsid w:val="00710360"/>
    <w:rsid w:val="00710925"/>
    <w:rsid w:val="00711082"/>
    <w:rsid w:val="00711A36"/>
    <w:rsid w:val="007125D3"/>
    <w:rsid w:val="00712887"/>
    <w:rsid w:val="00712952"/>
    <w:rsid w:val="00712E07"/>
    <w:rsid w:val="00713AA5"/>
    <w:rsid w:val="00713D19"/>
    <w:rsid w:val="00713E2D"/>
    <w:rsid w:val="007140B4"/>
    <w:rsid w:val="007145E2"/>
    <w:rsid w:val="00714C26"/>
    <w:rsid w:val="00714EF6"/>
    <w:rsid w:val="00715244"/>
    <w:rsid w:val="0071529C"/>
    <w:rsid w:val="0071533D"/>
    <w:rsid w:val="00715A04"/>
    <w:rsid w:val="00715B84"/>
    <w:rsid w:val="00716583"/>
    <w:rsid w:val="007168BA"/>
    <w:rsid w:val="007170DA"/>
    <w:rsid w:val="007172AD"/>
    <w:rsid w:val="0071735D"/>
    <w:rsid w:val="00717546"/>
    <w:rsid w:val="0071761F"/>
    <w:rsid w:val="00717BBB"/>
    <w:rsid w:val="00717D8F"/>
    <w:rsid w:val="0072000B"/>
    <w:rsid w:val="007203E7"/>
    <w:rsid w:val="0072054E"/>
    <w:rsid w:val="00720801"/>
    <w:rsid w:val="00720B11"/>
    <w:rsid w:val="00720CF5"/>
    <w:rsid w:val="007213D5"/>
    <w:rsid w:val="007217CB"/>
    <w:rsid w:val="00721DA6"/>
    <w:rsid w:val="00722093"/>
    <w:rsid w:val="007221A5"/>
    <w:rsid w:val="00722473"/>
    <w:rsid w:val="00722873"/>
    <w:rsid w:val="00722B1B"/>
    <w:rsid w:val="007238B5"/>
    <w:rsid w:val="0072406B"/>
    <w:rsid w:val="0072416F"/>
    <w:rsid w:val="0072429B"/>
    <w:rsid w:val="007242D3"/>
    <w:rsid w:val="007247F8"/>
    <w:rsid w:val="007248BE"/>
    <w:rsid w:val="007249F2"/>
    <w:rsid w:val="00725072"/>
    <w:rsid w:val="00726109"/>
    <w:rsid w:val="0072679F"/>
    <w:rsid w:val="0072696E"/>
    <w:rsid w:val="007276C5"/>
    <w:rsid w:val="00727C94"/>
    <w:rsid w:val="00727EF2"/>
    <w:rsid w:val="00730683"/>
    <w:rsid w:val="007309C8"/>
    <w:rsid w:val="00730B96"/>
    <w:rsid w:val="00730F63"/>
    <w:rsid w:val="00730FCD"/>
    <w:rsid w:val="007310B6"/>
    <w:rsid w:val="007313E6"/>
    <w:rsid w:val="00731607"/>
    <w:rsid w:val="00731B0A"/>
    <w:rsid w:val="00731D82"/>
    <w:rsid w:val="00731EAE"/>
    <w:rsid w:val="00731EF2"/>
    <w:rsid w:val="00731F2C"/>
    <w:rsid w:val="00731FF0"/>
    <w:rsid w:val="00733073"/>
    <w:rsid w:val="00733499"/>
    <w:rsid w:val="00734212"/>
    <w:rsid w:val="00735033"/>
    <w:rsid w:val="00735328"/>
    <w:rsid w:val="007353D7"/>
    <w:rsid w:val="007355E0"/>
    <w:rsid w:val="007356B3"/>
    <w:rsid w:val="00735AD3"/>
    <w:rsid w:val="00735EA0"/>
    <w:rsid w:val="007361F8"/>
    <w:rsid w:val="007362DE"/>
    <w:rsid w:val="0073685B"/>
    <w:rsid w:val="00736B28"/>
    <w:rsid w:val="00736D7F"/>
    <w:rsid w:val="00736D90"/>
    <w:rsid w:val="00736E39"/>
    <w:rsid w:val="00736F3A"/>
    <w:rsid w:val="0073715C"/>
    <w:rsid w:val="00737172"/>
    <w:rsid w:val="00737265"/>
    <w:rsid w:val="007373AC"/>
    <w:rsid w:val="0073789B"/>
    <w:rsid w:val="007378F0"/>
    <w:rsid w:val="00737931"/>
    <w:rsid w:val="0074046B"/>
    <w:rsid w:val="0074074F"/>
    <w:rsid w:val="00740856"/>
    <w:rsid w:val="007409C5"/>
    <w:rsid w:val="00741001"/>
    <w:rsid w:val="0074105A"/>
    <w:rsid w:val="007419D0"/>
    <w:rsid w:val="00741CBE"/>
    <w:rsid w:val="00741E07"/>
    <w:rsid w:val="00742157"/>
    <w:rsid w:val="00742E88"/>
    <w:rsid w:val="00743026"/>
    <w:rsid w:val="00743E24"/>
    <w:rsid w:val="00743E85"/>
    <w:rsid w:val="00743F28"/>
    <w:rsid w:val="007449BF"/>
    <w:rsid w:val="00744AFB"/>
    <w:rsid w:val="00744C95"/>
    <w:rsid w:val="00745300"/>
    <w:rsid w:val="007458BE"/>
    <w:rsid w:val="0074624B"/>
    <w:rsid w:val="007463FE"/>
    <w:rsid w:val="007465E6"/>
    <w:rsid w:val="00746BC0"/>
    <w:rsid w:val="00746FD6"/>
    <w:rsid w:val="00747167"/>
    <w:rsid w:val="007478C1"/>
    <w:rsid w:val="007479D7"/>
    <w:rsid w:val="00747F6D"/>
    <w:rsid w:val="00747FB4"/>
    <w:rsid w:val="0075025C"/>
    <w:rsid w:val="007504F0"/>
    <w:rsid w:val="0075061F"/>
    <w:rsid w:val="007509F5"/>
    <w:rsid w:val="00750B13"/>
    <w:rsid w:val="00750CFB"/>
    <w:rsid w:val="00751038"/>
    <w:rsid w:val="007510B4"/>
    <w:rsid w:val="0075178E"/>
    <w:rsid w:val="00751C40"/>
    <w:rsid w:val="00752142"/>
    <w:rsid w:val="007523F9"/>
    <w:rsid w:val="0075284F"/>
    <w:rsid w:val="00752A59"/>
    <w:rsid w:val="00752DBA"/>
    <w:rsid w:val="0075357E"/>
    <w:rsid w:val="007537AD"/>
    <w:rsid w:val="00753B29"/>
    <w:rsid w:val="007546D7"/>
    <w:rsid w:val="0075479E"/>
    <w:rsid w:val="007548F0"/>
    <w:rsid w:val="00754DD8"/>
    <w:rsid w:val="00755020"/>
    <w:rsid w:val="007551DF"/>
    <w:rsid w:val="00755718"/>
    <w:rsid w:val="0075578E"/>
    <w:rsid w:val="00756BBA"/>
    <w:rsid w:val="00756CD6"/>
    <w:rsid w:val="00756E3F"/>
    <w:rsid w:val="007573E8"/>
    <w:rsid w:val="007578B3"/>
    <w:rsid w:val="00760C4E"/>
    <w:rsid w:val="00760F9E"/>
    <w:rsid w:val="007616E6"/>
    <w:rsid w:val="00761F7B"/>
    <w:rsid w:val="00761FCA"/>
    <w:rsid w:val="00762120"/>
    <w:rsid w:val="007624E4"/>
    <w:rsid w:val="00762556"/>
    <w:rsid w:val="007625F9"/>
    <w:rsid w:val="007627A9"/>
    <w:rsid w:val="007627BE"/>
    <w:rsid w:val="007628A6"/>
    <w:rsid w:val="00762F91"/>
    <w:rsid w:val="007634AD"/>
    <w:rsid w:val="0076407A"/>
    <w:rsid w:val="00764253"/>
    <w:rsid w:val="007647BE"/>
    <w:rsid w:val="00764A54"/>
    <w:rsid w:val="00764B0D"/>
    <w:rsid w:val="00764F03"/>
    <w:rsid w:val="00765435"/>
    <w:rsid w:val="00765B1A"/>
    <w:rsid w:val="00765DC1"/>
    <w:rsid w:val="00766463"/>
    <w:rsid w:val="00767057"/>
    <w:rsid w:val="00767E5B"/>
    <w:rsid w:val="0077000D"/>
    <w:rsid w:val="0077055E"/>
    <w:rsid w:val="007706F1"/>
    <w:rsid w:val="00770A79"/>
    <w:rsid w:val="00770BDC"/>
    <w:rsid w:val="0077156E"/>
    <w:rsid w:val="00772689"/>
    <w:rsid w:val="00773B07"/>
    <w:rsid w:val="007742B7"/>
    <w:rsid w:val="00774399"/>
    <w:rsid w:val="007749D6"/>
    <w:rsid w:val="00774E28"/>
    <w:rsid w:val="00775062"/>
    <w:rsid w:val="0077623B"/>
    <w:rsid w:val="00776515"/>
    <w:rsid w:val="007767CF"/>
    <w:rsid w:val="007769CC"/>
    <w:rsid w:val="00776A29"/>
    <w:rsid w:val="00777335"/>
    <w:rsid w:val="007773EC"/>
    <w:rsid w:val="00777AED"/>
    <w:rsid w:val="007807C8"/>
    <w:rsid w:val="00780DD0"/>
    <w:rsid w:val="0078157D"/>
    <w:rsid w:val="007815C7"/>
    <w:rsid w:val="007821EB"/>
    <w:rsid w:val="0078242E"/>
    <w:rsid w:val="007826A1"/>
    <w:rsid w:val="00782FB7"/>
    <w:rsid w:val="00783C23"/>
    <w:rsid w:val="00783D33"/>
    <w:rsid w:val="007843F2"/>
    <w:rsid w:val="007846FA"/>
    <w:rsid w:val="00784963"/>
    <w:rsid w:val="00784FBF"/>
    <w:rsid w:val="00785A9F"/>
    <w:rsid w:val="00785E6D"/>
    <w:rsid w:val="0078607E"/>
    <w:rsid w:val="00786245"/>
    <w:rsid w:val="00786824"/>
    <w:rsid w:val="00786D1B"/>
    <w:rsid w:val="00786D5A"/>
    <w:rsid w:val="00786F29"/>
    <w:rsid w:val="00787267"/>
    <w:rsid w:val="00787441"/>
    <w:rsid w:val="00787AED"/>
    <w:rsid w:val="00787CCD"/>
    <w:rsid w:val="00787D7B"/>
    <w:rsid w:val="007902A7"/>
    <w:rsid w:val="00790377"/>
    <w:rsid w:val="007904FF"/>
    <w:rsid w:val="00790CAD"/>
    <w:rsid w:val="00790E62"/>
    <w:rsid w:val="00791116"/>
    <w:rsid w:val="00791C56"/>
    <w:rsid w:val="00791CFB"/>
    <w:rsid w:val="00791D1B"/>
    <w:rsid w:val="007920DE"/>
    <w:rsid w:val="0079231E"/>
    <w:rsid w:val="00792435"/>
    <w:rsid w:val="007925DF"/>
    <w:rsid w:val="00792A6E"/>
    <w:rsid w:val="007935E3"/>
    <w:rsid w:val="0079362A"/>
    <w:rsid w:val="007939E7"/>
    <w:rsid w:val="00793AF3"/>
    <w:rsid w:val="00793BBD"/>
    <w:rsid w:val="00793FDE"/>
    <w:rsid w:val="0079406E"/>
    <w:rsid w:val="00794195"/>
    <w:rsid w:val="00794265"/>
    <w:rsid w:val="00794936"/>
    <w:rsid w:val="0079498A"/>
    <w:rsid w:val="00794ED4"/>
    <w:rsid w:val="00794F68"/>
    <w:rsid w:val="0079537F"/>
    <w:rsid w:val="0079585B"/>
    <w:rsid w:val="00795F6A"/>
    <w:rsid w:val="00796501"/>
    <w:rsid w:val="00796D32"/>
    <w:rsid w:val="0079726B"/>
    <w:rsid w:val="007979ED"/>
    <w:rsid w:val="007A00AE"/>
    <w:rsid w:val="007A0278"/>
    <w:rsid w:val="007A08AA"/>
    <w:rsid w:val="007A0A12"/>
    <w:rsid w:val="007A132D"/>
    <w:rsid w:val="007A1345"/>
    <w:rsid w:val="007A1531"/>
    <w:rsid w:val="007A171B"/>
    <w:rsid w:val="007A1D9D"/>
    <w:rsid w:val="007A2221"/>
    <w:rsid w:val="007A2944"/>
    <w:rsid w:val="007A2DDB"/>
    <w:rsid w:val="007A2DF8"/>
    <w:rsid w:val="007A373F"/>
    <w:rsid w:val="007A3877"/>
    <w:rsid w:val="007A3AF1"/>
    <w:rsid w:val="007A4401"/>
    <w:rsid w:val="007A47C3"/>
    <w:rsid w:val="007A4971"/>
    <w:rsid w:val="007A4F21"/>
    <w:rsid w:val="007A5646"/>
    <w:rsid w:val="007A5899"/>
    <w:rsid w:val="007A5C45"/>
    <w:rsid w:val="007A5DD1"/>
    <w:rsid w:val="007A623B"/>
    <w:rsid w:val="007A639D"/>
    <w:rsid w:val="007A6644"/>
    <w:rsid w:val="007A6D23"/>
    <w:rsid w:val="007A6D55"/>
    <w:rsid w:val="007A70BA"/>
    <w:rsid w:val="007A7428"/>
    <w:rsid w:val="007A77B0"/>
    <w:rsid w:val="007B052A"/>
    <w:rsid w:val="007B0A48"/>
    <w:rsid w:val="007B0A68"/>
    <w:rsid w:val="007B0D68"/>
    <w:rsid w:val="007B1B65"/>
    <w:rsid w:val="007B2105"/>
    <w:rsid w:val="007B2256"/>
    <w:rsid w:val="007B230A"/>
    <w:rsid w:val="007B251D"/>
    <w:rsid w:val="007B276A"/>
    <w:rsid w:val="007B2832"/>
    <w:rsid w:val="007B3533"/>
    <w:rsid w:val="007B39A1"/>
    <w:rsid w:val="007B39CC"/>
    <w:rsid w:val="007B43AE"/>
    <w:rsid w:val="007B4E6F"/>
    <w:rsid w:val="007B4F58"/>
    <w:rsid w:val="007B528D"/>
    <w:rsid w:val="007B5F12"/>
    <w:rsid w:val="007B63CA"/>
    <w:rsid w:val="007B6A07"/>
    <w:rsid w:val="007B737C"/>
    <w:rsid w:val="007B773B"/>
    <w:rsid w:val="007B77D1"/>
    <w:rsid w:val="007B7C81"/>
    <w:rsid w:val="007B7D0C"/>
    <w:rsid w:val="007C0459"/>
    <w:rsid w:val="007C052D"/>
    <w:rsid w:val="007C07C7"/>
    <w:rsid w:val="007C0D09"/>
    <w:rsid w:val="007C0DE5"/>
    <w:rsid w:val="007C0E63"/>
    <w:rsid w:val="007C198C"/>
    <w:rsid w:val="007C1CD9"/>
    <w:rsid w:val="007C2A33"/>
    <w:rsid w:val="007C32EF"/>
    <w:rsid w:val="007C361D"/>
    <w:rsid w:val="007C3796"/>
    <w:rsid w:val="007C384B"/>
    <w:rsid w:val="007C3B53"/>
    <w:rsid w:val="007C3CA4"/>
    <w:rsid w:val="007C3F13"/>
    <w:rsid w:val="007C4162"/>
    <w:rsid w:val="007C470A"/>
    <w:rsid w:val="007C48DA"/>
    <w:rsid w:val="007C4B84"/>
    <w:rsid w:val="007C5024"/>
    <w:rsid w:val="007C53BB"/>
    <w:rsid w:val="007C6E11"/>
    <w:rsid w:val="007C70FF"/>
    <w:rsid w:val="007C7141"/>
    <w:rsid w:val="007C782B"/>
    <w:rsid w:val="007C79EF"/>
    <w:rsid w:val="007C7C25"/>
    <w:rsid w:val="007C7C9E"/>
    <w:rsid w:val="007D004F"/>
    <w:rsid w:val="007D035F"/>
    <w:rsid w:val="007D0366"/>
    <w:rsid w:val="007D04D1"/>
    <w:rsid w:val="007D05B6"/>
    <w:rsid w:val="007D06B2"/>
    <w:rsid w:val="007D0B38"/>
    <w:rsid w:val="007D1866"/>
    <w:rsid w:val="007D1956"/>
    <w:rsid w:val="007D214B"/>
    <w:rsid w:val="007D2281"/>
    <w:rsid w:val="007D233F"/>
    <w:rsid w:val="007D24A0"/>
    <w:rsid w:val="007D2904"/>
    <w:rsid w:val="007D2C29"/>
    <w:rsid w:val="007D3174"/>
    <w:rsid w:val="007D3DA7"/>
    <w:rsid w:val="007D42B0"/>
    <w:rsid w:val="007D47FC"/>
    <w:rsid w:val="007D4C5C"/>
    <w:rsid w:val="007D4E45"/>
    <w:rsid w:val="007D5181"/>
    <w:rsid w:val="007D528C"/>
    <w:rsid w:val="007D52F2"/>
    <w:rsid w:val="007D5440"/>
    <w:rsid w:val="007D5788"/>
    <w:rsid w:val="007D58F5"/>
    <w:rsid w:val="007D59A4"/>
    <w:rsid w:val="007D5BC7"/>
    <w:rsid w:val="007D610E"/>
    <w:rsid w:val="007D649B"/>
    <w:rsid w:val="007D64D7"/>
    <w:rsid w:val="007D6640"/>
    <w:rsid w:val="007D69EB"/>
    <w:rsid w:val="007D6F1D"/>
    <w:rsid w:val="007D7C04"/>
    <w:rsid w:val="007D7FD0"/>
    <w:rsid w:val="007E0416"/>
    <w:rsid w:val="007E0479"/>
    <w:rsid w:val="007E0C07"/>
    <w:rsid w:val="007E11BB"/>
    <w:rsid w:val="007E1273"/>
    <w:rsid w:val="007E128F"/>
    <w:rsid w:val="007E186A"/>
    <w:rsid w:val="007E228D"/>
    <w:rsid w:val="007E29E1"/>
    <w:rsid w:val="007E2DA2"/>
    <w:rsid w:val="007E35CA"/>
    <w:rsid w:val="007E3F5E"/>
    <w:rsid w:val="007E3F90"/>
    <w:rsid w:val="007E4436"/>
    <w:rsid w:val="007E4748"/>
    <w:rsid w:val="007E48B2"/>
    <w:rsid w:val="007E4ADE"/>
    <w:rsid w:val="007E4E88"/>
    <w:rsid w:val="007E5090"/>
    <w:rsid w:val="007E5383"/>
    <w:rsid w:val="007E6069"/>
    <w:rsid w:val="007E72A7"/>
    <w:rsid w:val="007E77DE"/>
    <w:rsid w:val="007E79D9"/>
    <w:rsid w:val="007E7A5F"/>
    <w:rsid w:val="007E7FF6"/>
    <w:rsid w:val="007F0917"/>
    <w:rsid w:val="007F0A1F"/>
    <w:rsid w:val="007F1017"/>
    <w:rsid w:val="007F1F59"/>
    <w:rsid w:val="007F2660"/>
    <w:rsid w:val="007F27FD"/>
    <w:rsid w:val="007F2CC0"/>
    <w:rsid w:val="007F395E"/>
    <w:rsid w:val="007F4935"/>
    <w:rsid w:val="007F49E7"/>
    <w:rsid w:val="007F4A3F"/>
    <w:rsid w:val="007F4A61"/>
    <w:rsid w:val="007F4F9A"/>
    <w:rsid w:val="007F5169"/>
    <w:rsid w:val="007F5255"/>
    <w:rsid w:val="007F56CC"/>
    <w:rsid w:val="007F5729"/>
    <w:rsid w:val="007F61C2"/>
    <w:rsid w:val="007F6464"/>
    <w:rsid w:val="007F6D1D"/>
    <w:rsid w:val="007F73C9"/>
    <w:rsid w:val="007F7939"/>
    <w:rsid w:val="007F7C14"/>
    <w:rsid w:val="007F7E33"/>
    <w:rsid w:val="00800187"/>
    <w:rsid w:val="00800EEB"/>
    <w:rsid w:val="0080150B"/>
    <w:rsid w:val="008017D9"/>
    <w:rsid w:val="008018C4"/>
    <w:rsid w:val="0080195D"/>
    <w:rsid w:val="00801D32"/>
    <w:rsid w:val="008020D1"/>
    <w:rsid w:val="00803474"/>
    <w:rsid w:val="0080400F"/>
    <w:rsid w:val="00804459"/>
    <w:rsid w:val="00804DCE"/>
    <w:rsid w:val="00805142"/>
    <w:rsid w:val="00805173"/>
    <w:rsid w:val="0080566B"/>
    <w:rsid w:val="008057DA"/>
    <w:rsid w:val="00805EEE"/>
    <w:rsid w:val="00805FCE"/>
    <w:rsid w:val="00806364"/>
    <w:rsid w:val="00806389"/>
    <w:rsid w:val="008065DF"/>
    <w:rsid w:val="00806B5D"/>
    <w:rsid w:val="00806B70"/>
    <w:rsid w:val="008076F1"/>
    <w:rsid w:val="00807A8B"/>
    <w:rsid w:val="00810242"/>
    <w:rsid w:val="00810C8F"/>
    <w:rsid w:val="00810D42"/>
    <w:rsid w:val="00810DA6"/>
    <w:rsid w:val="00811383"/>
    <w:rsid w:val="00811D2F"/>
    <w:rsid w:val="00812149"/>
    <w:rsid w:val="008126EA"/>
    <w:rsid w:val="00812780"/>
    <w:rsid w:val="00812AD7"/>
    <w:rsid w:val="00812B81"/>
    <w:rsid w:val="00812BBE"/>
    <w:rsid w:val="00812CAC"/>
    <w:rsid w:val="00813017"/>
    <w:rsid w:val="0081435D"/>
    <w:rsid w:val="00814E3F"/>
    <w:rsid w:val="008158FA"/>
    <w:rsid w:val="00815AB6"/>
    <w:rsid w:val="00815C7E"/>
    <w:rsid w:val="00816181"/>
    <w:rsid w:val="00816361"/>
    <w:rsid w:val="0081645E"/>
    <w:rsid w:val="00816653"/>
    <w:rsid w:val="008166EF"/>
    <w:rsid w:val="008168E6"/>
    <w:rsid w:val="00816CA5"/>
    <w:rsid w:val="00816FEF"/>
    <w:rsid w:val="0081718F"/>
    <w:rsid w:val="00817695"/>
    <w:rsid w:val="00817787"/>
    <w:rsid w:val="00817A07"/>
    <w:rsid w:val="00817D53"/>
    <w:rsid w:val="00817D9B"/>
    <w:rsid w:val="00817E72"/>
    <w:rsid w:val="00820001"/>
    <w:rsid w:val="008205E3"/>
    <w:rsid w:val="00820825"/>
    <w:rsid w:val="00820A8C"/>
    <w:rsid w:val="00820D44"/>
    <w:rsid w:val="00821314"/>
    <w:rsid w:val="008215FB"/>
    <w:rsid w:val="008216D5"/>
    <w:rsid w:val="00821D33"/>
    <w:rsid w:val="008220CC"/>
    <w:rsid w:val="008221F1"/>
    <w:rsid w:val="00822983"/>
    <w:rsid w:val="0082309A"/>
    <w:rsid w:val="00823174"/>
    <w:rsid w:val="00823985"/>
    <w:rsid w:val="00823DAD"/>
    <w:rsid w:val="00824917"/>
    <w:rsid w:val="00824ABE"/>
    <w:rsid w:val="008254B1"/>
    <w:rsid w:val="00825751"/>
    <w:rsid w:val="0082581F"/>
    <w:rsid w:val="00825AD9"/>
    <w:rsid w:val="00825C62"/>
    <w:rsid w:val="008261FB"/>
    <w:rsid w:val="00826365"/>
    <w:rsid w:val="008264EB"/>
    <w:rsid w:val="008268CE"/>
    <w:rsid w:val="00826B34"/>
    <w:rsid w:val="00826B65"/>
    <w:rsid w:val="00827C03"/>
    <w:rsid w:val="00827C23"/>
    <w:rsid w:val="00830099"/>
    <w:rsid w:val="0083052D"/>
    <w:rsid w:val="00830694"/>
    <w:rsid w:val="00830BBB"/>
    <w:rsid w:val="00831002"/>
    <w:rsid w:val="008310EC"/>
    <w:rsid w:val="00831D34"/>
    <w:rsid w:val="0083285A"/>
    <w:rsid w:val="00832965"/>
    <w:rsid w:val="00832BC0"/>
    <w:rsid w:val="00832F86"/>
    <w:rsid w:val="00832FDD"/>
    <w:rsid w:val="0083322B"/>
    <w:rsid w:val="0083327D"/>
    <w:rsid w:val="00833318"/>
    <w:rsid w:val="00833705"/>
    <w:rsid w:val="00833A34"/>
    <w:rsid w:val="00833AFA"/>
    <w:rsid w:val="00833B05"/>
    <w:rsid w:val="00834126"/>
    <w:rsid w:val="00834249"/>
    <w:rsid w:val="008347B0"/>
    <w:rsid w:val="00834C65"/>
    <w:rsid w:val="00834F67"/>
    <w:rsid w:val="00835E05"/>
    <w:rsid w:val="008362B4"/>
    <w:rsid w:val="00836A28"/>
    <w:rsid w:val="00836DC0"/>
    <w:rsid w:val="008373BD"/>
    <w:rsid w:val="00837863"/>
    <w:rsid w:val="00837E71"/>
    <w:rsid w:val="00840292"/>
    <w:rsid w:val="0084045C"/>
    <w:rsid w:val="0084045F"/>
    <w:rsid w:val="00840CA2"/>
    <w:rsid w:val="0084118B"/>
    <w:rsid w:val="00842875"/>
    <w:rsid w:val="00842975"/>
    <w:rsid w:val="00842F2B"/>
    <w:rsid w:val="00842F71"/>
    <w:rsid w:val="0084313D"/>
    <w:rsid w:val="0084374F"/>
    <w:rsid w:val="00843BD0"/>
    <w:rsid w:val="00843EBB"/>
    <w:rsid w:val="00844A22"/>
    <w:rsid w:val="00844A9A"/>
    <w:rsid w:val="00844CFC"/>
    <w:rsid w:val="00845138"/>
    <w:rsid w:val="0084523A"/>
    <w:rsid w:val="00845B6C"/>
    <w:rsid w:val="00845D4C"/>
    <w:rsid w:val="00846724"/>
    <w:rsid w:val="00847703"/>
    <w:rsid w:val="00847DF5"/>
    <w:rsid w:val="008501B5"/>
    <w:rsid w:val="008504B0"/>
    <w:rsid w:val="00851361"/>
    <w:rsid w:val="00851653"/>
    <w:rsid w:val="00851BF8"/>
    <w:rsid w:val="00852E8E"/>
    <w:rsid w:val="0085309D"/>
    <w:rsid w:val="0085369B"/>
    <w:rsid w:val="00853C48"/>
    <w:rsid w:val="00853D6A"/>
    <w:rsid w:val="00854289"/>
    <w:rsid w:val="00854433"/>
    <w:rsid w:val="00854EF6"/>
    <w:rsid w:val="00855003"/>
    <w:rsid w:val="00855192"/>
    <w:rsid w:val="00855585"/>
    <w:rsid w:val="00855903"/>
    <w:rsid w:val="00855C88"/>
    <w:rsid w:val="00855FF3"/>
    <w:rsid w:val="00856190"/>
    <w:rsid w:val="00856338"/>
    <w:rsid w:val="00856697"/>
    <w:rsid w:val="00856826"/>
    <w:rsid w:val="00856897"/>
    <w:rsid w:val="00856E9A"/>
    <w:rsid w:val="00856FDA"/>
    <w:rsid w:val="00857739"/>
    <w:rsid w:val="00857FD0"/>
    <w:rsid w:val="00860692"/>
    <w:rsid w:val="0086075D"/>
    <w:rsid w:val="008607F0"/>
    <w:rsid w:val="00860978"/>
    <w:rsid w:val="008609BF"/>
    <w:rsid w:val="00861527"/>
    <w:rsid w:val="0086186A"/>
    <w:rsid w:val="00861A4F"/>
    <w:rsid w:val="00861EA6"/>
    <w:rsid w:val="0086220D"/>
    <w:rsid w:val="00862502"/>
    <w:rsid w:val="00862CC1"/>
    <w:rsid w:val="00863425"/>
    <w:rsid w:val="00864194"/>
    <w:rsid w:val="008642A7"/>
    <w:rsid w:val="00864894"/>
    <w:rsid w:val="00864D16"/>
    <w:rsid w:val="00864D2A"/>
    <w:rsid w:val="00864D96"/>
    <w:rsid w:val="00864ED9"/>
    <w:rsid w:val="00864F30"/>
    <w:rsid w:val="00864FEA"/>
    <w:rsid w:val="008656BD"/>
    <w:rsid w:val="008659F6"/>
    <w:rsid w:val="00865B38"/>
    <w:rsid w:val="00865F8C"/>
    <w:rsid w:val="008660D4"/>
    <w:rsid w:val="00866132"/>
    <w:rsid w:val="00866223"/>
    <w:rsid w:val="00867C2C"/>
    <w:rsid w:val="0087095E"/>
    <w:rsid w:val="008712AF"/>
    <w:rsid w:val="008715E6"/>
    <w:rsid w:val="00871637"/>
    <w:rsid w:val="008716C0"/>
    <w:rsid w:val="00871DD3"/>
    <w:rsid w:val="00871FA9"/>
    <w:rsid w:val="008727BB"/>
    <w:rsid w:val="008728E9"/>
    <w:rsid w:val="00872DD6"/>
    <w:rsid w:val="00873042"/>
    <w:rsid w:val="0087306E"/>
    <w:rsid w:val="00873105"/>
    <w:rsid w:val="0087312A"/>
    <w:rsid w:val="00873561"/>
    <w:rsid w:val="008743AC"/>
    <w:rsid w:val="008747B9"/>
    <w:rsid w:val="0087497E"/>
    <w:rsid w:val="00874BF8"/>
    <w:rsid w:val="0087510E"/>
    <w:rsid w:val="00875360"/>
    <w:rsid w:val="008755F9"/>
    <w:rsid w:val="008756D1"/>
    <w:rsid w:val="00875749"/>
    <w:rsid w:val="008757E4"/>
    <w:rsid w:val="0087585C"/>
    <w:rsid w:val="00875A8C"/>
    <w:rsid w:val="008760C3"/>
    <w:rsid w:val="008762A1"/>
    <w:rsid w:val="0087646B"/>
    <w:rsid w:val="00876AE5"/>
    <w:rsid w:val="008771A9"/>
    <w:rsid w:val="00877F9A"/>
    <w:rsid w:val="00880392"/>
    <w:rsid w:val="0088051D"/>
    <w:rsid w:val="008805A0"/>
    <w:rsid w:val="00881754"/>
    <w:rsid w:val="00881BAF"/>
    <w:rsid w:val="00881C7C"/>
    <w:rsid w:val="00881F33"/>
    <w:rsid w:val="00881FF5"/>
    <w:rsid w:val="008826BD"/>
    <w:rsid w:val="00882874"/>
    <w:rsid w:val="00882BB8"/>
    <w:rsid w:val="00882D76"/>
    <w:rsid w:val="00882E3C"/>
    <w:rsid w:val="0088308A"/>
    <w:rsid w:val="00883787"/>
    <w:rsid w:val="00883EA9"/>
    <w:rsid w:val="00884373"/>
    <w:rsid w:val="00884459"/>
    <w:rsid w:val="0088516C"/>
    <w:rsid w:val="008854CF"/>
    <w:rsid w:val="008855E4"/>
    <w:rsid w:val="00885A0F"/>
    <w:rsid w:val="00886091"/>
    <w:rsid w:val="00886146"/>
    <w:rsid w:val="008866D2"/>
    <w:rsid w:val="00886AC3"/>
    <w:rsid w:val="00886CD2"/>
    <w:rsid w:val="00886F13"/>
    <w:rsid w:val="00887154"/>
    <w:rsid w:val="00887181"/>
    <w:rsid w:val="00887CF0"/>
    <w:rsid w:val="0089078A"/>
    <w:rsid w:val="00890833"/>
    <w:rsid w:val="008912AA"/>
    <w:rsid w:val="008916E9"/>
    <w:rsid w:val="0089182D"/>
    <w:rsid w:val="008919CC"/>
    <w:rsid w:val="00891A2E"/>
    <w:rsid w:val="00891E6F"/>
    <w:rsid w:val="00891F9B"/>
    <w:rsid w:val="00892364"/>
    <w:rsid w:val="0089275D"/>
    <w:rsid w:val="00892857"/>
    <w:rsid w:val="00892A36"/>
    <w:rsid w:val="00892B9D"/>
    <w:rsid w:val="00892EFD"/>
    <w:rsid w:val="008930E5"/>
    <w:rsid w:val="008931F7"/>
    <w:rsid w:val="00893239"/>
    <w:rsid w:val="00893365"/>
    <w:rsid w:val="00893517"/>
    <w:rsid w:val="00893824"/>
    <w:rsid w:val="008939B5"/>
    <w:rsid w:val="00893CA2"/>
    <w:rsid w:val="0089420E"/>
    <w:rsid w:val="008943E4"/>
    <w:rsid w:val="00894489"/>
    <w:rsid w:val="00894CD6"/>
    <w:rsid w:val="00895028"/>
    <w:rsid w:val="0089508C"/>
    <w:rsid w:val="008958BA"/>
    <w:rsid w:val="00895A8B"/>
    <w:rsid w:val="00895B2A"/>
    <w:rsid w:val="0089621D"/>
    <w:rsid w:val="008963A5"/>
    <w:rsid w:val="00896870"/>
    <w:rsid w:val="00896D16"/>
    <w:rsid w:val="00896D5D"/>
    <w:rsid w:val="00896DC8"/>
    <w:rsid w:val="00896E1D"/>
    <w:rsid w:val="00896FAD"/>
    <w:rsid w:val="008974D9"/>
    <w:rsid w:val="008977A2"/>
    <w:rsid w:val="008978FD"/>
    <w:rsid w:val="00897CB6"/>
    <w:rsid w:val="008A0D43"/>
    <w:rsid w:val="008A0ED4"/>
    <w:rsid w:val="008A1E61"/>
    <w:rsid w:val="008A23D1"/>
    <w:rsid w:val="008A2B71"/>
    <w:rsid w:val="008A2F32"/>
    <w:rsid w:val="008A3158"/>
    <w:rsid w:val="008A3363"/>
    <w:rsid w:val="008A3371"/>
    <w:rsid w:val="008A33F8"/>
    <w:rsid w:val="008A364B"/>
    <w:rsid w:val="008A36A9"/>
    <w:rsid w:val="008A3C3E"/>
    <w:rsid w:val="008A3F28"/>
    <w:rsid w:val="008A41B2"/>
    <w:rsid w:val="008A493B"/>
    <w:rsid w:val="008A5231"/>
    <w:rsid w:val="008A526F"/>
    <w:rsid w:val="008A581B"/>
    <w:rsid w:val="008A58E4"/>
    <w:rsid w:val="008A5D2B"/>
    <w:rsid w:val="008A7160"/>
    <w:rsid w:val="008A73FF"/>
    <w:rsid w:val="008A78F0"/>
    <w:rsid w:val="008A792B"/>
    <w:rsid w:val="008A79DE"/>
    <w:rsid w:val="008B0029"/>
    <w:rsid w:val="008B0B07"/>
    <w:rsid w:val="008B0BF2"/>
    <w:rsid w:val="008B100B"/>
    <w:rsid w:val="008B1757"/>
    <w:rsid w:val="008B17F5"/>
    <w:rsid w:val="008B1824"/>
    <w:rsid w:val="008B1C33"/>
    <w:rsid w:val="008B1E38"/>
    <w:rsid w:val="008B25B3"/>
    <w:rsid w:val="008B2A4A"/>
    <w:rsid w:val="008B2C03"/>
    <w:rsid w:val="008B2F06"/>
    <w:rsid w:val="008B340F"/>
    <w:rsid w:val="008B36F0"/>
    <w:rsid w:val="008B386B"/>
    <w:rsid w:val="008B3FA9"/>
    <w:rsid w:val="008B421A"/>
    <w:rsid w:val="008B4B6F"/>
    <w:rsid w:val="008B651A"/>
    <w:rsid w:val="008B67EF"/>
    <w:rsid w:val="008B6AF7"/>
    <w:rsid w:val="008B6F4B"/>
    <w:rsid w:val="008B7120"/>
    <w:rsid w:val="008B758E"/>
    <w:rsid w:val="008B7992"/>
    <w:rsid w:val="008B7C80"/>
    <w:rsid w:val="008B7D7E"/>
    <w:rsid w:val="008C0030"/>
    <w:rsid w:val="008C0960"/>
    <w:rsid w:val="008C12D8"/>
    <w:rsid w:val="008C12DF"/>
    <w:rsid w:val="008C1A18"/>
    <w:rsid w:val="008C1B5C"/>
    <w:rsid w:val="008C244A"/>
    <w:rsid w:val="008C27A8"/>
    <w:rsid w:val="008C2A82"/>
    <w:rsid w:val="008C2B67"/>
    <w:rsid w:val="008C3C14"/>
    <w:rsid w:val="008C3CBC"/>
    <w:rsid w:val="008C43BF"/>
    <w:rsid w:val="008C46B7"/>
    <w:rsid w:val="008C5420"/>
    <w:rsid w:val="008C553B"/>
    <w:rsid w:val="008C5610"/>
    <w:rsid w:val="008C5739"/>
    <w:rsid w:val="008C57B3"/>
    <w:rsid w:val="008C5859"/>
    <w:rsid w:val="008C5EA1"/>
    <w:rsid w:val="008C6064"/>
    <w:rsid w:val="008C618F"/>
    <w:rsid w:val="008C64AF"/>
    <w:rsid w:val="008C66CA"/>
    <w:rsid w:val="008C66F8"/>
    <w:rsid w:val="008C67FC"/>
    <w:rsid w:val="008C7218"/>
    <w:rsid w:val="008C7282"/>
    <w:rsid w:val="008C75C6"/>
    <w:rsid w:val="008C7645"/>
    <w:rsid w:val="008C7ECB"/>
    <w:rsid w:val="008D071E"/>
    <w:rsid w:val="008D0C34"/>
    <w:rsid w:val="008D0CA9"/>
    <w:rsid w:val="008D11AB"/>
    <w:rsid w:val="008D1562"/>
    <w:rsid w:val="008D2450"/>
    <w:rsid w:val="008D271E"/>
    <w:rsid w:val="008D2B07"/>
    <w:rsid w:val="008D2D0E"/>
    <w:rsid w:val="008D31B5"/>
    <w:rsid w:val="008D399F"/>
    <w:rsid w:val="008D3B86"/>
    <w:rsid w:val="008D3C51"/>
    <w:rsid w:val="008D3C56"/>
    <w:rsid w:val="008D3C90"/>
    <w:rsid w:val="008D43F4"/>
    <w:rsid w:val="008D43FD"/>
    <w:rsid w:val="008D46D8"/>
    <w:rsid w:val="008D4755"/>
    <w:rsid w:val="008D48C6"/>
    <w:rsid w:val="008D4C2C"/>
    <w:rsid w:val="008D4C3D"/>
    <w:rsid w:val="008D4C82"/>
    <w:rsid w:val="008D4F63"/>
    <w:rsid w:val="008D562A"/>
    <w:rsid w:val="008D5EAC"/>
    <w:rsid w:val="008D6477"/>
    <w:rsid w:val="008D66EA"/>
    <w:rsid w:val="008D6BE5"/>
    <w:rsid w:val="008D6F8A"/>
    <w:rsid w:val="008D717B"/>
    <w:rsid w:val="008D743C"/>
    <w:rsid w:val="008D780C"/>
    <w:rsid w:val="008D78BF"/>
    <w:rsid w:val="008D7C0D"/>
    <w:rsid w:val="008E0D3C"/>
    <w:rsid w:val="008E102A"/>
    <w:rsid w:val="008E10EA"/>
    <w:rsid w:val="008E11D1"/>
    <w:rsid w:val="008E128A"/>
    <w:rsid w:val="008E12C7"/>
    <w:rsid w:val="008E15B6"/>
    <w:rsid w:val="008E1B9E"/>
    <w:rsid w:val="008E2107"/>
    <w:rsid w:val="008E25A2"/>
    <w:rsid w:val="008E2919"/>
    <w:rsid w:val="008E2BA5"/>
    <w:rsid w:val="008E3148"/>
    <w:rsid w:val="008E3318"/>
    <w:rsid w:val="008E4208"/>
    <w:rsid w:val="008E55AB"/>
    <w:rsid w:val="008E6499"/>
    <w:rsid w:val="008E68B2"/>
    <w:rsid w:val="008E6BFE"/>
    <w:rsid w:val="008E6E66"/>
    <w:rsid w:val="008E7009"/>
    <w:rsid w:val="008E7029"/>
    <w:rsid w:val="008E7075"/>
    <w:rsid w:val="008E709E"/>
    <w:rsid w:val="008E70E4"/>
    <w:rsid w:val="008E721B"/>
    <w:rsid w:val="008E7475"/>
    <w:rsid w:val="008E74D6"/>
    <w:rsid w:val="008E74E8"/>
    <w:rsid w:val="008E79CF"/>
    <w:rsid w:val="008E7AEC"/>
    <w:rsid w:val="008E7F49"/>
    <w:rsid w:val="008F013A"/>
    <w:rsid w:val="008F1067"/>
    <w:rsid w:val="008F120A"/>
    <w:rsid w:val="008F1661"/>
    <w:rsid w:val="008F17EC"/>
    <w:rsid w:val="008F194E"/>
    <w:rsid w:val="008F19C8"/>
    <w:rsid w:val="008F218E"/>
    <w:rsid w:val="008F23EB"/>
    <w:rsid w:val="008F246F"/>
    <w:rsid w:val="008F25C3"/>
    <w:rsid w:val="008F27E0"/>
    <w:rsid w:val="008F3016"/>
    <w:rsid w:val="008F3089"/>
    <w:rsid w:val="008F39AA"/>
    <w:rsid w:val="008F3FB5"/>
    <w:rsid w:val="008F42CC"/>
    <w:rsid w:val="008F4371"/>
    <w:rsid w:val="008F4762"/>
    <w:rsid w:val="008F487C"/>
    <w:rsid w:val="008F48EB"/>
    <w:rsid w:val="008F49F1"/>
    <w:rsid w:val="008F4F0B"/>
    <w:rsid w:val="008F5491"/>
    <w:rsid w:val="008F5F97"/>
    <w:rsid w:val="008F652D"/>
    <w:rsid w:val="008F653D"/>
    <w:rsid w:val="008F7160"/>
    <w:rsid w:val="008F74B5"/>
    <w:rsid w:val="008F7DF3"/>
    <w:rsid w:val="009001E3"/>
    <w:rsid w:val="00900433"/>
    <w:rsid w:val="0090066A"/>
    <w:rsid w:val="00900AA9"/>
    <w:rsid w:val="00900BAE"/>
    <w:rsid w:val="00900D9B"/>
    <w:rsid w:val="00901400"/>
    <w:rsid w:val="0090140F"/>
    <w:rsid w:val="00901D0F"/>
    <w:rsid w:val="00901EBC"/>
    <w:rsid w:val="00901F91"/>
    <w:rsid w:val="0090249A"/>
    <w:rsid w:val="0090355E"/>
    <w:rsid w:val="009036E1"/>
    <w:rsid w:val="00903DE3"/>
    <w:rsid w:val="00903EDA"/>
    <w:rsid w:val="00904202"/>
    <w:rsid w:val="009046C4"/>
    <w:rsid w:val="009046EC"/>
    <w:rsid w:val="009049FB"/>
    <w:rsid w:val="00904DEE"/>
    <w:rsid w:val="0090534A"/>
    <w:rsid w:val="00905A33"/>
    <w:rsid w:val="00905BAF"/>
    <w:rsid w:val="009062A5"/>
    <w:rsid w:val="009068E4"/>
    <w:rsid w:val="00906C05"/>
    <w:rsid w:val="009072D3"/>
    <w:rsid w:val="00907699"/>
    <w:rsid w:val="0091013C"/>
    <w:rsid w:val="00910325"/>
    <w:rsid w:val="00910369"/>
    <w:rsid w:val="00910CA1"/>
    <w:rsid w:val="00910FA7"/>
    <w:rsid w:val="00911272"/>
    <w:rsid w:val="00911339"/>
    <w:rsid w:val="00911B17"/>
    <w:rsid w:val="00912816"/>
    <w:rsid w:val="009128D2"/>
    <w:rsid w:val="00912AF1"/>
    <w:rsid w:val="009130B1"/>
    <w:rsid w:val="00913240"/>
    <w:rsid w:val="00913538"/>
    <w:rsid w:val="009135D6"/>
    <w:rsid w:val="0091380E"/>
    <w:rsid w:val="0091381A"/>
    <w:rsid w:val="00913E33"/>
    <w:rsid w:val="00914016"/>
    <w:rsid w:val="009142AB"/>
    <w:rsid w:val="00914358"/>
    <w:rsid w:val="00914C77"/>
    <w:rsid w:val="00914F60"/>
    <w:rsid w:val="00915862"/>
    <w:rsid w:val="00915C69"/>
    <w:rsid w:val="00916525"/>
    <w:rsid w:val="00916FFB"/>
    <w:rsid w:val="00917214"/>
    <w:rsid w:val="009179D3"/>
    <w:rsid w:val="00917F5F"/>
    <w:rsid w:val="009201A3"/>
    <w:rsid w:val="009201B6"/>
    <w:rsid w:val="009206EF"/>
    <w:rsid w:val="00920888"/>
    <w:rsid w:val="00920C8E"/>
    <w:rsid w:val="0092142D"/>
    <w:rsid w:val="00921754"/>
    <w:rsid w:val="00921ACB"/>
    <w:rsid w:val="0092254C"/>
    <w:rsid w:val="0092285C"/>
    <w:rsid w:val="009233AC"/>
    <w:rsid w:val="00923475"/>
    <w:rsid w:val="0092369B"/>
    <w:rsid w:val="00924133"/>
    <w:rsid w:val="009245BE"/>
    <w:rsid w:val="00924DD8"/>
    <w:rsid w:val="009251B9"/>
    <w:rsid w:val="00925442"/>
    <w:rsid w:val="00925626"/>
    <w:rsid w:val="00925807"/>
    <w:rsid w:val="00926007"/>
    <w:rsid w:val="00926084"/>
    <w:rsid w:val="00926C86"/>
    <w:rsid w:val="00926E00"/>
    <w:rsid w:val="00926E59"/>
    <w:rsid w:val="00926FDD"/>
    <w:rsid w:val="009271DA"/>
    <w:rsid w:val="00927576"/>
    <w:rsid w:val="009277FA"/>
    <w:rsid w:val="00927C51"/>
    <w:rsid w:val="00927F07"/>
    <w:rsid w:val="009301D4"/>
    <w:rsid w:val="00930210"/>
    <w:rsid w:val="00930E8A"/>
    <w:rsid w:val="009312B6"/>
    <w:rsid w:val="00931821"/>
    <w:rsid w:val="009319E9"/>
    <w:rsid w:val="00932166"/>
    <w:rsid w:val="00932602"/>
    <w:rsid w:val="009329FF"/>
    <w:rsid w:val="00932AD6"/>
    <w:rsid w:val="00932FDE"/>
    <w:rsid w:val="00933CD5"/>
    <w:rsid w:val="0093458D"/>
    <w:rsid w:val="00934887"/>
    <w:rsid w:val="00934988"/>
    <w:rsid w:val="009350BD"/>
    <w:rsid w:val="00935445"/>
    <w:rsid w:val="00935691"/>
    <w:rsid w:val="00935C0F"/>
    <w:rsid w:val="0093617C"/>
    <w:rsid w:val="009364A7"/>
    <w:rsid w:val="00937089"/>
    <w:rsid w:val="00937E5D"/>
    <w:rsid w:val="00940198"/>
    <w:rsid w:val="009403C8"/>
    <w:rsid w:val="00940991"/>
    <w:rsid w:val="009409B8"/>
    <w:rsid w:val="00942766"/>
    <w:rsid w:val="00942842"/>
    <w:rsid w:val="00942901"/>
    <w:rsid w:val="00942BDD"/>
    <w:rsid w:val="00942CD8"/>
    <w:rsid w:val="009437D4"/>
    <w:rsid w:val="00943839"/>
    <w:rsid w:val="0094446A"/>
    <w:rsid w:val="00944B52"/>
    <w:rsid w:val="00944C70"/>
    <w:rsid w:val="00944DA5"/>
    <w:rsid w:val="00944F8A"/>
    <w:rsid w:val="00945162"/>
    <w:rsid w:val="00945434"/>
    <w:rsid w:val="00945B59"/>
    <w:rsid w:val="0094654D"/>
    <w:rsid w:val="00946652"/>
    <w:rsid w:val="009467E8"/>
    <w:rsid w:val="00946DAB"/>
    <w:rsid w:val="0094719E"/>
    <w:rsid w:val="00947BD7"/>
    <w:rsid w:val="00950525"/>
    <w:rsid w:val="00950B02"/>
    <w:rsid w:val="00950E6E"/>
    <w:rsid w:val="00950EF0"/>
    <w:rsid w:val="009510A2"/>
    <w:rsid w:val="0095118E"/>
    <w:rsid w:val="00951218"/>
    <w:rsid w:val="009516AB"/>
    <w:rsid w:val="00952207"/>
    <w:rsid w:val="0095227E"/>
    <w:rsid w:val="00952418"/>
    <w:rsid w:val="00952469"/>
    <w:rsid w:val="0095258E"/>
    <w:rsid w:val="009526BC"/>
    <w:rsid w:val="00952856"/>
    <w:rsid w:val="00952E17"/>
    <w:rsid w:val="00953257"/>
    <w:rsid w:val="00954123"/>
    <w:rsid w:val="00954617"/>
    <w:rsid w:val="0095474C"/>
    <w:rsid w:val="00954BB4"/>
    <w:rsid w:val="00954E2E"/>
    <w:rsid w:val="00955157"/>
    <w:rsid w:val="00955BEE"/>
    <w:rsid w:val="009568F8"/>
    <w:rsid w:val="009572B9"/>
    <w:rsid w:val="009576C2"/>
    <w:rsid w:val="00957839"/>
    <w:rsid w:val="00957D92"/>
    <w:rsid w:val="00957E34"/>
    <w:rsid w:val="009606B3"/>
    <w:rsid w:val="009606E9"/>
    <w:rsid w:val="009612FC"/>
    <w:rsid w:val="00961779"/>
    <w:rsid w:val="00961FAB"/>
    <w:rsid w:val="0096267E"/>
    <w:rsid w:val="00962750"/>
    <w:rsid w:val="00962CB9"/>
    <w:rsid w:val="00963077"/>
    <w:rsid w:val="009635E9"/>
    <w:rsid w:val="0096366F"/>
    <w:rsid w:val="0096382D"/>
    <w:rsid w:val="00964312"/>
    <w:rsid w:val="009646AE"/>
    <w:rsid w:val="00964A20"/>
    <w:rsid w:val="00964D9D"/>
    <w:rsid w:val="00964F6A"/>
    <w:rsid w:val="00965B8A"/>
    <w:rsid w:val="00966172"/>
    <w:rsid w:val="0096672D"/>
    <w:rsid w:val="009667D8"/>
    <w:rsid w:val="00967A8C"/>
    <w:rsid w:val="00967B11"/>
    <w:rsid w:val="00967CE3"/>
    <w:rsid w:val="00970299"/>
    <w:rsid w:val="00970354"/>
    <w:rsid w:val="0097071F"/>
    <w:rsid w:val="009709CA"/>
    <w:rsid w:val="00970C82"/>
    <w:rsid w:val="00970D03"/>
    <w:rsid w:val="009710E5"/>
    <w:rsid w:val="009712C7"/>
    <w:rsid w:val="00971337"/>
    <w:rsid w:val="009717AC"/>
    <w:rsid w:val="00971D6E"/>
    <w:rsid w:val="00971FC5"/>
    <w:rsid w:val="009720A2"/>
    <w:rsid w:val="0097234E"/>
    <w:rsid w:val="009727B7"/>
    <w:rsid w:val="00973413"/>
    <w:rsid w:val="009735CF"/>
    <w:rsid w:val="00973D11"/>
    <w:rsid w:val="00973E46"/>
    <w:rsid w:val="00974392"/>
    <w:rsid w:val="009746C8"/>
    <w:rsid w:val="009748C3"/>
    <w:rsid w:val="009751C1"/>
    <w:rsid w:val="009760E1"/>
    <w:rsid w:val="009767AE"/>
    <w:rsid w:val="00976A06"/>
    <w:rsid w:val="00977496"/>
    <w:rsid w:val="00977E18"/>
    <w:rsid w:val="009801CB"/>
    <w:rsid w:val="00980F43"/>
    <w:rsid w:val="00980FF4"/>
    <w:rsid w:val="009811F1"/>
    <w:rsid w:val="00981FF3"/>
    <w:rsid w:val="00982022"/>
    <w:rsid w:val="00982055"/>
    <w:rsid w:val="0098218E"/>
    <w:rsid w:val="0098262F"/>
    <w:rsid w:val="00982C54"/>
    <w:rsid w:val="00983160"/>
    <w:rsid w:val="009832DC"/>
    <w:rsid w:val="00983A6A"/>
    <w:rsid w:val="00983E57"/>
    <w:rsid w:val="00983E58"/>
    <w:rsid w:val="0098438D"/>
    <w:rsid w:val="0098452C"/>
    <w:rsid w:val="009848DA"/>
    <w:rsid w:val="00984BB5"/>
    <w:rsid w:val="00984C13"/>
    <w:rsid w:val="00984D87"/>
    <w:rsid w:val="00984DB0"/>
    <w:rsid w:val="00985590"/>
    <w:rsid w:val="00985CE0"/>
    <w:rsid w:val="00985DE2"/>
    <w:rsid w:val="00985F42"/>
    <w:rsid w:val="00986605"/>
    <w:rsid w:val="0098675D"/>
    <w:rsid w:val="00986AC1"/>
    <w:rsid w:val="00986D58"/>
    <w:rsid w:val="0098765D"/>
    <w:rsid w:val="00987BA4"/>
    <w:rsid w:val="00987CE8"/>
    <w:rsid w:val="00987E3F"/>
    <w:rsid w:val="00990584"/>
    <w:rsid w:val="0099066C"/>
    <w:rsid w:val="00990A50"/>
    <w:rsid w:val="00990BAC"/>
    <w:rsid w:val="00990D2E"/>
    <w:rsid w:val="00990F4D"/>
    <w:rsid w:val="00991146"/>
    <w:rsid w:val="009911B2"/>
    <w:rsid w:val="0099201F"/>
    <w:rsid w:val="00992250"/>
    <w:rsid w:val="009926E0"/>
    <w:rsid w:val="009928E2"/>
    <w:rsid w:val="00993740"/>
    <w:rsid w:val="00993808"/>
    <w:rsid w:val="0099385F"/>
    <w:rsid w:val="00993C11"/>
    <w:rsid w:val="00993CA0"/>
    <w:rsid w:val="009942E8"/>
    <w:rsid w:val="00994318"/>
    <w:rsid w:val="00994375"/>
    <w:rsid w:val="0099451E"/>
    <w:rsid w:val="009947AF"/>
    <w:rsid w:val="009949AA"/>
    <w:rsid w:val="00994A19"/>
    <w:rsid w:val="00994ABE"/>
    <w:rsid w:val="009950AE"/>
    <w:rsid w:val="00995381"/>
    <w:rsid w:val="00995533"/>
    <w:rsid w:val="009959C0"/>
    <w:rsid w:val="00995E0D"/>
    <w:rsid w:val="009965EA"/>
    <w:rsid w:val="009969DC"/>
    <w:rsid w:val="00996B1A"/>
    <w:rsid w:val="00996BBA"/>
    <w:rsid w:val="00996BD1"/>
    <w:rsid w:val="009975AF"/>
    <w:rsid w:val="00997B2B"/>
    <w:rsid w:val="009A09CA"/>
    <w:rsid w:val="009A14BF"/>
    <w:rsid w:val="009A18F6"/>
    <w:rsid w:val="009A2013"/>
    <w:rsid w:val="009A2626"/>
    <w:rsid w:val="009A2C39"/>
    <w:rsid w:val="009A2DCC"/>
    <w:rsid w:val="009A3991"/>
    <w:rsid w:val="009A3C72"/>
    <w:rsid w:val="009A402C"/>
    <w:rsid w:val="009A46D6"/>
    <w:rsid w:val="009A5452"/>
    <w:rsid w:val="009A5719"/>
    <w:rsid w:val="009A5ABC"/>
    <w:rsid w:val="009A6187"/>
    <w:rsid w:val="009A6488"/>
    <w:rsid w:val="009A669C"/>
    <w:rsid w:val="009A6896"/>
    <w:rsid w:val="009A6900"/>
    <w:rsid w:val="009A6AED"/>
    <w:rsid w:val="009A7261"/>
    <w:rsid w:val="009A7F10"/>
    <w:rsid w:val="009A7F55"/>
    <w:rsid w:val="009B1987"/>
    <w:rsid w:val="009B2446"/>
    <w:rsid w:val="009B2690"/>
    <w:rsid w:val="009B2DCC"/>
    <w:rsid w:val="009B319A"/>
    <w:rsid w:val="009B384B"/>
    <w:rsid w:val="009B3A63"/>
    <w:rsid w:val="009B3E26"/>
    <w:rsid w:val="009B4028"/>
    <w:rsid w:val="009B4121"/>
    <w:rsid w:val="009B493D"/>
    <w:rsid w:val="009B4B3F"/>
    <w:rsid w:val="009B4CA2"/>
    <w:rsid w:val="009B5273"/>
    <w:rsid w:val="009B56FD"/>
    <w:rsid w:val="009B57BE"/>
    <w:rsid w:val="009B5DA0"/>
    <w:rsid w:val="009B6964"/>
    <w:rsid w:val="009B6A2F"/>
    <w:rsid w:val="009B6D34"/>
    <w:rsid w:val="009B6D76"/>
    <w:rsid w:val="009B7246"/>
    <w:rsid w:val="009B7F13"/>
    <w:rsid w:val="009C03DB"/>
    <w:rsid w:val="009C05CD"/>
    <w:rsid w:val="009C081E"/>
    <w:rsid w:val="009C0CD3"/>
    <w:rsid w:val="009C0FE9"/>
    <w:rsid w:val="009C120C"/>
    <w:rsid w:val="009C1271"/>
    <w:rsid w:val="009C12FF"/>
    <w:rsid w:val="009C1347"/>
    <w:rsid w:val="009C1C59"/>
    <w:rsid w:val="009C1F21"/>
    <w:rsid w:val="009C1F40"/>
    <w:rsid w:val="009C20E2"/>
    <w:rsid w:val="009C2290"/>
    <w:rsid w:val="009C27EC"/>
    <w:rsid w:val="009C2E29"/>
    <w:rsid w:val="009C3353"/>
    <w:rsid w:val="009C3706"/>
    <w:rsid w:val="009C3A3A"/>
    <w:rsid w:val="009C3AA3"/>
    <w:rsid w:val="009C3FD5"/>
    <w:rsid w:val="009C426B"/>
    <w:rsid w:val="009C45F9"/>
    <w:rsid w:val="009C55AE"/>
    <w:rsid w:val="009C5995"/>
    <w:rsid w:val="009C61D2"/>
    <w:rsid w:val="009C6A0C"/>
    <w:rsid w:val="009C6CEA"/>
    <w:rsid w:val="009C6DAB"/>
    <w:rsid w:val="009C7257"/>
    <w:rsid w:val="009C7736"/>
    <w:rsid w:val="009C7B46"/>
    <w:rsid w:val="009C7B5A"/>
    <w:rsid w:val="009C7B85"/>
    <w:rsid w:val="009C7C88"/>
    <w:rsid w:val="009C7FC8"/>
    <w:rsid w:val="009D0048"/>
    <w:rsid w:val="009D0117"/>
    <w:rsid w:val="009D0254"/>
    <w:rsid w:val="009D0388"/>
    <w:rsid w:val="009D03F9"/>
    <w:rsid w:val="009D07BF"/>
    <w:rsid w:val="009D11AE"/>
    <w:rsid w:val="009D1225"/>
    <w:rsid w:val="009D1A64"/>
    <w:rsid w:val="009D1F8B"/>
    <w:rsid w:val="009D29F3"/>
    <w:rsid w:val="009D2AC7"/>
    <w:rsid w:val="009D2C9D"/>
    <w:rsid w:val="009D30E5"/>
    <w:rsid w:val="009D3171"/>
    <w:rsid w:val="009D3234"/>
    <w:rsid w:val="009D3429"/>
    <w:rsid w:val="009D391C"/>
    <w:rsid w:val="009D4A97"/>
    <w:rsid w:val="009D5750"/>
    <w:rsid w:val="009D5895"/>
    <w:rsid w:val="009D5ADD"/>
    <w:rsid w:val="009D5B91"/>
    <w:rsid w:val="009D629D"/>
    <w:rsid w:val="009D668E"/>
    <w:rsid w:val="009D792E"/>
    <w:rsid w:val="009D7943"/>
    <w:rsid w:val="009D7AEB"/>
    <w:rsid w:val="009E041A"/>
    <w:rsid w:val="009E0DFE"/>
    <w:rsid w:val="009E1A6B"/>
    <w:rsid w:val="009E1AD8"/>
    <w:rsid w:val="009E1BB7"/>
    <w:rsid w:val="009E1E5B"/>
    <w:rsid w:val="009E1FFE"/>
    <w:rsid w:val="009E273E"/>
    <w:rsid w:val="009E31F6"/>
    <w:rsid w:val="009E386A"/>
    <w:rsid w:val="009E3AA1"/>
    <w:rsid w:val="009E4037"/>
    <w:rsid w:val="009E4979"/>
    <w:rsid w:val="009E4AC6"/>
    <w:rsid w:val="009E4C07"/>
    <w:rsid w:val="009E4E4A"/>
    <w:rsid w:val="009E5050"/>
    <w:rsid w:val="009E50B9"/>
    <w:rsid w:val="009E50FF"/>
    <w:rsid w:val="009E5786"/>
    <w:rsid w:val="009E5BEC"/>
    <w:rsid w:val="009E5C48"/>
    <w:rsid w:val="009E6698"/>
    <w:rsid w:val="009E6A91"/>
    <w:rsid w:val="009E6B89"/>
    <w:rsid w:val="009E777F"/>
    <w:rsid w:val="009E778D"/>
    <w:rsid w:val="009E797F"/>
    <w:rsid w:val="009E7AAB"/>
    <w:rsid w:val="009E7FD9"/>
    <w:rsid w:val="009F0558"/>
    <w:rsid w:val="009F1244"/>
    <w:rsid w:val="009F1544"/>
    <w:rsid w:val="009F1C14"/>
    <w:rsid w:val="009F24B1"/>
    <w:rsid w:val="009F263E"/>
    <w:rsid w:val="009F2C4C"/>
    <w:rsid w:val="009F32A7"/>
    <w:rsid w:val="009F33FF"/>
    <w:rsid w:val="009F3D3B"/>
    <w:rsid w:val="009F429B"/>
    <w:rsid w:val="009F5119"/>
    <w:rsid w:val="009F548A"/>
    <w:rsid w:val="009F5949"/>
    <w:rsid w:val="009F5BC1"/>
    <w:rsid w:val="009F5E82"/>
    <w:rsid w:val="009F6120"/>
    <w:rsid w:val="009F641E"/>
    <w:rsid w:val="009F681B"/>
    <w:rsid w:val="009F6E86"/>
    <w:rsid w:val="009F7326"/>
    <w:rsid w:val="00A003DE"/>
    <w:rsid w:val="00A005C6"/>
    <w:rsid w:val="00A008E0"/>
    <w:rsid w:val="00A00939"/>
    <w:rsid w:val="00A00B95"/>
    <w:rsid w:val="00A00BC8"/>
    <w:rsid w:val="00A00D56"/>
    <w:rsid w:val="00A00D76"/>
    <w:rsid w:val="00A01184"/>
    <w:rsid w:val="00A01449"/>
    <w:rsid w:val="00A01732"/>
    <w:rsid w:val="00A01939"/>
    <w:rsid w:val="00A02238"/>
    <w:rsid w:val="00A02C8A"/>
    <w:rsid w:val="00A037C2"/>
    <w:rsid w:val="00A038E0"/>
    <w:rsid w:val="00A03AAF"/>
    <w:rsid w:val="00A03D43"/>
    <w:rsid w:val="00A04380"/>
    <w:rsid w:val="00A04420"/>
    <w:rsid w:val="00A0472D"/>
    <w:rsid w:val="00A04786"/>
    <w:rsid w:val="00A04E15"/>
    <w:rsid w:val="00A04E3E"/>
    <w:rsid w:val="00A05472"/>
    <w:rsid w:val="00A05536"/>
    <w:rsid w:val="00A05C32"/>
    <w:rsid w:val="00A05DF0"/>
    <w:rsid w:val="00A0653F"/>
    <w:rsid w:val="00A06DE2"/>
    <w:rsid w:val="00A06E0F"/>
    <w:rsid w:val="00A0700E"/>
    <w:rsid w:val="00A0733E"/>
    <w:rsid w:val="00A074D6"/>
    <w:rsid w:val="00A07553"/>
    <w:rsid w:val="00A07847"/>
    <w:rsid w:val="00A07E12"/>
    <w:rsid w:val="00A1002A"/>
    <w:rsid w:val="00A105B7"/>
    <w:rsid w:val="00A10D2C"/>
    <w:rsid w:val="00A10F5B"/>
    <w:rsid w:val="00A1107D"/>
    <w:rsid w:val="00A1142B"/>
    <w:rsid w:val="00A119E3"/>
    <w:rsid w:val="00A11CD0"/>
    <w:rsid w:val="00A11EDA"/>
    <w:rsid w:val="00A1276B"/>
    <w:rsid w:val="00A13228"/>
    <w:rsid w:val="00A13948"/>
    <w:rsid w:val="00A13D46"/>
    <w:rsid w:val="00A13DA7"/>
    <w:rsid w:val="00A14746"/>
    <w:rsid w:val="00A1477C"/>
    <w:rsid w:val="00A14AC6"/>
    <w:rsid w:val="00A15381"/>
    <w:rsid w:val="00A15436"/>
    <w:rsid w:val="00A1555B"/>
    <w:rsid w:val="00A155C5"/>
    <w:rsid w:val="00A15903"/>
    <w:rsid w:val="00A15B38"/>
    <w:rsid w:val="00A1611D"/>
    <w:rsid w:val="00A16205"/>
    <w:rsid w:val="00A164C5"/>
    <w:rsid w:val="00A164F3"/>
    <w:rsid w:val="00A168C5"/>
    <w:rsid w:val="00A168D7"/>
    <w:rsid w:val="00A16AD8"/>
    <w:rsid w:val="00A16C8B"/>
    <w:rsid w:val="00A1734E"/>
    <w:rsid w:val="00A173A7"/>
    <w:rsid w:val="00A17A40"/>
    <w:rsid w:val="00A2021E"/>
    <w:rsid w:val="00A20AEA"/>
    <w:rsid w:val="00A20BBF"/>
    <w:rsid w:val="00A20E1D"/>
    <w:rsid w:val="00A213E3"/>
    <w:rsid w:val="00A2149B"/>
    <w:rsid w:val="00A219F1"/>
    <w:rsid w:val="00A21C95"/>
    <w:rsid w:val="00A21CB5"/>
    <w:rsid w:val="00A21CF3"/>
    <w:rsid w:val="00A21D50"/>
    <w:rsid w:val="00A222EA"/>
    <w:rsid w:val="00A2254A"/>
    <w:rsid w:val="00A2271F"/>
    <w:rsid w:val="00A22898"/>
    <w:rsid w:val="00A22C50"/>
    <w:rsid w:val="00A22DC5"/>
    <w:rsid w:val="00A233A4"/>
    <w:rsid w:val="00A23994"/>
    <w:rsid w:val="00A23C29"/>
    <w:rsid w:val="00A24410"/>
    <w:rsid w:val="00A24813"/>
    <w:rsid w:val="00A24BB9"/>
    <w:rsid w:val="00A256AC"/>
    <w:rsid w:val="00A268CD"/>
    <w:rsid w:val="00A26F8F"/>
    <w:rsid w:val="00A274A3"/>
    <w:rsid w:val="00A275E3"/>
    <w:rsid w:val="00A27AEC"/>
    <w:rsid w:val="00A27C4F"/>
    <w:rsid w:val="00A27C92"/>
    <w:rsid w:val="00A27D5D"/>
    <w:rsid w:val="00A30A6E"/>
    <w:rsid w:val="00A312C3"/>
    <w:rsid w:val="00A31863"/>
    <w:rsid w:val="00A318C5"/>
    <w:rsid w:val="00A31DF1"/>
    <w:rsid w:val="00A320DB"/>
    <w:rsid w:val="00A32AAB"/>
    <w:rsid w:val="00A32E6B"/>
    <w:rsid w:val="00A33423"/>
    <w:rsid w:val="00A33449"/>
    <w:rsid w:val="00A3371C"/>
    <w:rsid w:val="00A339B1"/>
    <w:rsid w:val="00A3449F"/>
    <w:rsid w:val="00A34988"/>
    <w:rsid w:val="00A34AAC"/>
    <w:rsid w:val="00A3515D"/>
    <w:rsid w:val="00A356E1"/>
    <w:rsid w:val="00A35771"/>
    <w:rsid w:val="00A35D16"/>
    <w:rsid w:val="00A3620F"/>
    <w:rsid w:val="00A36882"/>
    <w:rsid w:val="00A36A84"/>
    <w:rsid w:val="00A36D7D"/>
    <w:rsid w:val="00A37BCD"/>
    <w:rsid w:val="00A37EDF"/>
    <w:rsid w:val="00A37F7E"/>
    <w:rsid w:val="00A40474"/>
    <w:rsid w:val="00A4061D"/>
    <w:rsid w:val="00A410BC"/>
    <w:rsid w:val="00A41689"/>
    <w:rsid w:val="00A41BB9"/>
    <w:rsid w:val="00A41EC8"/>
    <w:rsid w:val="00A42216"/>
    <w:rsid w:val="00A42592"/>
    <w:rsid w:val="00A42955"/>
    <w:rsid w:val="00A42BC4"/>
    <w:rsid w:val="00A42C5F"/>
    <w:rsid w:val="00A43214"/>
    <w:rsid w:val="00A4349B"/>
    <w:rsid w:val="00A43C59"/>
    <w:rsid w:val="00A447D5"/>
    <w:rsid w:val="00A44F0D"/>
    <w:rsid w:val="00A44FBF"/>
    <w:rsid w:val="00A450EB"/>
    <w:rsid w:val="00A45314"/>
    <w:rsid w:val="00A4574F"/>
    <w:rsid w:val="00A458E3"/>
    <w:rsid w:val="00A4594B"/>
    <w:rsid w:val="00A46416"/>
    <w:rsid w:val="00A46D22"/>
    <w:rsid w:val="00A47222"/>
    <w:rsid w:val="00A477ED"/>
    <w:rsid w:val="00A50D15"/>
    <w:rsid w:val="00A50ECD"/>
    <w:rsid w:val="00A514CC"/>
    <w:rsid w:val="00A518F3"/>
    <w:rsid w:val="00A520D6"/>
    <w:rsid w:val="00A522BD"/>
    <w:rsid w:val="00A52729"/>
    <w:rsid w:val="00A5298F"/>
    <w:rsid w:val="00A52E06"/>
    <w:rsid w:val="00A53675"/>
    <w:rsid w:val="00A539A6"/>
    <w:rsid w:val="00A53D0A"/>
    <w:rsid w:val="00A54918"/>
    <w:rsid w:val="00A551B5"/>
    <w:rsid w:val="00A5634F"/>
    <w:rsid w:val="00A564D7"/>
    <w:rsid w:val="00A56532"/>
    <w:rsid w:val="00A5680E"/>
    <w:rsid w:val="00A56947"/>
    <w:rsid w:val="00A56A2A"/>
    <w:rsid w:val="00A56B6A"/>
    <w:rsid w:val="00A56FEF"/>
    <w:rsid w:val="00A57795"/>
    <w:rsid w:val="00A578DC"/>
    <w:rsid w:val="00A60120"/>
    <w:rsid w:val="00A6018D"/>
    <w:rsid w:val="00A611BF"/>
    <w:rsid w:val="00A61289"/>
    <w:rsid w:val="00A61E4A"/>
    <w:rsid w:val="00A621B0"/>
    <w:rsid w:val="00A62334"/>
    <w:rsid w:val="00A62A77"/>
    <w:rsid w:val="00A62ECB"/>
    <w:rsid w:val="00A6348C"/>
    <w:rsid w:val="00A640E2"/>
    <w:rsid w:val="00A641A7"/>
    <w:rsid w:val="00A6496B"/>
    <w:rsid w:val="00A64D65"/>
    <w:rsid w:val="00A65586"/>
    <w:rsid w:val="00A65928"/>
    <w:rsid w:val="00A662A8"/>
    <w:rsid w:val="00A6679C"/>
    <w:rsid w:val="00A66956"/>
    <w:rsid w:val="00A66DAB"/>
    <w:rsid w:val="00A6725B"/>
    <w:rsid w:val="00A677C0"/>
    <w:rsid w:val="00A678AB"/>
    <w:rsid w:val="00A67931"/>
    <w:rsid w:val="00A67C76"/>
    <w:rsid w:val="00A67DF6"/>
    <w:rsid w:val="00A70009"/>
    <w:rsid w:val="00A70605"/>
    <w:rsid w:val="00A707E9"/>
    <w:rsid w:val="00A70B2C"/>
    <w:rsid w:val="00A7193A"/>
    <w:rsid w:val="00A71A5D"/>
    <w:rsid w:val="00A71CFC"/>
    <w:rsid w:val="00A71FD5"/>
    <w:rsid w:val="00A73134"/>
    <w:rsid w:val="00A73393"/>
    <w:rsid w:val="00A7359A"/>
    <w:rsid w:val="00A7365A"/>
    <w:rsid w:val="00A73D48"/>
    <w:rsid w:val="00A73F44"/>
    <w:rsid w:val="00A743B6"/>
    <w:rsid w:val="00A74567"/>
    <w:rsid w:val="00A7499C"/>
    <w:rsid w:val="00A74BE2"/>
    <w:rsid w:val="00A7520A"/>
    <w:rsid w:val="00A75340"/>
    <w:rsid w:val="00A753EF"/>
    <w:rsid w:val="00A7570F"/>
    <w:rsid w:val="00A76001"/>
    <w:rsid w:val="00A7694B"/>
    <w:rsid w:val="00A76AB3"/>
    <w:rsid w:val="00A76B67"/>
    <w:rsid w:val="00A771B7"/>
    <w:rsid w:val="00A777B2"/>
    <w:rsid w:val="00A77850"/>
    <w:rsid w:val="00A80250"/>
    <w:rsid w:val="00A809B2"/>
    <w:rsid w:val="00A80DBC"/>
    <w:rsid w:val="00A82079"/>
    <w:rsid w:val="00A825D4"/>
    <w:rsid w:val="00A826C3"/>
    <w:rsid w:val="00A828F6"/>
    <w:rsid w:val="00A82B73"/>
    <w:rsid w:val="00A82E9F"/>
    <w:rsid w:val="00A83316"/>
    <w:rsid w:val="00A83536"/>
    <w:rsid w:val="00A83E7B"/>
    <w:rsid w:val="00A83F82"/>
    <w:rsid w:val="00A84334"/>
    <w:rsid w:val="00A844B3"/>
    <w:rsid w:val="00A84BC9"/>
    <w:rsid w:val="00A84D6A"/>
    <w:rsid w:val="00A8513E"/>
    <w:rsid w:val="00A851F8"/>
    <w:rsid w:val="00A8540B"/>
    <w:rsid w:val="00A85D96"/>
    <w:rsid w:val="00A862FC"/>
    <w:rsid w:val="00A86CBE"/>
    <w:rsid w:val="00A86E8B"/>
    <w:rsid w:val="00A87164"/>
    <w:rsid w:val="00A871A9"/>
    <w:rsid w:val="00A8729D"/>
    <w:rsid w:val="00A8775D"/>
    <w:rsid w:val="00A87A20"/>
    <w:rsid w:val="00A87D50"/>
    <w:rsid w:val="00A90FAC"/>
    <w:rsid w:val="00A9175E"/>
    <w:rsid w:val="00A91C70"/>
    <w:rsid w:val="00A91ED1"/>
    <w:rsid w:val="00A921A3"/>
    <w:rsid w:val="00A93072"/>
    <w:rsid w:val="00A9357B"/>
    <w:rsid w:val="00A938BD"/>
    <w:rsid w:val="00A93953"/>
    <w:rsid w:val="00A93AF8"/>
    <w:rsid w:val="00A93C27"/>
    <w:rsid w:val="00A93E46"/>
    <w:rsid w:val="00A94075"/>
    <w:rsid w:val="00A94126"/>
    <w:rsid w:val="00A94242"/>
    <w:rsid w:val="00A94330"/>
    <w:rsid w:val="00A947E5"/>
    <w:rsid w:val="00A94E05"/>
    <w:rsid w:val="00A9516F"/>
    <w:rsid w:val="00A959D8"/>
    <w:rsid w:val="00A96738"/>
    <w:rsid w:val="00A967AD"/>
    <w:rsid w:val="00A97822"/>
    <w:rsid w:val="00A97D3E"/>
    <w:rsid w:val="00A97EE7"/>
    <w:rsid w:val="00AA0D61"/>
    <w:rsid w:val="00AA113D"/>
    <w:rsid w:val="00AA1669"/>
    <w:rsid w:val="00AA1807"/>
    <w:rsid w:val="00AA1825"/>
    <w:rsid w:val="00AA18A8"/>
    <w:rsid w:val="00AA1AA3"/>
    <w:rsid w:val="00AA32C7"/>
    <w:rsid w:val="00AA3864"/>
    <w:rsid w:val="00AA3897"/>
    <w:rsid w:val="00AA397E"/>
    <w:rsid w:val="00AA3B7D"/>
    <w:rsid w:val="00AA3BA4"/>
    <w:rsid w:val="00AA3BB3"/>
    <w:rsid w:val="00AA3E79"/>
    <w:rsid w:val="00AA4AF3"/>
    <w:rsid w:val="00AA4B02"/>
    <w:rsid w:val="00AA4B7F"/>
    <w:rsid w:val="00AA4EEF"/>
    <w:rsid w:val="00AA54A6"/>
    <w:rsid w:val="00AA57D3"/>
    <w:rsid w:val="00AA5FFC"/>
    <w:rsid w:val="00AA675A"/>
    <w:rsid w:val="00AA6BD5"/>
    <w:rsid w:val="00AA6BD8"/>
    <w:rsid w:val="00AA6C7D"/>
    <w:rsid w:val="00AA73B3"/>
    <w:rsid w:val="00AA78FA"/>
    <w:rsid w:val="00AA7BC2"/>
    <w:rsid w:val="00AA7FD6"/>
    <w:rsid w:val="00AB042A"/>
    <w:rsid w:val="00AB0757"/>
    <w:rsid w:val="00AB0770"/>
    <w:rsid w:val="00AB07A7"/>
    <w:rsid w:val="00AB0919"/>
    <w:rsid w:val="00AB098F"/>
    <w:rsid w:val="00AB09B9"/>
    <w:rsid w:val="00AB11AD"/>
    <w:rsid w:val="00AB12F2"/>
    <w:rsid w:val="00AB1332"/>
    <w:rsid w:val="00AB19D8"/>
    <w:rsid w:val="00AB19EF"/>
    <w:rsid w:val="00AB1EA9"/>
    <w:rsid w:val="00AB2495"/>
    <w:rsid w:val="00AB2D34"/>
    <w:rsid w:val="00AB32B9"/>
    <w:rsid w:val="00AB3340"/>
    <w:rsid w:val="00AB33A0"/>
    <w:rsid w:val="00AB3430"/>
    <w:rsid w:val="00AB34A9"/>
    <w:rsid w:val="00AB37B9"/>
    <w:rsid w:val="00AB386F"/>
    <w:rsid w:val="00AB3F4B"/>
    <w:rsid w:val="00AB4349"/>
    <w:rsid w:val="00AB4514"/>
    <w:rsid w:val="00AB474E"/>
    <w:rsid w:val="00AB47C4"/>
    <w:rsid w:val="00AB4AD1"/>
    <w:rsid w:val="00AB4EE1"/>
    <w:rsid w:val="00AB4F4E"/>
    <w:rsid w:val="00AB5ADB"/>
    <w:rsid w:val="00AB5B07"/>
    <w:rsid w:val="00AB5B37"/>
    <w:rsid w:val="00AB5E07"/>
    <w:rsid w:val="00AB5EA2"/>
    <w:rsid w:val="00AB5FA5"/>
    <w:rsid w:val="00AB60AE"/>
    <w:rsid w:val="00AB6B6F"/>
    <w:rsid w:val="00AB6DBB"/>
    <w:rsid w:val="00AB7225"/>
    <w:rsid w:val="00AB74BF"/>
    <w:rsid w:val="00AB77ED"/>
    <w:rsid w:val="00AB7869"/>
    <w:rsid w:val="00AB7A55"/>
    <w:rsid w:val="00AB7CFA"/>
    <w:rsid w:val="00AB7D53"/>
    <w:rsid w:val="00AC0581"/>
    <w:rsid w:val="00AC0722"/>
    <w:rsid w:val="00AC0946"/>
    <w:rsid w:val="00AC1239"/>
    <w:rsid w:val="00AC188D"/>
    <w:rsid w:val="00AC1A64"/>
    <w:rsid w:val="00AC1E2A"/>
    <w:rsid w:val="00AC21FB"/>
    <w:rsid w:val="00AC245D"/>
    <w:rsid w:val="00AC27AD"/>
    <w:rsid w:val="00AC2FE8"/>
    <w:rsid w:val="00AC3216"/>
    <w:rsid w:val="00AC348D"/>
    <w:rsid w:val="00AC3624"/>
    <w:rsid w:val="00AC3831"/>
    <w:rsid w:val="00AC3907"/>
    <w:rsid w:val="00AC3934"/>
    <w:rsid w:val="00AC4416"/>
    <w:rsid w:val="00AC4813"/>
    <w:rsid w:val="00AC4E31"/>
    <w:rsid w:val="00AC52FB"/>
    <w:rsid w:val="00AC5344"/>
    <w:rsid w:val="00AC5B42"/>
    <w:rsid w:val="00AC5B48"/>
    <w:rsid w:val="00AC5BA2"/>
    <w:rsid w:val="00AC750D"/>
    <w:rsid w:val="00AC7BF0"/>
    <w:rsid w:val="00AD029C"/>
    <w:rsid w:val="00AD0F19"/>
    <w:rsid w:val="00AD135E"/>
    <w:rsid w:val="00AD1450"/>
    <w:rsid w:val="00AD15E8"/>
    <w:rsid w:val="00AD1827"/>
    <w:rsid w:val="00AD1869"/>
    <w:rsid w:val="00AD1BE1"/>
    <w:rsid w:val="00AD1CD7"/>
    <w:rsid w:val="00AD2191"/>
    <w:rsid w:val="00AD2338"/>
    <w:rsid w:val="00AD27D9"/>
    <w:rsid w:val="00AD28F7"/>
    <w:rsid w:val="00AD3536"/>
    <w:rsid w:val="00AD356D"/>
    <w:rsid w:val="00AD420E"/>
    <w:rsid w:val="00AD4607"/>
    <w:rsid w:val="00AD460F"/>
    <w:rsid w:val="00AD4621"/>
    <w:rsid w:val="00AD46CA"/>
    <w:rsid w:val="00AD496D"/>
    <w:rsid w:val="00AD4980"/>
    <w:rsid w:val="00AD4BD3"/>
    <w:rsid w:val="00AD4C34"/>
    <w:rsid w:val="00AD4DD4"/>
    <w:rsid w:val="00AD4F7F"/>
    <w:rsid w:val="00AD52CD"/>
    <w:rsid w:val="00AD55D7"/>
    <w:rsid w:val="00AD57ED"/>
    <w:rsid w:val="00AD5CED"/>
    <w:rsid w:val="00AD62F4"/>
    <w:rsid w:val="00AD6502"/>
    <w:rsid w:val="00AD6BDD"/>
    <w:rsid w:val="00AD6C06"/>
    <w:rsid w:val="00AD6DF3"/>
    <w:rsid w:val="00AD7838"/>
    <w:rsid w:val="00AE0516"/>
    <w:rsid w:val="00AE0695"/>
    <w:rsid w:val="00AE0991"/>
    <w:rsid w:val="00AE0DB7"/>
    <w:rsid w:val="00AE1375"/>
    <w:rsid w:val="00AE1C5D"/>
    <w:rsid w:val="00AE28F3"/>
    <w:rsid w:val="00AE2E83"/>
    <w:rsid w:val="00AE2FB5"/>
    <w:rsid w:val="00AE33A5"/>
    <w:rsid w:val="00AE378F"/>
    <w:rsid w:val="00AE3D8C"/>
    <w:rsid w:val="00AE3E7E"/>
    <w:rsid w:val="00AE4023"/>
    <w:rsid w:val="00AE41B6"/>
    <w:rsid w:val="00AE4404"/>
    <w:rsid w:val="00AE4997"/>
    <w:rsid w:val="00AE5229"/>
    <w:rsid w:val="00AE6522"/>
    <w:rsid w:val="00AE73FC"/>
    <w:rsid w:val="00AE78FE"/>
    <w:rsid w:val="00AE7D30"/>
    <w:rsid w:val="00AE7E53"/>
    <w:rsid w:val="00AF04DF"/>
    <w:rsid w:val="00AF083A"/>
    <w:rsid w:val="00AF0A48"/>
    <w:rsid w:val="00AF0CB3"/>
    <w:rsid w:val="00AF1060"/>
    <w:rsid w:val="00AF1315"/>
    <w:rsid w:val="00AF19BF"/>
    <w:rsid w:val="00AF1CAA"/>
    <w:rsid w:val="00AF1F08"/>
    <w:rsid w:val="00AF1FFB"/>
    <w:rsid w:val="00AF2A86"/>
    <w:rsid w:val="00AF2DC3"/>
    <w:rsid w:val="00AF2DED"/>
    <w:rsid w:val="00AF33EE"/>
    <w:rsid w:val="00AF3574"/>
    <w:rsid w:val="00AF37B1"/>
    <w:rsid w:val="00AF3B75"/>
    <w:rsid w:val="00AF425F"/>
    <w:rsid w:val="00AF436B"/>
    <w:rsid w:val="00AF471B"/>
    <w:rsid w:val="00AF49FE"/>
    <w:rsid w:val="00AF4BB0"/>
    <w:rsid w:val="00AF52C3"/>
    <w:rsid w:val="00AF662F"/>
    <w:rsid w:val="00AF6C0E"/>
    <w:rsid w:val="00AF6D92"/>
    <w:rsid w:val="00AF7119"/>
    <w:rsid w:val="00AF758D"/>
    <w:rsid w:val="00B0057C"/>
    <w:rsid w:val="00B005B1"/>
    <w:rsid w:val="00B00DA2"/>
    <w:rsid w:val="00B00E5F"/>
    <w:rsid w:val="00B00ED9"/>
    <w:rsid w:val="00B0123E"/>
    <w:rsid w:val="00B01DBB"/>
    <w:rsid w:val="00B020E8"/>
    <w:rsid w:val="00B0269A"/>
    <w:rsid w:val="00B031BD"/>
    <w:rsid w:val="00B033E5"/>
    <w:rsid w:val="00B03A63"/>
    <w:rsid w:val="00B03F6B"/>
    <w:rsid w:val="00B044BE"/>
    <w:rsid w:val="00B04C30"/>
    <w:rsid w:val="00B04DF5"/>
    <w:rsid w:val="00B05364"/>
    <w:rsid w:val="00B05DA4"/>
    <w:rsid w:val="00B06368"/>
    <w:rsid w:val="00B076AF"/>
    <w:rsid w:val="00B07B79"/>
    <w:rsid w:val="00B07D43"/>
    <w:rsid w:val="00B1095C"/>
    <w:rsid w:val="00B10F40"/>
    <w:rsid w:val="00B10F9F"/>
    <w:rsid w:val="00B10FD3"/>
    <w:rsid w:val="00B11232"/>
    <w:rsid w:val="00B1127F"/>
    <w:rsid w:val="00B116A9"/>
    <w:rsid w:val="00B11D77"/>
    <w:rsid w:val="00B1211F"/>
    <w:rsid w:val="00B124EB"/>
    <w:rsid w:val="00B129A4"/>
    <w:rsid w:val="00B1321B"/>
    <w:rsid w:val="00B13C29"/>
    <w:rsid w:val="00B14712"/>
    <w:rsid w:val="00B14894"/>
    <w:rsid w:val="00B14C6A"/>
    <w:rsid w:val="00B15410"/>
    <w:rsid w:val="00B15D34"/>
    <w:rsid w:val="00B16343"/>
    <w:rsid w:val="00B16962"/>
    <w:rsid w:val="00B16A49"/>
    <w:rsid w:val="00B16CC1"/>
    <w:rsid w:val="00B17855"/>
    <w:rsid w:val="00B17CA7"/>
    <w:rsid w:val="00B17EDA"/>
    <w:rsid w:val="00B17F60"/>
    <w:rsid w:val="00B201A4"/>
    <w:rsid w:val="00B201D1"/>
    <w:rsid w:val="00B213A6"/>
    <w:rsid w:val="00B21D90"/>
    <w:rsid w:val="00B221AA"/>
    <w:rsid w:val="00B22303"/>
    <w:rsid w:val="00B223D6"/>
    <w:rsid w:val="00B2260D"/>
    <w:rsid w:val="00B22BAA"/>
    <w:rsid w:val="00B22C10"/>
    <w:rsid w:val="00B22FAF"/>
    <w:rsid w:val="00B23189"/>
    <w:rsid w:val="00B23399"/>
    <w:rsid w:val="00B233AC"/>
    <w:rsid w:val="00B235B0"/>
    <w:rsid w:val="00B240F5"/>
    <w:rsid w:val="00B24DF6"/>
    <w:rsid w:val="00B2525F"/>
    <w:rsid w:val="00B25815"/>
    <w:rsid w:val="00B25D95"/>
    <w:rsid w:val="00B25EE6"/>
    <w:rsid w:val="00B261D0"/>
    <w:rsid w:val="00B271B9"/>
    <w:rsid w:val="00B27A61"/>
    <w:rsid w:val="00B27CF0"/>
    <w:rsid w:val="00B27F5E"/>
    <w:rsid w:val="00B3089B"/>
    <w:rsid w:val="00B30D0F"/>
    <w:rsid w:val="00B3240A"/>
    <w:rsid w:val="00B32601"/>
    <w:rsid w:val="00B32BC8"/>
    <w:rsid w:val="00B32DBF"/>
    <w:rsid w:val="00B32E54"/>
    <w:rsid w:val="00B33470"/>
    <w:rsid w:val="00B33843"/>
    <w:rsid w:val="00B33BC9"/>
    <w:rsid w:val="00B34182"/>
    <w:rsid w:val="00B343C6"/>
    <w:rsid w:val="00B3453E"/>
    <w:rsid w:val="00B34624"/>
    <w:rsid w:val="00B34F45"/>
    <w:rsid w:val="00B34FE2"/>
    <w:rsid w:val="00B35166"/>
    <w:rsid w:val="00B355B8"/>
    <w:rsid w:val="00B357D8"/>
    <w:rsid w:val="00B360F4"/>
    <w:rsid w:val="00B361E9"/>
    <w:rsid w:val="00B3686B"/>
    <w:rsid w:val="00B36969"/>
    <w:rsid w:val="00B36A00"/>
    <w:rsid w:val="00B3792B"/>
    <w:rsid w:val="00B379EC"/>
    <w:rsid w:val="00B37BFC"/>
    <w:rsid w:val="00B40284"/>
    <w:rsid w:val="00B40358"/>
    <w:rsid w:val="00B40BA5"/>
    <w:rsid w:val="00B411FE"/>
    <w:rsid w:val="00B41614"/>
    <w:rsid w:val="00B41AE8"/>
    <w:rsid w:val="00B42328"/>
    <w:rsid w:val="00B42851"/>
    <w:rsid w:val="00B42B04"/>
    <w:rsid w:val="00B42B15"/>
    <w:rsid w:val="00B42F80"/>
    <w:rsid w:val="00B4305F"/>
    <w:rsid w:val="00B435CB"/>
    <w:rsid w:val="00B43C04"/>
    <w:rsid w:val="00B43C81"/>
    <w:rsid w:val="00B44F09"/>
    <w:rsid w:val="00B4585B"/>
    <w:rsid w:val="00B45BBD"/>
    <w:rsid w:val="00B461F3"/>
    <w:rsid w:val="00B465EC"/>
    <w:rsid w:val="00B466A6"/>
    <w:rsid w:val="00B47C6A"/>
    <w:rsid w:val="00B504E3"/>
    <w:rsid w:val="00B50507"/>
    <w:rsid w:val="00B505C8"/>
    <w:rsid w:val="00B50804"/>
    <w:rsid w:val="00B50DB8"/>
    <w:rsid w:val="00B51476"/>
    <w:rsid w:val="00B51792"/>
    <w:rsid w:val="00B51921"/>
    <w:rsid w:val="00B51DCE"/>
    <w:rsid w:val="00B52181"/>
    <w:rsid w:val="00B5220E"/>
    <w:rsid w:val="00B5236E"/>
    <w:rsid w:val="00B53382"/>
    <w:rsid w:val="00B53654"/>
    <w:rsid w:val="00B536A1"/>
    <w:rsid w:val="00B537AF"/>
    <w:rsid w:val="00B53905"/>
    <w:rsid w:val="00B546DB"/>
    <w:rsid w:val="00B547D6"/>
    <w:rsid w:val="00B54A26"/>
    <w:rsid w:val="00B54B5B"/>
    <w:rsid w:val="00B54F03"/>
    <w:rsid w:val="00B553C6"/>
    <w:rsid w:val="00B554FC"/>
    <w:rsid w:val="00B5558A"/>
    <w:rsid w:val="00B5562E"/>
    <w:rsid w:val="00B557E2"/>
    <w:rsid w:val="00B55810"/>
    <w:rsid w:val="00B55862"/>
    <w:rsid w:val="00B559EE"/>
    <w:rsid w:val="00B55D65"/>
    <w:rsid w:val="00B55FD5"/>
    <w:rsid w:val="00B5618F"/>
    <w:rsid w:val="00B56305"/>
    <w:rsid w:val="00B57000"/>
    <w:rsid w:val="00B571DB"/>
    <w:rsid w:val="00B5741A"/>
    <w:rsid w:val="00B57790"/>
    <w:rsid w:val="00B57E15"/>
    <w:rsid w:val="00B57EB7"/>
    <w:rsid w:val="00B57FDD"/>
    <w:rsid w:val="00B604A2"/>
    <w:rsid w:val="00B605DC"/>
    <w:rsid w:val="00B60755"/>
    <w:rsid w:val="00B60939"/>
    <w:rsid w:val="00B60AFD"/>
    <w:rsid w:val="00B61200"/>
    <w:rsid w:val="00B6192D"/>
    <w:rsid w:val="00B61B70"/>
    <w:rsid w:val="00B62337"/>
    <w:rsid w:val="00B62715"/>
    <w:rsid w:val="00B62F7E"/>
    <w:rsid w:val="00B63012"/>
    <w:rsid w:val="00B6312C"/>
    <w:rsid w:val="00B64384"/>
    <w:rsid w:val="00B64393"/>
    <w:rsid w:val="00B64C44"/>
    <w:rsid w:val="00B64D68"/>
    <w:rsid w:val="00B64F25"/>
    <w:rsid w:val="00B651B6"/>
    <w:rsid w:val="00B654A5"/>
    <w:rsid w:val="00B65611"/>
    <w:rsid w:val="00B65A29"/>
    <w:rsid w:val="00B65D0F"/>
    <w:rsid w:val="00B66CBB"/>
    <w:rsid w:val="00B66DC4"/>
    <w:rsid w:val="00B67199"/>
    <w:rsid w:val="00B67502"/>
    <w:rsid w:val="00B67635"/>
    <w:rsid w:val="00B67B30"/>
    <w:rsid w:val="00B67D03"/>
    <w:rsid w:val="00B70129"/>
    <w:rsid w:val="00B70278"/>
    <w:rsid w:val="00B70E39"/>
    <w:rsid w:val="00B70E8E"/>
    <w:rsid w:val="00B71A34"/>
    <w:rsid w:val="00B71A65"/>
    <w:rsid w:val="00B72B11"/>
    <w:rsid w:val="00B72B8A"/>
    <w:rsid w:val="00B7330C"/>
    <w:rsid w:val="00B742BD"/>
    <w:rsid w:val="00B747B7"/>
    <w:rsid w:val="00B74813"/>
    <w:rsid w:val="00B753C7"/>
    <w:rsid w:val="00B75481"/>
    <w:rsid w:val="00B756AB"/>
    <w:rsid w:val="00B75A0A"/>
    <w:rsid w:val="00B75B40"/>
    <w:rsid w:val="00B75C91"/>
    <w:rsid w:val="00B75CC4"/>
    <w:rsid w:val="00B75DFB"/>
    <w:rsid w:val="00B75EDF"/>
    <w:rsid w:val="00B75FFA"/>
    <w:rsid w:val="00B7657B"/>
    <w:rsid w:val="00B76777"/>
    <w:rsid w:val="00B768D8"/>
    <w:rsid w:val="00B76C92"/>
    <w:rsid w:val="00B77416"/>
    <w:rsid w:val="00B77608"/>
    <w:rsid w:val="00B77841"/>
    <w:rsid w:val="00B7796C"/>
    <w:rsid w:val="00B80A68"/>
    <w:rsid w:val="00B80EFD"/>
    <w:rsid w:val="00B812FB"/>
    <w:rsid w:val="00B81605"/>
    <w:rsid w:val="00B818A4"/>
    <w:rsid w:val="00B81A6E"/>
    <w:rsid w:val="00B82290"/>
    <w:rsid w:val="00B82309"/>
    <w:rsid w:val="00B82CAE"/>
    <w:rsid w:val="00B8305E"/>
    <w:rsid w:val="00B83739"/>
    <w:rsid w:val="00B83976"/>
    <w:rsid w:val="00B83C12"/>
    <w:rsid w:val="00B83ECC"/>
    <w:rsid w:val="00B84117"/>
    <w:rsid w:val="00B8449E"/>
    <w:rsid w:val="00B850F6"/>
    <w:rsid w:val="00B85178"/>
    <w:rsid w:val="00B8569E"/>
    <w:rsid w:val="00B858F0"/>
    <w:rsid w:val="00B85A81"/>
    <w:rsid w:val="00B85AA2"/>
    <w:rsid w:val="00B85CB1"/>
    <w:rsid w:val="00B86433"/>
    <w:rsid w:val="00B8649C"/>
    <w:rsid w:val="00B8695D"/>
    <w:rsid w:val="00B86B82"/>
    <w:rsid w:val="00B86DCC"/>
    <w:rsid w:val="00B86E54"/>
    <w:rsid w:val="00B87146"/>
    <w:rsid w:val="00B87483"/>
    <w:rsid w:val="00B87F0A"/>
    <w:rsid w:val="00B90CF7"/>
    <w:rsid w:val="00B90DA9"/>
    <w:rsid w:val="00B9132F"/>
    <w:rsid w:val="00B91B2A"/>
    <w:rsid w:val="00B91B99"/>
    <w:rsid w:val="00B9248C"/>
    <w:rsid w:val="00B92D0B"/>
    <w:rsid w:val="00B94414"/>
    <w:rsid w:val="00B9457B"/>
    <w:rsid w:val="00B94802"/>
    <w:rsid w:val="00B94826"/>
    <w:rsid w:val="00B9486C"/>
    <w:rsid w:val="00B94945"/>
    <w:rsid w:val="00B94DD6"/>
    <w:rsid w:val="00B95044"/>
    <w:rsid w:val="00B958C3"/>
    <w:rsid w:val="00B9636C"/>
    <w:rsid w:val="00B96445"/>
    <w:rsid w:val="00B96A1A"/>
    <w:rsid w:val="00B96C77"/>
    <w:rsid w:val="00B972BC"/>
    <w:rsid w:val="00B97DE5"/>
    <w:rsid w:val="00BA07C5"/>
    <w:rsid w:val="00BA0DE8"/>
    <w:rsid w:val="00BA186B"/>
    <w:rsid w:val="00BA1F99"/>
    <w:rsid w:val="00BA2B0F"/>
    <w:rsid w:val="00BA2CCE"/>
    <w:rsid w:val="00BA2CF1"/>
    <w:rsid w:val="00BA2E26"/>
    <w:rsid w:val="00BA322D"/>
    <w:rsid w:val="00BA341E"/>
    <w:rsid w:val="00BA3A96"/>
    <w:rsid w:val="00BA3C66"/>
    <w:rsid w:val="00BA3EB6"/>
    <w:rsid w:val="00BA44B0"/>
    <w:rsid w:val="00BA4779"/>
    <w:rsid w:val="00BA4DBF"/>
    <w:rsid w:val="00BA54B3"/>
    <w:rsid w:val="00BA5D3C"/>
    <w:rsid w:val="00BA5FD7"/>
    <w:rsid w:val="00BA63FA"/>
    <w:rsid w:val="00BA64FF"/>
    <w:rsid w:val="00BA72FF"/>
    <w:rsid w:val="00BA7FB9"/>
    <w:rsid w:val="00BB00B3"/>
    <w:rsid w:val="00BB0BDD"/>
    <w:rsid w:val="00BB0CA5"/>
    <w:rsid w:val="00BB1570"/>
    <w:rsid w:val="00BB176C"/>
    <w:rsid w:val="00BB1C05"/>
    <w:rsid w:val="00BB1F72"/>
    <w:rsid w:val="00BB2089"/>
    <w:rsid w:val="00BB20DF"/>
    <w:rsid w:val="00BB2824"/>
    <w:rsid w:val="00BB2A73"/>
    <w:rsid w:val="00BB2BFB"/>
    <w:rsid w:val="00BB2D0A"/>
    <w:rsid w:val="00BB2E3D"/>
    <w:rsid w:val="00BB3310"/>
    <w:rsid w:val="00BB36A0"/>
    <w:rsid w:val="00BB37DB"/>
    <w:rsid w:val="00BB3A45"/>
    <w:rsid w:val="00BB3F9A"/>
    <w:rsid w:val="00BB4513"/>
    <w:rsid w:val="00BB4556"/>
    <w:rsid w:val="00BB4607"/>
    <w:rsid w:val="00BB49F3"/>
    <w:rsid w:val="00BB4ACC"/>
    <w:rsid w:val="00BB4AEC"/>
    <w:rsid w:val="00BB4CAC"/>
    <w:rsid w:val="00BB5637"/>
    <w:rsid w:val="00BB59BF"/>
    <w:rsid w:val="00BB6652"/>
    <w:rsid w:val="00BB6764"/>
    <w:rsid w:val="00BB703B"/>
    <w:rsid w:val="00BB703E"/>
    <w:rsid w:val="00BB732D"/>
    <w:rsid w:val="00BB7405"/>
    <w:rsid w:val="00BB7862"/>
    <w:rsid w:val="00BB7AF6"/>
    <w:rsid w:val="00BB7F82"/>
    <w:rsid w:val="00BC00BE"/>
    <w:rsid w:val="00BC08E8"/>
    <w:rsid w:val="00BC10CC"/>
    <w:rsid w:val="00BC14A3"/>
    <w:rsid w:val="00BC1D67"/>
    <w:rsid w:val="00BC2383"/>
    <w:rsid w:val="00BC2A14"/>
    <w:rsid w:val="00BC329E"/>
    <w:rsid w:val="00BC3631"/>
    <w:rsid w:val="00BC37A2"/>
    <w:rsid w:val="00BC3DA8"/>
    <w:rsid w:val="00BC41F0"/>
    <w:rsid w:val="00BC4D26"/>
    <w:rsid w:val="00BC4F3E"/>
    <w:rsid w:val="00BC4FB7"/>
    <w:rsid w:val="00BC591F"/>
    <w:rsid w:val="00BC5EC3"/>
    <w:rsid w:val="00BC6300"/>
    <w:rsid w:val="00BC6E44"/>
    <w:rsid w:val="00BC70D7"/>
    <w:rsid w:val="00BC7411"/>
    <w:rsid w:val="00BC7BAB"/>
    <w:rsid w:val="00BC7D6D"/>
    <w:rsid w:val="00BD050D"/>
    <w:rsid w:val="00BD0717"/>
    <w:rsid w:val="00BD12CC"/>
    <w:rsid w:val="00BD1986"/>
    <w:rsid w:val="00BD1CC4"/>
    <w:rsid w:val="00BD1DB3"/>
    <w:rsid w:val="00BD2108"/>
    <w:rsid w:val="00BD2343"/>
    <w:rsid w:val="00BD242B"/>
    <w:rsid w:val="00BD2760"/>
    <w:rsid w:val="00BD299B"/>
    <w:rsid w:val="00BD3287"/>
    <w:rsid w:val="00BD3BE0"/>
    <w:rsid w:val="00BD42B8"/>
    <w:rsid w:val="00BD47C4"/>
    <w:rsid w:val="00BD47DA"/>
    <w:rsid w:val="00BD5B5E"/>
    <w:rsid w:val="00BD619D"/>
    <w:rsid w:val="00BD658D"/>
    <w:rsid w:val="00BD65EB"/>
    <w:rsid w:val="00BD68A3"/>
    <w:rsid w:val="00BD6938"/>
    <w:rsid w:val="00BD69AF"/>
    <w:rsid w:val="00BD6CF3"/>
    <w:rsid w:val="00BD6DC6"/>
    <w:rsid w:val="00BD6E77"/>
    <w:rsid w:val="00BD6F99"/>
    <w:rsid w:val="00BD7107"/>
    <w:rsid w:val="00BD73A3"/>
    <w:rsid w:val="00BD7F72"/>
    <w:rsid w:val="00BE00D8"/>
    <w:rsid w:val="00BE0552"/>
    <w:rsid w:val="00BE055D"/>
    <w:rsid w:val="00BE075E"/>
    <w:rsid w:val="00BE0B19"/>
    <w:rsid w:val="00BE0ECA"/>
    <w:rsid w:val="00BE1471"/>
    <w:rsid w:val="00BE15CC"/>
    <w:rsid w:val="00BE1D17"/>
    <w:rsid w:val="00BE1DA0"/>
    <w:rsid w:val="00BE2180"/>
    <w:rsid w:val="00BE2188"/>
    <w:rsid w:val="00BE21F2"/>
    <w:rsid w:val="00BE2F7E"/>
    <w:rsid w:val="00BE3954"/>
    <w:rsid w:val="00BE4275"/>
    <w:rsid w:val="00BE4348"/>
    <w:rsid w:val="00BE4956"/>
    <w:rsid w:val="00BE4A4A"/>
    <w:rsid w:val="00BE50D2"/>
    <w:rsid w:val="00BE524B"/>
    <w:rsid w:val="00BE5562"/>
    <w:rsid w:val="00BE55A7"/>
    <w:rsid w:val="00BE5711"/>
    <w:rsid w:val="00BE65AD"/>
    <w:rsid w:val="00BE6ED2"/>
    <w:rsid w:val="00BE7365"/>
    <w:rsid w:val="00BE762E"/>
    <w:rsid w:val="00BE7ED7"/>
    <w:rsid w:val="00BE7F3E"/>
    <w:rsid w:val="00BF06AE"/>
    <w:rsid w:val="00BF0F95"/>
    <w:rsid w:val="00BF1723"/>
    <w:rsid w:val="00BF2433"/>
    <w:rsid w:val="00BF2927"/>
    <w:rsid w:val="00BF2E6E"/>
    <w:rsid w:val="00BF408F"/>
    <w:rsid w:val="00BF46AF"/>
    <w:rsid w:val="00BF4FC9"/>
    <w:rsid w:val="00BF505C"/>
    <w:rsid w:val="00BF51B5"/>
    <w:rsid w:val="00BF61C9"/>
    <w:rsid w:val="00BF63CA"/>
    <w:rsid w:val="00BF6696"/>
    <w:rsid w:val="00BF6A56"/>
    <w:rsid w:val="00BF6C94"/>
    <w:rsid w:val="00BF7AA3"/>
    <w:rsid w:val="00BF7FA0"/>
    <w:rsid w:val="00C00370"/>
    <w:rsid w:val="00C00424"/>
    <w:rsid w:val="00C00665"/>
    <w:rsid w:val="00C009C5"/>
    <w:rsid w:val="00C00BB0"/>
    <w:rsid w:val="00C020C7"/>
    <w:rsid w:val="00C0281F"/>
    <w:rsid w:val="00C02A06"/>
    <w:rsid w:val="00C02DA6"/>
    <w:rsid w:val="00C03570"/>
    <w:rsid w:val="00C0362F"/>
    <w:rsid w:val="00C03FA6"/>
    <w:rsid w:val="00C04197"/>
    <w:rsid w:val="00C043A3"/>
    <w:rsid w:val="00C047FF"/>
    <w:rsid w:val="00C0517B"/>
    <w:rsid w:val="00C056FE"/>
    <w:rsid w:val="00C05AAF"/>
    <w:rsid w:val="00C05FA4"/>
    <w:rsid w:val="00C06332"/>
    <w:rsid w:val="00C06657"/>
    <w:rsid w:val="00C0696A"/>
    <w:rsid w:val="00C06D47"/>
    <w:rsid w:val="00C070F9"/>
    <w:rsid w:val="00C07456"/>
    <w:rsid w:val="00C075FF"/>
    <w:rsid w:val="00C07BBF"/>
    <w:rsid w:val="00C104A4"/>
    <w:rsid w:val="00C104D6"/>
    <w:rsid w:val="00C105B4"/>
    <w:rsid w:val="00C10C6F"/>
    <w:rsid w:val="00C11057"/>
    <w:rsid w:val="00C11454"/>
    <w:rsid w:val="00C1179F"/>
    <w:rsid w:val="00C12391"/>
    <w:rsid w:val="00C127B9"/>
    <w:rsid w:val="00C128FA"/>
    <w:rsid w:val="00C12C14"/>
    <w:rsid w:val="00C12C1A"/>
    <w:rsid w:val="00C12ECD"/>
    <w:rsid w:val="00C13384"/>
    <w:rsid w:val="00C13BE9"/>
    <w:rsid w:val="00C13FF3"/>
    <w:rsid w:val="00C14A5D"/>
    <w:rsid w:val="00C14C6C"/>
    <w:rsid w:val="00C158E0"/>
    <w:rsid w:val="00C15F04"/>
    <w:rsid w:val="00C15F74"/>
    <w:rsid w:val="00C1618B"/>
    <w:rsid w:val="00C162A9"/>
    <w:rsid w:val="00C167E1"/>
    <w:rsid w:val="00C16CAB"/>
    <w:rsid w:val="00C1741D"/>
    <w:rsid w:val="00C177E1"/>
    <w:rsid w:val="00C179B3"/>
    <w:rsid w:val="00C17A52"/>
    <w:rsid w:val="00C17D36"/>
    <w:rsid w:val="00C17E3F"/>
    <w:rsid w:val="00C17E96"/>
    <w:rsid w:val="00C17F85"/>
    <w:rsid w:val="00C200AA"/>
    <w:rsid w:val="00C2102C"/>
    <w:rsid w:val="00C21102"/>
    <w:rsid w:val="00C21918"/>
    <w:rsid w:val="00C21F12"/>
    <w:rsid w:val="00C21F30"/>
    <w:rsid w:val="00C22147"/>
    <w:rsid w:val="00C2248A"/>
    <w:rsid w:val="00C2280B"/>
    <w:rsid w:val="00C22ACD"/>
    <w:rsid w:val="00C22DDA"/>
    <w:rsid w:val="00C22E51"/>
    <w:rsid w:val="00C23155"/>
    <w:rsid w:val="00C2331F"/>
    <w:rsid w:val="00C237A6"/>
    <w:rsid w:val="00C237ED"/>
    <w:rsid w:val="00C23892"/>
    <w:rsid w:val="00C238FC"/>
    <w:rsid w:val="00C23E2E"/>
    <w:rsid w:val="00C23E7B"/>
    <w:rsid w:val="00C23EBF"/>
    <w:rsid w:val="00C24049"/>
    <w:rsid w:val="00C24103"/>
    <w:rsid w:val="00C24632"/>
    <w:rsid w:val="00C246E5"/>
    <w:rsid w:val="00C24A50"/>
    <w:rsid w:val="00C24CF3"/>
    <w:rsid w:val="00C251C2"/>
    <w:rsid w:val="00C25396"/>
    <w:rsid w:val="00C25418"/>
    <w:rsid w:val="00C2568E"/>
    <w:rsid w:val="00C25A4A"/>
    <w:rsid w:val="00C25D9C"/>
    <w:rsid w:val="00C25E1E"/>
    <w:rsid w:val="00C25EC1"/>
    <w:rsid w:val="00C26410"/>
    <w:rsid w:val="00C267E4"/>
    <w:rsid w:val="00C2689C"/>
    <w:rsid w:val="00C26989"/>
    <w:rsid w:val="00C26E5D"/>
    <w:rsid w:val="00C275CC"/>
    <w:rsid w:val="00C2778B"/>
    <w:rsid w:val="00C277A5"/>
    <w:rsid w:val="00C278F2"/>
    <w:rsid w:val="00C315C5"/>
    <w:rsid w:val="00C31649"/>
    <w:rsid w:val="00C31797"/>
    <w:rsid w:val="00C31DF8"/>
    <w:rsid w:val="00C32351"/>
    <w:rsid w:val="00C323EC"/>
    <w:rsid w:val="00C329D0"/>
    <w:rsid w:val="00C3307F"/>
    <w:rsid w:val="00C33A45"/>
    <w:rsid w:val="00C33A5B"/>
    <w:rsid w:val="00C33A9D"/>
    <w:rsid w:val="00C33AFB"/>
    <w:rsid w:val="00C33B12"/>
    <w:rsid w:val="00C33C27"/>
    <w:rsid w:val="00C33F1C"/>
    <w:rsid w:val="00C33FD8"/>
    <w:rsid w:val="00C3402D"/>
    <w:rsid w:val="00C3434C"/>
    <w:rsid w:val="00C34738"/>
    <w:rsid w:val="00C36113"/>
    <w:rsid w:val="00C363B3"/>
    <w:rsid w:val="00C364B5"/>
    <w:rsid w:val="00C36B7C"/>
    <w:rsid w:val="00C36C3B"/>
    <w:rsid w:val="00C3702B"/>
    <w:rsid w:val="00C372C3"/>
    <w:rsid w:val="00C37DE8"/>
    <w:rsid w:val="00C37F32"/>
    <w:rsid w:val="00C40069"/>
    <w:rsid w:val="00C40385"/>
    <w:rsid w:val="00C407C5"/>
    <w:rsid w:val="00C41386"/>
    <w:rsid w:val="00C41661"/>
    <w:rsid w:val="00C41768"/>
    <w:rsid w:val="00C4226E"/>
    <w:rsid w:val="00C42C7C"/>
    <w:rsid w:val="00C431C9"/>
    <w:rsid w:val="00C438F1"/>
    <w:rsid w:val="00C4397C"/>
    <w:rsid w:val="00C44092"/>
    <w:rsid w:val="00C44B2C"/>
    <w:rsid w:val="00C44C36"/>
    <w:rsid w:val="00C44D8E"/>
    <w:rsid w:val="00C45077"/>
    <w:rsid w:val="00C4518D"/>
    <w:rsid w:val="00C45312"/>
    <w:rsid w:val="00C45792"/>
    <w:rsid w:val="00C461D3"/>
    <w:rsid w:val="00C463BD"/>
    <w:rsid w:val="00C46796"/>
    <w:rsid w:val="00C46D11"/>
    <w:rsid w:val="00C475AA"/>
    <w:rsid w:val="00C47D7E"/>
    <w:rsid w:val="00C47E04"/>
    <w:rsid w:val="00C50170"/>
    <w:rsid w:val="00C503A6"/>
    <w:rsid w:val="00C50C96"/>
    <w:rsid w:val="00C51376"/>
    <w:rsid w:val="00C513A3"/>
    <w:rsid w:val="00C51DFE"/>
    <w:rsid w:val="00C522D5"/>
    <w:rsid w:val="00C522ED"/>
    <w:rsid w:val="00C525F4"/>
    <w:rsid w:val="00C527C7"/>
    <w:rsid w:val="00C52A85"/>
    <w:rsid w:val="00C52E8B"/>
    <w:rsid w:val="00C532B4"/>
    <w:rsid w:val="00C53958"/>
    <w:rsid w:val="00C53C98"/>
    <w:rsid w:val="00C5406C"/>
    <w:rsid w:val="00C54A2F"/>
    <w:rsid w:val="00C54B41"/>
    <w:rsid w:val="00C54E07"/>
    <w:rsid w:val="00C5503C"/>
    <w:rsid w:val="00C55899"/>
    <w:rsid w:val="00C569C9"/>
    <w:rsid w:val="00C56FCF"/>
    <w:rsid w:val="00C570D1"/>
    <w:rsid w:val="00C572F6"/>
    <w:rsid w:val="00C5753B"/>
    <w:rsid w:val="00C5759A"/>
    <w:rsid w:val="00C57944"/>
    <w:rsid w:val="00C57B6C"/>
    <w:rsid w:val="00C603E1"/>
    <w:rsid w:val="00C60481"/>
    <w:rsid w:val="00C616DA"/>
    <w:rsid w:val="00C61A59"/>
    <w:rsid w:val="00C61F31"/>
    <w:rsid w:val="00C62563"/>
    <w:rsid w:val="00C628A6"/>
    <w:rsid w:val="00C63501"/>
    <w:rsid w:val="00C64344"/>
    <w:rsid w:val="00C64371"/>
    <w:rsid w:val="00C645B9"/>
    <w:rsid w:val="00C648E6"/>
    <w:rsid w:val="00C64C92"/>
    <w:rsid w:val="00C64FD0"/>
    <w:rsid w:val="00C65108"/>
    <w:rsid w:val="00C65576"/>
    <w:rsid w:val="00C65696"/>
    <w:rsid w:val="00C65704"/>
    <w:rsid w:val="00C6574C"/>
    <w:rsid w:val="00C65B19"/>
    <w:rsid w:val="00C65C23"/>
    <w:rsid w:val="00C660C3"/>
    <w:rsid w:val="00C66165"/>
    <w:rsid w:val="00C6641C"/>
    <w:rsid w:val="00C67033"/>
    <w:rsid w:val="00C67152"/>
    <w:rsid w:val="00C673F1"/>
    <w:rsid w:val="00C678E4"/>
    <w:rsid w:val="00C67A66"/>
    <w:rsid w:val="00C67BC7"/>
    <w:rsid w:val="00C7060A"/>
    <w:rsid w:val="00C706B6"/>
    <w:rsid w:val="00C70B53"/>
    <w:rsid w:val="00C710BB"/>
    <w:rsid w:val="00C7151A"/>
    <w:rsid w:val="00C717E3"/>
    <w:rsid w:val="00C71BFD"/>
    <w:rsid w:val="00C71CFC"/>
    <w:rsid w:val="00C71F60"/>
    <w:rsid w:val="00C72241"/>
    <w:rsid w:val="00C72B20"/>
    <w:rsid w:val="00C72D61"/>
    <w:rsid w:val="00C72ED3"/>
    <w:rsid w:val="00C7351B"/>
    <w:rsid w:val="00C735E3"/>
    <w:rsid w:val="00C73875"/>
    <w:rsid w:val="00C73A61"/>
    <w:rsid w:val="00C73EB9"/>
    <w:rsid w:val="00C73FFF"/>
    <w:rsid w:val="00C746D9"/>
    <w:rsid w:val="00C74728"/>
    <w:rsid w:val="00C74827"/>
    <w:rsid w:val="00C74CB2"/>
    <w:rsid w:val="00C750C8"/>
    <w:rsid w:val="00C7560F"/>
    <w:rsid w:val="00C76155"/>
    <w:rsid w:val="00C7615D"/>
    <w:rsid w:val="00C76ADD"/>
    <w:rsid w:val="00C76B5E"/>
    <w:rsid w:val="00C770FA"/>
    <w:rsid w:val="00C7727B"/>
    <w:rsid w:val="00C7749E"/>
    <w:rsid w:val="00C779A6"/>
    <w:rsid w:val="00C77B07"/>
    <w:rsid w:val="00C77E06"/>
    <w:rsid w:val="00C80A0E"/>
    <w:rsid w:val="00C80B6D"/>
    <w:rsid w:val="00C81123"/>
    <w:rsid w:val="00C811CA"/>
    <w:rsid w:val="00C8213F"/>
    <w:rsid w:val="00C8249A"/>
    <w:rsid w:val="00C8249B"/>
    <w:rsid w:val="00C82584"/>
    <w:rsid w:val="00C825B6"/>
    <w:rsid w:val="00C828E5"/>
    <w:rsid w:val="00C82FAA"/>
    <w:rsid w:val="00C8303F"/>
    <w:rsid w:val="00C841C6"/>
    <w:rsid w:val="00C85154"/>
    <w:rsid w:val="00C85969"/>
    <w:rsid w:val="00C85A70"/>
    <w:rsid w:val="00C85B40"/>
    <w:rsid w:val="00C85C60"/>
    <w:rsid w:val="00C861FB"/>
    <w:rsid w:val="00C86F6A"/>
    <w:rsid w:val="00C87010"/>
    <w:rsid w:val="00C876B8"/>
    <w:rsid w:val="00C877A3"/>
    <w:rsid w:val="00C8783F"/>
    <w:rsid w:val="00C8797A"/>
    <w:rsid w:val="00C87CEF"/>
    <w:rsid w:val="00C87F02"/>
    <w:rsid w:val="00C87F0B"/>
    <w:rsid w:val="00C87F1A"/>
    <w:rsid w:val="00C900B8"/>
    <w:rsid w:val="00C900FF"/>
    <w:rsid w:val="00C90197"/>
    <w:rsid w:val="00C907C3"/>
    <w:rsid w:val="00C90C71"/>
    <w:rsid w:val="00C90ECF"/>
    <w:rsid w:val="00C916AD"/>
    <w:rsid w:val="00C918DF"/>
    <w:rsid w:val="00C91B8F"/>
    <w:rsid w:val="00C91BFA"/>
    <w:rsid w:val="00C91FBC"/>
    <w:rsid w:val="00C91FD1"/>
    <w:rsid w:val="00C9278D"/>
    <w:rsid w:val="00C931CF"/>
    <w:rsid w:val="00C93340"/>
    <w:rsid w:val="00C933EB"/>
    <w:rsid w:val="00C93506"/>
    <w:rsid w:val="00C936CE"/>
    <w:rsid w:val="00C938CF"/>
    <w:rsid w:val="00C94053"/>
    <w:rsid w:val="00C9492C"/>
    <w:rsid w:val="00C94F88"/>
    <w:rsid w:val="00C951DC"/>
    <w:rsid w:val="00C95390"/>
    <w:rsid w:val="00C95BEC"/>
    <w:rsid w:val="00C95E52"/>
    <w:rsid w:val="00C9624D"/>
    <w:rsid w:val="00C969DA"/>
    <w:rsid w:val="00C96D66"/>
    <w:rsid w:val="00C9712B"/>
    <w:rsid w:val="00C971CD"/>
    <w:rsid w:val="00C97BF9"/>
    <w:rsid w:val="00CA031F"/>
    <w:rsid w:val="00CA049E"/>
    <w:rsid w:val="00CA1422"/>
    <w:rsid w:val="00CA15B6"/>
    <w:rsid w:val="00CA18C2"/>
    <w:rsid w:val="00CA1948"/>
    <w:rsid w:val="00CA19BE"/>
    <w:rsid w:val="00CA225D"/>
    <w:rsid w:val="00CA2C77"/>
    <w:rsid w:val="00CA30FE"/>
    <w:rsid w:val="00CA312C"/>
    <w:rsid w:val="00CA39C1"/>
    <w:rsid w:val="00CA3B0F"/>
    <w:rsid w:val="00CA3C4F"/>
    <w:rsid w:val="00CA4163"/>
    <w:rsid w:val="00CA444F"/>
    <w:rsid w:val="00CA4584"/>
    <w:rsid w:val="00CA49A3"/>
    <w:rsid w:val="00CA5245"/>
    <w:rsid w:val="00CA554E"/>
    <w:rsid w:val="00CA57FF"/>
    <w:rsid w:val="00CA5F1A"/>
    <w:rsid w:val="00CA61ED"/>
    <w:rsid w:val="00CA66BB"/>
    <w:rsid w:val="00CA6F0C"/>
    <w:rsid w:val="00CA6F83"/>
    <w:rsid w:val="00CA7152"/>
    <w:rsid w:val="00CA71DA"/>
    <w:rsid w:val="00CA71F4"/>
    <w:rsid w:val="00CA725E"/>
    <w:rsid w:val="00CA777E"/>
    <w:rsid w:val="00CA7B09"/>
    <w:rsid w:val="00CA7D75"/>
    <w:rsid w:val="00CB0850"/>
    <w:rsid w:val="00CB0C72"/>
    <w:rsid w:val="00CB12A5"/>
    <w:rsid w:val="00CB144C"/>
    <w:rsid w:val="00CB19AB"/>
    <w:rsid w:val="00CB1CAC"/>
    <w:rsid w:val="00CB28CB"/>
    <w:rsid w:val="00CB2F2A"/>
    <w:rsid w:val="00CB3094"/>
    <w:rsid w:val="00CB33BC"/>
    <w:rsid w:val="00CB3459"/>
    <w:rsid w:val="00CB35DE"/>
    <w:rsid w:val="00CB39A0"/>
    <w:rsid w:val="00CB3BC5"/>
    <w:rsid w:val="00CB3E7D"/>
    <w:rsid w:val="00CB4596"/>
    <w:rsid w:val="00CB4B9B"/>
    <w:rsid w:val="00CB4CB5"/>
    <w:rsid w:val="00CB5B1A"/>
    <w:rsid w:val="00CB5F0D"/>
    <w:rsid w:val="00CB6B22"/>
    <w:rsid w:val="00CB78F2"/>
    <w:rsid w:val="00CB7994"/>
    <w:rsid w:val="00CB7A18"/>
    <w:rsid w:val="00CB7CF7"/>
    <w:rsid w:val="00CB7F5F"/>
    <w:rsid w:val="00CC04A7"/>
    <w:rsid w:val="00CC08BC"/>
    <w:rsid w:val="00CC0920"/>
    <w:rsid w:val="00CC0D85"/>
    <w:rsid w:val="00CC0F83"/>
    <w:rsid w:val="00CC188C"/>
    <w:rsid w:val="00CC1B39"/>
    <w:rsid w:val="00CC1B3A"/>
    <w:rsid w:val="00CC1BFA"/>
    <w:rsid w:val="00CC21CC"/>
    <w:rsid w:val="00CC2D7A"/>
    <w:rsid w:val="00CC2E9F"/>
    <w:rsid w:val="00CC2ECA"/>
    <w:rsid w:val="00CC35EA"/>
    <w:rsid w:val="00CC3848"/>
    <w:rsid w:val="00CC3A12"/>
    <w:rsid w:val="00CC3AC2"/>
    <w:rsid w:val="00CC3CD7"/>
    <w:rsid w:val="00CC4FEC"/>
    <w:rsid w:val="00CC52F6"/>
    <w:rsid w:val="00CC5397"/>
    <w:rsid w:val="00CC5474"/>
    <w:rsid w:val="00CC5A29"/>
    <w:rsid w:val="00CC5A50"/>
    <w:rsid w:val="00CC6A0D"/>
    <w:rsid w:val="00CC6D5E"/>
    <w:rsid w:val="00CD0200"/>
    <w:rsid w:val="00CD04B4"/>
    <w:rsid w:val="00CD1682"/>
    <w:rsid w:val="00CD1A05"/>
    <w:rsid w:val="00CD27CE"/>
    <w:rsid w:val="00CD3865"/>
    <w:rsid w:val="00CD3945"/>
    <w:rsid w:val="00CD3F77"/>
    <w:rsid w:val="00CD4951"/>
    <w:rsid w:val="00CD4FDA"/>
    <w:rsid w:val="00CD544B"/>
    <w:rsid w:val="00CD5496"/>
    <w:rsid w:val="00CD6569"/>
    <w:rsid w:val="00CD6ADC"/>
    <w:rsid w:val="00CD7193"/>
    <w:rsid w:val="00CD7364"/>
    <w:rsid w:val="00CD74D3"/>
    <w:rsid w:val="00CD7664"/>
    <w:rsid w:val="00CD786E"/>
    <w:rsid w:val="00CD7B7F"/>
    <w:rsid w:val="00CE006C"/>
    <w:rsid w:val="00CE0B4C"/>
    <w:rsid w:val="00CE1019"/>
    <w:rsid w:val="00CE136E"/>
    <w:rsid w:val="00CE167E"/>
    <w:rsid w:val="00CE1DE4"/>
    <w:rsid w:val="00CE1E29"/>
    <w:rsid w:val="00CE268C"/>
    <w:rsid w:val="00CE2B03"/>
    <w:rsid w:val="00CE2C8D"/>
    <w:rsid w:val="00CE2D4B"/>
    <w:rsid w:val="00CE369D"/>
    <w:rsid w:val="00CE38C8"/>
    <w:rsid w:val="00CE3934"/>
    <w:rsid w:val="00CE3BB1"/>
    <w:rsid w:val="00CE3CCE"/>
    <w:rsid w:val="00CE4431"/>
    <w:rsid w:val="00CE46AD"/>
    <w:rsid w:val="00CE4C76"/>
    <w:rsid w:val="00CE5249"/>
    <w:rsid w:val="00CE524F"/>
    <w:rsid w:val="00CE5531"/>
    <w:rsid w:val="00CE5585"/>
    <w:rsid w:val="00CE58CC"/>
    <w:rsid w:val="00CE5DED"/>
    <w:rsid w:val="00CE60FE"/>
    <w:rsid w:val="00CE6274"/>
    <w:rsid w:val="00CE66AC"/>
    <w:rsid w:val="00CE66C3"/>
    <w:rsid w:val="00CE67F2"/>
    <w:rsid w:val="00CE6B22"/>
    <w:rsid w:val="00CE6DCA"/>
    <w:rsid w:val="00CE70B0"/>
    <w:rsid w:val="00CE70BD"/>
    <w:rsid w:val="00CE72A3"/>
    <w:rsid w:val="00CE77B6"/>
    <w:rsid w:val="00CE7BD9"/>
    <w:rsid w:val="00CF0380"/>
    <w:rsid w:val="00CF0EE6"/>
    <w:rsid w:val="00CF0FEB"/>
    <w:rsid w:val="00CF11F5"/>
    <w:rsid w:val="00CF1C61"/>
    <w:rsid w:val="00CF1C8A"/>
    <w:rsid w:val="00CF1E40"/>
    <w:rsid w:val="00CF21EA"/>
    <w:rsid w:val="00CF260B"/>
    <w:rsid w:val="00CF2B8D"/>
    <w:rsid w:val="00CF2C59"/>
    <w:rsid w:val="00CF333F"/>
    <w:rsid w:val="00CF3773"/>
    <w:rsid w:val="00CF39AB"/>
    <w:rsid w:val="00CF3A1B"/>
    <w:rsid w:val="00CF3B05"/>
    <w:rsid w:val="00CF4147"/>
    <w:rsid w:val="00CF443C"/>
    <w:rsid w:val="00CF456B"/>
    <w:rsid w:val="00CF5528"/>
    <w:rsid w:val="00CF5A22"/>
    <w:rsid w:val="00CF5B43"/>
    <w:rsid w:val="00CF5DE5"/>
    <w:rsid w:val="00CF5FBA"/>
    <w:rsid w:val="00CF6493"/>
    <w:rsid w:val="00CF64F6"/>
    <w:rsid w:val="00CF6B48"/>
    <w:rsid w:val="00CF6BCC"/>
    <w:rsid w:val="00CF6BF9"/>
    <w:rsid w:val="00CF6C09"/>
    <w:rsid w:val="00CF6C85"/>
    <w:rsid w:val="00CF6D00"/>
    <w:rsid w:val="00CF7331"/>
    <w:rsid w:val="00CF74A3"/>
    <w:rsid w:val="00CF74BE"/>
    <w:rsid w:val="00CF77C6"/>
    <w:rsid w:val="00D00197"/>
    <w:rsid w:val="00D00BD2"/>
    <w:rsid w:val="00D0107E"/>
    <w:rsid w:val="00D01A7C"/>
    <w:rsid w:val="00D0262E"/>
    <w:rsid w:val="00D02661"/>
    <w:rsid w:val="00D03029"/>
    <w:rsid w:val="00D03679"/>
    <w:rsid w:val="00D03A84"/>
    <w:rsid w:val="00D03E9C"/>
    <w:rsid w:val="00D040F1"/>
    <w:rsid w:val="00D04242"/>
    <w:rsid w:val="00D04333"/>
    <w:rsid w:val="00D04566"/>
    <w:rsid w:val="00D04608"/>
    <w:rsid w:val="00D04844"/>
    <w:rsid w:val="00D04DE1"/>
    <w:rsid w:val="00D05E3D"/>
    <w:rsid w:val="00D05FF2"/>
    <w:rsid w:val="00D06139"/>
    <w:rsid w:val="00D07C79"/>
    <w:rsid w:val="00D104BA"/>
    <w:rsid w:val="00D1061B"/>
    <w:rsid w:val="00D10AC1"/>
    <w:rsid w:val="00D10CAB"/>
    <w:rsid w:val="00D110BD"/>
    <w:rsid w:val="00D1133E"/>
    <w:rsid w:val="00D118C5"/>
    <w:rsid w:val="00D11A7C"/>
    <w:rsid w:val="00D12337"/>
    <w:rsid w:val="00D1263B"/>
    <w:rsid w:val="00D128D6"/>
    <w:rsid w:val="00D12A0A"/>
    <w:rsid w:val="00D12F49"/>
    <w:rsid w:val="00D13675"/>
    <w:rsid w:val="00D136D2"/>
    <w:rsid w:val="00D13C30"/>
    <w:rsid w:val="00D13C90"/>
    <w:rsid w:val="00D13DC7"/>
    <w:rsid w:val="00D14050"/>
    <w:rsid w:val="00D141E1"/>
    <w:rsid w:val="00D15314"/>
    <w:rsid w:val="00D15367"/>
    <w:rsid w:val="00D15B48"/>
    <w:rsid w:val="00D15D50"/>
    <w:rsid w:val="00D16481"/>
    <w:rsid w:val="00D16F1D"/>
    <w:rsid w:val="00D17274"/>
    <w:rsid w:val="00D17417"/>
    <w:rsid w:val="00D17771"/>
    <w:rsid w:val="00D17AB6"/>
    <w:rsid w:val="00D17CE1"/>
    <w:rsid w:val="00D17D6C"/>
    <w:rsid w:val="00D2031E"/>
    <w:rsid w:val="00D206BD"/>
    <w:rsid w:val="00D20ADC"/>
    <w:rsid w:val="00D20D98"/>
    <w:rsid w:val="00D213C2"/>
    <w:rsid w:val="00D2155B"/>
    <w:rsid w:val="00D21B5C"/>
    <w:rsid w:val="00D22252"/>
    <w:rsid w:val="00D22661"/>
    <w:rsid w:val="00D22686"/>
    <w:rsid w:val="00D2282D"/>
    <w:rsid w:val="00D22894"/>
    <w:rsid w:val="00D23B62"/>
    <w:rsid w:val="00D23D11"/>
    <w:rsid w:val="00D244B6"/>
    <w:rsid w:val="00D24B8C"/>
    <w:rsid w:val="00D25373"/>
    <w:rsid w:val="00D26212"/>
    <w:rsid w:val="00D262A8"/>
    <w:rsid w:val="00D26356"/>
    <w:rsid w:val="00D2689A"/>
    <w:rsid w:val="00D26F10"/>
    <w:rsid w:val="00D271DB"/>
    <w:rsid w:val="00D27248"/>
    <w:rsid w:val="00D274C9"/>
    <w:rsid w:val="00D2754D"/>
    <w:rsid w:val="00D2768B"/>
    <w:rsid w:val="00D27B27"/>
    <w:rsid w:val="00D27C11"/>
    <w:rsid w:val="00D27CEE"/>
    <w:rsid w:val="00D301C5"/>
    <w:rsid w:val="00D3062D"/>
    <w:rsid w:val="00D30AEE"/>
    <w:rsid w:val="00D30D5B"/>
    <w:rsid w:val="00D31341"/>
    <w:rsid w:val="00D321E0"/>
    <w:rsid w:val="00D32759"/>
    <w:rsid w:val="00D327FB"/>
    <w:rsid w:val="00D32EF3"/>
    <w:rsid w:val="00D33BE9"/>
    <w:rsid w:val="00D33D25"/>
    <w:rsid w:val="00D33F93"/>
    <w:rsid w:val="00D34238"/>
    <w:rsid w:val="00D34481"/>
    <w:rsid w:val="00D350C6"/>
    <w:rsid w:val="00D35176"/>
    <w:rsid w:val="00D351BD"/>
    <w:rsid w:val="00D357FF"/>
    <w:rsid w:val="00D359B6"/>
    <w:rsid w:val="00D35A94"/>
    <w:rsid w:val="00D35C9F"/>
    <w:rsid w:val="00D3620B"/>
    <w:rsid w:val="00D37B44"/>
    <w:rsid w:val="00D37F53"/>
    <w:rsid w:val="00D401FA"/>
    <w:rsid w:val="00D40409"/>
    <w:rsid w:val="00D40F06"/>
    <w:rsid w:val="00D4113A"/>
    <w:rsid w:val="00D41403"/>
    <w:rsid w:val="00D41A80"/>
    <w:rsid w:val="00D41A9C"/>
    <w:rsid w:val="00D41D8F"/>
    <w:rsid w:val="00D4213E"/>
    <w:rsid w:val="00D424C7"/>
    <w:rsid w:val="00D43B2A"/>
    <w:rsid w:val="00D43CF1"/>
    <w:rsid w:val="00D43D83"/>
    <w:rsid w:val="00D4416D"/>
    <w:rsid w:val="00D447CA"/>
    <w:rsid w:val="00D447DD"/>
    <w:rsid w:val="00D44A0F"/>
    <w:rsid w:val="00D45280"/>
    <w:rsid w:val="00D45CB9"/>
    <w:rsid w:val="00D45D01"/>
    <w:rsid w:val="00D45E7F"/>
    <w:rsid w:val="00D47359"/>
    <w:rsid w:val="00D4748A"/>
    <w:rsid w:val="00D47575"/>
    <w:rsid w:val="00D4769E"/>
    <w:rsid w:val="00D477A6"/>
    <w:rsid w:val="00D47865"/>
    <w:rsid w:val="00D47C5E"/>
    <w:rsid w:val="00D47CC4"/>
    <w:rsid w:val="00D47D7D"/>
    <w:rsid w:val="00D47FAA"/>
    <w:rsid w:val="00D501AA"/>
    <w:rsid w:val="00D5062F"/>
    <w:rsid w:val="00D50DE0"/>
    <w:rsid w:val="00D50F2D"/>
    <w:rsid w:val="00D5149D"/>
    <w:rsid w:val="00D51CC9"/>
    <w:rsid w:val="00D5243B"/>
    <w:rsid w:val="00D525C7"/>
    <w:rsid w:val="00D52670"/>
    <w:rsid w:val="00D52D91"/>
    <w:rsid w:val="00D52EE9"/>
    <w:rsid w:val="00D533EC"/>
    <w:rsid w:val="00D53A0A"/>
    <w:rsid w:val="00D53AB6"/>
    <w:rsid w:val="00D53DAC"/>
    <w:rsid w:val="00D53E73"/>
    <w:rsid w:val="00D54143"/>
    <w:rsid w:val="00D54CB1"/>
    <w:rsid w:val="00D5508A"/>
    <w:rsid w:val="00D55234"/>
    <w:rsid w:val="00D5554F"/>
    <w:rsid w:val="00D55641"/>
    <w:rsid w:val="00D558A0"/>
    <w:rsid w:val="00D5665A"/>
    <w:rsid w:val="00D56870"/>
    <w:rsid w:val="00D56A95"/>
    <w:rsid w:val="00D600DB"/>
    <w:rsid w:val="00D60534"/>
    <w:rsid w:val="00D6071E"/>
    <w:rsid w:val="00D6076E"/>
    <w:rsid w:val="00D60CB3"/>
    <w:rsid w:val="00D618D1"/>
    <w:rsid w:val="00D6283F"/>
    <w:rsid w:val="00D62E7D"/>
    <w:rsid w:val="00D647AB"/>
    <w:rsid w:val="00D649DA"/>
    <w:rsid w:val="00D64CBE"/>
    <w:rsid w:val="00D65803"/>
    <w:rsid w:val="00D65AC6"/>
    <w:rsid w:val="00D65DB6"/>
    <w:rsid w:val="00D668B5"/>
    <w:rsid w:val="00D66DA9"/>
    <w:rsid w:val="00D66FB1"/>
    <w:rsid w:val="00D670B6"/>
    <w:rsid w:val="00D671F2"/>
    <w:rsid w:val="00D67200"/>
    <w:rsid w:val="00D672C1"/>
    <w:rsid w:val="00D67AE7"/>
    <w:rsid w:val="00D67D8D"/>
    <w:rsid w:val="00D70269"/>
    <w:rsid w:val="00D706BC"/>
    <w:rsid w:val="00D70995"/>
    <w:rsid w:val="00D70CB8"/>
    <w:rsid w:val="00D70CCF"/>
    <w:rsid w:val="00D70F16"/>
    <w:rsid w:val="00D71530"/>
    <w:rsid w:val="00D72617"/>
    <w:rsid w:val="00D72F57"/>
    <w:rsid w:val="00D72FDE"/>
    <w:rsid w:val="00D730A4"/>
    <w:rsid w:val="00D732CE"/>
    <w:rsid w:val="00D734D6"/>
    <w:rsid w:val="00D73D32"/>
    <w:rsid w:val="00D7435D"/>
    <w:rsid w:val="00D74D42"/>
    <w:rsid w:val="00D75B3A"/>
    <w:rsid w:val="00D75FFB"/>
    <w:rsid w:val="00D7610B"/>
    <w:rsid w:val="00D76266"/>
    <w:rsid w:val="00D76A44"/>
    <w:rsid w:val="00D76C05"/>
    <w:rsid w:val="00D7727E"/>
    <w:rsid w:val="00D77E47"/>
    <w:rsid w:val="00D80588"/>
    <w:rsid w:val="00D8061D"/>
    <w:rsid w:val="00D808C2"/>
    <w:rsid w:val="00D80E97"/>
    <w:rsid w:val="00D80FB2"/>
    <w:rsid w:val="00D815EF"/>
    <w:rsid w:val="00D81949"/>
    <w:rsid w:val="00D81981"/>
    <w:rsid w:val="00D81A05"/>
    <w:rsid w:val="00D81AFE"/>
    <w:rsid w:val="00D81B69"/>
    <w:rsid w:val="00D81F26"/>
    <w:rsid w:val="00D82053"/>
    <w:rsid w:val="00D822E2"/>
    <w:rsid w:val="00D82475"/>
    <w:rsid w:val="00D8275D"/>
    <w:rsid w:val="00D83DBC"/>
    <w:rsid w:val="00D843F2"/>
    <w:rsid w:val="00D859AF"/>
    <w:rsid w:val="00D85C72"/>
    <w:rsid w:val="00D85D82"/>
    <w:rsid w:val="00D85E57"/>
    <w:rsid w:val="00D86231"/>
    <w:rsid w:val="00D866CC"/>
    <w:rsid w:val="00D86A2C"/>
    <w:rsid w:val="00D86C4A"/>
    <w:rsid w:val="00D86F8A"/>
    <w:rsid w:val="00D875D8"/>
    <w:rsid w:val="00D8791C"/>
    <w:rsid w:val="00D87CF6"/>
    <w:rsid w:val="00D9031A"/>
    <w:rsid w:val="00D9074F"/>
    <w:rsid w:val="00D90C2C"/>
    <w:rsid w:val="00D90D90"/>
    <w:rsid w:val="00D911B0"/>
    <w:rsid w:val="00D912AB"/>
    <w:rsid w:val="00D91389"/>
    <w:rsid w:val="00D91600"/>
    <w:rsid w:val="00D918EC"/>
    <w:rsid w:val="00D91923"/>
    <w:rsid w:val="00D91C67"/>
    <w:rsid w:val="00D92D9D"/>
    <w:rsid w:val="00D92EF2"/>
    <w:rsid w:val="00D93753"/>
    <w:rsid w:val="00D93759"/>
    <w:rsid w:val="00D93F8D"/>
    <w:rsid w:val="00D94898"/>
    <w:rsid w:val="00D94FB7"/>
    <w:rsid w:val="00D955C8"/>
    <w:rsid w:val="00D955EA"/>
    <w:rsid w:val="00D95FDC"/>
    <w:rsid w:val="00D972B8"/>
    <w:rsid w:val="00D9750D"/>
    <w:rsid w:val="00D979EA"/>
    <w:rsid w:val="00DA093E"/>
    <w:rsid w:val="00DA09D5"/>
    <w:rsid w:val="00DA0A02"/>
    <w:rsid w:val="00DA0ED6"/>
    <w:rsid w:val="00DA1075"/>
    <w:rsid w:val="00DA1501"/>
    <w:rsid w:val="00DA1A0A"/>
    <w:rsid w:val="00DA1E04"/>
    <w:rsid w:val="00DA1FB2"/>
    <w:rsid w:val="00DA2060"/>
    <w:rsid w:val="00DA23B1"/>
    <w:rsid w:val="00DA29DF"/>
    <w:rsid w:val="00DA2FB3"/>
    <w:rsid w:val="00DA3167"/>
    <w:rsid w:val="00DA3660"/>
    <w:rsid w:val="00DA3E35"/>
    <w:rsid w:val="00DA3E53"/>
    <w:rsid w:val="00DA3FC1"/>
    <w:rsid w:val="00DA47FB"/>
    <w:rsid w:val="00DA4D05"/>
    <w:rsid w:val="00DA4DC3"/>
    <w:rsid w:val="00DA5B52"/>
    <w:rsid w:val="00DA5DD1"/>
    <w:rsid w:val="00DA6369"/>
    <w:rsid w:val="00DA652C"/>
    <w:rsid w:val="00DA65BF"/>
    <w:rsid w:val="00DA690D"/>
    <w:rsid w:val="00DA6C90"/>
    <w:rsid w:val="00DA76AC"/>
    <w:rsid w:val="00DA77A5"/>
    <w:rsid w:val="00DA7EBB"/>
    <w:rsid w:val="00DA7EE9"/>
    <w:rsid w:val="00DB0390"/>
    <w:rsid w:val="00DB049F"/>
    <w:rsid w:val="00DB0E36"/>
    <w:rsid w:val="00DB1048"/>
    <w:rsid w:val="00DB1927"/>
    <w:rsid w:val="00DB1A93"/>
    <w:rsid w:val="00DB2723"/>
    <w:rsid w:val="00DB2B5E"/>
    <w:rsid w:val="00DB31EA"/>
    <w:rsid w:val="00DB38FF"/>
    <w:rsid w:val="00DB39AC"/>
    <w:rsid w:val="00DB3DBF"/>
    <w:rsid w:val="00DB40B7"/>
    <w:rsid w:val="00DB41DF"/>
    <w:rsid w:val="00DB4630"/>
    <w:rsid w:val="00DB484F"/>
    <w:rsid w:val="00DB490B"/>
    <w:rsid w:val="00DB4A7F"/>
    <w:rsid w:val="00DB5007"/>
    <w:rsid w:val="00DB5102"/>
    <w:rsid w:val="00DB592F"/>
    <w:rsid w:val="00DB5AF6"/>
    <w:rsid w:val="00DB5B80"/>
    <w:rsid w:val="00DB614B"/>
    <w:rsid w:val="00DB6168"/>
    <w:rsid w:val="00DB66E5"/>
    <w:rsid w:val="00DB6788"/>
    <w:rsid w:val="00DB6E22"/>
    <w:rsid w:val="00DB6F89"/>
    <w:rsid w:val="00DB70A0"/>
    <w:rsid w:val="00DB7252"/>
    <w:rsid w:val="00DB7273"/>
    <w:rsid w:val="00DB738A"/>
    <w:rsid w:val="00DB75E0"/>
    <w:rsid w:val="00DB7FDB"/>
    <w:rsid w:val="00DC038F"/>
    <w:rsid w:val="00DC0485"/>
    <w:rsid w:val="00DC04F6"/>
    <w:rsid w:val="00DC0690"/>
    <w:rsid w:val="00DC074E"/>
    <w:rsid w:val="00DC0920"/>
    <w:rsid w:val="00DC0C9D"/>
    <w:rsid w:val="00DC100F"/>
    <w:rsid w:val="00DC10AC"/>
    <w:rsid w:val="00DC16CA"/>
    <w:rsid w:val="00DC189F"/>
    <w:rsid w:val="00DC1D65"/>
    <w:rsid w:val="00DC2894"/>
    <w:rsid w:val="00DC39DA"/>
    <w:rsid w:val="00DC3C57"/>
    <w:rsid w:val="00DC440B"/>
    <w:rsid w:val="00DC4817"/>
    <w:rsid w:val="00DC49A2"/>
    <w:rsid w:val="00DC4E49"/>
    <w:rsid w:val="00DC4E8A"/>
    <w:rsid w:val="00DC5501"/>
    <w:rsid w:val="00DC562B"/>
    <w:rsid w:val="00DC58EB"/>
    <w:rsid w:val="00DC5DE4"/>
    <w:rsid w:val="00DC712D"/>
    <w:rsid w:val="00DC7154"/>
    <w:rsid w:val="00DC7E8A"/>
    <w:rsid w:val="00DC7EF8"/>
    <w:rsid w:val="00DD01C1"/>
    <w:rsid w:val="00DD01D0"/>
    <w:rsid w:val="00DD0B3D"/>
    <w:rsid w:val="00DD0F78"/>
    <w:rsid w:val="00DD1075"/>
    <w:rsid w:val="00DD15DC"/>
    <w:rsid w:val="00DD193E"/>
    <w:rsid w:val="00DD1A1F"/>
    <w:rsid w:val="00DD1EBE"/>
    <w:rsid w:val="00DD273C"/>
    <w:rsid w:val="00DD2919"/>
    <w:rsid w:val="00DD2A00"/>
    <w:rsid w:val="00DD2A07"/>
    <w:rsid w:val="00DD2EB2"/>
    <w:rsid w:val="00DD3654"/>
    <w:rsid w:val="00DD389A"/>
    <w:rsid w:val="00DD39D6"/>
    <w:rsid w:val="00DD3B3E"/>
    <w:rsid w:val="00DD3F28"/>
    <w:rsid w:val="00DD4216"/>
    <w:rsid w:val="00DD4446"/>
    <w:rsid w:val="00DD4537"/>
    <w:rsid w:val="00DD4741"/>
    <w:rsid w:val="00DD4E15"/>
    <w:rsid w:val="00DD538B"/>
    <w:rsid w:val="00DD5BAE"/>
    <w:rsid w:val="00DD6176"/>
    <w:rsid w:val="00DD6269"/>
    <w:rsid w:val="00DD642D"/>
    <w:rsid w:val="00DD65D3"/>
    <w:rsid w:val="00DD67E5"/>
    <w:rsid w:val="00DD68E0"/>
    <w:rsid w:val="00DD6D45"/>
    <w:rsid w:val="00DD70A6"/>
    <w:rsid w:val="00DD7265"/>
    <w:rsid w:val="00DD76A5"/>
    <w:rsid w:val="00DE016A"/>
    <w:rsid w:val="00DE02D0"/>
    <w:rsid w:val="00DE0320"/>
    <w:rsid w:val="00DE1378"/>
    <w:rsid w:val="00DE18DD"/>
    <w:rsid w:val="00DE1908"/>
    <w:rsid w:val="00DE218D"/>
    <w:rsid w:val="00DE2304"/>
    <w:rsid w:val="00DE3138"/>
    <w:rsid w:val="00DE34F6"/>
    <w:rsid w:val="00DE360C"/>
    <w:rsid w:val="00DE37F8"/>
    <w:rsid w:val="00DE3EAE"/>
    <w:rsid w:val="00DE4116"/>
    <w:rsid w:val="00DE4273"/>
    <w:rsid w:val="00DE4445"/>
    <w:rsid w:val="00DE4B84"/>
    <w:rsid w:val="00DE4FCB"/>
    <w:rsid w:val="00DE5831"/>
    <w:rsid w:val="00DE5AB8"/>
    <w:rsid w:val="00DE5C6B"/>
    <w:rsid w:val="00DE5D07"/>
    <w:rsid w:val="00DE5D74"/>
    <w:rsid w:val="00DE5D9F"/>
    <w:rsid w:val="00DE692E"/>
    <w:rsid w:val="00DE6DE4"/>
    <w:rsid w:val="00DE6DF0"/>
    <w:rsid w:val="00DE6E01"/>
    <w:rsid w:val="00DE72A7"/>
    <w:rsid w:val="00DE74F3"/>
    <w:rsid w:val="00DE7832"/>
    <w:rsid w:val="00DE784A"/>
    <w:rsid w:val="00DE7B31"/>
    <w:rsid w:val="00DE7BD8"/>
    <w:rsid w:val="00DE7C27"/>
    <w:rsid w:val="00DF063F"/>
    <w:rsid w:val="00DF1657"/>
    <w:rsid w:val="00DF1775"/>
    <w:rsid w:val="00DF18FC"/>
    <w:rsid w:val="00DF2403"/>
    <w:rsid w:val="00DF3216"/>
    <w:rsid w:val="00DF33A2"/>
    <w:rsid w:val="00DF33A3"/>
    <w:rsid w:val="00DF3548"/>
    <w:rsid w:val="00DF36B8"/>
    <w:rsid w:val="00DF441F"/>
    <w:rsid w:val="00DF45B8"/>
    <w:rsid w:val="00DF548A"/>
    <w:rsid w:val="00DF58D8"/>
    <w:rsid w:val="00DF5CD5"/>
    <w:rsid w:val="00DF5D2B"/>
    <w:rsid w:val="00DF61C9"/>
    <w:rsid w:val="00DF620B"/>
    <w:rsid w:val="00DF62C7"/>
    <w:rsid w:val="00DF6341"/>
    <w:rsid w:val="00DF6822"/>
    <w:rsid w:val="00DF6AAE"/>
    <w:rsid w:val="00DF6ACD"/>
    <w:rsid w:val="00DF6C81"/>
    <w:rsid w:val="00DF7134"/>
    <w:rsid w:val="00E002FE"/>
    <w:rsid w:val="00E00401"/>
    <w:rsid w:val="00E00E40"/>
    <w:rsid w:val="00E00E8E"/>
    <w:rsid w:val="00E01031"/>
    <w:rsid w:val="00E0119C"/>
    <w:rsid w:val="00E01361"/>
    <w:rsid w:val="00E01C82"/>
    <w:rsid w:val="00E02396"/>
    <w:rsid w:val="00E024AA"/>
    <w:rsid w:val="00E02783"/>
    <w:rsid w:val="00E02B4F"/>
    <w:rsid w:val="00E030D7"/>
    <w:rsid w:val="00E03285"/>
    <w:rsid w:val="00E03530"/>
    <w:rsid w:val="00E03B4C"/>
    <w:rsid w:val="00E03E80"/>
    <w:rsid w:val="00E0473E"/>
    <w:rsid w:val="00E048DB"/>
    <w:rsid w:val="00E04D74"/>
    <w:rsid w:val="00E05626"/>
    <w:rsid w:val="00E05630"/>
    <w:rsid w:val="00E05646"/>
    <w:rsid w:val="00E06411"/>
    <w:rsid w:val="00E06DBB"/>
    <w:rsid w:val="00E06DCF"/>
    <w:rsid w:val="00E06E0F"/>
    <w:rsid w:val="00E075A3"/>
    <w:rsid w:val="00E077CA"/>
    <w:rsid w:val="00E07CA9"/>
    <w:rsid w:val="00E07D36"/>
    <w:rsid w:val="00E10149"/>
    <w:rsid w:val="00E10B6D"/>
    <w:rsid w:val="00E111F6"/>
    <w:rsid w:val="00E11269"/>
    <w:rsid w:val="00E11340"/>
    <w:rsid w:val="00E1154F"/>
    <w:rsid w:val="00E11F39"/>
    <w:rsid w:val="00E12226"/>
    <w:rsid w:val="00E122A1"/>
    <w:rsid w:val="00E123E6"/>
    <w:rsid w:val="00E1263C"/>
    <w:rsid w:val="00E136EB"/>
    <w:rsid w:val="00E15311"/>
    <w:rsid w:val="00E15451"/>
    <w:rsid w:val="00E15626"/>
    <w:rsid w:val="00E15942"/>
    <w:rsid w:val="00E15F5B"/>
    <w:rsid w:val="00E16372"/>
    <w:rsid w:val="00E16687"/>
    <w:rsid w:val="00E16754"/>
    <w:rsid w:val="00E16AD8"/>
    <w:rsid w:val="00E170FB"/>
    <w:rsid w:val="00E17422"/>
    <w:rsid w:val="00E17922"/>
    <w:rsid w:val="00E17FFA"/>
    <w:rsid w:val="00E204D4"/>
    <w:rsid w:val="00E20E4D"/>
    <w:rsid w:val="00E20ED6"/>
    <w:rsid w:val="00E210A0"/>
    <w:rsid w:val="00E21358"/>
    <w:rsid w:val="00E216A6"/>
    <w:rsid w:val="00E21921"/>
    <w:rsid w:val="00E21CDB"/>
    <w:rsid w:val="00E2249B"/>
    <w:rsid w:val="00E22A0D"/>
    <w:rsid w:val="00E22E1F"/>
    <w:rsid w:val="00E234E0"/>
    <w:rsid w:val="00E239B1"/>
    <w:rsid w:val="00E24460"/>
    <w:rsid w:val="00E244F6"/>
    <w:rsid w:val="00E24C0A"/>
    <w:rsid w:val="00E24DDB"/>
    <w:rsid w:val="00E24E55"/>
    <w:rsid w:val="00E24F3B"/>
    <w:rsid w:val="00E2584B"/>
    <w:rsid w:val="00E258DB"/>
    <w:rsid w:val="00E25CA3"/>
    <w:rsid w:val="00E26426"/>
    <w:rsid w:val="00E27176"/>
    <w:rsid w:val="00E27338"/>
    <w:rsid w:val="00E2771E"/>
    <w:rsid w:val="00E278F2"/>
    <w:rsid w:val="00E27BBC"/>
    <w:rsid w:val="00E30022"/>
    <w:rsid w:val="00E303DF"/>
    <w:rsid w:val="00E30456"/>
    <w:rsid w:val="00E30E6C"/>
    <w:rsid w:val="00E311EF"/>
    <w:rsid w:val="00E31640"/>
    <w:rsid w:val="00E31CB7"/>
    <w:rsid w:val="00E31E9B"/>
    <w:rsid w:val="00E32180"/>
    <w:rsid w:val="00E32E96"/>
    <w:rsid w:val="00E32F18"/>
    <w:rsid w:val="00E3342A"/>
    <w:rsid w:val="00E3350E"/>
    <w:rsid w:val="00E33A7E"/>
    <w:rsid w:val="00E3472C"/>
    <w:rsid w:val="00E34948"/>
    <w:rsid w:val="00E34A3C"/>
    <w:rsid w:val="00E34AF3"/>
    <w:rsid w:val="00E352E0"/>
    <w:rsid w:val="00E359E4"/>
    <w:rsid w:val="00E35A1B"/>
    <w:rsid w:val="00E35F95"/>
    <w:rsid w:val="00E36B92"/>
    <w:rsid w:val="00E36C9E"/>
    <w:rsid w:val="00E3723E"/>
    <w:rsid w:val="00E3732B"/>
    <w:rsid w:val="00E37569"/>
    <w:rsid w:val="00E37626"/>
    <w:rsid w:val="00E376A7"/>
    <w:rsid w:val="00E401B2"/>
    <w:rsid w:val="00E407F4"/>
    <w:rsid w:val="00E41078"/>
    <w:rsid w:val="00E41305"/>
    <w:rsid w:val="00E41314"/>
    <w:rsid w:val="00E415EF"/>
    <w:rsid w:val="00E41ABD"/>
    <w:rsid w:val="00E41B72"/>
    <w:rsid w:val="00E41C18"/>
    <w:rsid w:val="00E41D3E"/>
    <w:rsid w:val="00E41E30"/>
    <w:rsid w:val="00E4210A"/>
    <w:rsid w:val="00E4256E"/>
    <w:rsid w:val="00E425F8"/>
    <w:rsid w:val="00E42A60"/>
    <w:rsid w:val="00E42F73"/>
    <w:rsid w:val="00E43622"/>
    <w:rsid w:val="00E438E1"/>
    <w:rsid w:val="00E43CE3"/>
    <w:rsid w:val="00E43D70"/>
    <w:rsid w:val="00E442D5"/>
    <w:rsid w:val="00E443CC"/>
    <w:rsid w:val="00E444FE"/>
    <w:rsid w:val="00E450E0"/>
    <w:rsid w:val="00E45FBB"/>
    <w:rsid w:val="00E45FF0"/>
    <w:rsid w:val="00E463C4"/>
    <w:rsid w:val="00E46428"/>
    <w:rsid w:val="00E46527"/>
    <w:rsid w:val="00E466F3"/>
    <w:rsid w:val="00E4690A"/>
    <w:rsid w:val="00E47B2C"/>
    <w:rsid w:val="00E47E0E"/>
    <w:rsid w:val="00E5006E"/>
    <w:rsid w:val="00E507B6"/>
    <w:rsid w:val="00E50831"/>
    <w:rsid w:val="00E50989"/>
    <w:rsid w:val="00E50BC4"/>
    <w:rsid w:val="00E513FD"/>
    <w:rsid w:val="00E51560"/>
    <w:rsid w:val="00E51821"/>
    <w:rsid w:val="00E51883"/>
    <w:rsid w:val="00E52BBB"/>
    <w:rsid w:val="00E5356F"/>
    <w:rsid w:val="00E53A98"/>
    <w:rsid w:val="00E53B87"/>
    <w:rsid w:val="00E53E29"/>
    <w:rsid w:val="00E53F87"/>
    <w:rsid w:val="00E53FC8"/>
    <w:rsid w:val="00E54347"/>
    <w:rsid w:val="00E54943"/>
    <w:rsid w:val="00E54D32"/>
    <w:rsid w:val="00E54D71"/>
    <w:rsid w:val="00E55134"/>
    <w:rsid w:val="00E55424"/>
    <w:rsid w:val="00E55825"/>
    <w:rsid w:val="00E55915"/>
    <w:rsid w:val="00E55BB5"/>
    <w:rsid w:val="00E56549"/>
    <w:rsid w:val="00E5697C"/>
    <w:rsid w:val="00E574ED"/>
    <w:rsid w:val="00E57AF0"/>
    <w:rsid w:val="00E57CEE"/>
    <w:rsid w:val="00E611DF"/>
    <w:rsid w:val="00E613C0"/>
    <w:rsid w:val="00E61620"/>
    <w:rsid w:val="00E63A73"/>
    <w:rsid w:val="00E63C01"/>
    <w:rsid w:val="00E63D2C"/>
    <w:rsid w:val="00E63F9F"/>
    <w:rsid w:val="00E641F8"/>
    <w:rsid w:val="00E6425E"/>
    <w:rsid w:val="00E64372"/>
    <w:rsid w:val="00E64D4F"/>
    <w:rsid w:val="00E65001"/>
    <w:rsid w:val="00E6517B"/>
    <w:rsid w:val="00E65320"/>
    <w:rsid w:val="00E655AD"/>
    <w:rsid w:val="00E65608"/>
    <w:rsid w:val="00E65744"/>
    <w:rsid w:val="00E65E79"/>
    <w:rsid w:val="00E66917"/>
    <w:rsid w:val="00E669BA"/>
    <w:rsid w:val="00E66B3C"/>
    <w:rsid w:val="00E66BA2"/>
    <w:rsid w:val="00E67144"/>
    <w:rsid w:val="00E67416"/>
    <w:rsid w:val="00E675AF"/>
    <w:rsid w:val="00E701DB"/>
    <w:rsid w:val="00E70F1E"/>
    <w:rsid w:val="00E71723"/>
    <w:rsid w:val="00E718B6"/>
    <w:rsid w:val="00E71E7E"/>
    <w:rsid w:val="00E71EC4"/>
    <w:rsid w:val="00E723BA"/>
    <w:rsid w:val="00E72999"/>
    <w:rsid w:val="00E72A38"/>
    <w:rsid w:val="00E72A5E"/>
    <w:rsid w:val="00E72D2A"/>
    <w:rsid w:val="00E73581"/>
    <w:rsid w:val="00E735C5"/>
    <w:rsid w:val="00E73FC8"/>
    <w:rsid w:val="00E74730"/>
    <w:rsid w:val="00E74E5C"/>
    <w:rsid w:val="00E75289"/>
    <w:rsid w:val="00E756DE"/>
    <w:rsid w:val="00E75CCD"/>
    <w:rsid w:val="00E75EAB"/>
    <w:rsid w:val="00E76304"/>
    <w:rsid w:val="00E7632C"/>
    <w:rsid w:val="00E765E1"/>
    <w:rsid w:val="00E76A6F"/>
    <w:rsid w:val="00E76B54"/>
    <w:rsid w:val="00E7739E"/>
    <w:rsid w:val="00E7780A"/>
    <w:rsid w:val="00E77D97"/>
    <w:rsid w:val="00E8002F"/>
    <w:rsid w:val="00E80306"/>
    <w:rsid w:val="00E80661"/>
    <w:rsid w:val="00E80D27"/>
    <w:rsid w:val="00E81861"/>
    <w:rsid w:val="00E81DBB"/>
    <w:rsid w:val="00E81F39"/>
    <w:rsid w:val="00E82585"/>
    <w:rsid w:val="00E82607"/>
    <w:rsid w:val="00E82844"/>
    <w:rsid w:val="00E8303C"/>
    <w:rsid w:val="00E833F7"/>
    <w:rsid w:val="00E8397D"/>
    <w:rsid w:val="00E83BC9"/>
    <w:rsid w:val="00E83BDF"/>
    <w:rsid w:val="00E8444B"/>
    <w:rsid w:val="00E8516E"/>
    <w:rsid w:val="00E85983"/>
    <w:rsid w:val="00E85AF6"/>
    <w:rsid w:val="00E86131"/>
    <w:rsid w:val="00E86469"/>
    <w:rsid w:val="00E8698D"/>
    <w:rsid w:val="00E86FCC"/>
    <w:rsid w:val="00E874D9"/>
    <w:rsid w:val="00E87A1D"/>
    <w:rsid w:val="00E87BBE"/>
    <w:rsid w:val="00E87C30"/>
    <w:rsid w:val="00E87D3D"/>
    <w:rsid w:val="00E900F2"/>
    <w:rsid w:val="00E9043E"/>
    <w:rsid w:val="00E9094A"/>
    <w:rsid w:val="00E90A5B"/>
    <w:rsid w:val="00E912DF"/>
    <w:rsid w:val="00E915AA"/>
    <w:rsid w:val="00E9160A"/>
    <w:rsid w:val="00E91762"/>
    <w:rsid w:val="00E919F9"/>
    <w:rsid w:val="00E91D35"/>
    <w:rsid w:val="00E92280"/>
    <w:rsid w:val="00E926A5"/>
    <w:rsid w:val="00E92707"/>
    <w:rsid w:val="00E927FC"/>
    <w:rsid w:val="00E929C5"/>
    <w:rsid w:val="00E92BFA"/>
    <w:rsid w:val="00E92DA8"/>
    <w:rsid w:val="00E939A2"/>
    <w:rsid w:val="00E94FA4"/>
    <w:rsid w:val="00E95ECD"/>
    <w:rsid w:val="00E960D5"/>
    <w:rsid w:val="00E962CC"/>
    <w:rsid w:val="00E963F3"/>
    <w:rsid w:val="00E96528"/>
    <w:rsid w:val="00E9663D"/>
    <w:rsid w:val="00E96AAA"/>
    <w:rsid w:val="00E96B19"/>
    <w:rsid w:val="00E97500"/>
    <w:rsid w:val="00E975C7"/>
    <w:rsid w:val="00EA17C3"/>
    <w:rsid w:val="00EA24C1"/>
    <w:rsid w:val="00EA270B"/>
    <w:rsid w:val="00EA2CAA"/>
    <w:rsid w:val="00EA3169"/>
    <w:rsid w:val="00EA3864"/>
    <w:rsid w:val="00EA44B2"/>
    <w:rsid w:val="00EA4E38"/>
    <w:rsid w:val="00EA5B30"/>
    <w:rsid w:val="00EA6BDE"/>
    <w:rsid w:val="00EA6D3F"/>
    <w:rsid w:val="00EA7476"/>
    <w:rsid w:val="00EA7CDE"/>
    <w:rsid w:val="00EA7D32"/>
    <w:rsid w:val="00EA7E0D"/>
    <w:rsid w:val="00EA7F1C"/>
    <w:rsid w:val="00EA7F3D"/>
    <w:rsid w:val="00EB023D"/>
    <w:rsid w:val="00EB0802"/>
    <w:rsid w:val="00EB0A99"/>
    <w:rsid w:val="00EB0E81"/>
    <w:rsid w:val="00EB13CB"/>
    <w:rsid w:val="00EB15B6"/>
    <w:rsid w:val="00EB1716"/>
    <w:rsid w:val="00EB195B"/>
    <w:rsid w:val="00EB22CD"/>
    <w:rsid w:val="00EB2AC7"/>
    <w:rsid w:val="00EB2CF6"/>
    <w:rsid w:val="00EB314B"/>
    <w:rsid w:val="00EB3423"/>
    <w:rsid w:val="00EB3D06"/>
    <w:rsid w:val="00EB3D17"/>
    <w:rsid w:val="00EB414B"/>
    <w:rsid w:val="00EB4916"/>
    <w:rsid w:val="00EB4E55"/>
    <w:rsid w:val="00EB5043"/>
    <w:rsid w:val="00EB5277"/>
    <w:rsid w:val="00EB52E5"/>
    <w:rsid w:val="00EB5BD6"/>
    <w:rsid w:val="00EB60DA"/>
    <w:rsid w:val="00EB628C"/>
    <w:rsid w:val="00EB62F0"/>
    <w:rsid w:val="00EB62FA"/>
    <w:rsid w:val="00EB660C"/>
    <w:rsid w:val="00EB66FB"/>
    <w:rsid w:val="00EB6B69"/>
    <w:rsid w:val="00EB734B"/>
    <w:rsid w:val="00EB7EA8"/>
    <w:rsid w:val="00EC0017"/>
    <w:rsid w:val="00EC00C9"/>
    <w:rsid w:val="00EC0DD9"/>
    <w:rsid w:val="00EC0F42"/>
    <w:rsid w:val="00EC0F4C"/>
    <w:rsid w:val="00EC18FA"/>
    <w:rsid w:val="00EC19C0"/>
    <w:rsid w:val="00EC1CD0"/>
    <w:rsid w:val="00EC1D06"/>
    <w:rsid w:val="00EC1D12"/>
    <w:rsid w:val="00EC237D"/>
    <w:rsid w:val="00EC2649"/>
    <w:rsid w:val="00EC2710"/>
    <w:rsid w:val="00EC2D87"/>
    <w:rsid w:val="00EC3008"/>
    <w:rsid w:val="00EC3146"/>
    <w:rsid w:val="00EC31ED"/>
    <w:rsid w:val="00EC3224"/>
    <w:rsid w:val="00EC4064"/>
    <w:rsid w:val="00EC433E"/>
    <w:rsid w:val="00EC4918"/>
    <w:rsid w:val="00EC5540"/>
    <w:rsid w:val="00EC55FE"/>
    <w:rsid w:val="00EC5836"/>
    <w:rsid w:val="00EC6740"/>
    <w:rsid w:val="00EC688C"/>
    <w:rsid w:val="00EC6B19"/>
    <w:rsid w:val="00EC6E68"/>
    <w:rsid w:val="00EC7361"/>
    <w:rsid w:val="00EC757E"/>
    <w:rsid w:val="00EC75D1"/>
    <w:rsid w:val="00EC7B67"/>
    <w:rsid w:val="00EC7D6B"/>
    <w:rsid w:val="00EC7EF3"/>
    <w:rsid w:val="00ED0155"/>
    <w:rsid w:val="00ED0CBB"/>
    <w:rsid w:val="00ED0CF4"/>
    <w:rsid w:val="00ED0D13"/>
    <w:rsid w:val="00ED12E3"/>
    <w:rsid w:val="00ED1514"/>
    <w:rsid w:val="00ED161F"/>
    <w:rsid w:val="00ED1955"/>
    <w:rsid w:val="00ED1D34"/>
    <w:rsid w:val="00ED2574"/>
    <w:rsid w:val="00ED2A63"/>
    <w:rsid w:val="00ED2DCF"/>
    <w:rsid w:val="00ED3287"/>
    <w:rsid w:val="00ED3985"/>
    <w:rsid w:val="00ED424A"/>
    <w:rsid w:val="00ED425E"/>
    <w:rsid w:val="00ED430A"/>
    <w:rsid w:val="00ED4A55"/>
    <w:rsid w:val="00ED4B04"/>
    <w:rsid w:val="00ED4C66"/>
    <w:rsid w:val="00ED4ED3"/>
    <w:rsid w:val="00ED509A"/>
    <w:rsid w:val="00ED5225"/>
    <w:rsid w:val="00ED522E"/>
    <w:rsid w:val="00ED5725"/>
    <w:rsid w:val="00ED57EA"/>
    <w:rsid w:val="00ED580E"/>
    <w:rsid w:val="00ED5BD4"/>
    <w:rsid w:val="00ED5C6F"/>
    <w:rsid w:val="00ED678F"/>
    <w:rsid w:val="00ED6C6A"/>
    <w:rsid w:val="00ED6D4C"/>
    <w:rsid w:val="00ED6F9D"/>
    <w:rsid w:val="00ED70EA"/>
    <w:rsid w:val="00ED73FB"/>
    <w:rsid w:val="00ED7807"/>
    <w:rsid w:val="00ED7CA0"/>
    <w:rsid w:val="00EE029C"/>
    <w:rsid w:val="00EE06F8"/>
    <w:rsid w:val="00EE07D3"/>
    <w:rsid w:val="00EE100B"/>
    <w:rsid w:val="00EE10C0"/>
    <w:rsid w:val="00EE10F4"/>
    <w:rsid w:val="00EE11CD"/>
    <w:rsid w:val="00EE1484"/>
    <w:rsid w:val="00EE16A5"/>
    <w:rsid w:val="00EE1996"/>
    <w:rsid w:val="00EE1C01"/>
    <w:rsid w:val="00EE204C"/>
    <w:rsid w:val="00EE2246"/>
    <w:rsid w:val="00EE22AF"/>
    <w:rsid w:val="00EE22C1"/>
    <w:rsid w:val="00EE2672"/>
    <w:rsid w:val="00EE286C"/>
    <w:rsid w:val="00EE2A66"/>
    <w:rsid w:val="00EE353D"/>
    <w:rsid w:val="00EE3BEC"/>
    <w:rsid w:val="00EE3C50"/>
    <w:rsid w:val="00EE42D4"/>
    <w:rsid w:val="00EE46CE"/>
    <w:rsid w:val="00EE4A5E"/>
    <w:rsid w:val="00EE4C2D"/>
    <w:rsid w:val="00EE4CE6"/>
    <w:rsid w:val="00EE4FCC"/>
    <w:rsid w:val="00EE51DC"/>
    <w:rsid w:val="00EE5B84"/>
    <w:rsid w:val="00EE6223"/>
    <w:rsid w:val="00EE639A"/>
    <w:rsid w:val="00EE660F"/>
    <w:rsid w:val="00EE70AC"/>
    <w:rsid w:val="00EE7434"/>
    <w:rsid w:val="00EE7943"/>
    <w:rsid w:val="00EF0171"/>
    <w:rsid w:val="00EF1189"/>
    <w:rsid w:val="00EF1960"/>
    <w:rsid w:val="00EF1B25"/>
    <w:rsid w:val="00EF1DA0"/>
    <w:rsid w:val="00EF1DAE"/>
    <w:rsid w:val="00EF1EF8"/>
    <w:rsid w:val="00EF1FCD"/>
    <w:rsid w:val="00EF20FA"/>
    <w:rsid w:val="00EF340F"/>
    <w:rsid w:val="00EF3E54"/>
    <w:rsid w:val="00EF3F1A"/>
    <w:rsid w:val="00EF4747"/>
    <w:rsid w:val="00EF4BF8"/>
    <w:rsid w:val="00EF50DC"/>
    <w:rsid w:val="00EF537C"/>
    <w:rsid w:val="00EF58B7"/>
    <w:rsid w:val="00EF5A3B"/>
    <w:rsid w:val="00EF5E8F"/>
    <w:rsid w:val="00EF64FC"/>
    <w:rsid w:val="00EF6652"/>
    <w:rsid w:val="00EF6CB1"/>
    <w:rsid w:val="00EF6EFF"/>
    <w:rsid w:val="00EF71F4"/>
    <w:rsid w:val="00EF73BC"/>
    <w:rsid w:val="00EF79C3"/>
    <w:rsid w:val="00EF7A68"/>
    <w:rsid w:val="00EF7E4E"/>
    <w:rsid w:val="00F00A92"/>
    <w:rsid w:val="00F012C9"/>
    <w:rsid w:val="00F01C7D"/>
    <w:rsid w:val="00F01DCA"/>
    <w:rsid w:val="00F01F01"/>
    <w:rsid w:val="00F02253"/>
    <w:rsid w:val="00F033B0"/>
    <w:rsid w:val="00F03C2E"/>
    <w:rsid w:val="00F04777"/>
    <w:rsid w:val="00F04867"/>
    <w:rsid w:val="00F04A66"/>
    <w:rsid w:val="00F04AD5"/>
    <w:rsid w:val="00F04B4B"/>
    <w:rsid w:val="00F0512E"/>
    <w:rsid w:val="00F0516C"/>
    <w:rsid w:val="00F0535E"/>
    <w:rsid w:val="00F054FF"/>
    <w:rsid w:val="00F0569D"/>
    <w:rsid w:val="00F05AA9"/>
    <w:rsid w:val="00F065CE"/>
    <w:rsid w:val="00F067A2"/>
    <w:rsid w:val="00F068F3"/>
    <w:rsid w:val="00F06BB7"/>
    <w:rsid w:val="00F06C87"/>
    <w:rsid w:val="00F077D5"/>
    <w:rsid w:val="00F07B9E"/>
    <w:rsid w:val="00F10172"/>
    <w:rsid w:val="00F10523"/>
    <w:rsid w:val="00F10656"/>
    <w:rsid w:val="00F106C8"/>
    <w:rsid w:val="00F10C4B"/>
    <w:rsid w:val="00F1116F"/>
    <w:rsid w:val="00F1134C"/>
    <w:rsid w:val="00F11AEC"/>
    <w:rsid w:val="00F11CB1"/>
    <w:rsid w:val="00F11EF0"/>
    <w:rsid w:val="00F1231C"/>
    <w:rsid w:val="00F1263A"/>
    <w:rsid w:val="00F129A1"/>
    <w:rsid w:val="00F12BFA"/>
    <w:rsid w:val="00F13807"/>
    <w:rsid w:val="00F139C5"/>
    <w:rsid w:val="00F13BFF"/>
    <w:rsid w:val="00F13F4B"/>
    <w:rsid w:val="00F1465E"/>
    <w:rsid w:val="00F14A91"/>
    <w:rsid w:val="00F14ADC"/>
    <w:rsid w:val="00F154D7"/>
    <w:rsid w:val="00F15B77"/>
    <w:rsid w:val="00F15CFA"/>
    <w:rsid w:val="00F15DF7"/>
    <w:rsid w:val="00F165B2"/>
    <w:rsid w:val="00F16E02"/>
    <w:rsid w:val="00F173B2"/>
    <w:rsid w:val="00F20284"/>
    <w:rsid w:val="00F20866"/>
    <w:rsid w:val="00F209EE"/>
    <w:rsid w:val="00F20B8A"/>
    <w:rsid w:val="00F20CAC"/>
    <w:rsid w:val="00F211B5"/>
    <w:rsid w:val="00F21236"/>
    <w:rsid w:val="00F21890"/>
    <w:rsid w:val="00F21DC3"/>
    <w:rsid w:val="00F21DE4"/>
    <w:rsid w:val="00F21EA6"/>
    <w:rsid w:val="00F2269A"/>
    <w:rsid w:val="00F22F98"/>
    <w:rsid w:val="00F237B7"/>
    <w:rsid w:val="00F239DF"/>
    <w:rsid w:val="00F23C3F"/>
    <w:rsid w:val="00F23E1E"/>
    <w:rsid w:val="00F24837"/>
    <w:rsid w:val="00F24936"/>
    <w:rsid w:val="00F24C44"/>
    <w:rsid w:val="00F2556B"/>
    <w:rsid w:val="00F2575F"/>
    <w:rsid w:val="00F26617"/>
    <w:rsid w:val="00F2667B"/>
    <w:rsid w:val="00F26680"/>
    <w:rsid w:val="00F270D7"/>
    <w:rsid w:val="00F27565"/>
    <w:rsid w:val="00F27A5F"/>
    <w:rsid w:val="00F27F7F"/>
    <w:rsid w:val="00F300D5"/>
    <w:rsid w:val="00F310D4"/>
    <w:rsid w:val="00F3118D"/>
    <w:rsid w:val="00F314AD"/>
    <w:rsid w:val="00F316B5"/>
    <w:rsid w:val="00F31D5A"/>
    <w:rsid w:val="00F31DB3"/>
    <w:rsid w:val="00F323C2"/>
    <w:rsid w:val="00F32FDA"/>
    <w:rsid w:val="00F33837"/>
    <w:rsid w:val="00F33893"/>
    <w:rsid w:val="00F33975"/>
    <w:rsid w:val="00F33DE9"/>
    <w:rsid w:val="00F34767"/>
    <w:rsid w:val="00F34AE4"/>
    <w:rsid w:val="00F3522A"/>
    <w:rsid w:val="00F355CF"/>
    <w:rsid w:val="00F35776"/>
    <w:rsid w:val="00F359EF"/>
    <w:rsid w:val="00F35E6D"/>
    <w:rsid w:val="00F3619A"/>
    <w:rsid w:val="00F36280"/>
    <w:rsid w:val="00F3717F"/>
    <w:rsid w:val="00F37D63"/>
    <w:rsid w:val="00F37E1B"/>
    <w:rsid w:val="00F40AAA"/>
    <w:rsid w:val="00F40BA7"/>
    <w:rsid w:val="00F40F9D"/>
    <w:rsid w:val="00F415B0"/>
    <w:rsid w:val="00F41A35"/>
    <w:rsid w:val="00F41ACD"/>
    <w:rsid w:val="00F41BD1"/>
    <w:rsid w:val="00F41D0D"/>
    <w:rsid w:val="00F42170"/>
    <w:rsid w:val="00F42DAC"/>
    <w:rsid w:val="00F42EFA"/>
    <w:rsid w:val="00F43307"/>
    <w:rsid w:val="00F435B4"/>
    <w:rsid w:val="00F44013"/>
    <w:rsid w:val="00F45468"/>
    <w:rsid w:val="00F45BCD"/>
    <w:rsid w:val="00F46A86"/>
    <w:rsid w:val="00F46BEB"/>
    <w:rsid w:val="00F46CB6"/>
    <w:rsid w:val="00F4715E"/>
    <w:rsid w:val="00F4736E"/>
    <w:rsid w:val="00F4756D"/>
    <w:rsid w:val="00F47B70"/>
    <w:rsid w:val="00F47BDF"/>
    <w:rsid w:val="00F47DD9"/>
    <w:rsid w:val="00F47DE8"/>
    <w:rsid w:val="00F47F15"/>
    <w:rsid w:val="00F47FCB"/>
    <w:rsid w:val="00F50087"/>
    <w:rsid w:val="00F50477"/>
    <w:rsid w:val="00F50551"/>
    <w:rsid w:val="00F51387"/>
    <w:rsid w:val="00F5181A"/>
    <w:rsid w:val="00F51BC3"/>
    <w:rsid w:val="00F51C29"/>
    <w:rsid w:val="00F52172"/>
    <w:rsid w:val="00F52696"/>
    <w:rsid w:val="00F527B2"/>
    <w:rsid w:val="00F528CB"/>
    <w:rsid w:val="00F5390F"/>
    <w:rsid w:val="00F5391F"/>
    <w:rsid w:val="00F54203"/>
    <w:rsid w:val="00F542C1"/>
    <w:rsid w:val="00F54708"/>
    <w:rsid w:val="00F5479C"/>
    <w:rsid w:val="00F54FE1"/>
    <w:rsid w:val="00F550E3"/>
    <w:rsid w:val="00F55E73"/>
    <w:rsid w:val="00F55EDA"/>
    <w:rsid w:val="00F55FCC"/>
    <w:rsid w:val="00F5652C"/>
    <w:rsid w:val="00F56615"/>
    <w:rsid w:val="00F56C2B"/>
    <w:rsid w:val="00F56C80"/>
    <w:rsid w:val="00F56E04"/>
    <w:rsid w:val="00F56F2A"/>
    <w:rsid w:val="00F5734E"/>
    <w:rsid w:val="00F574D1"/>
    <w:rsid w:val="00F57826"/>
    <w:rsid w:val="00F60092"/>
    <w:rsid w:val="00F60942"/>
    <w:rsid w:val="00F60BAA"/>
    <w:rsid w:val="00F60BE8"/>
    <w:rsid w:val="00F61047"/>
    <w:rsid w:val="00F61C18"/>
    <w:rsid w:val="00F622D3"/>
    <w:rsid w:val="00F6276A"/>
    <w:rsid w:val="00F632EB"/>
    <w:rsid w:val="00F638A0"/>
    <w:rsid w:val="00F64085"/>
    <w:rsid w:val="00F641D8"/>
    <w:rsid w:val="00F644AC"/>
    <w:rsid w:val="00F647B9"/>
    <w:rsid w:val="00F64E86"/>
    <w:rsid w:val="00F65118"/>
    <w:rsid w:val="00F653CC"/>
    <w:rsid w:val="00F65F4B"/>
    <w:rsid w:val="00F65FDE"/>
    <w:rsid w:val="00F66312"/>
    <w:rsid w:val="00F66C06"/>
    <w:rsid w:val="00F6705E"/>
    <w:rsid w:val="00F67A0C"/>
    <w:rsid w:val="00F67A69"/>
    <w:rsid w:val="00F67CB3"/>
    <w:rsid w:val="00F703AD"/>
    <w:rsid w:val="00F704C3"/>
    <w:rsid w:val="00F707AE"/>
    <w:rsid w:val="00F708CB"/>
    <w:rsid w:val="00F7098F"/>
    <w:rsid w:val="00F7099B"/>
    <w:rsid w:val="00F70BFF"/>
    <w:rsid w:val="00F70C52"/>
    <w:rsid w:val="00F70C9D"/>
    <w:rsid w:val="00F71D2A"/>
    <w:rsid w:val="00F71FB3"/>
    <w:rsid w:val="00F722F5"/>
    <w:rsid w:val="00F72527"/>
    <w:rsid w:val="00F72722"/>
    <w:rsid w:val="00F728BD"/>
    <w:rsid w:val="00F72B87"/>
    <w:rsid w:val="00F7303B"/>
    <w:rsid w:val="00F73881"/>
    <w:rsid w:val="00F73E08"/>
    <w:rsid w:val="00F749EE"/>
    <w:rsid w:val="00F74CD9"/>
    <w:rsid w:val="00F74DCC"/>
    <w:rsid w:val="00F75066"/>
    <w:rsid w:val="00F750C1"/>
    <w:rsid w:val="00F7533E"/>
    <w:rsid w:val="00F75612"/>
    <w:rsid w:val="00F756E1"/>
    <w:rsid w:val="00F75B5E"/>
    <w:rsid w:val="00F75D9F"/>
    <w:rsid w:val="00F75F17"/>
    <w:rsid w:val="00F7621E"/>
    <w:rsid w:val="00F76264"/>
    <w:rsid w:val="00F76410"/>
    <w:rsid w:val="00F76973"/>
    <w:rsid w:val="00F76C74"/>
    <w:rsid w:val="00F7789B"/>
    <w:rsid w:val="00F77A7D"/>
    <w:rsid w:val="00F77D63"/>
    <w:rsid w:val="00F77E4E"/>
    <w:rsid w:val="00F80A7B"/>
    <w:rsid w:val="00F80E5D"/>
    <w:rsid w:val="00F8120A"/>
    <w:rsid w:val="00F81A33"/>
    <w:rsid w:val="00F81E78"/>
    <w:rsid w:val="00F82003"/>
    <w:rsid w:val="00F8241A"/>
    <w:rsid w:val="00F8269B"/>
    <w:rsid w:val="00F82853"/>
    <w:rsid w:val="00F83443"/>
    <w:rsid w:val="00F83459"/>
    <w:rsid w:val="00F83916"/>
    <w:rsid w:val="00F83D84"/>
    <w:rsid w:val="00F84829"/>
    <w:rsid w:val="00F84DEB"/>
    <w:rsid w:val="00F85098"/>
    <w:rsid w:val="00F851CE"/>
    <w:rsid w:val="00F853A1"/>
    <w:rsid w:val="00F85E65"/>
    <w:rsid w:val="00F86661"/>
    <w:rsid w:val="00F867EC"/>
    <w:rsid w:val="00F86BF6"/>
    <w:rsid w:val="00F86D0C"/>
    <w:rsid w:val="00F876AB"/>
    <w:rsid w:val="00F9007D"/>
    <w:rsid w:val="00F90221"/>
    <w:rsid w:val="00F9054A"/>
    <w:rsid w:val="00F90E6A"/>
    <w:rsid w:val="00F90EDE"/>
    <w:rsid w:val="00F91219"/>
    <w:rsid w:val="00F9121D"/>
    <w:rsid w:val="00F91375"/>
    <w:rsid w:val="00F9176B"/>
    <w:rsid w:val="00F917CB"/>
    <w:rsid w:val="00F91826"/>
    <w:rsid w:val="00F91F6F"/>
    <w:rsid w:val="00F92444"/>
    <w:rsid w:val="00F92766"/>
    <w:rsid w:val="00F929DF"/>
    <w:rsid w:val="00F92AC3"/>
    <w:rsid w:val="00F9393E"/>
    <w:rsid w:val="00F93E3F"/>
    <w:rsid w:val="00F95286"/>
    <w:rsid w:val="00F9549A"/>
    <w:rsid w:val="00F95904"/>
    <w:rsid w:val="00F9598F"/>
    <w:rsid w:val="00F9613D"/>
    <w:rsid w:val="00F96617"/>
    <w:rsid w:val="00F96FD0"/>
    <w:rsid w:val="00F97564"/>
    <w:rsid w:val="00F97A78"/>
    <w:rsid w:val="00F97C0F"/>
    <w:rsid w:val="00F97EF5"/>
    <w:rsid w:val="00FA0626"/>
    <w:rsid w:val="00FA0964"/>
    <w:rsid w:val="00FA0B20"/>
    <w:rsid w:val="00FA0CDC"/>
    <w:rsid w:val="00FA120E"/>
    <w:rsid w:val="00FA162B"/>
    <w:rsid w:val="00FA232A"/>
    <w:rsid w:val="00FA24E7"/>
    <w:rsid w:val="00FA264D"/>
    <w:rsid w:val="00FA274B"/>
    <w:rsid w:val="00FA29FD"/>
    <w:rsid w:val="00FA3345"/>
    <w:rsid w:val="00FA35DC"/>
    <w:rsid w:val="00FA3601"/>
    <w:rsid w:val="00FA378A"/>
    <w:rsid w:val="00FA39F4"/>
    <w:rsid w:val="00FA4350"/>
    <w:rsid w:val="00FA4733"/>
    <w:rsid w:val="00FA47F2"/>
    <w:rsid w:val="00FA49A1"/>
    <w:rsid w:val="00FA5054"/>
    <w:rsid w:val="00FA5962"/>
    <w:rsid w:val="00FA5E3A"/>
    <w:rsid w:val="00FA5EE6"/>
    <w:rsid w:val="00FA66C2"/>
    <w:rsid w:val="00FA6924"/>
    <w:rsid w:val="00FA6CAB"/>
    <w:rsid w:val="00FA7956"/>
    <w:rsid w:val="00FA7DBA"/>
    <w:rsid w:val="00FB0239"/>
    <w:rsid w:val="00FB0824"/>
    <w:rsid w:val="00FB1254"/>
    <w:rsid w:val="00FB14FD"/>
    <w:rsid w:val="00FB1FF7"/>
    <w:rsid w:val="00FB21D1"/>
    <w:rsid w:val="00FB2C32"/>
    <w:rsid w:val="00FB2D57"/>
    <w:rsid w:val="00FB2FCB"/>
    <w:rsid w:val="00FB356B"/>
    <w:rsid w:val="00FB3864"/>
    <w:rsid w:val="00FB3AB6"/>
    <w:rsid w:val="00FB3AC6"/>
    <w:rsid w:val="00FB3FD9"/>
    <w:rsid w:val="00FB4C9C"/>
    <w:rsid w:val="00FB556C"/>
    <w:rsid w:val="00FB5856"/>
    <w:rsid w:val="00FB58B9"/>
    <w:rsid w:val="00FB5C56"/>
    <w:rsid w:val="00FB5F67"/>
    <w:rsid w:val="00FB6537"/>
    <w:rsid w:val="00FB6DB2"/>
    <w:rsid w:val="00FB72AC"/>
    <w:rsid w:val="00FB73DF"/>
    <w:rsid w:val="00FB7604"/>
    <w:rsid w:val="00FB7711"/>
    <w:rsid w:val="00FB78EA"/>
    <w:rsid w:val="00FB7AC0"/>
    <w:rsid w:val="00FB7C55"/>
    <w:rsid w:val="00FC02F0"/>
    <w:rsid w:val="00FC05C6"/>
    <w:rsid w:val="00FC09F9"/>
    <w:rsid w:val="00FC0F0F"/>
    <w:rsid w:val="00FC1074"/>
    <w:rsid w:val="00FC1880"/>
    <w:rsid w:val="00FC1884"/>
    <w:rsid w:val="00FC1C8F"/>
    <w:rsid w:val="00FC1D63"/>
    <w:rsid w:val="00FC24A2"/>
    <w:rsid w:val="00FC2773"/>
    <w:rsid w:val="00FC2A24"/>
    <w:rsid w:val="00FC2DBD"/>
    <w:rsid w:val="00FC371D"/>
    <w:rsid w:val="00FC3C1B"/>
    <w:rsid w:val="00FC3CF8"/>
    <w:rsid w:val="00FC3E2F"/>
    <w:rsid w:val="00FC49B0"/>
    <w:rsid w:val="00FC4BFB"/>
    <w:rsid w:val="00FC5417"/>
    <w:rsid w:val="00FC54C4"/>
    <w:rsid w:val="00FC580D"/>
    <w:rsid w:val="00FC582C"/>
    <w:rsid w:val="00FC587A"/>
    <w:rsid w:val="00FC59FB"/>
    <w:rsid w:val="00FC5F0B"/>
    <w:rsid w:val="00FC61D7"/>
    <w:rsid w:val="00FC686D"/>
    <w:rsid w:val="00FC7302"/>
    <w:rsid w:val="00FC7AF3"/>
    <w:rsid w:val="00FC7C06"/>
    <w:rsid w:val="00FC7E1E"/>
    <w:rsid w:val="00FC7F18"/>
    <w:rsid w:val="00FD0677"/>
    <w:rsid w:val="00FD069B"/>
    <w:rsid w:val="00FD0728"/>
    <w:rsid w:val="00FD074F"/>
    <w:rsid w:val="00FD1D70"/>
    <w:rsid w:val="00FD2100"/>
    <w:rsid w:val="00FD2205"/>
    <w:rsid w:val="00FD2917"/>
    <w:rsid w:val="00FD2A0F"/>
    <w:rsid w:val="00FD2D72"/>
    <w:rsid w:val="00FD31CA"/>
    <w:rsid w:val="00FD3524"/>
    <w:rsid w:val="00FD37A4"/>
    <w:rsid w:val="00FD38CC"/>
    <w:rsid w:val="00FD398B"/>
    <w:rsid w:val="00FD3A94"/>
    <w:rsid w:val="00FD3BAE"/>
    <w:rsid w:val="00FD3F1B"/>
    <w:rsid w:val="00FD436C"/>
    <w:rsid w:val="00FD446D"/>
    <w:rsid w:val="00FD466B"/>
    <w:rsid w:val="00FD4F2C"/>
    <w:rsid w:val="00FD4FDD"/>
    <w:rsid w:val="00FD5116"/>
    <w:rsid w:val="00FD513F"/>
    <w:rsid w:val="00FD61E3"/>
    <w:rsid w:val="00FD6394"/>
    <w:rsid w:val="00FD639D"/>
    <w:rsid w:val="00FD671B"/>
    <w:rsid w:val="00FD6C42"/>
    <w:rsid w:val="00FD7077"/>
    <w:rsid w:val="00FD7846"/>
    <w:rsid w:val="00FE0E6C"/>
    <w:rsid w:val="00FE1862"/>
    <w:rsid w:val="00FE1CDC"/>
    <w:rsid w:val="00FE2093"/>
    <w:rsid w:val="00FE2AA8"/>
    <w:rsid w:val="00FE379D"/>
    <w:rsid w:val="00FE38EA"/>
    <w:rsid w:val="00FE3F27"/>
    <w:rsid w:val="00FE4878"/>
    <w:rsid w:val="00FE4CD9"/>
    <w:rsid w:val="00FE4F2D"/>
    <w:rsid w:val="00FE5A03"/>
    <w:rsid w:val="00FE5A5B"/>
    <w:rsid w:val="00FE5B7A"/>
    <w:rsid w:val="00FE5DE3"/>
    <w:rsid w:val="00FE602B"/>
    <w:rsid w:val="00FE70C3"/>
    <w:rsid w:val="00FE7417"/>
    <w:rsid w:val="00FE7A0C"/>
    <w:rsid w:val="00FE7B15"/>
    <w:rsid w:val="00FE7DD1"/>
    <w:rsid w:val="00FF0121"/>
    <w:rsid w:val="00FF0373"/>
    <w:rsid w:val="00FF0528"/>
    <w:rsid w:val="00FF0889"/>
    <w:rsid w:val="00FF0C7F"/>
    <w:rsid w:val="00FF0E76"/>
    <w:rsid w:val="00FF107A"/>
    <w:rsid w:val="00FF13B5"/>
    <w:rsid w:val="00FF1469"/>
    <w:rsid w:val="00FF15DF"/>
    <w:rsid w:val="00FF1A8B"/>
    <w:rsid w:val="00FF262A"/>
    <w:rsid w:val="00FF2804"/>
    <w:rsid w:val="00FF2A83"/>
    <w:rsid w:val="00FF2AD9"/>
    <w:rsid w:val="00FF2F11"/>
    <w:rsid w:val="00FF30BC"/>
    <w:rsid w:val="00FF359F"/>
    <w:rsid w:val="00FF38A1"/>
    <w:rsid w:val="00FF3CC7"/>
    <w:rsid w:val="00FF3DCF"/>
    <w:rsid w:val="00FF3E26"/>
    <w:rsid w:val="00FF3E5F"/>
    <w:rsid w:val="00FF44DD"/>
    <w:rsid w:val="00FF492C"/>
    <w:rsid w:val="00FF4A21"/>
    <w:rsid w:val="00FF513F"/>
    <w:rsid w:val="00FF5309"/>
    <w:rsid w:val="00FF5377"/>
    <w:rsid w:val="00FF5378"/>
    <w:rsid w:val="00FF5491"/>
    <w:rsid w:val="00FF5AA3"/>
    <w:rsid w:val="00FF5AD8"/>
    <w:rsid w:val="00FF5F5E"/>
    <w:rsid w:val="00FF616D"/>
    <w:rsid w:val="00FF6B88"/>
    <w:rsid w:val="00FF7D8C"/>
    <w:rsid w:val="018A5A7E"/>
    <w:rsid w:val="01FAD4FF"/>
    <w:rsid w:val="02294947"/>
    <w:rsid w:val="02544794"/>
    <w:rsid w:val="0288A3C2"/>
    <w:rsid w:val="04473877"/>
    <w:rsid w:val="046ACCE5"/>
    <w:rsid w:val="04F42CB1"/>
    <w:rsid w:val="05A96851"/>
    <w:rsid w:val="06C92D7D"/>
    <w:rsid w:val="07C95A65"/>
    <w:rsid w:val="080CCA21"/>
    <w:rsid w:val="0882228F"/>
    <w:rsid w:val="08E445FA"/>
    <w:rsid w:val="08F33DDA"/>
    <w:rsid w:val="08F63E21"/>
    <w:rsid w:val="0965EBB2"/>
    <w:rsid w:val="098ABD51"/>
    <w:rsid w:val="09EDF964"/>
    <w:rsid w:val="0A3E9E00"/>
    <w:rsid w:val="0D42D062"/>
    <w:rsid w:val="0DCDAB74"/>
    <w:rsid w:val="0E6BC4E5"/>
    <w:rsid w:val="0E86A204"/>
    <w:rsid w:val="0ECF3B53"/>
    <w:rsid w:val="0EDC2AA4"/>
    <w:rsid w:val="0F195FEB"/>
    <w:rsid w:val="0FC37448"/>
    <w:rsid w:val="100188EC"/>
    <w:rsid w:val="10D396A0"/>
    <w:rsid w:val="10F1BEC7"/>
    <w:rsid w:val="112415F4"/>
    <w:rsid w:val="1272D708"/>
    <w:rsid w:val="1557DC56"/>
    <w:rsid w:val="158EBD71"/>
    <w:rsid w:val="162B7DB6"/>
    <w:rsid w:val="1821788F"/>
    <w:rsid w:val="18F53CC1"/>
    <w:rsid w:val="1AB81AA3"/>
    <w:rsid w:val="1AE54679"/>
    <w:rsid w:val="1BED4E16"/>
    <w:rsid w:val="1CE34460"/>
    <w:rsid w:val="1E4EFC99"/>
    <w:rsid w:val="1EBEEED1"/>
    <w:rsid w:val="1F08949C"/>
    <w:rsid w:val="1F0F15B4"/>
    <w:rsid w:val="1F4C78D3"/>
    <w:rsid w:val="200EE4D8"/>
    <w:rsid w:val="20D60DA8"/>
    <w:rsid w:val="20FD44E3"/>
    <w:rsid w:val="215A722F"/>
    <w:rsid w:val="2332E681"/>
    <w:rsid w:val="2425BEF6"/>
    <w:rsid w:val="258449DB"/>
    <w:rsid w:val="275285B7"/>
    <w:rsid w:val="27B6CD5A"/>
    <w:rsid w:val="287A56C9"/>
    <w:rsid w:val="28AB8E75"/>
    <w:rsid w:val="28DB4DB7"/>
    <w:rsid w:val="292B62AB"/>
    <w:rsid w:val="29EE3373"/>
    <w:rsid w:val="2A08E7EF"/>
    <w:rsid w:val="2A47309A"/>
    <w:rsid w:val="2A516FFF"/>
    <w:rsid w:val="2A6911C8"/>
    <w:rsid w:val="2C2189AF"/>
    <w:rsid w:val="2D13C8B7"/>
    <w:rsid w:val="2E5ECF6D"/>
    <w:rsid w:val="2E602013"/>
    <w:rsid w:val="2ECD1830"/>
    <w:rsid w:val="2EFD9C97"/>
    <w:rsid w:val="2F0B1F6F"/>
    <w:rsid w:val="2FED4AD1"/>
    <w:rsid w:val="3098A23D"/>
    <w:rsid w:val="30B3489F"/>
    <w:rsid w:val="30E06548"/>
    <w:rsid w:val="311F2458"/>
    <w:rsid w:val="317BA533"/>
    <w:rsid w:val="324911B3"/>
    <w:rsid w:val="3261EEFD"/>
    <w:rsid w:val="32828725"/>
    <w:rsid w:val="3374B84E"/>
    <w:rsid w:val="33AD911E"/>
    <w:rsid w:val="33CD7666"/>
    <w:rsid w:val="33DE7351"/>
    <w:rsid w:val="35A1C305"/>
    <w:rsid w:val="35B67D78"/>
    <w:rsid w:val="37220A4B"/>
    <w:rsid w:val="3ADF513D"/>
    <w:rsid w:val="3B2F81A5"/>
    <w:rsid w:val="3BB32D4A"/>
    <w:rsid w:val="3DBEEDEA"/>
    <w:rsid w:val="3E646146"/>
    <w:rsid w:val="3EB444D2"/>
    <w:rsid w:val="3EE8E3C6"/>
    <w:rsid w:val="4062D45D"/>
    <w:rsid w:val="406AA68B"/>
    <w:rsid w:val="42DBA90F"/>
    <w:rsid w:val="4332469C"/>
    <w:rsid w:val="46FF6C21"/>
    <w:rsid w:val="47E2EF61"/>
    <w:rsid w:val="48D85E0D"/>
    <w:rsid w:val="494AB19F"/>
    <w:rsid w:val="4A40E425"/>
    <w:rsid w:val="4AF0B3D7"/>
    <w:rsid w:val="4B25A7EE"/>
    <w:rsid w:val="4B4E5710"/>
    <w:rsid w:val="4CA54D6A"/>
    <w:rsid w:val="4CD9E26C"/>
    <w:rsid w:val="4CE82458"/>
    <w:rsid w:val="4DA48A11"/>
    <w:rsid w:val="501D1E57"/>
    <w:rsid w:val="5036E283"/>
    <w:rsid w:val="50BAB024"/>
    <w:rsid w:val="52908353"/>
    <w:rsid w:val="5300A002"/>
    <w:rsid w:val="537FD3E2"/>
    <w:rsid w:val="53C4F984"/>
    <w:rsid w:val="5511E409"/>
    <w:rsid w:val="581D7132"/>
    <w:rsid w:val="5A083352"/>
    <w:rsid w:val="5AC26292"/>
    <w:rsid w:val="5B194198"/>
    <w:rsid w:val="5BB47681"/>
    <w:rsid w:val="5BCD8EEF"/>
    <w:rsid w:val="5BEA0B70"/>
    <w:rsid w:val="5C491F04"/>
    <w:rsid w:val="5CB72C77"/>
    <w:rsid w:val="5CBB8EE7"/>
    <w:rsid w:val="5CCC92AA"/>
    <w:rsid w:val="5CE3AADD"/>
    <w:rsid w:val="5CE9F71B"/>
    <w:rsid w:val="5E891B6B"/>
    <w:rsid w:val="60632326"/>
    <w:rsid w:val="606EA416"/>
    <w:rsid w:val="60977AF0"/>
    <w:rsid w:val="60E936C0"/>
    <w:rsid w:val="6118A4E8"/>
    <w:rsid w:val="63133E83"/>
    <w:rsid w:val="63514DF7"/>
    <w:rsid w:val="653EB97D"/>
    <w:rsid w:val="65E5C4B8"/>
    <w:rsid w:val="67856F5E"/>
    <w:rsid w:val="69572EC4"/>
    <w:rsid w:val="69AE83A2"/>
    <w:rsid w:val="6A96CC2C"/>
    <w:rsid w:val="6AA9AB89"/>
    <w:rsid w:val="6AB8666B"/>
    <w:rsid w:val="6AE7C346"/>
    <w:rsid w:val="6B55F276"/>
    <w:rsid w:val="6B9106F4"/>
    <w:rsid w:val="6BAFD1C1"/>
    <w:rsid w:val="6BE01216"/>
    <w:rsid w:val="6CC9A15E"/>
    <w:rsid w:val="6D01C2EF"/>
    <w:rsid w:val="6E361867"/>
    <w:rsid w:val="6EA6F1C1"/>
    <w:rsid w:val="6EC7D8CB"/>
    <w:rsid w:val="6EE0ED12"/>
    <w:rsid w:val="70237A16"/>
    <w:rsid w:val="707220D3"/>
    <w:rsid w:val="7206DC66"/>
    <w:rsid w:val="72707756"/>
    <w:rsid w:val="74669479"/>
    <w:rsid w:val="773A894E"/>
    <w:rsid w:val="7854BB4F"/>
    <w:rsid w:val="79ED75FD"/>
    <w:rsid w:val="79EDF018"/>
    <w:rsid w:val="7BFF7565"/>
    <w:rsid w:val="7C4ACFDF"/>
    <w:rsid w:val="7C63B52E"/>
    <w:rsid w:val="7CEED4D2"/>
    <w:rsid w:val="7D2F1FDE"/>
    <w:rsid w:val="7D70AD77"/>
    <w:rsid w:val="7EF6DA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E44"/>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Tableheadingrow">
    <w:name w:val="COM Table heading row"/>
    <w:basedOn w:val="Normal"/>
    <w:next w:val="COMTabletext"/>
    <w:qFormat/>
    <w:rsid w:val="00F46BEB"/>
    <w:pPr>
      <w:keepNext/>
      <w:keepLines/>
      <w:jc w:val="left"/>
    </w:pPr>
    <w:rPr>
      <w:rFonts w:ascii="Arial Narrow" w:hAnsi="Arial Narrow"/>
      <w:b/>
      <w:bCs/>
      <w:sz w:val="20"/>
      <w:szCs w:val="20"/>
    </w:rPr>
  </w:style>
  <w:style w:type="paragraph" w:customStyle="1" w:styleId="COMBodyH2Numbered">
    <w:name w:val="COM Body H2 Numbered"/>
    <w:basedOn w:val="Heading2"/>
    <w:qFormat/>
    <w:rsid w:val="00CF6C85"/>
    <w:pPr>
      <w:keepNext/>
      <w:spacing w:after="240"/>
    </w:pPr>
  </w:style>
  <w:style w:type="paragraph" w:customStyle="1" w:styleId="COMBodyH1Numbered">
    <w:name w:val="COM Body H1 Numbered"/>
    <w:basedOn w:val="COMESH2"/>
    <w:qFormat/>
    <w:rsid w:val="00684679"/>
    <w:pPr>
      <w:numPr>
        <w:numId w:val="0"/>
      </w:numPr>
    </w:pPr>
  </w:style>
  <w:style w:type="paragraph" w:customStyle="1" w:styleId="COMBodyH3">
    <w:name w:val="COM Body H3"/>
    <w:basedOn w:val="Normal"/>
    <w:qFormat/>
    <w:rsid w:val="00252F9D"/>
    <w:pPr>
      <w:keepNext/>
      <w:spacing w:after="180"/>
      <w:outlineLvl w:val="2"/>
    </w:pPr>
    <w:rPr>
      <w:b/>
      <w:sz w:val="28"/>
      <w:szCs w:val="28"/>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Requirement Para,Bullet List,Bullet1,Table Legend,Bullets Points,Colorful List - Accent 11,Section 5"/>
    <w:link w:val="ListParagraphChar"/>
    <w:uiPriority w:val="34"/>
    <w:qFormat/>
    <w:rsid w:val="004C3B02"/>
    <w:pPr>
      <w:numPr>
        <w:numId w:val="9"/>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Requirement Para Char,Bullet List Char,Bullet1 Char"/>
    <w:basedOn w:val="DefaultParagraphFont"/>
    <w:link w:val="ListParagraph"/>
    <w:uiPriority w:val="34"/>
    <w:qFormat/>
    <w:locked/>
    <w:rsid w:val="004C3B02"/>
    <w:rPr>
      <w:rFonts w:asciiTheme="minorHAnsi" w:hAnsiTheme="minorHAnsi" w:cs="Arial"/>
      <w:snapToGrid w:val="0"/>
      <w:sz w:val="24"/>
      <w:szCs w:val="24"/>
    </w:rPr>
  </w:style>
  <w:style w:type="paragraph" w:styleId="Header">
    <w:name w:val="header"/>
    <w:basedOn w:val="Normal"/>
    <w:link w:val="HeaderChar"/>
    <w:qFormat/>
    <w:rsid w:val="00B94414"/>
    <w:pPr>
      <w:keepNext/>
      <w:tabs>
        <w:tab w:val="center" w:pos="4513"/>
        <w:tab w:val="right" w:pos="9026"/>
      </w:tabs>
      <w:jc w:val="center"/>
    </w:pPr>
    <w:rPr>
      <w:rFonts w:asciiTheme="minorHAnsi" w:hAnsiTheme="minorHAnsi"/>
      <w:i/>
      <w:iCs/>
      <w:color w:val="808080"/>
    </w:rPr>
  </w:style>
  <w:style w:type="character" w:customStyle="1" w:styleId="HeaderChar">
    <w:name w:val="Header Char"/>
    <w:basedOn w:val="DefaultParagraphFont"/>
    <w:link w:val="Header"/>
    <w:rsid w:val="00B94414"/>
    <w:rPr>
      <w:rFonts w:asciiTheme="minorHAnsi" w:hAnsiTheme="minorHAnsi" w:cs="Arial"/>
      <w:i/>
      <w:iCs/>
      <w:color w:val="808080"/>
      <w:sz w:val="24"/>
      <w:szCs w:val="24"/>
    </w:rPr>
  </w:style>
  <w:style w:type="table" w:styleId="TableGrid">
    <w:name w:val="Table Grid"/>
    <w:aliases w:val="Summary box,Table Gridbeth,CMA Table Template,ASD Table,RTI AMCP Table,new style,Conclusion box,Table Grid nm,PBAC table,HTAtableplain,MSD Table Grid,Header Table,NICE instructions,Source table_,HealthConsult,Dossier table,Summary Table,统计型"/>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68467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customStyle="1" w:styleId="Templateinstructionsbulletpoints">
    <w:name w:val="Template instructions bullet points"/>
    <w:basedOn w:val="ListParagraph"/>
    <w:rsid w:val="00B70E8E"/>
    <w:pPr>
      <w:numPr>
        <w:numId w:val="7"/>
      </w:numPr>
      <w:contextualSpacing/>
    </w:p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D92D9D"/>
    <w:pPr>
      <w:keepNext/>
      <w:keepLines/>
    </w:pPr>
    <w:rPr>
      <w:rFonts w:ascii="Arial Narrow" w:eastAsiaTheme="majorEastAsia" w:hAnsi="Arial Narrow" w:cstheme="majorBidi"/>
      <w:bCs/>
      <w:szCs w:val="24"/>
    </w:rPr>
  </w:style>
  <w:style w:type="paragraph" w:customStyle="1" w:styleId="COMBodybulletlist">
    <w:name w:val="COM Body bullet list"/>
    <w:basedOn w:val="Normal"/>
    <w:link w:val="COMBodybulletlistChar"/>
    <w:qFormat/>
    <w:rsid w:val="00994A19"/>
    <w:pPr>
      <w:numPr>
        <w:numId w:val="11"/>
      </w:numPr>
      <w:contextualSpacing/>
    </w:pPr>
  </w:style>
  <w:style w:type="paragraph" w:customStyle="1" w:styleId="COMESH2">
    <w:name w:val="COM ES H2"/>
    <w:next w:val="COMESnumberedpara"/>
    <w:qFormat/>
    <w:rsid w:val="004C3B02"/>
    <w:pPr>
      <w:keepNext/>
      <w:numPr>
        <w:numId w:val="10"/>
      </w:numPr>
      <w:spacing w:before="240" w:after="120"/>
      <w:outlineLvl w:val="0"/>
    </w:pPr>
    <w:rPr>
      <w:rFonts w:asciiTheme="minorHAnsi" w:hAnsiTheme="minorHAnsi" w:cs="Arial"/>
      <w:b/>
      <w:snapToGrid w:val="0"/>
      <w:sz w:val="32"/>
      <w:szCs w:val="32"/>
    </w:rPr>
  </w:style>
  <w:style w:type="paragraph" w:customStyle="1" w:styleId="COMH1-notnumbered">
    <w:name w:val="COM H1 - not numbered"/>
    <w:next w:val="COMESH2"/>
    <w:link w:val="COMH1-notnumberedChar"/>
    <w:qFormat/>
    <w:rsid w:val="00D64CBE"/>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H1-notnumberedChar">
    <w:name w:val="COM H1 - not numbered Char"/>
    <w:basedOn w:val="DefaultParagraphFont"/>
    <w:link w:val="COMH1-notnumbered"/>
    <w:rsid w:val="00D64CBE"/>
    <w:rPr>
      <w:rFonts w:asciiTheme="minorHAnsi" w:eastAsiaTheme="majorEastAsia" w:hAnsiTheme="minorHAnsi" w:cstheme="majorBidi"/>
      <w:b/>
      <w:spacing w:val="5"/>
      <w:kern w:val="28"/>
      <w:sz w:val="36"/>
      <w:szCs w:val="36"/>
    </w:rPr>
  </w:style>
  <w:style w:type="paragraph" w:customStyle="1" w:styleId="COMTableFigurecaption">
    <w:name w:val="COM Table/Figure caption"/>
    <w:next w:val="Normal"/>
    <w:link w:val="COMTableFigurecaptionChar"/>
    <w:qFormat/>
    <w:rsid w:val="004C3B02"/>
    <w:pPr>
      <w:keepNext/>
    </w:pPr>
    <w:rPr>
      <w:rFonts w:ascii="Arial Narrow" w:eastAsiaTheme="majorEastAsia" w:hAnsi="Arial Narrow" w:cstheme="majorBidi"/>
      <w:b/>
      <w:bCs/>
      <w:szCs w:val="24"/>
    </w:rPr>
  </w:style>
  <w:style w:type="character" w:customStyle="1" w:styleId="COMTableFigurecaptionChar">
    <w:name w:val="COM Table/Figure caption Char"/>
    <w:basedOn w:val="DefaultParagraphFont"/>
    <w:link w:val="COMTableFigurecaption"/>
    <w:rsid w:val="004C3B02"/>
    <w:rPr>
      <w:rFonts w:ascii="Arial Narrow" w:eastAsiaTheme="majorEastAsia" w:hAnsi="Arial Narrow" w:cstheme="majorBidi"/>
      <w:b/>
      <w:bCs/>
      <w:szCs w:val="24"/>
    </w:rPr>
  </w:style>
  <w:style w:type="paragraph" w:customStyle="1" w:styleId="COMESnumberedpara">
    <w:name w:val="COM ES numbered para"/>
    <w:link w:val="COMESnumberedparaChar"/>
    <w:qFormat/>
    <w:rsid w:val="004C3B02"/>
    <w:pPr>
      <w:numPr>
        <w:ilvl w:val="1"/>
        <w:numId w:val="10"/>
      </w:numPr>
      <w:spacing w:before="60" w:after="60"/>
      <w:jc w:val="both"/>
    </w:pPr>
    <w:rPr>
      <w:rFonts w:asciiTheme="minorHAnsi" w:eastAsiaTheme="minorHAnsi" w:hAnsiTheme="minorHAnsi" w:cstheme="minorBidi"/>
      <w:sz w:val="24"/>
      <w:szCs w:val="22"/>
    </w:rPr>
  </w:style>
  <w:style w:type="character" w:customStyle="1" w:styleId="COMESnumberedparaChar">
    <w:name w:val="COM ES numbered para Char"/>
    <w:basedOn w:val="ListParagraphChar"/>
    <w:link w:val="COMESnumberedpara"/>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COMTablefooter">
    <w:name w:val="COM Table footer"/>
    <w:basedOn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ESSubsectionheading">
    <w:name w:val="COM ES Subsection heading"/>
    <w:basedOn w:val="Heading2"/>
    <w:next w:val="COMESnumberedpara"/>
    <w:link w:val="COMESSubsectionheadingChar"/>
    <w:autoRedefine/>
    <w:qFormat/>
    <w:rsid w:val="00B2525F"/>
    <w:pPr>
      <w:keepNext/>
      <w:keepLines/>
      <w:widowControl w:val="0"/>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COMESSubsectionheadingChar">
    <w:name w:val="COM ES Subsection heading Char"/>
    <w:basedOn w:val="Heading2Char"/>
    <w:link w:val="COMESSubsectionheading"/>
    <w:rsid w:val="00B2525F"/>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COMCICheadings">
    <w:name w:val="COM CIC headings"/>
    <w:basedOn w:val="Heading3"/>
    <w:next w:val="COMESnumberedpara"/>
    <w:link w:val="COMCICheadings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COMCICheadingsChar">
    <w:name w:val="COM CIC headings Char"/>
    <w:basedOn w:val="DefaultParagraphFont"/>
    <w:link w:val="COMCICheadings"/>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COMTabletextChar">
    <w:name w:val="COM Table text Char"/>
    <w:basedOn w:val="DefaultParagraphFont"/>
    <w:link w:val="COMTabletext"/>
    <w:rsid w:val="00D92D9D"/>
    <w:rPr>
      <w:rFonts w:ascii="Arial Narrow" w:eastAsiaTheme="majorEastAsia" w:hAnsi="Arial Narrow" w:cstheme="majorBidi"/>
      <w:bCs/>
      <w:szCs w:val="24"/>
    </w:rPr>
  </w:style>
  <w:style w:type="paragraph" w:customStyle="1" w:styleId="bullet">
    <w:name w:val="bullet"/>
    <w:basedOn w:val="ListParagraph"/>
    <w:link w:val="bulletChar"/>
    <w:rsid w:val="00D30D5B"/>
    <w:pPr>
      <w:numPr>
        <w:numId w:val="8"/>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character" w:customStyle="1" w:styleId="COMBodybulletlistChar">
    <w:name w:val="COM Body bullet list Char"/>
    <w:basedOn w:val="DefaultParagraphFont"/>
    <w:link w:val="COMBodybulletlist"/>
    <w:rsid w:val="00994A19"/>
    <w:rPr>
      <w:rFonts w:ascii="Calibri" w:hAnsi="Calibri" w:cs="Arial"/>
      <w:sz w:val="24"/>
      <w:szCs w:val="24"/>
    </w:rPr>
  </w:style>
  <w:style w:type="paragraph" w:customStyle="1" w:styleId="COMESbulletlist">
    <w:name w:val="COM ES bullet list"/>
    <w:basedOn w:val="ListParagraph"/>
    <w:link w:val="COMESbulletlistChar"/>
    <w:qFormat/>
    <w:rsid w:val="00DB38FF"/>
    <w:pPr>
      <w:ind w:left="1134" w:hanging="425"/>
    </w:pPr>
  </w:style>
  <w:style w:type="character" w:customStyle="1" w:styleId="COMESbulletlistChar">
    <w:name w:val="COM ES bullet list Char"/>
    <w:basedOn w:val="DefaultParagraphFont"/>
    <w:link w:val="COMESbulletlist"/>
    <w:rsid w:val="00DB38FF"/>
    <w:rPr>
      <w:rFonts w:asciiTheme="minorHAnsi" w:hAnsiTheme="minorHAnsi" w:cs="Arial"/>
      <w:snapToGrid w:val="0"/>
      <w:sz w:val="24"/>
      <w:szCs w:val="24"/>
    </w:rPr>
  </w:style>
  <w:style w:type="paragraph" w:customStyle="1" w:styleId="COMBodytext">
    <w:name w:val="COM Body text"/>
    <w:basedOn w:val="Normal"/>
    <w:qFormat/>
    <w:rsid w:val="00994A19"/>
  </w:style>
  <w:style w:type="character" w:styleId="UnresolvedMention">
    <w:name w:val="Unresolved Mention"/>
    <w:basedOn w:val="DefaultParagraphFont"/>
    <w:uiPriority w:val="99"/>
    <w:semiHidden/>
    <w:unhideWhenUsed/>
    <w:rsid w:val="00684679"/>
    <w:rPr>
      <w:color w:val="605E5C"/>
      <w:shd w:val="clear" w:color="auto" w:fill="E1DFDD"/>
    </w:rPr>
  </w:style>
  <w:style w:type="paragraph" w:customStyle="1" w:styleId="COMBodyH4">
    <w:name w:val="COM Body H4"/>
    <w:basedOn w:val="Normal"/>
    <w:next w:val="COMBodytext"/>
    <w:link w:val="COMBodyH4Char"/>
    <w:qFormat/>
    <w:rsid w:val="00466B8C"/>
    <w:pPr>
      <w:keepNext/>
      <w:spacing w:after="120"/>
      <w:outlineLvl w:val="3"/>
    </w:pPr>
    <w:rPr>
      <w:b/>
      <w:i/>
    </w:rPr>
  </w:style>
  <w:style w:type="character" w:customStyle="1" w:styleId="COMBodyH4Char">
    <w:name w:val="COM Body H4 Char"/>
    <w:basedOn w:val="DefaultParagraphFont"/>
    <w:link w:val="COMBodyH4"/>
    <w:rsid w:val="00466B8C"/>
    <w:rPr>
      <w:rFonts w:ascii="Calibri" w:hAnsi="Calibri" w:cs="Arial"/>
      <w:b/>
      <w:i/>
      <w:sz w:val="24"/>
      <w:szCs w:val="24"/>
    </w:rPr>
  </w:style>
  <w:style w:type="paragraph" w:customStyle="1" w:styleId="COMESmainissuesbullets">
    <w:name w:val="COM ES main issues bullets"/>
    <w:basedOn w:val="Normal"/>
    <w:link w:val="COMESmainissuesbulletsChar"/>
    <w:qFormat/>
    <w:rsid w:val="005914E0"/>
    <w:pPr>
      <w:numPr>
        <w:numId w:val="12"/>
      </w:numPr>
      <w:spacing w:after="120"/>
    </w:pPr>
    <w:rPr>
      <w:rFonts w:asciiTheme="minorHAnsi" w:hAnsiTheme="minorHAnsi"/>
      <w:snapToGrid w:val="0"/>
    </w:rPr>
  </w:style>
  <w:style w:type="character" w:customStyle="1" w:styleId="COMESmainissuesbulletsChar">
    <w:name w:val="COM ES main issues bullets Char"/>
    <w:basedOn w:val="DefaultParagraphFont"/>
    <w:link w:val="COMESmainissuesbullets"/>
    <w:rsid w:val="005914E0"/>
    <w:rPr>
      <w:rFonts w:asciiTheme="minorHAnsi" w:hAnsiTheme="minorHAnsi" w:cs="Arial"/>
      <w:snapToGrid w:val="0"/>
      <w:sz w:val="24"/>
      <w:szCs w:val="24"/>
    </w:rPr>
  </w:style>
  <w:style w:type="paragraph" w:customStyle="1" w:styleId="COMESH2-notnumbered">
    <w:name w:val="COM ES H2-not numbered"/>
    <w:basedOn w:val="COMESH2"/>
    <w:next w:val="COMBodytext"/>
    <w:qFormat/>
    <w:rsid w:val="00111F99"/>
    <w:pPr>
      <w:numPr>
        <w:numId w:val="0"/>
      </w:numPr>
    </w:pPr>
  </w:style>
  <w:style w:type="character" w:styleId="CommentReference">
    <w:name w:val="annotation reference"/>
    <w:aliases w:val="Table Title"/>
    <w:basedOn w:val="DefaultParagraphFont"/>
    <w:uiPriority w:val="99"/>
    <w:unhideWhenUsed/>
    <w:qFormat/>
    <w:rsid w:val="00463C82"/>
    <w:rPr>
      <w:sz w:val="16"/>
      <w:szCs w:val="16"/>
    </w:rPr>
  </w:style>
  <w:style w:type="paragraph" w:styleId="CommentText">
    <w:name w:val="annotation text"/>
    <w:basedOn w:val="Normal"/>
    <w:link w:val="CommentTextChar"/>
    <w:unhideWhenUsed/>
    <w:rsid w:val="00463C82"/>
    <w:rPr>
      <w:sz w:val="20"/>
      <w:szCs w:val="20"/>
    </w:rPr>
  </w:style>
  <w:style w:type="character" w:customStyle="1" w:styleId="CommentTextChar">
    <w:name w:val="Comment Text Char"/>
    <w:basedOn w:val="DefaultParagraphFont"/>
    <w:link w:val="CommentText"/>
    <w:rsid w:val="00463C82"/>
    <w:rPr>
      <w:rFonts w:ascii="Calibri" w:hAnsi="Calibri" w:cs="Arial"/>
    </w:rPr>
  </w:style>
  <w:style w:type="paragraph" w:styleId="CommentSubject">
    <w:name w:val="annotation subject"/>
    <w:basedOn w:val="CommentText"/>
    <w:next w:val="CommentText"/>
    <w:link w:val="CommentSubjectChar"/>
    <w:semiHidden/>
    <w:unhideWhenUsed/>
    <w:rsid w:val="00463C82"/>
    <w:rPr>
      <w:b/>
      <w:bCs/>
    </w:rPr>
  </w:style>
  <w:style w:type="character" w:customStyle="1" w:styleId="CommentSubjectChar">
    <w:name w:val="Comment Subject Char"/>
    <w:basedOn w:val="CommentTextChar"/>
    <w:link w:val="CommentSubject"/>
    <w:semiHidden/>
    <w:rsid w:val="00463C82"/>
    <w:rPr>
      <w:rFonts w:ascii="Calibri" w:hAnsi="Calibri" w:cs="Arial"/>
      <w:b/>
      <w:bCs/>
    </w:rPr>
  </w:style>
  <w:style w:type="paragraph" w:customStyle="1" w:styleId="PBACTabletext">
    <w:name w:val="PBAC Table text"/>
    <w:link w:val="PBACTabletextChar"/>
    <w:qFormat/>
    <w:rsid w:val="00BF6696"/>
    <w:pPr>
      <w:keepNext/>
      <w:keepLines/>
      <w:suppressLineNumbers/>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BF6696"/>
    <w:rPr>
      <w:rFonts w:ascii="Arial Narrow" w:hAnsi="Arial Narrow" w:cs="Arial"/>
      <w:szCs w:val="24"/>
      <w:lang w:eastAsia="en-GB"/>
    </w:rPr>
  </w:style>
  <w:style w:type="table" w:customStyle="1" w:styleId="TableGrid4">
    <w:name w:val="Table Grid4"/>
    <w:basedOn w:val="TableNormal"/>
    <w:next w:val="TableGrid"/>
    <w:uiPriority w:val="59"/>
    <w:rsid w:val="00422A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ableFigure">
    <w:name w:val="Footer Table/Figure"/>
    <w:basedOn w:val="Normal"/>
    <w:link w:val="FooterTableFigureChar"/>
    <w:rsid w:val="005E469B"/>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5E469B"/>
    <w:rPr>
      <w:rFonts w:ascii="Arial Narrow" w:hAnsi="Arial Narrow" w:cs="Arial"/>
      <w:snapToGrid w:val="0"/>
      <w:sz w:val="18"/>
      <w:szCs w:val="22"/>
    </w:rPr>
  </w:style>
  <w:style w:type="paragraph" w:customStyle="1" w:styleId="TableText">
    <w:name w:val="Table Text"/>
    <w:link w:val="TableTextChar"/>
    <w:qFormat/>
    <w:rsid w:val="000833F0"/>
    <w:pPr>
      <w:keepNext/>
    </w:pPr>
    <w:rPr>
      <w:rFonts w:ascii="Arial Narrow" w:eastAsiaTheme="majorEastAsia" w:hAnsi="Arial Narrow" w:cstheme="majorBidi"/>
      <w:bCs/>
      <w:szCs w:val="24"/>
    </w:rPr>
  </w:style>
  <w:style w:type="paragraph" w:customStyle="1" w:styleId="In-tableHeading">
    <w:name w:val="In-table Heading"/>
    <w:qFormat/>
    <w:rsid w:val="000833F0"/>
    <w:pPr>
      <w:keepNext/>
    </w:pPr>
    <w:rPr>
      <w:rFonts w:ascii="Arial Narrow" w:eastAsiaTheme="majorEastAsia" w:hAnsi="Arial Narrow"/>
      <w:b/>
      <w:szCs w:val="24"/>
      <w:lang w:val="en-US"/>
    </w:rPr>
  </w:style>
  <w:style w:type="character" w:customStyle="1" w:styleId="TableTextChar">
    <w:name w:val="Table Text Char"/>
    <w:basedOn w:val="DefaultParagraphFont"/>
    <w:link w:val="TableText"/>
    <w:rsid w:val="000833F0"/>
    <w:rPr>
      <w:rFonts w:ascii="Arial Narrow" w:eastAsiaTheme="majorEastAsia" w:hAnsi="Arial Narrow" w:cstheme="majorBidi"/>
      <w:bCs/>
      <w:szCs w:val="24"/>
    </w:rPr>
  </w:style>
  <w:style w:type="paragraph" w:customStyle="1" w:styleId="COMexecsummheadings">
    <w:name w:val="COM exec summ headings"/>
    <w:next w:val="Normal"/>
    <w:link w:val="COMexecsummheadingsChar"/>
    <w:qFormat/>
    <w:rsid w:val="00A921A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A921A3"/>
    <w:rPr>
      <w:rFonts w:asciiTheme="minorHAnsi" w:eastAsiaTheme="majorEastAsia" w:hAnsiTheme="minorHAnsi" w:cstheme="majorBidi"/>
      <w:b/>
      <w:spacing w:val="5"/>
      <w:kern w:val="28"/>
      <w:sz w:val="36"/>
      <w:szCs w:val="36"/>
    </w:rPr>
  </w:style>
  <w:style w:type="table" w:customStyle="1" w:styleId="LightShading1">
    <w:name w:val="Light Shading1"/>
    <w:basedOn w:val="TableNormal"/>
    <w:next w:val="LightShading"/>
    <w:uiPriority w:val="60"/>
    <w:rsid w:val="006D4959"/>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semiHidden/>
    <w:unhideWhenUsed/>
    <w:rsid w:val="006D49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Footer">
    <w:name w:val="Table Footer"/>
    <w:basedOn w:val="Normal"/>
    <w:link w:val="TableFooterChar"/>
    <w:qFormat/>
    <w:rsid w:val="00E507B6"/>
    <w:pPr>
      <w:widowControl w:val="0"/>
    </w:pPr>
    <w:rPr>
      <w:rFonts w:ascii="Arial Narrow" w:hAnsi="Arial Narrow"/>
      <w:snapToGrid w:val="0"/>
      <w:sz w:val="18"/>
      <w:szCs w:val="22"/>
      <w:lang w:eastAsia="en-US"/>
    </w:rPr>
  </w:style>
  <w:style w:type="character" w:customStyle="1" w:styleId="TableFooterChar">
    <w:name w:val="Table Footer Char"/>
    <w:link w:val="TableFooter"/>
    <w:rsid w:val="00E507B6"/>
    <w:rPr>
      <w:rFonts w:ascii="Arial Narrow" w:hAnsi="Arial Narrow" w:cs="Arial"/>
      <w:snapToGrid w:val="0"/>
      <w:sz w:val="18"/>
      <w:szCs w:val="22"/>
      <w:lang w:eastAsia="en-US"/>
    </w:rPr>
  </w:style>
  <w:style w:type="paragraph" w:customStyle="1" w:styleId="COMtablefigcaption">
    <w:name w:val="COM table/fig caption"/>
    <w:next w:val="COMTableheadingrow"/>
    <w:link w:val="COMtablefigcaptionChar"/>
    <w:qFormat/>
    <w:rsid w:val="002134CC"/>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2134CC"/>
    <w:rPr>
      <w:rFonts w:ascii="Arial Narrow" w:eastAsiaTheme="majorEastAsia" w:hAnsi="Arial Narrow" w:cstheme="majorBidi"/>
      <w:b/>
      <w:bCs/>
      <w:szCs w:val="24"/>
    </w:rPr>
  </w:style>
  <w:style w:type="paragraph" w:customStyle="1" w:styleId="PBACH4">
    <w:name w:val="PBAC H4"/>
    <w:basedOn w:val="Heading4"/>
    <w:next w:val="Normal"/>
    <w:qFormat/>
    <w:rsid w:val="00EC3008"/>
    <w:pPr>
      <w:keepLines/>
      <w:spacing w:after="120"/>
      <w:jc w:val="left"/>
    </w:pPr>
    <w:rPr>
      <w:rFonts w:eastAsiaTheme="majorEastAsia" w:cstheme="majorBidi"/>
      <w:i w:val="0"/>
      <w:iCs/>
      <w:szCs w:val="24"/>
      <w:lang w:eastAsia="en-GB"/>
    </w:rPr>
  </w:style>
  <w:style w:type="paragraph" w:customStyle="1" w:styleId="PBACTblFignote">
    <w:name w:val="PBAC Tbl/Fig note"/>
    <w:qFormat/>
    <w:rsid w:val="00EC3008"/>
    <w:pPr>
      <w:keepLines/>
      <w:spacing w:after="360"/>
      <w:contextualSpacing/>
      <w:textboxTightWrap w:val="allLines"/>
    </w:pPr>
    <w:rPr>
      <w:rFonts w:ascii="Arial Narrow" w:hAnsi="Arial Narrow" w:cs="Arial"/>
      <w:sz w:val="18"/>
      <w:szCs w:val="24"/>
      <w:lang w:eastAsia="en-GB"/>
    </w:rPr>
  </w:style>
  <w:style w:type="character" w:styleId="FootnoteReference">
    <w:name w:val="footnote reference"/>
    <w:basedOn w:val="DefaultParagraphFont"/>
    <w:semiHidden/>
    <w:unhideWhenUsed/>
    <w:rsid w:val="00EC3008"/>
    <w:rPr>
      <w:vertAlign w:val="superscript"/>
    </w:rPr>
  </w:style>
  <w:style w:type="paragraph" w:styleId="Footer">
    <w:name w:val="footer"/>
    <w:basedOn w:val="Normal"/>
    <w:link w:val="FooterChar"/>
    <w:uiPriority w:val="99"/>
    <w:unhideWhenUsed/>
    <w:rsid w:val="00535A09"/>
    <w:pPr>
      <w:tabs>
        <w:tab w:val="center" w:pos="4513"/>
        <w:tab w:val="right" w:pos="9026"/>
      </w:tabs>
    </w:pPr>
  </w:style>
  <w:style w:type="character" w:customStyle="1" w:styleId="FooterChar">
    <w:name w:val="Footer Char"/>
    <w:basedOn w:val="DefaultParagraphFont"/>
    <w:link w:val="Footer"/>
    <w:uiPriority w:val="99"/>
    <w:rsid w:val="00535A09"/>
    <w:rPr>
      <w:rFonts w:ascii="Calibri" w:hAnsi="Calibri" w:cs="Arial"/>
      <w:sz w:val="24"/>
      <w:szCs w:val="24"/>
    </w:rPr>
  </w:style>
  <w:style w:type="paragraph" w:customStyle="1" w:styleId="COMbodybulletlist0">
    <w:name w:val="COM body bullet list"/>
    <w:basedOn w:val="Normal"/>
    <w:link w:val="COMbodybulletlistChar0"/>
    <w:qFormat/>
    <w:rsid w:val="00D03E9C"/>
    <w:pPr>
      <w:tabs>
        <w:tab w:val="num" w:pos="360"/>
      </w:tabs>
      <w:ind w:left="360" w:hanging="360"/>
      <w:contextualSpacing/>
    </w:pPr>
  </w:style>
  <w:style w:type="character" w:customStyle="1" w:styleId="COMbodybulletlistChar0">
    <w:name w:val="COM body bullet list Char"/>
    <w:basedOn w:val="DefaultParagraphFont"/>
    <w:link w:val="COMbodybulletlist0"/>
    <w:rsid w:val="00D03E9C"/>
    <w:rPr>
      <w:rFonts w:ascii="Calibri" w:hAnsi="Calibri" w:cs="Arial"/>
      <w:sz w:val="24"/>
      <w:szCs w:val="24"/>
    </w:rPr>
  </w:style>
  <w:style w:type="paragraph" w:customStyle="1" w:styleId="COMBody">
    <w:name w:val="COM Body"/>
    <w:basedOn w:val="Normal"/>
    <w:link w:val="COMBodyChar"/>
    <w:qFormat/>
    <w:rsid w:val="007002C1"/>
  </w:style>
  <w:style w:type="character" w:customStyle="1" w:styleId="COMBodyChar">
    <w:name w:val="COM Body Char"/>
    <w:basedOn w:val="DefaultParagraphFont"/>
    <w:link w:val="COMBody"/>
    <w:rsid w:val="007002C1"/>
    <w:rPr>
      <w:rFonts w:ascii="Calibri" w:hAnsi="Calibri" w:cs="Arial"/>
      <w:sz w:val="24"/>
      <w:szCs w:val="24"/>
    </w:rPr>
  </w:style>
  <w:style w:type="paragraph" w:customStyle="1" w:styleId="Default">
    <w:name w:val="Default"/>
    <w:rsid w:val="0068431C"/>
    <w:pPr>
      <w:autoSpaceDE w:val="0"/>
      <w:autoSpaceDN w:val="0"/>
      <w:adjustRightInd w:val="0"/>
    </w:pPr>
    <w:rPr>
      <w:rFonts w:ascii="Calibri" w:eastAsiaTheme="minorHAnsi" w:hAnsi="Calibri" w:cs="Calibri"/>
      <w:color w:val="000000"/>
      <w:sz w:val="24"/>
      <w:szCs w:val="24"/>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COMtablefigcaption"/>
    <w:next w:val="Normal"/>
    <w:link w:val="CaptionChar"/>
    <w:unhideWhenUsed/>
    <w:rsid w:val="003806B5"/>
  </w:style>
  <w:style w:type="paragraph" w:customStyle="1" w:styleId="PBACHeading1">
    <w:name w:val="PBAC Heading 1"/>
    <w:qFormat/>
    <w:rsid w:val="00F56F2A"/>
    <w:pPr>
      <w:ind w:left="720" w:hanging="720"/>
    </w:pPr>
    <w:rPr>
      <w:rFonts w:ascii="Calibri" w:hAnsi="Calibri" w:cs="Arial"/>
      <w:b/>
      <w:snapToGrid w:val="0"/>
      <w:sz w:val="32"/>
      <w:szCs w:val="22"/>
      <w:lang w:eastAsia="en-US"/>
    </w:rPr>
  </w:style>
  <w:style w:type="paragraph" w:customStyle="1" w:styleId="TableName">
    <w:name w:val="TableName"/>
    <w:basedOn w:val="Normal"/>
    <w:rsid w:val="00C36B7C"/>
    <w:pPr>
      <w:keepNext/>
      <w:spacing w:before="120" w:after="120"/>
      <w:ind w:left="1800" w:hanging="1080"/>
      <w:jc w:val="left"/>
    </w:pPr>
    <w:rPr>
      <w:rFonts w:ascii="Arial Narrow" w:hAnsi="Arial Narrow" w:cs="Arial Narrow"/>
      <w:b/>
      <w:bCs/>
      <w:szCs w:val="22"/>
      <w:lang w:eastAsia="en-US"/>
    </w:rPr>
  </w:style>
  <w:style w:type="paragraph" w:customStyle="1" w:styleId="2-SectionHeading">
    <w:name w:val="2-Section Heading"/>
    <w:qFormat/>
    <w:rsid w:val="006D09AF"/>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6D09AF"/>
    <w:pPr>
      <w:numPr>
        <w:numId w:val="0"/>
      </w:numPr>
      <w:ind w:left="720" w:hanging="720"/>
      <w:jc w:val="both"/>
    </w:pPr>
  </w:style>
  <w:style w:type="character" w:customStyle="1" w:styleId="3-BodyTextChar">
    <w:name w:val="3-Body Text Char"/>
    <w:basedOn w:val="DefaultParagraphFont"/>
    <w:link w:val="3-BodyText"/>
    <w:rsid w:val="006D09AF"/>
    <w:rPr>
      <w:rFonts w:asciiTheme="minorHAnsi" w:hAnsiTheme="minorHAnsi" w:cs="Arial"/>
      <w:snapToGrid w:val="0"/>
      <w:sz w:val="24"/>
      <w:szCs w:val="24"/>
    </w:rPr>
  </w:style>
  <w:style w:type="paragraph" w:customStyle="1" w:styleId="COMtablefooter0">
    <w:name w:val="COM table footer"/>
    <w:basedOn w:val="COMTablefooter"/>
    <w:link w:val="COMtablefooterChar0"/>
    <w:qFormat/>
    <w:rsid w:val="00375EE9"/>
  </w:style>
  <w:style w:type="character" w:customStyle="1" w:styleId="COMtablefooterChar0">
    <w:name w:val="COM table footer Char"/>
    <w:basedOn w:val="COMTablefooterChar"/>
    <w:link w:val="COMtablefooter0"/>
    <w:rsid w:val="00375EE9"/>
    <w:rPr>
      <w:rFonts w:ascii="Arial Narrow" w:hAnsi="Arial Narrow" w:cs="Arial"/>
      <w:snapToGrid w:val="0"/>
      <w:sz w:val="18"/>
      <w:szCs w:val="22"/>
    </w:rPr>
  </w:style>
  <w:style w:type="paragraph" w:customStyle="1" w:styleId="COMH1-numbered">
    <w:name w:val="COM H1 - numbered"/>
    <w:next w:val="COMexecsummnumbered"/>
    <w:qFormat/>
    <w:rsid w:val="00375EE9"/>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link w:val="COMexecsummnumberedChar"/>
    <w:qFormat/>
    <w:rsid w:val="00375EE9"/>
    <w:pPr>
      <w:spacing w:before="60" w:after="60"/>
      <w:ind w:left="720" w:hanging="7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375EE9"/>
    <w:rPr>
      <w:rFonts w:asciiTheme="minorHAnsi" w:eastAsiaTheme="minorHAnsi" w:hAnsiTheme="minorHAnsi" w:cstheme="minorBidi"/>
      <w:sz w:val="24"/>
      <w:szCs w:val="22"/>
    </w:rPr>
  </w:style>
  <w:style w:type="paragraph" w:styleId="FootnoteText">
    <w:name w:val="footnote text"/>
    <w:basedOn w:val="Normal"/>
    <w:link w:val="FootnoteTextChar"/>
    <w:semiHidden/>
    <w:unhideWhenUsed/>
    <w:rsid w:val="00375EE9"/>
    <w:rPr>
      <w:sz w:val="20"/>
      <w:szCs w:val="20"/>
    </w:rPr>
  </w:style>
  <w:style w:type="character" w:customStyle="1" w:styleId="FootnoteTextChar">
    <w:name w:val="Footnote Text Char"/>
    <w:basedOn w:val="DefaultParagraphFont"/>
    <w:link w:val="FootnoteText"/>
    <w:semiHidden/>
    <w:rsid w:val="00375EE9"/>
    <w:rPr>
      <w:rFonts w:ascii="Calibri" w:hAnsi="Calibri" w:cs="Arial"/>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locked/>
    <w:rsid w:val="003806B5"/>
    <w:rPr>
      <w:rFonts w:ascii="Arial Narrow" w:eastAsiaTheme="majorEastAsia" w:hAnsi="Arial Narrow" w:cstheme="majorBidi"/>
      <w:b/>
      <w:bCs/>
      <w:szCs w:val="24"/>
    </w:rPr>
  </w:style>
  <w:style w:type="table" w:customStyle="1" w:styleId="THEMAtable">
    <w:name w:val="THEMA_table"/>
    <w:basedOn w:val="TableNormal"/>
    <w:uiPriority w:val="99"/>
    <w:rsid w:val="00375EE9"/>
    <w:pPr>
      <w:contextualSpacing/>
    </w:pPr>
    <w:rPr>
      <w:rFonts w:ascii="Arial Narrow" w:eastAsiaTheme="minorHAnsi" w:hAnsi="Arial Narrow" w:cstheme="minorBidi"/>
      <w:szCs w:val="22"/>
      <w:lang w:eastAsia="en-US" w:bidi="he-I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contextualSpacing/>
      </w:pPr>
      <w:rPr>
        <w:rFonts w:ascii="Times" w:hAnsi="Times" w:hint="default"/>
        <w:b/>
        <w:sz w:val="20"/>
        <w:szCs w:val="20"/>
      </w:rPr>
      <w:tblPr/>
      <w:tcPr>
        <w:shd w:val="clear" w:color="auto" w:fill="D9D9D9" w:themeFill="background1" w:themeFillShade="D9"/>
      </w:tcPr>
    </w:tblStylePr>
    <w:tblStylePr w:type="lastRow">
      <w:pPr>
        <w:wordWrap/>
        <w:spacing w:beforeLines="0" w:before="100" w:beforeAutospacing="1" w:afterLines="0" w:after="100" w:afterAutospacing="1"/>
        <w:contextualSpacing/>
      </w:pPr>
      <w:rPr>
        <w:rFonts w:ascii="Times" w:hAnsi="Times" w:hint="default"/>
      </w:rPr>
    </w:tblStylePr>
  </w:style>
  <w:style w:type="character" w:customStyle="1" w:styleId="ms-1">
    <w:name w:val="ms-1"/>
    <w:basedOn w:val="DefaultParagraphFont"/>
    <w:rsid w:val="00375EE9"/>
  </w:style>
  <w:style w:type="character" w:customStyle="1" w:styleId="max-w-full">
    <w:name w:val="max-w-full"/>
    <w:basedOn w:val="DefaultParagraphFont"/>
    <w:rsid w:val="00375EE9"/>
  </w:style>
  <w:style w:type="character" w:styleId="Strong">
    <w:name w:val="Strong"/>
    <w:basedOn w:val="DefaultParagraphFont"/>
    <w:uiPriority w:val="22"/>
    <w:qFormat/>
    <w:rsid w:val="00375EE9"/>
    <w:rPr>
      <w:b/>
      <w:bCs/>
    </w:rPr>
  </w:style>
  <w:style w:type="character" w:styleId="Emphasis">
    <w:name w:val="Emphasis"/>
    <w:basedOn w:val="DefaultParagraphFont"/>
    <w:uiPriority w:val="20"/>
    <w:qFormat/>
    <w:rsid w:val="00375EE9"/>
    <w:rPr>
      <w:i/>
      <w:iCs/>
    </w:rPr>
  </w:style>
  <w:style w:type="paragraph" w:customStyle="1" w:styleId="C-BodyText">
    <w:name w:val="C-Body Text"/>
    <w:link w:val="C-BodyTextChar"/>
    <w:rsid w:val="00375EE9"/>
    <w:pPr>
      <w:spacing w:before="120" w:after="120" w:line="280" w:lineRule="atLeast"/>
    </w:pPr>
    <w:rPr>
      <w:sz w:val="24"/>
      <w:lang w:val="en-US" w:eastAsia="en-US"/>
    </w:rPr>
  </w:style>
  <w:style w:type="character" w:customStyle="1" w:styleId="C-BodyTextChar">
    <w:name w:val="C-Body Text Char"/>
    <w:basedOn w:val="DefaultParagraphFont"/>
    <w:link w:val="C-BodyText"/>
    <w:rsid w:val="00375EE9"/>
    <w:rPr>
      <w:sz w:val="24"/>
      <w:lang w:val="en-US" w:eastAsia="en-US"/>
    </w:rPr>
  </w:style>
  <w:style w:type="paragraph" w:customStyle="1" w:styleId="Bulletpoints">
    <w:name w:val="Bullet points"/>
    <w:basedOn w:val="Normal"/>
    <w:rsid w:val="005909C9"/>
    <w:pPr>
      <w:spacing w:after="120"/>
      <w:ind w:left="720"/>
      <w:contextualSpacing/>
    </w:pPr>
    <w:rPr>
      <w:snapToGrid w:val="0"/>
    </w:rPr>
  </w:style>
  <w:style w:type="character" w:customStyle="1" w:styleId="TitleChar">
    <w:name w:val="Title Char"/>
    <w:link w:val="Title"/>
    <w:uiPriority w:val="10"/>
    <w:rsid w:val="4B25A7EE"/>
  </w:style>
  <w:style w:type="paragraph" w:styleId="Title">
    <w:name w:val="Title"/>
    <w:basedOn w:val="COMH1-notnumbered"/>
    <w:next w:val="Normal"/>
    <w:link w:val="TitleChar"/>
    <w:uiPriority w:val="10"/>
    <w:qFormat/>
    <w:rsid w:val="4B25A7EE"/>
  </w:style>
  <w:style w:type="paragraph" w:customStyle="1" w:styleId="3-SubsectionHeading">
    <w:name w:val="3-Subsection Heading"/>
    <w:basedOn w:val="Heading2"/>
    <w:next w:val="Normal"/>
    <w:link w:val="3-SubsectionHeadingChar"/>
    <w:qFormat/>
    <w:rsid w:val="00380EB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80EB4"/>
    <w:rPr>
      <w:rFonts w:asciiTheme="minorHAnsi" w:eastAsiaTheme="majorEastAsia" w:hAnsiTheme="minorHAnsi" w:cstheme="majorBidi"/>
      <w:b/>
      <w:i/>
      <w:snapToGrid/>
      <w:spacing w:val="5"/>
      <w:kern w:val="28"/>
      <w:sz w:val="28"/>
      <w:szCs w:val="36"/>
      <w:lang w:eastAsia="en-US"/>
    </w:rPr>
  </w:style>
  <w:style w:type="paragraph" w:customStyle="1" w:styleId="paragraph">
    <w:name w:val="paragraph"/>
    <w:basedOn w:val="Normal"/>
    <w:rsid w:val="00705738"/>
    <w:pPr>
      <w:spacing w:before="100" w:beforeAutospacing="1" w:after="100" w:afterAutospacing="1"/>
      <w:jc w:val="left"/>
    </w:pPr>
    <w:rPr>
      <w:rFonts w:ascii="Times New Roman" w:hAnsi="Times New Roman" w:cs="Times New Roman"/>
    </w:rPr>
  </w:style>
  <w:style w:type="character" w:customStyle="1" w:styleId="eop">
    <w:name w:val="eop"/>
    <w:basedOn w:val="DefaultParagraphFont"/>
    <w:rsid w:val="00705738"/>
  </w:style>
  <w:style w:type="character" w:customStyle="1" w:styleId="normaltextrun">
    <w:name w:val="normaltextrun"/>
    <w:basedOn w:val="DefaultParagraphFont"/>
    <w:rsid w:val="00705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228">
      <w:bodyDiv w:val="1"/>
      <w:marLeft w:val="0"/>
      <w:marRight w:val="0"/>
      <w:marTop w:val="0"/>
      <w:marBottom w:val="0"/>
      <w:divBdr>
        <w:top w:val="none" w:sz="0" w:space="0" w:color="auto"/>
        <w:left w:val="none" w:sz="0" w:space="0" w:color="auto"/>
        <w:bottom w:val="none" w:sz="0" w:space="0" w:color="auto"/>
        <w:right w:val="none" w:sz="0" w:space="0" w:color="auto"/>
      </w:divBdr>
      <w:divsChild>
        <w:div w:id="17238942">
          <w:marLeft w:val="0"/>
          <w:marRight w:val="0"/>
          <w:marTop w:val="0"/>
          <w:marBottom w:val="0"/>
          <w:divBdr>
            <w:top w:val="none" w:sz="0" w:space="0" w:color="auto"/>
            <w:left w:val="none" w:sz="0" w:space="0" w:color="auto"/>
            <w:bottom w:val="none" w:sz="0" w:space="0" w:color="auto"/>
            <w:right w:val="none" w:sz="0" w:space="0" w:color="auto"/>
          </w:divBdr>
        </w:div>
        <w:div w:id="357436587">
          <w:marLeft w:val="0"/>
          <w:marRight w:val="0"/>
          <w:marTop w:val="0"/>
          <w:marBottom w:val="0"/>
          <w:divBdr>
            <w:top w:val="none" w:sz="0" w:space="0" w:color="auto"/>
            <w:left w:val="none" w:sz="0" w:space="0" w:color="auto"/>
            <w:bottom w:val="none" w:sz="0" w:space="0" w:color="auto"/>
            <w:right w:val="none" w:sz="0" w:space="0" w:color="auto"/>
          </w:divBdr>
          <w:divsChild>
            <w:div w:id="570432127">
              <w:marLeft w:val="-75"/>
              <w:marRight w:val="0"/>
              <w:marTop w:val="30"/>
              <w:marBottom w:val="30"/>
              <w:divBdr>
                <w:top w:val="none" w:sz="0" w:space="0" w:color="auto"/>
                <w:left w:val="none" w:sz="0" w:space="0" w:color="auto"/>
                <w:bottom w:val="none" w:sz="0" w:space="0" w:color="auto"/>
                <w:right w:val="none" w:sz="0" w:space="0" w:color="auto"/>
              </w:divBdr>
              <w:divsChild>
                <w:div w:id="2440179">
                  <w:marLeft w:val="0"/>
                  <w:marRight w:val="0"/>
                  <w:marTop w:val="0"/>
                  <w:marBottom w:val="0"/>
                  <w:divBdr>
                    <w:top w:val="none" w:sz="0" w:space="0" w:color="auto"/>
                    <w:left w:val="none" w:sz="0" w:space="0" w:color="auto"/>
                    <w:bottom w:val="none" w:sz="0" w:space="0" w:color="auto"/>
                    <w:right w:val="none" w:sz="0" w:space="0" w:color="auto"/>
                  </w:divBdr>
                  <w:divsChild>
                    <w:div w:id="498421825">
                      <w:marLeft w:val="0"/>
                      <w:marRight w:val="0"/>
                      <w:marTop w:val="0"/>
                      <w:marBottom w:val="0"/>
                      <w:divBdr>
                        <w:top w:val="none" w:sz="0" w:space="0" w:color="auto"/>
                        <w:left w:val="none" w:sz="0" w:space="0" w:color="auto"/>
                        <w:bottom w:val="none" w:sz="0" w:space="0" w:color="auto"/>
                        <w:right w:val="none" w:sz="0" w:space="0" w:color="auto"/>
                      </w:divBdr>
                    </w:div>
                    <w:div w:id="507797191">
                      <w:marLeft w:val="0"/>
                      <w:marRight w:val="0"/>
                      <w:marTop w:val="0"/>
                      <w:marBottom w:val="0"/>
                      <w:divBdr>
                        <w:top w:val="none" w:sz="0" w:space="0" w:color="auto"/>
                        <w:left w:val="none" w:sz="0" w:space="0" w:color="auto"/>
                        <w:bottom w:val="none" w:sz="0" w:space="0" w:color="auto"/>
                        <w:right w:val="none" w:sz="0" w:space="0" w:color="auto"/>
                      </w:divBdr>
                    </w:div>
                  </w:divsChild>
                </w:div>
                <w:div w:id="15236237">
                  <w:marLeft w:val="0"/>
                  <w:marRight w:val="0"/>
                  <w:marTop w:val="0"/>
                  <w:marBottom w:val="0"/>
                  <w:divBdr>
                    <w:top w:val="none" w:sz="0" w:space="0" w:color="auto"/>
                    <w:left w:val="none" w:sz="0" w:space="0" w:color="auto"/>
                    <w:bottom w:val="none" w:sz="0" w:space="0" w:color="auto"/>
                    <w:right w:val="none" w:sz="0" w:space="0" w:color="auto"/>
                  </w:divBdr>
                  <w:divsChild>
                    <w:div w:id="1037125954">
                      <w:marLeft w:val="0"/>
                      <w:marRight w:val="0"/>
                      <w:marTop w:val="0"/>
                      <w:marBottom w:val="0"/>
                      <w:divBdr>
                        <w:top w:val="none" w:sz="0" w:space="0" w:color="auto"/>
                        <w:left w:val="none" w:sz="0" w:space="0" w:color="auto"/>
                        <w:bottom w:val="none" w:sz="0" w:space="0" w:color="auto"/>
                        <w:right w:val="none" w:sz="0" w:space="0" w:color="auto"/>
                      </w:divBdr>
                    </w:div>
                  </w:divsChild>
                </w:div>
                <w:div w:id="48916507">
                  <w:marLeft w:val="0"/>
                  <w:marRight w:val="0"/>
                  <w:marTop w:val="0"/>
                  <w:marBottom w:val="0"/>
                  <w:divBdr>
                    <w:top w:val="none" w:sz="0" w:space="0" w:color="auto"/>
                    <w:left w:val="none" w:sz="0" w:space="0" w:color="auto"/>
                    <w:bottom w:val="none" w:sz="0" w:space="0" w:color="auto"/>
                    <w:right w:val="none" w:sz="0" w:space="0" w:color="auto"/>
                  </w:divBdr>
                  <w:divsChild>
                    <w:div w:id="120390418">
                      <w:marLeft w:val="0"/>
                      <w:marRight w:val="0"/>
                      <w:marTop w:val="0"/>
                      <w:marBottom w:val="0"/>
                      <w:divBdr>
                        <w:top w:val="none" w:sz="0" w:space="0" w:color="auto"/>
                        <w:left w:val="none" w:sz="0" w:space="0" w:color="auto"/>
                        <w:bottom w:val="none" w:sz="0" w:space="0" w:color="auto"/>
                        <w:right w:val="none" w:sz="0" w:space="0" w:color="auto"/>
                      </w:divBdr>
                    </w:div>
                    <w:div w:id="1104031436">
                      <w:marLeft w:val="0"/>
                      <w:marRight w:val="0"/>
                      <w:marTop w:val="0"/>
                      <w:marBottom w:val="0"/>
                      <w:divBdr>
                        <w:top w:val="none" w:sz="0" w:space="0" w:color="auto"/>
                        <w:left w:val="none" w:sz="0" w:space="0" w:color="auto"/>
                        <w:bottom w:val="none" w:sz="0" w:space="0" w:color="auto"/>
                        <w:right w:val="none" w:sz="0" w:space="0" w:color="auto"/>
                      </w:divBdr>
                    </w:div>
                    <w:div w:id="1251426450">
                      <w:marLeft w:val="0"/>
                      <w:marRight w:val="0"/>
                      <w:marTop w:val="0"/>
                      <w:marBottom w:val="0"/>
                      <w:divBdr>
                        <w:top w:val="none" w:sz="0" w:space="0" w:color="auto"/>
                        <w:left w:val="none" w:sz="0" w:space="0" w:color="auto"/>
                        <w:bottom w:val="none" w:sz="0" w:space="0" w:color="auto"/>
                        <w:right w:val="none" w:sz="0" w:space="0" w:color="auto"/>
                      </w:divBdr>
                    </w:div>
                    <w:div w:id="1522628957">
                      <w:marLeft w:val="0"/>
                      <w:marRight w:val="0"/>
                      <w:marTop w:val="0"/>
                      <w:marBottom w:val="0"/>
                      <w:divBdr>
                        <w:top w:val="none" w:sz="0" w:space="0" w:color="auto"/>
                        <w:left w:val="none" w:sz="0" w:space="0" w:color="auto"/>
                        <w:bottom w:val="none" w:sz="0" w:space="0" w:color="auto"/>
                        <w:right w:val="none" w:sz="0" w:space="0" w:color="auto"/>
                      </w:divBdr>
                    </w:div>
                    <w:div w:id="1549949812">
                      <w:marLeft w:val="0"/>
                      <w:marRight w:val="0"/>
                      <w:marTop w:val="0"/>
                      <w:marBottom w:val="0"/>
                      <w:divBdr>
                        <w:top w:val="none" w:sz="0" w:space="0" w:color="auto"/>
                        <w:left w:val="none" w:sz="0" w:space="0" w:color="auto"/>
                        <w:bottom w:val="none" w:sz="0" w:space="0" w:color="auto"/>
                        <w:right w:val="none" w:sz="0" w:space="0" w:color="auto"/>
                      </w:divBdr>
                    </w:div>
                    <w:div w:id="1663581481">
                      <w:marLeft w:val="0"/>
                      <w:marRight w:val="0"/>
                      <w:marTop w:val="0"/>
                      <w:marBottom w:val="0"/>
                      <w:divBdr>
                        <w:top w:val="none" w:sz="0" w:space="0" w:color="auto"/>
                        <w:left w:val="none" w:sz="0" w:space="0" w:color="auto"/>
                        <w:bottom w:val="none" w:sz="0" w:space="0" w:color="auto"/>
                        <w:right w:val="none" w:sz="0" w:space="0" w:color="auto"/>
                      </w:divBdr>
                    </w:div>
                  </w:divsChild>
                </w:div>
                <w:div w:id="95712055">
                  <w:marLeft w:val="0"/>
                  <w:marRight w:val="0"/>
                  <w:marTop w:val="0"/>
                  <w:marBottom w:val="0"/>
                  <w:divBdr>
                    <w:top w:val="none" w:sz="0" w:space="0" w:color="auto"/>
                    <w:left w:val="none" w:sz="0" w:space="0" w:color="auto"/>
                    <w:bottom w:val="none" w:sz="0" w:space="0" w:color="auto"/>
                    <w:right w:val="none" w:sz="0" w:space="0" w:color="auto"/>
                  </w:divBdr>
                  <w:divsChild>
                    <w:div w:id="1300917249">
                      <w:marLeft w:val="0"/>
                      <w:marRight w:val="0"/>
                      <w:marTop w:val="0"/>
                      <w:marBottom w:val="0"/>
                      <w:divBdr>
                        <w:top w:val="none" w:sz="0" w:space="0" w:color="auto"/>
                        <w:left w:val="none" w:sz="0" w:space="0" w:color="auto"/>
                        <w:bottom w:val="none" w:sz="0" w:space="0" w:color="auto"/>
                        <w:right w:val="none" w:sz="0" w:space="0" w:color="auto"/>
                      </w:divBdr>
                    </w:div>
                  </w:divsChild>
                </w:div>
                <w:div w:id="111900352">
                  <w:marLeft w:val="0"/>
                  <w:marRight w:val="0"/>
                  <w:marTop w:val="0"/>
                  <w:marBottom w:val="0"/>
                  <w:divBdr>
                    <w:top w:val="none" w:sz="0" w:space="0" w:color="auto"/>
                    <w:left w:val="none" w:sz="0" w:space="0" w:color="auto"/>
                    <w:bottom w:val="none" w:sz="0" w:space="0" w:color="auto"/>
                    <w:right w:val="none" w:sz="0" w:space="0" w:color="auto"/>
                  </w:divBdr>
                  <w:divsChild>
                    <w:div w:id="440299258">
                      <w:marLeft w:val="0"/>
                      <w:marRight w:val="0"/>
                      <w:marTop w:val="0"/>
                      <w:marBottom w:val="0"/>
                      <w:divBdr>
                        <w:top w:val="none" w:sz="0" w:space="0" w:color="auto"/>
                        <w:left w:val="none" w:sz="0" w:space="0" w:color="auto"/>
                        <w:bottom w:val="none" w:sz="0" w:space="0" w:color="auto"/>
                        <w:right w:val="none" w:sz="0" w:space="0" w:color="auto"/>
                      </w:divBdr>
                    </w:div>
                  </w:divsChild>
                </w:div>
                <w:div w:id="114951584">
                  <w:marLeft w:val="0"/>
                  <w:marRight w:val="0"/>
                  <w:marTop w:val="0"/>
                  <w:marBottom w:val="0"/>
                  <w:divBdr>
                    <w:top w:val="none" w:sz="0" w:space="0" w:color="auto"/>
                    <w:left w:val="none" w:sz="0" w:space="0" w:color="auto"/>
                    <w:bottom w:val="none" w:sz="0" w:space="0" w:color="auto"/>
                    <w:right w:val="none" w:sz="0" w:space="0" w:color="auto"/>
                  </w:divBdr>
                  <w:divsChild>
                    <w:div w:id="829633797">
                      <w:marLeft w:val="0"/>
                      <w:marRight w:val="0"/>
                      <w:marTop w:val="0"/>
                      <w:marBottom w:val="0"/>
                      <w:divBdr>
                        <w:top w:val="none" w:sz="0" w:space="0" w:color="auto"/>
                        <w:left w:val="none" w:sz="0" w:space="0" w:color="auto"/>
                        <w:bottom w:val="none" w:sz="0" w:space="0" w:color="auto"/>
                        <w:right w:val="none" w:sz="0" w:space="0" w:color="auto"/>
                      </w:divBdr>
                    </w:div>
                  </w:divsChild>
                </w:div>
                <w:div w:id="187068348">
                  <w:marLeft w:val="0"/>
                  <w:marRight w:val="0"/>
                  <w:marTop w:val="0"/>
                  <w:marBottom w:val="0"/>
                  <w:divBdr>
                    <w:top w:val="none" w:sz="0" w:space="0" w:color="auto"/>
                    <w:left w:val="none" w:sz="0" w:space="0" w:color="auto"/>
                    <w:bottom w:val="none" w:sz="0" w:space="0" w:color="auto"/>
                    <w:right w:val="none" w:sz="0" w:space="0" w:color="auto"/>
                  </w:divBdr>
                  <w:divsChild>
                    <w:div w:id="1263802410">
                      <w:marLeft w:val="0"/>
                      <w:marRight w:val="0"/>
                      <w:marTop w:val="0"/>
                      <w:marBottom w:val="0"/>
                      <w:divBdr>
                        <w:top w:val="none" w:sz="0" w:space="0" w:color="auto"/>
                        <w:left w:val="none" w:sz="0" w:space="0" w:color="auto"/>
                        <w:bottom w:val="none" w:sz="0" w:space="0" w:color="auto"/>
                        <w:right w:val="none" w:sz="0" w:space="0" w:color="auto"/>
                      </w:divBdr>
                    </w:div>
                  </w:divsChild>
                </w:div>
                <w:div w:id="187179431">
                  <w:marLeft w:val="0"/>
                  <w:marRight w:val="0"/>
                  <w:marTop w:val="0"/>
                  <w:marBottom w:val="0"/>
                  <w:divBdr>
                    <w:top w:val="none" w:sz="0" w:space="0" w:color="auto"/>
                    <w:left w:val="none" w:sz="0" w:space="0" w:color="auto"/>
                    <w:bottom w:val="none" w:sz="0" w:space="0" w:color="auto"/>
                    <w:right w:val="none" w:sz="0" w:space="0" w:color="auto"/>
                  </w:divBdr>
                  <w:divsChild>
                    <w:div w:id="1270694833">
                      <w:marLeft w:val="0"/>
                      <w:marRight w:val="0"/>
                      <w:marTop w:val="0"/>
                      <w:marBottom w:val="0"/>
                      <w:divBdr>
                        <w:top w:val="none" w:sz="0" w:space="0" w:color="auto"/>
                        <w:left w:val="none" w:sz="0" w:space="0" w:color="auto"/>
                        <w:bottom w:val="none" w:sz="0" w:space="0" w:color="auto"/>
                        <w:right w:val="none" w:sz="0" w:space="0" w:color="auto"/>
                      </w:divBdr>
                    </w:div>
                  </w:divsChild>
                </w:div>
                <w:div w:id="206181360">
                  <w:marLeft w:val="0"/>
                  <w:marRight w:val="0"/>
                  <w:marTop w:val="0"/>
                  <w:marBottom w:val="0"/>
                  <w:divBdr>
                    <w:top w:val="none" w:sz="0" w:space="0" w:color="auto"/>
                    <w:left w:val="none" w:sz="0" w:space="0" w:color="auto"/>
                    <w:bottom w:val="none" w:sz="0" w:space="0" w:color="auto"/>
                    <w:right w:val="none" w:sz="0" w:space="0" w:color="auto"/>
                  </w:divBdr>
                  <w:divsChild>
                    <w:div w:id="574434834">
                      <w:marLeft w:val="0"/>
                      <w:marRight w:val="0"/>
                      <w:marTop w:val="0"/>
                      <w:marBottom w:val="0"/>
                      <w:divBdr>
                        <w:top w:val="none" w:sz="0" w:space="0" w:color="auto"/>
                        <w:left w:val="none" w:sz="0" w:space="0" w:color="auto"/>
                        <w:bottom w:val="none" w:sz="0" w:space="0" w:color="auto"/>
                        <w:right w:val="none" w:sz="0" w:space="0" w:color="auto"/>
                      </w:divBdr>
                    </w:div>
                  </w:divsChild>
                </w:div>
                <w:div w:id="216169348">
                  <w:marLeft w:val="0"/>
                  <w:marRight w:val="0"/>
                  <w:marTop w:val="0"/>
                  <w:marBottom w:val="0"/>
                  <w:divBdr>
                    <w:top w:val="none" w:sz="0" w:space="0" w:color="auto"/>
                    <w:left w:val="none" w:sz="0" w:space="0" w:color="auto"/>
                    <w:bottom w:val="none" w:sz="0" w:space="0" w:color="auto"/>
                    <w:right w:val="none" w:sz="0" w:space="0" w:color="auto"/>
                  </w:divBdr>
                  <w:divsChild>
                    <w:div w:id="78333714">
                      <w:marLeft w:val="0"/>
                      <w:marRight w:val="0"/>
                      <w:marTop w:val="0"/>
                      <w:marBottom w:val="0"/>
                      <w:divBdr>
                        <w:top w:val="none" w:sz="0" w:space="0" w:color="auto"/>
                        <w:left w:val="none" w:sz="0" w:space="0" w:color="auto"/>
                        <w:bottom w:val="none" w:sz="0" w:space="0" w:color="auto"/>
                        <w:right w:val="none" w:sz="0" w:space="0" w:color="auto"/>
                      </w:divBdr>
                    </w:div>
                    <w:div w:id="245504432">
                      <w:marLeft w:val="0"/>
                      <w:marRight w:val="0"/>
                      <w:marTop w:val="0"/>
                      <w:marBottom w:val="0"/>
                      <w:divBdr>
                        <w:top w:val="none" w:sz="0" w:space="0" w:color="auto"/>
                        <w:left w:val="none" w:sz="0" w:space="0" w:color="auto"/>
                        <w:bottom w:val="none" w:sz="0" w:space="0" w:color="auto"/>
                        <w:right w:val="none" w:sz="0" w:space="0" w:color="auto"/>
                      </w:divBdr>
                    </w:div>
                    <w:div w:id="264116707">
                      <w:marLeft w:val="0"/>
                      <w:marRight w:val="0"/>
                      <w:marTop w:val="0"/>
                      <w:marBottom w:val="0"/>
                      <w:divBdr>
                        <w:top w:val="none" w:sz="0" w:space="0" w:color="auto"/>
                        <w:left w:val="none" w:sz="0" w:space="0" w:color="auto"/>
                        <w:bottom w:val="none" w:sz="0" w:space="0" w:color="auto"/>
                        <w:right w:val="none" w:sz="0" w:space="0" w:color="auto"/>
                      </w:divBdr>
                    </w:div>
                    <w:div w:id="270360110">
                      <w:marLeft w:val="0"/>
                      <w:marRight w:val="0"/>
                      <w:marTop w:val="0"/>
                      <w:marBottom w:val="0"/>
                      <w:divBdr>
                        <w:top w:val="none" w:sz="0" w:space="0" w:color="auto"/>
                        <w:left w:val="none" w:sz="0" w:space="0" w:color="auto"/>
                        <w:bottom w:val="none" w:sz="0" w:space="0" w:color="auto"/>
                        <w:right w:val="none" w:sz="0" w:space="0" w:color="auto"/>
                      </w:divBdr>
                    </w:div>
                    <w:div w:id="481965984">
                      <w:marLeft w:val="0"/>
                      <w:marRight w:val="0"/>
                      <w:marTop w:val="0"/>
                      <w:marBottom w:val="0"/>
                      <w:divBdr>
                        <w:top w:val="none" w:sz="0" w:space="0" w:color="auto"/>
                        <w:left w:val="none" w:sz="0" w:space="0" w:color="auto"/>
                        <w:bottom w:val="none" w:sz="0" w:space="0" w:color="auto"/>
                        <w:right w:val="none" w:sz="0" w:space="0" w:color="auto"/>
                      </w:divBdr>
                    </w:div>
                    <w:div w:id="846865548">
                      <w:marLeft w:val="0"/>
                      <w:marRight w:val="0"/>
                      <w:marTop w:val="0"/>
                      <w:marBottom w:val="0"/>
                      <w:divBdr>
                        <w:top w:val="none" w:sz="0" w:space="0" w:color="auto"/>
                        <w:left w:val="none" w:sz="0" w:space="0" w:color="auto"/>
                        <w:bottom w:val="none" w:sz="0" w:space="0" w:color="auto"/>
                        <w:right w:val="none" w:sz="0" w:space="0" w:color="auto"/>
                      </w:divBdr>
                    </w:div>
                    <w:div w:id="964192328">
                      <w:marLeft w:val="0"/>
                      <w:marRight w:val="0"/>
                      <w:marTop w:val="0"/>
                      <w:marBottom w:val="0"/>
                      <w:divBdr>
                        <w:top w:val="none" w:sz="0" w:space="0" w:color="auto"/>
                        <w:left w:val="none" w:sz="0" w:space="0" w:color="auto"/>
                        <w:bottom w:val="none" w:sz="0" w:space="0" w:color="auto"/>
                        <w:right w:val="none" w:sz="0" w:space="0" w:color="auto"/>
                      </w:divBdr>
                    </w:div>
                  </w:divsChild>
                </w:div>
                <w:div w:id="255790948">
                  <w:marLeft w:val="0"/>
                  <w:marRight w:val="0"/>
                  <w:marTop w:val="0"/>
                  <w:marBottom w:val="0"/>
                  <w:divBdr>
                    <w:top w:val="none" w:sz="0" w:space="0" w:color="auto"/>
                    <w:left w:val="none" w:sz="0" w:space="0" w:color="auto"/>
                    <w:bottom w:val="none" w:sz="0" w:space="0" w:color="auto"/>
                    <w:right w:val="none" w:sz="0" w:space="0" w:color="auto"/>
                  </w:divBdr>
                  <w:divsChild>
                    <w:div w:id="1492333115">
                      <w:marLeft w:val="0"/>
                      <w:marRight w:val="0"/>
                      <w:marTop w:val="0"/>
                      <w:marBottom w:val="0"/>
                      <w:divBdr>
                        <w:top w:val="none" w:sz="0" w:space="0" w:color="auto"/>
                        <w:left w:val="none" w:sz="0" w:space="0" w:color="auto"/>
                        <w:bottom w:val="none" w:sz="0" w:space="0" w:color="auto"/>
                        <w:right w:val="none" w:sz="0" w:space="0" w:color="auto"/>
                      </w:divBdr>
                    </w:div>
                  </w:divsChild>
                </w:div>
                <w:div w:id="341247082">
                  <w:marLeft w:val="0"/>
                  <w:marRight w:val="0"/>
                  <w:marTop w:val="0"/>
                  <w:marBottom w:val="0"/>
                  <w:divBdr>
                    <w:top w:val="none" w:sz="0" w:space="0" w:color="auto"/>
                    <w:left w:val="none" w:sz="0" w:space="0" w:color="auto"/>
                    <w:bottom w:val="none" w:sz="0" w:space="0" w:color="auto"/>
                    <w:right w:val="none" w:sz="0" w:space="0" w:color="auto"/>
                  </w:divBdr>
                  <w:divsChild>
                    <w:div w:id="786044508">
                      <w:marLeft w:val="0"/>
                      <w:marRight w:val="0"/>
                      <w:marTop w:val="0"/>
                      <w:marBottom w:val="0"/>
                      <w:divBdr>
                        <w:top w:val="none" w:sz="0" w:space="0" w:color="auto"/>
                        <w:left w:val="none" w:sz="0" w:space="0" w:color="auto"/>
                        <w:bottom w:val="none" w:sz="0" w:space="0" w:color="auto"/>
                        <w:right w:val="none" w:sz="0" w:space="0" w:color="auto"/>
                      </w:divBdr>
                    </w:div>
                    <w:div w:id="1222404711">
                      <w:marLeft w:val="0"/>
                      <w:marRight w:val="0"/>
                      <w:marTop w:val="0"/>
                      <w:marBottom w:val="0"/>
                      <w:divBdr>
                        <w:top w:val="none" w:sz="0" w:space="0" w:color="auto"/>
                        <w:left w:val="none" w:sz="0" w:space="0" w:color="auto"/>
                        <w:bottom w:val="none" w:sz="0" w:space="0" w:color="auto"/>
                        <w:right w:val="none" w:sz="0" w:space="0" w:color="auto"/>
                      </w:divBdr>
                    </w:div>
                  </w:divsChild>
                </w:div>
                <w:div w:id="402489328">
                  <w:marLeft w:val="0"/>
                  <w:marRight w:val="0"/>
                  <w:marTop w:val="0"/>
                  <w:marBottom w:val="0"/>
                  <w:divBdr>
                    <w:top w:val="none" w:sz="0" w:space="0" w:color="auto"/>
                    <w:left w:val="none" w:sz="0" w:space="0" w:color="auto"/>
                    <w:bottom w:val="none" w:sz="0" w:space="0" w:color="auto"/>
                    <w:right w:val="none" w:sz="0" w:space="0" w:color="auto"/>
                  </w:divBdr>
                  <w:divsChild>
                    <w:div w:id="1315840496">
                      <w:marLeft w:val="0"/>
                      <w:marRight w:val="0"/>
                      <w:marTop w:val="0"/>
                      <w:marBottom w:val="0"/>
                      <w:divBdr>
                        <w:top w:val="none" w:sz="0" w:space="0" w:color="auto"/>
                        <w:left w:val="none" w:sz="0" w:space="0" w:color="auto"/>
                        <w:bottom w:val="none" w:sz="0" w:space="0" w:color="auto"/>
                        <w:right w:val="none" w:sz="0" w:space="0" w:color="auto"/>
                      </w:divBdr>
                    </w:div>
                  </w:divsChild>
                </w:div>
                <w:div w:id="405348475">
                  <w:marLeft w:val="0"/>
                  <w:marRight w:val="0"/>
                  <w:marTop w:val="0"/>
                  <w:marBottom w:val="0"/>
                  <w:divBdr>
                    <w:top w:val="none" w:sz="0" w:space="0" w:color="auto"/>
                    <w:left w:val="none" w:sz="0" w:space="0" w:color="auto"/>
                    <w:bottom w:val="none" w:sz="0" w:space="0" w:color="auto"/>
                    <w:right w:val="none" w:sz="0" w:space="0" w:color="auto"/>
                  </w:divBdr>
                  <w:divsChild>
                    <w:div w:id="1173302829">
                      <w:marLeft w:val="0"/>
                      <w:marRight w:val="0"/>
                      <w:marTop w:val="0"/>
                      <w:marBottom w:val="0"/>
                      <w:divBdr>
                        <w:top w:val="none" w:sz="0" w:space="0" w:color="auto"/>
                        <w:left w:val="none" w:sz="0" w:space="0" w:color="auto"/>
                        <w:bottom w:val="none" w:sz="0" w:space="0" w:color="auto"/>
                        <w:right w:val="none" w:sz="0" w:space="0" w:color="auto"/>
                      </w:divBdr>
                    </w:div>
                  </w:divsChild>
                </w:div>
                <w:div w:id="418185477">
                  <w:marLeft w:val="0"/>
                  <w:marRight w:val="0"/>
                  <w:marTop w:val="0"/>
                  <w:marBottom w:val="0"/>
                  <w:divBdr>
                    <w:top w:val="none" w:sz="0" w:space="0" w:color="auto"/>
                    <w:left w:val="none" w:sz="0" w:space="0" w:color="auto"/>
                    <w:bottom w:val="none" w:sz="0" w:space="0" w:color="auto"/>
                    <w:right w:val="none" w:sz="0" w:space="0" w:color="auto"/>
                  </w:divBdr>
                  <w:divsChild>
                    <w:div w:id="1003820848">
                      <w:marLeft w:val="0"/>
                      <w:marRight w:val="0"/>
                      <w:marTop w:val="0"/>
                      <w:marBottom w:val="0"/>
                      <w:divBdr>
                        <w:top w:val="none" w:sz="0" w:space="0" w:color="auto"/>
                        <w:left w:val="none" w:sz="0" w:space="0" w:color="auto"/>
                        <w:bottom w:val="none" w:sz="0" w:space="0" w:color="auto"/>
                        <w:right w:val="none" w:sz="0" w:space="0" w:color="auto"/>
                      </w:divBdr>
                    </w:div>
                    <w:div w:id="1202859136">
                      <w:marLeft w:val="0"/>
                      <w:marRight w:val="0"/>
                      <w:marTop w:val="0"/>
                      <w:marBottom w:val="0"/>
                      <w:divBdr>
                        <w:top w:val="none" w:sz="0" w:space="0" w:color="auto"/>
                        <w:left w:val="none" w:sz="0" w:space="0" w:color="auto"/>
                        <w:bottom w:val="none" w:sz="0" w:space="0" w:color="auto"/>
                        <w:right w:val="none" w:sz="0" w:space="0" w:color="auto"/>
                      </w:divBdr>
                    </w:div>
                  </w:divsChild>
                </w:div>
                <w:div w:id="421537519">
                  <w:marLeft w:val="0"/>
                  <w:marRight w:val="0"/>
                  <w:marTop w:val="0"/>
                  <w:marBottom w:val="0"/>
                  <w:divBdr>
                    <w:top w:val="none" w:sz="0" w:space="0" w:color="auto"/>
                    <w:left w:val="none" w:sz="0" w:space="0" w:color="auto"/>
                    <w:bottom w:val="none" w:sz="0" w:space="0" w:color="auto"/>
                    <w:right w:val="none" w:sz="0" w:space="0" w:color="auto"/>
                  </w:divBdr>
                  <w:divsChild>
                    <w:div w:id="49964220">
                      <w:marLeft w:val="0"/>
                      <w:marRight w:val="0"/>
                      <w:marTop w:val="0"/>
                      <w:marBottom w:val="0"/>
                      <w:divBdr>
                        <w:top w:val="none" w:sz="0" w:space="0" w:color="auto"/>
                        <w:left w:val="none" w:sz="0" w:space="0" w:color="auto"/>
                        <w:bottom w:val="none" w:sz="0" w:space="0" w:color="auto"/>
                        <w:right w:val="none" w:sz="0" w:space="0" w:color="auto"/>
                      </w:divBdr>
                    </w:div>
                  </w:divsChild>
                </w:div>
                <w:div w:id="427047695">
                  <w:marLeft w:val="0"/>
                  <w:marRight w:val="0"/>
                  <w:marTop w:val="0"/>
                  <w:marBottom w:val="0"/>
                  <w:divBdr>
                    <w:top w:val="none" w:sz="0" w:space="0" w:color="auto"/>
                    <w:left w:val="none" w:sz="0" w:space="0" w:color="auto"/>
                    <w:bottom w:val="none" w:sz="0" w:space="0" w:color="auto"/>
                    <w:right w:val="none" w:sz="0" w:space="0" w:color="auto"/>
                  </w:divBdr>
                  <w:divsChild>
                    <w:div w:id="418136952">
                      <w:marLeft w:val="0"/>
                      <w:marRight w:val="0"/>
                      <w:marTop w:val="0"/>
                      <w:marBottom w:val="0"/>
                      <w:divBdr>
                        <w:top w:val="none" w:sz="0" w:space="0" w:color="auto"/>
                        <w:left w:val="none" w:sz="0" w:space="0" w:color="auto"/>
                        <w:bottom w:val="none" w:sz="0" w:space="0" w:color="auto"/>
                        <w:right w:val="none" w:sz="0" w:space="0" w:color="auto"/>
                      </w:divBdr>
                    </w:div>
                    <w:div w:id="2133936918">
                      <w:marLeft w:val="0"/>
                      <w:marRight w:val="0"/>
                      <w:marTop w:val="0"/>
                      <w:marBottom w:val="0"/>
                      <w:divBdr>
                        <w:top w:val="none" w:sz="0" w:space="0" w:color="auto"/>
                        <w:left w:val="none" w:sz="0" w:space="0" w:color="auto"/>
                        <w:bottom w:val="none" w:sz="0" w:space="0" w:color="auto"/>
                        <w:right w:val="none" w:sz="0" w:space="0" w:color="auto"/>
                      </w:divBdr>
                    </w:div>
                  </w:divsChild>
                </w:div>
                <w:div w:id="430975998">
                  <w:marLeft w:val="0"/>
                  <w:marRight w:val="0"/>
                  <w:marTop w:val="0"/>
                  <w:marBottom w:val="0"/>
                  <w:divBdr>
                    <w:top w:val="none" w:sz="0" w:space="0" w:color="auto"/>
                    <w:left w:val="none" w:sz="0" w:space="0" w:color="auto"/>
                    <w:bottom w:val="none" w:sz="0" w:space="0" w:color="auto"/>
                    <w:right w:val="none" w:sz="0" w:space="0" w:color="auto"/>
                  </w:divBdr>
                  <w:divsChild>
                    <w:div w:id="1945651886">
                      <w:marLeft w:val="0"/>
                      <w:marRight w:val="0"/>
                      <w:marTop w:val="0"/>
                      <w:marBottom w:val="0"/>
                      <w:divBdr>
                        <w:top w:val="none" w:sz="0" w:space="0" w:color="auto"/>
                        <w:left w:val="none" w:sz="0" w:space="0" w:color="auto"/>
                        <w:bottom w:val="none" w:sz="0" w:space="0" w:color="auto"/>
                        <w:right w:val="none" w:sz="0" w:space="0" w:color="auto"/>
                      </w:divBdr>
                    </w:div>
                  </w:divsChild>
                </w:div>
                <w:div w:id="517423980">
                  <w:marLeft w:val="0"/>
                  <w:marRight w:val="0"/>
                  <w:marTop w:val="0"/>
                  <w:marBottom w:val="0"/>
                  <w:divBdr>
                    <w:top w:val="none" w:sz="0" w:space="0" w:color="auto"/>
                    <w:left w:val="none" w:sz="0" w:space="0" w:color="auto"/>
                    <w:bottom w:val="none" w:sz="0" w:space="0" w:color="auto"/>
                    <w:right w:val="none" w:sz="0" w:space="0" w:color="auto"/>
                  </w:divBdr>
                  <w:divsChild>
                    <w:div w:id="1449663287">
                      <w:marLeft w:val="0"/>
                      <w:marRight w:val="0"/>
                      <w:marTop w:val="0"/>
                      <w:marBottom w:val="0"/>
                      <w:divBdr>
                        <w:top w:val="none" w:sz="0" w:space="0" w:color="auto"/>
                        <w:left w:val="none" w:sz="0" w:space="0" w:color="auto"/>
                        <w:bottom w:val="none" w:sz="0" w:space="0" w:color="auto"/>
                        <w:right w:val="none" w:sz="0" w:space="0" w:color="auto"/>
                      </w:divBdr>
                    </w:div>
                  </w:divsChild>
                </w:div>
                <w:div w:id="558708265">
                  <w:marLeft w:val="0"/>
                  <w:marRight w:val="0"/>
                  <w:marTop w:val="0"/>
                  <w:marBottom w:val="0"/>
                  <w:divBdr>
                    <w:top w:val="none" w:sz="0" w:space="0" w:color="auto"/>
                    <w:left w:val="none" w:sz="0" w:space="0" w:color="auto"/>
                    <w:bottom w:val="none" w:sz="0" w:space="0" w:color="auto"/>
                    <w:right w:val="none" w:sz="0" w:space="0" w:color="auto"/>
                  </w:divBdr>
                  <w:divsChild>
                    <w:div w:id="701789076">
                      <w:marLeft w:val="0"/>
                      <w:marRight w:val="0"/>
                      <w:marTop w:val="0"/>
                      <w:marBottom w:val="0"/>
                      <w:divBdr>
                        <w:top w:val="none" w:sz="0" w:space="0" w:color="auto"/>
                        <w:left w:val="none" w:sz="0" w:space="0" w:color="auto"/>
                        <w:bottom w:val="none" w:sz="0" w:space="0" w:color="auto"/>
                        <w:right w:val="none" w:sz="0" w:space="0" w:color="auto"/>
                      </w:divBdr>
                    </w:div>
                  </w:divsChild>
                </w:div>
                <w:div w:id="581528076">
                  <w:marLeft w:val="0"/>
                  <w:marRight w:val="0"/>
                  <w:marTop w:val="0"/>
                  <w:marBottom w:val="0"/>
                  <w:divBdr>
                    <w:top w:val="none" w:sz="0" w:space="0" w:color="auto"/>
                    <w:left w:val="none" w:sz="0" w:space="0" w:color="auto"/>
                    <w:bottom w:val="none" w:sz="0" w:space="0" w:color="auto"/>
                    <w:right w:val="none" w:sz="0" w:space="0" w:color="auto"/>
                  </w:divBdr>
                  <w:divsChild>
                    <w:div w:id="54596180">
                      <w:marLeft w:val="0"/>
                      <w:marRight w:val="0"/>
                      <w:marTop w:val="0"/>
                      <w:marBottom w:val="0"/>
                      <w:divBdr>
                        <w:top w:val="none" w:sz="0" w:space="0" w:color="auto"/>
                        <w:left w:val="none" w:sz="0" w:space="0" w:color="auto"/>
                        <w:bottom w:val="none" w:sz="0" w:space="0" w:color="auto"/>
                        <w:right w:val="none" w:sz="0" w:space="0" w:color="auto"/>
                      </w:divBdr>
                    </w:div>
                  </w:divsChild>
                </w:div>
                <w:div w:id="690033188">
                  <w:marLeft w:val="0"/>
                  <w:marRight w:val="0"/>
                  <w:marTop w:val="0"/>
                  <w:marBottom w:val="0"/>
                  <w:divBdr>
                    <w:top w:val="none" w:sz="0" w:space="0" w:color="auto"/>
                    <w:left w:val="none" w:sz="0" w:space="0" w:color="auto"/>
                    <w:bottom w:val="none" w:sz="0" w:space="0" w:color="auto"/>
                    <w:right w:val="none" w:sz="0" w:space="0" w:color="auto"/>
                  </w:divBdr>
                  <w:divsChild>
                    <w:div w:id="586109999">
                      <w:marLeft w:val="0"/>
                      <w:marRight w:val="0"/>
                      <w:marTop w:val="0"/>
                      <w:marBottom w:val="0"/>
                      <w:divBdr>
                        <w:top w:val="none" w:sz="0" w:space="0" w:color="auto"/>
                        <w:left w:val="none" w:sz="0" w:space="0" w:color="auto"/>
                        <w:bottom w:val="none" w:sz="0" w:space="0" w:color="auto"/>
                        <w:right w:val="none" w:sz="0" w:space="0" w:color="auto"/>
                      </w:divBdr>
                    </w:div>
                  </w:divsChild>
                </w:div>
                <w:div w:id="697581957">
                  <w:marLeft w:val="0"/>
                  <w:marRight w:val="0"/>
                  <w:marTop w:val="0"/>
                  <w:marBottom w:val="0"/>
                  <w:divBdr>
                    <w:top w:val="none" w:sz="0" w:space="0" w:color="auto"/>
                    <w:left w:val="none" w:sz="0" w:space="0" w:color="auto"/>
                    <w:bottom w:val="none" w:sz="0" w:space="0" w:color="auto"/>
                    <w:right w:val="none" w:sz="0" w:space="0" w:color="auto"/>
                  </w:divBdr>
                  <w:divsChild>
                    <w:div w:id="551309896">
                      <w:marLeft w:val="0"/>
                      <w:marRight w:val="0"/>
                      <w:marTop w:val="0"/>
                      <w:marBottom w:val="0"/>
                      <w:divBdr>
                        <w:top w:val="none" w:sz="0" w:space="0" w:color="auto"/>
                        <w:left w:val="none" w:sz="0" w:space="0" w:color="auto"/>
                        <w:bottom w:val="none" w:sz="0" w:space="0" w:color="auto"/>
                        <w:right w:val="none" w:sz="0" w:space="0" w:color="auto"/>
                      </w:divBdr>
                    </w:div>
                  </w:divsChild>
                </w:div>
                <w:div w:id="706220363">
                  <w:marLeft w:val="0"/>
                  <w:marRight w:val="0"/>
                  <w:marTop w:val="0"/>
                  <w:marBottom w:val="0"/>
                  <w:divBdr>
                    <w:top w:val="none" w:sz="0" w:space="0" w:color="auto"/>
                    <w:left w:val="none" w:sz="0" w:space="0" w:color="auto"/>
                    <w:bottom w:val="none" w:sz="0" w:space="0" w:color="auto"/>
                    <w:right w:val="none" w:sz="0" w:space="0" w:color="auto"/>
                  </w:divBdr>
                  <w:divsChild>
                    <w:div w:id="425929005">
                      <w:marLeft w:val="0"/>
                      <w:marRight w:val="0"/>
                      <w:marTop w:val="0"/>
                      <w:marBottom w:val="0"/>
                      <w:divBdr>
                        <w:top w:val="none" w:sz="0" w:space="0" w:color="auto"/>
                        <w:left w:val="none" w:sz="0" w:space="0" w:color="auto"/>
                        <w:bottom w:val="none" w:sz="0" w:space="0" w:color="auto"/>
                        <w:right w:val="none" w:sz="0" w:space="0" w:color="auto"/>
                      </w:divBdr>
                    </w:div>
                  </w:divsChild>
                </w:div>
                <w:div w:id="734816952">
                  <w:marLeft w:val="0"/>
                  <w:marRight w:val="0"/>
                  <w:marTop w:val="0"/>
                  <w:marBottom w:val="0"/>
                  <w:divBdr>
                    <w:top w:val="none" w:sz="0" w:space="0" w:color="auto"/>
                    <w:left w:val="none" w:sz="0" w:space="0" w:color="auto"/>
                    <w:bottom w:val="none" w:sz="0" w:space="0" w:color="auto"/>
                    <w:right w:val="none" w:sz="0" w:space="0" w:color="auto"/>
                  </w:divBdr>
                  <w:divsChild>
                    <w:div w:id="1985349330">
                      <w:marLeft w:val="0"/>
                      <w:marRight w:val="0"/>
                      <w:marTop w:val="0"/>
                      <w:marBottom w:val="0"/>
                      <w:divBdr>
                        <w:top w:val="none" w:sz="0" w:space="0" w:color="auto"/>
                        <w:left w:val="none" w:sz="0" w:space="0" w:color="auto"/>
                        <w:bottom w:val="none" w:sz="0" w:space="0" w:color="auto"/>
                        <w:right w:val="none" w:sz="0" w:space="0" w:color="auto"/>
                      </w:divBdr>
                    </w:div>
                  </w:divsChild>
                </w:div>
                <w:div w:id="787892274">
                  <w:marLeft w:val="0"/>
                  <w:marRight w:val="0"/>
                  <w:marTop w:val="0"/>
                  <w:marBottom w:val="0"/>
                  <w:divBdr>
                    <w:top w:val="none" w:sz="0" w:space="0" w:color="auto"/>
                    <w:left w:val="none" w:sz="0" w:space="0" w:color="auto"/>
                    <w:bottom w:val="none" w:sz="0" w:space="0" w:color="auto"/>
                    <w:right w:val="none" w:sz="0" w:space="0" w:color="auto"/>
                  </w:divBdr>
                  <w:divsChild>
                    <w:div w:id="1501046284">
                      <w:marLeft w:val="0"/>
                      <w:marRight w:val="0"/>
                      <w:marTop w:val="0"/>
                      <w:marBottom w:val="0"/>
                      <w:divBdr>
                        <w:top w:val="none" w:sz="0" w:space="0" w:color="auto"/>
                        <w:left w:val="none" w:sz="0" w:space="0" w:color="auto"/>
                        <w:bottom w:val="none" w:sz="0" w:space="0" w:color="auto"/>
                        <w:right w:val="none" w:sz="0" w:space="0" w:color="auto"/>
                      </w:divBdr>
                    </w:div>
                  </w:divsChild>
                </w:div>
                <w:div w:id="818306082">
                  <w:marLeft w:val="0"/>
                  <w:marRight w:val="0"/>
                  <w:marTop w:val="0"/>
                  <w:marBottom w:val="0"/>
                  <w:divBdr>
                    <w:top w:val="none" w:sz="0" w:space="0" w:color="auto"/>
                    <w:left w:val="none" w:sz="0" w:space="0" w:color="auto"/>
                    <w:bottom w:val="none" w:sz="0" w:space="0" w:color="auto"/>
                    <w:right w:val="none" w:sz="0" w:space="0" w:color="auto"/>
                  </w:divBdr>
                  <w:divsChild>
                    <w:div w:id="52507979">
                      <w:marLeft w:val="0"/>
                      <w:marRight w:val="0"/>
                      <w:marTop w:val="0"/>
                      <w:marBottom w:val="0"/>
                      <w:divBdr>
                        <w:top w:val="none" w:sz="0" w:space="0" w:color="auto"/>
                        <w:left w:val="none" w:sz="0" w:space="0" w:color="auto"/>
                        <w:bottom w:val="none" w:sz="0" w:space="0" w:color="auto"/>
                        <w:right w:val="none" w:sz="0" w:space="0" w:color="auto"/>
                      </w:divBdr>
                    </w:div>
                    <w:div w:id="55324129">
                      <w:marLeft w:val="0"/>
                      <w:marRight w:val="0"/>
                      <w:marTop w:val="0"/>
                      <w:marBottom w:val="0"/>
                      <w:divBdr>
                        <w:top w:val="none" w:sz="0" w:space="0" w:color="auto"/>
                        <w:left w:val="none" w:sz="0" w:space="0" w:color="auto"/>
                        <w:bottom w:val="none" w:sz="0" w:space="0" w:color="auto"/>
                        <w:right w:val="none" w:sz="0" w:space="0" w:color="auto"/>
                      </w:divBdr>
                    </w:div>
                    <w:div w:id="381683247">
                      <w:marLeft w:val="0"/>
                      <w:marRight w:val="0"/>
                      <w:marTop w:val="0"/>
                      <w:marBottom w:val="0"/>
                      <w:divBdr>
                        <w:top w:val="none" w:sz="0" w:space="0" w:color="auto"/>
                        <w:left w:val="none" w:sz="0" w:space="0" w:color="auto"/>
                        <w:bottom w:val="none" w:sz="0" w:space="0" w:color="auto"/>
                        <w:right w:val="none" w:sz="0" w:space="0" w:color="auto"/>
                      </w:divBdr>
                    </w:div>
                    <w:div w:id="601884373">
                      <w:marLeft w:val="0"/>
                      <w:marRight w:val="0"/>
                      <w:marTop w:val="0"/>
                      <w:marBottom w:val="0"/>
                      <w:divBdr>
                        <w:top w:val="none" w:sz="0" w:space="0" w:color="auto"/>
                        <w:left w:val="none" w:sz="0" w:space="0" w:color="auto"/>
                        <w:bottom w:val="none" w:sz="0" w:space="0" w:color="auto"/>
                        <w:right w:val="none" w:sz="0" w:space="0" w:color="auto"/>
                      </w:divBdr>
                    </w:div>
                    <w:div w:id="675618995">
                      <w:marLeft w:val="0"/>
                      <w:marRight w:val="0"/>
                      <w:marTop w:val="0"/>
                      <w:marBottom w:val="0"/>
                      <w:divBdr>
                        <w:top w:val="none" w:sz="0" w:space="0" w:color="auto"/>
                        <w:left w:val="none" w:sz="0" w:space="0" w:color="auto"/>
                        <w:bottom w:val="none" w:sz="0" w:space="0" w:color="auto"/>
                        <w:right w:val="none" w:sz="0" w:space="0" w:color="auto"/>
                      </w:divBdr>
                    </w:div>
                    <w:div w:id="1237059743">
                      <w:marLeft w:val="0"/>
                      <w:marRight w:val="0"/>
                      <w:marTop w:val="0"/>
                      <w:marBottom w:val="0"/>
                      <w:divBdr>
                        <w:top w:val="none" w:sz="0" w:space="0" w:color="auto"/>
                        <w:left w:val="none" w:sz="0" w:space="0" w:color="auto"/>
                        <w:bottom w:val="none" w:sz="0" w:space="0" w:color="auto"/>
                        <w:right w:val="none" w:sz="0" w:space="0" w:color="auto"/>
                      </w:divBdr>
                    </w:div>
                    <w:div w:id="1374888263">
                      <w:marLeft w:val="0"/>
                      <w:marRight w:val="0"/>
                      <w:marTop w:val="0"/>
                      <w:marBottom w:val="0"/>
                      <w:divBdr>
                        <w:top w:val="none" w:sz="0" w:space="0" w:color="auto"/>
                        <w:left w:val="none" w:sz="0" w:space="0" w:color="auto"/>
                        <w:bottom w:val="none" w:sz="0" w:space="0" w:color="auto"/>
                        <w:right w:val="none" w:sz="0" w:space="0" w:color="auto"/>
                      </w:divBdr>
                    </w:div>
                  </w:divsChild>
                </w:div>
                <w:div w:id="819884058">
                  <w:marLeft w:val="0"/>
                  <w:marRight w:val="0"/>
                  <w:marTop w:val="0"/>
                  <w:marBottom w:val="0"/>
                  <w:divBdr>
                    <w:top w:val="none" w:sz="0" w:space="0" w:color="auto"/>
                    <w:left w:val="none" w:sz="0" w:space="0" w:color="auto"/>
                    <w:bottom w:val="none" w:sz="0" w:space="0" w:color="auto"/>
                    <w:right w:val="none" w:sz="0" w:space="0" w:color="auto"/>
                  </w:divBdr>
                  <w:divsChild>
                    <w:div w:id="2018994211">
                      <w:marLeft w:val="0"/>
                      <w:marRight w:val="0"/>
                      <w:marTop w:val="0"/>
                      <w:marBottom w:val="0"/>
                      <w:divBdr>
                        <w:top w:val="none" w:sz="0" w:space="0" w:color="auto"/>
                        <w:left w:val="none" w:sz="0" w:space="0" w:color="auto"/>
                        <w:bottom w:val="none" w:sz="0" w:space="0" w:color="auto"/>
                        <w:right w:val="none" w:sz="0" w:space="0" w:color="auto"/>
                      </w:divBdr>
                    </w:div>
                  </w:divsChild>
                </w:div>
                <w:div w:id="842359808">
                  <w:marLeft w:val="0"/>
                  <w:marRight w:val="0"/>
                  <w:marTop w:val="0"/>
                  <w:marBottom w:val="0"/>
                  <w:divBdr>
                    <w:top w:val="none" w:sz="0" w:space="0" w:color="auto"/>
                    <w:left w:val="none" w:sz="0" w:space="0" w:color="auto"/>
                    <w:bottom w:val="none" w:sz="0" w:space="0" w:color="auto"/>
                    <w:right w:val="none" w:sz="0" w:space="0" w:color="auto"/>
                  </w:divBdr>
                  <w:divsChild>
                    <w:div w:id="1544441848">
                      <w:marLeft w:val="0"/>
                      <w:marRight w:val="0"/>
                      <w:marTop w:val="0"/>
                      <w:marBottom w:val="0"/>
                      <w:divBdr>
                        <w:top w:val="none" w:sz="0" w:space="0" w:color="auto"/>
                        <w:left w:val="none" w:sz="0" w:space="0" w:color="auto"/>
                        <w:bottom w:val="none" w:sz="0" w:space="0" w:color="auto"/>
                        <w:right w:val="none" w:sz="0" w:space="0" w:color="auto"/>
                      </w:divBdr>
                    </w:div>
                    <w:div w:id="1946226991">
                      <w:marLeft w:val="0"/>
                      <w:marRight w:val="0"/>
                      <w:marTop w:val="0"/>
                      <w:marBottom w:val="0"/>
                      <w:divBdr>
                        <w:top w:val="none" w:sz="0" w:space="0" w:color="auto"/>
                        <w:left w:val="none" w:sz="0" w:space="0" w:color="auto"/>
                        <w:bottom w:val="none" w:sz="0" w:space="0" w:color="auto"/>
                        <w:right w:val="none" w:sz="0" w:space="0" w:color="auto"/>
                      </w:divBdr>
                    </w:div>
                    <w:div w:id="2038851431">
                      <w:marLeft w:val="0"/>
                      <w:marRight w:val="0"/>
                      <w:marTop w:val="0"/>
                      <w:marBottom w:val="0"/>
                      <w:divBdr>
                        <w:top w:val="none" w:sz="0" w:space="0" w:color="auto"/>
                        <w:left w:val="none" w:sz="0" w:space="0" w:color="auto"/>
                        <w:bottom w:val="none" w:sz="0" w:space="0" w:color="auto"/>
                        <w:right w:val="none" w:sz="0" w:space="0" w:color="auto"/>
                      </w:divBdr>
                    </w:div>
                  </w:divsChild>
                </w:div>
                <w:div w:id="929585638">
                  <w:marLeft w:val="0"/>
                  <w:marRight w:val="0"/>
                  <w:marTop w:val="0"/>
                  <w:marBottom w:val="0"/>
                  <w:divBdr>
                    <w:top w:val="none" w:sz="0" w:space="0" w:color="auto"/>
                    <w:left w:val="none" w:sz="0" w:space="0" w:color="auto"/>
                    <w:bottom w:val="none" w:sz="0" w:space="0" w:color="auto"/>
                    <w:right w:val="none" w:sz="0" w:space="0" w:color="auto"/>
                  </w:divBdr>
                  <w:divsChild>
                    <w:div w:id="1105154145">
                      <w:marLeft w:val="0"/>
                      <w:marRight w:val="0"/>
                      <w:marTop w:val="0"/>
                      <w:marBottom w:val="0"/>
                      <w:divBdr>
                        <w:top w:val="none" w:sz="0" w:space="0" w:color="auto"/>
                        <w:left w:val="none" w:sz="0" w:space="0" w:color="auto"/>
                        <w:bottom w:val="none" w:sz="0" w:space="0" w:color="auto"/>
                        <w:right w:val="none" w:sz="0" w:space="0" w:color="auto"/>
                      </w:divBdr>
                    </w:div>
                  </w:divsChild>
                </w:div>
                <w:div w:id="1012031112">
                  <w:marLeft w:val="0"/>
                  <w:marRight w:val="0"/>
                  <w:marTop w:val="0"/>
                  <w:marBottom w:val="0"/>
                  <w:divBdr>
                    <w:top w:val="none" w:sz="0" w:space="0" w:color="auto"/>
                    <w:left w:val="none" w:sz="0" w:space="0" w:color="auto"/>
                    <w:bottom w:val="none" w:sz="0" w:space="0" w:color="auto"/>
                    <w:right w:val="none" w:sz="0" w:space="0" w:color="auto"/>
                  </w:divBdr>
                  <w:divsChild>
                    <w:div w:id="1894464104">
                      <w:marLeft w:val="0"/>
                      <w:marRight w:val="0"/>
                      <w:marTop w:val="0"/>
                      <w:marBottom w:val="0"/>
                      <w:divBdr>
                        <w:top w:val="none" w:sz="0" w:space="0" w:color="auto"/>
                        <w:left w:val="none" w:sz="0" w:space="0" w:color="auto"/>
                        <w:bottom w:val="none" w:sz="0" w:space="0" w:color="auto"/>
                        <w:right w:val="none" w:sz="0" w:space="0" w:color="auto"/>
                      </w:divBdr>
                    </w:div>
                  </w:divsChild>
                </w:div>
                <w:div w:id="1063330701">
                  <w:marLeft w:val="0"/>
                  <w:marRight w:val="0"/>
                  <w:marTop w:val="0"/>
                  <w:marBottom w:val="0"/>
                  <w:divBdr>
                    <w:top w:val="none" w:sz="0" w:space="0" w:color="auto"/>
                    <w:left w:val="none" w:sz="0" w:space="0" w:color="auto"/>
                    <w:bottom w:val="none" w:sz="0" w:space="0" w:color="auto"/>
                    <w:right w:val="none" w:sz="0" w:space="0" w:color="auto"/>
                  </w:divBdr>
                  <w:divsChild>
                    <w:div w:id="121770000">
                      <w:marLeft w:val="0"/>
                      <w:marRight w:val="0"/>
                      <w:marTop w:val="0"/>
                      <w:marBottom w:val="0"/>
                      <w:divBdr>
                        <w:top w:val="none" w:sz="0" w:space="0" w:color="auto"/>
                        <w:left w:val="none" w:sz="0" w:space="0" w:color="auto"/>
                        <w:bottom w:val="none" w:sz="0" w:space="0" w:color="auto"/>
                        <w:right w:val="none" w:sz="0" w:space="0" w:color="auto"/>
                      </w:divBdr>
                    </w:div>
                  </w:divsChild>
                </w:div>
                <w:div w:id="1068502816">
                  <w:marLeft w:val="0"/>
                  <w:marRight w:val="0"/>
                  <w:marTop w:val="0"/>
                  <w:marBottom w:val="0"/>
                  <w:divBdr>
                    <w:top w:val="none" w:sz="0" w:space="0" w:color="auto"/>
                    <w:left w:val="none" w:sz="0" w:space="0" w:color="auto"/>
                    <w:bottom w:val="none" w:sz="0" w:space="0" w:color="auto"/>
                    <w:right w:val="none" w:sz="0" w:space="0" w:color="auto"/>
                  </w:divBdr>
                  <w:divsChild>
                    <w:div w:id="1695155615">
                      <w:marLeft w:val="0"/>
                      <w:marRight w:val="0"/>
                      <w:marTop w:val="0"/>
                      <w:marBottom w:val="0"/>
                      <w:divBdr>
                        <w:top w:val="none" w:sz="0" w:space="0" w:color="auto"/>
                        <w:left w:val="none" w:sz="0" w:space="0" w:color="auto"/>
                        <w:bottom w:val="none" w:sz="0" w:space="0" w:color="auto"/>
                        <w:right w:val="none" w:sz="0" w:space="0" w:color="auto"/>
                      </w:divBdr>
                    </w:div>
                  </w:divsChild>
                </w:div>
                <w:div w:id="1097602626">
                  <w:marLeft w:val="0"/>
                  <w:marRight w:val="0"/>
                  <w:marTop w:val="0"/>
                  <w:marBottom w:val="0"/>
                  <w:divBdr>
                    <w:top w:val="none" w:sz="0" w:space="0" w:color="auto"/>
                    <w:left w:val="none" w:sz="0" w:space="0" w:color="auto"/>
                    <w:bottom w:val="none" w:sz="0" w:space="0" w:color="auto"/>
                    <w:right w:val="none" w:sz="0" w:space="0" w:color="auto"/>
                  </w:divBdr>
                  <w:divsChild>
                    <w:div w:id="1834907344">
                      <w:marLeft w:val="0"/>
                      <w:marRight w:val="0"/>
                      <w:marTop w:val="0"/>
                      <w:marBottom w:val="0"/>
                      <w:divBdr>
                        <w:top w:val="none" w:sz="0" w:space="0" w:color="auto"/>
                        <w:left w:val="none" w:sz="0" w:space="0" w:color="auto"/>
                        <w:bottom w:val="none" w:sz="0" w:space="0" w:color="auto"/>
                        <w:right w:val="none" w:sz="0" w:space="0" w:color="auto"/>
                      </w:divBdr>
                    </w:div>
                  </w:divsChild>
                </w:div>
                <w:div w:id="1103842055">
                  <w:marLeft w:val="0"/>
                  <w:marRight w:val="0"/>
                  <w:marTop w:val="0"/>
                  <w:marBottom w:val="0"/>
                  <w:divBdr>
                    <w:top w:val="none" w:sz="0" w:space="0" w:color="auto"/>
                    <w:left w:val="none" w:sz="0" w:space="0" w:color="auto"/>
                    <w:bottom w:val="none" w:sz="0" w:space="0" w:color="auto"/>
                    <w:right w:val="none" w:sz="0" w:space="0" w:color="auto"/>
                  </w:divBdr>
                  <w:divsChild>
                    <w:div w:id="1220284312">
                      <w:marLeft w:val="0"/>
                      <w:marRight w:val="0"/>
                      <w:marTop w:val="0"/>
                      <w:marBottom w:val="0"/>
                      <w:divBdr>
                        <w:top w:val="none" w:sz="0" w:space="0" w:color="auto"/>
                        <w:left w:val="none" w:sz="0" w:space="0" w:color="auto"/>
                        <w:bottom w:val="none" w:sz="0" w:space="0" w:color="auto"/>
                        <w:right w:val="none" w:sz="0" w:space="0" w:color="auto"/>
                      </w:divBdr>
                    </w:div>
                  </w:divsChild>
                </w:div>
                <w:div w:id="1135370015">
                  <w:marLeft w:val="0"/>
                  <w:marRight w:val="0"/>
                  <w:marTop w:val="0"/>
                  <w:marBottom w:val="0"/>
                  <w:divBdr>
                    <w:top w:val="none" w:sz="0" w:space="0" w:color="auto"/>
                    <w:left w:val="none" w:sz="0" w:space="0" w:color="auto"/>
                    <w:bottom w:val="none" w:sz="0" w:space="0" w:color="auto"/>
                    <w:right w:val="none" w:sz="0" w:space="0" w:color="auto"/>
                  </w:divBdr>
                  <w:divsChild>
                    <w:div w:id="1637027729">
                      <w:marLeft w:val="0"/>
                      <w:marRight w:val="0"/>
                      <w:marTop w:val="0"/>
                      <w:marBottom w:val="0"/>
                      <w:divBdr>
                        <w:top w:val="none" w:sz="0" w:space="0" w:color="auto"/>
                        <w:left w:val="none" w:sz="0" w:space="0" w:color="auto"/>
                        <w:bottom w:val="none" w:sz="0" w:space="0" w:color="auto"/>
                        <w:right w:val="none" w:sz="0" w:space="0" w:color="auto"/>
                      </w:divBdr>
                    </w:div>
                  </w:divsChild>
                </w:div>
                <w:div w:id="1169367435">
                  <w:marLeft w:val="0"/>
                  <w:marRight w:val="0"/>
                  <w:marTop w:val="0"/>
                  <w:marBottom w:val="0"/>
                  <w:divBdr>
                    <w:top w:val="none" w:sz="0" w:space="0" w:color="auto"/>
                    <w:left w:val="none" w:sz="0" w:space="0" w:color="auto"/>
                    <w:bottom w:val="none" w:sz="0" w:space="0" w:color="auto"/>
                    <w:right w:val="none" w:sz="0" w:space="0" w:color="auto"/>
                  </w:divBdr>
                  <w:divsChild>
                    <w:div w:id="447969110">
                      <w:marLeft w:val="0"/>
                      <w:marRight w:val="0"/>
                      <w:marTop w:val="0"/>
                      <w:marBottom w:val="0"/>
                      <w:divBdr>
                        <w:top w:val="none" w:sz="0" w:space="0" w:color="auto"/>
                        <w:left w:val="none" w:sz="0" w:space="0" w:color="auto"/>
                        <w:bottom w:val="none" w:sz="0" w:space="0" w:color="auto"/>
                        <w:right w:val="none" w:sz="0" w:space="0" w:color="auto"/>
                      </w:divBdr>
                    </w:div>
                  </w:divsChild>
                </w:div>
                <w:div w:id="1268655189">
                  <w:marLeft w:val="0"/>
                  <w:marRight w:val="0"/>
                  <w:marTop w:val="0"/>
                  <w:marBottom w:val="0"/>
                  <w:divBdr>
                    <w:top w:val="none" w:sz="0" w:space="0" w:color="auto"/>
                    <w:left w:val="none" w:sz="0" w:space="0" w:color="auto"/>
                    <w:bottom w:val="none" w:sz="0" w:space="0" w:color="auto"/>
                    <w:right w:val="none" w:sz="0" w:space="0" w:color="auto"/>
                  </w:divBdr>
                  <w:divsChild>
                    <w:div w:id="434208752">
                      <w:marLeft w:val="0"/>
                      <w:marRight w:val="0"/>
                      <w:marTop w:val="0"/>
                      <w:marBottom w:val="0"/>
                      <w:divBdr>
                        <w:top w:val="none" w:sz="0" w:space="0" w:color="auto"/>
                        <w:left w:val="none" w:sz="0" w:space="0" w:color="auto"/>
                        <w:bottom w:val="none" w:sz="0" w:space="0" w:color="auto"/>
                        <w:right w:val="none" w:sz="0" w:space="0" w:color="auto"/>
                      </w:divBdr>
                    </w:div>
                  </w:divsChild>
                </w:div>
                <w:div w:id="1284459195">
                  <w:marLeft w:val="0"/>
                  <w:marRight w:val="0"/>
                  <w:marTop w:val="0"/>
                  <w:marBottom w:val="0"/>
                  <w:divBdr>
                    <w:top w:val="none" w:sz="0" w:space="0" w:color="auto"/>
                    <w:left w:val="none" w:sz="0" w:space="0" w:color="auto"/>
                    <w:bottom w:val="none" w:sz="0" w:space="0" w:color="auto"/>
                    <w:right w:val="none" w:sz="0" w:space="0" w:color="auto"/>
                  </w:divBdr>
                  <w:divsChild>
                    <w:div w:id="146943571">
                      <w:marLeft w:val="0"/>
                      <w:marRight w:val="0"/>
                      <w:marTop w:val="0"/>
                      <w:marBottom w:val="0"/>
                      <w:divBdr>
                        <w:top w:val="none" w:sz="0" w:space="0" w:color="auto"/>
                        <w:left w:val="none" w:sz="0" w:space="0" w:color="auto"/>
                        <w:bottom w:val="none" w:sz="0" w:space="0" w:color="auto"/>
                        <w:right w:val="none" w:sz="0" w:space="0" w:color="auto"/>
                      </w:divBdr>
                    </w:div>
                  </w:divsChild>
                </w:div>
                <w:div w:id="1328632688">
                  <w:marLeft w:val="0"/>
                  <w:marRight w:val="0"/>
                  <w:marTop w:val="0"/>
                  <w:marBottom w:val="0"/>
                  <w:divBdr>
                    <w:top w:val="none" w:sz="0" w:space="0" w:color="auto"/>
                    <w:left w:val="none" w:sz="0" w:space="0" w:color="auto"/>
                    <w:bottom w:val="none" w:sz="0" w:space="0" w:color="auto"/>
                    <w:right w:val="none" w:sz="0" w:space="0" w:color="auto"/>
                  </w:divBdr>
                  <w:divsChild>
                    <w:div w:id="26639307">
                      <w:marLeft w:val="0"/>
                      <w:marRight w:val="0"/>
                      <w:marTop w:val="0"/>
                      <w:marBottom w:val="0"/>
                      <w:divBdr>
                        <w:top w:val="none" w:sz="0" w:space="0" w:color="auto"/>
                        <w:left w:val="none" w:sz="0" w:space="0" w:color="auto"/>
                        <w:bottom w:val="none" w:sz="0" w:space="0" w:color="auto"/>
                        <w:right w:val="none" w:sz="0" w:space="0" w:color="auto"/>
                      </w:divBdr>
                    </w:div>
                  </w:divsChild>
                </w:div>
                <w:div w:id="1338581289">
                  <w:marLeft w:val="0"/>
                  <w:marRight w:val="0"/>
                  <w:marTop w:val="0"/>
                  <w:marBottom w:val="0"/>
                  <w:divBdr>
                    <w:top w:val="none" w:sz="0" w:space="0" w:color="auto"/>
                    <w:left w:val="none" w:sz="0" w:space="0" w:color="auto"/>
                    <w:bottom w:val="none" w:sz="0" w:space="0" w:color="auto"/>
                    <w:right w:val="none" w:sz="0" w:space="0" w:color="auto"/>
                  </w:divBdr>
                  <w:divsChild>
                    <w:div w:id="1785734610">
                      <w:marLeft w:val="0"/>
                      <w:marRight w:val="0"/>
                      <w:marTop w:val="0"/>
                      <w:marBottom w:val="0"/>
                      <w:divBdr>
                        <w:top w:val="none" w:sz="0" w:space="0" w:color="auto"/>
                        <w:left w:val="none" w:sz="0" w:space="0" w:color="auto"/>
                        <w:bottom w:val="none" w:sz="0" w:space="0" w:color="auto"/>
                        <w:right w:val="none" w:sz="0" w:space="0" w:color="auto"/>
                      </w:divBdr>
                    </w:div>
                    <w:div w:id="2017531197">
                      <w:marLeft w:val="0"/>
                      <w:marRight w:val="0"/>
                      <w:marTop w:val="0"/>
                      <w:marBottom w:val="0"/>
                      <w:divBdr>
                        <w:top w:val="none" w:sz="0" w:space="0" w:color="auto"/>
                        <w:left w:val="none" w:sz="0" w:space="0" w:color="auto"/>
                        <w:bottom w:val="none" w:sz="0" w:space="0" w:color="auto"/>
                        <w:right w:val="none" w:sz="0" w:space="0" w:color="auto"/>
                      </w:divBdr>
                    </w:div>
                  </w:divsChild>
                </w:div>
                <w:div w:id="1344867798">
                  <w:marLeft w:val="0"/>
                  <w:marRight w:val="0"/>
                  <w:marTop w:val="0"/>
                  <w:marBottom w:val="0"/>
                  <w:divBdr>
                    <w:top w:val="none" w:sz="0" w:space="0" w:color="auto"/>
                    <w:left w:val="none" w:sz="0" w:space="0" w:color="auto"/>
                    <w:bottom w:val="none" w:sz="0" w:space="0" w:color="auto"/>
                    <w:right w:val="none" w:sz="0" w:space="0" w:color="auto"/>
                  </w:divBdr>
                  <w:divsChild>
                    <w:div w:id="275523666">
                      <w:marLeft w:val="0"/>
                      <w:marRight w:val="0"/>
                      <w:marTop w:val="0"/>
                      <w:marBottom w:val="0"/>
                      <w:divBdr>
                        <w:top w:val="none" w:sz="0" w:space="0" w:color="auto"/>
                        <w:left w:val="none" w:sz="0" w:space="0" w:color="auto"/>
                        <w:bottom w:val="none" w:sz="0" w:space="0" w:color="auto"/>
                        <w:right w:val="none" w:sz="0" w:space="0" w:color="auto"/>
                      </w:divBdr>
                    </w:div>
                    <w:div w:id="323048494">
                      <w:marLeft w:val="0"/>
                      <w:marRight w:val="0"/>
                      <w:marTop w:val="0"/>
                      <w:marBottom w:val="0"/>
                      <w:divBdr>
                        <w:top w:val="none" w:sz="0" w:space="0" w:color="auto"/>
                        <w:left w:val="none" w:sz="0" w:space="0" w:color="auto"/>
                        <w:bottom w:val="none" w:sz="0" w:space="0" w:color="auto"/>
                        <w:right w:val="none" w:sz="0" w:space="0" w:color="auto"/>
                      </w:divBdr>
                    </w:div>
                    <w:div w:id="774250884">
                      <w:marLeft w:val="0"/>
                      <w:marRight w:val="0"/>
                      <w:marTop w:val="0"/>
                      <w:marBottom w:val="0"/>
                      <w:divBdr>
                        <w:top w:val="none" w:sz="0" w:space="0" w:color="auto"/>
                        <w:left w:val="none" w:sz="0" w:space="0" w:color="auto"/>
                        <w:bottom w:val="none" w:sz="0" w:space="0" w:color="auto"/>
                        <w:right w:val="none" w:sz="0" w:space="0" w:color="auto"/>
                      </w:divBdr>
                    </w:div>
                    <w:div w:id="1018432697">
                      <w:marLeft w:val="0"/>
                      <w:marRight w:val="0"/>
                      <w:marTop w:val="0"/>
                      <w:marBottom w:val="0"/>
                      <w:divBdr>
                        <w:top w:val="none" w:sz="0" w:space="0" w:color="auto"/>
                        <w:left w:val="none" w:sz="0" w:space="0" w:color="auto"/>
                        <w:bottom w:val="none" w:sz="0" w:space="0" w:color="auto"/>
                        <w:right w:val="none" w:sz="0" w:space="0" w:color="auto"/>
                      </w:divBdr>
                    </w:div>
                    <w:div w:id="1765224174">
                      <w:marLeft w:val="0"/>
                      <w:marRight w:val="0"/>
                      <w:marTop w:val="0"/>
                      <w:marBottom w:val="0"/>
                      <w:divBdr>
                        <w:top w:val="none" w:sz="0" w:space="0" w:color="auto"/>
                        <w:left w:val="none" w:sz="0" w:space="0" w:color="auto"/>
                        <w:bottom w:val="none" w:sz="0" w:space="0" w:color="auto"/>
                        <w:right w:val="none" w:sz="0" w:space="0" w:color="auto"/>
                      </w:divBdr>
                    </w:div>
                    <w:div w:id="1918636591">
                      <w:marLeft w:val="0"/>
                      <w:marRight w:val="0"/>
                      <w:marTop w:val="0"/>
                      <w:marBottom w:val="0"/>
                      <w:divBdr>
                        <w:top w:val="none" w:sz="0" w:space="0" w:color="auto"/>
                        <w:left w:val="none" w:sz="0" w:space="0" w:color="auto"/>
                        <w:bottom w:val="none" w:sz="0" w:space="0" w:color="auto"/>
                        <w:right w:val="none" w:sz="0" w:space="0" w:color="auto"/>
                      </w:divBdr>
                    </w:div>
                  </w:divsChild>
                </w:div>
                <w:div w:id="1382512307">
                  <w:marLeft w:val="0"/>
                  <w:marRight w:val="0"/>
                  <w:marTop w:val="0"/>
                  <w:marBottom w:val="0"/>
                  <w:divBdr>
                    <w:top w:val="none" w:sz="0" w:space="0" w:color="auto"/>
                    <w:left w:val="none" w:sz="0" w:space="0" w:color="auto"/>
                    <w:bottom w:val="none" w:sz="0" w:space="0" w:color="auto"/>
                    <w:right w:val="none" w:sz="0" w:space="0" w:color="auto"/>
                  </w:divBdr>
                  <w:divsChild>
                    <w:div w:id="784888879">
                      <w:marLeft w:val="0"/>
                      <w:marRight w:val="0"/>
                      <w:marTop w:val="0"/>
                      <w:marBottom w:val="0"/>
                      <w:divBdr>
                        <w:top w:val="none" w:sz="0" w:space="0" w:color="auto"/>
                        <w:left w:val="none" w:sz="0" w:space="0" w:color="auto"/>
                        <w:bottom w:val="none" w:sz="0" w:space="0" w:color="auto"/>
                        <w:right w:val="none" w:sz="0" w:space="0" w:color="auto"/>
                      </w:divBdr>
                    </w:div>
                  </w:divsChild>
                </w:div>
                <w:div w:id="1389107148">
                  <w:marLeft w:val="0"/>
                  <w:marRight w:val="0"/>
                  <w:marTop w:val="0"/>
                  <w:marBottom w:val="0"/>
                  <w:divBdr>
                    <w:top w:val="none" w:sz="0" w:space="0" w:color="auto"/>
                    <w:left w:val="none" w:sz="0" w:space="0" w:color="auto"/>
                    <w:bottom w:val="none" w:sz="0" w:space="0" w:color="auto"/>
                    <w:right w:val="none" w:sz="0" w:space="0" w:color="auto"/>
                  </w:divBdr>
                  <w:divsChild>
                    <w:div w:id="1606230884">
                      <w:marLeft w:val="0"/>
                      <w:marRight w:val="0"/>
                      <w:marTop w:val="0"/>
                      <w:marBottom w:val="0"/>
                      <w:divBdr>
                        <w:top w:val="none" w:sz="0" w:space="0" w:color="auto"/>
                        <w:left w:val="none" w:sz="0" w:space="0" w:color="auto"/>
                        <w:bottom w:val="none" w:sz="0" w:space="0" w:color="auto"/>
                        <w:right w:val="none" w:sz="0" w:space="0" w:color="auto"/>
                      </w:divBdr>
                    </w:div>
                  </w:divsChild>
                </w:div>
                <w:div w:id="1442918616">
                  <w:marLeft w:val="0"/>
                  <w:marRight w:val="0"/>
                  <w:marTop w:val="0"/>
                  <w:marBottom w:val="0"/>
                  <w:divBdr>
                    <w:top w:val="none" w:sz="0" w:space="0" w:color="auto"/>
                    <w:left w:val="none" w:sz="0" w:space="0" w:color="auto"/>
                    <w:bottom w:val="none" w:sz="0" w:space="0" w:color="auto"/>
                    <w:right w:val="none" w:sz="0" w:space="0" w:color="auto"/>
                  </w:divBdr>
                  <w:divsChild>
                    <w:div w:id="40371503">
                      <w:marLeft w:val="0"/>
                      <w:marRight w:val="0"/>
                      <w:marTop w:val="0"/>
                      <w:marBottom w:val="0"/>
                      <w:divBdr>
                        <w:top w:val="none" w:sz="0" w:space="0" w:color="auto"/>
                        <w:left w:val="none" w:sz="0" w:space="0" w:color="auto"/>
                        <w:bottom w:val="none" w:sz="0" w:space="0" w:color="auto"/>
                        <w:right w:val="none" w:sz="0" w:space="0" w:color="auto"/>
                      </w:divBdr>
                    </w:div>
                  </w:divsChild>
                </w:div>
                <w:div w:id="1443376649">
                  <w:marLeft w:val="0"/>
                  <w:marRight w:val="0"/>
                  <w:marTop w:val="0"/>
                  <w:marBottom w:val="0"/>
                  <w:divBdr>
                    <w:top w:val="none" w:sz="0" w:space="0" w:color="auto"/>
                    <w:left w:val="none" w:sz="0" w:space="0" w:color="auto"/>
                    <w:bottom w:val="none" w:sz="0" w:space="0" w:color="auto"/>
                    <w:right w:val="none" w:sz="0" w:space="0" w:color="auto"/>
                  </w:divBdr>
                  <w:divsChild>
                    <w:div w:id="1073699135">
                      <w:marLeft w:val="0"/>
                      <w:marRight w:val="0"/>
                      <w:marTop w:val="0"/>
                      <w:marBottom w:val="0"/>
                      <w:divBdr>
                        <w:top w:val="none" w:sz="0" w:space="0" w:color="auto"/>
                        <w:left w:val="none" w:sz="0" w:space="0" w:color="auto"/>
                        <w:bottom w:val="none" w:sz="0" w:space="0" w:color="auto"/>
                        <w:right w:val="none" w:sz="0" w:space="0" w:color="auto"/>
                      </w:divBdr>
                    </w:div>
                  </w:divsChild>
                </w:div>
                <w:div w:id="1465346237">
                  <w:marLeft w:val="0"/>
                  <w:marRight w:val="0"/>
                  <w:marTop w:val="0"/>
                  <w:marBottom w:val="0"/>
                  <w:divBdr>
                    <w:top w:val="none" w:sz="0" w:space="0" w:color="auto"/>
                    <w:left w:val="none" w:sz="0" w:space="0" w:color="auto"/>
                    <w:bottom w:val="none" w:sz="0" w:space="0" w:color="auto"/>
                    <w:right w:val="none" w:sz="0" w:space="0" w:color="auto"/>
                  </w:divBdr>
                  <w:divsChild>
                    <w:div w:id="1275333805">
                      <w:marLeft w:val="0"/>
                      <w:marRight w:val="0"/>
                      <w:marTop w:val="0"/>
                      <w:marBottom w:val="0"/>
                      <w:divBdr>
                        <w:top w:val="none" w:sz="0" w:space="0" w:color="auto"/>
                        <w:left w:val="none" w:sz="0" w:space="0" w:color="auto"/>
                        <w:bottom w:val="none" w:sz="0" w:space="0" w:color="auto"/>
                        <w:right w:val="none" w:sz="0" w:space="0" w:color="auto"/>
                      </w:divBdr>
                    </w:div>
                  </w:divsChild>
                </w:div>
                <w:div w:id="1504391267">
                  <w:marLeft w:val="0"/>
                  <w:marRight w:val="0"/>
                  <w:marTop w:val="0"/>
                  <w:marBottom w:val="0"/>
                  <w:divBdr>
                    <w:top w:val="none" w:sz="0" w:space="0" w:color="auto"/>
                    <w:left w:val="none" w:sz="0" w:space="0" w:color="auto"/>
                    <w:bottom w:val="none" w:sz="0" w:space="0" w:color="auto"/>
                    <w:right w:val="none" w:sz="0" w:space="0" w:color="auto"/>
                  </w:divBdr>
                  <w:divsChild>
                    <w:div w:id="654142833">
                      <w:marLeft w:val="0"/>
                      <w:marRight w:val="0"/>
                      <w:marTop w:val="0"/>
                      <w:marBottom w:val="0"/>
                      <w:divBdr>
                        <w:top w:val="none" w:sz="0" w:space="0" w:color="auto"/>
                        <w:left w:val="none" w:sz="0" w:space="0" w:color="auto"/>
                        <w:bottom w:val="none" w:sz="0" w:space="0" w:color="auto"/>
                        <w:right w:val="none" w:sz="0" w:space="0" w:color="auto"/>
                      </w:divBdr>
                    </w:div>
                    <w:div w:id="781220715">
                      <w:marLeft w:val="0"/>
                      <w:marRight w:val="0"/>
                      <w:marTop w:val="0"/>
                      <w:marBottom w:val="0"/>
                      <w:divBdr>
                        <w:top w:val="none" w:sz="0" w:space="0" w:color="auto"/>
                        <w:left w:val="none" w:sz="0" w:space="0" w:color="auto"/>
                        <w:bottom w:val="none" w:sz="0" w:space="0" w:color="auto"/>
                        <w:right w:val="none" w:sz="0" w:space="0" w:color="auto"/>
                      </w:divBdr>
                    </w:div>
                  </w:divsChild>
                </w:div>
                <w:div w:id="1511480551">
                  <w:marLeft w:val="0"/>
                  <w:marRight w:val="0"/>
                  <w:marTop w:val="0"/>
                  <w:marBottom w:val="0"/>
                  <w:divBdr>
                    <w:top w:val="none" w:sz="0" w:space="0" w:color="auto"/>
                    <w:left w:val="none" w:sz="0" w:space="0" w:color="auto"/>
                    <w:bottom w:val="none" w:sz="0" w:space="0" w:color="auto"/>
                    <w:right w:val="none" w:sz="0" w:space="0" w:color="auto"/>
                  </w:divBdr>
                  <w:divsChild>
                    <w:div w:id="750656900">
                      <w:marLeft w:val="0"/>
                      <w:marRight w:val="0"/>
                      <w:marTop w:val="0"/>
                      <w:marBottom w:val="0"/>
                      <w:divBdr>
                        <w:top w:val="none" w:sz="0" w:space="0" w:color="auto"/>
                        <w:left w:val="none" w:sz="0" w:space="0" w:color="auto"/>
                        <w:bottom w:val="none" w:sz="0" w:space="0" w:color="auto"/>
                        <w:right w:val="none" w:sz="0" w:space="0" w:color="auto"/>
                      </w:divBdr>
                    </w:div>
                  </w:divsChild>
                </w:div>
                <w:div w:id="1555503183">
                  <w:marLeft w:val="0"/>
                  <w:marRight w:val="0"/>
                  <w:marTop w:val="0"/>
                  <w:marBottom w:val="0"/>
                  <w:divBdr>
                    <w:top w:val="none" w:sz="0" w:space="0" w:color="auto"/>
                    <w:left w:val="none" w:sz="0" w:space="0" w:color="auto"/>
                    <w:bottom w:val="none" w:sz="0" w:space="0" w:color="auto"/>
                    <w:right w:val="none" w:sz="0" w:space="0" w:color="auto"/>
                  </w:divBdr>
                  <w:divsChild>
                    <w:div w:id="1307466968">
                      <w:marLeft w:val="0"/>
                      <w:marRight w:val="0"/>
                      <w:marTop w:val="0"/>
                      <w:marBottom w:val="0"/>
                      <w:divBdr>
                        <w:top w:val="none" w:sz="0" w:space="0" w:color="auto"/>
                        <w:left w:val="none" w:sz="0" w:space="0" w:color="auto"/>
                        <w:bottom w:val="none" w:sz="0" w:space="0" w:color="auto"/>
                        <w:right w:val="none" w:sz="0" w:space="0" w:color="auto"/>
                      </w:divBdr>
                    </w:div>
                    <w:div w:id="1833328125">
                      <w:marLeft w:val="0"/>
                      <w:marRight w:val="0"/>
                      <w:marTop w:val="0"/>
                      <w:marBottom w:val="0"/>
                      <w:divBdr>
                        <w:top w:val="none" w:sz="0" w:space="0" w:color="auto"/>
                        <w:left w:val="none" w:sz="0" w:space="0" w:color="auto"/>
                        <w:bottom w:val="none" w:sz="0" w:space="0" w:color="auto"/>
                        <w:right w:val="none" w:sz="0" w:space="0" w:color="auto"/>
                      </w:divBdr>
                    </w:div>
                  </w:divsChild>
                </w:div>
                <w:div w:id="1577931279">
                  <w:marLeft w:val="0"/>
                  <w:marRight w:val="0"/>
                  <w:marTop w:val="0"/>
                  <w:marBottom w:val="0"/>
                  <w:divBdr>
                    <w:top w:val="none" w:sz="0" w:space="0" w:color="auto"/>
                    <w:left w:val="none" w:sz="0" w:space="0" w:color="auto"/>
                    <w:bottom w:val="none" w:sz="0" w:space="0" w:color="auto"/>
                    <w:right w:val="none" w:sz="0" w:space="0" w:color="auto"/>
                  </w:divBdr>
                  <w:divsChild>
                    <w:div w:id="1108115047">
                      <w:marLeft w:val="0"/>
                      <w:marRight w:val="0"/>
                      <w:marTop w:val="0"/>
                      <w:marBottom w:val="0"/>
                      <w:divBdr>
                        <w:top w:val="none" w:sz="0" w:space="0" w:color="auto"/>
                        <w:left w:val="none" w:sz="0" w:space="0" w:color="auto"/>
                        <w:bottom w:val="none" w:sz="0" w:space="0" w:color="auto"/>
                        <w:right w:val="none" w:sz="0" w:space="0" w:color="auto"/>
                      </w:divBdr>
                    </w:div>
                  </w:divsChild>
                </w:div>
                <w:div w:id="1620068778">
                  <w:marLeft w:val="0"/>
                  <w:marRight w:val="0"/>
                  <w:marTop w:val="0"/>
                  <w:marBottom w:val="0"/>
                  <w:divBdr>
                    <w:top w:val="none" w:sz="0" w:space="0" w:color="auto"/>
                    <w:left w:val="none" w:sz="0" w:space="0" w:color="auto"/>
                    <w:bottom w:val="none" w:sz="0" w:space="0" w:color="auto"/>
                    <w:right w:val="none" w:sz="0" w:space="0" w:color="auto"/>
                  </w:divBdr>
                  <w:divsChild>
                    <w:div w:id="340357938">
                      <w:marLeft w:val="0"/>
                      <w:marRight w:val="0"/>
                      <w:marTop w:val="0"/>
                      <w:marBottom w:val="0"/>
                      <w:divBdr>
                        <w:top w:val="none" w:sz="0" w:space="0" w:color="auto"/>
                        <w:left w:val="none" w:sz="0" w:space="0" w:color="auto"/>
                        <w:bottom w:val="none" w:sz="0" w:space="0" w:color="auto"/>
                        <w:right w:val="none" w:sz="0" w:space="0" w:color="auto"/>
                      </w:divBdr>
                    </w:div>
                  </w:divsChild>
                </w:div>
                <w:div w:id="1636254450">
                  <w:marLeft w:val="0"/>
                  <w:marRight w:val="0"/>
                  <w:marTop w:val="0"/>
                  <w:marBottom w:val="0"/>
                  <w:divBdr>
                    <w:top w:val="none" w:sz="0" w:space="0" w:color="auto"/>
                    <w:left w:val="none" w:sz="0" w:space="0" w:color="auto"/>
                    <w:bottom w:val="none" w:sz="0" w:space="0" w:color="auto"/>
                    <w:right w:val="none" w:sz="0" w:space="0" w:color="auto"/>
                  </w:divBdr>
                  <w:divsChild>
                    <w:div w:id="1986469279">
                      <w:marLeft w:val="0"/>
                      <w:marRight w:val="0"/>
                      <w:marTop w:val="0"/>
                      <w:marBottom w:val="0"/>
                      <w:divBdr>
                        <w:top w:val="none" w:sz="0" w:space="0" w:color="auto"/>
                        <w:left w:val="none" w:sz="0" w:space="0" w:color="auto"/>
                        <w:bottom w:val="none" w:sz="0" w:space="0" w:color="auto"/>
                        <w:right w:val="none" w:sz="0" w:space="0" w:color="auto"/>
                      </w:divBdr>
                    </w:div>
                  </w:divsChild>
                </w:div>
                <w:div w:id="1646818569">
                  <w:marLeft w:val="0"/>
                  <w:marRight w:val="0"/>
                  <w:marTop w:val="0"/>
                  <w:marBottom w:val="0"/>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
                  </w:divsChild>
                </w:div>
                <w:div w:id="1673531980">
                  <w:marLeft w:val="0"/>
                  <w:marRight w:val="0"/>
                  <w:marTop w:val="0"/>
                  <w:marBottom w:val="0"/>
                  <w:divBdr>
                    <w:top w:val="none" w:sz="0" w:space="0" w:color="auto"/>
                    <w:left w:val="none" w:sz="0" w:space="0" w:color="auto"/>
                    <w:bottom w:val="none" w:sz="0" w:space="0" w:color="auto"/>
                    <w:right w:val="none" w:sz="0" w:space="0" w:color="auto"/>
                  </w:divBdr>
                  <w:divsChild>
                    <w:div w:id="152068332">
                      <w:marLeft w:val="0"/>
                      <w:marRight w:val="0"/>
                      <w:marTop w:val="0"/>
                      <w:marBottom w:val="0"/>
                      <w:divBdr>
                        <w:top w:val="none" w:sz="0" w:space="0" w:color="auto"/>
                        <w:left w:val="none" w:sz="0" w:space="0" w:color="auto"/>
                        <w:bottom w:val="none" w:sz="0" w:space="0" w:color="auto"/>
                        <w:right w:val="none" w:sz="0" w:space="0" w:color="auto"/>
                      </w:divBdr>
                    </w:div>
                  </w:divsChild>
                </w:div>
                <w:div w:id="1708598839">
                  <w:marLeft w:val="0"/>
                  <w:marRight w:val="0"/>
                  <w:marTop w:val="0"/>
                  <w:marBottom w:val="0"/>
                  <w:divBdr>
                    <w:top w:val="none" w:sz="0" w:space="0" w:color="auto"/>
                    <w:left w:val="none" w:sz="0" w:space="0" w:color="auto"/>
                    <w:bottom w:val="none" w:sz="0" w:space="0" w:color="auto"/>
                    <w:right w:val="none" w:sz="0" w:space="0" w:color="auto"/>
                  </w:divBdr>
                  <w:divsChild>
                    <w:div w:id="958684429">
                      <w:marLeft w:val="0"/>
                      <w:marRight w:val="0"/>
                      <w:marTop w:val="0"/>
                      <w:marBottom w:val="0"/>
                      <w:divBdr>
                        <w:top w:val="none" w:sz="0" w:space="0" w:color="auto"/>
                        <w:left w:val="none" w:sz="0" w:space="0" w:color="auto"/>
                        <w:bottom w:val="none" w:sz="0" w:space="0" w:color="auto"/>
                        <w:right w:val="none" w:sz="0" w:space="0" w:color="auto"/>
                      </w:divBdr>
                    </w:div>
                  </w:divsChild>
                </w:div>
                <w:div w:id="1715500970">
                  <w:marLeft w:val="0"/>
                  <w:marRight w:val="0"/>
                  <w:marTop w:val="0"/>
                  <w:marBottom w:val="0"/>
                  <w:divBdr>
                    <w:top w:val="none" w:sz="0" w:space="0" w:color="auto"/>
                    <w:left w:val="none" w:sz="0" w:space="0" w:color="auto"/>
                    <w:bottom w:val="none" w:sz="0" w:space="0" w:color="auto"/>
                    <w:right w:val="none" w:sz="0" w:space="0" w:color="auto"/>
                  </w:divBdr>
                  <w:divsChild>
                    <w:div w:id="2043168545">
                      <w:marLeft w:val="0"/>
                      <w:marRight w:val="0"/>
                      <w:marTop w:val="0"/>
                      <w:marBottom w:val="0"/>
                      <w:divBdr>
                        <w:top w:val="none" w:sz="0" w:space="0" w:color="auto"/>
                        <w:left w:val="none" w:sz="0" w:space="0" w:color="auto"/>
                        <w:bottom w:val="none" w:sz="0" w:space="0" w:color="auto"/>
                        <w:right w:val="none" w:sz="0" w:space="0" w:color="auto"/>
                      </w:divBdr>
                    </w:div>
                  </w:divsChild>
                </w:div>
                <w:div w:id="1744597124">
                  <w:marLeft w:val="0"/>
                  <w:marRight w:val="0"/>
                  <w:marTop w:val="0"/>
                  <w:marBottom w:val="0"/>
                  <w:divBdr>
                    <w:top w:val="none" w:sz="0" w:space="0" w:color="auto"/>
                    <w:left w:val="none" w:sz="0" w:space="0" w:color="auto"/>
                    <w:bottom w:val="none" w:sz="0" w:space="0" w:color="auto"/>
                    <w:right w:val="none" w:sz="0" w:space="0" w:color="auto"/>
                  </w:divBdr>
                  <w:divsChild>
                    <w:div w:id="1993212527">
                      <w:marLeft w:val="0"/>
                      <w:marRight w:val="0"/>
                      <w:marTop w:val="0"/>
                      <w:marBottom w:val="0"/>
                      <w:divBdr>
                        <w:top w:val="none" w:sz="0" w:space="0" w:color="auto"/>
                        <w:left w:val="none" w:sz="0" w:space="0" w:color="auto"/>
                        <w:bottom w:val="none" w:sz="0" w:space="0" w:color="auto"/>
                        <w:right w:val="none" w:sz="0" w:space="0" w:color="auto"/>
                      </w:divBdr>
                    </w:div>
                  </w:divsChild>
                </w:div>
                <w:div w:id="1787044568">
                  <w:marLeft w:val="0"/>
                  <w:marRight w:val="0"/>
                  <w:marTop w:val="0"/>
                  <w:marBottom w:val="0"/>
                  <w:divBdr>
                    <w:top w:val="none" w:sz="0" w:space="0" w:color="auto"/>
                    <w:left w:val="none" w:sz="0" w:space="0" w:color="auto"/>
                    <w:bottom w:val="none" w:sz="0" w:space="0" w:color="auto"/>
                    <w:right w:val="none" w:sz="0" w:space="0" w:color="auto"/>
                  </w:divBdr>
                  <w:divsChild>
                    <w:div w:id="1625891728">
                      <w:marLeft w:val="0"/>
                      <w:marRight w:val="0"/>
                      <w:marTop w:val="0"/>
                      <w:marBottom w:val="0"/>
                      <w:divBdr>
                        <w:top w:val="none" w:sz="0" w:space="0" w:color="auto"/>
                        <w:left w:val="none" w:sz="0" w:space="0" w:color="auto"/>
                        <w:bottom w:val="none" w:sz="0" w:space="0" w:color="auto"/>
                        <w:right w:val="none" w:sz="0" w:space="0" w:color="auto"/>
                      </w:divBdr>
                    </w:div>
                  </w:divsChild>
                </w:div>
                <w:div w:id="1794668507">
                  <w:marLeft w:val="0"/>
                  <w:marRight w:val="0"/>
                  <w:marTop w:val="0"/>
                  <w:marBottom w:val="0"/>
                  <w:divBdr>
                    <w:top w:val="none" w:sz="0" w:space="0" w:color="auto"/>
                    <w:left w:val="none" w:sz="0" w:space="0" w:color="auto"/>
                    <w:bottom w:val="none" w:sz="0" w:space="0" w:color="auto"/>
                    <w:right w:val="none" w:sz="0" w:space="0" w:color="auto"/>
                  </w:divBdr>
                  <w:divsChild>
                    <w:div w:id="1695836634">
                      <w:marLeft w:val="0"/>
                      <w:marRight w:val="0"/>
                      <w:marTop w:val="0"/>
                      <w:marBottom w:val="0"/>
                      <w:divBdr>
                        <w:top w:val="none" w:sz="0" w:space="0" w:color="auto"/>
                        <w:left w:val="none" w:sz="0" w:space="0" w:color="auto"/>
                        <w:bottom w:val="none" w:sz="0" w:space="0" w:color="auto"/>
                        <w:right w:val="none" w:sz="0" w:space="0" w:color="auto"/>
                      </w:divBdr>
                    </w:div>
                  </w:divsChild>
                </w:div>
                <w:div w:id="1837569452">
                  <w:marLeft w:val="0"/>
                  <w:marRight w:val="0"/>
                  <w:marTop w:val="0"/>
                  <w:marBottom w:val="0"/>
                  <w:divBdr>
                    <w:top w:val="none" w:sz="0" w:space="0" w:color="auto"/>
                    <w:left w:val="none" w:sz="0" w:space="0" w:color="auto"/>
                    <w:bottom w:val="none" w:sz="0" w:space="0" w:color="auto"/>
                    <w:right w:val="none" w:sz="0" w:space="0" w:color="auto"/>
                  </w:divBdr>
                  <w:divsChild>
                    <w:div w:id="1653177038">
                      <w:marLeft w:val="0"/>
                      <w:marRight w:val="0"/>
                      <w:marTop w:val="0"/>
                      <w:marBottom w:val="0"/>
                      <w:divBdr>
                        <w:top w:val="none" w:sz="0" w:space="0" w:color="auto"/>
                        <w:left w:val="none" w:sz="0" w:space="0" w:color="auto"/>
                        <w:bottom w:val="none" w:sz="0" w:space="0" w:color="auto"/>
                        <w:right w:val="none" w:sz="0" w:space="0" w:color="auto"/>
                      </w:divBdr>
                    </w:div>
                  </w:divsChild>
                </w:div>
                <w:div w:id="1868717286">
                  <w:marLeft w:val="0"/>
                  <w:marRight w:val="0"/>
                  <w:marTop w:val="0"/>
                  <w:marBottom w:val="0"/>
                  <w:divBdr>
                    <w:top w:val="none" w:sz="0" w:space="0" w:color="auto"/>
                    <w:left w:val="none" w:sz="0" w:space="0" w:color="auto"/>
                    <w:bottom w:val="none" w:sz="0" w:space="0" w:color="auto"/>
                    <w:right w:val="none" w:sz="0" w:space="0" w:color="auto"/>
                  </w:divBdr>
                  <w:divsChild>
                    <w:div w:id="123354029">
                      <w:marLeft w:val="0"/>
                      <w:marRight w:val="0"/>
                      <w:marTop w:val="0"/>
                      <w:marBottom w:val="0"/>
                      <w:divBdr>
                        <w:top w:val="none" w:sz="0" w:space="0" w:color="auto"/>
                        <w:left w:val="none" w:sz="0" w:space="0" w:color="auto"/>
                        <w:bottom w:val="none" w:sz="0" w:space="0" w:color="auto"/>
                        <w:right w:val="none" w:sz="0" w:space="0" w:color="auto"/>
                      </w:divBdr>
                    </w:div>
                  </w:divsChild>
                </w:div>
                <w:div w:id="1876040597">
                  <w:marLeft w:val="0"/>
                  <w:marRight w:val="0"/>
                  <w:marTop w:val="0"/>
                  <w:marBottom w:val="0"/>
                  <w:divBdr>
                    <w:top w:val="none" w:sz="0" w:space="0" w:color="auto"/>
                    <w:left w:val="none" w:sz="0" w:space="0" w:color="auto"/>
                    <w:bottom w:val="none" w:sz="0" w:space="0" w:color="auto"/>
                    <w:right w:val="none" w:sz="0" w:space="0" w:color="auto"/>
                  </w:divBdr>
                  <w:divsChild>
                    <w:div w:id="884567164">
                      <w:marLeft w:val="0"/>
                      <w:marRight w:val="0"/>
                      <w:marTop w:val="0"/>
                      <w:marBottom w:val="0"/>
                      <w:divBdr>
                        <w:top w:val="none" w:sz="0" w:space="0" w:color="auto"/>
                        <w:left w:val="none" w:sz="0" w:space="0" w:color="auto"/>
                        <w:bottom w:val="none" w:sz="0" w:space="0" w:color="auto"/>
                        <w:right w:val="none" w:sz="0" w:space="0" w:color="auto"/>
                      </w:divBdr>
                    </w:div>
                  </w:divsChild>
                </w:div>
                <w:div w:id="1881431245">
                  <w:marLeft w:val="0"/>
                  <w:marRight w:val="0"/>
                  <w:marTop w:val="0"/>
                  <w:marBottom w:val="0"/>
                  <w:divBdr>
                    <w:top w:val="none" w:sz="0" w:space="0" w:color="auto"/>
                    <w:left w:val="none" w:sz="0" w:space="0" w:color="auto"/>
                    <w:bottom w:val="none" w:sz="0" w:space="0" w:color="auto"/>
                    <w:right w:val="none" w:sz="0" w:space="0" w:color="auto"/>
                  </w:divBdr>
                  <w:divsChild>
                    <w:div w:id="57093633">
                      <w:marLeft w:val="0"/>
                      <w:marRight w:val="0"/>
                      <w:marTop w:val="0"/>
                      <w:marBottom w:val="0"/>
                      <w:divBdr>
                        <w:top w:val="none" w:sz="0" w:space="0" w:color="auto"/>
                        <w:left w:val="none" w:sz="0" w:space="0" w:color="auto"/>
                        <w:bottom w:val="none" w:sz="0" w:space="0" w:color="auto"/>
                        <w:right w:val="none" w:sz="0" w:space="0" w:color="auto"/>
                      </w:divBdr>
                    </w:div>
                    <w:div w:id="502740445">
                      <w:marLeft w:val="0"/>
                      <w:marRight w:val="0"/>
                      <w:marTop w:val="0"/>
                      <w:marBottom w:val="0"/>
                      <w:divBdr>
                        <w:top w:val="none" w:sz="0" w:space="0" w:color="auto"/>
                        <w:left w:val="none" w:sz="0" w:space="0" w:color="auto"/>
                        <w:bottom w:val="none" w:sz="0" w:space="0" w:color="auto"/>
                        <w:right w:val="none" w:sz="0" w:space="0" w:color="auto"/>
                      </w:divBdr>
                    </w:div>
                    <w:div w:id="1376387159">
                      <w:marLeft w:val="0"/>
                      <w:marRight w:val="0"/>
                      <w:marTop w:val="0"/>
                      <w:marBottom w:val="0"/>
                      <w:divBdr>
                        <w:top w:val="none" w:sz="0" w:space="0" w:color="auto"/>
                        <w:left w:val="none" w:sz="0" w:space="0" w:color="auto"/>
                        <w:bottom w:val="none" w:sz="0" w:space="0" w:color="auto"/>
                        <w:right w:val="none" w:sz="0" w:space="0" w:color="auto"/>
                      </w:divBdr>
                    </w:div>
                    <w:div w:id="2058775688">
                      <w:marLeft w:val="0"/>
                      <w:marRight w:val="0"/>
                      <w:marTop w:val="0"/>
                      <w:marBottom w:val="0"/>
                      <w:divBdr>
                        <w:top w:val="none" w:sz="0" w:space="0" w:color="auto"/>
                        <w:left w:val="none" w:sz="0" w:space="0" w:color="auto"/>
                        <w:bottom w:val="none" w:sz="0" w:space="0" w:color="auto"/>
                        <w:right w:val="none" w:sz="0" w:space="0" w:color="auto"/>
                      </w:divBdr>
                    </w:div>
                  </w:divsChild>
                </w:div>
                <w:div w:id="1887520618">
                  <w:marLeft w:val="0"/>
                  <w:marRight w:val="0"/>
                  <w:marTop w:val="0"/>
                  <w:marBottom w:val="0"/>
                  <w:divBdr>
                    <w:top w:val="none" w:sz="0" w:space="0" w:color="auto"/>
                    <w:left w:val="none" w:sz="0" w:space="0" w:color="auto"/>
                    <w:bottom w:val="none" w:sz="0" w:space="0" w:color="auto"/>
                    <w:right w:val="none" w:sz="0" w:space="0" w:color="auto"/>
                  </w:divBdr>
                  <w:divsChild>
                    <w:div w:id="1302733419">
                      <w:marLeft w:val="0"/>
                      <w:marRight w:val="0"/>
                      <w:marTop w:val="0"/>
                      <w:marBottom w:val="0"/>
                      <w:divBdr>
                        <w:top w:val="none" w:sz="0" w:space="0" w:color="auto"/>
                        <w:left w:val="none" w:sz="0" w:space="0" w:color="auto"/>
                        <w:bottom w:val="none" w:sz="0" w:space="0" w:color="auto"/>
                        <w:right w:val="none" w:sz="0" w:space="0" w:color="auto"/>
                      </w:divBdr>
                    </w:div>
                  </w:divsChild>
                </w:div>
                <w:div w:id="2005813260">
                  <w:marLeft w:val="0"/>
                  <w:marRight w:val="0"/>
                  <w:marTop w:val="0"/>
                  <w:marBottom w:val="0"/>
                  <w:divBdr>
                    <w:top w:val="none" w:sz="0" w:space="0" w:color="auto"/>
                    <w:left w:val="none" w:sz="0" w:space="0" w:color="auto"/>
                    <w:bottom w:val="none" w:sz="0" w:space="0" w:color="auto"/>
                    <w:right w:val="none" w:sz="0" w:space="0" w:color="auto"/>
                  </w:divBdr>
                  <w:divsChild>
                    <w:div w:id="926426131">
                      <w:marLeft w:val="0"/>
                      <w:marRight w:val="0"/>
                      <w:marTop w:val="0"/>
                      <w:marBottom w:val="0"/>
                      <w:divBdr>
                        <w:top w:val="none" w:sz="0" w:space="0" w:color="auto"/>
                        <w:left w:val="none" w:sz="0" w:space="0" w:color="auto"/>
                        <w:bottom w:val="none" w:sz="0" w:space="0" w:color="auto"/>
                        <w:right w:val="none" w:sz="0" w:space="0" w:color="auto"/>
                      </w:divBdr>
                    </w:div>
                  </w:divsChild>
                </w:div>
                <w:div w:id="2024505264">
                  <w:marLeft w:val="0"/>
                  <w:marRight w:val="0"/>
                  <w:marTop w:val="0"/>
                  <w:marBottom w:val="0"/>
                  <w:divBdr>
                    <w:top w:val="none" w:sz="0" w:space="0" w:color="auto"/>
                    <w:left w:val="none" w:sz="0" w:space="0" w:color="auto"/>
                    <w:bottom w:val="none" w:sz="0" w:space="0" w:color="auto"/>
                    <w:right w:val="none" w:sz="0" w:space="0" w:color="auto"/>
                  </w:divBdr>
                  <w:divsChild>
                    <w:div w:id="297536079">
                      <w:marLeft w:val="0"/>
                      <w:marRight w:val="0"/>
                      <w:marTop w:val="0"/>
                      <w:marBottom w:val="0"/>
                      <w:divBdr>
                        <w:top w:val="none" w:sz="0" w:space="0" w:color="auto"/>
                        <w:left w:val="none" w:sz="0" w:space="0" w:color="auto"/>
                        <w:bottom w:val="none" w:sz="0" w:space="0" w:color="auto"/>
                        <w:right w:val="none" w:sz="0" w:space="0" w:color="auto"/>
                      </w:divBdr>
                    </w:div>
                  </w:divsChild>
                </w:div>
                <w:div w:id="2025549975">
                  <w:marLeft w:val="0"/>
                  <w:marRight w:val="0"/>
                  <w:marTop w:val="0"/>
                  <w:marBottom w:val="0"/>
                  <w:divBdr>
                    <w:top w:val="none" w:sz="0" w:space="0" w:color="auto"/>
                    <w:left w:val="none" w:sz="0" w:space="0" w:color="auto"/>
                    <w:bottom w:val="none" w:sz="0" w:space="0" w:color="auto"/>
                    <w:right w:val="none" w:sz="0" w:space="0" w:color="auto"/>
                  </w:divBdr>
                  <w:divsChild>
                    <w:div w:id="110053101">
                      <w:marLeft w:val="0"/>
                      <w:marRight w:val="0"/>
                      <w:marTop w:val="0"/>
                      <w:marBottom w:val="0"/>
                      <w:divBdr>
                        <w:top w:val="none" w:sz="0" w:space="0" w:color="auto"/>
                        <w:left w:val="none" w:sz="0" w:space="0" w:color="auto"/>
                        <w:bottom w:val="none" w:sz="0" w:space="0" w:color="auto"/>
                        <w:right w:val="none" w:sz="0" w:space="0" w:color="auto"/>
                      </w:divBdr>
                    </w:div>
                    <w:div w:id="233395350">
                      <w:marLeft w:val="0"/>
                      <w:marRight w:val="0"/>
                      <w:marTop w:val="0"/>
                      <w:marBottom w:val="0"/>
                      <w:divBdr>
                        <w:top w:val="none" w:sz="0" w:space="0" w:color="auto"/>
                        <w:left w:val="none" w:sz="0" w:space="0" w:color="auto"/>
                        <w:bottom w:val="none" w:sz="0" w:space="0" w:color="auto"/>
                        <w:right w:val="none" w:sz="0" w:space="0" w:color="auto"/>
                      </w:divBdr>
                    </w:div>
                    <w:div w:id="432285889">
                      <w:marLeft w:val="0"/>
                      <w:marRight w:val="0"/>
                      <w:marTop w:val="0"/>
                      <w:marBottom w:val="0"/>
                      <w:divBdr>
                        <w:top w:val="none" w:sz="0" w:space="0" w:color="auto"/>
                        <w:left w:val="none" w:sz="0" w:space="0" w:color="auto"/>
                        <w:bottom w:val="none" w:sz="0" w:space="0" w:color="auto"/>
                        <w:right w:val="none" w:sz="0" w:space="0" w:color="auto"/>
                      </w:divBdr>
                    </w:div>
                    <w:div w:id="466435017">
                      <w:marLeft w:val="0"/>
                      <w:marRight w:val="0"/>
                      <w:marTop w:val="0"/>
                      <w:marBottom w:val="0"/>
                      <w:divBdr>
                        <w:top w:val="none" w:sz="0" w:space="0" w:color="auto"/>
                        <w:left w:val="none" w:sz="0" w:space="0" w:color="auto"/>
                        <w:bottom w:val="none" w:sz="0" w:space="0" w:color="auto"/>
                        <w:right w:val="none" w:sz="0" w:space="0" w:color="auto"/>
                      </w:divBdr>
                    </w:div>
                  </w:divsChild>
                </w:div>
                <w:div w:id="2113012426">
                  <w:marLeft w:val="0"/>
                  <w:marRight w:val="0"/>
                  <w:marTop w:val="0"/>
                  <w:marBottom w:val="0"/>
                  <w:divBdr>
                    <w:top w:val="none" w:sz="0" w:space="0" w:color="auto"/>
                    <w:left w:val="none" w:sz="0" w:space="0" w:color="auto"/>
                    <w:bottom w:val="none" w:sz="0" w:space="0" w:color="auto"/>
                    <w:right w:val="none" w:sz="0" w:space="0" w:color="auto"/>
                  </w:divBdr>
                  <w:divsChild>
                    <w:div w:id="650524782">
                      <w:marLeft w:val="0"/>
                      <w:marRight w:val="0"/>
                      <w:marTop w:val="0"/>
                      <w:marBottom w:val="0"/>
                      <w:divBdr>
                        <w:top w:val="none" w:sz="0" w:space="0" w:color="auto"/>
                        <w:left w:val="none" w:sz="0" w:space="0" w:color="auto"/>
                        <w:bottom w:val="none" w:sz="0" w:space="0" w:color="auto"/>
                        <w:right w:val="none" w:sz="0" w:space="0" w:color="auto"/>
                      </w:divBdr>
                    </w:div>
                  </w:divsChild>
                </w:div>
                <w:div w:id="2117213161">
                  <w:marLeft w:val="0"/>
                  <w:marRight w:val="0"/>
                  <w:marTop w:val="0"/>
                  <w:marBottom w:val="0"/>
                  <w:divBdr>
                    <w:top w:val="none" w:sz="0" w:space="0" w:color="auto"/>
                    <w:left w:val="none" w:sz="0" w:space="0" w:color="auto"/>
                    <w:bottom w:val="none" w:sz="0" w:space="0" w:color="auto"/>
                    <w:right w:val="none" w:sz="0" w:space="0" w:color="auto"/>
                  </w:divBdr>
                  <w:divsChild>
                    <w:div w:id="4456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861688">
          <w:marLeft w:val="0"/>
          <w:marRight w:val="0"/>
          <w:marTop w:val="0"/>
          <w:marBottom w:val="0"/>
          <w:divBdr>
            <w:top w:val="none" w:sz="0" w:space="0" w:color="auto"/>
            <w:left w:val="none" w:sz="0" w:space="0" w:color="auto"/>
            <w:bottom w:val="none" w:sz="0" w:space="0" w:color="auto"/>
            <w:right w:val="none" w:sz="0" w:space="0" w:color="auto"/>
          </w:divBdr>
        </w:div>
        <w:div w:id="1939754303">
          <w:marLeft w:val="0"/>
          <w:marRight w:val="0"/>
          <w:marTop w:val="0"/>
          <w:marBottom w:val="0"/>
          <w:divBdr>
            <w:top w:val="none" w:sz="0" w:space="0" w:color="auto"/>
            <w:left w:val="none" w:sz="0" w:space="0" w:color="auto"/>
            <w:bottom w:val="none" w:sz="0" w:space="0" w:color="auto"/>
            <w:right w:val="none" w:sz="0" w:space="0" w:color="auto"/>
          </w:divBdr>
        </w:div>
        <w:div w:id="1976720333">
          <w:marLeft w:val="0"/>
          <w:marRight w:val="0"/>
          <w:marTop w:val="0"/>
          <w:marBottom w:val="0"/>
          <w:divBdr>
            <w:top w:val="none" w:sz="0" w:space="0" w:color="auto"/>
            <w:left w:val="none" w:sz="0" w:space="0" w:color="auto"/>
            <w:bottom w:val="none" w:sz="0" w:space="0" w:color="auto"/>
            <w:right w:val="none" w:sz="0" w:space="0" w:color="auto"/>
          </w:divBdr>
        </w:div>
      </w:divsChild>
    </w:div>
    <w:div w:id="41440673">
      <w:bodyDiv w:val="1"/>
      <w:marLeft w:val="0"/>
      <w:marRight w:val="0"/>
      <w:marTop w:val="0"/>
      <w:marBottom w:val="0"/>
      <w:divBdr>
        <w:top w:val="none" w:sz="0" w:space="0" w:color="auto"/>
        <w:left w:val="none" w:sz="0" w:space="0" w:color="auto"/>
        <w:bottom w:val="none" w:sz="0" w:space="0" w:color="auto"/>
        <w:right w:val="none" w:sz="0" w:space="0" w:color="auto"/>
      </w:divBdr>
      <w:divsChild>
        <w:div w:id="18432455">
          <w:marLeft w:val="0"/>
          <w:marRight w:val="0"/>
          <w:marTop w:val="0"/>
          <w:marBottom w:val="0"/>
          <w:divBdr>
            <w:top w:val="none" w:sz="0" w:space="0" w:color="auto"/>
            <w:left w:val="none" w:sz="0" w:space="0" w:color="auto"/>
            <w:bottom w:val="none" w:sz="0" w:space="0" w:color="auto"/>
            <w:right w:val="none" w:sz="0" w:space="0" w:color="auto"/>
          </w:divBdr>
        </w:div>
        <w:div w:id="136729690">
          <w:marLeft w:val="0"/>
          <w:marRight w:val="0"/>
          <w:marTop w:val="0"/>
          <w:marBottom w:val="0"/>
          <w:divBdr>
            <w:top w:val="none" w:sz="0" w:space="0" w:color="auto"/>
            <w:left w:val="none" w:sz="0" w:space="0" w:color="auto"/>
            <w:bottom w:val="none" w:sz="0" w:space="0" w:color="auto"/>
            <w:right w:val="none" w:sz="0" w:space="0" w:color="auto"/>
          </w:divBdr>
        </w:div>
        <w:div w:id="213393596">
          <w:marLeft w:val="0"/>
          <w:marRight w:val="0"/>
          <w:marTop w:val="0"/>
          <w:marBottom w:val="0"/>
          <w:divBdr>
            <w:top w:val="none" w:sz="0" w:space="0" w:color="auto"/>
            <w:left w:val="none" w:sz="0" w:space="0" w:color="auto"/>
            <w:bottom w:val="none" w:sz="0" w:space="0" w:color="auto"/>
            <w:right w:val="none" w:sz="0" w:space="0" w:color="auto"/>
          </w:divBdr>
          <w:divsChild>
            <w:div w:id="39936124">
              <w:marLeft w:val="-75"/>
              <w:marRight w:val="0"/>
              <w:marTop w:val="30"/>
              <w:marBottom w:val="30"/>
              <w:divBdr>
                <w:top w:val="none" w:sz="0" w:space="0" w:color="auto"/>
                <w:left w:val="none" w:sz="0" w:space="0" w:color="auto"/>
                <w:bottom w:val="none" w:sz="0" w:space="0" w:color="auto"/>
                <w:right w:val="none" w:sz="0" w:space="0" w:color="auto"/>
              </w:divBdr>
              <w:divsChild>
                <w:div w:id="22950333">
                  <w:marLeft w:val="0"/>
                  <w:marRight w:val="0"/>
                  <w:marTop w:val="0"/>
                  <w:marBottom w:val="0"/>
                  <w:divBdr>
                    <w:top w:val="none" w:sz="0" w:space="0" w:color="auto"/>
                    <w:left w:val="none" w:sz="0" w:space="0" w:color="auto"/>
                    <w:bottom w:val="none" w:sz="0" w:space="0" w:color="auto"/>
                    <w:right w:val="none" w:sz="0" w:space="0" w:color="auto"/>
                  </w:divBdr>
                  <w:divsChild>
                    <w:div w:id="1632593026">
                      <w:marLeft w:val="0"/>
                      <w:marRight w:val="0"/>
                      <w:marTop w:val="0"/>
                      <w:marBottom w:val="0"/>
                      <w:divBdr>
                        <w:top w:val="none" w:sz="0" w:space="0" w:color="auto"/>
                        <w:left w:val="none" w:sz="0" w:space="0" w:color="auto"/>
                        <w:bottom w:val="none" w:sz="0" w:space="0" w:color="auto"/>
                        <w:right w:val="none" w:sz="0" w:space="0" w:color="auto"/>
                      </w:divBdr>
                    </w:div>
                  </w:divsChild>
                </w:div>
                <w:div w:id="66342008">
                  <w:marLeft w:val="0"/>
                  <w:marRight w:val="0"/>
                  <w:marTop w:val="0"/>
                  <w:marBottom w:val="0"/>
                  <w:divBdr>
                    <w:top w:val="none" w:sz="0" w:space="0" w:color="auto"/>
                    <w:left w:val="none" w:sz="0" w:space="0" w:color="auto"/>
                    <w:bottom w:val="none" w:sz="0" w:space="0" w:color="auto"/>
                    <w:right w:val="none" w:sz="0" w:space="0" w:color="auto"/>
                  </w:divBdr>
                  <w:divsChild>
                    <w:div w:id="236792481">
                      <w:marLeft w:val="0"/>
                      <w:marRight w:val="0"/>
                      <w:marTop w:val="0"/>
                      <w:marBottom w:val="0"/>
                      <w:divBdr>
                        <w:top w:val="none" w:sz="0" w:space="0" w:color="auto"/>
                        <w:left w:val="none" w:sz="0" w:space="0" w:color="auto"/>
                        <w:bottom w:val="none" w:sz="0" w:space="0" w:color="auto"/>
                        <w:right w:val="none" w:sz="0" w:space="0" w:color="auto"/>
                      </w:divBdr>
                    </w:div>
                  </w:divsChild>
                </w:div>
                <w:div w:id="74516209">
                  <w:marLeft w:val="0"/>
                  <w:marRight w:val="0"/>
                  <w:marTop w:val="0"/>
                  <w:marBottom w:val="0"/>
                  <w:divBdr>
                    <w:top w:val="none" w:sz="0" w:space="0" w:color="auto"/>
                    <w:left w:val="none" w:sz="0" w:space="0" w:color="auto"/>
                    <w:bottom w:val="none" w:sz="0" w:space="0" w:color="auto"/>
                    <w:right w:val="none" w:sz="0" w:space="0" w:color="auto"/>
                  </w:divBdr>
                  <w:divsChild>
                    <w:div w:id="103813521">
                      <w:marLeft w:val="0"/>
                      <w:marRight w:val="0"/>
                      <w:marTop w:val="0"/>
                      <w:marBottom w:val="0"/>
                      <w:divBdr>
                        <w:top w:val="none" w:sz="0" w:space="0" w:color="auto"/>
                        <w:left w:val="none" w:sz="0" w:space="0" w:color="auto"/>
                        <w:bottom w:val="none" w:sz="0" w:space="0" w:color="auto"/>
                        <w:right w:val="none" w:sz="0" w:space="0" w:color="auto"/>
                      </w:divBdr>
                    </w:div>
                  </w:divsChild>
                </w:div>
                <w:div w:id="83310608">
                  <w:marLeft w:val="0"/>
                  <w:marRight w:val="0"/>
                  <w:marTop w:val="0"/>
                  <w:marBottom w:val="0"/>
                  <w:divBdr>
                    <w:top w:val="none" w:sz="0" w:space="0" w:color="auto"/>
                    <w:left w:val="none" w:sz="0" w:space="0" w:color="auto"/>
                    <w:bottom w:val="none" w:sz="0" w:space="0" w:color="auto"/>
                    <w:right w:val="none" w:sz="0" w:space="0" w:color="auto"/>
                  </w:divBdr>
                  <w:divsChild>
                    <w:div w:id="1217279614">
                      <w:marLeft w:val="0"/>
                      <w:marRight w:val="0"/>
                      <w:marTop w:val="0"/>
                      <w:marBottom w:val="0"/>
                      <w:divBdr>
                        <w:top w:val="none" w:sz="0" w:space="0" w:color="auto"/>
                        <w:left w:val="none" w:sz="0" w:space="0" w:color="auto"/>
                        <w:bottom w:val="none" w:sz="0" w:space="0" w:color="auto"/>
                        <w:right w:val="none" w:sz="0" w:space="0" w:color="auto"/>
                      </w:divBdr>
                    </w:div>
                  </w:divsChild>
                </w:div>
                <w:div w:id="99227553">
                  <w:marLeft w:val="0"/>
                  <w:marRight w:val="0"/>
                  <w:marTop w:val="0"/>
                  <w:marBottom w:val="0"/>
                  <w:divBdr>
                    <w:top w:val="none" w:sz="0" w:space="0" w:color="auto"/>
                    <w:left w:val="none" w:sz="0" w:space="0" w:color="auto"/>
                    <w:bottom w:val="none" w:sz="0" w:space="0" w:color="auto"/>
                    <w:right w:val="none" w:sz="0" w:space="0" w:color="auto"/>
                  </w:divBdr>
                  <w:divsChild>
                    <w:div w:id="1631283211">
                      <w:marLeft w:val="0"/>
                      <w:marRight w:val="0"/>
                      <w:marTop w:val="0"/>
                      <w:marBottom w:val="0"/>
                      <w:divBdr>
                        <w:top w:val="none" w:sz="0" w:space="0" w:color="auto"/>
                        <w:left w:val="none" w:sz="0" w:space="0" w:color="auto"/>
                        <w:bottom w:val="none" w:sz="0" w:space="0" w:color="auto"/>
                        <w:right w:val="none" w:sz="0" w:space="0" w:color="auto"/>
                      </w:divBdr>
                    </w:div>
                  </w:divsChild>
                </w:div>
                <w:div w:id="211314517">
                  <w:marLeft w:val="0"/>
                  <w:marRight w:val="0"/>
                  <w:marTop w:val="0"/>
                  <w:marBottom w:val="0"/>
                  <w:divBdr>
                    <w:top w:val="none" w:sz="0" w:space="0" w:color="auto"/>
                    <w:left w:val="none" w:sz="0" w:space="0" w:color="auto"/>
                    <w:bottom w:val="none" w:sz="0" w:space="0" w:color="auto"/>
                    <w:right w:val="none" w:sz="0" w:space="0" w:color="auto"/>
                  </w:divBdr>
                  <w:divsChild>
                    <w:div w:id="639959904">
                      <w:marLeft w:val="0"/>
                      <w:marRight w:val="0"/>
                      <w:marTop w:val="0"/>
                      <w:marBottom w:val="0"/>
                      <w:divBdr>
                        <w:top w:val="none" w:sz="0" w:space="0" w:color="auto"/>
                        <w:left w:val="none" w:sz="0" w:space="0" w:color="auto"/>
                        <w:bottom w:val="none" w:sz="0" w:space="0" w:color="auto"/>
                        <w:right w:val="none" w:sz="0" w:space="0" w:color="auto"/>
                      </w:divBdr>
                    </w:div>
                  </w:divsChild>
                </w:div>
                <w:div w:id="253441360">
                  <w:marLeft w:val="0"/>
                  <w:marRight w:val="0"/>
                  <w:marTop w:val="0"/>
                  <w:marBottom w:val="0"/>
                  <w:divBdr>
                    <w:top w:val="none" w:sz="0" w:space="0" w:color="auto"/>
                    <w:left w:val="none" w:sz="0" w:space="0" w:color="auto"/>
                    <w:bottom w:val="none" w:sz="0" w:space="0" w:color="auto"/>
                    <w:right w:val="none" w:sz="0" w:space="0" w:color="auto"/>
                  </w:divBdr>
                  <w:divsChild>
                    <w:div w:id="503128197">
                      <w:marLeft w:val="0"/>
                      <w:marRight w:val="0"/>
                      <w:marTop w:val="0"/>
                      <w:marBottom w:val="0"/>
                      <w:divBdr>
                        <w:top w:val="none" w:sz="0" w:space="0" w:color="auto"/>
                        <w:left w:val="none" w:sz="0" w:space="0" w:color="auto"/>
                        <w:bottom w:val="none" w:sz="0" w:space="0" w:color="auto"/>
                        <w:right w:val="none" w:sz="0" w:space="0" w:color="auto"/>
                      </w:divBdr>
                    </w:div>
                  </w:divsChild>
                </w:div>
                <w:div w:id="267660766">
                  <w:marLeft w:val="0"/>
                  <w:marRight w:val="0"/>
                  <w:marTop w:val="0"/>
                  <w:marBottom w:val="0"/>
                  <w:divBdr>
                    <w:top w:val="none" w:sz="0" w:space="0" w:color="auto"/>
                    <w:left w:val="none" w:sz="0" w:space="0" w:color="auto"/>
                    <w:bottom w:val="none" w:sz="0" w:space="0" w:color="auto"/>
                    <w:right w:val="none" w:sz="0" w:space="0" w:color="auto"/>
                  </w:divBdr>
                  <w:divsChild>
                    <w:div w:id="1393969878">
                      <w:marLeft w:val="0"/>
                      <w:marRight w:val="0"/>
                      <w:marTop w:val="0"/>
                      <w:marBottom w:val="0"/>
                      <w:divBdr>
                        <w:top w:val="none" w:sz="0" w:space="0" w:color="auto"/>
                        <w:left w:val="none" w:sz="0" w:space="0" w:color="auto"/>
                        <w:bottom w:val="none" w:sz="0" w:space="0" w:color="auto"/>
                        <w:right w:val="none" w:sz="0" w:space="0" w:color="auto"/>
                      </w:divBdr>
                    </w:div>
                  </w:divsChild>
                </w:div>
                <w:div w:id="276984269">
                  <w:marLeft w:val="0"/>
                  <w:marRight w:val="0"/>
                  <w:marTop w:val="0"/>
                  <w:marBottom w:val="0"/>
                  <w:divBdr>
                    <w:top w:val="none" w:sz="0" w:space="0" w:color="auto"/>
                    <w:left w:val="none" w:sz="0" w:space="0" w:color="auto"/>
                    <w:bottom w:val="none" w:sz="0" w:space="0" w:color="auto"/>
                    <w:right w:val="none" w:sz="0" w:space="0" w:color="auto"/>
                  </w:divBdr>
                  <w:divsChild>
                    <w:div w:id="1834758832">
                      <w:marLeft w:val="0"/>
                      <w:marRight w:val="0"/>
                      <w:marTop w:val="0"/>
                      <w:marBottom w:val="0"/>
                      <w:divBdr>
                        <w:top w:val="none" w:sz="0" w:space="0" w:color="auto"/>
                        <w:left w:val="none" w:sz="0" w:space="0" w:color="auto"/>
                        <w:bottom w:val="none" w:sz="0" w:space="0" w:color="auto"/>
                        <w:right w:val="none" w:sz="0" w:space="0" w:color="auto"/>
                      </w:divBdr>
                    </w:div>
                  </w:divsChild>
                </w:div>
                <w:div w:id="320276649">
                  <w:marLeft w:val="0"/>
                  <w:marRight w:val="0"/>
                  <w:marTop w:val="0"/>
                  <w:marBottom w:val="0"/>
                  <w:divBdr>
                    <w:top w:val="none" w:sz="0" w:space="0" w:color="auto"/>
                    <w:left w:val="none" w:sz="0" w:space="0" w:color="auto"/>
                    <w:bottom w:val="none" w:sz="0" w:space="0" w:color="auto"/>
                    <w:right w:val="none" w:sz="0" w:space="0" w:color="auto"/>
                  </w:divBdr>
                  <w:divsChild>
                    <w:div w:id="1219710778">
                      <w:marLeft w:val="0"/>
                      <w:marRight w:val="0"/>
                      <w:marTop w:val="0"/>
                      <w:marBottom w:val="0"/>
                      <w:divBdr>
                        <w:top w:val="none" w:sz="0" w:space="0" w:color="auto"/>
                        <w:left w:val="none" w:sz="0" w:space="0" w:color="auto"/>
                        <w:bottom w:val="none" w:sz="0" w:space="0" w:color="auto"/>
                        <w:right w:val="none" w:sz="0" w:space="0" w:color="auto"/>
                      </w:divBdr>
                    </w:div>
                  </w:divsChild>
                </w:div>
                <w:div w:id="466557956">
                  <w:marLeft w:val="0"/>
                  <w:marRight w:val="0"/>
                  <w:marTop w:val="0"/>
                  <w:marBottom w:val="0"/>
                  <w:divBdr>
                    <w:top w:val="none" w:sz="0" w:space="0" w:color="auto"/>
                    <w:left w:val="none" w:sz="0" w:space="0" w:color="auto"/>
                    <w:bottom w:val="none" w:sz="0" w:space="0" w:color="auto"/>
                    <w:right w:val="none" w:sz="0" w:space="0" w:color="auto"/>
                  </w:divBdr>
                  <w:divsChild>
                    <w:div w:id="1777286602">
                      <w:marLeft w:val="0"/>
                      <w:marRight w:val="0"/>
                      <w:marTop w:val="0"/>
                      <w:marBottom w:val="0"/>
                      <w:divBdr>
                        <w:top w:val="none" w:sz="0" w:space="0" w:color="auto"/>
                        <w:left w:val="none" w:sz="0" w:space="0" w:color="auto"/>
                        <w:bottom w:val="none" w:sz="0" w:space="0" w:color="auto"/>
                        <w:right w:val="none" w:sz="0" w:space="0" w:color="auto"/>
                      </w:divBdr>
                    </w:div>
                  </w:divsChild>
                </w:div>
                <w:div w:id="483354962">
                  <w:marLeft w:val="0"/>
                  <w:marRight w:val="0"/>
                  <w:marTop w:val="0"/>
                  <w:marBottom w:val="0"/>
                  <w:divBdr>
                    <w:top w:val="none" w:sz="0" w:space="0" w:color="auto"/>
                    <w:left w:val="none" w:sz="0" w:space="0" w:color="auto"/>
                    <w:bottom w:val="none" w:sz="0" w:space="0" w:color="auto"/>
                    <w:right w:val="none" w:sz="0" w:space="0" w:color="auto"/>
                  </w:divBdr>
                  <w:divsChild>
                    <w:div w:id="1695499336">
                      <w:marLeft w:val="0"/>
                      <w:marRight w:val="0"/>
                      <w:marTop w:val="0"/>
                      <w:marBottom w:val="0"/>
                      <w:divBdr>
                        <w:top w:val="none" w:sz="0" w:space="0" w:color="auto"/>
                        <w:left w:val="none" w:sz="0" w:space="0" w:color="auto"/>
                        <w:bottom w:val="none" w:sz="0" w:space="0" w:color="auto"/>
                        <w:right w:val="none" w:sz="0" w:space="0" w:color="auto"/>
                      </w:divBdr>
                    </w:div>
                  </w:divsChild>
                </w:div>
                <w:div w:id="523206462">
                  <w:marLeft w:val="0"/>
                  <w:marRight w:val="0"/>
                  <w:marTop w:val="0"/>
                  <w:marBottom w:val="0"/>
                  <w:divBdr>
                    <w:top w:val="none" w:sz="0" w:space="0" w:color="auto"/>
                    <w:left w:val="none" w:sz="0" w:space="0" w:color="auto"/>
                    <w:bottom w:val="none" w:sz="0" w:space="0" w:color="auto"/>
                    <w:right w:val="none" w:sz="0" w:space="0" w:color="auto"/>
                  </w:divBdr>
                  <w:divsChild>
                    <w:div w:id="666247134">
                      <w:marLeft w:val="0"/>
                      <w:marRight w:val="0"/>
                      <w:marTop w:val="0"/>
                      <w:marBottom w:val="0"/>
                      <w:divBdr>
                        <w:top w:val="none" w:sz="0" w:space="0" w:color="auto"/>
                        <w:left w:val="none" w:sz="0" w:space="0" w:color="auto"/>
                        <w:bottom w:val="none" w:sz="0" w:space="0" w:color="auto"/>
                        <w:right w:val="none" w:sz="0" w:space="0" w:color="auto"/>
                      </w:divBdr>
                    </w:div>
                  </w:divsChild>
                </w:div>
                <w:div w:id="571504825">
                  <w:marLeft w:val="0"/>
                  <w:marRight w:val="0"/>
                  <w:marTop w:val="0"/>
                  <w:marBottom w:val="0"/>
                  <w:divBdr>
                    <w:top w:val="none" w:sz="0" w:space="0" w:color="auto"/>
                    <w:left w:val="none" w:sz="0" w:space="0" w:color="auto"/>
                    <w:bottom w:val="none" w:sz="0" w:space="0" w:color="auto"/>
                    <w:right w:val="none" w:sz="0" w:space="0" w:color="auto"/>
                  </w:divBdr>
                  <w:divsChild>
                    <w:div w:id="669138055">
                      <w:marLeft w:val="0"/>
                      <w:marRight w:val="0"/>
                      <w:marTop w:val="0"/>
                      <w:marBottom w:val="0"/>
                      <w:divBdr>
                        <w:top w:val="none" w:sz="0" w:space="0" w:color="auto"/>
                        <w:left w:val="none" w:sz="0" w:space="0" w:color="auto"/>
                        <w:bottom w:val="none" w:sz="0" w:space="0" w:color="auto"/>
                        <w:right w:val="none" w:sz="0" w:space="0" w:color="auto"/>
                      </w:divBdr>
                    </w:div>
                  </w:divsChild>
                </w:div>
                <w:div w:id="589778280">
                  <w:marLeft w:val="0"/>
                  <w:marRight w:val="0"/>
                  <w:marTop w:val="0"/>
                  <w:marBottom w:val="0"/>
                  <w:divBdr>
                    <w:top w:val="none" w:sz="0" w:space="0" w:color="auto"/>
                    <w:left w:val="none" w:sz="0" w:space="0" w:color="auto"/>
                    <w:bottom w:val="none" w:sz="0" w:space="0" w:color="auto"/>
                    <w:right w:val="none" w:sz="0" w:space="0" w:color="auto"/>
                  </w:divBdr>
                  <w:divsChild>
                    <w:div w:id="1953437518">
                      <w:marLeft w:val="0"/>
                      <w:marRight w:val="0"/>
                      <w:marTop w:val="0"/>
                      <w:marBottom w:val="0"/>
                      <w:divBdr>
                        <w:top w:val="none" w:sz="0" w:space="0" w:color="auto"/>
                        <w:left w:val="none" w:sz="0" w:space="0" w:color="auto"/>
                        <w:bottom w:val="none" w:sz="0" w:space="0" w:color="auto"/>
                        <w:right w:val="none" w:sz="0" w:space="0" w:color="auto"/>
                      </w:divBdr>
                    </w:div>
                  </w:divsChild>
                </w:div>
                <w:div w:id="638195737">
                  <w:marLeft w:val="0"/>
                  <w:marRight w:val="0"/>
                  <w:marTop w:val="0"/>
                  <w:marBottom w:val="0"/>
                  <w:divBdr>
                    <w:top w:val="none" w:sz="0" w:space="0" w:color="auto"/>
                    <w:left w:val="none" w:sz="0" w:space="0" w:color="auto"/>
                    <w:bottom w:val="none" w:sz="0" w:space="0" w:color="auto"/>
                    <w:right w:val="none" w:sz="0" w:space="0" w:color="auto"/>
                  </w:divBdr>
                  <w:divsChild>
                    <w:div w:id="518202695">
                      <w:marLeft w:val="0"/>
                      <w:marRight w:val="0"/>
                      <w:marTop w:val="0"/>
                      <w:marBottom w:val="0"/>
                      <w:divBdr>
                        <w:top w:val="none" w:sz="0" w:space="0" w:color="auto"/>
                        <w:left w:val="none" w:sz="0" w:space="0" w:color="auto"/>
                        <w:bottom w:val="none" w:sz="0" w:space="0" w:color="auto"/>
                        <w:right w:val="none" w:sz="0" w:space="0" w:color="auto"/>
                      </w:divBdr>
                    </w:div>
                  </w:divsChild>
                </w:div>
                <w:div w:id="638268249">
                  <w:marLeft w:val="0"/>
                  <w:marRight w:val="0"/>
                  <w:marTop w:val="0"/>
                  <w:marBottom w:val="0"/>
                  <w:divBdr>
                    <w:top w:val="none" w:sz="0" w:space="0" w:color="auto"/>
                    <w:left w:val="none" w:sz="0" w:space="0" w:color="auto"/>
                    <w:bottom w:val="none" w:sz="0" w:space="0" w:color="auto"/>
                    <w:right w:val="none" w:sz="0" w:space="0" w:color="auto"/>
                  </w:divBdr>
                  <w:divsChild>
                    <w:div w:id="324866841">
                      <w:marLeft w:val="0"/>
                      <w:marRight w:val="0"/>
                      <w:marTop w:val="0"/>
                      <w:marBottom w:val="0"/>
                      <w:divBdr>
                        <w:top w:val="none" w:sz="0" w:space="0" w:color="auto"/>
                        <w:left w:val="none" w:sz="0" w:space="0" w:color="auto"/>
                        <w:bottom w:val="none" w:sz="0" w:space="0" w:color="auto"/>
                        <w:right w:val="none" w:sz="0" w:space="0" w:color="auto"/>
                      </w:divBdr>
                    </w:div>
                  </w:divsChild>
                </w:div>
                <w:div w:id="641469204">
                  <w:marLeft w:val="0"/>
                  <w:marRight w:val="0"/>
                  <w:marTop w:val="0"/>
                  <w:marBottom w:val="0"/>
                  <w:divBdr>
                    <w:top w:val="none" w:sz="0" w:space="0" w:color="auto"/>
                    <w:left w:val="none" w:sz="0" w:space="0" w:color="auto"/>
                    <w:bottom w:val="none" w:sz="0" w:space="0" w:color="auto"/>
                    <w:right w:val="none" w:sz="0" w:space="0" w:color="auto"/>
                  </w:divBdr>
                  <w:divsChild>
                    <w:div w:id="1199708666">
                      <w:marLeft w:val="0"/>
                      <w:marRight w:val="0"/>
                      <w:marTop w:val="0"/>
                      <w:marBottom w:val="0"/>
                      <w:divBdr>
                        <w:top w:val="none" w:sz="0" w:space="0" w:color="auto"/>
                        <w:left w:val="none" w:sz="0" w:space="0" w:color="auto"/>
                        <w:bottom w:val="none" w:sz="0" w:space="0" w:color="auto"/>
                        <w:right w:val="none" w:sz="0" w:space="0" w:color="auto"/>
                      </w:divBdr>
                    </w:div>
                  </w:divsChild>
                </w:div>
                <w:div w:id="658533338">
                  <w:marLeft w:val="0"/>
                  <w:marRight w:val="0"/>
                  <w:marTop w:val="0"/>
                  <w:marBottom w:val="0"/>
                  <w:divBdr>
                    <w:top w:val="none" w:sz="0" w:space="0" w:color="auto"/>
                    <w:left w:val="none" w:sz="0" w:space="0" w:color="auto"/>
                    <w:bottom w:val="none" w:sz="0" w:space="0" w:color="auto"/>
                    <w:right w:val="none" w:sz="0" w:space="0" w:color="auto"/>
                  </w:divBdr>
                  <w:divsChild>
                    <w:div w:id="1078861747">
                      <w:marLeft w:val="0"/>
                      <w:marRight w:val="0"/>
                      <w:marTop w:val="0"/>
                      <w:marBottom w:val="0"/>
                      <w:divBdr>
                        <w:top w:val="none" w:sz="0" w:space="0" w:color="auto"/>
                        <w:left w:val="none" w:sz="0" w:space="0" w:color="auto"/>
                        <w:bottom w:val="none" w:sz="0" w:space="0" w:color="auto"/>
                        <w:right w:val="none" w:sz="0" w:space="0" w:color="auto"/>
                      </w:divBdr>
                    </w:div>
                  </w:divsChild>
                </w:div>
                <w:div w:id="666640082">
                  <w:marLeft w:val="0"/>
                  <w:marRight w:val="0"/>
                  <w:marTop w:val="0"/>
                  <w:marBottom w:val="0"/>
                  <w:divBdr>
                    <w:top w:val="none" w:sz="0" w:space="0" w:color="auto"/>
                    <w:left w:val="none" w:sz="0" w:space="0" w:color="auto"/>
                    <w:bottom w:val="none" w:sz="0" w:space="0" w:color="auto"/>
                    <w:right w:val="none" w:sz="0" w:space="0" w:color="auto"/>
                  </w:divBdr>
                  <w:divsChild>
                    <w:div w:id="107437654">
                      <w:marLeft w:val="0"/>
                      <w:marRight w:val="0"/>
                      <w:marTop w:val="0"/>
                      <w:marBottom w:val="0"/>
                      <w:divBdr>
                        <w:top w:val="none" w:sz="0" w:space="0" w:color="auto"/>
                        <w:left w:val="none" w:sz="0" w:space="0" w:color="auto"/>
                        <w:bottom w:val="none" w:sz="0" w:space="0" w:color="auto"/>
                        <w:right w:val="none" w:sz="0" w:space="0" w:color="auto"/>
                      </w:divBdr>
                    </w:div>
                  </w:divsChild>
                </w:div>
                <w:div w:id="671492539">
                  <w:marLeft w:val="0"/>
                  <w:marRight w:val="0"/>
                  <w:marTop w:val="0"/>
                  <w:marBottom w:val="0"/>
                  <w:divBdr>
                    <w:top w:val="none" w:sz="0" w:space="0" w:color="auto"/>
                    <w:left w:val="none" w:sz="0" w:space="0" w:color="auto"/>
                    <w:bottom w:val="none" w:sz="0" w:space="0" w:color="auto"/>
                    <w:right w:val="none" w:sz="0" w:space="0" w:color="auto"/>
                  </w:divBdr>
                  <w:divsChild>
                    <w:div w:id="1513450187">
                      <w:marLeft w:val="0"/>
                      <w:marRight w:val="0"/>
                      <w:marTop w:val="0"/>
                      <w:marBottom w:val="0"/>
                      <w:divBdr>
                        <w:top w:val="none" w:sz="0" w:space="0" w:color="auto"/>
                        <w:left w:val="none" w:sz="0" w:space="0" w:color="auto"/>
                        <w:bottom w:val="none" w:sz="0" w:space="0" w:color="auto"/>
                        <w:right w:val="none" w:sz="0" w:space="0" w:color="auto"/>
                      </w:divBdr>
                    </w:div>
                  </w:divsChild>
                </w:div>
                <w:div w:id="692726461">
                  <w:marLeft w:val="0"/>
                  <w:marRight w:val="0"/>
                  <w:marTop w:val="0"/>
                  <w:marBottom w:val="0"/>
                  <w:divBdr>
                    <w:top w:val="none" w:sz="0" w:space="0" w:color="auto"/>
                    <w:left w:val="none" w:sz="0" w:space="0" w:color="auto"/>
                    <w:bottom w:val="none" w:sz="0" w:space="0" w:color="auto"/>
                    <w:right w:val="none" w:sz="0" w:space="0" w:color="auto"/>
                  </w:divBdr>
                  <w:divsChild>
                    <w:div w:id="1127504109">
                      <w:marLeft w:val="0"/>
                      <w:marRight w:val="0"/>
                      <w:marTop w:val="0"/>
                      <w:marBottom w:val="0"/>
                      <w:divBdr>
                        <w:top w:val="none" w:sz="0" w:space="0" w:color="auto"/>
                        <w:left w:val="none" w:sz="0" w:space="0" w:color="auto"/>
                        <w:bottom w:val="none" w:sz="0" w:space="0" w:color="auto"/>
                        <w:right w:val="none" w:sz="0" w:space="0" w:color="auto"/>
                      </w:divBdr>
                    </w:div>
                  </w:divsChild>
                </w:div>
                <w:div w:id="696807171">
                  <w:marLeft w:val="0"/>
                  <w:marRight w:val="0"/>
                  <w:marTop w:val="0"/>
                  <w:marBottom w:val="0"/>
                  <w:divBdr>
                    <w:top w:val="none" w:sz="0" w:space="0" w:color="auto"/>
                    <w:left w:val="none" w:sz="0" w:space="0" w:color="auto"/>
                    <w:bottom w:val="none" w:sz="0" w:space="0" w:color="auto"/>
                    <w:right w:val="none" w:sz="0" w:space="0" w:color="auto"/>
                  </w:divBdr>
                  <w:divsChild>
                    <w:div w:id="1308125913">
                      <w:marLeft w:val="0"/>
                      <w:marRight w:val="0"/>
                      <w:marTop w:val="0"/>
                      <w:marBottom w:val="0"/>
                      <w:divBdr>
                        <w:top w:val="none" w:sz="0" w:space="0" w:color="auto"/>
                        <w:left w:val="none" w:sz="0" w:space="0" w:color="auto"/>
                        <w:bottom w:val="none" w:sz="0" w:space="0" w:color="auto"/>
                        <w:right w:val="none" w:sz="0" w:space="0" w:color="auto"/>
                      </w:divBdr>
                    </w:div>
                  </w:divsChild>
                </w:div>
                <w:div w:id="725493274">
                  <w:marLeft w:val="0"/>
                  <w:marRight w:val="0"/>
                  <w:marTop w:val="0"/>
                  <w:marBottom w:val="0"/>
                  <w:divBdr>
                    <w:top w:val="none" w:sz="0" w:space="0" w:color="auto"/>
                    <w:left w:val="none" w:sz="0" w:space="0" w:color="auto"/>
                    <w:bottom w:val="none" w:sz="0" w:space="0" w:color="auto"/>
                    <w:right w:val="none" w:sz="0" w:space="0" w:color="auto"/>
                  </w:divBdr>
                  <w:divsChild>
                    <w:div w:id="108822281">
                      <w:marLeft w:val="0"/>
                      <w:marRight w:val="0"/>
                      <w:marTop w:val="0"/>
                      <w:marBottom w:val="0"/>
                      <w:divBdr>
                        <w:top w:val="none" w:sz="0" w:space="0" w:color="auto"/>
                        <w:left w:val="none" w:sz="0" w:space="0" w:color="auto"/>
                        <w:bottom w:val="none" w:sz="0" w:space="0" w:color="auto"/>
                        <w:right w:val="none" w:sz="0" w:space="0" w:color="auto"/>
                      </w:divBdr>
                    </w:div>
                  </w:divsChild>
                </w:div>
                <w:div w:id="759907603">
                  <w:marLeft w:val="0"/>
                  <w:marRight w:val="0"/>
                  <w:marTop w:val="0"/>
                  <w:marBottom w:val="0"/>
                  <w:divBdr>
                    <w:top w:val="none" w:sz="0" w:space="0" w:color="auto"/>
                    <w:left w:val="none" w:sz="0" w:space="0" w:color="auto"/>
                    <w:bottom w:val="none" w:sz="0" w:space="0" w:color="auto"/>
                    <w:right w:val="none" w:sz="0" w:space="0" w:color="auto"/>
                  </w:divBdr>
                  <w:divsChild>
                    <w:div w:id="1235624807">
                      <w:marLeft w:val="0"/>
                      <w:marRight w:val="0"/>
                      <w:marTop w:val="0"/>
                      <w:marBottom w:val="0"/>
                      <w:divBdr>
                        <w:top w:val="none" w:sz="0" w:space="0" w:color="auto"/>
                        <w:left w:val="none" w:sz="0" w:space="0" w:color="auto"/>
                        <w:bottom w:val="none" w:sz="0" w:space="0" w:color="auto"/>
                        <w:right w:val="none" w:sz="0" w:space="0" w:color="auto"/>
                      </w:divBdr>
                    </w:div>
                  </w:divsChild>
                </w:div>
                <w:div w:id="774010695">
                  <w:marLeft w:val="0"/>
                  <w:marRight w:val="0"/>
                  <w:marTop w:val="0"/>
                  <w:marBottom w:val="0"/>
                  <w:divBdr>
                    <w:top w:val="none" w:sz="0" w:space="0" w:color="auto"/>
                    <w:left w:val="none" w:sz="0" w:space="0" w:color="auto"/>
                    <w:bottom w:val="none" w:sz="0" w:space="0" w:color="auto"/>
                    <w:right w:val="none" w:sz="0" w:space="0" w:color="auto"/>
                  </w:divBdr>
                  <w:divsChild>
                    <w:div w:id="539821011">
                      <w:marLeft w:val="0"/>
                      <w:marRight w:val="0"/>
                      <w:marTop w:val="0"/>
                      <w:marBottom w:val="0"/>
                      <w:divBdr>
                        <w:top w:val="none" w:sz="0" w:space="0" w:color="auto"/>
                        <w:left w:val="none" w:sz="0" w:space="0" w:color="auto"/>
                        <w:bottom w:val="none" w:sz="0" w:space="0" w:color="auto"/>
                        <w:right w:val="none" w:sz="0" w:space="0" w:color="auto"/>
                      </w:divBdr>
                    </w:div>
                  </w:divsChild>
                </w:div>
                <w:div w:id="779226865">
                  <w:marLeft w:val="0"/>
                  <w:marRight w:val="0"/>
                  <w:marTop w:val="0"/>
                  <w:marBottom w:val="0"/>
                  <w:divBdr>
                    <w:top w:val="none" w:sz="0" w:space="0" w:color="auto"/>
                    <w:left w:val="none" w:sz="0" w:space="0" w:color="auto"/>
                    <w:bottom w:val="none" w:sz="0" w:space="0" w:color="auto"/>
                    <w:right w:val="none" w:sz="0" w:space="0" w:color="auto"/>
                  </w:divBdr>
                  <w:divsChild>
                    <w:div w:id="1169562380">
                      <w:marLeft w:val="0"/>
                      <w:marRight w:val="0"/>
                      <w:marTop w:val="0"/>
                      <w:marBottom w:val="0"/>
                      <w:divBdr>
                        <w:top w:val="none" w:sz="0" w:space="0" w:color="auto"/>
                        <w:left w:val="none" w:sz="0" w:space="0" w:color="auto"/>
                        <w:bottom w:val="none" w:sz="0" w:space="0" w:color="auto"/>
                        <w:right w:val="none" w:sz="0" w:space="0" w:color="auto"/>
                      </w:divBdr>
                    </w:div>
                  </w:divsChild>
                </w:div>
                <w:div w:id="793791289">
                  <w:marLeft w:val="0"/>
                  <w:marRight w:val="0"/>
                  <w:marTop w:val="0"/>
                  <w:marBottom w:val="0"/>
                  <w:divBdr>
                    <w:top w:val="none" w:sz="0" w:space="0" w:color="auto"/>
                    <w:left w:val="none" w:sz="0" w:space="0" w:color="auto"/>
                    <w:bottom w:val="none" w:sz="0" w:space="0" w:color="auto"/>
                    <w:right w:val="none" w:sz="0" w:space="0" w:color="auto"/>
                  </w:divBdr>
                  <w:divsChild>
                    <w:div w:id="843787745">
                      <w:marLeft w:val="0"/>
                      <w:marRight w:val="0"/>
                      <w:marTop w:val="0"/>
                      <w:marBottom w:val="0"/>
                      <w:divBdr>
                        <w:top w:val="none" w:sz="0" w:space="0" w:color="auto"/>
                        <w:left w:val="none" w:sz="0" w:space="0" w:color="auto"/>
                        <w:bottom w:val="none" w:sz="0" w:space="0" w:color="auto"/>
                        <w:right w:val="none" w:sz="0" w:space="0" w:color="auto"/>
                      </w:divBdr>
                    </w:div>
                  </w:divsChild>
                </w:div>
                <w:div w:id="799806547">
                  <w:marLeft w:val="0"/>
                  <w:marRight w:val="0"/>
                  <w:marTop w:val="0"/>
                  <w:marBottom w:val="0"/>
                  <w:divBdr>
                    <w:top w:val="none" w:sz="0" w:space="0" w:color="auto"/>
                    <w:left w:val="none" w:sz="0" w:space="0" w:color="auto"/>
                    <w:bottom w:val="none" w:sz="0" w:space="0" w:color="auto"/>
                    <w:right w:val="none" w:sz="0" w:space="0" w:color="auto"/>
                  </w:divBdr>
                  <w:divsChild>
                    <w:div w:id="982463953">
                      <w:marLeft w:val="0"/>
                      <w:marRight w:val="0"/>
                      <w:marTop w:val="0"/>
                      <w:marBottom w:val="0"/>
                      <w:divBdr>
                        <w:top w:val="none" w:sz="0" w:space="0" w:color="auto"/>
                        <w:left w:val="none" w:sz="0" w:space="0" w:color="auto"/>
                        <w:bottom w:val="none" w:sz="0" w:space="0" w:color="auto"/>
                        <w:right w:val="none" w:sz="0" w:space="0" w:color="auto"/>
                      </w:divBdr>
                    </w:div>
                  </w:divsChild>
                </w:div>
                <w:div w:id="803042345">
                  <w:marLeft w:val="0"/>
                  <w:marRight w:val="0"/>
                  <w:marTop w:val="0"/>
                  <w:marBottom w:val="0"/>
                  <w:divBdr>
                    <w:top w:val="none" w:sz="0" w:space="0" w:color="auto"/>
                    <w:left w:val="none" w:sz="0" w:space="0" w:color="auto"/>
                    <w:bottom w:val="none" w:sz="0" w:space="0" w:color="auto"/>
                    <w:right w:val="none" w:sz="0" w:space="0" w:color="auto"/>
                  </w:divBdr>
                  <w:divsChild>
                    <w:div w:id="371922683">
                      <w:marLeft w:val="0"/>
                      <w:marRight w:val="0"/>
                      <w:marTop w:val="0"/>
                      <w:marBottom w:val="0"/>
                      <w:divBdr>
                        <w:top w:val="none" w:sz="0" w:space="0" w:color="auto"/>
                        <w:left w:val="none" w:sz="0" w:space="0" w:color="auto"/>
                        <w:bottom w:val="none" w:sz="0" w:space="0" w:color="auto"/>
                        <w:right w:val="none" w:sz="0" w:space="0" w:color="auto"/>
                      </w:divBdr>
                    </w:div>
                  </w:divsChild>
                </w:div>
                <w:div w:id="832988132">
                  <w:marLeft w:val="0"/>
                  <w:marRight w:val="0"/>
                  <w:marTop w:val="0"/>
                  <w:marBottom w:val="0"/>
                  <w:divBdr>
                    <w:top w:val="none" w:sz="0" w:space="0" w:color="auto"/>
                    <w:left w:val="none" w:sz="0" w:space="0" w:color="auto"/>
                    <w:bottom w:val="none" w:sz="0" w:space="0" w:color="auto"/>
                    <w:right w:val="none" w:sz="0" w:space="0" w:color="auto"/>
                  </w:divBdr>
                  <w:divsChild>
                    <w:div w:id="1012760279">
                      <w:marLeft w:val="0"/>
                      <w:marRight w:val="0"/>
                      <w:marTop w:val="0"/>
                      <w:marBottom w:val="0"/>
                      <w:divBdr>
                        <w:top w:val="none" w:sz="0" w:space="0" w:color="auto"/>
                        <w:left w:val="none" w:sz="0" w:space="0" w:color="auto"/>
                        <w:bottom w:val="none" w:sz="0" w:space="0" w:color="auto"/>
                        <w:right w:val="none" w:sz="0" w:space="0" w:color="auto"/>
                      </w:divBdr>
                    </w:div>
                  </w:divsChild>
                </w:div>
                <w:div w:id="872809099">
                  <w:marLeft w:val="0"/>
                  <w:marRight w:val="0"/>
                  <w:marTop w:val="0"/>
                  <w:marBottom w:val="0"/>
                  <w:divBdr>
                    <w:top w:val="none" w:sz="0" w:space="0" w:color="auto"/>
                    <w:left w:val="none" w:sz="0" w:space="0" w:color="auto"/>
                    <w:bottom w:val="none" w:sz="0" w:space="0" w:color="auto"/>
                    <w:right w:val="none" w:sz="0" w:space="0" w:color="auto"/>
                  </w:divBdr>
                  <w:divsChild>
                    <w:div w:id="1964115733">
                      <w:marLeft w:val="0"/>
                      <w:marRight w:val="0"/>
                      <w:marTop w:val="0"/>
                      <w:marBottom w:val="0"/>
                      <w:divBdr>
                        <w:top w:val="none" w:sz="0" w:space="0" w:color="auto"/>
                        <w:left w:val="none" w:sz="0" w:space="0" w:color="auto"/>
                        <w:bottom w:val="none" w:sz="0" w:space="0" w:color="auto"/>
                        <w:right w:val="none" w:sz="0" w:space="0" w:color="auto"/>
                      </w:divBdr>
                    </w:div>
                  </w:divsChild>
                </w:div>
                <w:div w:id="878736153">
                  <w:marLeft w:val="0"/>
                  <w:marRight w:val="0"/>
                  <w:marTop w:val="0"/>
                  <w:marBottom w:val="0"/>
                  <w:divBdr>
                    <w:top w:val="none" w:sz="0" w:space="0" w:color="auto"/>
                    <w:left w:val="none" w:sz="0" w:space="0" w:color="auto"/>
                    <w:bottom w:val="none" w:sz="0" w:space="0" w:color="auto"/>
                    <w:right w:val="none" w:sz="0" w:space="0" w:color="auto"/>
                  </w:divBdr>
                  <w:divsChild>
                    <w:div w:id="1401635672">
                      <w:marLeft w:val="0"/>
                      <w:marRight w:val="0"/>
                      <w:marTop w:val="0"/>
                      <w:marBottom w:val="0"/>
                      <w:divBdr>
                        <w:top w:val="none" w:sz="0" w:space="0" w:color="auto"/>
                        <w:left w:val="none" w:sz="0" w:space="0" w:color="auto"/>
                        <w:bottom w:val="none" w:sz="0" w:space="0" w:color="auto"/>
                        <w:right w:val="none" w:sz="0" w:space="0" w:color="auto"/>
                      </w:divBdr>
                    </w:div>
                  </w:divsChild>
                </w:div>
                <w:div w:id="893850409">
                  <w:marLeft w:val="0"/>
                  <w:marRight w:val="0"/>
                  <w:marTop w:val="0"/>
                  <w:marBottom w:val="0"/>
                  <w:divBdr>
                    <w:top w:val="none" w:sz="0" w:space="0" w:color="auto"/>
                    <w:left w:val="none" w:sz="0" w:space="0" w:color="auto"/>
                    <w:bottom w:val="none" w:sz="0" w:space="0" w:color="auto"/>
                    <w:right w:val="none" w:sz="0" w:space="0" w:color="auto"/>
                  </w:divBdr>
                  <w:divsChild>
                    <w:div w:id="2122677341">
                      <w:marLeft w:val="0"/>
                      <w:marRight w:val="0"/>
                      <w:marTop w:val="0"/>
                      <w:marBottom w:val="0"/>
                      <w:divBdr>
                        <w:top w:val="none" w:sz="0" w:space="0" w:color="auto"/>
                        <w:left w:val="none" w:sz="0" w:space="0" w:color="auto"/>
                        <w:bottom w:val="none" w:sz="0" w:space="0" w:color="auto"/>
                        <w:right w:val="none" w:sz="0" w:space="0" w:color="auto"/>
                      </w:divBdr>
                    </w:div>
                  </w:divsChild>
                </w:div>
                <w:div w:id="910889397">
                  <w:marLeft w:val="0"/>
                  <w:marRight w:val="0"/>
                  <w:marTop w:val="0"/>
                  <w:marBottom w:val="0"/>
                  <w:divBdr>
                    <w:top w:val="none" w:sz="0" w:space="0" w:color="auto"/>
                    <w:left w:val="none" w:sz="0" w:space="0" w:color="auto"/>
                    <w:bottom w:val="none" w:sz="0" w:space="0" w:color="auto"/>
                    <w:right w:val="none" w:sz="0" w:space="0" w:color="auto"/>
                  </w:divBdr>
                  <w:divsChild>
                    <w:div w:id="1224488805">
                      <w:marLeft w:val="0"/>
                      <w:marRight w:val="0"/>
                      <w:marTop w:val="0"/>
                      <w:marBottom w:val="0"/>
                      <w:divBdr>
                        <w:top w:val="none" w:sz="0" w:space="0" w:color="auto"/>
                        <w:left w:val="none" w:sz="0" w:space="0" w:color="auto"/>
                        <w:bottom w:val="none" w:sz="0" w:space="0" w:color="auto"/>
                        <w:right w:val="none" w:sz="0" w:space="0" w:color="auto"/>
                      </w:divBdr>
                    </w:div>
                  </w:divsChild>
                </w:div>
                <w:div w:id="921449040">
                  <w:marLeft w:val="0"/>
                  <w:marRight w:val="0"/>
                  <w:marTop w:val="0"/>
                  <w:marBottom w:val="0"/>
                  <w:divBdr>
                    <w:top w:val="none" w:sz="0" w:space="0" w:color="auto"/>
                    <w:left w:val="none" w:sz="0" w:space="0" w:color="auto"/>
                    <w:bottom w:val="none" w:sz="0" w:space="0" w:color="auto"/>
                    <w:right w:val="none" w:sz="0" w:space="0" w:color="auto"/>
                  </w:divBdr>
                  <w:divsChild>
                    <w:div w:id="40399815">
                      <w:marLeft w:val="0"/>
                      <w:marRight w:val="0"/>
                      <w:marTop w:val="0"/>
                      <w:marBottom w:val="0"/>
                      <w:divBdr>
                        <w:top w:val="none" w:sz="0" w:space="0" w:color="auto"/>
                        <w:left w:val="none" w:sz="0" w:space="0" w:color="auto"/>
                        <w:bottom w:val="none" w:sz="0" w:space="0" w:color="auto"/>
                        <w:right w:val="none" w:sz="0" w:space="0" w:color="auto"/>
                      </w:divBdr>
                    </w:div>
                  </w:divsChild>
                </w:div>
                <w:div w:id="923226785">
                  <w:marLeft w:val="0"/>
                  <w:marRight w:val="0"/>
                  <w:marTop w:val="0"/>
                  <w:marBottom w:val="0"/>
                  <w:divBdr>
                    <w:top w:val="none" w:sz="0" w:space="0" w:color="auto"/>
                    <w:left w:val="none" w:sz="0" w:space="0" w:color="auto"/>
                    <w:bottom w:val="none" w:sz="0" w:space="0" w:color="auto"/>
                    <w:right w:val="none" w:sz="0" w:space="0" w:color="auto"/>
                  </w:divBdr>
                  <w:divsChild>
                    <w:div w:id="1866283964">
                      <w:marLeft w:val="0"/>
                      <w:marRight w:val="0"/>
                      <w:marTop w:val="0"/>
                      <w:marBottom w:val="0"/>
                      <w:divBdr>
                        <w:top w:val="none" w:sz="0" w:space="0" w:color="auto"/>
                        <w:left w:val="none" w:sz="0" w:space="0" w:color="auto"/>
                        <w:bottom w:val="none" w:sz="0" w:space="0" w:color="auto"/>
                        <w:right w:val="none" w:sz="0" w:space="0" w:color="auto"/>
                      </w:divBdr>
                    </w:div>
                  </w:divsChild>
                </w:div>
                <w:div w:id="923495343">
                  <w:marLeft w:val="0"/>
                  <w:marRight w:val="0"/>
                  <w:marTop w:val="0"/>
                  <w:marBottom w:val="0"/>
                  <w:divBdr>
                    <w:top w:val="none" w:sz="0" w:space="0" w:color="auto"/>
                    <w:left w:val="none" w:sz="0" w:space="0" w:color="auto"/>
                    <w:bottom w:val="none" w:sz="0" w:space="0" w:color="auto"/>
                    <w:right w:val="none" w:sz="0" w:space="0" w:color="auto"/>
                  </w:divBdr>
                  <w:divsChild>
                    <w:div w:id="795300164">
                      <w:marLeft w:val="0"/>
                      <w:marRight w:val="0"/>
                      <w:marTop w:val="0"/>
                      <w:marBottom w:val="0"/>
                      <w:divBdr>
                        <w:top w:val="none" w:sz="0" w:space="0" w:color="auto"/>
                        <w:left w:val="none" w:sz="0" w:space="0" w:color="auto"/>
                        <w:bottom w:val="none" w:sz="0" w:space="0" w:color="auto"/>
                        <w:right w:val="none" w:sz="0" w:space="0" w:color="auto"/>
                      </w:divBdr>
                    </w:div>
                  </w:divsChild>
                </w:div>
                <w:div w:id="955794354">
                  <w:marLeft w:val="0"/>
                  <w:marRight w:val="0"/>
                  <w:marTop w:val="0"/>
                  <w:marBottom w:val="0"/>
                  <w:divBdr>
                    <w:top w:val="none" w:sz="0" w:space="0" w:color="auto"/>
                    <w:left w:val="none" w:sz="0" w:space="0" w:color="auto"/>
                    <w:bottom w:val="none" w:sz="0" w:space="0" w:color="auto"/>
                    <w:right w:val="none" w:sz="0" w:space="0" w:color="auto"/>
                  </w:divBdr>
                  <w:divsChild>
                    <w:div w:id="2098291">
                      <w:marLeft w:val="0"/>
                      <w:marRight w:val="0"/>
                      <w:marTop w:val="0"/>
                      <w:marBottom w:val="0"/>
                      <w:divBdr>
                        <w:top w:val="none" w:sz="0" w:space="0" w:color="auto"/>
                        <w:left w:val="none" w:sz="0" w:space="0" w:color="auto"/>
                        <w:bottom w:val="none" w:sz="0" w:space="0" w:color="auto"/>
                        <w:right w:val="none" w:sz="0" w:space="0" w:color="auto"/>
                      </w:divBdr>
                    </w:div>
                  </w:divsChild>
                </w:div>
                <w:div w:id="960888898">
                  <w:marLeft w:val="0"/>
                  <w:marRight w:val="0"/>
                  <w:marTop w:val="0"/>
                  <w:marBottom w:val="0"/>
                  <w:divBdr>
                    <w:top w:val="none" w:sz="0" w:space="0" w:color="auto"/>
                    <w:left w:val="none" w:sz="0" w:space="0" w:color="auto"/>
                    <w:bottom w:val="none" w:sz="0" w:space="0" w:color="auto"/>
                    <w:right w:val="none" w:sz="0" w:space="0" w:color="auto"/>
                  </w:divBdr>
                  <w:divsChild>
                    <w:div w:id="446437613">
                      <w:marLeft w:val="0"/>
                      <w:marRight w:val="0"/>
                      <w:marTop w:val="0"/>
                      <w:marBottom w:val="0"/>
                      <w:divBdr>
                        <w:top w:val="none" w:sz="0" w:space="0" w:color="auto"/>
                        <w:left w:val="none" w:sz="0" w:space="0" w:color="auto"/>
                        <w:bottom w:val="none" w:sz="0" w:space="0" w:color="auto"/>
                        <w:right w:val="none" w:sz="0" w:space="0" w:color="auto"/>
                      </w:divBdr>
                    </w:div>
                  </w:divsChild>
                </w:div>
                <w:div w:id="966466971">
                  <w:marLeft w:val="0"/>
                  <w:marRight w:val="0"/>
                  <w:marTop w:val="0"/>
                  <w:marBottom w:val="0"/>
                  <w:divBdr>
                    <w:top w:val="none" w:sz="0" w:space="0" w:color="auto"/>
                    <w:left w:val="none" w:sz="0" w:space="0" w:color="auto"/>
                    <w:bottom w:val="none" w:sz="0" w:space="0" w:color="auto"/>
                    <w:right w:val="none" w:sz="0" w:space="0" w:color="auto"/>
                  </w:divBdr>
                  <w:divsChild>
                    <w:div w:id="1611545929">
                      <w:marLeft w:val="0"/>
                      <w:marRight w:val="0"/>
                      <w:marTop w:val="0"/>
                      <w:marBottom w:val="0"/>
                      <w:divBdr>
                        <w:top w:val="none" w:sz="0" w:space="0" w:color="auto"/>
                        <w:left w:val="none" w:sz="0" w:space="0" w:color="auto"/>
                        <w:bottom w:val="none" w:sz="0" w:space="0" w:color="auto"/>
                        <w:right w:val="none" w:sz="0" w:space="0" w:color="auto"/>
                      </w:divBdr>
                    </w:div>
                  </w:divsChild>
                </w:div>
                <w:div w:id="974411278">
                  <w:marLeft w:val="0"/>
                  <w:marRight w:val="0"/>
                  <w:marTop w:val="0"/>
                  <w:marBottom w:val="0"/>
                  <w:divBdr>
                    <w:top w:val="none" w:sz="0" w:space="0" w:color="auto"/>
                    <w:left w:val="none" w:sz="0" w:space="0" w:color="auto"/>
                    <w:bottom w:val="none" w:sz="0" w:space="0" w:color="auto"/>
                    <w:right w:val="none" w:sz="0" w:space="0" w:color="auto"/>
                  </w:divBdr>
                  <w:divsChild>
                    <w:div w:id="526647985">
                      <w:marLeft w:val="0"/>
                      <w:marRight w:val="0"/>
                      <w:marTop w:val="0"/>
                      <w:marBottom w:val="0"/>
                      <w:divBdr>
                        <w:top w:val="none" w:sz="0" w:space="0" w:color="auto"/>
                        <w:left w:val="none" w:sz="0" w:space="0" w:color="auto"/>
                        <w:bottom w:val="none" w:sz="0" w:space="0" w:color="auto"/>
                        <w:right w:val="none" w:sz="0" w:space="0" w:color="auto"/>
                      </w:divBdr>
                    </w:div>
                  </w:divsChild>
                </w:div>
                <w:div w:id="1029914698">
                  <w:marLeft w:val="0"/>
                  <w:marRight w:val="0"/>
                  <w:marTop w:val="0"/>
                  <w:marBottom w:val="0"/>
                  <w:divBdr>
                    <w:top w:val="none" w:sz="0" w:space="0" w:color="auto"/>
                    <w:left w:val="none" w:sz="0" w:space="0" w:color="auto"/>
                    <w:bottom w:val="none" w:sz="0" w:space="0" w:color="auto"/>
                    <w:right w:val="none" w:sz="0" w:space="0" w:color="auto"/>
                  </w:divBdr>
                  <w:divsChild>
                    <w:div w:id="2134207914">
                      <w:marLeft w:val="0"/>
                      <w:marRight w:val="0"/>
                      <w:marTop w:val="0"/>
                      <w:marBottom w:val="0"/>
                      <w:divBdr>
                        <w:top w:val="none" w:sz="0" w:space="0" w:color="auto"/>
                        <w:left w:val="none" w:sz="0" w:space="0" w:color="auto"/>
                        <w:bottom w:val="none" w:sz="0" w:space="0" w:color="auto"/>
                        <w:right w:val="none" w:sz="0" w:space="0" w:color="auto"/>
                      </w:divBdr>
                    </w:div>
                  </w:divsChild>
                </w:div>
                <w:div w:id="1045526120">
                  <w:marLeft w:val="0"/>
                  <w:marRight w:val="0"/>
                  <w:marTop w:val="0"/>
                  <w:marBottom w:val="0"/>
                  <w:divBdr>
                    <w:top w:val="none" w:sz="0" w:space="0" w:color="auto"/>
                    <w:left w:val="none" w:sz="0" w:space="0" w:color="auto"/>
                    <w:bottom w:val="none" w:sz="0" w:space="0" w:color="auto"/>
                    <w:right w:val="none" w:sz="0" w:space="0" w:color="auto"/>
                  </w:divBdr>
                  <w:divsChild>
                    <w:div w:id="2068339763">
                      <w:marLeft w:val="0"/>
                      <w:marRight w:val="0"/>
                      <w:marTop w:val="0"/>
                      <w:marBottom w:val="0"/>
                      <w:divBdr>
                        <w:top w:val="none" w:sz="0" w:space="0" w:color="auto"/>
                        <w:left w:val="none" w:sz="0" w:space="0" w:color="auto"/>
                        <w:bottom w:val="none" w:sz="0" w:space="0" w:color="auto"/>
                        <w:right w:val="none" w:sz="0" w:space="0" w:color="auto"/>
                      </w:divBdr>
                    </w:div>
                  </w:divsChild>
                </w:div>
                <w:div w:id="1084647557">
                  <w:marLeft w:val="0"/>
                  <w:marRight w:val="0"/>
                  <w:marTop w:val="0"/>
                  <w:marBottom w:val="0"/>
                  <w:divBdr>
                    <w:top w:val="none" w:sz="0" w:space="0" w:color="auto"/>
                    <w:left w:val="none" w:sz="0" w:space="0" w:color="auto"/>
                    <w:bottom w:val="none" w:sz="0" w:space="0" w:color="auto"/>
                    <w:right w:val="none" w:sz="0" w:space="0" w:color="auto"/>
                  </w:divBdr>
                  <w:divsChild>
                    <w:div w:id="178082096">
                      <w:marLeft w:val="0"/>
                      <w:marRight w:val="0"/>
                      <w:marTop w:val="0"/>
                      <w:marBottom w:val="0"/>
                      <w:divBdr>
                        <w:top w:val="none" w:sz="0" w:space="0" w:color="auto"/>
                        <w:left w:val="none" w:sz="0" w:space="0" w:color="auto"/>
                        <w:bottom w:val="none" w:sz="0" w:space="0" w:color="auto"/>
                        <w:right w:val="none" w:sz="0" w:space="0" w:color="auto"/>
                      </w:divBdr>
                    </w:div>
                  </w:divsChild>
                </w:div>
                <w:div w:id="1097748977">
                  <w:marLeft w:val="0"/>
                  <w:marRight w:val="0"/>
                  <w:marTop w:val="0"/>
                  <w:marBottom w:val="0"/>
                  <w:divBdr>
                    <w:top w:val="none" w:sz="0" w:space="0" w:color="auto"/>
                    <w:left w:val="none" w:sz="0" w:space="0" w:color="auto"/>
                    <w:bottom w:val="none" w:sz="0" w:space="0" w:color="auto"/>
                    <w:right w:val="none" w:sz="0" w:space="0" w:color="auto"/>
                  </w:divBdr>
                  <w:divsChild>
                    <w:div w:id="183440924">
                      <w:marLeft w:val="0"/>
                      <w:marRight w:val="0"/>
                      <w:marTop w:val="0"/>
                      <w:marBottom w:val="0"/>
                      <w:divBdr>
                        <w:top w:val="none" w:sz="0" w:space="0" w:color="auto"/>
                        <w:left w:val="none" w:sz="0" w:space="0" w:color="auto"/>
                        <w:bottom w:val="none" w:sz="0" w:space="0" w:color="auto"/>
                        <w:right w:val="none" w:sz="0" w:space="0" w:color="auto"/>
                      </w:divBdr>
                    </w:div>
                  </w:divsChild>
                </w:div>
                <w:div w:id="1118640624">
                  <w:marLeft w:val="0"/>
                  <w:marRight w:val="0"/>
                  <w:marTop w:val="0"/>
                  <w:marBottom w:val="0"/>
                  <w:divBdr>
                    <w:top w:val="none" w:sz="0" w:space="0" w:color="auto"/>
                    <w:left w:val="none" w:sz="0" w:space="0" w:color="auto"/>
                    <w:bottom w:val="none" w:sz="0" w:space="0" w:color="auto"/>
                    <w:right w:val="none" w:sz="0" w:space="0" w:color="auto"/>
                  </w:divBdr>
                  <w:divsChild>
                    <w:div w:id="1913198375">
                      <w:marLeft w:val="0"/>
                      <w:marRight w:val="0"/>
                      <w:marTop w:val="0"/>
                      <w:marBottom w:val="0"/>
                      <w:divBdr>
                        <w:top w:val="none" w:sz="0" w:space="0" w:color="auto"/>
                        <w:left w:val="none" w:sz="0" w:space="0" w:color="auto"/>
                        <w:bottom w:val="none" w:sz="0" w:space="0" w:color="auto"/>
                        <w:right w:val="none" w:sz="0" w:space="0" w:color="auto"/>
                      </w:divBdr>
                    </w:div>
                  </w:divsChild>
                </w:div>
                <w:div w:id="1156415270">
                  <w:marLeft w:val="0"/>
                  <w:marRight w:val="0"/>
                  <w:marTop w:val="0"/>
                  <w:marBottom w:val="0"/>
                  <w:divBdr>
                    <w:top w:val="none" w:sz="0" w:space="0" w:color="auto"/>
                    <w:left w:val="none" w:sz="0" w:space="0" w:color="auto"/>
                    <w:bottom w:val="none" w:sz="0" w:space="0" w:color="auto"/>
                    <w:right w:val="none" w:sz="0" w:space="0" w:color="auto"/>
                  </w:divBdr>
                  <w:divsChild>
                    <w:div w:id="1254704335">
                      <w:marLeft w:val="0"/>
                      <w:marRight w:val="0"/>
                      <w:marTop w:val="0"/>
                      <w:marBottom w:val="0"/>
                      <w:divBdr>
                        <w:top w:val="none" w:sz="0" w:space="0" w:color="auto"/>
                        <w:left w:val="none" w:sz="0" w:space="0" w:color="auto"/>
                        <w:bottom w:val="none" w:sz="0" w:space="0" w:color="auto"/>
                        <w:right w:val="none" w:sz="0" w:space="0" w:color="auto"/>
                      </w:divBdr>
                    </w:div>
                  </w:divsChild>
                </w:div>
                <w:div w:id="1184127369">
                  <w:marLeft w:val="0"/>
                  <w:marRight w:val="0"/>
                  <w:marTop w:val="0"/>
                  <w:marBottom w:val="0"/>
                  <w:divBdr>
                    <w:top w:val="none" w:sz="0" w:space="0" w:color="auto"/>
                    <w:left w:val="none" w:sz="0" w:space="0" w:color="auto"/>
                    <w:bottom w:val="none" w:sz="0" w:space="0" w:color="auto"/>
                    <w:right w:val="none" w:sz="0" w:space="0" w:color="auto"/>
                  </w:divBdr>
                  <w:divsChild>
                    <w:div w:id="1141581722">
                      <w:marLeft w:val="0"/>
                      <w:marRight w:val="0"/>
                      <w:marTop w:val="0"/>
                      <w:marBottom w:val="0"/>
                      <w:divBdr>
                        <w:top w:val="none" w:sz="0" w:space="0" w:color="auto"/>
                        <w:left w:val="none" w:sz="0" w:space="0" w:color="auto"/>
                        <w:bottom w:val="none" w:sz="0" w:space="0" w:color="auto"/>
                        <w:right w:val="none" w:sz="0" w:space="0" w:color="auto"/>
                      </w:divBdr>
                    </w:div>
                  </w:divsChild>
                </w:div>
                <w:div w:id="1207110350">
                  <w:marLeft w:val="0"/>
                  <w:marRight w:val="0"/>
                  <w:marTop w:val="0"/>
                  <w:marBottom w:val="0"/>
                  <w:divBdr>
                    <w:top w:val="none" w:sz="0" w:space="0" w:color="auto"/>
                    <w:left w:val="none" w:sz="0" w:space="0" w:color="auto"/>
                    <w:bottom w:val="none" w:sz="0" w:space="0" w:color="auto"/>
                    <w:right w:val="none" w:sz="0" w:space="0" w:color="auto"/>
                  </w:divBdr>
                  <w:divsChild>
                    <w:div w:id="420641229">
                      <w:marLeft w:val="0"/>
                      <w:marRight w:val="0"/>
                      <w:marTop w:val="0"/>
                      <w:marBottom w:val="0"/>
                      <w:divBdr>
                        <w:top w:val="none" w:sz="0" w:space="0" w:color="auto"/>
                        <w:left w:val="none" w:sz="0" w:space="0" w:color="auto"/>
                        <w:bottom w:val="none" w:sz="0" w:space="0" w:color="auto"/>
                        <w:right w:val="none" w:sz="0" w:space="0" w:color="auto"/>
                      </w:divBdr>
                    </w:div>
                  </w:divsChild>
                </w:div>
                <w:div w:id="1261138014">
                  <w:marLeft w:val="0"/>
                  <w:marRight w:val="0"/>
                  <w:marTop w:val="0"/>
                  <w:marBottom w:val="0"/>
                  <w:divBdr>
                    <w:top w:val="none" w:sz="0" w:space="0" w:color="auto"/>
                    <w:left w:val="none" w:sz="0" w:space="0" w:color="auto"/>
                    <w:bottom w:val="none" w:sz="0" w:space="0" w:color="auto"/>
                    <w:right w:val="none" w:sz="0" w:space="0" w:color="auto"/>
                  </w:divBdr>
                  <w:divsChild>
                    <w:div w:id="148060573">
                      <w:marLeft w:val="0"/>
                      <w:marRight w:val="0"/>
                      <w:marTop w:val="0"/>
                      <w:marBottom w:val="0"/>
                      <w:divBdr>
                        <w:top w:val="none" w:sz="0" w:space="0" w:color="auto"/>
                        <w:left w:val="none" w:sz="0" w:space="0" w:color="auto"/>
                        <w:bottom w:val="none" w:sz="0" w:space="0" w:color="auto"/>
                        <w:right w:val="none" w:sz="0" w:space="0" w:color="auto"/>
                      </w:divBdr>
                    </w:div>
                  </w:divsChild>
                </w:div>
                <w:div w:id="1263805054">
                  <w:marLeft w:val="0"/>
                  <w:marRight w:val="0"/>
                  <w:marTop w:val="0"/>
                  <w:marBottom w:val="0"/>
                  <w:divBdr>
                    <w:top w:val="none" w:sz="0" w:space="0" w:color="auto"/>
                    <w:left w:val="none" w:sz="0" w:space="0" w:color="auto"/>
                    <w:bottom w:val="none" w:sz="0" w:space="0" w:color="auto"/>
                    <w:right w:val="none" w:sz="0" w:space="0" w:color="auto"/>
                  </w:divBdr>
                  <w:divsChild>
                    <w:div w:id="528034931">
                      <w:marLeft w:val="0"/>
                      <w:marRight w:val="0"/>
                      <w:marTop w:val="0"/>
                      <w:marBottom w:val="0"/>
                      <w:divBdr>
                        <w:top w:val="none" w:sz="0" w:space="0" w:color="auto"/>
                        <w:left w:val="none" w:sz="0" w:space="0" w:color="auto"/>
                        <w:bottom w:val="none" w:sz="0" w:space="0" w:color="auto"/>
                        <w:right w:val="none" w:sz="0" w:space="0" w:color="auto"/>
                      </w:divBdr>
                    </w:div>
                  </w:divsChild>
                </w:div>
                <w:div w:id="1272666836">
                  <w:marLeft w:val="0"/>
                  <w:marRight w:val="0"/>
                  <w:marTop w:val="0"/>
                  <w:marBottom w:val="0"/>
                  <w:divBdr>
                    <w:top w:val="none" w:sz="0" w:space="0" w:color="auto"/>
                    <w:left w:val="none" w:sz="0" w:space="0" w:color="auto"/>
                    <w:bottom w:val="none" w:sz="0" w:space="0" w:color="auto"/>
                    <w:right w:val="none" w:sz="0" w:space="0" w:color="auto"/>
                  </w:divBdr>
                  <w:divsChild>
                    <w:div w:id="1256599774">
                      <w:marLeft w:val="0"/>
                      <w:marRight w:val="0"/>
                      <w:marTop w:val="0"/>
                      <w:marBottom w:val="0"/>
                      <w:divBdr>
                        <w:top w:val="none" w:sz="0" w:space="0" w:color="auto"/>
                        <w:left w:val="none" w:sz="0" w:space="0" w:color="auto"/>
                        <w:bottom w:val="none" w:sz="0" w:space="0" w:color="auto"/>
                        <w:right w:val="none" w:sz="0" w:space="0" w:color="auto"/>
                      </w:divBdr>
                    </w:div>
                  </w:divsChild>
                </w:div>
                <w:div w:id="1280796978">
                  <w:marLeft w:val="0"/>
                  <w:marRight w:val="0"/>
                  <w:marTop w:val="0"/>
                  <w:marBottom w:val="0"/>
                  <w:divBdr>
                    <w:top w:val="none" w:sz="0" w:space="0" w:color="auto"/>
                    <w:left w:val="none" w:sz="0" w:space="0" w:color="auto"/>
                    <w:bottom w:val="none" w:sz="0" w:space="0" w:color="auto"/>
                    <w:right w:val="none" w:sz="0" w:space="0" w:color="auto"/>
                  </w:divBdr>
                  <w:divsChild>
                    <w:div w:id="1067606318">
                      <w:marLeft w:val="0"/>
                      <w:marRight w:val="0"/>
                      <w:marTop w:val="0"/>
                      <w:marBottom w:val="0"/>
                      <w:divBdr>
                        <w:top w:val="none" w:sz="0" w:space="0" w:color="auto"/>
                        <w:left w:val="none" w:sz="0" w:space="0" w:color="auto"/>
                        <w:bottom w:val="none" w:sz="0" w:space="0" w:color="auto"/>
                        <w:right w:val="none" w:sz="0" w:space="0" w:color="auto"/>
                      </w:divBdr>
                    </w:div>
                  </w:divsChild>
                </w:div>
                <w:div w:id="1293634450">
                  <w:marLeft w:val="0"/>
                  <w:marRight w:val="0"/>
                  <w:marTop w:val="0"/>
                  <w:marBottom w:val="0"/>
                  <w:divBdr>
                    <w:top w:val="none" w:sz="0" w:space="0" w:color="auto"/>
                    <w:left w:val="none" w:sz="0" w:space="0" w:color="auto"/>
                    <w:bottom w:val="none" w:sz="0" w:space="0" w:color="auto"/>
                    <w:right w:val="none" w:sz="0" w:space="0" w:color="auto"/>
                  </w:divBdr>
                  <w:divsChild>
                    <w:div w:id="1485464038">
                      <w:marLeft w:val="0"/>
                      <w:marRight w:val="0"/>
                      <w:marTop w:val="0"/>
                      <w:marBottom w:val="0"/>
                      <w:divBdr>
                        <w:top w:val="none" w:sz="0" w:space="0" w:color="auto"/>
                        <w:left w:val="none" w:sz="0" w:space="0" w:color="auto"/>
                        <w:bottom w:val="none" w:sz="0" w:space="0" w:color="auto"/>
                        <w:right w:val="none" w:sz="0" w:space="0" w:color="auto"/>
                      </w:divBdr>
                    </w:div>
                  </w:divsChild>
                </w:div>
                <w:div w:id="1315641300">
                  <w:marLeft w:val="0"/>
                  <w:marRight w:val="0"/>
                  <w:marTop w:val="0"/>
                  <w:marBottom w:val="0"/>
                  <w:divBdr>
                    <w:top w:val="none" w:sz="0" w:space="0" w:color="auto"/>
                    <w:left w:val="none" w:sz="0" w:space="0" w:color="auto"/>
                    <w:bottom w:val="none" w:sz="0" w:space="0" w:color="auto"/>
                    <w:right w:val="none" w:sz="0" w:space="0" w:color="auto"/>
                  </w:divBdr>
                  <w:divsChild>
                    <w:div w:id="1429152529">
                      <w:marLeft w:val="0"/>
                      <w:marRight w:val="0"/>
                      <w:marTop w:val="0"/>
                      <w:marBottom w:val="0"/>
                      <w:divBdr>
                        <w:top w:val="none" w:sz="0" w:space="0" w:color="auto"/>
                        <w:left w:val="none" w:sz="0" w:space="0" w:color="auto"/>
                        <w:bottom w:val="none" w:sz="0" w:space="0" w:color="auto"/>
                        <w:right w:val="none" w:sz="0" w:space="0" w:color="auto"/>
                      </w:divBdr>
                    </w:div>
                  </w:divsChild>
                </w:div>
                <w:div w:id="1435595067">
                  <w:marLeft w:val="0"/>
                  <w:marRight w:val="0"/>
                  <w:marTop w:val="0"/>
                  <w:marBottom w:val="0"/>
                  <w:divBdr>
                    <w:top w:val="none" w:sz="0" w:space="0" w:color="auto"/>
                    <w:left w:val="none" w:sz="0" w:space="0" w:color="auto"/>
                    <w:bottom w:val="none" w:sz="0" w:space="0" w:color="auto"/>
                    <w:right w:val="none" w:sz="0" w:space="0" w:color="auto"/>
                  </w:divBdr>
                  <w:divsChild>
                    <w:div w:id="1901556082">
                      <w:marLeft w:val="0"/>
                      <w:marRight w:val="0"/>
                      <w:marTop w:val="0"/>
                      <w:marBottom w:val="0"/>
                      <w:divBdr>
                        <w:top w:val="none" w:sz="0" w:space="0" w:color="auto"/>
                        <w:left w:val="none" w:sz="0" w:space="0" w:color="auto"/>
                        <w:bottom w:val="none" w:sz="0" w:space="0" w:color="auto"/>
                        <w:right w:val="none" w:sz="0" w:space="0" w:color="auto"/>
                      </w:divBdr>
                    </w:div>
                  </w:divsChild>
                </w:div>
                <w:div w:id="1481270055">
                  <w:marLeft w:val="0"/>
                  <w:marRight w:val="0"/>
                  <w:marTop w:val="0"/>
                  <w:marBottom w:val="0"/>
                  <w:divBdr>
                    <w:top w:val="none" w:sz="0" w:space="0" w:color="auto"/>
                    <w:left w:val="none" w:sz="0" w:space="0" w:color="auto"/>
                    <w:bottom w:val="none" w:sz="0" w:space="0" w:color="auto"/>
                    <w:right w:val="none" w:sz="0" w:space="0" w:color="auto"/>
                  </w:divBdr>
                  <w:divsChild>
                    <w:div w:id="2079554407">
                      <w:marLeft w:val="0"/>
                      <w:marRight w:val="0"/>
                      <w:marTop w:val="0"/>
                      <w:marBottom w:val="0"/>
                      <w:divBdr>
                        <w:top w:val="none" w:sz="0" w:space="0" w:color="auto"/>
                        <w:left w:val="none" w:sz="0" w:space="0" w:color="auto"/>
                        <w:bottom w:val="none" w:sz="0" w:space="0" w:color="auto"/>
                        <w:right w:val="none" w:sz="0" w:space="0" w:color="auto"/>
                      </w:divBdr>
                    </w:div>
                  </w:divsChild>
                </w:div>
                <w:div w:id="1487697027">
                  <w:marLeft w:val="0"/>
                  <w:marRight w:val="0"/>
                  <w:marTop w:val="0"/>
                  <w:marBottom w:val="0"/>
                  <w:divBdr>
                    <w:top w:val="none" w:sz="0" w:space="0" w:color="auto"/>
                    <w:left w:val="none" w:sz="0" w:space="0" w:color="auto"/>
                    <w:bottom w:val="none" w:sz="0" w:space="0" w:color="auto"/>
                    <w:right w:val="none" w:sz="0" w:space="0" w:color="auto"/>
                  </w:divBdr>
                  <w:divsChild>
                    <w:div w:id="1008289956">
                      <w:marLeft w:val="0"/>
                      <w:marRight w:val="0"/>
                      <w:marTop w:val="0"/>
                      <w:marBottom w:val="0"/>
                      <w:divBdr>
                        <w:top w:val="none" w:sz="0" w:space="0" w:color="auto"/>
                        <w:left w:val="none" w:sz="0" w:space="0" w:color="auto"/>
                        <w:bottom w:val="none" w:sz="0" w:space="0" w:color="auto"/>
                        <w:right w:val="none" w:sz="0" w:space="0" w:color="auto"/>
                      </w:divBdr>
                    </w:div>
                  </w:divsChild>
                </w:div>
                <w:div w:id="1498225576">
                  <w:marLeft w:val="0"/>
                  <w:marRight w:val="0"/>
                  <w:marTop w:val="0"/>
                  <w:marBottom w:val="0"/>
                  <w:divBdr>
                    <w:top w:val="none" w:sz="0" w:space="0" w:color="auto"/>
                    <w:left w:val="none" w:sz="0" w:space="0" w:color="auto"/>
                    <w:bottom w:val="none" w:sz="0" w:space="0" w:color="auto"/>
                    <w:right w:val="none" w:sz="0" w:space="0" w:color="auto"/>
                  </w:divBdr>
                  <w:divsChild>
                    <w:div w:id="554778147">
                      <w:marLeft w:val="0"/>
                      <w:marRight w:val="0"/>
                      <w:marTop w:val="0"/>
                      <w:marBottom w:val="0"/>
                      <w:divBdr>
                        <w:top w:val="none" w:sz="0" w:space="0" w:color="auto"/>
                        <w:left w:val="none" w:sz="0" w:space="0" w:color="auto"/>
                        <w:bottom w:val="none" w:sz="0" w:space="0" w:color="auto"/>
                        <w:right w:val="none" w:sz="0" w:space="0" w:color="auto"/>
                      </w:divBdr>
                    </w:div>
                  </w:divsChild>
                </w:div>
                <w:div w:id="1570770300">
                  <w:marLeft w:val="0"/>
                  <w:marRight w:val="0"/>
                  <w:marTop w:val="0"/>
                  <w:marBottom w:val="0"/>
                  <w:divBdr>
                    <w:top w:val="none" w:sz="0" w:space="0" w:color="auto"/>
                    <w:left w:val="none" w:sz="0" w:space="0" w:color="auto"/>
                    <w:bottom w:val="none" w:sz="0" w:space="0" w:color="auto"/>
                    <w:right w:val="none" w:sz="0" w:space="0" w:color="auto"/>
                  </w:divBdr>
                  <w:divsChild>
                    <w:div w:id="2096321547">
                      <w:marLeft w:val="0"/>
                      <w:marRight w:val="0"/>
                      <w:marTop w:val="0"/>
                      <w:marBottom w:val="0"/>
                      <w:divBdr>
                        <w:top w:val="none" w:sz="0" w:space="0" w:color="auto"/>
                        <w:left w:val="none" w:sz="0" w:space="0" w:color="auto"/>
                        <w:bottom w:val="none" w:sz="0" w:space="0" w:color="auto"/>
                        <w:right w:val="none" w:sz="0" w:space="0" w:color="auto"/>
                      </w:divBdr>
                    </w:div>
                  </w:divsChild>
                </w:div>
                <w:div w:id="1609697302">
                  <w:marLeft w:val="0"/>
                  <w:marRight w:val="0"/>
                  <w:marTop w:val="0"/>
                  <w:marBottom w:val="0"/>
                  <w:divBdr>
                    <w:top w:val="none" w:sz="0" w:space="0" w:color="auto"/>
                    <w:left w:val="none" w:sz="0" w:space="0" w:color="auto"/>
                    <w:bottom w:val="none" w:sz="0" w:space="0" w:color="auto"/>
                    <w:right w:val="none" w:sz="0" w:space="0" w:color="auto"/>
                  </w:divBdr>
                  <w:divsChild>
                    <w:div w:id="23411358">
                      <w:marLeft w:val="0"/>
                      <w:marRight w:val="0"/>
                      <w:marTop w:val="0"/>
                      <w:marBottom w:val="0"/>
                      <w:divBdr>
                        <w:top w:val="none" w:sz="0" w:space="0" w:color="auto"/>
                        <w:left w:val="none" w:sz="0" w:space="0" w:color="auto"/>
                        <w:bottom w:val="none" w:sz="0" w:space="0" w:color="auto"/>
                        <w:right w:val="none" w:sz="0" w:space="0" w:color="auto"/>
                      </w:divBdr>
                    </w:div>
                  </w:divsChild>
                </w:div>
                <w:div w:id="1624460773">
                  <w:marLeft w:val="0"/>
                  <w:marRight w:val="0"/>
                  <w:marTop w:val="0"/>
                  <w:marBottom w:val="0"/>
                  <w:divBdr>
                    <w:top w:val="none" w:sz="0" w:space="0" w:color="auto"/>
                    <w:left w:val="none" w:sz="0" w:space="0" w:color="auto"/>
                    <w:bottom w:val="none" w:sz="0" w:space="0" w:color="auto"/>
                    <w:right w:val="none" w:sz="0" w:space="0" w:color="auto"/>
                  </w:divBdr>
                  <w:divsChild>
                    <w:div w:id="1313102717">
                      <w:marLeft w:val="0"/>
                      <w:marRight w:val="0"/>
                      <w:marTop w:val="0"/>
                      <w:marBottom w:val="0"/>
                      <w:divBdr>
                        <w:top w:val="none" w:sz="0" w:space="0" w:color="auto"/>
                        <w:left w:val="none" w:sz="0" w:space="0" w:color="auto"/>
                        <w:bottom w:val="none" w:sz="0" w:space="0" w:color="auto"/>
                        <w:right w:val="none" w:sz="0" w:space="0" w:color="auto"/>
                      </w:divBdr>
                    </w:div>
                  </w:divsChild>
                </w:div>
                <w:div w:id="1625040859">
                  <w:marLeft w:val="0"/>
                  <w:marRight w:val="0"/>
                  <w:marTop w:val="0"/>
                  <w:marBottom w:val="0"/>
                  <w:divBdr>
                    <w:top w:val="none" w:sz="0" w:space="0" w:color="auto"/>
                    <w:left w:val="none" w:sz="0" w:space="0" w:color="auto"/>
                    <w:bottom w:val="none" w:sz="0" w:space="0" w:color="auto"/>
                    <w:right w:val="none" w:sz="0" w:space="0" w:color="auto"/>
                  </w:divBdr>
                  <w:divsChild>
                    <w:div w:id="1077240164">
                      <w:marLeft w:val="0"/>
                      <w:marRight w:val="0"/>
                      <w:marTop w:val="0"/>
                      <w:marBottom w:val="0"/>
                      <w:divBdr>
                        <w:top w:val="none" w:sz="0" w:space="0" w:color="auto"/>
                        <w:left w:val="none" w:sz="0" w:space="0" w:color="auto"/>
                        <w:bottom w:val="none" w:sz="0" w:space="0" w:color="auto"/>
                        <w:right w:val="none" w:sz="0" w:space="0" w:color="auto"/>
                      </w:divBdr>
                    </w:div>
                  </w:divsChild>
                </w:div>
                <w:div w:id="1640695461">
                  <w:marLeft w:val="0"/>
                  <w:marRight w:val="0"/>
                  <w:marTop w:val="0"/>
                  <w:marBottom w:val="0"/>
                  <w:divBdr>
                    <w:top w:val="none" w:sz="0" w:space="0" w:color="auto"/>
                    <w:left w:val="none" w:sz="0" w:space="0" w:color="auto"/>
                    <w:bottom w:val="none" w:sz="0" w:space="0" w:color="auto"/>
                    <w:right w:val="none" w:sz="0" w:space="0" w:color="auto"/>
                  </w:divBdr>
                  <w:divsChild>
                    <w:div w:id="224414038">
                      <w:marLeft w:val="0"/>
                      <w:marRight w:val="0"/>
                      <w:marTop w:val="0"/>
                      <w:marBottom w:val="0"/>
                      <w:divBdr>
                        <w:top w:val="none" w:sz="0" w:space="0" w:color="auto"/>
                        <w:left w:val="none" w:sz="0" w:space="0" w:color="auto"/>
                        <w:bottom w:val="none" w:sz="0" w:space="0" w:color="auto"/>
                        <w:right w:val="none" w:sz="0" w:space="0" w:color="auto"/>
                      </w:divBdr>
                    </w:div>
                    <w:div w:id="2046904751">
                      <w:marLeft w:val="0"/>
                      <w:marRight w:val="0"/>
                      <w:marTop w:val="0"/>
                      <w:marBottom w:val="0"/>
                      <w:divBdr>
                        <w:top w:val="none" w:sz="0" w:space="0" w:color="auto"/>
                        <w:left w:val="none" w:sz="0" w:space="0" w:color="auto"/>
                        <w:bottom w:val="none" w:sz="0" w:space="0" w:color="auto"/>
                        <w:right w:val="none" w:sz="0" w:space="0" w:color="auto"/>
                      </w:divBdr>
                    </w:div>
                  </w:divsChild>
                </w:div>
                <w:div w:id="1646162474">
                  <w:marLeft w:val="0"/>
                  <w:marRight w:val="0"/>
                  <w:marTop w:val="0"/>
                  <w:marBottom w:val="0"/>
                  <w:divBdr>
                    <w:top w:val="none" w:sz="0" w:space="0" w:color="auto"/>
                    <w:left w:val="none" w:sz="0" w:space="0" w:color="auto"/>
                    <w:bottom w:val="none" w:sz="0" w:space="0" w:color="auto"/>
                    <w:right w:val="none" w:sz="0" w:space="0" w:color="auto"/>
                  </w:divBdr>
                  <w:divsChild>
                    <w:div w:id="1912733922">
                      <w:marLeft w:val="0"/>
                      <w:marRight w:val="0"/>
                      <w:marTop w:val="0"/>
                      <w:marBottom w:val="0"/>
                      <w:divBdr>
                        <w:top w:val="none" w:sz="0" w:space="0" w:color="auto"/>
                        <w:left w:val="none" w:sz="0" w:space="0" w:color="auto"/>
                        <w:bottom w:val="none" w:sz="0" w:space="0" w:color="auto"/>
                        <w:right w:val="none" w:sz="0" w:space="0" w:color="auto"/>
                      </w:divBdr>
                    </w:div>
                  </w:divsChild>
                </w:div>
                <w:div w:id="1663194943">
                  <w:marLeft w:val="0"/>
                  <w:marRight w:val="0"/>
                  <w:marTop w:val="0"/>
                  <w:marBottom w:val="0"/>
                  <w:divBdr>
                    <w:top w:val="none" w:sz="0" w:space="0" w:color="auto"/>
                    <w:left w:val="none" w:sz="0" w:space="0" w:color="auto"/>
                    <w:bottom w:val="none" w:sz="0" w:space="0" w:color="auto"/>
                    <w:right w:val="none" w:sz="0" w:space="0" w:color="auto"/>
                  </w:divBdr>
                  <w:divsChild>
                    <w:div w:id="904952920">
                      <w:marLeft w:val="0"/>
                      <w:marRight w:val="0"/>
                      <w:marTop w:val="0"/>
                      <w:marBottom w:val="0"/>
                      <w:divBdr>
                        <w:top w:val="none" w:sz="0" w:space="0" w:color="auto"/>
                        <w:left w:val="none" w:sz="0" w:space="0" w:color="auto"/>
                        <w:bottom w:val="none" w:sz="0" w:space="0" w:color="auto"/>
                        <w:right w:val="none" w:sz="0" w:space="0" w:color="auto"/>
                      </w:divBdr>
                    </w:div>
                  </w:divsChild>
                </w:div>
                <w:div w:id="1674143544">
                  <w:marLeft w:val="0"/>
                  <w:marRight w:val="0"/>
                  <w:marTop w:val="0"/>
                  <w:marBottom w:val="0"/>
                  <w:divBdr>
                    <w:top w:val="none" w:sz="0" w:space="0" w:color="auto"/>
                    <w:left w:val="none" w:sz="0" w:space="0" w:color="auto"/>
                    <w:bottom w:val="none" w:sz="0" w:space="0" w:color="auto"/>
                    <w:right w:val="none" w:sz="0" w:space="0" w:color="auto"/>
                  </w:divBdr>
                  <w:divsChild>
                    <w:div w:id="48724319">
                      <w:marLeft w:val="0"/>
                      <w:marRight w:val="0"/>
                      <w:marTop w:val="0"/>
                      <w:marBottom w:val="0"/>
                      <w:divBdr>
                        <w:top w:val="none" w:sz="0" w:space="0" w:color="auto"/>
                        <w:left w:val="none" w:sz="0" w:space="0" w:color="auto"/>
                        <w:bottom w:val="none" w:sz="0" w:space="0" w:color="auto"/>
                        <w:right w:val="none" w:sz="0" w:space="0" w:color="auto"/>
                      </w:divBdr>
                    </w:div>
                  </w:divsChild>
                </w:div>
                <w:div w:id="1814369820">
                  <w:marLeft w:val="0"/>
                  <w:marRight w:val="0"/>
                  <w:marTop w:val="0"/>
                  <w:marBottom w:val="0"/>
                  <w:divBdr>
                    <w:top w:val="none" w:sz="0" w:space="0" w:color="auto"/>
                    <w:left w:val="none" w:sz="0" w:space="0" w:color="auto"/>
                    <w:bottom w:val="none" w:sz="0" w:space="0" w:color="auto"/>
                    <w:right w:val="none" w:sz="0" w:space="0" w:color="auto"/>
                  </w:divBdr>
                  <w:divsChild>
                    <w:div w:id="1668095945">
                      <w:marLeft w:val="0"/>
                      <w:marRight w:val="0"/>
                      <w:marTop w:val="0"/>
                      <w:marBottom w:val="0"/>
                      <w:divBdr>
                        <w:top w:val="none" w:sz="0" w:space="0" w:color="auto"/>
                        <w:left w:val="none" w:sz="0" w:space="0" w:color="auto"/>
                        <w:bottom w:val="none" w:sz="0" w:space="0" w:color="auto"/>
                        <w:right w:val="none" w:sz="0" w:space="0" w:color="auto"/>
                      </w:divBdr>
                    </w:div>
                  </w:divsChild>
                </w:div>
                <w:div w:id="1824738604">
                  <w:marLeft w:val="0"/>
                  <w:marRight w:val="0"/>
                  <w:marTop w:val="0"/>
                  <w:marBottom w:val="0"/>
                  <w:divBdr>
                    <w:top w:val="none" w:sz="0" w:space="0" w:color="auto"/>
                    <w:left w:val="none" w:sz="0" w:space="0" w:color="auto"/>
                    <w:bottom w:val="none" w:sz="0" w:space="0" w:color="auto"/>
                    <w:right w:val="none" w:sz="0" w:space="0" w:color="auto"/>
                  </w:divBdr>
                  <w:divsChild>
                    <w:div w:id="1233808438">
                      <w:marLeft w:val="0"/>
                      <w:marRight w:val="0"/>
                      <w:marTop w:val="0"/>
                      <w:marBottom w:val="0"/>
                      <w:divBdr>
                        <w:top w:val="none" w:sz="0" w:space="0" w:color="auto"/>
                        <w:left w:val="none" w:sz="0" w:space="0" w:color="auto"/>
                        <w:bottom w:val="none" w:sz="0" w:space="0" w:color="auto"/>
                        <w:right w:val="none" w:sz="0" w:space="0" w:color="auto"/>
                      </w:divBdr>
                    </w:div>
                  </w:divsChild>
                </w:div>
                <w:div w:id="1839687677">
                  <w:marLeft w:val="0"/>
                  <w:marRight w:val="0"/>
                  <w:marTop w:val="0"/>
                  <w:marBottom w:val="0"/>
                  <w:divBdr>
                    <w:top w:val="none" w:sz="0" w:space="0" w:color="auto"/>
                    <w:left w:val="none" w:sz="0" w:space="0" w:color="auto"/>
                    <w:bottom w:val="none" w:sz="0" w:space="0" w:color="auto"/>
                    <w:right w:val="none" w:sz="0" w:space="0" w:color="auto"/>
                  </w:divBdr>
                  <w:divsChild>
                    <w:div w:id="1397776197">
                      <w:marLeft w:val="0"/>
                      <w:marRight w:val="0"/>
                      <w:marTop w:val="0"/>
                      <w:marBottom w:val="0"/>
                      <w:divBdr>
                        <w:top w:val="none" w:sz="0" w:space="0" w:color="auto"/>
                        <w:left w:val="none" w:sz="0" w:space="0" w:color="auto"/>
                        <w:bottom w:val="none" w:sz="0" w:space="0" w:color="auto"/>
                        <w:right w:val="none" w:sz="0" w:space="0" w:color="auto"/>
                      </w:divBdr>
                    </w:div>
                  </w:divsChild>
                </w:div>
                <w:div w:id="1846018910">
                  <w:marLeft w:val="0"/>
                  <w:marRight w:val="0"/>
                  <w:marTop w:val="0"/>
                  <w:marBottom w:val="0"/>
                  <w:divBdr>
                    <w:top w:val="none" w:sz="0" w:space="0" w:color="auto"/>
                    <w:left w:val="none" w:sz="0" w:space="0" w:color="auto"/>
                    <w:bottom w:val="none" w:sz="0" w:space="0" w:color="auto"/>
                    <w:right w:val="none" w:sz="0" w:space="0" w:color="auto"/>
                  </w:divBdr>
                  <w:divsChild>
                    <w:div w:id="209612160">
                      <w:marLeft w:val="0"/>
                      <w:marRight w:val="0"/>
                      <w:marTop w:val="0"/>
                      <w:marBottom w:val="0"/>
                      <w:divBdr>
                        <w:top w:val="none" w:sz="0" w:space="0" w:color="auto"/>
                        <w:left w:val="none" w:sz="0" w:space="0" w:color="auto"/>
                        <w:bottom w:val="none" w:sz="0" w:space="0" w:color="auto"/>
                        <w:right w:val="none" w:sz="0" w:space="0" w:color="auto"/>
                      </w:divBdr>
                    </w:div>
                  </w:divsChild>
                </w:div>
                <w:div w:id="1875540748">
                  <w:marLeft w:val="0"/>
                  <w:marRight w:val="0"/>
                  <w:marTop w:val="0"/>
                  <w:marBottom w:val="0"/>
                  <w:divBdr>
                    <w:top w:val="none" w:sz="0" w:space="0" w:color="auto"/>
                    <w:left w:val="none" w:sz="0" w:space="0" w:color="auto"/>
                    <w:bottom w:val="none" w:sz="0" w:space="0" w:color="auto"/>
                    <w:right w:val="none" w:sz="0" w:space="0" w:color="auto"/>
                  </w:divBdr>
                  <w:divsChild>
                    <w:div w:id="238373906">
                      <w:marLeft w:val="0"/>
                      <w:marRight w:val="0"/>
                      <w:marTop w:val="0"/>
                      <w:marBottom w:val="0"/>
                      <w:divBdr>
                        <w:top w:val="none" w:sz="0" w:space="0" w:color="auto"/>
                        <w:left w:val="none" w:sz="0" w:space="0" w:color="auto"/>
                        <w:bottom w:val="none" w:sz="0" w:space="0" w:color="auto"/>
                        <w:right w:val="none" w:sz="0" w:space="0" w:color="auto"/>
                      </w:divBdr>
                    </w:div>
                  </w:divsChild>
                </w:div>
                <w:div w:id="1881091095">
                  <w:marLeft w:val="0"/>
                  <w:marRight w:val="0"/>
                  <w:marTop w:val="0"/>
                  <w:marBottom w:val="0"/>
                  <w:divBdr>
                    <w:top w:val="none" w:sz="0" w:space="0" w:color="auto"/>
                    <w:left w:val="none" w:sz="0" w:space="0" w:color="auto"/>
                    <w:bottom w:val="none" w:sz="0" w:space="0" w:color="auto"/>
                    <w:right w:val="none" w:sz="0" w:space="0" w:color="auto"/>
                  </w:divBdr>
                  <w:divsChild>
                    <w:div w:id="587344918">
                      <w:marLeft w:val="0"/>
                      <w:marRight w:val="0"/>
                      <w:marTop w:val="0"/>
                      <w:marBottom w:val="0"/>
                      <w:divBdr>
                        <w:top w:val="none" w:sz="0" w:space="0" w:color="auto"/>
                        <w:left w:val="none" w:sz="0" w:space="0" w:color="auto"/>
                        <w:bottom w:val="none" w:sz="0" w:space="0" w:color="auto"/>
                        <w:right w:val="none" w:sz="0" w:space="0" w:color="auto"/>
                      </w:divBdr>
                    </w:div>
                  </w:divsChild>
                </w:div>
                <w:div w:id="1915700359">
                  <w:marLeft w:val="0"/>
                  <w:marRight w:val="0"/>
                  <w:marTop w:val="0"/>
                  <w:marBottom w:val="0"/>
                  <w:divBdr>
                    <w:top w:val="none" w:sz="0" w:space="0" w:color="auto"/>
                    <w:left w:val="none" w:sz="0" w:space="0" w:color="auto"/>
                    <w:bottom w:val="none" w:sz="0" w:space="0" w:color="auto"/>
                    <w:right w:val="none" w:sz="0" w:space="0" w:color="auto"/>
                  </w:divBdr>
                  <w:divsChild>
                    <w:div w:id="1169322345">
                      <w:marLeft w:val="0"/>
                      <w:marRight w:val="0"/>
                      <w:marTop w:val="0"/>
                      <w:marBottom w:val="0"/>
                      <w:divBdr>
                        <w:top w:val="none" w:sz="0" w:space="0" w:color="auto"/>
                        <w:left w:val="none" w:sz="0" w:space="0" w:color="auto"/>
                        <w:bottom w:val="none" w:sz="0" w:space="0" w:color="auto"/>
                        <w:right w:val="none" w:sz="0" w:space="0" w:color="auto"/>
                      </w:divBdr>
                    </w:div>
                  </w:divsChild>
                </w:div>
                <w:div w:id="1994287833">
                  <w:marLeft w:val="0"/>
                  <w:marRight w:val="0"/>
                  <w:marTop w:val="0"/>
                  <w:marBottom w:val="0"/>
                  <w:divBdr>
                    <w:top w:val="none" w:sz="0" w:space="0" w:color="auto"/>
                    <w:left w:val="none" w:sz="0" w:space="0" w:color="auto"/>
                    <w:bottom w:val="none" w:sz="0" w:space="0" w:color="auto"/>
                    <w:right w:val="none" w:sz="0" w:space="0" w:color="auto"/>
                  </w:divBdr>
                  <w:divsChild>
                    <w:div w:id="118115623">
                      <w:marLeft w:val="0"/>
                      <w:marRight w:val="0"/>
                      <w:marTop w:val="0"/>
                      <w:marBottom w:val="0"/>
                      <w:divBdr>
                        <w:top w:val="none" w:sz="0" w:space="0" w:color="auto"/>
                        <w:left w:val="none" w:sz="0" w:space="0" w:color="auto"/>
                        <w:bottom w:val="none" w:sz="0" w:space="0" w:color="auto"/>
                        <w:right w:val="none" w:sz="0" w:space="0" w:color="auto"/>
                      </w:divBdr>
                    </w:div>
                  </w:divsChild>
                </w:div>
                <w:div w:id="2021004355">
                  <w:marLeft w:val="0"/>
                  <w:marRight w:val="0"/>
                  <w:marTop w:val="0"/>
                  <w:marBottom w:val="0"/>
                  <w:divBdr>
                    <w:top w:val="none" w:sz="0" w:space="0" w:color="auto"/>
                    <w:left w:val="none" w:sz="0" w:space="0" w:color="auto"/>
                    <w:bottom w:val="none" w:sz="0" w:space="0" w:color="auto"/>
                    <w:right w:val="none" w:sz="0" w:space="0" w:color="auto"/>
                  </w:divBdr>
                  <w:divsChild>
                    <w:div w:id="370961492">
                      <w:marLeft w:val="0"/>
                      <w:marRight w:val="0"/>
                      <w:marTop w:val="0"/>
                      <w:marBottom w:val="0"/>
                      <w:divBdr>
                        <w:top w:val="none" w:sz="0" w:space="0" w:color="auto"/>
                        <w:left w:val="none" w:sz="0" w:space="0" w:color="auto"/>
                        <w:bottom w:val="none" w:sz="0" w:space="0" w:color="auto"/>
                        <w:right w:val="none" w:sz="0" w:space="0" w:color="auto"/>
                      </w:divBdr>
                    </w:div>
                  </w:divsChild>
                </w:div>
                <w:div w:id="2034450709">
                  <w:marLeft w:val="0"/>
                  <w:marRight w:val="0"/>
                  <w:marTop w:val="0"/>
                  <w:marBottom w:val="0"/>
                  <w:divBdr>
                    <w:top w:val="none" w:sz="0" w:space="0" w:color="auto"/>
                    <w:left w:val="none" w:sz="0" w:space="0" w:color="auto"/>
                    <w:bottom w:val="none" w:sz="0" w:space="0" w:color="auto"/>
                    <w:right w:val="none" w:sz="0" w:space="0" w:color="auto"/>
                  </w:divBdr>
                  <w:divsChild>
                    <w:div w:id="2074501343">
                      <w:marLeft w:val="0"/>
                      <w:marRight w:val="0"/>
                      <w:marTop w:val="0"/>
                      <w:marBottom w:val="0"/>
                      <w:divBdr>
                        <w:top w:val="none" w:sz="0" w:space="0" w:color="auto"/>
                        <w:left w:val="none" w:sz="0" w:space="0" w:color="auto"/>
                        <w:bottom w:val="none" w:sz="0" w:space="0" w:color="auto"/>
                        <w:right w:val="none" w:sz="0" w:space="0" w:color="auto"/>
                      </w:divBdr>
                    </w:div>
                  </w:divsChild>
                </w:div>
                <w:div w:id="2105951935">
                  <w:marLeft w:val="0"/>
                  <w:marRight w:val="0"/>
                  <w:marTop w:val="0"/>
                  <w:marBottom w:val="0"/>
                  <w:divBdr>
                    <w:top w:val="none" w:sz="0" w:space="0" w:color="auto"/>
                    <w:left w:val="none" w:sz="0" w:space="0" w:color="auto"/>
                    <w:bottom w:val="none" w:sz="0" w:space="0" w:color="auto"/>
                    <w:right w:val="none" w:sz="0" w:space="0" w:color="auto"/>
                  </w:divBdr>
                  <w:divsChild>
                    <w:div w:id="1800147722">
                      <w:marLeft w:val="0"/>
                      <w:marRight w:val="0"/>
                      <w:marTop w:val="0"/>
                      <w:marBottom w:val="0"/>
                      <w:divBdr>
                        <w:top w:val="none" w:sz="0" w:space="0" w:color="auto"/>
                        <w:left w:val="none" w:sz="0" w:space="0" w:color="auto"/>
                        <w:bottom w:val="none" w:sz="0" w:space="0" w:color="auto"/>
                        <w:right w:val="none" w:sz="0" w:space="0" w:color="auto"/>
                      </w:divBdr>
                    </w:div>
                  </w:divsChild>
                </w:div>
                <w:div w:id="2139717134">
                  <w:marLeft w:val="0"/>
                  <w:marRight w:val="0"/>
                  <w:marTop w:val="0"/>
                  <w:marBottom w:val="0"/>
                  <w:divBdr>
                    <w:top w:val="none" w:sz="0" w:space="0" w:color="auto"/>
                    <w:left w:val="none" w:sz="0" w:space="0" w:color="auto"/>
                    <w:bottom w:val="none" w:sz="0" w:space="0" w:color="auto"/>
                    <w:right w:val="none" w:sz="0" w:space="0" w:color="auto"/>
                  </w:divBdr>
                  <w:divsChild>
                    <w:div w:id="10671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7685">
          <w:marLeft w:val="0"/>
          <w:marRight w:val="0"/>
          <w:marTop w:val="0"/>
          <w:marBottom w:val="0"/>
          <w:divBdr>
            <w:top w:val="none" w:sz="0" w:space="0" w:color="auto"/>
            <w:left w:val="none" w:sz="0" w:space="0" w:color="auto"/>
            <w:bottom w:val="none" w:sz="0" w:space="0" w:color="auto"/>
            <w:right w:val="none" w:sz="0" w:space="0" w:color="auto"/>
          </w:divBdr>
        </w:div>
        <w:div w:id="600725802">
          <w:marLeft w:val="0"/>
          <w:marRight w:val="0"/>
          <w:marTop w:val="0"/>
          <w:marBottom w:val="0"/>
          <w:divBdr>
            <w:top w:val="none" w:sz="0" w:space="0" w:color="auto"/>
            <w:left w:val="none" w:sz="0" w:space="0" w:color="auto"/>
            <w:bottom w:val="none" w:sz="0" w:space="0" w:color="auto"/>
            <w:right w:val="none" w:sz="0" w:space="0" w:color="auto"/>
          </w:divBdr>
        </w:div>
        <w:div w:id="1122069218">
          <w:marLeft w:val="0"/>
          <w:marRight w:val="0"/>
          <w:marTop w:val="0"/>
          <w:marBottom w:val="0"/>
          <w:divBdr>
            <w:top w:val="none" w:sz="0" w:space="0" w:color="auto"/>
            <w:left w:val="none" w:sz="0" w:space="0" w:color="auto"/>
            <w:bottom w:val="none" w:sz="0" w:space="0" w:color="auto"/>
            <w:right w:val="none" w:sz="0" w:space="0" w:color="auto"/>
          </w:divBdr>
        </w:div>
        <w:div w:id="1342274886">
          <w:marLeft w:val="0"/>
          <w:marRight w:val="0"/>
          <w:marTop w:val="0"/>
          <w:marBottom w:val="0"/>
          <w:divBdr>
            <w:top w:val="none" w:sz="0" w:space="0" w:color="auto"/>
            <w:left w:val="none" w:sz="0" w:space="0" w:color="auto"/>
            <w:bottom w:val="none" w:sz="0" w:space="0" w:color="auto"/>
            <w:right w:val="none" w:sz="0" w:space="0" w:color="auto"/>
          </w:divBdr>
        </w:div>
      </w:divsChild>
    </w:div>
    <w:div w:id="77410922">
      <w:bodyDiv w:val="1"/>
      <w:marLeft w:val="0"/>
      <w:marRight w:val="0"/>
      <w:marTop w:val="0"/>
      <w:marBottom w:val="0"/>
      <w:divBdr>
        <w:top w:val="none" w:sz="0" w:space="0" w:color="auto"/>
        <w:left w:val="none" w:sz="0" w:space="0" w:color="auto"/>
        <w:bottom w:val="none" w:sz="0" w:space="0" w:color="auto"/>
        <w:right w:val="none" w:sz="0" w:space="0" w:color="auto"/>
      </w:divBdr>
      <w:divsChild>
        <w:div w:id="209541577">
          <w:marLeft w:val="547"/>
          <w:marRight w:val="0"/>
          <w:marTop w:val="0"/>
          <w:marBottom w:val="120"/>
          <w:divBdr>
            <w:top w:val="none" w:sz="0" w:space="0" w:color="auto"/>
            <w:left w:val="none" w:sz="0" w:space="0" w:color="auto"/>
            <w:bottom w:val="none" w:sz="0" w:space="0" w:color="auto"/>
            <w:right w:val="none" w:sz="0" w:space="0" w:color="auto"/>
          </w:divBdr>
        </w:div>
      </w:divsChild>
    </w:div>
    <w:div w:id="87242767">
      <w:bodyDiv w:val="1"/>
      <w:marLeft w:val="0"/>
      <w:marRight w:val="0"/>
      <w:marTop w:val="0"/>
      <w:marBottom w:val="0"/>
      <w:divBdr>
        <w:top w:val="none" w:sz="0" w:space="0" w:color="auto"/>
        <w:left w:val="none" w:sz="0" w:space="0" w:color="auto"/>
        <w:bottom w:val="none" w:sz="0" w:space="0" w:color="auto"/>
        <w:right w:val="none" w:sz="0" w:space="0" w:color="auto"/>
      </w:divBdr>
      <w:divsChild>
        <w:div w:id="706641788">
          <w:marLeft w:val="360"/>
          <w:marRight w:val="0"/>
          <w:marTop w:val="200"/>
          <w:marBottom w:val="0"/>
          <w:divBdr>
            <w:top w:val="none" w:sz="0" w:space="0" w:color="auto"/>
            <w:left w:val="none" w:sz="0" w:space="0" w:color="auto"/>
            <w:bottom w:val="none" w:sz="0" w:space="0" w:color="auto"/>
            <w:right w:val="none" w:sz="0" w:space="0" w:color="auto"/>
          </w:divBdr>
        </w:div>
        <w:div w:id="1199319790">
          <w:marLeft w:val="360"/>
          <w:marRight w:val="0"/>
          <w:marTop w:val="2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905946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13168661">
      <w:bodyDiv w:val="1"/>
      <w:marLeft w:val="0"/>
      <w:marRight w:val="0"/>
      <w:marTop w:val="0"/>
      <w:marBottom w:val="0"/>
      <w:divBdr>
        <w:top w:val="none" w:sz="0" w:space="0" w:color="auto"/>
        <w:left w:val="none" w:sz="0" w:space="0" w:color="auto"/>
        <w:bottom w:val="none" w:sz="0" w:space="0" w:color="auto"/>
        <w:right w:val="none" w:sz="0" w:space="0" w:color="auto"/>
      </w:divBdr>
    </w:div>
    <w:div w:id="715159771">
      <w:bodyDiv w:val="1"/>
      <w:marLeft w:val="0"/>
      <w:marRight w:val="0"/>
      <w:marTop w:val="0"/>
      <w:marBottom w:val="0"/>
      <w:divBdr>
        <w:top w:val="none" w:sz="0" w:space="0" w:color="auto"/>
        <w:left w:val="none" w:sz="0" w:space="0" w:color="auto"/>
        <w:bottom w:val="none" w:sz="0" w:space="0" w:color="auto"/>
        <w:right w:val="none" w:sz="0" w:space="0" w:color="auto"/>
      </w:divBdr>
      <w:divsChild>
        <w:div w:id="125390157">
          <w:marLeft w:val="0"/>
          <w:marRight w:val="0"/>
          <w:marTop w:val="0"/>
          <w:marBottom w:val="0"/>
          <w:divBdr>
            <w:top w:val="none" w:sz="0" w:space="0" w:color="auto"/>
            <w:left w:val="none" w:sz="0" w:space="0" w:color="auto"/>
            <w:bottom w:val="none" w:sz="0" w:space="0" w:color="auto"/>
            <w:right w:val="none" w:sz="0" w:space="0" w:color="auto"/>
          </w:divBdr>
          <w:divsChild>
            <w:div w:id="107895514">
              <w:marLeft w:val="0"/>
              <w:marRight w:val="0"/>
              <w:marTop w:val="0"/>
              <w:marBottom w:val="0"/>
              <w:divBdr>
                <w:top w:val="none" w:sz="0" w:space="0" w:color="auto"/>
                <w:left w:val="none" w:sz="0" w:space="0" w:color="auto"/>
                <w:bottom w:val="none" w:sz="0" w:space="0" w:color="auto"/>
                <w:right w:val="none" w:sz="0" w:space="0" w:color="auto"/>
              </w:divBdr>
            </w:div>
          </w:divsChild>
        </w:div>
        <w:div w:id="129250969">
          <w:marLeft w:val="0"/>
          <w:marRight w:val="0"/>
          <w:marTop w:val="0"/>
          <w:marBottom w:val="0"/>
          <w:divBdr>
            <w:top w:val="none" w:sz="0" w:space="0" w:color="auto"/>
            <w:left w:val="none" w:sz="0" w:space="0" w:color="auto"/>
            <w:bottom w:val="none" w:sz="0" w:space="0" w:color="auto"/>
            <w:right w:val="none" w:sz="0" w:space="0" w:color="auto"/>
          </w:divBdr>
          <w:divsChild>
            <w:div w:id="1128666057">
              <w:marLeft w:val="0"/>
              <w:marRight w:val="0"/>
              <w:marTop w:val="0"/>
              <w:marBottom w:val="0"/>
              <w:divBdr>
                <w:top w:val="none" w:sz="0" w:space="0" w:color="auto"/>
                <w:left w:val="none" w:sz="0" w:space="0" w:color="auto"/>
                <w:bottom w:val="none" w:sz="0" w:space="0" w:color="auto"/>
                <w:right w:val="none" w:sz="0" w:space="0" w:color="auto"/>
              </w:divBdr>
            </w:div>
          </w:divsChild>
        </w:div>
        <w:div w:id="162430927">
          <w:marLeft w:val="0"/>
          <w:marRight w:val="0"/>
          <w:marTop w:val="0"/>
          <w:marBottom w:val="0"/>
          <w:divBdr>
            <w:top w:val="none" w:sz="0" w:space="0" w:color="auto"/>
            <w:left w:val="none" w:sz="0" w:space="0" w:color="auto"/>
            <w:bottom w:val="none" w:sz="0" w:space="0" w:color="auto"/>
            <w:right w:val="none" w:sz="0" w:space="0" w:color="auto"/>
          </w:divBdr>
          <w:divsChild>
            <w:div w:id="680932990">
              <w:marLeft w:val="0"/>
              <w:marRight w:val="0"/>
              <w:marTop w:val="0"/>
              <w:marBottom w:val="0"/>
              <w:divBdr>
                <w:top w:val="none" w:sz="0" w:space="0" w:color="auto"/>
                <w:left w:val="none" w:sz="0" w:space="0" w:color="auto"/>
                <w:bottom w:val="none" w:sz="0" w:space="0" w:color="auto"/>
                <w:right w:val="none" w:sz="0" w:space="0" w:color="auto"/>
              </w:divBdr>
            </w:div>
          </w:divsChild>
        </w:div>
        <w:div w:id="178280791">
          <w:marLeft w:val="0"/>
          <w:marRight w:val="0"/>
          <w:marTop w:val="0"/>
          <w:marBottom w:val="0"/>
          <w:divBdr>
            <w:top w:val="none" w:sz="0" w:space="0" w:color="auto"/>
            <w:left w:val="none" w:sz="0" w:space="0" w:color="auto"/>
            <w:bottom w:val="none" w:sz="0" w:space="0" w:color="auto"/>
            <w:right w:val="none" w:sz="0" w:space="0" w:color="auto"/>
          </w:divBdr>
          <w:divsChild>
            <w:div w:id="1829980439">
              <w:marLeft w:val="0"/>
              <w:marRight w:val="0"/>
              <w:marTop w:val="0"/>
              <w:marBottom w:val="0"/>
              <w:divBdr>
                <w:top w:val="none" w:sz="0" w:space="0" w:color="auto"/>
                <w:left w:val="none" w:sz="0" w:space="0" w:color="auto"/>
                <w:bottom w:val="none" w:sz="0" w:space="0" w:color="auto"/>
                <w:right w:val="none" w:sz="0" w:space="0" w:color="auto"/>
              </w:divBdr>
            </w:div>
            <w:div w:id="1944727321">
              <w:marLeft w:val="0"/>
              <w:marRight w:val="0"/>
              <w:marTop w:val="0"/>
              <w:marBottom w:val="0"/>
              <w:divBdr>
                <w:top w:val="none" w:sz="0" w:space="0" w:color="auto"/>
                <w:left w:val="none" w:sz="0" w:space="0" w:color="auto"/>
                <w:bottom w:val="none" w:sz="0" w:space="0" w:color="auto"/>
                <w:right w:val="none" w:sz="0" w:space="0" w:color="auto"/>
              </w:divBdr>
            </w:div>
          </w:divsChild>
        </w:div>
        <w:div w:id="299460798">
          <w:marLeft w:val="0"/>
          <w:marRight w:val="0"/>
          <w:marTop w:val="0"/>
          <w:marBottom w:val="0"/>
          <w:divBdr>
            <w:top w:val="none" w:sz="0" w:space="0" w:color="auto"/>
            <w:left w:val="none" w:sz="0" w:space="0" w:color="auto"/>
            <w:bottom w:val="none" w:sz="0" w:space="0" w:color="auto"/>
            <w:right w:val="none" w:sz="0" w:space="0" w:color="auto"/>
          </w:divBdr>
          <w:divsChild>
            <w:div w:id="463544129">
              <w:marLeft w:val="0"/>
              <w:marRight w:val="0"/>
              <w:marTop w:val="0"/>
              <w:marBottom w:val="0"/>
              <w:divBdr>
                <w:top w:val="none" w:sz="0" w:space="0" w:color="auto"/>
                <w:left w:val="none" w:sz="0" w:space="0" w:color="auto"/>
                <w:bottom w:val="none" w:sz="0" w:space="0" w:color="auto"/>
                <w:right w:val="none" w:sz="0" w:space="0" w:color="auto"/>
              </w:divBdr>
            </w:div>
          </w:divsChild>
        </w:div>
        <w:div w:id="303436555">
          <w:marLeft w:val="0"/>
          <w:marRight w:val="0"/>
          <w:marTop w:val="0"/>
          <w:marBottom w:val="0"/>
          <w:divBdr>
            <w:top w:val="none" w:sz="0" w:space="0" w:color="auto"/>
            <w:left w:val="none" w:sz="0" w:space="0" w:color="auto"/>
            <w:bottom w:val="none" w:sz="0" w:space="0" w:color="auto"/>
            <w:right w:val="none" w:sz="0" w:space="0" w:color="auto"/>
          </w:divBdr>
          <w:divsChild>
            <w:div w:id="1525752975">
              <w:marLeft w:val="0"/>
              <w:marRight w:val="0"/>
              <w:marTop w:val="0"/>
              <w:marBottom w:val="0"/>
              <w:divBdr>
                <w:top w:val="none" w:sz="0" w:space="0" w:color="auto"/>
                <w:left w:val="none" w:sz="0" w:space="0" w:color="auto"/>
                <w:bottom w:val="none" w:sz="0" w:space="0" w:color="auto"/>
                <w:right w:val="none" w:sz="0" w:space="0" w:color="auto"/>
              </w:divBdr>
            </w:div>
          </w:divsChild>
        </w:div>
        <w:div w:id="307129009">
          <w:marLeft w:val="0"/>
          <w:marRight w:val="0"/>
          <w:marTop w:val="0"/>
          <w:marBottom w:val="0"/>
          <w:divBdr>
            <w:top w:val="none" w:sz="0" w:space="0" w:color="auto"/>
            <w:left w:val="none" w:sz="0" w:space="0" w:color="auto"/>
            <w:bottom w:val="none" w:sz="0" w:space="0" w:color="auto"/>
            <w:right w:val="none" w:sz="0" w:space="0" w:color="auto"/>
          </w:divBdr>
          <w:divsChild>
            <w:div w:id="1509445111">
              <w:marLeft w:val="0"/>
              <w:marRight w:val="0"/>
              <w:marTop w:val="0"/>
              <w:marBottom w:val="0"/>
              <w:divBdr>
                <w:top w:val="none" w:sz="0" w:space="0" w:color="auto"/>
                <w:left w:val="none" w:sz="0" w:space="0" w:color="auto"/>
                <w:bottom w:val="none" w:sz="0" w:space="0" w:color="auto"/>
                <w:right w:val="none" w:sz="0" w:space="0" w:color="auto"/>
              </w:divBdr>
            </w:div>
          </w:divsChild>
        </w:div>
        <w:div w:id="392041272">
          <w:marLeft w:val="0"/>
          <w:marRight w:val="0"/>
          <w:marTop w:val="0"/>
          <w:marBottom w:val="0"/>
          <w:divBdr>
            <w:top w:val="none" w:sz="0" w:space="0" w:color="auto"/>
            <w:left w:val="none" w:sz="0" w:space="0" w:color="auto"/>
            <w:bottom w:val="none" w:sz="0" w:space="0" w:color="auto"/>
            <w:right w:val="none" w:sz="0" w:space="0" w:color="auto"/>
          </w:divBdr>
          <w:divsChild>
            <w:div w:id="579870159">
              <w:marLeft w:val="0"/>
              <w:marRight w:val="0"/>
              <w:marTop w:val="0"/>
              <w:marBottom w:val="0"/>
              <w:divBdr>
                <w:top w:val="none" w:sz="0" w:space="0" w:color="auto"/>
                <w:left w:val="none" w:sz="0" w:space="0" w:color="auto"/>
                <w:bottom w:val="none" w:sz="0" w:space="0" w:color="auto"/>
                <w:right w:val="none" w:sz="0" w:space="0" w:color="auto"/>
              </w:divBdr>
            </w:div>
          </w:divsChild>
        </w:div>
        <w:div w:id="408383291">
          <w:marLeft w:val="0"/>
          <w:marRight w:val="0"/>
          <w:marTop w:val="0"/>
          <w:marBottom w:val="0"/>
          <w:divBdr>
            <w:top w:val="none" w:sz="0" w:space="0" w:color="auto"/>
            <w:left w:val="none" w:sz="0" w:space="0" w:color="auto"/>
            <w:bottom w:val="none" w:sz="0" w:space="0" w:color="auto"/>
            <w:right w:val="none" w:sz="0" w:space="0" w:color="auto"/>
          </w:divBdr>
          <w:divsChild>
            <w:div w:id="540365820">
              <w:marLeft w:val="0"/>
              <w:marRight w:val="0"/>
              <w:marTop w:val="0"/>
              <w:marBottom w:val="0"/>
              <w:divBdr>
                <w:top w:val="none" w:sz="0" w:space="0" w:color="auto"/>
                <w:left w:val="none" w:sz="0" w:space="0" w:color="auto"/>
                <w:bottom w:val="none" w:sz="0" w:space="0" w:color="auto"/>
                <w:right w:val="none" w:sz="0" w:space="0" w:color="auto"/>
              </w:divBdr>
            </w:div>
            <w:div w:id="571282454">
              <w:marLeft w:val="0"/>
              <w:marRight w:val="0"/>
              <w:marTop w:val="0"/>
              <w:marBottom w:val="0"/>
              <w:divBdr>
                <w:top w:val="none" w:sz="0" w:space="0" w:color="auto"/>
                <w:left w:val="none" w:sz="0" w:space="0" w:color="auto"/>
                <w:bottom w:val="none" w:sz="0" w:space="0" w:color="auto"/>
                <w:right w:val="none" w:sz="0" w:space="0" w:color="auto"/>
              </w:divBdr>
            </w:div>
          </w:divsChild>
        </w:div>
        <w:div w:id="511919581">
          <w:marLeft w:val="0"/>
          <w:marRight w:val="0"/>
          <w:marTop w:val="0"/>
          <w:marBottom w:val="0"/>
          <w:divBdr>
            <w:top w:val="none" w:sz="0" w:space="0" w:color="auto"/>
            <w:left w:val="none" w:sz="0" w:space="0" w:color="auto"/>
            <w:bottom w:val="none" w:sz="0" w:space="0" w:color="auto"/>
            <w:right w:val="none" w:sz="0" w:space="0" w:color="auto"/>
          </w:divBdr>
          <w:divsChild>
            <w:div w:id="594631750">
              <w:marLeft w:val="0"/>
              <w:marRight w:val="0"/>
              <w:marTop w:val="0"/>
              <w:marBottom w:val="0"/>
              <w:divBdr>
                <w:top w:val="none" w:sz="0" w:space="0" w:color="auto"/>
                <w:left w:val="none" w:sz="0" w:space="0" w:color="auto"/>
                <w:bottom w:val="none" w:sz="0" w:space="0" w:color="auto"/>
                <w:right w:val="none" w:sz="0" w:space="0" w:color="auto"/>
              </w:divBdr>
            </w:div>
          </w:divsChild>
        </w:div>
        <w:div w:id="531841705">
          <w:marLeft w:val="0"/>
          <w:marRight w:val="0"/>
          <w:marTop w:val="0"/>
          <w:marBottom w:val="0"/>
          <w:divBdr>
            <w:top w:val="none" w:sz="0" w:space="0" w:color="auto"/>
            <w:left w:val="none" w:sz="0" w:space="0" w:color="auto"/>
            <w:bottom w:val="none" w:sz="0" w:space="0" w:color="auto"/>
            <w:right w:val="none" w:sz="0" w:space="0" w:color="auto"/>
          </w:divBdr>
          <w:divsChild>
            <w:div w:id="245463890">
              <w:marLeft w:val="0"/>
              <w:marRight w:val="0"/>
              <w:marTop w:val="0"/>
              <w:marBottom w:val="0"/>
              <w:divBdr>
                <w:top w:val="none" w:sz="0" w:space="0" w:color="auto"/>
                <w:left w:val="none" w:sz="0" w:space="0" w:color="auto"/>
                <w:bottom w:val="none" w:sz="0" w:space="0" w:color="auto"/>
                <w:right w:val="none" w:sz="0" w:space="0" w:color="auto"/>
              </w:divBdr>
            </w:div>
          </w:divsChild>
        </w:div>
        <w:div w:id="607543548">
          <w:marLeft w:val="0"/>
          <w:marRight w:val="0"/>
          <w:marTop w:val="0"/>
          <w:marBottom w:val="0"/>
          <w:divBdr>
            <w:top w:val="none" w:sz="0" w:space="0" w:color="auto"/>
            <w:left w:val="none" w:sz="0" w:space="0" w:color="auto"/>
            <w:bottom w:val="none" w:sz="0" w:space="0" w:color="auto"/>
            <w:right w:val="none" w:sz="0" w:space="0" w:color="auto"/>
          </w:divBdr>
          <w:divsChild>
            <w:div w:id="202063774">
              <w:marLeft w:val="0"/>
              <w:marRight w:val="0"/>
              <w:marTop w:val="0"/>
              <w:marBottom w:val="0"/>
              <w:divBdr>
                <w:top w:val="none" w:sz="0" w:space="0" w:color="auto"/>
                <w:left w:val="none" w:sz="0" w:space="0" w:color="auto"/>
                <w:bottom w:val="none" w:sz="0" w:space="0" w:color="auto"/>
                <w:right w:val="none" w:sz="0" w:space="0" w:color="auto"/>
              </w:divBdr>
            </w:div>
            <w:div w:id="1402142753">
              <w:marLeft w:val="0"/>
              <w:marRight w:val="0"/>
              <w:marTop w:val="0"/>
              <w:marBottom w:val="0"/>
              <w:divBdr>
                <w:top w:val="none" w:sz="0" w:space="0" w:color="auto"/>
                <w:left w:val="none" w:sz="0" w:space="0" w:color="auto"/>
                <w:bottom w:val="none" w:sz="0" w:space="0" w:color="auto"/>
                <w:right w:val="none" w:sz="0" w:space="0" w:color="auto"/>
              </w:divBdr>
            </w:div>
          </w:divsChild>
        </w:div>
        <w:div w:id="616521241">
          <w:marLeft w:val="0"/>
          <w:marRight w:val="0"/>
          <w:marTop w:val="0"/>
          <w:marBottom w:val="0"/>
          <w:divBdr>
            <w:top w:val="none" w:sz="0" w:space="0" w:color="auto"/>
            <w:left w:val="none" w:sz="0" w:space="0" w:color="auto"/>
            <w:bottom w:val="none" w:sz="0" w:space="0" w:color="auto"/>
            <w:right w:val="none" w:sz="0" w:space="0" w:color="auto"/>
          </w:divBdr>
          <w:divsChild>
            <w:div w:id="553082017">
              <w:marLeft w:val="0"/>
              <w:marRight w:val="0"/>
              <w:marTop w:val="0"/>
              <w:marBottom w:val="0"/>
              <w:divBdr>
                <w:top w:val="none" w:sz="0" w:space="0" w:color="auto"/>
                <w:left w:val="none" w:sz="0" w:space="0" w:color="auto"/>
                <w:bottom w:val="none" w:sz="0" w:space="0" w:color="auto"/>
                <w:right w:val="none" w:sz="0" w:space="0" w:color="auto"/>
              </w:divBdr>
            </w:div>
          </w:divsChild>
        </w:div>
        <w:div w:id="616570085">
          <w:marLeft w:val="0"/>
          <w:marRight w:val="0"/>
          <w:marTop w:val="0"/>
          <w:marBottom w:val="0"/>
          <w:divBdr>
            <w:top w:val="none" w:sz="0" w:space="0" w:color="auto"/>
            <w:left w:val="none" w:sz="0" w:space="0" w:color="auto"/>
            <w:bottom w:val="none" w:sz="0" w:space="0" w:color="auto"/>
            <w:right w:val="none" w:sz="0" w:space="0" w:color="auto"/>
          </w:divBdr>
          <w:divsChild>
            <w:div w:id="709643670">
              <w:marLeft w:val="0"/>
              <w:marRight w:val="0"/>
              <w:marTop w:val="0"/>
              <w:marBottom w:val="0"/>
              <w:divBdr>
                <w:top w:val="none" w:sz="0" w:space="0" w:color="auto"/>
                <w:left w:val="none" w:sz="0" w:space="0" w:color="auto"/>
                <w:bottom w:val="none" w:sz="0" w:space="0" w:color="auto"/>
                <w:right w:val="none" w:sz="0" w:space="0" w:color="auto"/>
              </w:divBdr>
            </w:div>
          </w:divsChild>
        </w:div>
        <w:div w:id="664019253">
          <w:marLeft w:val="0"/>
          <w:marRight w:val="0"/>
          <w:marTop w:val="0"/>
          <w:marBottom w:val="0"/>
          <w:divBdr>
            <w:top w:val="none" w:sz="0" w:space="0" w:color="auto"/>
            <w:left w:val="none" w:sz="0" w:space="0" w:color="auto"/>
            <w:bottom w:val="none" w:sz="0" w:space="0" w:color="auto"/>
            <w:right w:val="none" w:sz="0" w:space="0" w:color="auto"/>
          </w:divBdr>
          <w:divsChild>
            <w:div w:id="516623502">
              <w:marLeft w:val="0"/>
              <w:marRight w:val="0"/>
              <w:marTop w:val="0"/>
              <w:marBottom w:val="0"/>
              <w:divBdr>
                <w:top w:val="none" w:sz="0" w:space="0" w:color="auto"/>
                <w:left w:val="none" w:sz="0" w:space="0" w:color="auto"/>
                <w:bottom w:val="none" w:sz="0" w:space="0" w:color="auto"/>
                <w:right w:val="none" w:sz="0" w:space="0" w:color="auto"/>
              </w:divBdr>
            </w:div>
          </w:divsChild>
        </w:div>
        <w:div w:id="686836659">
          <w:marLeft w:val="0"/>
          <w:marRight w:val="0"/>
          <w:marTop w:val="0"/>
          <w:marBottom w:val="0"/>
          <w:divBdr>
            <w:top w:val="none" w:sz="0" w:space="0" w:color="auto"/>
            <w:left w:val="none" w:sz="0" w:space="0" w:color="auto"/>
            <w:bottom w:val="none" w:sz="0" w:space="0" w:color="auto"/>
            <w:right w:val="none" w:sz="0" w:space="0" w:color="auto"/>
          </w:divBdr>
          <w:divsChild>
            <w:div w:id="2042048897">
              <w:marLeft w:val="0"/>
              <w:marRight w:val="0"/>
              <w:marTop w:val="0"/>
              <w:marBottom w:val="0"/>
              <w:divBdr>
                <w:top w:val="none" w:sz="0" w:space="0" w:color="auto"/>
                <w:left w:val="none" w:sz="0" w:space="0" w:color="auto"/>
                <w:bottom w:val="none" w:sz="0" w:space="0" w:color="auto"/>
                <w:right w:val="none" w:sz="0" w:space="0" w:color="auto"/>
              </w:divBdr>
            </w:div>
          </w:divsChild>
        </w:div>
        <w:div w:id="699555627">
          <w:marLeft w:val="0"/>
          <w:marRight w:val="0"/>
          <w:marTop w:val="0"/>
          <w:marBottom w:val="0"/>
          <w:divBdr>
            <w:top w:val="none" w:sz="0" w:space="0" w:color="auto"/>
            <w:left w:val="none" w:sz="0" w:space="0" w:color="auto"/>
            <w:bottom w:val="none" w:sz="0" w:space="0" w:color="auto"/>
            <w:right w:val="none" w:sz="0" w:space="0" w:color="auto"/>
          </w:divBdr>
          <w:divsChild>
            <w:div w:id="1762287490">
              <w:marLeft w:val="0"/>
              <w:marRight w:val="0"/>
              <w:marTop w:val="0"/>
              <w:marBottom w:val="0"/>
              <w:divBdr>
                <w:top w:val="none" w:sz="0" w:space="0" w:color="auto"/>
                <w:left w:val="none" w:sz="0" w:space="0" w:color="auto"/>
                <w:bottom w:val="none" w:sz="0" w:space="0" w:color="auto"/>
                <w:right w:val="none" w:sz="0" w:space="0" w:color="auto"/>
              </w:divBdr>
            </w:div>
          </w:divsChild>
        </w:div>
        <w:div w:id="707995814">
          <w:marLeft w:val="0"/>
          <w:marRight w:val="0"/>
          <w:marTop w:val="0"/>
          <w:marBottom w:val="0"/>
          <w:divBdr>
            <w:top w:val="none" w:sz="0" w:space="0" w:color="auto"/>
            <w:left w:val="none" w:sz="0" w:space="0" w:color="auto"/>
            <w:bottom w:val="none" w:sz="0" w:space="0" w:color="auto"/>
            <w:right w:val="none" w:sz="0" w:space="0" w:color="auto"/>
          </w:divBdr>
          <w:divsChild>
            <w:div w:id="686520700">
              <w:marLeft w:val="0"/>
              <w:marRight w:val="0"/>
              <w:marTop w:val="0"/>
              <w:marBottom w:val="0"/>
              <w:divBdr>
                <w:top w:val="none" w:sz="0" w:space="0" w:color="auto"/>
                <w:left w:val="none" w:sz="0" w:space="0" w:color="auto"/>
                <w:bottom w:val="none" w:sz="0" w:space="0" w:color="auto"/>
                <w:right w:val="none" w:sz="0" w:space="0" w:color="auto"/>
              </w:divBdr>
            </w:div>
          </w:divsChild>
        </w:div>
        <w:div w:id="709646288">
          <w:marLeft w:val="0"/>
          <w:marRight w:val="0"/>
          <w:marTop w:val="0"/>
          <w:marBottom w:val="0"/>
          <w:divBdr>
            <w:top w:val="none" w:sz="0" w:space="0" w:color="auto"/>
            <w:left w:val="none" w:sz="0" w:space="0" w:color="auto"/>
            <w:bottom w:val="none" w:sz="0" w:space="0" w:color="auto"/>
            <w:right w:val="none" w:sz="0" w:space="0" w:color="auto"/>
          </w:divBdr>
          <w:divsChild>
            <w:div w:id="1806855183">
              <w:marLeft w:val="0"/>
              <w:marRight w:val="0"/>
              <w:marTop w:val="0"/>
              <w:marBottom w:val="0"/>
              <w:divBdr>
                <w:top w:val="none" w:sz="0" w:space="0" w:color="auto"/>
                <w:left w:val="none" w:sz="0" w:space="0" w:color="auto"/>
                <w:bottom w:val="none" w:sz="0" w:space="0" w:color="auto"/>
                <w:right w:val="none" w:sz="0" w:space="0" w:color="auto"/>
              </w:divBdr>
            </w:div>
          </w:divsChild>
        </w:div>
        <w:div w:id="744183309">
          <w:marLeft w:val="0"/>
          <w:marRight w:val="0"/>
          <w:marTop w:val="0"/>
          <w:marBottom w:val="0"/>
          <w:divBdr>
            <w:top w:val="none" w:sz="0" w:space="0" w:color="auto"/>
            <w:left w:val="none" w:sz="0" w:space="0" w:color="auto"/>
            <w:bottom w:val="none" w:sz="0" w:space="0" w:color="auto"/>
            <w:right w:val="none" w:sz="0" w:space="0" w:color="auto"/>
          </w:divBdr>
          <w:divsChild>
            <w:div w:id="1314604548">
              <w:marLeft w:val="0"/>
              <w:marRight w:val="0"/>
              <w:marTop w:val="0"/>
              <w:marBottom w:val="0"/>
              <w:divBdr>
                <w:top w:val="none" w:sz="0" w:space="0" w:color="auto"/>
                <w:left w:val="none" w:sz="0" w:space="0" w:color="auto"/>
                <w:bottom w:val="none" w:sz="0" w:space="0" w:color="auto"/>
                <w:right w:val="none" w:sz="0" w:space="0" w:color="auto"/>
              </w:divBdr>
            </w:div>
          </w:divsChild>
        </w:div>
        <w:div w:id="824516896">
          <w:marLeft w:val="0"/>
          <w:marRight w:val="0"/>
          <w:marTop w:val="0"/>
          <w:marBottom w:val="0"/>
          <w:divBdr>
            <w:top w:val="none" w:sz="0" w:space="0" w:color="auto"/>
            <w:left w:val="none" w:sz="0" w:space="0" w:color="auto"/>
            <w:bottom w:val="none" w:sz="0" w:space="0" w:color="auto"/>
            <w:right w:val="none" w:sz="0" w:space="0" w:color="auto"/>
          </w:divBdr>
          <w:divsChild>
            <w:div w:id="227346170">
              <w:marLeft w:val="0"/>
              <w:marRight w:val="0"/>
              <w:marTop w:val="0"/>
              <w:marBottom w:val="0"/>
              <w:divBdr>
                <w:top w:val="none" w:sz="0" w:space="0" w:color="auto"/>
                <w:left w:val="none" w:sz="0" w:space="0" w:color="auto"/>
                <w:bottom w:val="none" w:sz="0" w:space="0" w:color="auto"/>
                <w:right w:val="none" w:sz="0" w:space="0" w:color="auto"/>
              </w:divBdr>
            </w:div>
          </w:divsChild>
        </w:div>
        <w:div w:id="907106978">
          <w:marLeft w:val="0"/>
          <w:marRight w:val="0"/>
          <w:marTop w:val="0"/>
          <w:marBottom w:val="0"/>
          <w:divBdr>
            <w:top w:val="none" w:sz="0" w:space="0" w:color="auto"/>
            <w:left w:val="none" w:sz="0" w:space="0" w:color="auto"/>
            <w:bottom w:val="none" w:sz="0" w:space="0" w:color="auto"/>
            <w:right w:val="none" w:sz="0" w:space="0" w:color="auto"/>
          </w:divBdr>
          <w:divsChild>
            <w:div w:id="512497844">
              <w:marLeft w:val="0"/>
              <w:marRight w:val="0"/>
              <w:marTop w:val="0"/>
              <w:marBottom w:val="0"/>
              <w:divBdr>
                <w:top w:val="none" w:sz="0" w:space="0" w:color="auto"/>
                <w:left w:val="none" w:sz="0" w:space="0" w:color="auto"/>
                <w:bottom w:val="none" w:sz="0" w:space="0" w:color="auto"/>
                <w:right w:val="none" w:sz="0" w:space="0" w:color="auto"/>
              </w:divBdr>
            </w:div>
          </w:divsChild>
        </w:div>
        <w:div w:id="934820771">
          <w:marLeft w:val="0"/>
          <w:marRight w:val="0"/>
          <w:marTop w:val="0"/>
          <w:marBottom w:val="0"/>
          <w:divBdr>
            <w:top w:val="none" w:sz="0" w:space="0" w:color="auto"/>
            <w:left w:val="none" w:sz="0" w:space="0" w:color="auto"/>
            <w:bottom w:val="none" w:sz="0" w:space="0" w:color="auto"/>
            <w:right w:val="none" w:sz="0" w:space="0" w:color="auto"/>
          </w:divBdr>
          <w:divsChild>
            <w:div w:id="1412510568">
              <w:marLeft w:val="0"/>
              <w:marRight w:val="0"/>
              <w:marTop w:val="0"/>
              <w:marBottom w:val="0"/>
              <w:divBdr>
                <w:top w:val="none" w:sz="0" w:space="0" w:color="auto"/>
                <w:left w:val="none" w:sz="0" w:space="0" w:color="auto"/>
                <w:bottom w:val="none" w:sz="0" w:space="0" w:color="auto"/>
                <w:right w:val="none" w:sz="0" w:space="0" w:color="auto"/>
              </w:divBdr>
            </w:div>
          </w:divsChild>
        </w:div>
        <w:div w:id="1039625792">
          <w:marLeft w:val="0"/>
          <w:marRight w:val="0"/>
          <w:marTop w:val="0"/>
          <w:marBottom w:val="0"/>
          <w:divBdr>
            <w:top w:val="none" w:sz="0" w:space="0" w:color="auto"/>
            <w:left w:val="none" w:sz="0" w:space="0" w:color="auto"/>
            <w:bottom w:val="none" w:sz="0" w:space="0" w:color="auto"/>
            <w:right w:val="none" w:sz="0" w:space="0" w:color="auto"/>
          </w:divBdr>
          <w:divsChild>
            <w:div w:id="1140732569">
              <w:marLeft w:val="0"/>
              <w:marRight w:val="0"/>
              <w:marTop w:val="0"/>
              <w:marBottom w:val="0"/>
              <w:divBdr>
                <w:top w:val="none" w:sz="0" w:space="0" w:color="auto"/>
                <w:left w:val="none" w:sz="0" w:space="0" w:color="auto"/>
                <w:bottom w:val="none" w:sz="0" w:space="0" w:color="auto"/>
                <w:right w:val="none" w:sz="0" w:space="0" w:color="auto"/>
              </w:divBdr>
            </w:div>
          </w:divsChild>
        </w:div>
        <w:div w:id="1110050480">
          <w:marLeft w:val="0"/>
          <w:marRight w:val="0"/>
          <w:marTop w:val="0"/>
          <w:marBottom w:val="0"/>
          <w:divBdr>
            <w:top w:val="none" w:sz="0" w:space="0" w:color="auto"/>
            <w:left w:val="none" w:sz="0" w:space="0" w:color="auto"/>
            <w:bottom w:val="none" w:sz="0" w:space="0" w:color="auto"/>
            <w:right w:val="none" w:sz="0" w:space="0" w:color="auto"/>
          </w:divBdr>
          <w:divsChild>
            <w:div w:id="2039773461">
              <w:marLeft w:val="0"/>
              <w:marRight w:val="0"/>
              <w:marTop w:val="0"/>
              <w:marBottom w:val="0"/>
              <w:divBdr>
                <w:top w:val="none" w:sz="0" w:space="0" w:color="auto"/>
                <w:left w:val="none" w:sz="0" w:space="0" w:color="auto"/>
                <w:bottom w:val="none" w:sz="0" w:space="0" w:color="auto"/>
                <w:right w:val="none" w:sz="0" w:space="0" w:color="auto"/>
              </w:divBdr>
            </w:div>
          </w:divsChild>
        </w:div>
        <w:div w:id="1130779607">
          <w:marLeft w:val="0"/>
          <w:marRight w:val="0"/>
          <w:marTop w:val="0"/>
          <w:marBottom w:val="0"/>
          <w:divBdr>
            <w:top w:val="none" w:sz="0" w:space="0" w:color="auto"/>
            <w:left w:val="none" w:sz="0" w:space="0" w:color="auto"/>
            <w:bottom w:val="none" w:sz="0" w:space="0" w:color="auto"/>
            <w:right w:val="none" w:sz="0" w:space="0" w:color="auto"/>
          </w:divBdr>
          <w:divsChild>
            <w:div w:id="252860380">
              <w:marLeft w:val="0"/>
              <w:marRight w:val="0"/>
              <w:marTop w:val="0"/>
              <w:marBottom w:val="0"/>
              <w:divBdr>
                <w:top w:val="none" w:sz="0" w:space="0" w:color="auto"/>
                <w:left w:val="none" w:sz="0" w:space="0" w:color="auto"/>
                <w:bottom w:val="none" w:sz="0" w:space="0" w:color="auto"/>
                <w:right w:val="none" w:sz="0" w:space="0" w:color="auto"/>
              </w:divBdr>
            </w:div>
          </w:divsChild>
        </w:div>
        <w:div w:id="1163660501">
          <w:marLeft w:val="0"/>
          <w:marRight w:val="0"/>
          <w:marTop w:val="0"/>
          <w:marBottom w:val="0"/>
          <w:divBdr>
            <w:top w:val="none" w:sz="0" w:space="0" w:color="auto"/>
            <w:left w:val="none" w:sz="0" w:space="0" w:color="auto"/>
            <w:bottom w:val="none" w:sz="0" w:space="0" w:color="auto"/>
            <w:right w:val="none" w:sz="0" w:space="0" w:color="auto"/>
          </w:divBdr>
          <w:divsChild>
            <w:div w:id="151458605">
              <w:marLeft w:val="0"/>
              <w:marRight w:val="0"/>
              <w:marTop w:val="0"/>
              <w:marBottom w:val="0"/>
              <w:divBdr>
                <w:top w:val="none" w:sz="0" w:space="0" w:color="auto"/>
                <w:left w:val="none" w:sz="0" w:space="0" w:color="auto"/>
                <w:bottom w:val="none" w:sz="0" w:space="0" w:color="auto"/>
                <w:right w:val="none" w:sz="0" w:space="0" w:color="auto"/>
              </w:divBdr>
            </w:div>
          </w:divsChild>
        </w:div>
        <w:div w:id="1190334361">
          <w:marLeft w:val="0"/>
          <w:marRight w:val="0"/>
          <w:marTop w:val="0"/>
          <w:marBottom w:val="0"/>
          <w:divBdr>
            <w:top w:val="none" w:sz="0" w:space="0" w:color="auto"/>
            <w:left w:val="none" w:sz="0" w:space="0" w:color="auto"/>
            <w:bottom w:val="none" w:sz="0" w:space="0" w:color="auto"/>
            <w:right w:val="none" w:sz="0" w:space="0" w:color="auto"/>
          </w:divBdr>
          <w:divsChild>
            <w:div w:id="609748344">
              <w:marLeft w:val="0"/>
              <w:marRight w:val="0"/>
              <w:marTop w:val="0"/>
              <w:marBottom w:val="0"/>
              <w:divBdr>
                <w:top w:val="none" w:sz="0" w:space="0" w:color="auto"/>
                <w:left w:val="none" w:sz="0" w:space="0" w:color="auto"/>
                <w:bottom w:val="none" w:sz="0" w:space="0" w:color="auto"/>
                <w:right w:val="none" w:sz="0" w:space="0" w:color="auto"/>
              </w:divBdr>
            </w:div>
          </w:divsChild>
        </w:div>
        <w:div w:id="1235124208">
          <w:marLeft w:val="0"/>
          <w:marRight w:val="0"/>
          <w:marTop w:val="0"/>
          <w:marBottom w:val="0"/>
          <w:divBdr>
            <w:top w:val="none" w:sz="0" w:space="0" w:color="auto"/>
            <w:left w:val="none" w:sz="0" w:space="0" w:color="auto"/>
            <w:bottom w:val="none" w:sz="0" w:space="0" w:color="auto"/>
            <w:right w:val="none" w:sz="0" w:space="0" w:color="auto"/>
          </w:divBdr>
          <w:divsChild>
            <w:div w:id="769206597">
              <w:marLeft w:val="0"/>
              <w:marRight w:val="0"/>
              <w:marTop w:val="0"/>
              <w:marBottom w:val="0"/>
              <w:divBdr>
                <w:top w:val="none" w:sz="0" w:space="0" w:color="auto"/>
                <w:left w:val="none" w:sz="0" w:space="0" w:color="auto"/>
                <w:bottom w:val="none" w:sz="0" w:space="0" w:color="auto"/>
                <w:right w:val="none" w:sz="0" w:space="0" w:color="auto"/>
              </w:divBdr>
            </w:div>
          </w:divsChild>
        </w:div>
        <w:div w:id="1260405953">
          <w:marLeft w:val="0"/>
          <w:marRight w:val="0"/>
          <w:marTop w:val="0"/>
          <w:marBottom w:val="0"/>
          <w:divBdr>
            <w:top w:val="none" w:sz="0" w:space="0" w:color="auto"/>
            <w:left w:val="none" w:sz="0" w:space="0" w:color="auto"/>
            <w:bottom w:val="none" w:sz="0" w:space="0" w:color="auto"/>
            <w:right w:val="none" w:sz="0" w:space="0" w:color="auto"/>
          </w:divBdr>
          <w:divsChild>
            <w:div w:id="413867629">
              <w:marLeft w:val="0"/>
              <w:marRight w:val="0"/>
              <w:marTop w:val="0"/>
              <w:marBottom w:val="0"/>
              <w:divBdr>
                <w:top w:val="none" w:sz="0" w:space="0" w:color="auto"/>
                <w:left w:val="none" w:sz="0" w:space="0" w:color="auto"/>
                <w:bottom w:val="none" w:sz="0" w:space="0" w:color="auto"/>
                <w:right w:val="none" w:sz="0" w:space="0" w:color="auto"/>
              </w:divBdr>
            </w:div>
          </w:divsChild>
        </w:div>
        <w:div w:id="1269851782">
          <w:marLeft w:val="0"/>
          <w:marRight w:val="0"/>
          <w:marTop w:val="0"/>
          <w:marBottom w:val="0"/>
          <w:divBdr>
            <w:top w:val="none" w:sz="0" w:space="0" w:color="auto"/>
            <w:left w:val="none" w:sz="0" w:space="0" w:color="auto"/>
            <w:bottom w:val="none" w:sz="0" w:space="0" w:color="auto"/>
            <w:right w:val="none" w:sz="0" w:space="0" w:color="auto"/>
          </w:divBdr>
          <w:divsChild>
            <w:div w:id="342783143">
              <w:marLeft w:val="0"/>
              <w:marRight w:val="0"/>
              <w:marTop w:val="0"/>
              <w:marBottom w:val="0"/>
              <w:divBdr>
                <w:top w:val="none" w:sz="0" w:space="0" w:color="auto"/>
                <w:left w:val="none" w:sz="0" w:space="0" w:color="auto"/>
                <w:bottom w:val="none" w:sz="0" w:space="0" w:color="auto"/>
                <w:right w:val="none" w:sz="0" w:space="0" w:color="auto"/>
              </w:divBdr>
            </w:div>
          </w:divsChild>
        </w:div>
        <w:div w:id="1273393054">
          <w:marLeft w:val="0"/>
          <w:marRight w:val="0"/>
          <w:marTop w:val="0"/>
          <w:marBottom w:val="0"/>
          <w:divBdr>
            <w:top w:val="none" w:sz="0" w:space="0" w:color="auto"/>
            <w:left w:val="none" w:sz="0" w:space="0" w:color="auto"/>
            <w:bottom w:val="none" w:sz="0" w:space="0" w:color="auto"/>
            <w:right w:val="none" w:sz="0" w:space="0" w:color="auto"/>
          </w:divBdr>
          <w:divsChild>
            <w:div w:id="2079590633">
              <w:marLeft w:val="0"/>
              <w:marRight w:val="0"/>
              <w:marTop w:val="0"/>
              <w:marBottom w:val="0"/>
              <w:divBdr>
                <w:top w:val="none" w:sz="0" w:space="0" w:color="auto"/>
                <w:left w:val="none" w:sz="0" w:space="0" w:color="auto"/>
                <w:bottom w:val="none" w:sz="0" w:space="0" w:color="auto"/>
                <w:right w:val="none" w:sz="0" w:space="0" w:color="auto"/>
              </w:divBdr>
            </w:div>
          </w:divsChild>
        </w:div>
        <w:div w:id="1278563818">
          <w:marLeft w:val="0"/>
          <w:marRight w:val="0"/>
          <w:marTop w:val="0"/>
          <w:marBottom w:val="0"/>
          <w:divBdr>
            <w:top w:val="none" w:sz="0" w:space="0" w:color="auto"/>
            <w:left w:val="none" w:sz="0" w:space="0" w:color="auto"/>
            <w:bottom w:val="none" w:sz="0" w:space="0" w:color="auto"/>
            <w:right w:val="none" w:sz="0" w:space="0" w:color="auto"/>
          </w:divBdr>
          <w:divsChild>
            <w:div w:id="691685086">
              <w:marLeft w:val="0"/>
              <w:marRight w:val="0"/>
              <w:marTop w:val="0"/>
              <w:marBottom w:val="0"/>
              <w:divBdr>
                <w:top w:val="none" w:sz="0" w:space="0" w:color="auto"/>
                <w:left w:val="none" w:sz="0" w:space="0" w:color="auto"/>
                <w:bottom w:val="none" w:sz="0" w:space="0" w:color="auto"/>
                <w:right w:val="none" w:sz="0" w:space="0" w:color="auto"/>
              </w:divBdr>
            </w:div>
          </w:divsChild>
        </w:div>
        <w:div w:id="1293293420">
          <w:marLeft w:val="0"/>
          <w:marRight w:val="0"/>
          <w:marTop w:val="0"/>
          <w:marBottom w:val="0"/>
          <w:divBdr>
            <w:top w:val="none" w:sz="0" w:space="0" w:color="auto"/>
            <w:left w:val="none" w:sz="0" w:space="0" w:color="auto"/>
            <w:bottom w:val="none" w:sz="0" w:space="0" w:color="auto"/>
            <w:right w:val="none" w:sz="0" w:space="0" w:color="auto"/>
          </w:divBdr>
          <w:divsChild>
            <w:div w:id="309867702">
              <w:marLeft w:val="0"/>
              <w:marRight w:val="0"/>
              <w:marTop w:val="0"/>
              <w:marBottom w:val="0"/>
              <w:divBdr>
                <w:top w:val="none" w:sz="0" w:space="0" w:color="auto"/>
                <w:left w:val="none" w:sz="0" w:space="0" w:color="auto"/>
                <w:bottom w:val="none" w:sz="0" w:space="0" w:color="auto"/>
                <w:right w:val="none" w:sz="0" w:space="0" w:color="auto"/>
              </w:divBdr>
            </w:div>
          </w:divsChild>
        </w:div>
        <w:div w:id="1294094754">
          <w:marLeft w:val="0"/>
          <w:marRight w:val="0"/>
          <w:marTop w:val="0"/>
          <w:marBottom w:val="0"/>
          <w:divBdr>
            <w:top w:val="none" w:sz="0" w:space="0" w:color="auto"/>
            <w:left w:val="none" w:sz="0" w:space="0" w:color="auto"/>
            <w:bottom w:val="none" w:sz="0" w:space="0" w:color="auto"/>
            <w:right w:val="none" w:sz="0" w:space="0" w:color="auto"/>
          </w:divBdr>
          <w:divsChild>
            <w:div w:id="233979116">
              <w:marLeft w:val="0"/>
              <w:marRight w:val="0"/>
              <w:marTop w:val="0"/>
              <w:marBottom w:val="0"/>
              <w:divBdr>
                <w:top w:val="none" w:sz="0" w:space="0" w:color="auto"/>
                <w:left w:val="none" w:sz="0" w:space="0" w:color="auto"/>
                <w:bottom w:val="none" w:sz="0" w:space="0" w:color="auto"/>
                <w:right w:val="none" w:sz="0" w:space="0" w:color="auto"/>
              </w:divBdr>
            </w:div>
          </w:divsChild>
        </w:div>
        <w:div w:id="1346325233">
          <w:marLeft w:val="0"/>
          <w:marRight w:val="0"/>
          <w:marTop w:val="0"/>
          <w:marBottom w:val="0"/>
          <w:divBdr>
            <w:top w:val="none" w:sz="0" w:space="0" w:color="auto"/>
            <w:left w:val="none" w:sz="0" w:space="0" w:color="auto"/>
            <w:bottom w:val="none" w:sz="0" w:space="0" w:color="auto"/>
            <w:right w:val="none" w:sz="0" w:space="0" w:color="auto"/>
          </w:divBdr>
          <w:divsChild>
            <w:div w:id="1174877550">
              <w:marLeft w:val="0"/>
              <w:marRight w:val="0"/>
              <w:marTop w:val="0"/>
              <w:marBottom w:val="0"/>
              <w:divBdr>
                <w:top w:val="none" w:sz="0" w:space="0" w:color="auto"/>
                <w:left w:val="none" w:sz="0" w:space="0" w:color="auto"/>
                <w:bottom w:val="none" w:sz="0" w:space="0" w:color="auto"/>
                <w:right w:val="none" w:sz="0" w:space="0" w:color="auto"/>
              </w:divBdr>
            </w:div>
          </w:divsChild>
        </w:div>
        <w:div w:id="1444420375">
          <w:marLeft w:val="0"/>
          <w:marRight w:val="0"/>
          <w:marTop w:val="0"/>
          <w:marBottom w:val="0"/>
          <w:divBdr>
            <w:top w:val="none" w:sz="0" w:space="0" w:color="auto"/>
            <w:left w:val="none" w:sz="0" w:space="0" w:color="auto"/>
            <w:bottom w:val="none" w:sz="0" w:space="0" w:color="auto"/>
            <w:right w:val="none" w:sz="0" w:space="0" w:color="auto"/>
          </w:divBdr>
          <w:divsChild>
            <w:div w:id="401178248">
              <w:marLeft w:val="0"/>
              <w:marRight w:val="0"/>
              <w:marTop w:val="0"/>
              <w:marBottom w:val="0"/>
              <w:divBdr>
                <w:top w:val="none" w:sz="0" w:space="0" w:color="auto"/>
                <w:left w:val="none" w:sz="0" w:space="0" w:color="auto"/>
                <w:bottom w:val="none" w:sz="0" w:space="0" w:color="auto"/>
                <w:right w:val="none" w:sz="0" w:space="0" w:color="auto"/>
              </w:divBdr>
            </w:div>
          </w:divsChild>
        </w:div>
        <w:div w:id="1509828432">
          <w:marLeft w:val="0"/>
          <w:marRight w:val="0"/>
          <w:marTop w:val="0"/>
          <w:marBottom w:val="0"/>
          <w:divBdr>
            <w:top w:val="none" w:sz="0" w:space="0" w:color="auto"/>
            <w:left w:val="none" w:sz="0" w:space="0" w:color="auto"/>
            <w:bottom w:val="none" w:sz="0" w:space="0" w:color="auto"/>
            <w:right w:val="none" w:sz="0" w:space="0" w:color="auto"/>
          </w:divBdr>
          <w:divsChild>
            <w:div w:id="1100417153">
              <w:marLeft w:val="0"/>
              <w:marRight w:val="0"/>
              <w:marTop w:val="0"/>
              <w:marBottom w:val="0"/>
              <w:divBdr>
                <w:top w:val="none" w:sz="0" w:space="0" w:color="auto"/>
                <w:left w:val="none" w:sz="0" w:space="0" w:color="auto"/>
                <w:bottom w:val="none" w:sz="0" w:space="0" w:color="auto"/>
                <w:right w:val="none" w:sz="0" w:space="0" w:color="auto"/>
              </w:divBdr>
            </w:div>
          </w:divsChild>
        </w:div>
        <w:div w:id="1574658145">
          <w:marLeft w:val="0"/>
          <w:marRight w:val="0"/>
          <w:marTop w:val="0"/>
          <w:marBottom w:val="0"/>
          <w:divBdr>
            <w:top w:val="none" w:sz="0" w:space="0" w:color="auto"/>
            <w:left w:val="none" w:sz="0" w:space="0" w:color="auto"/>
            <w:bottom w:val="none" w:sz="0" w:space="0" w:color="auto"/>
            <w:right w:val="none" w:sz="0" w:space="0" w:color="auto"/>
          </w:divBdr>
          <w:divsChild>
            <w:div w:id="1378357975">
              <w:marLeft w:val="0"/>
              <w:marRight w:val="0"/>
              <w:marTop w:val="0"/>
              <w:marBottom w:val="0"/>
              <w:divBdr>
                <w:top w:val="none" w:sz="0" w:space="0" w:color="auto"/>
                <w:left w:val="none" w:sz="0" w:space="0" w:color="auto"/>
                <w:bottom w:val="none" w:sz="0" w:space="0" w:color="auto"/>
                <w:right w:val="none" w:sz="0" w:space="0" w:color="auto"/>
              </w:divBdr>
            </w:div>
          </w:divsChild>
        </w:div>
        <w:div w:id="1689212951">
          <w:marLeft w:val="0"/>
          <w:marRight w:val="0"/>
          <w:marTop w:val="0"/>
          <w:marBottom w:val="0"/>
          <w:divBdr>
            <w:top w:val="none" w:sz="0" w:space="0" w:color="auto"/>
            <w:left w:val="none" w:sz="0" w:space="0" w:color="auto"/>
            <w:bottom w:val="none" w:sz="0" w:space="0" w:color="auto"/>
            <w:right w:val="none" w:sz="0" w:space="0" w:color="auto"/>
          </w:divBdr>
          <w:divsChild>
            <w:div w:id="1862936635">
              <w:marLeft w:val="0"/>
              <w:marRight w:val="0"/>
              <w:marTop w:val="0"/>
              <w:marBottom w:val="0"/>
              <w:divBdr>
                <w:top w:val="none" w:sz="0" w:space="0" w:color="auto"/>
                <w:left w:val="none" w:sz="0" w:space="0" w:color="auto"/>
                <w:bottom w:val="none" w:sz="0" w:space="0" w:color="auto"/>
                <w:right w:val="none" w:sz="0" w:space="0" w:color="auto"/>
              </w:divBdr>
            </w:div>
            <w:div w:id="2111313677">
              <w:marLeft w:val="0"/>
              <w:marRight w:val="0"/>
              <w:marTop w:val="0"/>
              <w:marBottom w:val="0"/>
              <w:divBdr>
                <w:top w:val="none" w:sz="0" w:space="0" w:color="auto"/>
                <w:left w:val="none" w:sz="0" w:space="0" w:color="auto"/>
                <w:bottom w:val="none" w:sz="0" w:space="0" w:color="auto"/>
                <w:right w:val="none" w:sz="0" w:space="0" w:color="auto"/>
              </w:divBdr>
            </w:div>
          </w:divsChild>
        </w:div>
        <w:div w:id="1694332744">
          <w:marLeft w:val="0"/>
          <w:marRight w:val="0"/>
          <w:marTop w:val="0"/>
          <w:marBottom w:val="0"/>
          <w:divBdr>
            <w:top w:val="none" w:sz="0" w:space="0" w:color="auto"/>
            <w:left w:val="none" w:sz="0" w:space="0" w:color="auto"/>
            <w:bottom w:val="none" w:sz="0" w:space="0" w:color="auto"/>
            <w:right w:val="none" w:sz="0" w:space="0" w:color="auto"/>
          </w:divBdr>
          <w:divsChild>
            <w:div w:id="1551376085">
              <w:marLeft w:val="0"/>
              <w:marRight w:val="0"/>
              <w:marTop w:val="0"/>
              <w:marBottom w:val="0"/>
              <w:divBdr>
                <w:top w:val="none" w:sz="0" w:space="0" w:color="auto"/>
                <w:left w:val="none" w:sz="0" w:space="0" w:color="auto"/>
                <w:bottom w:val="none" w:sz="0" w:space="0" w:color="auto"/>
                <w:right w:val="none" w:sz="0" w:space="0" w:color="auto"/>
              </w:divBdr>
            </w:div>
          </w:divsChild>
        </w:div>
        <w:div w:id="1736775001">
          <w:marLeft w:val="0"/>
          <w:marRight w:val="0"/>
          <w:marTop w:val="0"/>
          <w:marBottom w:val="0"/>
          <w:divBdr>
            <w:top w:val="none" w:sz="0" w:space="0" w:color="auto"/>
            <w:left w:val="none" w:sz="0" w:space="0" w:color="auto"/>
            <w:bottom w:val="none" w:sz="0" w:space="0" w:color="auto"/>
            <w:right w:val="none" w:sz="0" w:space="0" w:color="auto"/>
          </w:divBdr>
          <w:divsChild>
            <w:div w:id="897130267">
              <w:marLeft w:val="0"/>
              <w:marRight w:val="0"/>
              <w:marTop w:val="0"/>
              <w:marBottom w:val="0"/>
              <w:divBdr>
                <w:top w:val="none" w:sz="0" w:space="0" w:color="auto"/>
                <w:left w:val="none" w:sz="0" w:space="0" w:color="auto"/>
                <w:bottom w:val="none" w:sz="0" w:space="0" w:color="auto"/>
                <w:right w:val="none" w:sz="0" w:space="0" w:color="auto"/>
              </w:divBdr>
            </w:div>
          </w:divsChild>
        </w:div>
        <w:div w:id="1818376261">
          <w:marLeft w:val="0"/>
          <w:marRight w:val="0"/>
          <w:marTop w:val="0"/>
          <w:marBottom w:val="0"/>
          <w:divBdr>
            <w:top w:val="none" w:sz="0" w:space="0" w:color="auto"/>
            <w:left w:val="none" w:sz="0" w:space="0" w:color="auto"/>
            <w:bottom w:val="none" w:sz="0" w:space="0" w:color="auto"/>
            <w:right w:val="none" w:sz="0" w:space="0" w:color="auto"/>
          </w:divBdr>
          <w:divsChild>
            <w:div w:id="1885560418">
              <w:marLeft w:val="0"/>
              <w:marRight w:val="0"/>
              <w:marTop w:val="0"/>
              <w:marBottom w:val="0"/>
              <w:divBdr>
                <w:top w:val="none" w:sz="0" w:space="0" w:color="auto"/>
                <w:left w:val="none" w:sz="0" w:space="0" w:color="auto"/>
                <w:bottom w:val="none" w:sz="0" w:space="0" w:color="auto"/>
                <w:right w:val="none" w:sz="0" w:space="0" w:color="auto"/>
              </w:divBdr>
            </w:div>
          </w:divsChild>
        </w:div>
        <w:div w:id="1886601920">
          <w:marLeft w:val="0"/>
          <w:marRight w:val="0"/>
          <w:marTop w:val="0"/>
          <w:marBottom w:val="0"/>
          <w:divBdr>
            <w:top w:val="none" w:sz="0" w:space="0" w:color="auto"/>
            <w:left w:val="none" w:sz="0" w:space="0" w:color="auto"/>
            <w:bottom w:val="none" w:sz="0" w:space="0" w:color="auto"/>
            <w:right w:val="none" w:sz="0" w:space="0" w:color="auto"/>
          </w:divBdr>
          <w:divsChild>
            <w:div w:id="1889413369">
              <w:marLeft w:val="0"/>
              <w:marRight w:val="0"/>
              <w:marTop w:val="0"/>
              <w:marBottom w:val="0"/>
              <w:divBdr>
                <w:top w:val="none" w:sz="0" w:space="0" w:color="auto"/>
                <w:left w:val="none" w:sz="0" w:space="0" w:color="auto"/>
                <w:bottom w:val="none" w:sz="0" w:space="0" w:color="auto"/>
                <w:right w:val="none" w:sz="0" w:space="0" w:color="auto"/>
              </w:divBdr>
            </w:div>
          </w:divsChild>
        </w:div>
        <w:div w:id="1897203379">
          <w:marLeft w:val="0"/>
          <w:marRight w:val="0"/>
          <w:marTop w:val="0"/>
          <w:marBottom w:val="0"/>
          <w:divBdr>
            <w:top w:val="none" w:sz="0" w:space="0" w:color="auto"/>
            <w:left w:val="none" w:sz="0" w:space="0" w:color="auto"/>
            <w:bottom w:val="none" w:sz="0" w:space="0" w:color="auto"/>
            <w:right w:val="none" w:sz="0" w:space="0" w:color="auto"/>
          </w:divBdr>
          <w:divsChild>
            <w:div w:id="1134636522">
              <w:marLeft w:val="0"/>
              <w:marRight w:val="0"/>
              <w:marTop w:val="0"/>
              <w:marBottom w:val="0"/>
              <w:divBdr>
                <w:top w:val="none" w:sz="0" w:space="0" w:color="auto"/>
                <w:left w:val="none" w:sz="0" w:space="0" w:color="auto"/>
                <w:bottom w:val="none" w:sz="0" w:space="0" w:color="auto"/>
                <w:right w:val="none" w:sz="0" w:space="0" w:color="auto"/>
              </w:divBdr>
            </w:div>
          </w:divsChild>
        </w:div>
        <w:div w:id="1902599209">
          <w:marLeft w:val="0"/>
          <w:marRight w:val="0"/>
          <w:marTop w:val="0"/>
          <w:marBottom w:val="0"/>
          <w:divBdr>
            <w:top w:val="none" w:sz="0" w:space="0" w:color="auto"/>
            <w:left w:val="none" w:sz="0" w:space="0" w:color="auto"/>
            <w:bottom w:val="none" w:sz="0" w:space="0" w:color="auto"/>
            <w:right w:val="none" w:sz="0" w:space="0" w:color="auto"/>
          </w:divBdr>
          <w:divsChild>
            <w:div w:id="1360357826">
              <w:marLeft w:val="0"/>
              <w:marRight w:val="0"/>
              <w:marTop w:val="0"/>
              <w:marBottom w:val="0"/>
              <w:divBdr>
                <w:top w:val="none" w:sz="0" w:space="0" w:color="auto"/>
                <w:left w:val="none" w:sz="0" w:space="0" w:color="auto"/>
                <w:bottom w:val="none" w:sz="0" w:space="0" w:color="auto"/>
                <w:right w:val="none" w:sz="0" w:space="0" w:color="auto"/>
              </w:divBdr>
            </w:div>
          </w:divsChild>
        </w:div>
        <w:div w:id="1905095473">
          <w:marLeft w:val="0"/>
          <w:marRight w:val="0"/>
          <w:marTop w:val="0"/>
          <w:marBottom w:val="0"/>
          <w:divBdr>
            <w:top w:val="none" w:sz="0" w:space="0" w:color="auto"/>
            <w:left w:val="none" w:sz="0" w:space="0" w:color="auto"/>
            <w:bottom w:val="none" w:sz="0" w:space="0" w:color="auto"/>
            <w:right w:val="none" w:sz="0" w:space="0" w:color="auto"/>
          </w:divBdr>
          <w:divsChild>
            <w:div w:id="1413621315">
              <w:marLeft w:val="0"/>
              <w:marRight w:val="0"/>
              <w:marTop w:val="0"/>
              <w:marBottom w:val="0"/>
              <w:divBdr>
                <w:top w:val="none" w:sz="0" w:space="0" w:color="auto"/>
                <w:left w:val="none" w:sz="0" w:space="0" w:color="auto"/>
                <w:bottom w:val="none" w:sz="0" w:space="0" w:color="auto"/>
                <w:right w:val="none" w:sz="0" w:space="0" w:color="auto"/>
              </w:divBdr>
            </w:div>
            <w:div w:id="1494950183">
              <w:marLeft w:val="0"/>
              <w:marRight w:val="0"/>
              <w:marTop w:val="0"/>
              <w:marBottom w:val="0"/>
              <w:divBdr>
                <w:top w:val="none" w:sz="0" w:space="0" w:color="auto"/>
                <w:left w:val="none" w:sz="0" w:space="0" w:color="auto"/>
                <w:bottom w:val="none" w:sz="0" w:space="0" w:color="auto"/>
                <w:right w:val="none" w:sz="0" w:space="0" w:color="auto"/>
              </w:divBdr>
            </w:div>
          </w:divsChild>
        </w:div>
        <w:div w:id="1919706877">
          <w:marLeft w:val="0"/>
          <w:marRight w:val="0"/>
          <w:marTop w:val="0"/>
          <w:marBottom w:val="0"/>
          <w:divBdr>
            <w:top w:val="none" w:sz="0" w:space="0" w:color="auto"/>
            <w:left w:val="none" w:sz="0" w:space="0" w:color="auto"/>
            <w:bottom w:val="none" w:sz="0" w:space="0" w:color="auto"/>
            <w:right w:val="none" w:sz="0" w:space="0" w:color="auto"/>
          </w:divBdr>
          <w:divsChild>
            <w:div w:id="1914702114">
              <w:marLeft w:val="0"/>
              <w:marRight w:val="0"/>
              <w:marTop w:val="0"/>
              <w:marBottom w:val="0"/>
              <w:divBdr>
                <w:top w:val="none" w:sz="0" w:space="0" w:color="auto"/>
                <w:left w:val="none" w:sz="0" w:space="0" w:color="auto"/>
                <w:bottom w:val="none" w:sz="0" w:space="0" w:color="auto"/>
                <w:right w:val="none" w:sz="0" w:space="0" w:color="auto"/>
              </w:divBdr>
            </w:div>
          </w:divsChild>
        </w:div>
        <w:div w:id="1924223622">
          <w:marLeft w:val="0"/>
          <w:marRight w:val="0"/>
          <w:marTop w:val="0"/>
          <w:marBottom w:val="0"/>
          <w:divBdr>
            <w:top w:val="none" w:sz="0" w:space="0" w:color="auto"/>
            <w:left w:val="none" w:sz="0" w:space="0" w:color="auto"/>
            <w:bottom w:val="none" w:sz="0" w:space="0" w:color="auto"/>
            <w:right w:val="none" w:sz="0" w:space="0" w:color="auto"/>
          </w:divBdr>
          <w:divsChild>
            <w:div w:id="230698307">
              <w:marLeft w:val="0"/>
              <w:marRight w:val="0"/>
              <w:marTop w:val="0"/>
              <w:marBottom w:val="0"/>
              <w:divBdr>
                <w:top w:val="none" w:sz="0" w:space="0" w:color="auto"/>
                <w:left w:val="none" w:sz="0" w:space="0" w:color="auto"/>
                <w:bottom w:val="none" w:sz="0" w:space="0" w:color="auto"/>
                <w:right w:val="none" w:sz="0" w:space="0" w:color="auto"/>
              </w:divBdr>
            </w:div>
          </w:divsChild>
        </w:div>
        <w:div w:id="1942686281">
          <w:marLeft w:val="0"/>
          <w:marRight w:val="0"/>
          <w:marTop w:val="0"/>
          <w:marBottom w:val="0"/>
          <w:divBdr>
            <w:top w:val="none" w:sz="0" w:space="0" w:color="auto"/>
            <w:left w:val="none" w:sz="0" w:space="0" w:color="auto"/>
            <w:bottom w:val="none" w:sz="0" w:space="0" w:color="auto"/>
            <w:right w:val="none" w:sz="0" w:space="0" w:color="auto"/>
          </w:divBdr>
          <w:divsChild>
            <w:div w:id="350575352">
              <w:marLeft w:val="0"/>
              <w:marRight w:val="0"/>
              <w:marTop w:val="0"/>
              <w:marBottom w:val="0"/>
              <w:divBdr>
                <w:top w:val="none" w:sz="0" w:space="0" w:color="auto"/>
                <w:left w:val="none" w:sz="0" w:space="0" w:color="auto"/>
                <w:bottom w:val="none" w:sz="0" w:space="0" w:color="auto"/>
                <w:right w:val="none" w:sz="0" w:space="0" w:color="auto"/>
              </w:divBdr>
            </w:div>
          </w:divsChild>
        </w:div>
        <w:div w:id="1955166620">
          <w:marLeft w:val="0"/>
          <w:marRight w:val="0"/>
          <w:marTop w:val="0"/>
          <w:marBottom w:val="0"/>
          <w:divBdr>
            <w:top w:val="none" w:sz="0" w:space="0" w:color="auto"/>
            <w:left w:val="none" w:sz="0" w:space="0" w:color="auto"/>
            <w:bottom w:val="none" w:sz="0" w:space="0" w:color="auto"/>
            <w:right w:val="none" w:sz="0" w:space="0" w:color="auto"/>
          </w:divBdr>
          <w:divsChild>
            <w:div w:id="1324552019">
              <w:marLeft w:val="0"/>
              <w:marRight w:val="0"/>
              <w:marTop w:val="0"/>
              <w:marBottom w:val="0"/>
              <w:divBdr>
                <w:top w:val="none" w:sz="0" w:space="0" w:color="auto"/>
                <w:left w:val="none" w:sz="0" w:space="0" w:color="auto"/>
                <w:bottom w:val="none" w:sz="0" w:space="0" w:color="auto"/>
                <w:right w:val="none" w:sz="0" w:space="0" w:color="auto"/>
              </w:divBdr>
            </w:div>
          </w:divsChild>
        </w:div>
        <w:div w:id="2002464627">
          <w:marLeft w:val="0"/>
          <w:marRight w:val="0"/>
          <w:marTop w:val="0"/>
          <w:marBottom w:val="0"/>
          <w:divBdr>
            <w:top w:val="none" w:sz="0" w:space="0" w:color="auto"/>
            <w:left w:val="none" w:sz="0" w:space="0" w:color="auto"/>
            <w:bottom w:val="none" w:sz="0" w:space="0" w:color="auto"/>
            <w:right w:val="none" w:sz="0" w:space="0" w:color="auto"/>
          </w:divBdr>
          <w:divsChild>
            <w:div w:id="161436257">
              <w:marLeft w:val="0"/>
              <w:marRight w:val="0"/>
              <w:marTop w:val="0"/>
              <w:marBottom w:val="0"/>
              <w:divBdr>
                <w:top w:val="none" w:sz="0" w:space="0" w:color="auto"/>
                <w:left w:val="none" w:sz="0" w:space="0" w:color="auto"/>
                <w:bottom w:val="none" w:sz="0" w:space="0" w:color="auto"/>
                <w:right w:val="none" w:sz="0" w:space="0" w:color="auto"/>
              </w:divBdr>
            </w:div>
          </w:divsChild>
        </w:div>
        <w:div w:id="2013949112">
          <w:marLeft w:val="0"/>
          <w:marRight w:val="0"/>
          <w:marTop w:val="0"/>
          <w:marBottom w:val="0"/>
          <w:divBdr>
            <w:top w:val="none" w:sz="0" w:space="0" w:color="auto"/>
            <w:left w:val="none" w:sz="0" w:space="0" w:color="auto"/>
            <w:bottom w:val="none" w:sz="0" w:space="0" w:color="auto"/>
            <w:right w:val="none" w:sz="0" w:space="0" w:color="auto"/>
          </w:divBdr>
          <w:divsChild>
            <w:div w:id="388966940">
              <w:marLeft w:val="0"/>
              <w:marRight w:val="0"/>
              <w:marTop w:val="0"/>
              <w:marBottom w:val="0"/>
              <w:divBdr>
                <w:top w:val="none" w:sz="0" w:space="0" w:color="auto"/>
                <w:left w:val="none" w:sz="0" w:space="0" w:color="auto"/>
                <w:bottom w:val="none" w:sz="0" w:space="0" w:color="auto"/>
                <w:right w:val="none" w:sz="0" w:space="0" w:color="auto"/>
              </w:divBdr>
            </w:div>
          </w:divsChild>
        </w:div>
        <w:div w:id="2029523626">
          <w:marLeft w:val="0"/>
          <w:marRight w:val="0"/>
          <w:marTop w:val="0"/>
          <w:marBottom w:val="0"/>
          <w:divBdr>
            <w:top w:val="none" w:sz="0" w:space="0" w:color="auto"/>
            <w:left w:val="none" w:sz="0" w:space="0" w:color="auto"/>
            <w:bottom w:val="none" w:sz="0" w:space="0" w:color="auto"/>
            <w:right w:val="none" w:sz="0" w:space="0" w:color="auto"/>
          </w:divBdr>
          <w:divsChild>
            <w:div w:id="508180010">
              <w:marLeft w:val="0"/>
              <w:marRight w:val="0"/>
              <w:marTop w:val="0"/>
              <w:marBottom w:val="0"/>
              <w:divBdr>
                <w:top w:val="none" w:sz="0" w:space="0" w:color="auto"/>
                <w:left w:val="none" w:sz="0" w:space="0" w:color="auto"/>
                <w:bottom w:val="none" w:sz="0" w:space="0" w:color="auto"/>
                <w:right w:val="none" w:sz="0" w:space="0" w:color="auto"/>
              </w:divBdr>
            </w:div>
          </w:divsChild>
        </w:div>
        <w:div w:id="2082217166">
          <w:marLeft w:val="0"/>
          <w:marRight w:val="0"/>
          <w:marTop w:val="0"/>
          <w:marBottom w:val="0"/>
          <w:divBdr>
            <w:top w:val="none" w:sz="0" w:space="0" w:color="auto"/>
            <w:left w:val="none" w:sz="0" w:space="0" w:color="auto"/>
            <w:bottom w:val="none" w:sz="0" w:space="0" w:color="auto"/>
            <w:right w:val="none" w:sz="0" w:space="0" w:color="auto"/>
          </w:divBdr>
          <w:divsChild>
            <w:div w:id="3843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5741">
      <w:bodyDiv w:val="1"/>
      <w:marLeft w:val="0"/>
      <w:marRight w:val="0"/>
      <w:marTop w:val="0"/>
      <w:marBottom w:val="0"/>
      <w:divBdr>
        <w:top w:val="none" w:sz="0" w:space="0" w:color="auto"/>
        <w:left w:val="none" w:sz="0" w:space="0" w:color="auto"/>
        <w:bottom w:val="none" w:sz="0" w:space="0" w:color="auto"/>
        <w:right w:val="none" w:sz="0" w:space="0" w:color="auto"/>
      </w:divBdr>
      <w:divsChild>
        <w:div w:id="215511280">
          <w:marLeft w:val="0"/>
          <w:marRight w:val="0"/>
          <w:marTop w:val="0"/>
          <w:marBottom w:val="0"/>
          <w:divBdr>
            <w:top w:val="none" w:sz="0" w:space="0" w:color="auto"/>
            <w:left w:val="none" w:sz="0" w:space="0" w:color="auto"/>
            <w:bottom w:val="none" w:sz="0" w:space="0" w:color="auto"/>
            <w:right w:val="none" w:sz="0" w:space="0" w:color="auto"/>
          </w:divBdr>
        </w:div>
        <w:div w:id="576743348">
          <w:marLeft w:val="0"/>
          <w:marRight w:val="0"/>
          <w:marTop w:val="0"/>
          <w:marBottom w:val="0"/>
          <w:divBdr>
            <w:top w:val="none" w:sz="0" w:space="0" w:color="auto"/>
            <w:left w:val="none" w:sz="0" w:space="0" w:color="auto"/>
            <w:bottom w:val="none" w:sz="0" w:space="0" w:color="auto"/>
            <w:right w:val="none" w:sz="0" w:space="0" w:color="auto"/>
          </w:divBdr>
        </w:div>
        <w:div w:id="1273974038">
          <w:marLeft w:val="0"/>
          <w:marRight w:val="0"/>
          <w:marTop w:val="0"/>
          <w:marBottom w:val="0"/>
          <w:divBdr>
            <w:top w:val="none" w:sz="0" w:space="0" w:color="auto"/>
            <w:left w:val="none" w:sz="0" w:space="0" w:color="auto"/>
            <w:bottom w:val="none" w:sz="0" w:space="0" w:color="auto"/>
            <w:right w:val="none" w:sz="0" w:space="0" w:color="auto"/>
          </w:divBdr>
        </w:div>
        <w:div w:id="1411318508">
          <w:marLeft w:val="0"/>
          <w:marRight w:val="0"/>
          <w:marTop w:val="0"/>
          <w:marBottom w:val="0"/>
          <w:divBdr>
            <w:top w:val="none" w:sz="0" w:space="0" w:color="auto"/>
            <w:left w:val="none" w:sz="0" w:space="0" w:color="auto"/>
            <w:bottom w:val="none" w:sz="0" w:space="0" w:color="auto"/>
            <w:right w:val="none" w:sz="0" w:space="0" w:color="auto"/>
          </w:divBdr>
        </w:div>
        <w:div w:id="1434133505">
          <w:marLeft w:val="0"/>
          <w:marRight w:val="0"/>
          <w:marTop w:val="0"/>
          <w:marBottom w:val="0"/>
          <w:divBdr>
            <w:top w:val="none" w:sz="0" w:space="0" w:color="auto"/>
            <w:left w:val="none" w:sz="0" w:space="0" w:color="auto"/>
            <w:bottom w:val="none" w:sz="0" w:space="0" w:color="auto"/>
            <w:right w:val="none" w:sz="0" w:space="0" w:color="auto"/>
          </w:divBdr>
          <w:divsChild>
            <w:div w:id="2109276402">
              <w:marLeft w:val="-75"/>
              <w:marRight w:val="0"/>
              <w:marTop w:val="30"/>
              <w:marBottom w:val="30"/>
              <w:divBdr>
                <w:top w:val="none" w:sz="0" w:space="0" w:color="auto"/>
                <w:left w:val="none" w:sz="0" w:space="0" w:color="auto"/>
                <w:bottom w:val="none" w:sz="0" w:space="0" w:color="auto"/>
                <w:right w:val="none" w:sz="0" w:space="0" w:color="auto"/>
              </w:divBdr>
              <w:divsChild>
                <w:div w:id="24715144">
                  <w:marLeft w:val="0"/>
                  <w:marRight w:val="0"/>
                  <w:marTop w:val="0"/>
                  <w:marBottom w:val="0"/>
                  <w:divBdr>
                    <w:top w:val="none" w:sz="0" w:space="0" w:color="auto"/>
                    <w:left w:val="none" w:sz="0" w:space="0" w:color="auto"/>
                    <w:bottom w:val="none" w:sz="0" w:space="0" w:color="auto"/>
                    <w:right w:val="none" w:sz="0" w:space="0" w:color="auto"/>
                  </w:divBdr>
                  <w:divsChild>
                    <w:div w:id="565184015">
                      <w:marLeft w:val="0"/>
                      <w:marRight w:val="0"/>
                      <w:marTop w:val="0"/>
                      <w:marBottom w:val="0"/>
                      <w:divBdr>
                        <w:top w:val="none" w:sz="0" w:space="0" w:color="auto"/>
                        <w:left w:val="none" w:sz="0" w:space="0" w:color="auto"/>
                        <w:bottom w:val="none" w:sz="0" w:space="0" w:color="auto"/>
                        <w:right w:val="none" w:sz="0" w:space="0" w:color="auto"/>
                      </w:divBdr>
                    </w:div>
                  </w:divsChild>
                </w:div>
                <w:div w:id="50203587">
                  <w:marLeft w:val="0"/>
                  <w:marRight w:val="0"/>
                  <w:marTop w:val="0"/>
                  <w:marBottom w:val="0"/>
                  <w:divBdr>
                    <w:top w:val="none" w:sz="0" w:space="0" w:color="auto"/>
                    <w:left w:val="none" w:sz="0" w:space="0" w:color="auto"/>
                    <w:bottom w:val="none" w:sz="0" w:space="0" w:color="auto"/>
                    <w:right w:val="none" w:sz="0" w:space="0" w:color="auto"/>
                  </w:divBdr>
                  <w:divsChild>
                    <w:div w:id="2086488910">
                      <w:marLeft w:val="0"/>
                      <w:marRight w:val="0"/>
                      <w:marTop w:val="0"/>
                      <w:marBottom w:val="0"/>
                      <w:divBdr>
                        <w:top w:val="none" w:sz="0" w:space="0" w:color="auto"/>
                        <w:left w:val="none" w:sz="0" w:space="0" w:color="auto"/>
                        <w:bottom w:val="none" w:sz="0" w:space="0" w:color="auto"/>
                        <w:right w:val="none" w:sz="0" w:space="0" w:color="auto"/>
                      </w:divBdr>
                    </w:div>
                  </w:divsChild>
                </w:div>
                <w:div w:id="81949811">
                  <w:marLeft w:val="0"/>
                  <w:marRight w:val="0"/>
                  <w:marTop w:val="0"/>
                  <w:marBottom w:val="0"/>
                  <w:divBdr>
                    <w:top w:val="none" w:sz="0" w:space="0" w:color="auto"/>
                    <w:left w:val="none" w:sz="0" w:space="0" w:color="auto"/>
                    <w:bottom w:val="none" w:sz="0" w:space="0" w:color="auto"/>
                    <w:right w:val="none" w:sz="0" w:space="0" w:color="auto"/>
                  </w:divBdr>
                  <w:divsChild>
                    <w:div w:id="1184830128">
                      <w:marLeft w:val="0"/>
                      <w:marRight w:val="0"/>
                      <w:marTop w:val="0"/>
                      <w:marBottom w:val="0"/>
                      <w:divBdr>
                        <w:top w:val="none" w:sz="0" w:space="0" w:color="auto"/>
                        <w:left w:val="none" w:sz="0" w:space="0" w:color="auto"/>
                        <w:bottom w:val="none" w:sz="0" w:space="0" w:color="auto"/>
                        <w:right w:val="none" w:sz="0" w:space="0" w:color="auto"/>
                      </w:divBdr>
                    </w:div>
                  </w:divsChild>
                </w:div>
                <w:div w:id="95685703">
                  <w:marLeft w:val="0"/>
                  <w:marRight w:val="0"/>
                  <w:marTop w:val="0"/>
                  <w:marBottom w:val="0"/>
                  <w:divBdr>
                    <w:top w:val="none" w:sz="0" w:space="0" w:color="auto"/>
                    <w:left w:val="none" w:sz="0" w:space="0" w:color="auto"/>
                    <w:bottom w:val="none" w:sz="0" w:space="0" w:color="auto"/>
                    <w:right w:val="none" w:sz="0" w:space="0" w:color="auto"/>
                  </w:divBdr>
                  <w:divsChild>
                    <w:div w:id="117650426">
                      <w:marLeft w:val="0"/>
                      <w:marRight w:val="0"/>
                      <w:marTop w:val="0"/>
                      <w:marBottom w:val="0"/>
                      <w:divBdr>
                        <w:top w:val="none" w:sz="0" w:space="0" w:color="auto"/>
                        <w:left w:val="none" w:sz="0" w:space="0" w:color="auto"/>
                        <w:bottom w:val="none" w:sz="0" w:space="0" w:color="auto"/>
                        <w:right w:val="none" w:sz="0" w:space="0" w:color="auto"/>
                      </w:divBdr>
                    </w:div>
                  </w:divsChild>
                </w:div>
                <w:div w:id="107361345">
                  <w:marLeft w:val="0"/>
                  <w:marRight w:val="0"/>
                  <w:marTop w:val="0"/>
                  <w:marBottom w:val="0"/>
                  <w:divBdr>
                    <w:top w:val="none" w:sz="0" w:space="0" w:color="auto"/>
                    <w:left w:val="none" w:sz="0" w:space="0" w:color="auto"/>
                    <w:bottom w:val="none" w:sz="0" w:space="0" w:color="auto"/>
                    <w:right w:val="none" w:sz="0" w:space="0" w:color="auto"/>
                  </w:divBdr>
                  <w:divsChild>
                    <w:div w:id="405223054">
                      <w:marLeft w:val="0"/>
                      <w:marRight w:val="0"/>
                      <w:marTop w:val="0"/>
                      <w:marBottom w:val="0"/>
                      <w:divBdr>
                        <w:top w:val="none" w:sz="0" w:space="0" w:color="auto"/>
                        <w:left w:val="none" w:sz="0" w:space="0" w:color="auto"/>
                        <w:bottom w:val="none" w:sz="0" w:space="0" w:color="auto"/>
                        <w:right w:val="none" w:sz="0" w:space="0" w:color="auto"/>
                      </w:divBdr>
                    </w:div>
                  </w:divsChild>
                </w:div>
                <w:div w:id="128670232">
                  <w:marLeft w:val="0"/>
                  <w:marRight w:val="0"/>
                  <w:marTop w:val="0"/>
                  <w:marBottom w:val="0"/>
                  <w:divBdr>
                    <w:top w:val="none" w:sz="0" w:space="0" w:color="auto"/>
                    <w:left w:val="none" w:sz="0" w:space="0" w:color="auto"/>
                    <w:bottom w:val="none" w:sz="0" w:space="0" w:color="auto"/>
                    <w:right w:val="none" w:sz="0" w:space="0" w:color="auto"/>
                  </w:divBdr>
                  <w:divsChild>
                    <w:div w:id="36589413">
                      <w:marLeft w:val="0"/>
                      <w:marRight w:val="0"/>
                      <w:marTop w:val="0"/>
                      <w:marBottom w:val="0"/>
                      <w:divBdr>
                        <w:top w:val="none" w:sz="0" w:space="0" w:color="auto"/>
                        <w:left w:val="none" w:sz="0" w:space="0" w:color="auto"/>
                        <w:bottom w:val="none" w:sz="0" w:space="0" w:color="auto"/>
                        <w:right w:val="none" w:sz="0" w:space="0" w:color="auto"/>
                      </w:divBdr>
                    </w:div>
                  </w:divsChild>
                </w:div>
                <w:div w:id="141040516">
                  <w:marLeft w:val="0"/>
                  <w:marRight w:val="0"/>
                  <w:marTop w:val="0"/>
                  <w:marBottom w:val="0"/>
                  <w:divBdr>
                    <w:top w:val="none" w:sz="0" w:space="0" w:color="auto"/>
                    <w:left w:val="none" w:sz="0" w:space="0" w:color="auto"/>
                    <w:bottom w:val="none" w:sz="0" w:space="0" w:color="auto"/>
                    <w:right w:val="none" w:sz="0" w:space="0" w:color="auto"/>
                  </w:divBdr>
                  <w:divsChild>
                    <w:div w:id="92752609">
                      <w:marLeft w:val="0"/>
                      <w:marRight w:val="0"/>
                      <w:marTop w:val="0"/>
                      <w:marBottom w:val="0"/>
                      <w:divBdr>
                        <w:top w:val="none" w:sz="0" w:space="0" w:color="auto"/>
                        <w:left w:val="none" w:sz="0" w:space="0" w:color="auto"/>
                        <w:bottom w:val="none" w:sz="0" w:space="0" w:color="auto"/>
                        <w:right w:val="none" w:sz="0" w:space="0" w:color="auto"/>
                      </w:divBdr>
                    </w:div>
                    <w:div w:id="141895749">
                      <w:marLeft w:val="0"/>
                      <w:marRight w:val="0"/>
                      <w:marTop w:val="0"/>
                      <w:marBottom w:val="0"/>
                      <w:divBdr>
                        <w:top w:val="none" w:sz="0" w:space="0" w:color="auto"/>
                        <w:left w:val="none" w:sz="0" w:space="0" w:color="auto"/>
                        <w:bottom w:val="none" w:sz="0" w:space="0" w:color="auto"/>
                        <w:right w:val="none" w:sz="0" w:space="0" w:color="auto"/>
                      </w:divBdr>
                    </w:div>
                    <w:div w:id="364595585">
                      <w:marLeft w:val="0"/>
                      <w:marRight w:val="0"/>
                      <w:marTop w:val="0"/>
                      <w:marBottom w:val="0"/>
                      <w:divBdr>
                        <w:top w:val="none" w:sz="0" w:space="0" w:color="auto"/>
                        <w:left w:val="none" w:sz="0" w:space="0" w:color="auto"/>
                        <w:bottom w:val="none" w:sz="0" w:space="0" w:color="auto"/>
                        <w:right w:val="none" w:sz="0" w:space="0" w:color="auto"/>
                      </w:divBdr>
                    </w:div>
                    <w:div w:id="500508619">
                      <w:marLeft w:val="0"/>
                      <w:marRight w:val="0"/>
                      <w:marTop w:val="0"/>
                      <w:marBottom w:val="0"/>
                      <w:divBdr>
                        <w:top w:val="none" w:sz="0" w:space="0" w:color="auto"/>
                        <w:left w:val="none" w:sz="0" w:space="0" w:color="auto"/>
                        <w:bottom w:val="none" w:sz="0" w:space="0" w:color="auto"/>
                        <w:right w:val="none" w:sz="0" w:space="0" w:color="auto"/>
                      </w:divBdr>
                    </w:div>
                    <w:div w:id="718093476">
                      <w:marLeft w:val="0"/>
                      <w:marRight w:val="0"/>
                      <w:marTop w:val="0"/>
                      <w:marBottom w:val="0"/>
                      <w:divBdr>
                        <w:top w:val="none" w:sz="0" w:space="0" w:color="auto"/>
                        <w:left w:val="none" w:sz="0" w:space="0" w:color="auto"/>
                        <w:bottom w:val="none" w:sz="0" w:space="0" w:color="auto"/>
                        <w:right w:val="none" w:sz="0" w:space="0" w:color="auto"/>
                      </w:divBdr>
                    </w:div>
                    <w:div w:id="963194914">
                      <w:marLeft w:val="0"/>
                      <w:marRight w:val="0"/>
                      <w:marTop w:val="0"/>
                      <w:marBottom w:val="0"/>
                      <w:divBdr>
                        <w:top w:val="none" w:sz="0" w:space="0" w:color="auto"/>
                        <w:left w:val="none" w:sz="0" w:space="0" w:color="auto"/>
                        <w:bottom w:val="none" w:sz="0" w:space="0" w:color="auto"/>
                        <w:right w:val="none" w:sz="0" w:space="0" w:color="auto"/>
                      </w:divBdr>
                    </w:div>
                  </w:divsChild>
                </w:div>
                <w:div w:id="143664936">
                  <w:marLeft w:val="0"/>
                  <w:marRight w:val="0"/>
                  <w:marTop w:val="0"/>
                  <w:marBottom w:val="0"/>
                  <w:divBdr>
                    <w:top w:val="none" w:sz="0" w:space="0" w:color="auto"/>
                    <w:left w:val="none" w:sz="0" w:space="0" w:color="auto"/>
                    <w:bottom w:val="none" w:sz="0" w:space="0" w:color="auto"/>
                    <w:right w:val="none" w:sz="0" w:space="0" w:color="auto"/>
                  </w:divBdr>
                  <w:divsChild>
                    <w:div w:id="673075102">
                      <w:marLeft w:val="0"/>
                      <w:marRight w:val="0"/>
                      <w:marTop w:val="0"/>
                      <w:marBottom w:val="0"/>
                      <w:divBdr>
                        <w:top w:val="none" w:sz="0" w:space="0" w:color="auto"/>
                        <w:left w:val="none" w:sz="0" w:space="0" w:color="auto"/>
                        <w:bottom w:val="none" w:sz="0" w:space="0" w:color="auto"/>
                        <w:right w:val="none" w:sz="0" w:space="0" w:color="auto"/>
                      </w:divBdr>
                    </w:div>
                  </w:divsChild>
                </w:div>
                <w:div w:id="187568642">
                  <w:marLeft w:val="0"/>
                  <w:marRight w:val="0"/>
                  <w:marTop w:val="0"/>
                  <w:marBottom w:val="0"/>
                  <w:divBdr>
                    <w:top w:val="none" w:sz="0" w:space="0" w:color="auto"/>
                    <w:left w:val="none" w:sz="0" w:space="0" w:color="auto"/>
                    <w:bottom w:val="none" w:sz="0" w:space="0" w:color="auto"/>
                    <w:right w:val="none" w:sz="0" w:space="0" w:color="auto"/>
                  </w:divBdr>
                  <w:divsChild>
                    <w:div w:id="1161888485">
                      <w:marLeft w:val="0"/>
                      <w:marRight w:val="0"/>
                      <w:marTop w:val="0"/>
                      <w:marBottom w:val="0"/>
                      <w:divBdr>
                        <w:top w:val="none" w:sz="0" w:space="0" w:color="auto"/>
                        <w:left w:val="none" w:sz="0" w:space="0" w:color="auto"/>
                        <w:bottom w:val="none" w:sz="0" w:space="0" w:color="auto"/>
                        <w:right w:val="none" w:sz="0" w:space="0" w:color="auto"/>
                      </w:divBdr>
                    </w:div>
                  </w:divsChild>
                </w:div>
                <w:div w:id="292365610">
                  <w:marLeft w:val="0"/>
                  <w:marRight w:val="0"/>
                  <w:marTop w:val="0"/>
                  <w:marBottom w:val="0"/>
                  <w:divBdr>
                    <w:top w:val="none" w:sz="0" w:space="0" w:color="auto"/>
                    <w:left w:val="none" w:sz="0" w:space="0" w:color="auto"/>
                    <w:bottom w:val="none" w:sz="0" w:space="0" w:color="auto"/>
                    <w:right w:val="none" w:sz="0" w:space="0" w:color="auto"/>
                  </w:divBdr>
                  <w:divsChild>
                    <w:div w:id="617302769">
                      <w:marLeft w:val="0"/>
                      <w:marRight w:val="0"/>
                      <w:marTop w:val="0"/>
                      <w:marBottom w:val="0"/>
                      <w:divBdr>
                        <w:top w:val="none" w:sz="0" w:space="0" w:color="auto"/>
                        <w:left w:val="none" w:sz="0" w:space="0" w:color="auto"/>
                        <w:bottom w:val="none" w:sz="0" w:space="0" w:color="auto"/>
                        <w:right w:val="none" w:sz="0" w:space="0" w:color="auto"/>
                      </w:divBdr>
                    </w:div>
                  </w:divsChild>
                </w:div>
                <w:div w:id="318388825">
                  <w:marLeft w:val="0"/>
                  <w:marRight w:val="0"/>
                  <w:marTop w:val="0"/>
                  <w:marBottom w:val="0"/>
                  <w:divBdr>
                    <w:top w:val="none" w:sz="0" w:space="0" w:color="auto"/>
                    <w:left w:val="none" w:sz="0" w:space="0" w:color="auto"/>
                    <w:bottom w:val="none" w:sz="0" w:space="0" w:color="auto"/>
                    <w:right w:val="none" w:sz="0" w:space="0" w:color="auto"/>
                  </w:divBdr>
                  <w:divsChild>
                    <w:div w:id="1243023544">
                      <w:marLeft w:val="0"/>
                      <w:marRight w:val="0"/>
                      <w:marTop w:val="0"/>
                      <w:marBottom w:val="0"/>
                      <w:divBdr>
                        <w:top w:val="none" w:sz="0" w:space="0" w:color="auto"/>
                        <w:left w:val="none" w:sz="0" w:space="0" w:color="auto"/>
                        <w:bottom w:val="none" w:sz="0" w:space="0" w:color="auto"/>
                        <w:right w:val="none" w:sz="0" w:space="0" w:color="auto"/>
                      </w:divBdr>
                    </w:div>
                  </w:divsChild>
                </w:div>
                <w:div w:id="329449685">
                  <w:marLeft w:val="0"/>
                  <w:marRight w:val="0"/>
                  <w:marTop w:val="0"/>
                  <w:marBottom w:val="0"/>
                  <w:divBdr>
                    <w:top w:val="none" w:sz="0" w:space="0" w:color="auto"/>
                    <w:left w:val="none" w:sz="0" w:space="0" w:color="auto"/>
                    <w:bottom w:val="none" w:sz="0" w:space="0" w:color="auto"/>
                    <w:right w:val="none" w:sz="0" w:space="0" w:color="auto"/>
                  </w:divBdr>
                  <w:divsChild>
                    <w:div w:id="192615216">
                      <w:marLeft w:val="0"/>
                      <w:marRight w:val="0"/>
                      <w:marTop w:val="0"/>
                      <w:marBottom w:val="0"/>
                      <w:divBdr>
                        <w:top w:val="none" w:sz="0" w:space="0" w:color="auto"/>
                        <w:left w:val="none" w:sz="0" w:space="0" w:color="auto"/>
                        <w:bottom w:val="none" w:sz="0" w:space="0" w:color="auto"/>
                        <w:right w:val="none" w:sz="0" w:space="0" w:color="auto"/>
                      </w:divBdr>
                    </w:div>
                    <w:div w:id="694893082">
                      <w:marLeft w:val="0"/>
                      <w:marRight w:val="0"/>
                      <w:marTop w:val="0"/>
                      <w:marBottom w:val="0"/>
                      <w:divBdr>
                        <w:top w:val="none" w:sz="0" w:space="0" w:color="auto"/>
                        <w:left w:val="none" w:sz="0" w:space="0" w:color="auto"/>
                        <w:bottom w:val="none" w:sz="0" w:space="0" w:color="auto"/>
                        <w:right w:val="none" w:sz="0" w:space="0" w:color="auto"/>
                      </w:divBdr>
                    </w:div>
                    <w:div w:id="722365004">
                      <w:marLeft w:val="0"/>
                      <w:marRight w:val="0"/>
                      <w:marTop w:val="0"/>
                      <w:marBottom w:val="0"/>
                      <w:divBdr>
                        <w:top w:val="none" w:sz="0" w:space="0" w:color="auto"/>
                        <w:left w:val="none" w:sz="0" w:space="0" w:color="auto"/>
                        <w:bottom w:val="none" w:sz="0" w:space="0" w:color="auto"/>
                        <w:right w:val="none" w:sz="0" w:space="0" w:color="auto"/>
                      </w:divBdr>
                    </w:div>
                  </w:divsChild>
                </w:div>
                <w:div w:id="356538929">
                  <w:marLeft w:val="0"/>
                  <w:marRight w:val="0"/>
                  <w:marTop w:val="0"/>
                  <w:marBottom w:val="0"/>
                  <w:divBdr>
                    <w:top w:val="none" w:sz="0" w:space="0" w:color="auto"/>
                    <w:left w:val="none" w:sz="0" w:space="0" w:color="auto"/>
                    <w:bottom w:val="none" w:sz="0" w:space="0" w:color="auto"/>
                    <w:right w:val="none" w:sz="0" w:space="0" w:color="auto"/>
                  </w:divBdr>
                  <w:divsChild>
                    <w:div w:id="739408428">
                      <w:marLeft w:val="0"/>
                      <w:marRight w:val="0"/>
                      <w:marTop w:val="0"/>
                      <w:marBottom w:val="0"/>
                      <w:divBdr>
                        <w:top w:val="none" w:sz="0" w:space="0" w:color="auto"/>
                        <w:left w:val="none" w:sz="0" w:space="0" w:color="auto"/>
                        <w:bottom w:val="none" w:sz="0" w:space="0" w:color="auto"/>
                        <w:right w:val="none" w:sz="0" w:space="0" w:color="auto"/>
                      </w:divBdr>
                    </w:div>
                  </w:divsChild>
                </w:div>
                <w:div w:id="445858288">
                  <w:marLeft w:val="0"/>
                  <w:marRight w:val="0"/>
                  <w:marTop w:val="0"/>
                  <w:marBottom w:val="0"/>
                  <w:divBdr>
                    <w:top w:val="none" w:sz="0" w:space="0" w:color="auto"/>
                    <w:left w:val="none" w:sz="0" w:space="0" w:color="auto"/>
                    <w:bottom w:val="none" w:sz="0" w:space="0" w:color="auto"/>
                    <w:right w:val="none" w:sz="0" w:space="0" w:color="auto"/>
                  </w:divBdr>
                  <w:divsChild>
                    <w:div w:id="1337149082">
                      <w:marLeft w:val="0"/>
                      <w:marRight w:val="0"/>
                      <w:marTop w:val="0"/>
                      <w:marBottom w:val="0"/>
                      <w:divBdr>
                        <w:top w:val="none" w:sz="0" w:space="0" w:color="auto"/>
                        <w:left w:val="none" w:sz="0" w:space="0" w:color="auto"/>
                        <w:bottom w:val="none" w:sz="0" w:space="0" w:color="auto"/>
                        <w:right w:val="none" w:sz="0" w:space="0" w:color="auto"/>
                      </w:divBdr>
                    </w:div>
                  </w:divsChild>
                </w:div>
                <w:div w:id="460195938">
                  <w:marLeft w:val="0"/>
                  <w:marRight w:val="0"/>
                  <w:marTop w:val="0"/>
                  <w:marBottom w:val="0"/>
                  <w:divBdr>
                    <w:top w:val="none" w:sz="0" w:space="0" w:color="auto"/>
                    <w:left w:val="none" w:sz="0" w:space="0" w:color="auto"/>
                    <w:bottom w:val="none" w:sz="0" w:space="0" w:color="auto"/>
                    <w:right w:val="none" w:sz="0" w:space="0" w:color="auto"/>
                  </w:divBdr>
                  <w:divsChild>
                    <w:div w:id="438716816">
                      <w:marLeft w:val="0"/>
                      <w:marRight w:val="0"/>
                      <w:marTop w:val="0"/>
                      <w:marBottom w:val="0"/>
                      <w:divBdr>
                        <w:top w:val="none" w:sz="0" w:space="0" w:color="auto"/>
                        <w:left w:val="none" w:sz="0" w:space="0" w:color="auto"/>
                        <w:bottom w:val="none" w:sz="0" w:space="0" w:color="auto"/>
                        <w:right w:val="none" w:sz="0" w:space="0" w:color="auto"/>
                      </w:divBdr>
                    </w:div>
                    <w:div w:id="776021025">
                      <w:marLeft w:val="0"/>
                      <w:marRight w:val="0"/>
                      <w:marTop w:val="0"/>
                      <w:marBottom w:val="0"/>
                      <w:divBdr>
                        <w:top w:val="none" w:sz="0" w:space="0" w:color="auto"/>
                        <w:left w:val="none" w:sz="0" w:space="0" w:color="auto"/>
                        <w:bottom w:val="none" w:sz="0" w:space="0" w:color="auto"/>
                        <w:right w:val="none" w:sz="0" w:space="0" w:color="auto"/>
                      </w:divBdr>
                    </w:div>
                  </w:divsChild>
                </w:div>
                <w:div w:id="483742232">
                  <w:marLeft w:val="0"/>
                  <w:marRight w:val="0"/>
                  <w:marTop w:val="0"/>
                  <w:marBottom w:val="0"/>
                  <w:divBdr>
                    <w:top w:val="none" w:sz="0" w:space="0" w:color="auto"/>
                    <w:left w:val="none" w:sz="0" w:space="0" w:color="auto"/>
                    <w:bottom w:val="none" w:sz="0" w:space="0" w:color="auto"/>
                    <w:right w:val="none" w:sz="0" w:space="0" w:color="auto"/>
                  </w:divBdr>
                  <w:divsChild>
                    <w:div w:id="771362017">
                      <w:marLeft w:val="0"/>
                      <w:marRight w:val="0"/>
                      <w:marTop w:val="0"/>
                      <w:marBottom w:val="0"/>
                      <w:divBdr>
                        <w:top w:val="none" w:sz="0" w:space="0" w:color="auto"/>
                        <w:left w:val="none" w:sz="0" w:space="0" w:color="auto"/>
                        <w:bottom w:val="none" w:sz="0" w:space="0" w:color="auto"/>
                        <w:right w:val="none" w:sz="0" w:space="0" w:color="auto"/>
                      </w:divBdr>
                    </w:div>
                  </w:divsChild>
                </w:div>
                <w:div w:id="548537616">
                  <w:marLeft w:val="0"/>
                  <w:marRight w:val="0"/>
                  <w:marTop w:val="0"/>
                  <w:marBottom w:val="0"/>
                  <w:divBdr>
                    <w:top w:val="none" w:sz="0" w:space="0" w:color="auto"/>
                    <w:left w:val="none" w:sz="0" w:space="0" w:color="auto"/>
                    <w:bottom w:val="none" w:sz="0" w:space="0" w:color="auto"/>
                    <w:right w:val="none" w:sz="0" w:space="0" w:color="auto"/>
                  </w:divBdr>
                  <w:divsChild>
                    <w:div w:id="1111433903">
                      <w:marLeft w:val="0"/>
                      <w:marRight w:val="0"/>
                      <w:marTop w:val="0"/>
                      <w:marBottom w:val="0"/>
                      <w:divBdr>
                        <w:top w:val="none" w:sz="0" w:space="0" w:color="auto"/>
                        <w:left w:val="none" w:sz="0" w:space="0" w:color="auto"/>
                        <w:bottom w:val="none" w:sz="0" w:space="0" w:color="auto"/>
                        <w:right w:val="none" w:sz="0" w:space="0" w:color="auto"/>
                      </w:divBdr>
                    </w:div>
                  </w:divsChild>
                </w:div>
                <w:div w:id="552086765">
                  <w:marLeft w:val="0"/>
                  <w:marRight w:val="0"/>
                  <w:marTop w:val="0"/>
                  <w:marBottom w:val="0"/>
                  <w:divBdr>
                    <w:top w:val="none" w:sz="0" w:space="0" w:color="auto"/>
                    <w:left w:val="none" w:sz="0" w:space="0" w:color="auto"/>
                    <w:bottom w:val="none" w:sz="0" w:space="0" w:color="auto"/>
                    <w:right w:val="none" w:sz="0" w:space="0" w:color="auto"/>
                  </w:divBdr>
                  <w:divsChild>
                    <w:div w:id="391193155">
                      <w:marLeft w:val="0"/>
                      <w:marRight w:val="0"/>
                      <w:marTop w:val="0"/>
                      <w:marBottom w:val="0"/>
                      <w:divBdr>
                        <w:top w:val="none" w:sz="0" w:space="0" w:color="auto"/>
                        <w:left w:val="none" w:sz="0" w:space="0" w:color="auto"/>
                        <w:bottom w:val="none" w:sz="0" w:space="0" w:color="auto"/>
                        <w:right w:val="none" w:sz="0" w:space="0" w:color="auto"/>
                      </w:divBdr>
                    </w:div>
                    <w:div w:id="753089664">
                      <w:marLeft w:val="0"/>
                      <w:marRight w:val="0"/>
                      <w:marTop w:val="0"/>
                      <w:marBottom w:val="0"/>
                      <w:divBdr>
                        <w:top w:val="none" w:sz="0" w:space="0" w:color="auto"/>
                        <w:left w:val="none" w:sz="0" w:space="0" w:color="auto"/>
                        <w:bottom w:val="none" w:sz="0" w:space="0" w:color="auto"/>
                        <w:right w:val="none" w:sz="0" w:space="0" w:color="auto"/>
                      </w:divBdr>
                    </w:div>
                    <w:div w:id="1484077261">
                      <w:marLeft w:val="0"/>
                      <w:marRight w:val="0"/>
                      <w:marTop w:val="0"/>
                      <w:marBottom w:val="0"/>
                      <w:divBdr>
                        <w:top w:val="none" w:sz="0" w:space="0" w:color="auto"/>
                        <w:left w:val="none" w:sz="0" w:space="0" w:color="auto"/>
                        <w:bottom w:val="none" w:sz="0" w:space="0" w:color="auto"/>
                        <w:right w:val="none" w:sz="0" w:space="0" w:color="auto"/>
                      </w:divBdr>
                    </w:div>
                    <w:div w:id="1582254460">
                      <w:marLeft w:val="0"/>
                      <w:marRight w:val="0"/>
                      <w:marTop w:val="0"/>
                      <w:marBottom w:val="0"/>
                      <w:divBdr>
                        <w:top w:val="none" w:sz="0" w:space="0" w:color="auto"/>
                        <w:left w:val="none" w:sz="0" w:space="0" w:color="auto"/>
                        <w:bottom w:val="none" w:sz="0" w:space="0" w:color="auto"/>
                        <w:right w:val="none" w:sz="0" w:space="0" w:color="auto"/>
                      </w:divBdr>
                    </w:div>
                    <w:div w:id="1939480917">
                      <w:marLeft w:val="0"/>
                      <w:marRight w:val="0"/>
                      <w:marTop w:val="0"/>
                      <w:marBottom w:val="0"/>
                      <w:divBdr>
                        <w:top w:val="none" w:sz="0" w:space="0" w:color="auto"/>
                        <w:left w:val="none" w:sz="0" w:space="0" w:color="auto"/>
                        <w:bottom w:val="none" w:sz="0" w:space="0" w:color="auto"/>
                        <w:right w:val="none" w:sz="0" w:space="0" w:color="auto"/>
                      </w:divBdr>
                    </w:div>
                    <w:div w:id="1984459116">
                      <w:marLeft w:val="0"/>
                      <w:marRight w:val="0"/>
                      <w:marTop w:val="0"/>
                      <w:marBottom w:val="0"/>
                      <w:divBdr>
                        <w:top w:val="none" w:sz="0" w:space="0" w:color="auto"/>
                        <w:left w:val="none" w:sz="0" w:space="0" w:color="auto"/>
                        <w:bottom w:val="none" w:sz="0" w:space="0" w:color="auto"/>
                        <w:right w:val="none" w:sz="0" w:space="0" w:color="auto"/>
                      </w:divBdr>
                    </w:div>
                  </w:divsChild>
                </w:div>
                <w:div w:id="562713159">
                  <w:marLeft w:val="0"/>
                  <w:marRight w:val="0"/>
                  <w:marTop w:val="0"/>
                  <w:marBottom w:val="0"/>
                  <w:divBdr>
                    <w:top w:val="none" w:sz="0" w:space="0" w:color="auto"/>
                    <w:left w:val="none" w:sz="0" w:space="0" w:color="auto"/>
                    <w:bottom w:val="none" w:sz="0" w:space="0" w:color="auto"/>
                    <w:right w:val="none" w:sz="0" w:space="0" w:color="auto"/>
                  </w:divBdr>
                  <w:divsChild>
                    <w:div w:id="176701869">
                      <w:marLeft w:val="0"/>
                      <w:marRight w:val="0"/>
                      <w:marTop w:val="0"/>
                      <w:marBottom w:val="0"/>
                      <w:divBdr>
                        <w:top w:val="none" w:sz="0" w:space="0" w:color="auto"/>
                        <w:left w:val="none" w:sz="0" w:space="0" w:color="auto"/>
                        <w:bottom w:val="none" w:sz="0" w:space="0" w:color="auto"/>
                        <w:right w:val="none" w:sz="0" w:space="0" w:color="auto"/>
                      </w:divBdr>
                    </w:div>
                  </w:divsChild>
                </w:div>
                <w:div w:id="566650836">
                  <w:marLeft w:val="0"/>
                  <w:marRight w:val="0"/>
                  <w:marTop w:val="0"/>
                  <w:marBottom w:val="0"/>
                  <w:divBdr>
                    <w:top w:val="none" w:sz="0" w:space="0" w:color="auto"/>
                    <w:left w:val="none" w:sz="0" w:space="0" w:color="auto"/>
                    <w:bottom w:val="none" w:sz="0" w:space="0" w:color="auto"/>
                    <w:right w:val="none" w:sz="0" w:space="0" w:color="auto"/>
                  </w:divBdr>
                  <w:divsChild>
                    <w:div w:id="724722676">
                      <w:marLeft w:val="0"/>
                      <w:marRight w:val="0"/>
                      <w:marTop w:val="0"/>
                      <w:marBottom w:val="0"/>
                      <w:divBdr>
                        <w:top w:val="none" w:sz="0" w:space="0" w:color="auto"/>
                        <w:left w:val="none" w:sz="0" w:space="0" w:color="auto"/>
                        <w:bottom w:val="none" w:sz="0" w:space="0" w:color="auto"/>
                        <w:right w:val="none" w:sz="0" w:space="0" w:color="auto"/>
                      </w:divBdr>
                    </w:div>
                  </w:divsChild>
                </w:div>
                <w:div w:id="625162661">
                  <w:marLeft w:val="0"/>
                  <w:marRight w:val="0"/>
                  <w:marTop w:val="0"/>
                  <w:marBottom w:val="0"/>
                  <w:divBdr>
                    <w:top w:val="none" w:sz="0" w:space="0" w:color="auto"/>
                    <w:left w:val="none" w:sz="0" w:space="0" w:color="auto"/>
                    <w:bottom w:val="none" w:sz="0" w:space="0" w:color="auto"/>
                    <w:right w:val="none" w:sz="0" w:space="0" w:color="auto"/>
                  </w:divBdr>
                  <w:divsChild>
                    <w:div w:id="964889024">
                      <w:marLeft w:val="0"/>
                      <w:marRight w:val="0"/>
                      <w:marTop w:val="0"/>
                      <w:marBottom w:val="0"/>
                      <w:divBdr>
                        <w:top w:val="none" w:sz="0" w:space="0" w:color="auto"/>
                        <w:left w:val="none" w:sz="0" w:space="0" w:color="auto"/>
                        <w:bottom w:val="none" w:sz="0" w:space="0" w:color="auto"/>
                        <w:right w:val="none" w:sz="0" w:space="0" w:color="auto"/>
                      </w:divBdr>
                    </w:div>
                  </w:divsChild>
                </w:div>
                <w:div w:id="642393939">
                  <w:marLeft w:val="0"/>
                  <w:marRight w:val="0"/>
                  <w:marTop w:val="0"/>
                  <w:marBottom w:val="0"/>
                  <w:divBdr>
                    <w:top w:val="none" w:sz="0" w:space="0" w:color="auto"/>
                    <w:left w:val="none" w:sz="0" w:space="0" w:color="auto"/>
                    <w:bottom w:val="none" w:sz="0" w:space="0" w:color="auto"/>
                    <w:right w:val="none" w:sz="0" w:space="0" w:color="auto"/>
                  </w:divBdr>
                  <w:divsChild>
                    <w:div w:id="1613128081">
                      <w:marLeft w:val="0"/>
                      <w:marRight w:val="0"/>
                      <w:marTop w:val="0"/>
                      <w:marBottom w:val="0"/>
                      <w:divBdr>
                        <w:top w:val="none" w:sz="0" w:space="0" w:color="auto"/>
                        <w:left w:val="none" w:sz="0" w:space="0" w:color="auto"/>
                        <w:bottom w:val="none" w:sz="0" w:space="0" w:color="auto"/>
                        <w:right w:val="none" w:sz="0" w:space="0" w:color="auto"/>
                      </w:divBdr>
                    </w:div>
                  </w:divsChild>
                </w:div>
                <w:div w:id="683746871">
                  <w:marLeft w:val="0"/>
                  <w:marRight w:val="0"/>
                  <w:marTop w:val="0"/>
                  <w:marBottom w:val="0"/>
                  <w:divBdr>
                    <w:top w:val="none" w:sz="0" w:space="0" w:color="auto"/>
                    <w:left w:val="none" w:sz="0" w:space="0" w:color="auto"/>
                    <w:bottom w:val="none" w:sz="0" w:space="0" w:color="auto"/>
                    <w:right w:val="none" w:sz="0" w:space="0" w:color="auto"/>
                  </w:divBdr>
                  <w:divsChild>
                    <w:div w:id="1489246584">
                      <w:marLeft w:val="0"/>
                      <w:marRight w:val="0"/>
                      <w:marTop w:val="0"/>
                      <w:marBottom w:val="0"/>
                      <w:divBdr>
                        <w:top w:val="none" w:sz="0" w:space="0" w:color="auto"/>
                        <w:left w:val="none" w:sz="0" w:space="0" w:color="auto"/>
                        <w:bottom w:val="none" w:sz="0" w:space="0" w:color="auto"/>
                        <w:right w:val="none" w:sz="0" w:space="0" w:color="auto"/>
                      </w:divBdr>
                    </w:div>
                  </w:divsChild>
                </w:div>
                <w:div w:id="717509946">
                  <w:marLeft w:val="0"/>
                  <w:marRight w:val="0"/>
                  <w:marTop w:val="0"/>
                  <w:marBottom w:val="0"/>
                  <w:divBdr>
                    <w:top w:val="none" w:sz="0" w:space="0" w:color="auto"/>
                    <w:left w:val="none" w:sz="0" w:space="0" w:color="auto"/>
                    <w:bottom w:val="none" w:sz="0" w:space="0" w:color="auto"/>
                    <w:right w:val="none" w:sz="0" w:space="0" w:color="auto"/>
                  </w:divBdr>
                  <w:divsChild>
                    <w:div w:id="857430010">
                      <w:marLeft w:val="0"/>
                      <w:marRight w:val="0"/>
                      <w:marTop w:val="0"/>
                      <w:marBottom w:val="0"/>
                      <w:divBdr>
                        <w:top w:val="none" w:sz="0" w:space="0" w:color="auto"/>
                        <w:left w:val="none" w:sz="0" w:space="0" w:color="auto"/>
                        <w:bottom w:val="none" w:sz="0" w:space="0" w:color="auto"/>
                        <w:right w:val="none" w:sz="0" w:space="0" w:color="auto"/>
                      </w:divBdr>
                    </w:div>
                  </w:divsChild>
                </w:div>
                <w:div w:id="749885483">
                  <w:marLeft w:val="0"/>
                  <w:marRight w:val="0"/>
                  <w:marTop w:val="0"/>
                  <w:marBottom w:val="0"/>
                  <w:divBdr>
                    <w:top w:val="none" w:sz="0" w:space="0" w:color="auto"/>
                    <w:left w:val="none" w:sz="0" w:space="0" w:color="auto"/>
                    <w:bottom w:val="none" w:sz="0" w:space="0" w:color="auto"/>
                    <w:right w:val="none" w:sz="0" w:space="0" w:color="auto"/>
                  </w:divBdr>
                  <w:divsChild>
                    <w:div w:id="442506140">
                      <w:marLeft w:val="0"/>
                      <w:marRight w:val="0"/>
                      <w:marTop w:val="0"/>
                      <w:marBottom w:val="0"/>
                      <w:divBdr>
                        <w:top w:val="none" w:sz="0" w:space="0" w:color="auto"/>
                        <w:left w:val="none" w:sz="0" w:space="0" w:color="auto"/>
                        <w:bottom w:val="none" w:sz="0" w:space="0" w:color="auto"/>
                        <w:right w:val="none" w:sz="0" w:space="0" w:color="auto"/>
                      </w:divBdr>
                    </w:div>
                  </w:divsChild>
                </w:div>
                <w:div w:id="773281834">
                  <w:marLeft w:val="0"/>
                  <w:marRight w:val="0"/>
                  <w:marTop w:val="0"/>
                  <w:marBottom w:val="0"/>
                  <w:divBdr>
                    <w:top w:val="none" w:sz="0" w:space="0" w:color="auto"/>
                    <w:left w:val="none" w:sz="0" w:space="0" w:color="auto"/>
                    <w:bottom w:val="none" w:sz="0" w:space="0" w:color="auto"/>
                    <w:right w:val="none" w:sz="0" w:space="0" w:color="auto"/>
                  </w:divBdr>
                  <w:divsChild>
                    <w:div w:id="1144855252">
                      <w:marLeft w:val="0"/>
                      <w:marRight w:val="0"/>
                      <w:marTop w:val="0"/>
                      <w:marBottom w:val="0"/>
                      <w:divBdr>
                        <w:top w:val="none" w:sz="0" w:space="0" w:color="auto"/>
                        <w:left w:val="none" w:sz="0" w:space="0" w:color="auto"/>
                        <w:bottom w:val="none" w:sz="0" w:space="0" w:color="auto"/>
                        <w:right w:val="none" w:sz="0" w:space="0" w:color="auto"/>
                      </w:divBdr>
                    </w:div>
                    <w:div w:id="1275214850">
                      <w:marLeft w:val="0"/>
                      <w:marRight w:val="0"/>
                      <w:marTop w:val="0"/>
                      <w:marBottom w:val="0"/>
                      <w:divBdr>
                        <w:top w:val="none" w:sz="0" w:space="0" w:color="auto"/>
                        <w:left w:val="none" w:sz="0" w:space="0" w:color="auto"/>
                        <w:bottom w:val="none" w:sz="0" w:space="0" w:color="auto"/>
                        <w:right w:val="none" w:sz="0" w:space="0" w:color="auto"/>
                      </w:divBdr>
                    </w:div>
                  </w:divsChild>
                </w:div>
                <w:div w:id="773474112">
                  <w:marLeft w:val="0"/>
                  <w:marRight w:val="0"/>
                  <w:marTop w:val="0"/>
                  <w:marBottom w:val="0"/>
                  <w:divBdr>
                    <w:top w:val="none" w:sz="0" w:space="0" w:color="auto"/>
                    <w:left w:val="none" w:sz="0" w:space="0" w:color="auto"/>
                    <w:bottom w:val="none" w:sz="0" w:space="0" w:color="auto"/>
                    <w:right w:val="none" w:sz="0" w:space="0" w:color="auto"/>
                  </w:divBdr>
                  <w:divsChild>
                    <w:div w:id="1013218601">
                      <w:marLeft w:val="0"/>
                      <w:marRight w:val="0"/>
                      <w:marTop w:val="0"/>
                      <w:marBottom w:val="0"/>
                      <w:divBdr>
                        <w:top w:val="none" w:sz="0" w:space="0" w:color="auto"/>
                        <w:left w:val="none" w:sz="0" w:space="0" w:color="auto"/>
                        <w:bottom w:val="none" w:sz="0" w:space="0" w:color="auto"/>
                        <w:right w:val="none" w:sz="0" w:space="0" w:color="auto"/>
                      </w:divBdr>
                    </w:div>
                  </w:divsChild>
                </w:div>
                <w:div w:id="819078907">
                  <w:marLeft w:val="0"/>
                  <w:marRight w:val="0"/>
                  <w:marTop w:val="0"/>
                  <w:marBottom w:val="0"/>
                  <w:divBdr>
                    <w:top w:val="none" w:sz="0" w:space="0" w:color="auto"/>
                    <w:left w:val="none" w:sz="0" w:space="0" w:color="auto"/>
                    <w:bottom w:val="none" w:sz="0" w:space="0" w:color="auto"/>
                    <w:right w:val="none" w:sz="0" w:space="0" w:color="auto"/>
                  </w:divBdr>
                  <w:divsChild>
                    <w:div w:id="1798796417">
                      <w:marLeft w:val="0"/>
                      <w:marRight w:val="0"/>
                      <w:marTop w:val="0"/>
                      <w:marBottom w:val="0"/>
                      <w:divBdr>
                        <w:top w:val="none" w:sz="0" w:space="0" w:color="auto"/>
                        <w:left w:val="none" w:sz="0" w:space="0" w:color="auto"/>
                        <w:bottom w:val="none" w:sz="0" w:space="0" w:color="auto"/>
                        <w:right w:val="none" w:sz="0" w:space="0" w:color="auto"/>
                      </w:divBdr>
                    </w:div>
                  </w:divsChild>
                </w:div>
                <w:div w:id="857616887">
                  <w:marLeft w:val="0"/>
                  <w:marRight w:val="0"/>
                  <w:marTop w:val="0"/>
                  <w:marBottom w:val="0"/>
                  <w:divBdr>
                    <w:top w:val="none" w:sz="0" w:space="0" w:color="auto"/>
                    <w:left w:val="none" w:sz="0" w:space="0" w:color="auto"/>
                    <w:bottom w:val="none" w:sz="0" w:space="0" w:color="auto"/>
                    <w:right w:val="none" w:sz="0" w:space="0" w:color="auto"/>
                  </w:divBdr>
                  <w:divsChild>
                    <w:div w:id="1623883763">
                      <w:marLeft w:val="0"/>
                      <w:marRight w:val="0"/>
                      <w:marTop w:val="0"/>
                      <w:marBottom w:val="0"/>
                      <w:divBdr>
                        <w:top w:val="none" w:sz="0" w:space="0" w:color="auto"/>
                        <w:left w:val="none" w:sz="0" w:space="0" w:color="auto"/>
                        <w:bottom w:val="none" w:sz="0" w:space="0" w:color="auto"/>
                        <w:right w:val="none" w:sz="0" w:space="0" w:color="auto"/>
                      </w:divBdr>
                    </w:div>
                  </w:divsChild>
                </w:div>
                <w:div w:id="881938850">
                  <w:marLeft w:val="0"/>
                  <w:marRight w:val="0"/>
                  <w:marTop w:val="0"/>
                  <w:marBottom w:val="0"/>
                  <w:divBdr>
                    <w:top w:val="none" w:sz="0" w:space="0" w:color="auto"/>
                    <w:left w:val="none" w:sz="0" w:space="0" w:color="auto"/>
                    <w:bottom w:val="none" w:sz="0" w:space="0" w:color="auto"/>
                    <w:right w:val="none" w:sz="0" w:space="0" w:color="auto"/>
                  </w:divBdr>
                  <w:divsChild>
                    <w:div w:id="945430002">
                      <w:marLeft w:val="0"/>
                      <w:marRight w:val="0"/>
                      <w:marTop w:val="0"/>
                      <w:marBottom w:val="0"/>
                      <w:divBdr>
                        <w:top w:val="none" w:sz="0" w:space="0" w:color="auto"/>
                        <w:left w:val="none" w:sz="0" w:space="0" w:color="auto"/>
                        <w:bottom w:val="none" w:sz="0" w:space="0" w:color="auto"/>
                        <w:right w:val="none" w:sz="0" w:space="0" w:color="auto"/>
                      </w:divBdr>
                    </w:div>
                    <w:div w:id="947156953">
                      <w:marLeft w:val="0"/>
                      <w:marRight w:val="0"/>
                      <w:marTop w:val="0"/>
                      <w:marBottom w:val="0"/>
                      <w:divBdr>
                        <w:top w:val="none" w:sz="0" w:space="0" w:color="auto"/>
                        <w:left w:val="none" w:sz="0" w:space="0" w:color="auto"/>
                        <w:bottom w:val="none" w:sz="0" w:space="0" w:color="auto"/>
                        <w:right w:val="none" w:sz="0" w:space="0" w:color="auto"/>
                      </w:divBdr>
                    </w:div>
                    <w:div w:id="1735741027">
                      <w:marLeft w:val="0"/>
                      <w:marRight w:val="0"/>
                      <w:marTop w:val="0"/>
                      <w:marBottom w:val="0"/>
                      <w:divBdr>
                        <w:top w:val="none" w:sz="0" w:space="0" w:color="auto"/>
                        <w:left w:val="none" w:sz="0" w:space="0" w:color="auto"/>
                        <w:bottom w:val="none" w:sz="0" w:space="0" w:color="auto"/>
                        <w:right w:val="none" w:sz="0" w:space="0" w:color="auto"/>
                      </w:divBdr>
                    </w:div>
                    <w:div w:id="2048673688">
                      <w:marLeft w:val="0"/>
                      <w:marRight w:val="0"/>
                      <w:marTop w:val="0"/>
                      <w:marBottom w:val="0"/>
                      <w:divBdr>
                        <w:top w:val="none" w:sz="0" w:space="0" w:color="auto"/>
                        <w:left w:val="none" w:sz="0" w:space="0" w:color="auto"/>
                        <w:bottom w:val="none" w:sz="0" w:space="0" w:color="auto"/>
                        <w:right w:val="none" w:sz="0" w:space="0" w:color="auto"/>
                      </w:divBdr>
                    </w:div>
                  </w:divsChild>
                </w:div>
                <w:div w:id="901714674">
                  <w:marLeft w:val="0"/>
                  <w:marRight w:val="0"/>
                  <w:marTop w:val="0"/>
                  <w:marBottom w:val="0"/>
                  <w:divBdr>
                    <w:top w:val="none" w:sz="0" w:space="0" w:color="auto"/>
                    <w:left w:val="none" w:sz="0" w:space="0" w:color="auto"/>
                    <w:bottom w:val="none" w:sz="0" w:space="0" w:color="auto"/>
                    <w:right w:val="none" w:sz="0" w:space="0" w:color="auto"/>
                  </w:divBdr>
                  <w:divsChild>
                    <w:div w:id="10959057">
                      <w:marLeft w:val="0"/>
                      <w:marRight w:val="0"/>
                      <w:marTop w:val="0"/>
                      <w:marBottom w:val="0"/>
                      <w:divBdr>
                        <w:top w:val="none" w:sz="0" w:space="0" w:color="auto"/>
                        <w:left w:val="none" w:sz="0" w:space="0" w:color="auto"/>
                        <w:bottom w:val="none" w:sz="0" w:space="0" w:color="auto"/>
                        <w:right w:val="none" w:sz="0" w:space="0" w:color="auto"/>
                      </w:divBdr>
                    </w:div>
                  </w:divsChild>
                </w:div>
                <w:div w:id="952324960">
                  <w:marLeft w:val="0"/>
                  <w:marRight w:val="0"/>
                  <w:marTop w:val="0"/>
                  <w:marBottom w:val="0"/>
                  <w:divBdr>
                    <w:top w:val="none" w:sz="0" w:space="0" w:color="auto"/>
                    <w:left w:val="none" w:sz="0" w:space="0" w:color="auto"/>
                    <w:bottom w:val="none" w:sz="0" w:space="0" w:color="auto"/>
                    <w:right w:val="none" w:sz="0" w:space="0" w:color="auto"/>
                  </w:divBdr>
                  <w:divsChild>
                    <w:div w:id="1732341109">
                      <w:marLeft w:val="0"/>
                      <w:marRight w:val="0"/>
                      <w:marTop w:val="0"/>
                      <w:marBottom w:val="0"/>
                      <w:divBdr>
                        <w:top w:val="none" w:sz="0" w:space="0" w:color="auto"/>
                        <w:left w:val="none" w:sz="0" w:space="0" w:color="auto"/>
                        <w:bottom w:val="none" w:sz="0" w:space="0" w:color="auto"/>
                        <w:right w:val="none" w:sz="0" w:space="0" w:color="auto"/>
                      </w:divBdr>
                    </w:div>
                  </w:divsChild>
                </w:div>
                <w:div w:id="959872574">
                  <w:marLeft w:val="0"/>
                  <w:marRight w:val="0"/>
                  <w:marTop w:val="0"/>
                  <w:marBottom w:val="0"/>
                  <w:divBdr>
                    <w:top w:val="none" w:sz="0" w:space="0" w:color="auto"/>
                    <w:left w:val="none" w:sz="0" w:space="0" w:color="auto"/>
                    <w:bottom w:val="none" w:sz="0" w:space="0" w:color="auto"/>
                    <w:right w:val="none" w:sz="0" w:space="0" w:color="auto"/>
                  </w:divBdr>
                  <w:divsChild>
                    <w:div w:id="288827259">
                      <w:marLeft w:val="0"/>
                      <w:marRight w:val="0"/>
                      <w:marTop w:val="0"/>
                      <w:marBottom w:val="0"/>
                      <w:divBdr>
                        <w:top w:val="none" w:sz="0" w:space="0" w:color="auto"/>
                        <w:left w:val="none" w:sz="0" w:space="0" w:color="auto"/>
                        <w:bottom w:val="none" w:sz="0" w:space="0" w:color="auto"/>
                        <w:right w:val="none" w:sz="0" w:space="0" w:color="auto"/>
                      </w:divBdr>
                    </w:div>
                  </w:divsChild>
                </w:div>
                <w:div w:id="1010641791">
                  <w:marLeft w:val="0"/>
                  <w:marRight w:val="0"/>
                  <w:marTop w:val="0"/>
                  <w:marBottom w:val="0"/>
                  <w:divBdr>
                    <w:top w:val="none" w:sz="0" w:space="0" w:color="auto"/>
                    <w:left w:val="none" w:sz="0" w:space="0" w:color="auto"/>
                    <w:bottom w:val="none" w:sz="0" w:space="0" w:color="auto"/>
                    <w:right w:val="none" w:sz="0" w:space="0" w:color="auto"/>
                  </w:divBdr>
                  <w:divsChild>
                    <w:div w:id="175579854">
                      <w:marLeft w:val="0"/>
                      <w:marRight w:val="0"/>
                      <w:marTop w:val="0"/>
                      <w:marBottom w:val="0"/>
                      <w:divBdr>
                        <w:top w:val="none" w:sz="0" w:space="0" w:color="auto"/>
                        <w:left w:val="none" w:sz="0" w:space="0" w:color="auto"/>
                        <w:bottom w:val="none" w:sz="0" w:space="0" w:color="auto"/>
                        <w:right w:val="none" w:sz="0" w:space="0" w:color="auto"/>
                      </w:divBdr>
                    </w:div>
                    <w:div w:id="528492957">
                      <w:marLeft w:val="0"/>
                      <w:marRight w:val="0"/>
                      <w:marTop w:val="0"/>
                      <w:marBottom w:val="0"/>
                      <w:divBdr>
                        <w:top w:val="none" w:sz="0" w:space="0" w:color="auto"/>
                        <w:left w:val="none" w:sz="0" w:space="0" w:color="auto"/>
                        <w:bottom w:val="none" w:sz="0" w:space="0" w:color="auto"/>
                        <w:right w:val="none" w:sz="0" w:space="0" w:color="auto"/>
                      </w:divBdr>
                    </w:div>
                    <w:div w:id="562641799">
                      <w:marLeft w:val="0"/>
                      <w:marRight w:val="0"/>
                      <w:marTop w:val="0"/>
                      <w:marBottom w:val="0"/>
                      <w:divBdr>
                        <w:top w:val="none" w:sz="0" w:space="0" w:color="auto"/>
                        <w:left w:val="none" w:sz="0" w:space="0" w:color="auto"/>
                        <w:bottom w:val="none" w:sz="0" w:space="0" w:color="auto"/>
                        <w:right w:val="none" w:sz="0" w:space="0" w:color="auto"/>
                      </w:divBdr>
                    </w:div>
                    <w:div w:id="857622958">
                      <w:marLeft w:val="0"/>
                      <w:marRight w:val="0"/>
                      <w:marTop w:val="0"/>
                      <w:marBottom w:val="0"/>
                      <w:divBdr>
                        <w:top w:val="none" w:sz="0" w:space="0" w:color="auto"/>
                        <w:left w:val="none" w:sz="0" w:space="0" w:color="auto"/>
                        <w:bottom w:val="none" w:sz="0" w:space="0" w:color="auto"/>
                        <w:right w:val="none" w:sz="0" w:space="0" w:color="auto"/>
                      </w:divBdr>
                    </w:div>
                    <w:div w:id="899167170">
                      <w:marLeft w:val="0"/>
                      <w:marRight w:val="0"/>
                      <w:marTop w:val="0"/>
                      <w:marBottom w:val="0"/>
                      <w:divBdr>
                        <w:top w:val="none" w:sz="0" w:space="0" w:color="auto"/>
                        <w:left w:val="none" w:sz="0" w:space="0" w:color="auto"/>
                        <w:bottom w:val="none" w:sz="0" w:space="0" w:color="auto"/>
                        <w:right w:val="none" w:sz="0" w:space="0" w:color="auto"/>
                      </w:divBdr>
                    </w:div>
                    <w:div w:id="910622870">
                      <w:marLeft w:val="0"/>
                      <w:marRight w:val="0"/>
                      <w:marTop w:val="0"/>
                      <w:marBottom w:val="0"/>
                      <w:divBdr>
                        <w:top w:val="none" w:sz="0" w:space="0" w:color="auto"/>
                        <w:left w:val="none" w:sz="0" w:space="0" w:color="auto"/>
                        <w:bottom w:val="none" w:sz="0" w:space="0" w:color="auto"/>
                        <w:right w:val="none" w:sz="0" w:space="0" w:color="auto"/>
                      </w:divBdr>
                    </w:div>
                    <w:div w:id="1872570465">
                      <w:marLeft w:val="0"/>
                      <w:marRight w:val="0"/>
                      <w:marTop w:val="0"/>
                      <w:marBottom w:val="0"/>
                      <w:divBdr>
                        <w:top w:val="none" w:sz="0" w:space="0" w:color="auto"/>
                        <w:left w:val="none" w:sz="0" w:space="0" w:color="auto"/>
                        <w:bottom w:val="none" w:sz="0" w:space="0" w:color="auto"/>
                        <w:right w:val="none" w:sz="0" w:space="0" w:color="auto"/>
                      </w:divBdr>
                    </w:div>
                  </w:divsChild>
                </w:div>
                <w:div w:id="1063676574">
                  <w:marLeft w:val="0"/>
                  <w:marRight w:val="0"/>
                  <w:marTop w:val="0"/>
                  <w:marBottom w:val="0"/>
                  <w:divBdr>
                    <w:top w:val="none" w:sz="0" w:space="0" w:color="auto"/>
                    <w:left w:val="none" w:sz="0" w:space="0" w:color="auto"/>
                    <w:bottom w:val="none" w:sz="0" w:space="0" w:color="auto"/>
                    <w:right w:val="none" w:sz="0" w:space="0" w:color="auto"/>
                  </w:divBdr>
                  <w:divsChild>
                    <w:div w:id="267928148">
                      <w:marLeft w:val="0"/>
                      <w:marRight w:val="0"/>
                      <w:marTop w:val="0"/>
                      <w:marBottom w:val="0"/>
                      <w:divBdr>
                        <w:top w:val="none" w:sz="0" w:space="0" w:color="auto"/>
                        <w:left w:val="none" w:sz="0" w:space="0" w:color="auto"/>
                        <w:bottom w:val="none" w:sz="0" w:space="0" w:color="auto"/>
                        <w:right w:val="none" w:sz="0" w:space="0" w:color="auto"/>
                      </w:divBdr>
                    </w:div>
                  </w:divsChild>
                </w:div>
                <w:div w:id="1090009966">
                  <w:marLeft w:val="0"/>
                  <w:marRight w:val="0"/>
                  <w:marTop w:val="0"/>
                  <w:marBottom w:val="0"/>
                  <w:divBdr>
                    <w:top w:val="none" w:sz="0" w:space="0" w:color="auto"/>
                    <w:left w:val="none" w:sz="0" w:space="0" w:color="auto"/>
                    <w:bottom w:val="none" w:sz="0" w:space="0" w:color="auto"/>
                    <w:right w:val="none" w:sz="0" w:space="0" w:color="auto"/>
                  </w:divBdr>
                  <w:divsChild>
                    <w:div w:id="1570771140">
                      <w:marLeft w:val="0"/>
                      <w:marRight w:val="0"/>
                      <w:marTop w:val="0"/>
                      <w:marBottom w:val="0"/>
                      <w:divBdr>
                        <w:top w:val="none" w:sz="0" w:space="0" w:color="auto"/>
                        <w:left w:val="none" w:sz="0" w:space="0" w:color="auto"/>
                        <w:bottom w:val="none" w:sz="0" w:space="0" w:color="auto"/>
                        <w:right w:val="none" w:sz="0" w:space="0" w:color="auto"/>
                      </w:divBdr>
                    </w:div>
                  </w:divsChild>
                </w:div>
                <w:div w:id="1101876195">
                  <w:marLeft w:val="0"/>
                  <w:marRight w:val="0"/>
                  <w:marTop w:val="0"/>
                  <w:marBottom w:val="0"/>
                  <w:divBdr>
                    <w:top w:val="none" w:sz="0" w:space="0" w:color="auto"/>
                    <w:left w:val="none" w:sz="0" w:space="0" w:color="auto"/>
                    <w:bottom w:val="none" w:sz="0" w:space="0" w:color="auto"/>
                    <w:right w:val="none" w:sz="0" w:space="0" w:color="auto"/>
                  </w:divBdr>
                  <w:divsChild>
                    <w:div w:id="154995234">
                      <w:marLeft w:val="0"/>
                      <w:marRight w:val="0"/>
                      <w:marTop w:val="0"/>
                      <w:marBottom w:val="0"/>
                      <w:divBdr>
                        <w:top w:val="none" w:sz="0" w:space="0" w:color="auto"/>
                        <w:left w:val="none" w:sz="0" w:space="0" w:color="auto"/>
                        <w:bottom w:val="none" w:sz="0" w:space="0" w:color="auto"/>
                        <w:right w:val="none" w:sz="0" w:space="0" w:color="auto"/>
                      </w:divBdr>
                    </w:div>
                  </w:divsChild>
                </w:div>
                <w:div w:id="1170633191">
                  <w:marLeft w:val="0"/>
                  <w:marRight w:val="0"/>
                  <w:marTop w:val="0"/>
                  <w:marBottom w:val="0"/>
                  <w:divBdr>
                    <w:top w:val="none" w:sz="0" w:space="0" w:color="auto"/>
                    <w:left w:val="none" w:sz="0" w:space="0" w:color="auto"/>
                    <w:bottom w:val="none" w:sz="0" w:space="0" w:color="auto"/>
                    <w:right w:val="none" w:sz="0" w:space="0" w:color="auto"/>
                  </w:divBdr>
                  <w:divsChild>
                    <w:div w:id="26029828">
                      <w:marLeft w:val="0"/>
                      <w:marRight w:val="0"/>
                      <w:marTop w:val="0"/>
                      <w:marBottom w:val="0"/>
                      <w:divBdr>
                        <w:top w:val="none" w:sz="0" w:space="0" w:color="auto"/>
                        <w:left w:val="none" w:sz="0" w:space="0" w:color="auto"/>
                        <w:bottom w:val="none" w:sz="0" w:space="0" w:color="auto"/>
                        <w:right w:val="none" w:sz="0" w:space="0" w:color="auto"/>
                      </w:divBdr>
                    </w:div>
                  </w:divsChild>
                </w:div>
                <w:div w:id="1188910503">
                  <w:marLeft w:val="0"/>
                  <w:marRight w:val="0"/>
                  <w:marTop w:val="0"/>
                  <w:marBottom w:val="0"/>
                  <w:divBdr>
                    <w:top w:val="none" w:sz="0" w:space="0" w:color="auto"/>
                    <w:left w:val="none" w:sz="0" w:space="0" w:color="auto"/>
                    <w:bottom w:val="none" w:sz="0" w:space="0" w:color="auto"/>
                    <w:right w:val="none" w:sz="0" w:space="0" w:color="auto"/>
                  </w:divBdr>
                  <w:divsChild>
                    <w:div w:id="1662855763">
                      <w:marLeft w:val="0"/>
                      <w:marRight w:val="0"/>
                      <w:marTop w:val="0"/>
                      <w:marBottom w:val="0"/>
                      <w:divBdr>
                        <w:top w:val="none" w:sz="0" w:space="0" w:color="auto"/>
                        <w:left w:val="none" w:sz="0" w:space="0" w:color="auto"/>
                        <w:bottom w:val="none" w:sz="0" w:space="0" w:color="auto"/>
                        <w:right w:val="none" w:sz="0" w:space="0" w:color="auto"/>
                      </w:divBdr>
                    </w:div>
                    <w:div w:id="1749116340">
                      <w:marLeft w:val="0"/>
                      <w:marRight w:val="0"/>
                      <w:marTop w:val="0"/>
                      <w:marBottom w:val="0"/>
                      <w:divBdr>
                        <w:top w:val="none" w:sz="0" w:space="0" w:color="auto"/>
                        <w:left w:val="none" w:sz="0" w:space="0" w:color="auto"/>
                        <w:bottom w:val="none" w:sz="0" w:space="0" w:color="auto"/>
                        <w:right w:val="none" w:sz="0" w:space="0" w:color="auto"/>
                      </w:divBdr>
                    </w:div>
                  </w:divsChild>
                </w:div>
                <w:div w:id="1221552204">
                  <w:marLeft w:val="0"/>
                  <w:marRight w:val="0"/>
                  <w:marTop w:val="0"/>
                  <w:marBottom w:val="0"/>
                  <w:divBdr>
                    <w:top w:val="none" w:sz="0" w:space="0" w:color="auto"/>
                    <w:left w:val="none" w:sz="0" w:space="0" w:color="auto"/>
                    <w:bottom w:val="none" w:sz="0" w:space="0" w:color="auto"/>
                    <w:right w:val="none" w:sz="0" w:space="0" w:color="auto"/>
                  </w:divBdr>
                  <w:divsChild>
                    <w:div w:id="2067993853">
                      <w:marLeft w:val="0"/>
                      <w:marRight w:val="0"/>
                      <w:marTop w:val="0"/>
                      <w:marBottom w:val="0"/>
                      <w:divBdr>
                        <w:top w:val="none" w:sz="0" w:space="0" w:color="auto"/>
                        <w:left w:val="none" w:sz="0" w:space="0" w:color="auto"/>
                        <w:bottom w:val="none" w:sz="0" w:space="0" w:color="auto"/>
                        <w:right w:val="none" w:sz="0" w:space="0" w:color="auto"/>
                      </w:divBdr>
                    </w:div>
                  </w:divsChild>
                </w:div>
                <w:div w:id="1248657766">
                  <w:marLeft w:val="0"/>
                  <w:marRight w:val="0"/>
                  <w:marTop w:val="0"/>
                  <w:marBottom w:val="0"/>
                  <w:divBdr>
                    <w:top w:val="none" w:sz="0" w:space="0" w:color="auto"/>
                    <w:left w:val="none" w:sz="0" w:space="0" w:color="auto"/>
                    <w:bottom w:val="none" w:sz="0" w:space="0" w:color="auto"/>
                    <w:right w:val="none" w:sz="0" w:space="0" w:color="auto"/>
                  </w:divBdr>
                  <w:divsChild>
                    <w:div w:id="708922775">
                      <w:marLeft w:val="0"/>
                      <w:marRight w:val="0"/>
                      <w:marTop w:val="0"/>
                      <w:marBottom w:val="0"/>
                      <w:divBdr>
                        <w:top w:val="none" w:sz="0" w:space="0" w:color="auto"/>
                        <w:left w:val="none" w:sz="0" w:space="0" w:color="auto"/>
                        <w:bottom w:val="none" w:sz="0" w:space="0" w:color="auto"/>
                        <w:right w:val="none" w:sz="0" w:space="0" w:color="auto"/>
                      </w:divBdr>
                    </w:div>
                  </w:divsChild>
                </w:div>
                <w:div w:id="1273441987">
                  <w:marLeft w:val="0"/>
                  <w:marRight w:val="0"/>
                  <w:marTop w:val="0"/>
                  <w:marBottom w:val="0"/>
                  <w:divBdr>
                    <w:top w:val="none" w:sz="0" w:space="0" w:color="auto"/>
                    <w:left w:val="none" w:sz="0" w:space="0" w:color="auto"/>
                    <w:bottom w:val="none" w:sz="0" w:space="0" w:color="auto"/>
                    <w:right w:val="none" w:sz="0" w:space="0" w:color="auto"/>
                  </w:divBdr>
                  <w:divsChild>
                    <w:div w:id="457574826">
                      <w:marLeft w:val="0"/>
                      <w:marRight w:val="0"/>
                      <w:marTop w:val="0"/>
                      <w:marBottom w:val="0"/>
                      <w:divBdr>
                        <w:top w:val="none" w:sz="0" w:space="0" w:color="auto"/>
                        <w:left w:val="none" w:sz="0" w:space="0" w:color="auto"/>
                        <w:bottom w:val="none" w:sz="0" w:space="0" w:color="auto"/>
                        <w:right w:val="none" w:sz="0" w:space="0" w:color="auto"/>
                      </w:divBdr>
                    </w:div>
                    <w:div w:id="1014188812">
                      <w:marLeft w:val="0"/>
                      <w:marRight w:val="0"/>
                      <w:marTop w:val="0"/>
                      <w:marBottom w:val="0"/>
                      <w:divBdr>
                        <w:top w:val="none" w:sz="0" w:space="0" w:color="auto"/>
                        <w:left w:val="none" w:sz="0" w:space="0" w:color="auto"/>
                        <w:bottom w:val="none" w:sz="0" w:space="0" w:color="auto"/>
                        <w:right w:val="none" w:sz="0" w:space="0" w:color="auto"/>
                      </w:divBdr>
                    </w:div>
                  </w:divsChild>
                </w:div>
                <w:div w:id="1295865834">
                  <w:marLeft w:val="0"/>
                  <w:marRight w:val="0"/>
                  <w:marTop w:val="0"/>
                  <w:marBottom w:val="0"/>
                  <w:divBdr>
                    <w:top w:val="none" w:sz="0" w:space="0" w:color="auto"/>
                    <w:left w:val="none" w:sz="0" w:space="0" w:color="auto"/>
                    <w:bottom w:val="none" w:sz="0" w:space="0" w:color="auto"/>
                    <w:right w:val="none" w:sz="0" w:space="0" w:color="auto"/>
                  </w:divBdr>
                  <w:divsChild>
                    <w:div w:id="694427039">
                      <w:marLeft w:val="0"/>
                      <w:marRight w:val="0"/>
                      <w:marTop w:val="0"/>
                      <w:marBottom w:val="0"/>
                      <w:divBdr>
                        <w:top w:val="none" w:sz="0" w:space="0" w:color="auto"/>
                        <w:left w:val="none" w:sz="0" w:space="0" w:color="auto"/>
                        <w:bottom w:val="none" w:sz="0" w:space="0" w:color="auto"/>
                        <w:right w:val="none" w:sz="0" w:space="0" w:color="auto"/>
                      </w:divBdr>
                    </w:div>
                    <w:div w:id="1808622771">
                      <w:marLeft w:val="0"/>
                      <w:marRight w:val="0"/>
                      <w:marTop w:val="0"/>
                      <w:marBottom w:val="0"/>
                      <w:divBdr>
                        <w:top w:val="none" w:sz="0" w:space="0" w:color="auto"/>
                        <w:left w:val="none" w:sz="0" w:space="0" w:color="auto"/>
                        <w:bottom w:val="none" w:sz="0" w:space="0" w:color="auto"/>
                        <w:right w:val="none" w:sz="0" w:space="0" w:color="auto"/>
                      </w:divBdr>
                    </w:div>
                  </w:divsChild>
                </w:div>
                <w:div w:id="1335449577">
                  <w:marLeft w:val="0"/>
                  <w:marRight w:val="0"/>
                  <w:marTop w:val="0"/>
                  <w:marBottom w:val="0"/>
                  <w:divBdr>
                    <w:top w:val="none" w:sz="0" w:space="0" w:color="auto"/>
                    <w:left w:val="none" w:sz="0" w:space="0" w:color="auto"/>
                    <w:bottom w:val="none" w:sz="0" w:space="0" w:color="auto"/>
                    <w:right w:val="none" w:sz="0" w:space="0" w:color="auto"/>
                  </w:divBdr>
                  <w:divsChild>
                    <w:div w:id="1827548939">
                      <w:marLeft w:val="0"/>
                      <w:marRight w:val="0"/>
                      <w:marTop w:val="0"/>
                      <w:marBottom w:val="0"/>
                      <w:divBdr>
                        <w:top w:val="none" w:sz="0" w:space="0" w:color="auto"/>
                        <w:left w:val="none" w:sz="0" w:space="0" w:color="auto"/>
                        <w:bottom w:val="none" w:sz="0" w:space="0" w:color="auto"/>
                        <w:right w:val="none" w:sz="0" w:space="0" w:color="auto"/>
                      </w:divBdr>
                    </w:div>
                    <w:div w:id="2001613840">
                      <w:marLeft w:val="0"/>
                      <w:marRight w:val="0"/>
                      <w:marTop w:val="0"/>
                      <w:marBottom w:val="0"/>
                      <w:divBdr>
                        <w:top w:val="none" w:sz="0" w:space="0" w:color="auto"/>
                        <w:left w:val="none" w:sz="0" w:space="0" w:color="auto"/>
                        <w:bottom w:val="none" w:sz="0" w:space="0" w:color="auto"/>
                        <w:right w:val="none" w:sz="0" w:space="0" w:color="auto"/>
                      </w:divBdr>
                    </w:div>
                  </w:divsChild>
                </w:div>
                <w:div w:id="1338338911">
                  <w:marLeft w:val="0"/>
                  <w:marRight w:val="0"/>
                  <w:marTop w:val="0"/>
                  <w:marBottom w:val="0"/>
                  <w:divBdr>
                    <w:top w:val="none" w:sz="0" w:space="0" w:color="auto"/>
                    <w:left w:val="none" w:sz="0" w:space="0" w:color="auto"/>
                    <w:bottom w:val="none" w:sz="0" w:space="0" w:color="auto"/>
                    <w:right w:val="none" w:sz="0" w:space="0" w:color="auto"/>
                  </w:divBdr>
                  <w:divsChild>
                    <w:div w:id="1442917511">
                      <w:marLeft w:val="0"/>
                      <w:marRight w:val="0"/>
                      <w:marTop w:val="0"/>
                      <w:marBottom w:val="0"/>
                      <w:divBdr>
                        <w:top w:val="none" w:sz="0" w:space="0" w:color="auto"/>
                        <w:left w:val="none" w:sz="0" w:space="0" w:color="auto"/>
                        <w:bottom w:val="none" w:sz="0" w:space="0" w:color="auto"/>
                        <w:right w:val="none" w:sz="0" w:space="0" w:color="auto"/>
                      </w:divBdr>
                    </w:div>
                  </w:divsChild>
                </w:div>
                <w:div w:id="1386366328">
                  <w:marLeft w:val="0"/>
                  <w:marRight w:val="0"/>
                  <w:marTop w:val="0"/>
                  <w:marBottom w:val="0"/>
                  <w:divBdr>
                    <w:top w:val="none" w:sz="0" w:space="0" w:color="auto"/>
                    <w:left w:val="none" w:sz="0" w:space="0" w:color="auto"/>
                    <w:bottom w:val="none" w:sz="0" w:space="0" w:color="auto"/>
                    <w:right w:val="none" w:sz="0" w:space="0" w:color="auto"/>
                  </w:divBdr>
                  <w:divsChild>
                    <w:div w:id="1876116280">
                      <w:marLeft w:val="0"/>
                      <w:marRight w:val="0"/>
                      <w:marTop w:val="0"/>
                      <w:marBottom w:val="0"/>
                      <w:divBdr>
                        <w:top w:val="none" w:sz="0" w:space="0" w:color="auto"/>
                        <w:left w:val="none" w:sz="0" w:space="0" w:color="auto"/>
                        <w:bottom w:val="none" w:sz="0" w:space="0" w:color="auto"/>
                        <w:right w:val="none" w:sz="0" w:space="0" w:color="auto"/>
                      </w:divBdr>
                    </w:div>
                  </w:divsChild>
                </w:div>
                <w:div w:id="1485388920">
                  <w:marLeft w:val="0"/>
                  <w:marRight w:val="0"/>
                  <w:marTop w:val="0"/>
                  <w:marBottom w:val="0"/>
                  <w:divBdr>
                    <w:top w:val="none" w:sz="0" w:space="0" w:color="auto"/>
                    <w:left w:val="none" w:sz="0" w:space="0" w:color="auto"/>
                    <w:bottom w:val="none" w:sz="0" w:space="0" w:color="auto"/>
                    <w:right w:val="none" w:sz="0" w:space="0" w:color="auto"/>
                  </w:divBdr>
                  <w:divsChild>
                    <w:div w:id="1203635853">
                      <w:marLeft w:val="0"/>
                      <w:marRight w:val="0"/>
                      <w:marTop w:val="0"/>
                      <w:marBottom w:val="0"/>
                      <w:divBdr>
                        <w:top w:val="none" w:sz="0" w:space="0" w:color="auto"/>
                        <w:left w:val="none" w:sz="0" w:space="0" w:color="auto"/>
                        <w:bottom w:val="none" w:sz="0" w:space="0" w:color="auto"/>
                        <w:right w:val="none" w:sz="0" w:space="0" w:color="auto"/>
                      </w:divBdr>
                    </w:div>
                  </w:divsChild>
                </w:div>
                <w:div w:id="1499883272">
                  <w:marLeft w:val="0"/>
                  <w:marRight w:val="0"/>
                  <w:marTop w:val="0"/>
                  <w:marBottom w:val="0"/>
                  <w:divBdr>
                    <w:top w:val="none" w:sz="0" w:space="0" w:color="auto"/>
                    <w:left w:val="none" w:sz="0" w:space="0" w:color="auto"/>
                    <w:bottom w:val="none" w:sz="0" w:space="0" w:color="auto"/>
                    <w:right w:val="none" w:sz="0" w:space="0" w:color="auto"/>
                  </w:divBdr>
                  <w:divsChild>
                    <w:div w:id="1833451019">
                      <w:marLeft w:val="0"/>
                      <w:marRight w:val="0"/>
                      <w:marTop w:val="0"/>
                      <w:marBottom w:val="0"/>
                      <w:divBdr>
                        <w:top w:val="none" w:sz="0" w:space="0" w:color="auto"/>
                        <w:left w:val="none" w:sz="0" w:space="0" w:color="auto"/>
                        <w:bottom w:val="none" w:sz="0" w:space="0" w:color="auto"/>
                        <w:right w:val="none" w:sz="0" w:space="0" w:color="auto"/>
                      </w:divBdr>
                    </w:div>
                  </w:divsChild>
                </w:div>
                <w:div w:id="1536692838">
                  <w:marLeft w:val="0"/>
                  <w:marRight w:val="0"/>
                  <w:marTop w:val="0"/>
                  <w:marBottom w:val="0"/>
                  <w:divBdr>
                    <w:top w:val="none" w:sz="0" w:space="0" w:color="auto"/>
                    <w:left w:val="none" w:sz="0" w:space="0" w:color="auto"/>
                    <w:bottom w:val="none" w:sz="0" w:space="0" w:color="auto"/>
                    <w:right w:val="none" w:sz="0" w:space="0" w:color="auto"/>
                  </w:divBdr>
                  <w:divsChild>
                    <w:div w:id="879128733">
                      <w:marLeft w:val="0"/>
                      <w:marRight w:val="0"/>
                      <w:marTop w:val="0"/>
                      <w:marBottom w:val="0"/>
                      <w:divBdr>
                        <w:top w:val="none" w:sz="0" w:space="0" w:color="auto"/>
                        <w:left w:val="none" w:sz="0" w:space="0" w:color="auto"/>
                        <w:bottom w:val="none" w:sz="0" w:space="0" w:color="auto"/>
                        <w:right w:val="none" w:sz="0" w:space="0" w:color="auto"/>
                      </w:divBdr>
                    </w:div>
                  </w:divsChild>
                </w:div>
                <w:div w:id="1642615937">
                  <w:marLeft w:val="0"/>
                  <w:marRight w:val="0"/>
                  <w:marTop w:val="0"/>
                  <w:marBottom w:val="0"/>
                  <w:divBdr>
                    <w:top w:val="none" w:sz="0" w:space="0" w:color="auto"/>
                    <w:left w:val="none" w:sz="0" w:space="0" w:color="auto"/>
                    <w:bottom w:val="none" w:sz="0" w:space="0" w:color="auto"/>
                    <w:right w:val="none" w:sz="0" w:space="0" w:color="auto"/>
                  </w:divBdr>
                  <w:divsChild>
                    <w:div w:id="176621194">
                      <w:marLeft w:val="0"/>
                      <w:marRight w:val="0"/>
                      <w:marTop w:val="0"/>
                      <w:marBottom w:val="0"/>
                      <w:divBdr>
                        <w:top w:val="none" w:sz="0" w:space="0" w:color="auto"/>
                        <w:left w:val="none" w:sz="0" w:space="0" w:color="auto"/>
                        <w:bottom w:val="none" w:sz="0" w:space="0" w:color="auto"/>
                        <w:right w:val="none" w:sz="0" w:space="0" w:color="auto"/>
                      </w:divBdr>
                    </w:div>
                  </w:divsChild>
                </w:div>
                <w:div w:id="1673752868">
                  <w:marLeft w:val="0"/>
                  <w:marRight w:val="0"/>
                  <w:marTop w:val="0"/>
                  <w:marBottom w:val="0"/>
                  <w:divBdr>
                    <w:top w:val="none" w:sz="0" w:space="0" w:color="auto"/>
                    <w:left w:val="none" w:sz="0" w:space="0" w:color="auto"/>
                    <w:bottom w:val="none" w:sz="0" w:space="0" w:color="auto"/>
                    <w:right w:val="none" w:sz="0" w:space="0" w:color="auto"/>
                  </w:divBdr>
                  <w:divsChild>
                    <w:div w:id="1998604489">
                      <w:marLeft w:val="0"/>
                      <w:marRight w:val="0"/>
                      <w:marTop w:val="0"/>
                      <w:marBottom w:val="0"/>
                      <w:divBdr>
                        <w:top w:val="none" w:sz="0" w:space="0" w:color="auto"/>
                        <w:left w:val="none" w:sz="0" w:space="0" w:color="auto"/>
                        <w:bottom w:val="none" w:sz="0" w:space="0" w:color="auto"/>
                        <w:right w:val="none" w:sz="0" w:space="0" w:color="auto"/>
                      </w:divBdr>
                    </w:div>
                  </w:divsChild>
                </w:div>
                <w:div w:id="1695305308">
                  <w:marLeft w:val="0"/>
                  <w:marRight w:val="0"/>
                  <w:marTop w:val="0"/>
                  <w:marBottom w:val="0"/>
                  <w:divBdr>
                    <w:top w:val="none" w:sz="0" w:space="0" w:color="auto"/>
                    <w:left w:val="none" w:sz="0" w:space="0" w:color="auto"/>
                    <w:bottom w:val="none" w:sz="0" w:space="0" w:color="auto"/>
                    <w:right w:val="none" w:sz="0" w:space="0" w:color="auto"/>
                  </w:divBdr>
                  <w:divsChild>
                    <w:div w:id="1126043805">
                      <w:marLeft w:val="0"/>
                      <w:marRight w:val="0"/>
                      <w:marTop w:val="0"/>
                      <w:marBottom w:val="0"/>
                      <w:divBdr>
                        <w:top w:val="none" w:sz="0" w:space="0" w:color="auto"/>
                        <w:left w:val="none" w:sz="0" w:space="0" w:color="auto"/>
                        <w:bottom w:val="none" w:sz="0" w:space="0" w:color="auto"/>
                        <w:right w:val="none" w:sz="0" w:space="0" w:color="auto"/>
                      </w:divBdr>
                    </w:div>
                  </w:divsChild>
                </w:div>
                <w:div w:id="1710690863">
                  <w:marLeft w:val="0"/>
                  <w:marRight w:val="0"/>
                  <w:marTop w:val="0"/>
                  <w:marBottom w:val="0"/>
                  <w:divBdr>
                    <w:top w:val="none" w:sz="0" w:space="0" w:color="auto"/>
                    <w:left w:val="none" w:sz="0" w:space="0" w:color="auto"/>
                    <w:bottom w:val="none" w:sz="0" w:space="0" w:color="auto"/>
                    <w:right w:val="none" w:sz="0" w:space="0" w:color="auto"/>
                  </w:divBdr>
                  <w:divsChild>
                    <w:div w:id="627904966">
                      <w:marLeft w:val="0"/>
                      <w:marRight w:val="0"/>
                      <w:marTop w:val="0"/>
                      <w:marBottom w:val="0"/>
                      <w:divBdr>
                        <w:top w:val="none" w:sz="0" w:space="0" w:color="auto"/>
                        <w:left w:val="none" w:sz="0" w:space="0" w:color="auto"/>
                        <w:bottom w:val="none" w:sz="0" w:space="0" w:color="auto"/>
                        <w:right w:val="none" w:sz="0" w:space="0" w:color="auto"/>
                      </w:divBdr>
                    </w:div>
                    <w:div w:id="739207241">
                      <w:marLeft w:val="0"/>
                      <w:marRight w:val="0"/>
                      <w:marTop w:val="0"/>
                      <w:marBottom w:val="0"/>
                      <w:divBdr>
                        <w:top w:val="none" w:sz="0" w:space="0" w:color="auto"/>
                        <w:left w:val="none" w:sz="0" w:space="0" w:color="auto"/>
                        <w:bottom w:val="none" w:sz="0" w:space="0" w:color="auto"/>
                        <w:right w:val="none" w:sz="0" w:space="0" w:color="auto"/>
                      </w:divBdr>
                    </w:div>
                    <w:div w:id="945384371">
                      <w:marLeft w:val="0"/>
                      <w:marRight w:val="0"/>
                      <w:marTop w:val="0"/>
                      <w:marBottom w:val="0"/>
                      <w:divBdr>
                        <w:top w:val="none" w:sz="0" w:space="0" w:color="auto"/>
                        <w:left w:val="none" w:sz="0" w:space="0" w:color="auto"/>
                        <w:bottom w:val="none" w:sz="0" w:space="0" w:color="auto"/>
                        <w:right w:val="none" w:sz="0" w:space="0" w:color="auto"/>
                      </w:divBdr>
                    </w:div>
                    <w:div w:id="1193347183">
                      <w:marLeft w:val="0"/>
                      <w:marRight w:val="0"/>
                      <w:marTop w:val="0"/>
                      <w:marBottom w:val="0"/>
                      <w:divBdr>
                        <w:top w:val="none" w:sz="0" w:space="0" w:color="auto"/>
                        <w:left w:val="none" w:sz="0" w:space="0" w:color="auto"/>
                        <w:bottom w:val="none" w:sz="0" w:space="0" w:color="auto"/>
                        <w:right w:val="none" w:sz="0" w:space="0" w:color="auto"/>
                      </w:divBdr>
                    </w:div>
                    <w:div w:id="1550071210">
                      <w:marLeft w:val="0"/>
                      <w:marRight w:val="0"/>
                      <w:marTop w:val="0"/>
                      <w:marBottom w:val="0"/>
                      <w:divBdr>
                        <w:top w:val="none" w:sz="0" w:space="0" w:color="auto"/>
                        <w:left w:val="none" w:sz="0" w:space="0" w:color="auto"/>
                        <w:bottom w:val="none" w:sz="0" w:space="0" w:color="auto"/>
                        <w:right w:val="none" w:sz="0" w:space="0" w:color="auto"/>
                      </w:divBdr>
                    </w:div>
                    <w:div w:id="1562206803">
                      <w:marLeft w:val="0"/>
                      <w:marRight w:val="0"/>
                      <w:marTop w:val="0"/>
                      <w:marBottom w:val="0"/>
                      <w:divBdr>
                        <w:top w:val="none" w:sz="0" w:space="0" w:color="auto"/>
                        <w:left w:val="none" w:sz="0" w:space="0" w:color="auto"/>
                        <w:bottom w:val="none" w:sz="0" w:space="0" w:color="auto"/>
                        <w:right w:val="none" w:sz="0" w:space="0" w:color="auto"/>
                      </w:divBdr>
                    </w:div>
                    <w:div w:id="1605307351">
                      <w:marLeft w:val="0"/>
                      <w:marRight w:val="0"/>
                      <w:marTop w:val="0"/>
                      <w:marBottom w:val="0"/>
                      <w:divBdr>
                        <w:top w:val="none" w:sz="0" w:space="0" w:color="auto"/>
                        <w:left w:val="none" w:sz="0" w:space="0" w:color="auto"/>
                        <w:bottom w:val="none" w:sz="0" w:space="0" w:color="auto"/>
                        <w:right w:val="none" w:sz="0" w:space="0" w:color="auto"/>
                      </w:divBdr>
                    </w:div>
                  </w:divsChild>
                </w:div>
                <w:div w:id="1771200242">
                  <w:marLeft w:val="0"/>
                  <w:marRight w:val="0"/>
                  <w:marTop w:val="0"/>
                  <w:marBottom w:val="0"/>
                  <w:divBdr>
                    <w:top w:val="none" w:sz="0" w:space="0" w:color="auto"/>
                    <w:left w:val="none" w:sz="0" w:space="0" w:color="auto"/>
                    <w:bottom w:val="none" w:sz="0" w:space="0" w:color="auto"/>
                    <w:right w:val="none" w:sz="0" w:space="0" w:color="auto"/>
                  </w:divBdr>
                  <w:divsChild>
                    <w:div w:id="251134929">
                      <w:marLeft w:val="0"/>
                      <w:marRight w:val="0"/>
                      <w:marTop w:val="0"/>
                      <w:marBottom w:val="0"/>
                      <w:divBdr>
                        <w:top w:val="none" w:sz="0" w:space="0" w:color="auto"/>
                        <w:left w:val="none" w:sz="0" w:space="0" w:color="auto"/>
                        <w:bottom w:val="none" w:sz="0" w:space="0" w:color="auto"/>
                        <w:right w:val="none" w:sz="0" w:space="0" w:color="auto"/>
                      </w:divBdr>
                    </w:div>
                  </w:divsChild>
                </w:div>
                <w:div w:id="1853838317">
                  <w:marLeft w:val="0"/>
                  <w:marRight w:val="0"/>
                  <w:marTop w:val="0"/>
                  <w:marBottom w:val="0"/>
                  <w:divBdr>
                    <w:top w:val="none" w:sz="0" w:space="0" w:color="auto"/>
                    <w:left w:val="none" w:sz="0" w:space="0" w:color="auto"/>
                    <w:bottom w:val="none" w:sz="0" w:space="0" w:color="auto"/>
                    <w:right w:val="none" w:sz="0" w:space="0" w:color="auto"/>
                  </w:divBdr>
                  <w:divsChild>
                    <w:div w:id="2046444144">
                      <w:marLeft w:val="0"/>
                      <w:marRight w:val="0"/>
                      <w:marTop w:val="0"/>
                      <w:marBottom w:val="0"/>
                      <w:divBdr>
                        <w:top w:val="none" w:sz="0" w:space="0" w:color="auto"/>
                        <w:left w:val="none" w:sz="0" w:space="0" w:color="auto"/>
                        <w:bottom w:val="none" w:sz="0" w:space="0" w:color="auto"/>
                        <w:right w:val="none" w:sz="0" w:space="0" w:color="auto"/>
                      </w:divBdr>
                    </w:div>
                  </w:divsChild>
                </w:div>
                <w:div w:id="1877233266">
                  <w:marLeft w:val="0"/>
                  <w:marRight w:val="0"/>
                  <w:marTop w:val="0"/>
                  <w:marBottom w:val="0"/>
                  <w:divBdr>
                    <w:top w:val="none" w:sz="0" w:space="0" w:color="auto"/>
                    <w:left w:val="none" w:sz="0" w:space="0" w:color="auto"/>
                    <w:bottom w:val="none" w:sz="0" w:space="0" w:color="auto"/>
                    <w:right w:val="none" w:sz="0" w:space="0" w:color="auto"/>
                  </w:divBdr>
                  <w:divsChild>
                    <w:div w:id="1566991980">
                      <w:marLeft w:val="0"/>
                      <w:marRight w:val="0"/>
                      <w:marTop w:val="0"/>
                      <w:marBottom w:val="0"/>
                      <w:divBdr>
                        <w:top w:val="none" w:sz="0" w:space="0" w:color="auto"/>
                        <w:left w:val="none" w:sz="0" w:space="0" w:color="auto"/>
                        <w:bottom w:val="none" w:sz="0" w:space="0" w:color="auto"/>
                        <w:right w:val="none" w:sz="0" w:space="0" w:color="auto"/>
                      </w:divBdr>
                    </w:div>
                  </w:divsChild>
                </w:div>
                <w:div w:id="1905144448">
                  <w:marLeft w:val="0"/>
                  <w:marRight w:val="0"/>
                  <w:marTop w:val="0"/>
                  <w:marBottom w:val="0"/>
                  <w:divBdr>
                    <w:top w:val="none" w:sz="0" w:space="0" w:color="auto"/>
                    <w:left w:val="none" w:sz="0" w:space="0" w:color="auto"/>
                    <w:bottom w:val="none" w:sz="0" w:space="0" w:color="auto"/>
                    <w:right w:val="none" w:sz="0" w:space="0" w:color="auto"/>
                  </w:divBdr>
                  <w:divsChild>
                    <w:div w:id="1192844721">
                      <w:marLeft w:val="0"/>
                      <w:marRight w:val="0"/>
                      <w:marTop w:val="0"/>
                      <w:marBottom w:val="0"/>
                      <w:divBdr>
                        <w:top w:val="none" w:sz="0" w:space="0" w:color="auto"/>
                        <w:left w:val="none" w:sz="0" w:space="0" w:color="auto"/>
                        <w:bottom w:val="none" w:sz="0" w:space="0" w:color="auto"/>
                        <w:right w:val="none" w:sz="0" w:space="0" w:color="auto"/>
                      </w:divBdr>
                    </w:div>
                  </w:divsChild>
                </w:div>
                <w:div w:id="1944262739">
                  <w:marLeft w:val="0"/>
                  <w:marRight w:val="0"/>
                  <w:marTop w:val="0"/>
                  <w:marBottom w:val="0"/>
                  <w:divBdr>
                    <w:top w:val="none" w:sz="0" w:space="0" w:color="auto"/>
                    <w:left w:val="none" w:sz="0" w:space="0" w:color="auto"/>
                    <w:bottom w:val="none" w:sz="0" w:space="0" w:color="auto"/>
                    <w:right w:val="none" w:sz="0" w:space="0" w:color="auto"/>
                  </w:divBdr>
                  <w:divsChild>
                    <w:div w:id="843978249">
                      <w:marLeft w:val="0"/>
                      <w:marRight w:val="0"/>
                      <w:marTop w:val="0"/>
                      <w:marBottom w:val="0"/>
                      <w:divBdr>
                        <w:top w:val="none" w:sz="0" w:space="0" w:color="auto"/>
                        <w:left w:val="none" w:sz="0" w:space="0" w:color="auto"/>
                        <w:bottom w:val="none" w:sz="0" w:space="0" w:color="auto"/>
                        <w:right w:val="none" w:sz="0" w:space="0" w:color="auto"/>
                      </w:divBdr>
                    </w:div>
                  </w:divsChild>
                </w:div>
                <w:div w:id="1947345357">
                  <w:marLeft w:val="0"/>
                  <w:marRight w:val="0"/>
                  <w:marTop w:val="0"/>
                  <w:marBottom w:val="0"/>
                  <w:divBdr>
                    <w:top w:val="none" w:sz="0" w:space="0" w:color="auto"/>
                    <w:left w:val="none" w:sz="0" w:space="0" w:color="auto"/>
                    <w:bottom w:val="none" w:sz="0" w:space="0" w:color="auto"/>
                    <w:right w:val="none" w:sz="0" w:space="0" w:color="auto"/>
                  </w:divBdr>
                  <w:divsChild>
                    <w:div w:id="322010441">
                      <w:marLeft w:val="0"/>
                      <w:marRight w:val="0"/>
                      <w:marTop w:val="0"/>
                      <w:marBottom w:val="0"/>
                      <w:divBdr>
                        <w:top w:val="none" w:sz="0" w:space="0" w:color="auto"/>
                        <w:left w:val="none" w:sz="0" w:space="0" w:color="auto"/>
                        <w:bottom w:val="none" w:sz="0" w:space="0" w:color="auto"/>
                        <w:right w:val="none" w:sz="0" w:space="0" w:color="auto"/>
                      </w:divBdr>
                    </w:div>
                  </w:divsChild>
                </w:div>
                <w:div w:id="1968461822">
                  <w:marLeft w:val="0"/>
                  <w:marRight w:val="0"/>
                  <w:marTop w:val="0"/>
                  <w:marBottom w:val="0"/>
                  <w:divBdr>
                    <w:top w:val="none" w:sz="0" w:space="0" w:color="auto"/>
                    <w:left w:val="none" w:sz="0" w:space="0" w:color="auto"/>
                    <w:bottom w:val="none" w:sz="0" w:space="0" w:color="auto"/>
                    <w:right w:val="none" w:sz="0" w:space="0" w:color="auto"/>
                  </w:divBdr>
                  <w:divsChild>
                    <w:div w:id="252977751">
                      <w:marLeft w:val="0"/>
                      <w:marRight w:val="0"/>
                      <w:marTop w:val="0"/>
                      <w:marBottom w:val="0"/>
                      <w:divBdr>
                        <w:top w:val="none" w:sz="0" w:space="0" w:color="auto"/>
                        <w:left w:val="none" w:sz="0" w:space="0" w:color="auto"/>
                        <w:bottom w:val="none" w:sz="0" w:space="0" w:color="auto"/>
                        <w:right w:val="none" w:sz="0" w:space="0" w:color="auto"/>
                      </w:divBdr>
                    </w:div>
                  </w:divsChild>
                </w:div>
                <w:div w:id="1990859111">
                  <w:marLeft w:val="0"/>
                  <w:marRight w:val="0"/>
                  <w:marTop w:val="0"/>
                  <w:marBottom w:val="0"/>
                  <w:divBdr>
                    <w:top w:val="none" w:sz="0" w:space="0" w:color="auto"/>
                    <w:left w:val="none" w:sz="0" w:space="0" w:color="auto"/>
                    <w:bottom w:val="none" w:sz="0" w:space="0" w:color="auto"/>
                    <w:right w:val="none" w:sz="0" w:space="0" w:color="auto"/>
                  </w:divBdr>
                  <w:divsChild>
                    <w:div w:id="1054620305">
                      <w:marLeft w:val="0"/>
                      <w:marRight w:val="0"/>
                      <w:marTop w:val="0"/>
                      <w:marBottom w:val="0"/>
                      <w:divBdr>
                        <w:top w:val="none" w:sz="0" w:space="0" w:color="auto"/>
                        <w:left w:val="none" w:sz="0" w:space="0" w:color="auto"/>
                        <w:bottom w:val="none" w:sz="0" w:space="0" w:color="auto"/>
                        <w:right w:val="none" w:sz="0" w:space="0" w:color="auto"/>
                      </w:divBdr>
                    </w:div>
                  </w:divsChild>
                </w:div>
                <w:div w:id="1998878806">
                  <w:marLeft w:val="0"/>
                  <w:marRight w:val="0"/>
                  <w:marTop w:val="0"/>
                  <w:marBottom w:val="0"/>
                  <w:divBdr>
                    <w:top w:val="none" w:sz="0" w:space="0" w:color="auto"/>
                    <w:left w:val="none" w:sz="0" w:space="0" w:color="auto"/>
                    <w:bottom w:val="none" w:sz="0" w:space="0" w:color="auto"/>
                    <w:right w:val="none" w:sz="0" w:space="0" w:color="auto"/>
                  </w:divBdr>
                  <w:divsChild>
                    <w:div w:id="1121412770">
                      <w:marLeft w:val="0"/>
                      <w:marRight w:val="0"/>
                      <w:marTop w:val="0"/>
                      <w:marBottom w:val="0"/>
                      <w:divBdr>
                        <w:top w:val="none" w:sz="0" w:space="0" w:color="auto"/>
                        <w:left w:val="none" w:sz="0" w:space="0" w:color="auto"/>
                        <w:bottom w:val="none" w:sz="0" w:space="0" w:color="auto"/>
                        <w:right w:val="none" w:sz="0" w:space="0" w:color="auto"/>
                      </w:divBdr>
                    </w:div>
                  </w:divsChild>
                </w:div>
                <w:div w:id="2006132322">
                  <w:marLeft w:val="0"/>
                  <w:marRight w:val="0"/>
                  <w:marTop w:val="0"/>
                  <w:marBottom w:val="0"/>
                  <w:divBdr>
                    <w:top w:val="none" w:sz="0" w:space="0" w:color="auto"/>
                    <w:left w:val="none" w:sz="0" w:space="0" w:color="auto"/>
                    <w:bottom w:val="none" w:sz="0" w:space="0" w:color="auto"/>
                    <w:right w:val="none" w:sz="0" w:space="0" w:color="auto"/>
                  </w:divBdr>
                  <w:divsChild>
                    <w:div w:id="846209720">
                      <w:marLeft w:val="0"/>
                      <w:marRight w:val="0"/>
                      <w:marTop w:val="0"/>
                      <w:marBottom w:val="0"/>
                      <w:divBdr>
                        <w:top w:val="none" w:sz="0" w:space="0" w:color="auto"/>
                        <w:left w:val="none" w:sz="0" w:space="0" w:color="auto"/>
                        <w:bottom w:val="none" w:sz="0" w:space="0" w:color="auto"/>
                        <w:right w:val="none" w:sz="0" w:space="0" w:color="auto"/>
                      </w:divBdr>
                    </w:div>
                  </w:divsChild>
                </w:div>
                <w:div w:id="2011324343">
                  <w:marLeft w:val="0"/>
                  <w:marRight w:val="0"/>
                  <w:marTop w:val="0"/>
                  <w:marBottom w:val="0"/>
                  <w:divBdr>
                    <w:top w:val="none" w:sz="0" w:space="0" w:color="auto"/>
                    <w:left w:val="none" w:sz="0" w:space="0" w:color="auto"/>
                    <w:bottom w:val="none" w:sz="0" w:space="0" w:color="auto"/>
                    <w:right w:val="none" w:sz="0" w:space="0" w:color="auto"/>
                  </w:divBdr>
                  <w:divsChild>
                    <w:div w:id="1970237551">
                      <w:marLeft w:val="0"/>
                      <w:marRight w:val="0"/>
                      <w:marTop w:val="0"/>
                      <w:marBottom w:val="0"/>
                      <w:divBdr>
                        <w:top w:val="none" w:sz="0" w:space="0" w:color="auto"/>
                        <w:left w:val="none" w:sz="0" w:space="0" w:color="auto"/>
                        <w:bottom w:val="none" w:sz="0" w:space="0" w:color="auto"/>
                        <w:right w:val="none" w:sz="0" w:space="0" w:color="auto"/>
                      </w:divBdr>
                    </w:div>
                  </w:divsChild>
                </w:div>
                <w:div w:id="2032683943">
                  <w:marLeft w:val="0"/>
                  <w:marRight w:val="0"/>
                  <w:marTop w:val="0"/>
                  <w:marBottom w:val="0"/>
                  <w:divBdr>
                    <w:top w:val="none" w:sz="0" w:space="0" w:color="auto"/>
                    <w:left w:val="none" w:sz="0" w:space="0" w:color="auto"/>
                    <w:bottom w:val="none" w:sz="0" w:space="0" w:color="auto"/>
                    <w:right w:val="none" w:sz="0" w:space="0" w:color="auto"/>
                  </w:divBdr>
                  <w:divsChild>
                    <w:div w:id="1728992522">
                      <w:marLeft w:val="0"/>
                      <w:marRight w:val="0"/>
                      <w:marTop w:val="0"/>
                      <w:marBottom w:val="0"/>
                      <w:divBdr>
                        <w:top w:val="none" w:sz="0" w:space="0" w:color="auto"/>
                        <w:left w:val="none" w:sz="0" w:space="0" w:color="auto"/>
                        <w:bottom w:val="none" w:sz="0" w:space="0" w:color="auto"/>
                        <w:right w:val="none" w:sz="0" w:space="0" w:color="auto"/>
                      </w:divBdr>
                    </w:div>
                  </w:divsChild>
                </w:div>
                <w:div w:id="2041734169">
                  <w:marLeft w:val="0"/>
                  <w:marRight w:val="0"/>
                  <w:marTop w:val="0"/>
                  <w:marBottom w:val="0"/>
                  <w:divBdr>
                    <w:top w:val="none" w:sz="0" w:space="0" w:color="auto"/>
                    <w:left w:val="none" w:sz="0" w:space="0" w:color="auto"/>
                    <w:bottom w:val="none" w:sz="0" w:space="0" w:color="auto"/>
                    <w:right w:val="none" w:sz="0" w:space="0" w:color="auto"/>
                  </w:divBdr>
                  <w:divsChild>
                    <w:div w:id="503663363">
                      <w:marLeft w:val="0"/>
                      <w:marRight w:val="0"/>
                      <w:marTop w:val="0"/>
                      <w:marBottom w:val="0"/>
                      <w:divBdr>
                        <w:top w:val="none" w:sz="0" w:space="0" w:color="auto"/>
                        <w:left w:val="none" w:sz="0" w:space="0" w:color="auto"/>
                        <w:bottom w:val="none" w:sz="0" w:space="0" w:color="auto"/>
                        <w:right w:val="none" w:sz="0" w:space="0" w:color="auto"/>
                      </w:divBdr>
                    </w:div>
                    <w:div w:id="723021301">
                      <w:marLeft w:val="0"/>
                      <w:marRight w:val="0"/>
                      <w:marTop w:val="0"/>
                      <w:marBottom w:val="0"/>
                      <w:divBdr>
                        <w:top w:val="none" w:sz="0" w:space="0" w:color="auto"/>
                        <w:left w:val="none" w:sz="0" w:space="0" w:color="auto"/>
                        <w:bottom w:val="none" w:sz="0" w:space="0" w:color="auto"/>
                        <w:right w:val="none" w:sz="0" w:space="0" w:color="auto"/>
                      </w:divBdr>
                    </w:div>
                    <w:div w:id="741106002">
                      <w:marLeft w:val="0"/>
                      <w:marRight w:val="0"/>
                      <w:marTop w:val="0"/>
                      <w:marBottom w:val="0"/>
                      <w:divBdr>
                        <w:top w:val="none" w:sz="0" w:space="0" w:color="auto"/>
                        <w:left w:val="none" w:sz="0" w:space="0" w:color="auto"/>
                        <w:bottom w:val="none" w:sz="0" w:space="0" w:color="auto"/>
                        <w:right w:val="none" w:sz="0" w:space="0" w:color="auto"/>
                      </w:divBdr>
                    </w:div>
                    <w:div w:id="1646349755">
                      <w:marLeft w:val="0"/>
                      <w:marRight w:val="0"/>
                      <w:marTop w:val="0"/>
                      <w:marBottom w:val="0"/>
                      <w:divBdr>
                        <w:top w:val="none" w:sz="0" w:space="0" w:color="auto"/>
                        <w:left w:val="none" w:sz="0" w:space="0" w:color="auto"/>
                        <w:bottom w:val="none" w:sz="0" w:space="0" w:color="auto"/>
                        <w:right w:val="none" w:sz="0" w:space="0" w:color="auto"/>
                      </w:divBdr>
                    </w:div>
                  </w:divsChild>
                </w:div>
                <w:div w:id="2052873950">
                  <w:marLeft w:val="0"/>
                  <w:marRight w:val="0"/>
                  <w:marTop w:val="0"/>
                  <w:marBottom w:val="0"/>
                  <w:divBdr>
                    <w:top w:val="none" w:sz="0" w:space="0" w:color="auto"/>
                    <w:left w:val="none" w:sz="0" w:space="0" w:color="auto"/>
                    <w:bottom w:val="none" w:sz="0" w:space="0" w:color="auto"/>
                    <w:right w:val="none" w:sz="0" w:space="0" w:color="auto"/>
                  </w:divBdr>
                  <w:divsChild>
                    <w:div w:id="1107384683">
                      <w:marLeft w:val="0"/>
                      <w:marRight w:val="0"/>
                      <w:marTop w:val="0"/>
                      <w:marBottom w:val="0"/>
                      <w:divBdr>
                        <w:top w:val="none" w:sz="0" w:space="0" w:color="auto"/>
                        <w:left w:val="none" w:sz="0" w:space="0" w:color="auto"/>
                        <w:bottom w:val="none" w:sz="0" w:space="0" w:color="auto"/>
                        <w:right w:val="none" w:sz="0" w:space="0" w:color="auto"/>
                      </w:divBdr>
                    </w:div>
                  </w:divsChild>
                </w:div>
                <w:div w:id="2087652211">
                  <w:marLeft w:val="0"/>
                  <w:marRight w:val="0"/>
                  <w:marTop w:val="0"/>
                  <w:marBottom w:val="0"/>
                  <w:divBdr>
                    <w:top w:val="none" w:sz="0" w:space="0" w:color="auto"/>
                    <w:left w:val="none" w:sz="0" w:space="0" w:color="auto"/>
                    <w:bottom w:val="none" w:sz="0" w:space="0" w:color="auto"/>
                    <w:right w:val="none" w:sz="0" w:space="0" w:color="auto"/>
                  </w:divBdr>
                  <w:divsChild>
                    <w:div w:id="808981842">
                      <w:marLeft w:val="0"/>
                      <w:marRight w:val="0"/>
                      <w:marTop w:val="0"/>
                      <w:marBottom w:val="0"/>
                      <w:divBdr>
                        <w:top w:val="none" w:sz="0" w:space="0" w:color="auto"/>
                        <w:left w:val="none" w:sz="0" w:space="0" w:color="auto"/>
                        <w:bottom w:val="none" w:sz="0" w:space="0" w:color="auto"/>
                        <w:right w:val="none" w:sz="0" w:space="0" w:color="auto"/>
                      </w:divBdr>
                    </w:div>
                    <w:div w:id="1513034581">
                      <w:marLeft w:val="0"/>
                      <w:marRight w:val="0"/>
                      <w:marTop w:val="0"/>
                      <w:marBottom w:val="0"/>
                      <w:divBdr>
                        <w:top w:val="none" w:sz="0" w:space="0" w:color="auto"/>
                        <w:left w:val="none" w:sz="0" w:space="0" w:color="auto"/>
                        <w:bottom w:val="none" w:sz="0" w:space="0" w:color="auto"/>
                        <w:right w:val="none" w:sz="0" w:space="0" w:color="auto"/>
                      </w:divBdr>
                    </w:div>
                  </w:divsChild>
                </w:div>
                <w:div w:id="2109346001">
                  <w:marLeft w:val="0"/>
                  <w:marRight w:val="0"/>
                  <w:marTop w:val="0"/>
                  <w:marBottom w:val="0"/>
                  <w:divBdr>
                    <w:top w:val="none" w:sz="0" w:space="0" w:color="auto"/>
                    <w:left w:val="none" w:sz="0" w:space="0" w:color="auto"/>
                    <w:bottom w:val="none" w:sz="0" w:space="0" w:color="auto"/>
                    <w:right w:val="none" w:sz="0" w:space="0" w:color="auto"/>
                  </w:divBdr>
                  <w:divsChild>
                    <w:div w:id="1175724828">
                      <w:marLeft w:val="0"/>
                      <w:marRight w:val="0"/>
                      <w:marTop w:val="0"/>
                      <w:marBottom w:val="0"/>
                      <w:divBdr>
                        <w:top w:val="none" w:sz="0" w:space="0" w:color="auto"/>
                        <w:left w:val="none" w:sz="0" w:space="0" w:color="auto"/>
                        <w:bottom w:val="none" w:sz="0" w:space="0" w:color="auto"/>
                        <w:right w:val="none" w:sz="0" w:space="0" w:color="auto"/>
                      </w:divBdr>
                    </w:div>
                  </w:divsChild>
                </w:div>
                <w:div w:id="2142646527">
                  <w:marLeft w:val="0"/>
                  <w:marRight w:val="0"/>
                  <w:marTop w:val="0"/>
                  <w:marBottom w:val="0"/>
                  <w:divBdr>
                    <w:top w:val="none" w:sz="0" w:space="0" w:color="auto"/>
                    <w:left w:val="none" w:sz="0" w:space="0" w:color="auto"/>
                    <w:bottom w:val="none" w:sz="0" w:space="0" w:color="auto"/>
                    <w:right w:val="none" w:sz="0" w:space="0" w:color="auto"/>
                  </w:divBdr>
                  <w:divsChild>
                    <w:div w:id="1449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08084585">
      <w:bodyDiv w:val="1"/>
      <w:marLeft w:val="0"/>
      <w:marRight w:val="0"/>
      <w:marTop w:val="0"/>
      <w:marBottom w:val="0"/>
      <w:divBdr>
        <w:top w:val="none" w:sz="0" w:space="0" w:color="auto"/>
        <w:left w:val="none" w:sz="0" w:space="0" w:color="auto"/>
        <w:bottom w:val="none" w:sz="0" w:space="0" w:color="auto"/>
        <w:right w:val="none" w:sz="0" w:space="0" w:color="auto"/>
      </w:divBdr>
      <w:divsChild>
        <w:div w:id="26100878">
          <w:marLeft w:val="0"/>
          <w:marRight w:val="0"/>
          <w:marTop w:val="0"/>
          <w:marBottom w:val="0"/>
          <w:divBdr>
            <w:top w:val="none" w:sz="0" w:space="0" w:color="auto"/>
            <w:left w:val="none" w:sz="0" w:space="0" w:color="auto"/>
            <w:bottom w:val="none" w:sz="0" w:space="0" w:color="auto"/>
            <w:right w:val="none" w:sz="0" w:space="0" w:color="auto"/>
          </w:divBdr>
          <w:divsChild>
            <w:div w:id="1362979063">
              <w:marLeft w:val="0"/>
              <w:marRight w:val="0"/>
              <w:marTop w:val="0"/>
              <w:marBottom w:val="0"/>
              <w:divBdr>
                <w:top w:val="none" w:sz="0" w:space="0" w:color="auto"/>
                <w:left w:val="none" w:sz="0" w:space="0" w:color="auto"/>
                <w:bottom w:val="none" w:sz="0" w:space="0" w:color="auto"/>
                <w:right w:val="none" w:sz="0" w:space="0" w:color="auto"/>
              </w:divBdr>
            </w:div>
          </w:divsChild>
        </w:div>
        <w:div w:id="40905830">
          <w:marLeft w:val="0"/>
          <w:marRight w:val="0"/>
          <w:marTop w:val="0"/>
          <w:marBottom w:val="0"/>
          <w:divBdr>
            <w:top w:val="none" w:sz="0" w:space="0" w:color="auto"/>
            <w:left w:val="none" w:sz="0" w:space="0" w:color="auto"/>
            <w:bottom w:val="none" w:sz="0" w:space="0" w:color="auto"/>
            <w:right w:val="none" w:sz="0" w:space="0" w:color="auto"/>
          </w:divBdr>
          <w:divsChild>
            <w:div w:id="353924945">
              <w:marLeft w:val="0"/>
              <w:marRight w:val="0"/>
              <w:marTop w:val="0"/>
              <w:marBottom w:val="0"/>
              <w:divBdr>
                <w:top w:val="none" w:sz="0" w:space="0" w:color="auto"/>
                <w:left w:val="none" w:sz="0" w:space="0" w:color="auto"/>
                <w:bottom w:val="none" w:sz="0" w:space="0" w:color="auto"/>
                <w:right w:val="none" w:sz="0" w:space="0" w:color="auto"/>
              </w:divBdr>
            </w:div>
          </w:divsChild>
        </w:div>
        <w:div w:id="106505961">
          <w:marLeft w:val="0"/>
          <w:marRight w:val="0"/>
          <w:marTop w:val="0"/>
          <w:marBottom w:val="0"/>
          <w:divBdr>
            <w:top w:val="none" w:sz="0" w:space="0" w:color="auto"/>
            <w:left w:val="none" w:sz="0" w:space="0" w:color="auto"/>
            <w:bottom w:val="none" w:sz="0" w:space="0" w:color="auto"/>
            <w:right w:val="none" w:sz="0" w:space="0" w:color="auto"/>
          </w:divBdr>
          <w:divsChild>
            <w:div w:id="1788965372">
              <w:marLeft w:val="0"/>
              <w:marRight w:val="0"/>
              <w:marTop w:val="0"/>
              <w:marBottom w:val="0"/>
              <w:divBdr>
                <w:top w:val="none" w:sz="0" w:space="0" w:color="auto"/>
                <w:left w:val="none" w:sz="0" w:space="0" w:color="auto"/>
                <w:bottom w:val="none" w:sz="0" w:space="0" w:color="auto"/>
                <w:right w:val="none" w:sz="0" w:space="0" w:color="auto"/>
              </w:divBdr>
            </w:div>
          </w:divsChild>
        </w:div>
        <w:div w:id="136996353">
          <w:marLeft w:val="0"/>
          <w:marRight w:val="0"/>
          <w:marTop w:val="0"/>
          <w:marBottom w:val="0"/>
          <w:divBdr>
            <w:top w:val="none" w:sz="0" w:space="0" w:color="auto"/>
            <w:left w:val="none" w:sz="0" w:space="0" w:color="auto"/>
            <w:bottom w:val="none" w:sz="0" w:space="0" w:color="auto"/>
            <w:right w:val="none" w:sz="0" w:space="0" w:color="auto"/>
          </w:divBdr>
          <w:divsChild>
            <w:div w:id="1321614290">
              <w:marLeft w:val="0"/>
              <w:marRight w:val="0"/>
              <w:marTop w:val="0"/>
              <w:marBottom w:val="0"/>
              <w:divBdr>
                <w:top w:val="none" w:sz="0" w:space="0" w:color="auto"/>
                <w:left w:val="none" w:sz="0" w:space="0" w:color="auto"/>
                <w:bottom w:val="none" w:sz="0" w:space="0" w:color="auto"/>
                <w:right w:val="none" w:sz="0" w:space="0" w:color="auto"/>
              </w:divBdr>
            </w:div>
          </w:divsChild>
        </w:div>
        <w:div w:id="199441770">
          <w:marLeft w:val="0"/>
          <w:marRight w:val="0"/>
          <w:marTop w:val="0"/>
          <w:marBottom w:val="0"/>
          <w:divBdr>
            <w:top w:val="none" w:sz="0" w:space="0" w:color="auto"/>
            <w:left w:val="none" w:sz="0" w:space="0" w:color="auto"/>
            <w:bottom w:val="none" w:sz="0" w:space="0" w:color="auto"/>
            <w:right w:val="none" w:sz="0" w:space="0" w:color="auto"/>
          </w:divBdr>
          <w:divsChild>
            <w:div w:id="512646694">
              <w:marLeft w:val="0"/>
              <w:marRight w:val="0"/>
              <w:marTop w:val="0"/>
              <w:marBottom w:val="0"/>
              <w:divBdr>
                <w:top w:val="none" w:sz="0" w:space="0" w:color="auto"/>
                <w:left w:val="none" w:sz="0" w:space="0" w:color="auto"/>
                <w:bottom w:val="none" w:sz="0" w:space="0" w:color="auto"/>
                <w:right w:val="none" w:sz="0" w:space="0" w:color="auto"/>
              </w:divBdr>
            </w:div>
          </w:divsChild>
        </w:div>
        <w:div w:id="310328043">
          <w:marLeft w:val="0"/>
          <w:marRight w:val="0"/>
          <w:marTop w:val="0"/>
          <w:marBottom w:val="0"/>
          <w:divBdr>
            <w:top w:val="none" w:sz="0" w:space="0" w:color="auto"/>
            <w:left w:val="none" w:sz="0" w:space="0" w:color="auto"/>
            <w:bottom w:val="none" w:sz="0" w:space="0" w:color="auto"/>
            <w:right w:val="none" w:sz="0" w:space="0" w:color="auto"/>
          </w:divBdr>
          <w:divsChild>
            <w:div w:id="1790972563">
              <w:marLeft w:val="0"/>
              <w:marRight w:val="0"/>
              <w:marTop w:val="0"/>
              <w:marBottom w:val="0"/>
              <w:divBdr>
                <w:top w:val="none" w:sz="0" w:space="0" w:color="auto"/>
                <w:left w:val="none" w:sz="0" w:space="0" w:color="auto"/>
                <w:bottom w:val="none" w:sz="0" w:space="0" w:color="auto"/>
                <w:right w:val="none" w:sz="0" w:space="0" w:color="auto"/>
              </w:divBdr>
            </w:div>
          </w:divsChild>
        </w:div>
        <w:div w:id="327680945">
          <w:marLeft w:val="0"/>
          <w:marRight w:val="0"/>
          <w:marTop w:val="0"/>
          <w:marBottom w:val="0"/>
          <w:divBdr>
            <w:top w:val="none" w:sz="0" w:space="0" w:color="auto"/>
            <w:left w:val="none" w:sz="0" w:space="0" w:color="auto"/>
            <w:bottom w:val="none" w:sz="0" w:space="0" w:color="auto"/>
            <w:right w:val="none" w:sz="0" w:space="0" w:color="auto"/>
          </w:divBdr>
          <w:divsChild>
            <w:div w:id="577636797">
              <w:marLeft w:val="0"/>
              <w:marRight w:val="0"/>
              <w:marTop w:val="0"/>
              <w:marBottom w:val="0"/>
              <w:divBdr>
                <w:top w:val="none" w:sz="0" w:space="0" w:color="auto"/>
                <w:left w:val="none" w:sz="0" w:space="0" w:color="auto"/>
                <w:bottom w:val="none" w:sz="0" w:space="0" w:color="auto"/>
                <w:right w:val="none" w:sz="0" w:space="0" w:color="auto"/>
              </w:divBdr>
            </w:div>
          </w:divsChild>
        </w:div>
        <w:div w:id="405884944">
          <w:marLeft w:val="0"/>
          <w:marRight w:val="0"/>
          <w:marTop w:val="0"/>
          <w:marBottom w:val="0"/>
          <w:divBdr>
            <w:top w:val="none" w:sz="0" w:space="0" w:color="auto"/>
            <w:left w:val="none" w:sz="0" w:space="0" w:color="auto"/>
            <w:bottom w:val="none" w:sz="0" w:space="0" w:color="auto"/>
            <w:right w:val="none" w:sz="0" w:space="0" w:color="auto"/>
          </w:divBdr>
          <w:divsChild>
            <w:div w:id="1037580279">
              <w:marLeft w:val="0"/>
              <w:marRight w:val="0"/>
              <w:marTop w:val="0"/>
              <w:marBottom w:val="0"/>
              <w:divBdr>
                <w:top w:val="none" w:sz="0" w:space="0" w:color="auto"/>
                <w:left w:val="none" w:sz="0" w:space="0" w:color="auto"/>
                <w:bottom w:val="none" w:sz="0" w:space="0" w:color="auto"/>
                <w:right w:val="none" w:sz="0" w:space="0" w:color="auto"/>
              </w:divBdr>
            </w:div>
          </w:divsChild>
        </w:div>
        <w:div w:id="574973952">
          <w:marLeft w:val="0"/>
          <w:marRight w:val="0"/>
          <w:marTop w:val="0"/>
          <w:marBottom w:val="0"/>
          <w:divBdr>
            <w:top w:val="none" w:sz="0" w:space="0" w:color="auto"/>
            <w:left w:val="none" w:sz="0" w:space="0" w:color="auto"/>
            <w:bottom w:val="none" w:sz="0" w:space="0" w:color="auto"/>
            <w:right w:val="none" w:sz="0" w:space="0" w:color="auto"/>
          </w:divBdr>
          <w:divsChild>
            <w:div w:id="1770079988">
              <w:marLeft w:val="0"/>
              <w:marRight w:val="0"/>
              <w:marTop w:val="0"/>
              <w:marBottom w:val="0"/>
              <w:divBdr>
                <w:top w:val="none" w:sz="0" w:space="0" w:color="auto"/>
                <w:left w:val="none" w:sz="0" w:space="0" w:color="auto"/>
                <w:bottom w:val="none" w:sz="0" w:space="0" w:color="auto"/>
                <w:right w:val="none" w:sz="0" w:space="0" w:color="auto"/>
              </w:divBdr>
            </w:div>
          </w:divsChild>
        </w:div>
        <w:div w:id="617495278">
          <w:marLeft w:val="0"/>
          <w:marRight w:val="0"/>
          <w:marTop w:val="0"/>
          <w:marBottom w:val="0"/>
          <w:divBdr>
            <w:top w:val="none" w:sz="0" w:space="0" w:color="auto"/>
            <w:left w:val="none" w:sz="0" w:space="0" w:color="auto"/>
            <w:bottom w:val="none" w:sz="0" w:space="0" w:color="auto"/>
            <w:right w:val="none" w:sz="0" w:space="0" w:color="auto"/>
          </w:divBdr>
          <w:divsChild>
            <w:div w:id="440685121">
              <w:marLeft w:val="0"/>
              <w:marRight w:val="0"/>
              <w:marTop w:val="0"/>
              <w:marBottom w:val="0"/>
              <w:divBdr>
                <w:top w:val="none" w:sz="0" w:space="0" w:color="auto"/>
                <w:left w:val="none" w:sz="0" w:space="0" w:color="auto"/>
                <w:bottom w:val="none" w:sz="0" w:space="0" w:color="auto"/>
                <w:right w:val="none" w:sz="0" w:space="0" w:color="auto"/>
              </w:divBdr>
            </w:div>
          </w:divsChild>
        </w:div>
        <w:div w:id="651982640">
          <w:marLeft w:val="0"/>
          <w:marRight w:val="0"/>
          <w:marTop w:val="0"/>
          <w:marBottom w:val="0"/>
          <w:divBdr>
            <w:top w:val="none" w:sz="0" w:space="0" w:color="auto"/>
            <w:left w:val="none" w:sz="0" w:space="0" w:color="auto"/>
            <w:bottom w:val="none" w:sz="0" w:space="0" w:color="auto"/>
            <w:right w:val="none" w:sz="0" w:space="0" w:color="auto"/>
          </w:divBdr>
          <w:divsChild>
            <w:div w:id="1184709737">
              <w:marLeft w:val="0"/>
              <w:marRight w:val="0"/>
              <w:marTop w:val="0"/>
              <w:marBottom w:val="0"/>
              <w:divBdr>
                <w:top w:val="none" w:sz="0" w:space="0" w:color="auto"/>
                <w:left w:val="none" w:sz="0" w:space="0" w:color="auto"/>
                <w:bottom w:val="none" w:sz="0" w:space="0" w:color="auto"/>
                <w:right w:val="none" w:sz="0" w:space="0" w:color="auto"/>
              </w:divBdr>
            </w:div>
          </w:divsChild>
        </w:div>
        <w:div w:id="709766505">
          <w:marLeft w:val="0"/>
          <w:marRight w:val="0"/>
          <w:marTop w:val="0"/>
          <w:marBottom w:val="0"/>
          <w:divBdr>
            <w:top w:val="none" w:sz="0" w:space="0" w:color="auto"/>
            <w:left w:val="none" w:sz="0" w:space="0" w:color="auto"/>
            <w:bottom w:val="none" w:sz="0" w:space="0" w:color="auto"/>
            <w:right w:val="none" w:sz="0" w:space="0" w:color="auto"/>
          </w:divBdr>
          <w:divsChild>
            <w:div w:id="1873303112">
              <w:marLeft w:val="0"/>
              <w:marRight w:val="0"/>
              <w:marTop w:val="0"/>
              <w:marBottom w:val="0"/>
              <w:divBdr>
                <w:top w:val="none" w:sz="0" w:space="0" w:color="auto"/>
                <w:left w:val="none" w:sz="0" w:space="0" w:color="auto"/>
                <w:bottom w:val="none" w:sz="0" w:space="0" w:color="auto"/>
                <w:right w:val="none" w:sz="0" w:space="0" w:color="auto"/>
              </w:divBdr>
            </w:div>
          </w:divsChild>
        </w:div>
        <w:div w:id="715471669">
          <w:marLeft w:val="0"/>
          <w:marRight w:val="0"/>
          <w:marTop w:val="0"/>
          <w:marBottom w:val="0"/>
          <w:divBdr>
            <w:top w:val="none" w:sz="0" w:space="0" w:color="auto"/>
            <w:left w:val="none" w:sz="0" w:space="0" w:color="auto"/>
            <w:bottom w:val="none" w:sz="0" w:space="0" w:color="auto"/>
            <w:right w:val="none" w:sz="0" w:space="0" w:color="auto"/>
          </w:divBdr>
          <w:divsChild>
            <w:div w:id="62723111">
              <w:marLeft w:val="0"/>
              <w:marRight w:val="0"/>
              <w:marTop w:val="0"/>
              <w:marBottom w:val="0"/>
              <w:divBdr>
                <w:top w:val="none" w:sz="0" w:space="0" w:color="auto"/>
                <w:left w:val="none" w:sz="0" w:space="0" w:color="auto"/>
                <w:bottom w:val="none" w:sz="0" w:space="0" w:color="auto"/>
                <w:right w:val="none" w:sz="0" w:space="0" w:color="auto"/>
              </w:divBdr>
            </w:div>
          </w:divsChild>
        </w:div>
        <w:div w:id="722946952">
          <w:marLeft w:val="0"/>
          <w:marRight w:val="0"/>
          <w:marTop w:val="0"/>
          <w:marBottom w:val="0"/>
          <w:divBdr>
            <w:top w:val="none" w:sz="0" w:space="0" w:color="auto"/>
            <w:left w:val="none" w:sz="0" w:space="0" w:color="auto"/>
            <w:bottom w:val="none" w:sz="0" w:space="0" w:color="auto"/>
            <w:right w:val="none" w:sz="0" w:space="0" w:color="auto"/>
          </w:divBdr>
          <w:divsChild>
            <w:div w:id="216818396">
              <w:marLeft w:val="0"/>
              <w:marRight w:val="0"/>
              <w:marTop w:val="0"/>
              <w:marBottom w:val="0"/>
              <w:divBdr>
                <w:top w:val="none" w:sz="0" w:space="0" w:color="auto"/>
                <w:left w:val="none" w:sz="0" w:space="0" w:color="auto"/>
                <w:bottom w:val="none" w:sz="0" w:space="0" w:color="auto"/>
                <w:right w:val="none" w:sz="0" w:space="0" w:color="auto"/>
              </w:divBdr>
            </w:div>
          </w:divsChild>
        </w:div>
        <w:div w:id="745955574">
          <w:marLeft w:val="0"/>
          <w:marRight w:val="0"/>
          <w:marTop w:val="0"/>
          <w:marBottom w:val="0"/>
          <w:divBdr>
            <w:top w:val="none" w:sz="0" w:space="0" w:color="auto"/>
            <w:left w:val="none" w:sz="0" w:space="0" w:color="auto"/>
            <w:bottom w:val="none" w:sz="0" w:space="0" w:color="auto"/>
            <w:right w:val="none" w:sz="0" w:space="0" w:color="auto"/>
          </w:divBdr>
          <w:divsChild>
            <w:div w:id="1089041944">
              <w:marLeft w:val="0"/>
              <w:marRight w:val="0"/>
              <w:marTop w:val="0"/>
              <w:marBottom w:val="0"/>
              <w:divBdr>
                <w:top w:val="none" w:sz="0" w:space="0" w:color="auto"/>
                <w:left w:val="none" w:sz="0" w:space="0" w:color="auto"/>
                <w:bottom w:val="none" w:sz="0" w:space="0" w:color="auto"/>
                <w:right w:val="none" w:sz="0" w:space="0" w:color="auto"/>
              </w:divBdr>
            </w:div>
          </w:divsChild>
        </w:div>
        <w:div w:id="821431104">
          <w:marLeft w:val="0"/>
          <w:marRight w:val="0"/>
          <w:marTop w:val="0"/>
          <w:marBottom w:val="0"/>
          <w:divBdr>
            <w:top w:val="none" w:sz="0" w:space="0" w:color="auto"/>
            <w:left w:val="none" w:sz="0" w:space="0" w:color="auto"/>
            <w:bottom w:val="none" w:sz="0" w:space="0" w:color="auto"/>
            <w:right w:val="none" w:sz="0" w:space="0" w:color="auto"/>
          </w:divBdr>
          <w:divsChild>
            <w:div w:id="529219496">
              <w:marLeft w:val="0"/>
              <w:marRight w:val="0"/>
              <w:marTop w:val="0"/>
              <w:marBottom w:val="0"/>
              <w:divBdr>
                <w:top w:val="none" w:sz="0" w:space="0" w:color="auto"/>
                <w:left w:val="none" w:sz="0" w:space="0" w:color="auto"/>
                <w:bottom w:val="none" w:sz="0" w:space="0" w:color="auto"/>
                <w:right w:val="none" w:sz="0" w:space="0" w:color="auto"/>
              </w:divBdr>
            </w:div>
          </w:divsChild>
        </w:div>
        <w:div w:id="900365519">
          <w:marLeft w:val="0"/>
          <w:marRight w:val="0"/>
          <w:marTop w:val="0"/>
          <w:marBottom w:val="0"/>
          <w:divBdr>
            <w:top w:val="none" w:sz="0" w:space="0" w:color="auto"/>
            <w:left w:val="none" w:sz="0" w:space="0" w:color="auto"/>
            <w:bottom w:val="none" w:sz="0" w:space="0" w:color="auto"/>
            <w:right w:val="none" w:sz="0" w:space="0" w:color="auto"/>
          </w:divBdr>
          <w:divsChild>
            <w:div w:id="997463310">
              <w:marLeft w:val="0"/>
              <w:marRight w:val="0"/>
              <w:marTop w:val="0"/>
              <w:marBottom w:val="0"/>
              <w:divBdr>
                <w:top w:val="none" w:sz="0" w:space="0" w:color="auto"/>
                <w:left w:val="none" w:sz="0" w:space="0" w:color="auto"/>
                <w:bottom w:val="none" w:sz="0" w:space="0" w:color="auto"/>
                <w:right w:val="none" w:sz="0" w:space="0" w:color="auto"/>
              </w:divBdr>
            </w:div>
          </w:divsChild>
        </w:div>
        <w:div w:id="987172827">
          <w:marLeft w:val="0"/>
          <w:marRight w:val="0"/>
          <w:marTop w:val="0"/>
          <w:marBottom w:val="0"/>
          <w:divBdr>
            <w:top w:val="none" w:sz="0" w:space="0" w:color="auto"/>
            <w:left w:val="none" w:sz="0" w:space="0" w:color="auto"/>
            <w:bottom w:val="none" w:sz="0" w:space="0" w:color="auto"/>
            <w:right w:val="none" w:sz="0" w:space="0" w:color="auto"/>
          </w:divBdr>
          <w:divsChild>
            <w:div w:id="871767774">
              <w:marLeft w:val="0"/>
              <w:marRight w:val="0"/>
              <w:marTop w:val="0"/>
              <w:marBottom w:val="0"/>
              <w:divBdr>
                <w:top w:val="none" w:sz="0" w:space="0" w:color="auto"/>
                <w:left w:val="none" w:sz="0" w:space="0" w:color="auto"/>
                <w:bottom w:val="none" w:sz="0" w:space="0" w:color="auto"/>
                <w:right w:val="none" w:sz="0" w:space="0" w:color="auto"/>
              </w:divBdr>
            </w:div>
          </w:divsChild>
        </w:div>
        <w:div w:id="1001470192">
          <w:marLeft w:val="0"/>
          <w:marRight w:val="0"/>
          <w:marTop w:val="0"/>
          <w:marBottom w:val="0"/>
          <w:divBdr>
            <w:top w:val="none" w:sz="0" w:space="0" w:color="auto"/>
            <w:left w:val="none" w:sz="0" w:space="0" w:color="auto"/>
            <w:bottom w:val="none" w:sz="0" w:space="0" w:color="auto"/>
            <w:right w:val="none" w:sz="0" w:space="0" w:color="auto"/>
          </w:divBdr>
          <w:divsChild>
            <w:div w:id="1498498751">
              <w:marLeft w:val="0"/>
              <w:marRight w:val="0"/>
              <w:marTop w:val="0"/>
              <w:marBottom w:val="0"/>
              <w:divBdr>
                <w:top w:val="none" w:sz="0" w:space="0" w:color="auto"/>
                <w:left w:val="none" w:sz="0" w:space="0" w:color="auto"/>
                <w:bottom w:val="none" w:sz="0" w:space="0" w:color="auto"/>
                <w:right w:val="none" w:sz="0" w:space="0" w:color="auto"/>
              </w:divBdr>
            </w:div>
          </w:divsChild>
        </w:div>
        <w:div w:id="1071078452">
          <w:marLeft w:val="0"/>
          <w:marRight w:val="0"/>
          <w:marTop w:val="0"/>
          <w:marBottom w:val="0"/>
          <w:divBdr>
            <w:top w:val="none" w:sz="0" w:space="0" w:color="auto"/>
            <w:left w:val="none" w:sz="0" w:space="0" w:color="auto"/>
            <w:bottom w:val="none" w:sz="0" w:space="0" w:color="auto"/>
            <w:right w:val="none" w:sz="0" w:space="0" w:color="auto"/>
          </w:divBdr>
          <w:divsChild>
            <w:div w:id="289626520">
              <w:marLeft w:val="0"/>
              <w:marRight w:val="0"/>
              <w:marTop w:val="0"/>
              <w:marBottom w:val="0"/>
              <w:divBdr>
                <w:top w:val="none" w:sz="0" w:space="0" w:color="auto"/>
                <w:left w:val="none" w:sz="0" w:space="0" w:color="auto"/>
                <w:bottom w:val="none" w:sz="0" w:space="0" w:color="auto"/>
                <w:right w:val="none" w:sz="0" w:space="0" w:color="auto"/>
              </w:divBdr>
            </w:div>
          </w:divsChild>
        </w:div>
        <w:div w:id="1105274791">
          <w:marLeft w:val="0"/>
          <w:marRight w:val="0"/>
          <w:marTop w:val="0"/>
          <w:marBottom w:val="0"/>
          <w:divBdr>
            <w:top w:val="none" w:sz="0" w:space="0" w:color="auto"/>
            <w:left w:val="none" w:sz="0" w:space="0" w:color="auto"/>
            <w:bottom w:val="none" w:sz="0" w:space="0" w:color="auto"/>
            <w:right w:val="none" w:sz="0" w:space="0" w:color="auto"/>
          </w:divBdr>
          <w:divsChild>
            <w:div w:id="709261886">
              <w:marLeft w:val="0"/>
              <w:marRight w:val="0"/>
              <w:marTop w:val="0"/>
              <w:marBottom w:val="0"/>
              <w:divBdr>
                <w:top w:val="none" w:sz="0" w:space="0" w:color="auto"/>
                <w:left w:val="none" w:sz="0" w:space="0" w:color="auto"/>
                <w:bottom w:val="none" w:sz="0" w:space="0" w:color="auto"/>
                <w:right w:val="none" w:sz="0" w:space="0" w:color="auto"/>
              </w:divBdr>
            </w:div>
          </w:divsChild>
        </w:div>
        <w:div w:id="1126045800">
          <w:marLeft w:val="0"/>
          <w:marRight w:val="0"/>
          <w:marTop w:val="0"/>
          <w:marBottom w:val="0"/>
          <w:divBdr>
            <w:top w:val="none" w:sz="0" w:space="0" w:color="auto"/>
            <w:left w:val="none" w:sz="0" w:space="0" w:color="auto"/>
            <w:bottom w:val="none" w:sz="0" w:space="0" w:color="auto"/>
            <w:right w:val="none" w:sz="0" w:space="0" w:color="auto"/>
          </w:divBdr>
          <w:divsChild>
            <w:div w:id="2092728294">
              <w:marLeft w:val="0"/>
              <w:marRight w:val="0"/>
              <w:marTop w:val="0"/>
              <w:marBottom w:val="0"/>
              <w:divBdr>
                <w:top w:val="none" w:sz="0" w:space="0" w:color="auto"/>
                <w:left w:val="none" w:sz="0" w:space="0" w:color="auto"/>
                <w:bottom w:val="none" w:sz="0" w:space="0" w:color="auto"/>
                <w:right w:val="none" w:sz="0" w:space="0" w:color="auto"/>
              </w:divBdr>
            </w:div>
          </w:divsChild>
        </w:div>
        <w:div w:id="1132291130">
          <w:marLeft w:val="0"/>
          <w:marRight w:val="0"/>
          <w:marTop w:val="0"/>
          <w:marBottom w:val="0"/>
          <w:divBdr>
            <w:top w:val="none" w:sz="0" w:space="0" w:color="auto"/>
            <w:left w:val="none" w:sz="0" w:space="0" w:color="auto"/>
            <w:bottom w:val="none" w:sz="0" w:space="0" w:color="auto"/>
            <w:right w:val="none" w:sz="0" w:space="0" w:color="auto"/>
          </w:divBdr>
          <w:divsChild>
            <w:div w:id="1593049540">
              <w:marLeft w:val="0"/>
              <w:marRight w:val="0"/>
              <w:marTop w:val="0"/>
              <w:marBottom w:val="0"/>
              <w:divBdr>
                <w:top w:val="none" w:sz="0" w:space="0" w:color="auto"/>
                <w:left w:val="none" w:sz="0" w:space="0" w:color="auto"/>
                <w:bottom w:val="none" w:sz="0" w:space="0" w:color="auto"/>
                <w:right w:val="none" w:sz="0" w:space="0" w:color="auto"/>
              </w:divBdr>
            </w:div>
          </w:divsChild>
        </w:div>
        <w:div w:id="1255281223">
          <w:marLeft w:val="0"/>
          <w:marRight w:val="0"/>
          <w:marTop w:val="0"/>
          <w:marBottom w:val="0"/>
          <w:divBdr>
            <w:top w:val="none" w:sz="0" w:space="0" w:color="auto"/>
            <w:left w:val="none" w:sz="0" w:space="0" w:color="auto"/>
            <w:bottom w:val="none" w:sz="0" w:space="0" w:color="auto"/>
            <w:right w:val="none" w:sz="0" w:space="0" w:color="auto"/>
          </w:divBdr>
          <w:divsChild>
            <w:div w:id="1079014050">
              <w:marLeft w:val="0"/>
              <w:marRight w:val="0"/>
              <w:marTop w:val="0"/>
              <w:marBottom w:val="0"/>
              <w:divBdr>
                <w:top w:val="none" w:sz="0" w:space="0" w:color="auto"/>
                <w:left w:val="none" w:sz="0" w:space="0" w:color="auto"/>
                <w:bottom w:val="none" w:sz="0" w:space="0" w:color="auto"/>
                <w:right w:val="none" w:sz="0" w:space="0" w:color="auto"/>
              </w:divBdr>
            </w:div>
          </w:divsChild>
        </w:div>
        <w:div w:id="1284193529">
          <w:marLeft w:val="0"/>
          <w:marRight w:val="0"/>
          <w:marTop w:val="0"/>
          <w:marBottom w:val="0"/>
          <w:divBdr>
            <w:top w:val="none" w:sz="0" w:space="0" w:color="auto"/>
            <w:left w:val="none" w:sz="0" w:space="0" w:color="auto"/>
            <w:bottom w:val="none" w:sz="0" w:space="0" w:color="auto"/>
            <w:right w:val="none" w:sz="0" w:space="0" w:color="auto"/>
          </w:divBdr>
          <w:divsChild>
            <w:div w:id="790057134">
              <w:marLeft w:val="0"/>
              <w:marRight w:val="0"/>
              <w:marTop w:val="0"/>
              <w:marBottom w:val="0"/>
              <w:divBdr>
                <w:top w:val="none" w:sz="0" w:space="0" w:color="auto"/>
                <w:left w:val="none" w:sz="0" w:space="0" w:color="auto"/>
                <w:bottom w:val="none" w:sz="0" w:space="0" w:color="auto"/>
                <w:right w:val="none" w:sz="0" w:space="0" w:color="auto"/>
              </w:divBdr>
            </w:div>
            <w:div w:id="958758089">
              <w:marLeft w:val="0"/>
              <w:marRight w:val="0"/>
              <w:marTop w:val="0"/>
              <w:marBottom w:val="0"/>
              <w:divBdr>
                <w:top w:val="none" w:sz="0" w:space="0" w:color="auto"/>
                <w:left w:val="none" w:sz="0" w:space="0" w:color="auto"/>
                <w:bottom w:val="none" w:sz="0" w:space="0" w:color="auto"/>
                <w:right w:val="none" w:sz="0" w:space="0" w:color="auto"/>
              </w:divBdr>
            </w:div>
          </w:divsChild>
        </w:div>
        <w:div w:id="1294166502">
          <w:marLeft w:val="0"/>
          <w:marRight w:val="0"/>
          <w:marTop w:val="0"/>
          <w:marBottom w:val="0"/>
          <w:divBdr>
            <w:top w:val="none" w:sz="0" w:space="0" w:color="auto"/>
            <w:left w:val="none" w:sz="0" w:space="0" w:color="auto"/>
            <w:bottom w:val="none" w:sz="0" w:space="0" w:color="auto"/>
            <w:right w:val="none" w:sz="0" w:space="0" w:color="auto"/>
          </w:divBdr>
          <w:divsChild>
            <w:div w:id="843668015">
              <w:marLeft w:val="0"/>
              <w:marRight w:val="0"/>
              <w:marTop w:val="0"/>
              <w:marBottom w:val="0"/>
              <w:divBdr>
                <w:top w:val="none" w:sz="0" w:space="0" w:color="auto"/>
                <w:left w:val="none" w:sz="0" w:space="0" w:color="auto"/>
                <w:bottom w:val="none" w:sz="0" w:space="0" w:color="auto"/>
                <w:right w:val="none" w:sz="0" w:space="0" w:color="auto"/>
              </w:divBdr>
            </w:div>
          </w:divsChild>
        </w:div>
        <w:div w:id="1299994146">
          <w:marLeft w:val="0"/>
          <w:marRight w:val="0"/>
          <w:marTop w:val="0"/>
          <w:marBottom w:val="0"/>
          <w:divBdr>
            <w:top w:val="none" w:sz="0" w:space="0" w:color="auto"/>
            <w:left w:val="none" w:sz="0" w:space="0" w:color="auto"/>
            <w:bottom w:val="none" w:sz="0" w:space="0" w:color="auto"/>
            <w:right w:val="none" w:sz="0" w:space="0" w:color="auto"/>
          </w:divBdr>
          <w:divsChild>
            <w:div w:id="1437870685">
              <w:marLeft w:val="0"/>
              <w:marRight w:val="0"/>
              <w:marTop w:val="0"/>
              <w:marBottom w:val="0"/>
              <w:divBdr>
                <w:top w:val="none" w:sz="0" w:space="0" w:color="auto"/>
                <w:left w:val="none" w:sz="0" w:space="0" w:color="auto"/>
                <w:bottom w:val="none" w:sz="0" w:space="0" w:color="auto"/>
                <w:right w:val="none" w:sz="0" w:space="0" w:color="auto"/>
              </w:divBdr>
            </w:div>
          </w:divsChild>
        </w:div>
        <w:div w:id="1302156457">
          <w:marLeft w:val="0"/>
          <w:marRight w:val="0"/>
          <w:marTop w:val="0"/>
          <w:marBottom w:val="0"/>
          <w:divBdr>
            <w:top w:val="none" w:sz="0" w:space="0" w:color="auto"/>
            <w:left w:val="none" w:sz="0" w:space="0" w:color="auto"/>
            <w:bottom w:val="none" w:sz="0" w:space="0" w:color="auto"/>
            <w:right w:val="none" w:sz="0" w:space="0" w:color="auto"/>
          </w:divBdr>
          <w:divsChild>
            <w:div w:id="1080324239">
              <w:marLeft w:val="0"/>
              <w:marRight w:val="0"/>
              <w:marTop w:val="0"/>
              <w:marBottom w:val="0"/>
              <w:divBdr>
                <w:top w:val="none" w:sz="0" w:space="0" w:color="auto"/>
                <w:left w:val="none" w:sz="0" w:space="0" w:color="auto"/>
                <w:bottom w:val="none" w:sz="0" w:space="0" w:color="auto"/>
                <w:right w:val="none" w:sz="0" w:space="0" w:color="auto"/>
              </w:divBdr>
            </w:div>
            <w:div w:id="1117067955">
              <w:marLeft w:val="0"/>
              <w:marRight w:val="0"/>
              <w:marTop w:val="0"/>
              <w:marBottom w:val="0"/>
              <w:divBdr>
                <w:top w:val="none" w:sz="0" w:space="0" w:color="auto"/>
                <w:left w:val="none" w:sz="0" w:space="0" w:color="auto"/>
                <w:bottom w:val="none" w:sz="0" w:space="0" w:color="auto"/>
                <w:right w:val="none" w:sz="0" w:space="0" w:color="auto"/>
              </w:divBdr>
            </w:div>
          </w:divsChild>
        </w:div>
        <w:div w:id="1306353789">
          <w:marLeft w:val="0"/>
          <w:marRight w:val="0"/>
          <w:marTop w:val="0"/>
          <w:marBottom w:val="0"/>
          <w:divBdr>
            <w:top w:val="none" w:sz="0" w:space="0" w:color="auto"/>
            <w:left w:val="none" w:sz="0" w:space="0" w:color="auto"/>
            <w:bottom w:val="none" w:sz="0" w:space="0" w:color="auto"/>
            <w:right w:val="none" w:sz="0" w:space="0" w:color="auto"/>
          </w:divBdr>
          <w:divsChild>
            <w:div w:id="652565996">
              <w:marLeft w:val="0"/>
              <w:marRight w:val="0"/>
              <w:marTop w:val="0"/>
              <w:marBottom w:val="0"/>
              <w:divBdr>
                <w:top w:val="none" w:sz="0" w:space="0" w:color="auto"/>
                <w:left w:val="none" w:sz="0" w:space="0" w:color="auto"/>
                <w:bottom w:val="none" w:sz="0" w:space="0" w:color="auto"/>
                <w:right w:val="none" w:sz="0" w:space="0" w:color="auto"/>
              </w:divBdr>
            </w:div>
          </w:divsChild>
        </w:div>
        <w:div w:id="1307390464">
          <w:marLeft w:val="0"/>
          <w:marRight w:val="0"/>
          <w:marTop w:val="0"/>
          <w:marBottom w:val="0"/>
          <w:divBdr>
            <w:top w:val="none" w:sz="0" w:space="0" w:color="auto"/>
            <w:left w:val="none" w:sz="0" w:space="0" w:color="auto"/>
            <w:bottom w:val="none" w:sz="0" w:space="0" w:color="auto"/>
            <w:right w:val="none" w:sz="0" w:space="0" w:color="auto"/>
          </w:divBdr>
          <w:divsChild>
            <w:div w:id="1336152237">
              <w:marLeft w:val="0"/>
              <w:marRight w:val="0"/>
              <w:marTop w:val="0"/>
              <w:marBottom w:val="0"/>
              <w:divBdr>
                <w:top w:val="none" w:sz="0" w:space="0" w:color="auto"/>
                <w:left w:val="none" w:sz="0" w:space="0" w:color="auto"/>
                <w:bottom w:val="none" w:sz="0" w:space="0" w:color="auto"/>
                <w:right w:val="none" w:sz="0" w:space="0" w:color="auto"/>
              </w:divBdr>
            </w:div>
          </w:divsChild>
        </w:div>
        <w:div w:id="1307467328">
          <w:marLeft w:val="0"/>
          <w:marRight w:val="0"/>
          <w:marTop w:val="0"/>
          <w:marBottom w:val="0"/>
          <w:divBdr>
            <w:top w:val="none" w:sz="0" w:space="0" w:color="auto"/>
            <w:left w:val="none" w:sz="0" w:space="0" w:color="auto"/>
            <w:bottom w:val="none" w:sz="0" w:space="0" w:color="auto"/>
            <w:right w:val="none" w:sz="0" w:space="0" w:color="auto"/>
          </w:divBdr>
          <w:divsChild>
            <w:div w:id="167185225">
              <w:marLeft w:val="0"/>
              <w:marRight w:val="0"/>
              <w:marTop w:val="0"/>
              <w:marBottom w:val="0"/>
              <w:divBdr>
                <w:top w:val="none" w:sz="0" w:space="0" w:color="auto"/>
                <w:left w:val="none" w:sz="0" w:space="0" w:color="auto"/>
                <w:bottom w:val="none" w:sz="0" w:space="0" w:color="auto"/>
                <w:right w:val="none" w:sz="0" w:space="0" w:color="auto"/>
              </w:divBdr>
            </w:div>
            <w:div w:id="183246558">
              <w:marLeft w:val="0"/>
              <w:marRight w:val="0"/>
              <w:marTop w:val="0"/>
              <w:marBottom w:val="0"/>
              <w:divBdr>
                <w:top w:val="none" w:sz="0" w:space="0" w:color="auto"/>
                <w:left w:val="none" w:sz="0" w:space="0" w:color="auto"/>
                <w:bottom w:val="none" w:sz="0" w:space="0" w:color="auto"/>
                <w:right w:val="none" w:sz="0" w:space="0" w:color="auto"/>
              </w:divBdr>
            </w:div>
          </w:divsChild>
        </w:div>
        <w:div w:id="1320959391">
          <w:marLeft w:val="0"/>
          <w:marRight w:val="0"/>
          <w:marTop w:val="0"/>
          <w:marBottom w:val="0"/>
          <w:divBdr>
            <w:top w:val="none" w:sz="0" w:space="0" w:color="auto"/>
            <w:left w:val="none" w:sz="0" w:space="0" w:color="auto"/>
            <w:bottom w:val="none" w:sz="0" w:space="0" w:color="auto"/>
            <w:right w:val="none" w:sz="0" w:space="0" w:color="auto"/>
          </w:divBdr>
          <w:divsChild>
            <w:div w:id="877619610">
              <w:marLeft w:val="0"/>
              <w:marRight w:val="0"/>
              <w:marTop w:val="0"/>
              <w:marBottom w:val="0"/>
              <w:divBdr>
                <w:top w:val="none" w:sz="0" w:space="0" w:color="auto"/>
                <w:left w:val="none" w:sz="0" w:space="0" w:color="auto"/>
                <w:bottom w:val="none" w:sz="0" w:space="0" w:color="auto"/>
                <w:right w:val="none" w:sz="0" w:space="0" w:color="auto"/>
              </w:divBdr>
            </w:div>
          </w:divsChild>
        </w:div>
        <w:div w:id="1354113513">
          <w:marLeft w:val="0"/>
          <w:marRight w:val="0"/>
          <w:marTop w:val="0"/>
          <w:marBottom w:val="0"/>
          <w:divBdr>
            <w:top w:val="none" w:sz="0" w:space="0" w:color="auto"/>
            <w:left w:val="none" w:sz="0" w:space="0" w:color="auto"/>
            <w:bottom w:val="none" w:sz="0" w:space="0" w:color="auto"/>
            <w:right w:val="none" w:sz="0" w:space="0" w:color="auto"/>
          </w:divBdr>
          <w:divsChild>
            <w:div w:id="1146969183">
              <w:marLeft w:val="0"/>
              <w:marRight w:val="0"/>
              <w:marTop w:val="0"/>
              <w:marBottom w:val="0"/>
              <w:divBdr>
                <w:top w:val="none" w:sz="0" w:space="0" w:color="auto"/>
                <w:left w:val="none" w:sz="0" w:space="0" w:color="auto"/>
                <w:bottom w:val="none" w:sz="0" w:space="0" w:color="auto"/>
                <w:right w:val="none" w:sz="0" w:space="0" w:color="auto"/>
              </w:divBdr>
            </w:div>
          </w:divsChild>
        </w:div>
        <w:div w:id="1391076257">
          <w:marLeft w:val="0"/>
          <w:marRight w:val="0"/>
          <w:marTop w:val="0"/>
          <w:marBottom w:val="0"/>
          <w:divBdr>
            <w:top w:val="none" w:sz="0" w:space="0" w:color="auto"/>
            <w:left w:val="none" w:sz="0" w:space="0" w:color="auto"/>
            <w:bottom w:val="none" w:sz="0" w:space="0" w:color="auto"/>
            <w:right w:val="none" w:sz="0" w:space="0" w:color="auto"/>
          </w:divBdr>
          <w:divsChild>
            <w:div w:id="534536749">
              <w:marLeft w:val="0"/>
              <w:marRight w:val="0"/>
              <w:marTop w:val="0"/>
              <w:marBottom w:val="0"/>
              <w:divBdr>
                <w:top w:val="none" w:sz="0" w:space="0" w:color="auto"/>
                <w:left w:val="none" w:sz="0" w:space="0" w:color="auto"/>
                <w:bottom w:val="none" w:sz="0" w:space="0" w:color="auto"/>
                <w:right w:val="none" w:sz="0" w:space="0" w:color="auto"/>
              </w:divBdr>
            </w:div>
            <w:div w:id="1810394112">
              <w:marLeft w:val="0"/>
              <w:marRight w:val="0"/>
              <w:marTop w:val="0"/>
              <w:marBottom w:val="0"/>
              <w:divBdr>
                <w:top w:val="none" w:sz="0" w:space="0" w:color="auto"/>
                <w:left w:val="none" w:sz="0" w:space="0" w:color="auto"/>
                <w:bottom w:val="none" w:sz="0" w:space="0" w:color="auto"/>
                <w:right w:val="none" w:sz="0" w:space="0" w:color="auto"/>
              </w:divBdr>
            </w:div>
          </w:divsChild>
        </w:div>
        <w:div w:id="1392074716">
          <w:marLeft w:val="0"/>
          <w:marRight w:val="0"/>
          <w:marTop w:val="0"/>
          <w:marBottom w:val="0"/>
          <w:divBdr>
            <w:top w:val="none" w:sz="0" w:space="0" w:color="auto"/>
            <w:left w:val="none" w:sz="0" w:space="0" w:color="auto"/>
            <w:bottom w:val="none" w:sz="0" w:space="0" w:color="auto"/>
            <w:right w:val="none" w:sz="0" w:space="0" w:color="auto"/>
          </w:divBdr>
          <w:divsChild>
            <w:div w:id="1480657215">
              <w:marLeft w:val="0"/>
              <w:marRight w:val="0"/>
              <w:marTop w:val="0"/>
              <w:marBottom w:val="0"/>
              <w:divBdr>
                <w:top w:val="none" w:sz="0" w:space="0" w:color="auto"/>
                <w:left w:val="none" w:sz="0" w:space="0" w:color="auto"/>
                <w:bottom w:val="none" w:sz="0" w:space="0" w:color="auto"/>
                <w:right w:val="none" w:sz="0" w:space="0" w:color="auto"/>
              </w:divBdr>
            </w:div>
          </w:divsChild>
        </w:div>
        <w:div w:id="1428185905">
          <w:marLeft w:val="0"/>
          <w:marRight w:val="0"/>
          <w:marTop w:val="0"/>
          <w:marBottom w:val="0"/>
          <w:divBdr>
            <w:top w:val="none" w:sz="0" w:space="0" w:color="auto"/>
            <w:left w:val="none" w:sz="0" w:space="0" w:color="auto"/>
            <w:bottom w:val="none" w:sz="0" w:space="0" w:color="auto"/>
            <w:right w:val="none" w:sz="0" w:space="0" w:color="auto"/>
          </w:divBdr>
          <w:divsChild>
            <w:div w:id="448745583">
              <w:marLeft w:val="0"/>
              <w:marRight w:val="0"/>
              <w:marTop w:val="0"/>
              <w:marBottom w:val="0"/>
              <w:divBdr>
                <w:top w:val="none" w:sz="0" w:space="0" w:color="auto"/>
                <w:left w:val="none" w:sz="0" w:space="0" w:color="auto"/>
                <w:bottom w:val="none" w:sz="0" w:space="0" w:color="auto"/>
                <w:right w:val="none" w:sz="0" w:space="0" w:color="auto"/>
              </w:divBdr>
            </w:div>
          </w:divsChild>
        </w:div>
        <w:div w:id="1441955252">
          <w:marLeft w:val="0"/>
          <w:marRight w:val="0"/>
          <w:marTop w:val="0"/>
          <w:marBottom w:val="0"/>
          <w:divBdr>
            <w:top w:val="none" w:sz="0" w:space="0" w:color="auto"/>
            <w:left w:val="none" w:sz="0" w:space="0" w:color="auto"/>
            <w:bottom w:val="none" w:sz="0" w:space="0" w:color="auto"/>
            <w:right w:val="none" w:sz="0" w:space="0" w:color="auto"/>
          </w:divBdr>
          <w:divsChild>
            <w:div w:id="1586769241">
              <w:marLeft w:val="0"/>
              <w:marRight w:val="0"/>
              <w:marTop w:val="0"/>
              <w:marBottom w:val="0"/>
              <w:divBdr>
                <w:top w:val="none" w:sz="0" w:space="0" w:color="auto"/>
                <w:left w:val="none" w:sz="0" w:space="0" w:color="auto"/>
                <w:bottom w:val="none" w:sz="0" w:space="0" w:color="auto"/>
                <w:right w:val="none" w:sz="0" w:space="0" w:color="auto"/>
              </w:divBdr>
            </w:div>
          </w:divsChild>
        </w:div>
        <w:div w:id="1458790601">
          <w:marLeft w:val="0"/>
          <w:marRight w:val="0"/>
          <w:marTop w:val="0"/>
          <w:marBottom w:val="0"/>
          <w:divBdr>
            <w:top w:val="none" w:sz="0" w:space="0" w:color="auto"/>
            <w:left w:val="none" w:sz="0" w:space="0" w:color="auto"/>
            <w:bottom w:val="none" w:sz="0" w:space="0" w:color="auto"/>
            <w:right w:val="none" w:sz="0" w:space="0" w:color="auto"/>
          </w:divBdr>
          <w:divsChild>
            <w:div w:id="1883596406">
              <w:marLeft w:val="0"/>
              <w:marRight w:val="0"/>
              <w:marTop w:val="0"/>
              <w:marBottom w:val="0"/>
              <w:divBdr>
                <w:top w:val="none" w:sz="0" w:space="0" w:color="auto"/>
                <w:left w:val="none" w:sz="0" w:space="0" w:color="auto"/>
                <w:bottom w:val="none" w:sz="0" w:space="0" w:color="auto"/>
                <w:right w:val="none" w:sz="0" w:space="0" w:color="auto"/>
              </w:divBdr>
            </w:div>
          </w:divsChild>
        </w:div>
        <w:div w:id="1459565153">
          <w:marLeft w:val="0"/>
          <w:marRight w:val="0"/>
          <w:marTop w:val="0"/>
          <w:marBottom w:val="0"/>
          <w:divBdr>
            <w:top w:val="none" w:sz="0" w:space="0" w:color="auto"/>
            <w:left w:val="none" w:sz="0" w:space="0" w:color="auto"/>
            <w:bottom w:val="none" w:sz="0" w:space="0" w:color="auto"/>
            <w:right w:val="none" w:sz="0" w:space="0" w:color="auto"/>
          </w:divBdr>
          <w:divsChild>
            <w:div w:id="1836066808">
              <w:marLeft w:val="0"/>
              <w:marRight w:val="0"/>
              <w:marTop w:val="0"/>
              <w:marBottom w:val="0"/>
              <w:divBdr>
                <w:top w:val="none" w:sz="0" w:space="0" w:color="auto"/>
                <w:left w:val="none" w:sz="0" w:space="0" w:color="auto"/>
                <w:bottom w:val="none" w:sz="0" w:space="0" w:color="auto"/>
                <w:right w:val="none" w:sz="0" w:space="0" w:color="auto"/>
              </w:divBdr>
            </w:div>
          </w:divsChild>
        </w:div>
        <w:div w:id="1529877520">
          <w:marLeft w:val="0"/>
          <w:marRight w:val="0"/>
          <w:marTop w:val="0"/>
          <w:marBottom w:val="0"/>
          <w:divBdr>
            <w:top w:val="none" w:sz="0" w:space="0" w:color="auto"/>
            <w:left w:val="none" w:sz="0" w:space="0" w:color="auto"/>
            <w:bottom w:val="none" w:sz="0" w:space="0" w:color="auto"/>
            <w:right w:val="none" w:sz="0" w:space="0" w:color="auto"/>
          </w:divBdr>
          <w:divsChild>
            <w:div w:id="1355303510">
              <w:marLeft w:val="0"/>
              <w:marRight w:val="0"/>
              <w:marTop w:val="0"/>
              <w:marBottom w:val="0"/>
              <w:divBdr>
                <w:top w:val="none" w:sz="0" w:space="0" w:color="auto"/>
                <w:left w:val="none" w:sz="0" w:space="0" w:color="auto"/>
                <w:bottom w:val="none" w:sz="0" w:space="0" w:color="auto"/>
                <w:right w:val="none" w:sz="0" w:space="0" w:color="auto"/>
              </w:divBdr>
            </w:div>
          </w:divsChild>
        </w:div>
        <w:div w:id="1533761259">
          <w:marLeft w:val="0"/>
          <w:marRight w:val="0"/>
          <w:marTop w:val="0"/>
          <w:marBottom w:val="0"/>
          <w:divBdr>
            <w:top w:val="none" w:sz="0" w:space="0" w:color="auto"/>
            <w:left w:val="none" w:sz="0" w:space="0" w:color="auto"/>
            <w:bottom w:val="none" w:sz="0" w:space="0" w:color="auto"/>
            <w:right w:val="none" w:sz="0" w:space="0" w:color="auto"/>
          </w:divBdr>
          <w:divsChild>
            <w:div w:id="1365251449">
              <w:marLeft w:val="0"/>
              <w:marRight w:val="0"/>
              <w:marTop w:val="0"/>
              <w:marBottom w:val="0"/>
              <w:divBdr>
                <w:top w:val="none" w:sz="0" w:space="0" w:color="auto"/>
                <w:left w:val="none" w:sz="0" w:space="0" w:color="auto"/>
                <w:bottom w:val="none" w:sz="0" w:space="0" w:color="auto"/>
                <w:right w:val="none" w:sz="0" w:space="0" w:color="auto"/>
              </w:divBdr>
            </w:div>
          </w:divsChild>
        </w:div>
        <w:div w:id="1615207415">
          <w:marLeft w:val="0"/>
          <w:marRight w:val="0"/>
          <w:marTop w:val="0"/>
          <w:marBottom w:val="0"/>
          <w:divBdr>
            <w:top w:val="none" w:sz="0" w:space="0" w:color="auto"/>
            <w:left w:val="none" w:sz="0" w:space="0" w:color="auto"/>
            <w:bottom w:val="none" w:sz="0" w:space="0" w:color="auto"/>
            <w:right w:val="none" w:sz="0" w:space="0" w:color="auto"/>
          </w:divBdr>
          <w:divsChild>
            <w:div w:id="1303658126">
              <w:marLeft w:val="0"/>
              <w:marRight w:val="0"/>
              <w:marTop w:val="0"/>
              <w:marBottom w:val="0"/>
              <w:divBdr>
                <w:top w:val="none" w:sz="0" w:space="0" w:color="auto"/>
                <w:left w:val="none" w:sz="0" w:space="0" w:color="auto"/>
                <w:bottom w:val="none" w:sz="0" w:space="0" w:color="auto"/>
                <w:right w:val="none" w:sz="0" w:space="0" w:color="auto"/>
              </w:divBdr>
            </w:div>
          </w:divsChild>
        </w:div>
        <w:div w:id="1691107183">
          <w:marLeft w:val="0"/>
          <w:marRight w:val="0"/>
          <w:marTop w:val="0"/>
          <w:marBottom w:val="0"/>
          <w:divBdr>
            <w:top w:val="none" w:sz="0" w:space="0" w:color="auto"/>
            <w:left w:val="none" w:sz="0" w:space="0" w:color="auto"/>
            <w:bottom w:val="none" w:sz="0" w:space="0" w:color="auto"/>
            <w:right w:val="none" w:sz="0" w:space="0" w:color="auto"/>
          </w:divBdr>
          <w:divsChild>
            <w:div w:id="1856386034">
              <w:marLeft w:val="0"/>
              <w:marRight w:val="0"/>
              <w:marTop w:val="0"/>
              <w:marBottom w:val="0"/>
              <w:divBdr>
                <w:top w:val="none" w:sz="0" w:space="0" w:color="auto"/>
                <w:left w:val="none" w:sz="0" w:space="0" w:color="auto"/>
                <w:bottom w:val="none" w:sz="0" w:space="0" w:color="auto"/>
                <w:right w:val="none" w:sz="0" w:space="0" w:color="auto"/>
              </w:divBdr>
            </w:div>
          </w:divsChild>
        </w:div>
        <w:div w:id="1770811705">
          <w:marLeft w:val="0"/>
          <w:marRight w:val="0"/>
          <w:marTop w:val="0"/>
          <w:marBottom w:val="0"/>
          <w:divBdr>
            <w:top w:val="none" w:sz="0" w:space="0" w:color="auto"/>
            <w:left w:val="none" w:sz="0" w:space="0" w:color="auto"/>
            <w:bottom w:val="none" w:sz="0" w:space="0" w:color="auto"/>
            <w:right w:val="none" w:sz="0" w:space="0" w:color="auto"/>
          </w:divBdr>
          <w:divsChild>
            <w:div w:id="660501191">
              <w:marLeft w:val="0"/>
              <w:marRight w:val="0"/>
              <w:marTop w:val="0"/>
              <w:marBottom w:val="0"/>
              <w:divBdr>
                <w:top w:val="none" w:sz="0" w:space="0" w:color="auto"/>
                <w:left w:val="none" w:sz="0" w:space="0" w:color="auto"/>
                <w:bottom w:val="none" w:sz="0" w:space="0" w:color="auto"/>
                <w:right w:val="none" w:sz="0" w:space="0" w:color="auto"/>
              </w:divBdr>
            </w:div>
          </w:divsChild>
        </w:div>
        <w:div w:id="1791322151">
          <w:marLeft w:val="0"/>
          <w:marRight w:val="0"/>
          <w:marTop w:val="0"/>
          <w:marBottom w:val="0"/>
          <w:divBdr>
            <w:top w:val="none" w:sz="0" w:space="0" w:color="auto"/>
            <w:left w:val="none" w:sz="0" w:space="0" w:color="auto"/>
            <w:bottom w:val="none" w:sz="0" w:space="0" w:color="auto"/>
            <w:right w:val="none" w:sz="0" w:space="0" w:color="auto"/>
          </w:divBdr>
          <w:divsChild>
            <w:div w:id="1164079592">
              <w:marLeft w:val="0"/>
              <w:marRight w:val="0"/>
              <w:marTop w:val="0"/>
              <w:marBottom w:val="0"/>
              <w:divBdr>
                <w:top w:val="none" w:sz="0" w:space="0" w:color="auto"/>
                <w:left w:val="none" w:sz="0" w:space="0" w:color="auto"/>
                <w:bottom w:val="none" w:sz="0" w:space="0" w:color="auto"/>
                <w:right w:val="none" w:sz="0" w:space="0" w:color="auto"/>
              </w:divBdr>
            </w:div>
          </w:divsChild>
        </w:div>
        <w:div w:id="1796172281">
          <w:marLeft w:val="0"/>
          <w:marRight w:val="0"/>
          <w:marTop w:val="0"/>
          <w:marBottom w:val="0"/>
          <w:divBdr>
            <w:top w:val="none" w:sz="0" w:space="0" w:color="auto"/>
            <w:left w:val="none" w:sz="0" w:space="0" w:color="auto"/>
            <w:bottom w:val="none" w:sz="0" w:space="0" w:color="auto"/>
            <w:right w:val="none" w:sz="0" w:space="0" w:color="auto"/>
          </w:divBdr>
          <w:divsChild>
            <w:div w:id="857886888">
              <w:marLeft w:val="0"/>
              <w:marRight w:val="0"/>
              <w:marTop w:val="0"/>
              <w:marBottom w:val="0"/>
              <w:divBdr>
                <w:top w:val="none" w:sz="0" w:space="0" w:color="auto"/>
                <w:left w:val="none" w:sz="0" w:space="0" w:color="auto"/>
                <w:bottom w:val="none" w:sz="0" w:space="0" w:color="auto"/>
                <w:right w:val="none" w:sz="0" w:space="0" w:color="auto"/>
              </w:divBdr>
            </w:div>
          </w:divsChild>
        </w:div>
        <w:div w:id="1828278942">
          <w:marLeft w:val="0"/>
          <w:marRight w:val="0"/>
          <w:marTop w:val="0"/>
          <w:marBottom w:val="0"/>
          <w:divBdr>
            <w:top w:val="none" w:sz="0" w:space="0" w:color="auto"/>
            <w:left w:val="none" w:sz="0" w:space="0" w:color="auto"/>
            <w:bottom w:val="none" w:sz="0" w:space="0" w:color="auto"/>
            <w:right w:val="none" w:sz="0" w:space="0" w:color="auto"/>
          </w:divBdr>
          <w:divsChild>
            <w:div w:id="236207017">
              <w:marLeft w:val="0"/>
              <w:marRight w:val="0"/>
              <w:marTop w:val="0"/>
              <w:marBottom w:val="0"/>
              <w:divBdr>
                <w:top w:val="none" w:sz="0" w:space="0" w:color="auto"/>
                <w:left w:val="none" w:sz="0" w:space="0" w:color="auto"/>
                <w:bottom w:val="none" w:sz="0" w:space="0" w:color="auto"/>
                <w:right w:val="none" w:sz="0" w:space="0" w:color="auto"/>
              </w:divBdr>
            </w:div>
            <w:div w:id="1730956617">
              <w:marLeft w:val="0"/>
              <w:marRight w:val="0"/>
              <w:marTop w:val="0"/>
              <w:marBottom w:val="0"/>
              <w:divBdr>
                <w:top w:val="none" w:sz="0" w:space="0" w:color="auto"/>
                <w:left w:val="none" w:sz="0" w:space="0" w:color="auto"/>
                <w:bottom w:val="none" w:sz="0" w:space="0" w:color="auto"/>
                <w:right w:val="none" w:sz="0" w:space="0" w:color="auto"/>
              </w:divBdr>
            </w:div>
          </w:divsChild>
        </w:div>
        <w:div w:id="1832133669">
          <w:marLeft w:val="0"/>
          <w:marRight w:val="0"/>
          <w:marTop w:val="0"/>
          <w:marBottom w:val="0"/>
          <w:divBdr>
            <w:top w:val="none" w:sz="0" w:space="0" w:color="auto"/>
            <w:left w:val="none" w:sz="0" w:space="0" w:color="auto"/>
            <w:bottom w:val="none" w:sz="0" w:space="0" w:color="auto"/>
            <w:right w:val="none" w:sz="0" w:space="0" w:color="auto"/>
          </w:divBdr>
          <w:divsChild>
            <w:div w:id="506285538">
              <w:marLeft w:val="0"/>
              <w:marRight w:val="0"/>
              <w:marTop w:val="0"/>
              <w:marBottom w:val="0"/>
              <w:divBdr>
                <w:top w:val="none" w:sz="0" w:space="0" w:color="auto"/>
                <w:left w:val="none" w:sz="0" w:space="0" w:color="auto"/>
                <w:bottom w:val="none" w:sz="0" w:space="0" w:color="auto"/>
                <w:right w:val="none" w:sz="0" w:space="0" w:color="auto"/>
              </w:divBdr>
            </w:div>
          </w:divsChild>
        </w:div>
        <w:div w:id="1858734042">
          <w:marLeft w:val="0"/>
          <w:marRight w:val="0"/>
          <w:marTop w:val="0"/>
          <w:marBottom w:val="0"/>
          <w:divBdr>
            <w:top w:val="none" w:sz="0" w:space="0" w:color="auto"/>
            <w:left w:val="none" w:sz="0" w:space="0" w:color="auto"/>
            <w:bottom w:val="none" w:sz="0" w:space="0" w:color="auto"/>
            <w:right w:val="none" w:sz="0" w:space="0" w:color="auto"/>
          </w:divBdr>
          <w:divsChild>
            <w:div w:id="1915775753">
              <w:marLeft w:val="0"/>
              <w:marRight w:val="0"/>
              <w:marTop w:val="0"/>
              <w:marBottom w:val="0"/>
              <w:divBdr>
                <w:top w:val="none" w:sz="0" w:space="0" w:color="auto"/>
                <w:left w:val="none" w:sz="0" w:space="0" w:color="auto"/>
                <w:bottom w:val="none" w:sz="0" w:space="0" w:color="auto"/>
                <w:right w:val="none" w:sz="0" w:space="0" w:color="auto"/>
              </w:divBdr>
            </w:div>
          </w:divsChild>
        </w:div>
        <w:div w:id="1914001923">
          <w:marLeft w:val="0"/>
          <w:marRight w:val="0"/>
          <w:marTop w:val="0"/>
          <w:marBottom w:val="0"/>
          <w:divBdr>
            <w:top w:val="none" w:sz="0" w:space="0" w:color="auto"/>
            <w:left w:val="none" w:sz="0" w:space="0" w:color="auto"/>
            <w:bottom w:val="none" w:sz="0" w:space="0" w:color="auto"/>
            <w:right w:val="none" w:sz="0" w:space="0" w:color="auto"/>
          </w:divBdr>
          <w:divsChild>
            <w:div w:id="511650001">
              <w:marLeft w:val="0"/>
              <w:marRight w:val="0"/>
              <w:marTop w:val="0"/>
              <w:marBottom w:val="0"/>
              <w:divBdr>
                <w:top w:val="none" w:sz="0" w:space="0" w:color="auto"/>
                <w:left w:val="none" w:sz="0" w:space="0" w:color="auto"/>
                <w:bottom w:val="none" w:sz="0" w:space="0" w:color="auto"/>
                <w:right w:val="none" w:sz="0" w:space="0" w:color="auto"/>
              </w:divBdr>
            </w:div>
          </w:divsChild>
        </w:div>
        <w:div w:id="1949509715">
          <w:marLeft w:val="0"/>
          <w:marRight w:val="0"/>
          <w:marTop w:val="0"/>
          <w:marBottom w:val="0"/>
          <w:divBdr>
            <w:top w:val="none" w:sz="0" w:space="0" w:color="auto"/>
            <w:left w:val="none" w:sz="0" w:space="0" w:color="auto"/>
            <w:bottom w:val="none" w:sz="0" w:space="0" w:color="auto"/>
            <w:right w:val="none" w:sz="0" w:space="0" w:color="auto"/>
          </w:divBdr>
          <w:divsChild>
            <w:div w:id="311102217">
              <w:marLeft w:val="0"/>
              <w:marRight w:val="0"/>
              <w:marTop w:val="0"/>
              <w:marBottom w:val="0"/>
              <w:divBdr>
                <w:top w:val="none" w:sz="0" w:space="0" w:color="auto"/>
                <w:left w:val="none" w:sz="0" w:space="0" w:color="auto"/>
                <w:bottom w:val="none" w:sz="0" w:space="0" w:color="auto"/>
                <w:right w:val="none" w:sz="0" w:space="0" w:color="auto"/>
              </w:divBdr>
            </w:div>
          </w:divsChild>
        </w:div>
        <w:div w:id="1996912256">
          <w:marLeft w:val="0"/>
          <w:marRight w:val="0"/>
          <w:marTop w:val="0"/>
          <w:marBottom w:val="0"/>
          <w:divBdr>
            <w:top w:val="none" w:sz="0" w:space="0" w:color="auto"/>
            <w:left w:val="none" w:sz="0" w:space="0" w:color="auto"/>
            <w:bottom w:val="none" w:sz="0" w:space="0" w:color="auto"/>
            <w:right w:val="none" w:sz="0" w:space="0" w:color="auto"/>
          </w:divBdr>
          <w:divsChild>
            <w:div w:id="288246996">
              <w:marLeft w:val="0"/>
              <w:marRight w:val="0"/>
              <w:marTop w:val="0"/>
              <w:marBottom w:val="0"/>
              <w:divBdr>
                <w:top w:val="none" w:sz="0" w:space="0" w:color="auto"/>
                <w:left w:val="none" w:sz="0" w:space="0" w:color="auto"/>
                <w:bottom w:val="none" w:sz="0" w:space="0" w:color="auto"/>
                <w:right w:val="none" w:sz="0" w:space="0" w:color="auto"/>
              </w:divBdr>
            </w:div>
          </w:divsChild>
        </w:div>
        <w:div w:id="1999503397">
          <w:marLeft w:val="0"/>
          <w:marRight w:val="0"/>
          <w:marTop w:val="0"/>
          <w:marBottom w:val="0"/>
          <w:divBdr>
            <w:top w:val="none" w:sz="0" w:space="0" w:color="auto"/>
            <w:left w:val="none" w:sz="0" w:space="0" w:color="auto"/>
            <w:bottom w:val="none" w:sz="0" w:space="0" w:color="auto"/>
            <w:right w:val="none" w:sz="0" w:space="0" w:color="auto"/>
          </w:divBdr>
          <w:divsChild>
            <w:div w:id="916522384">
              <w:marLeft w:val="0"/>
              <w:marRight w:val="0"/>
              <w:marTop w:val="0"/>
              <w:marBottom w:val="0"/>
              <w:divBdr>
                <w:top w:val="none" w:sz="0" w:space="0" w:color="auto"/>
                <w:left w:val="none" w:sz="0" w:space="0" w:color="auto"/>
                <w:bottom w:val="none" w:sz="0" w:space="0" w:color="auto"/>
                <w:right w:val="none" w:sz="0" w:space="0" w:color="auto"/>
              </w:divBdr>
            </w:div>
          </w:divsChild>
        </w:div>
        <w:div w:id="2018775628">
          <w:marLeft w:val="0"/>
          <w:marRight w:val="0"/>
          <w:marTop w:val="0"/>
          <w:marBottom w:val="0"/>
          <w:divBdr>
            <w:top w:val="none" w:sz="0" w:space="0" w:color="auto"/>
            <w:left w:val="none" w:sz="0" w:space="0" w:color="auto"/>
            <w:bottom w:val="none" w:sz="0" w:space="0" w:color="auto"/>
            <w:right w:val="none" w:sz="0" w:space="0" w:color="auto"/>
          </w:divBdr>
          <w:divsChild>
            <w:div w:id="1852063925">
              <w:marLeft w:val="0"/>
              <w:marRight w:val="0"/>
              <w:marTop w:val="0"/>
              <w:marBottom w:val="0"/>
              <w:divBdr>
                <w:top w:val="none" w:sz="0" w:space="0" w:color="auto"/>
                <w:left w:val="none" w:sz="0" w:space="0" w:color="auto"/>
                <w:bottom w:val="none" w:sz="0" w:space="0" w:color="auto"/>
                <w:right w:val="none" w:sz="0" w:space="0" w:color="auto"/>
              </w:divBdr>
            </w:div>
          </w:divsChild>
        </w:div>
        <w:div w:id="2065450132">
          <w:marLeft w:val="0"/>
          <w:marRight w:val="0"/>
          <w:marTop w:val="0"/>
          <w:marBottom w:val="0"/>
          <w:divBdr>
            <w:top w:val="none" w:sz="0" w:space="0" w:color="auto"/>
            <w:left w:val="none" w:sz="0" w:space="0" w:color="auto"/>
            <w:bottom w:val="none" w:sz="0" w:space="0" w:color="auto"/>
            <w:right w:val="none" w:sz="0" w:space="0" w:color="auto"/>
          </w:divBdr>
          <w:divsChild>
            <w:div w:id="8454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5677044">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0579012">
      <w:bodyDiv w:val="1"/>
      <w:marLeft w:val="0"/>
      <w:marRight w:val="0"/>
      <w:marTop w:val="0"/>
      <w:marBottom w:val="0"/>
      <w:divBdr>
        <w:top w:val="none" w:sz="0" w:space="0" w:color="auto"/>
        <w:left w:val="none" w:sz="0" w:space="0" w:color="auto"/>
        <w:bottom w:val="none" w:sz="0" w:space="0" w:color="auto"/>
        <w:right w:val="none" w:sz="0" w:space="0" w:color="auto"/>
      </w:divBdr>
      <w:divsChild>
        <w:div w:id="353389949">
          <w:marLeft w:val="0"/>
          <w:marRight w:val="0"/>
          <w:marTop w:val="0"/>
          <w:marBottom w:val="0"/>
          <w:divBdr>
            <w:top w:val="none" w:sz="0" w:space="0" w:color="auto"/>
            <w:left w:val="none" w:sz="0" w:space="0" w:color="auto"/>
            <w:bottom w:val="none" w:sz="0" w:space="0" w:color="auto"/>
            <w:right w:val="none" w:sz="0" w:space="0" w:color="auto"/>
          </w:divBdr>
        </w:div>
        <w:div w:id="374817931">
          <w:marLeft w:val="0"/>
          <w:marRight w:val="0"/>
          <w:marTop w:val="0"/>
          <w:marBottom w:val="0"/>
          <w:divBdr>
            <w:top w:val="none" w:sz="0" w:space="0" w:color="auto"/>
            <w:left w:val="none" w:sz="0" w:space="0" w:color="auto"/>
            <w:bottom w:val="none" w:sz="0" w:space="0" w:color="auto"/>
            <w:right w:val="none" w:sz="0" w:space="0" w:color="auto"/>
          </w:divBdr>
          <w:divsChild>
            <w:div w:id="266087121">
              <w:marLeft w:val="-75"/>
              <w:marRight w:val="0"/>
              <w:marTop w:val="30"/>
              <w:marBottom w:val="30"/>
              <w:divBdr>
                <w:top w:val="none" w:sz="0" w:space="0" w:color="auto"/>
                <w:left w:val="none" w:sz="0" w:space="0" w:color="auto"/>
                <w:bottom w:val="none" w:sz="0" w:space="0" w:color="auto"/>
                <w:right w:val="none" w:sz="0" w:space="0" w:color="auto"/>
              </w:divBdr>
              <w:divsChild>
                <w:div w:id="16279762">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sChild>
                </w:div>
                <w:div w:id="80958261">
                  <w:marLeft w:val="0"/>
                  <w:marRight w:val="0"/>
                  <w:marTop w:val="0"/>
                  <w:marBottom w:val="0"/>
                  <w:divBdr>
                    <w:top w:val="none" w:sz="0" w:space="0" w:color="auto"/>
                    <w:left w:val="none" w:sz="0" w:space="0" w:color="auto"/>
                    <w:bottom w:val="none" w:sz="0" w:space="0" w:color="auto"/>
                    <w:right w:val="none" w:sz="0" w:space="0" w:color="auto"/>
                  </w:divBdr>
                  <w:divsChild>
                    <w:div w:id="1374572993">
                      <w:marLeft w:val="0"/>
                      <w:marRight w:val="0"/>
                      <w:marTop w:val="0"/>
                      <w:marBottom w:val="0"/>
                      <w:divBdr>
                        <w:top w:val="none" w:sz="0" w:space="0" w:color="auto"/>
                        <w:left w:val="none" w:sz="0" w:space="0" w:color="auto"/>
                        <w:bottom w:val="none" w:sz="0" w:space="0" w:color="auto"/>
                        <w:right w:val="none" w:sz="0" w:space="0" w:color="auto"/>
                      </w:divBdr>
                    </w:div>
                  </w:divsChild>
                </w:div>
                <w:div w:id="91433875">
                  <w:marLeft w:val="0"/>
                  <w:marRight w:val="0"/>
                  <w:marTop w:val="0"/>
                  <w:marBottom w:val="0"/>
                  <w:divBdr>
                    <w:top w:val="none" w:sz="0" w:space="0" w:color="auto"/>
                    <w:left w:val="none" w:sz="0" w:space="0" w:color="auto"/>
                    <w:bottom w:val="none" w:sz="0" w:space="0" w:color="auto"/>
                    <w:right w:val="none" w:sz="0" w:space="0" w:color="auto"/>
                  </w:divBdr>
                  <w:divsChild>
                    <w:div w:id="1313871930">
                      <w:marLeft w:val="0"/>
                      <w:marRight w:val="0"/>
                      <w:marTop w:val="0"/>
                      <w:marBottom w:val="0"/>
                      <w:divBdr>
                        <w:top w:val="none" w:sz="0" w:space="0" w:color="auto"/>
                        <w:left w:val="none" w:sz="0" w:space="0" w:color="auto"/>
                        <w:bottom w:val="none" w:sz="0" w:space="0" w:color="auto"/>
                        <w:right w:val="none" w:sz="0" w:space="0" w:color="auto"/>
                      </w:divBdr>
                    </w:div>
                  </w:divsChild>
                </w:div>
                <w:div w:id="98645903">
                  <w:marLeft w:val="0"/>
                  <w:marRight w:val="0"/>
                  <w:marTop w:val="0"/>
                  <w:marBottom w:val="0"/>
                  <w:divBdr>
                    <w:top w:val="none" w:sz="0" w:space="0" w:color="auto"/>
                    <w:left w:val="none" w:sz="0" w:space="0" w:color="auto"/>
                    <w:bottom w:val="none" w:sz="0" w:space="0" w:color="auto"/>
                    <w:right w:val="none" w:sz="0" w:space="0" w:color="auto"/>
                  </w:divBdr>
                  <w:divsChild>
                    <w:div w:id="1470318577">
                      <w:marLeft w:val="0"/>
                      <w:marRight w:val="0"/>
                      <w:marTop w:val="0"/>
                      <w:marBottom w:val="0"/>
                      <w:divBdr>
                        <w:top w:val="none" w:sz="0" w:space="0" w:color="auto"/>
                        <w:left w:val="none" w:sz="0" w:space="0" w:color="auto"/>
                        <w:bottom w:val="none" w:sz="0" w:space="0" w:color="auto"/>
                        <w:right w:val="none" w:sz="0" w:space="0" w:color="auto"/>
                      </w:divBdr>
                    </w:div>
                  </w:divsChild>
                </w:div>
                <w:div w:id="103309885">
                  <w:marLeft w:val="0"/>
                  <w:marRight w:val="0"/>
                  <w:marTop w:val="0"/>
                  <w:marBottom w:val="0"/>
                  <w:divBdr>
                    <w:top w:val="none" w:sz="0" w:space="0" w:color="auto"/>
                    <w:left w:val="none" w:sz="0" w:space="0" w:color="auto"/>
                    <w:bottom w:val="none" w:sz="0" w:space="0" w:color="auto"/>
                    <w:right w:val="none" w:sz="0" w:space="0" w:color="auto"/>
                  </w:divBdr>
                  <w:divsChild>
                    <w:div w:id="924922407">
                      <w:marLeft w:val="0"/>
                      <w:marRight w:val="0"/>
                      <w:marTop w:val="0"/>
                      <w:marBottom w:val="0"/>
                      <w:divBdr>
                        <w:top w:val="none" w:sz="0" w:space="0" w:color="auto"/>
                        <w:left w:val="none" w:sz="0" w:space="0" w:color="auto"/>
                        <w:bottom w:val="none" w:sz="0" w:space="0" w:color="auto"/>
                        <w:right w:val="none" w:sz="0" w:space="0" w:color="auto"/>
                      </w:divBdr>
                    </w:div>
                  </w:divsChild>
                </w:div>
                <w:div w:id="120534229">
                  <w:marLeft w:val="0"/>
                  <w:marRight w:val="0"/>
                  <w:marTop w:val="0"/>
                  <w:marBottom w:val="0"/>
                  <w:divBdr>
                    <w:top w:val="none" w:sz="0" w:space="0" w:color="auto"/>
                    <w:left w:val="none" w:sz="0" w:space="0" w:color="auto"/>
                    <w:bottom w:val="none" w:sz="0" w:space="0" w:color="auto"/>
                    <w:right w:val="none" w:sz="0" w:space="0" w:color="auto"/>
                  </w:divBdr>
                  <w:divsChild>
                    <w:div w:id="2140027581">
                      <w:marLeft w:val="0"/>
                      <w:marRight w:val="0"/>
                      <w:marTop w:val="0"/>
                      <w:marBottom w:val="0"/>
                      <w:divBdr>
                        <w:top w:val="none" w:sz="0" w:space="0" w:color="auto"/>
                        <w:left w:val="none" w:sz="0" w:space="0" w:color="auto"/>
                        <w:bottom w:val="none" w:sz="0" w:space="0" w:color="auto"/>
                        <w:right w:val="none" w:sz="0" w:space="0" w:color="auto"/>
                      </w:divBdr>
                    </w:div>
                  </w:divsChild>
                </w:div>
                <w:div w:id="129396676">
                  <w:marLeft w:val="0"/>
                  <w:marRight w:val="0"/>
                  <w:marTop w:val="0"/>
                  <w:marBottom w:val="0"/>
                  <w:divBdr>
                    <w:top w:val="none" w:sz="0" w:space="0" w:color="auto"/>
                    <w:left w:val="none" w:sz="0" w:space="0" w:color="auto"/>
                    <w:bottom w:val="none" w:sz="0" w:space="0" w:color="auto"/>
                    <w:right w:val="none" w:sz="0" w:space="0" w:color="auto"/>
                  </w:divBdr>
                  <w:divsChild>
                    <w:div w:id="1688947030">
                      <w:marLeft w:val="0"/>
                      <w:marRight w:val="0"/>
                      <w:marTop w:val="0"/>
                      <w:marBottom w:val="0"/>
                      <w:divBdr>
                        <w:top w:val="none" w:sz="0" w:space="0" w:color="auto"/>
                        <w:left w:val="none" w:sz="0" w:space="0" w:color="auto"/>
                        <w:bottom w:val="none" w:sz="0" w:space="0" w:color="auto"/>
                        <w:right w:val="none" w:sz="0" w:space="0" w:color="auto"/>
                      </w:divBdr>
                    </w:div>
                  </w:divsChild>
                </w:div>
                <w:div w:id="149299920">
                  <w:marLeft w:val="0"/>
                  <w:marRight w:val="0"/>
                  <w:marTop w:val="0"/>
                  <w:marBottom w:val="0"/>
                  <w:divBdr>
                    <w:top w:val="none" w:sz="0" w:space="0" w:color="auto"/>
                    <w:left w:val="none" w:sz="0" w:space="0" w:color="auto"/>
                    <w:bottom w:val="none" w:sz="0" w:space="0" w:color="auto"/>
                    <w:right w:val="none" w:sz="0" w:space="0" w:color="auto"/>
                  </w:divBdr>
                  <w:divsChild>
                    <w:div w:id="385571673">
                      <w:marLeft w:val="0"/>
                      <w:marRight w:val="0"/>
                      <w:marTop w:val="0"/>
                      <w:marBottom w:val="0"/>
                      <w:divBdr>
                        <w:top w:val="none" w:sz="0" w:space="0" w:color="auto"/>
                        <w:left w:val="none" w:sz="0" w:space="0" w:color="auto"/>
                        <w:bottom w:val="none" w:sz="0" w:space="0" w:color="auto"/>
                        <w:right w:val="none" w:sz="0" w:space="0" w:color="auto"/>
                      </w:divBdr>
                    </w:div>
                  </w:divsChild>
                </w:div>
                <w:div w:id="180555239">
                  <w:marLeft w:val="0"/>
                  <w:marRight w:val="0"/>
                  <w:marTop w:val="0"/>
                  <w:marBottom w:val="0"/>
                  <w:divBdr>
                    <w:top w:val="none" w:sz="0" w:space="0" w:color="auto"/>
                    <w:left w:val="none" w:sz="0" w:space="0" w:color="auto"/>
                    <w:bottom w:val="none" w:sz="0" w:space="0" w:color="auto"/>
                    <w:right w:val="none" w:sz="0" w:space="0" w:color="auto"/>
                  </w:divBdr>
                  <w:divsChild>
                    <w:div w:id="241840375">
                      <w:marLeft w:val="0"/>
                      <w:marRight w:val="0"/>
                      <w:marTop w:val="0"/>
                      <w:marBottom w:val="0"/>
                      <w:divBdr>
                        <w:top w:val="none" w:sz="0" w:space="0" w:color="auto"/>
                        <w:left w:val="none" w:sz="0" w:space="0" w:color="auto"/>
                        <w:bottom w:val="none" w:sz="0" w:space="0" w:color="auto"/>
                        <w:right w:val="none" w:sz="0" w:space="0" w:color="auto"/>
                      </w:divBdr>
                    </w:div>
                  </w:divsChild>
                </w:div>
                <w:div w:id="204215256">
                  <w:marLeft w:val="0"/>
                  <w:marRight w:val="0"/>
                  <w:marTop w:val="0"/>
                  <w:marBottom w:val="0"/>
                  <w:divBdr>
                    <w:top w:val="none" w:sz="0" w:space="0" w:color="auto"/>
                    <w:left w:val="none" w:sz="0" w:space="0" w:color="auto"/>
                    <w:bottom w:val="none" w:sz="0" w:space="0" w:color="auto"/>
                    <w:right w:val="none" w:sz="0" w:space="0" w:color="auto"/>
                  </w:divBdr>
                  <w:divsChild>
                    <w:div w:id="552929918">
                      <w:marLeft w:val="0"/>
                      <w:marRight w:val="0"/>
                      <w:marTop w:val="0"/>
                      <w:marBottom w:val="0"/>
                      <w:divBdr>
                        <w:top w:val="none" w:sz="0" w:space="0" w:color="auto"/>
                        <w:left w:val="none" w:sz="0" w:space="0" w:color="auto"/>
                        <w:bottom w:val="none" w:sz="0" w:space="0" w:color="auto"/>
                        <w:right w:val="none" w:sz="0" w:space="0" w:color="auto"/>
                      </w:divBdr>
                    </w:div>
                  </w:divsChild>
                </w:div>
                <w:div w:id="236787378">
                  <w:marLeft w:val="0"/>
                  <w:marRight w:val="0"/>
                  <w:marTop w:val="0"/>
                  <w:marBottom w:val="0"/>
                  <w:divBdr>
                    <w:top w:val="none" w:sz="0" w:space="0" w:color="auto"/>
                    <w:left w:val="none" w:sz="0" w:space="0" w:color="auto"/>
                    <w:bottom w:val="none" w:sz="0" w:space="0" w:color="auto"/>
                    <w:right w:val="none" w:sz="0" w:space="0" w:color="auto"/>
                  </w:divBdr>
                  <w:divsChild>
                    <w:div w:id="795685595">
                      <w:marLeft w:val="0"/>
                      <w:marRight w:val="0"/>
                      <w:marTop w:val="0"/>
                      <w:marBottom w:val="0"/>
                      <w:divBdr>
                        <w:top w:val="none" w:sz="0" w:space="0" w:color="auto"/>
                        <w:left w:val="none" w:sz="0" w:space="0" w:color="auto"/>
                        <w:bottom w:val="none" w:sz="0" w:space="0" w:color="auto"/>
                        <w:right w:val="none" w:sz="0" w:space="0" w:color="auto"/>
                      </w:divBdr>
                    </w:div>
                  </w:divsChild>
                </w:div>
                <w:div w:id="242843007">
                  <w:marLeft w:val="0"/>
                  <w:marRight w:val="0"/>
                  <w:marTop w:val="0"/>
                  <w:marBottom w:val="0"/>
                  <w:divBdr>
                    <w:top w:val="none" w:sz="0" w:space="0" w:color="auto"/>
                    <w:left w:val="none" w:sz="0" w:space="0" w:color="auto"/>
                    <w:bottom w:val="none" w:sz="0" w:space="0" w:color="auto"/>
                    <w:right w:val="none" w:sz="0" w:space="0" w:color="auto"/>
                  </w:divBdr>
                  <w:divsChild>
                    <w:div w:id="1870021707">
                      <w:marLeft w:val="0"/>
                      <w:marRight w:val="0"/>
                      <w:marTop w:val="0"/>
                      <w:marBottom w:val="0"/>
                      <w:divBdr>
                        <w:top w:val="none" w:sz="0" w:space="0" w:color="auto"/>
                        <w:left w:val="none" w:sz="0" w:space="0" w:color="auto"/>
                        <w:bottom w:val="none" w:sz="0" w:space="0" w:color="auto"/>
                        <w:right w:val="none" w:sz="0" w:space="0" w:color="auto"/>
                      </w:divBdr>
                    </w:div>
                  </w:divsChild>
                </w:div>
                <w:div w:id="292559678">
                  <w:marLeft w:val="0"/>
                  <w:marRight w:val="0"/>
                  <w:marTop w:val="0"/>
                  <w:marBottom w:val="0"/>
                  <w:divBdr>
                    <w:top w:val="none" w:sz="0" w:space="0" w:color="auto"/>
                    <w:left w:val="none" w:sz="0" w:space="0" w:color="auto"/>
                    <w:bottom w:val="none" w:sz="0" w:space="0" w:color="auto"/>
                    <w:right w:val="none" w:sz="0" w:space="0" w:color="auto"/>
                  </w:divBdr>
                  <w:divsChild>
                    <w:div w:id="836843711">
                      <w:marLeft w:val="0"/>
                      <w:marRight w:val="0"/>
                      <w:marTop w:val="0"/>
                      <w:marBottom w:val="0"/>
                      <w:divBdr>
                        <w:top w:val="none" w:sz="0" w:space="0" w:color="auto"/>
                        <w:left w:val="none" w:sz="0" w:space="0" w:color="auto"/>
                        <w:bottom w:val="none" w:sz="0" w:space="0" w:color="auto"/>
                        <w:right w:val="none" w:sz="0" w:space="0" w:color="auto"/>
                      </w:divBdr>
                    </w:div>
                  </w:divsChild>
                </w:div>
                <w:div w:id="297301081">
                  <w:marLeft w:val="0"/>
                  <w:marRight w:val="0"/>
                  <w:marTop w:val="0"/>
                  <w:marBottom w:val="0"/>
                  <w:divBdr>
                    <w:top w:val="none" w:sz="0" w:space="0" w:color="auto"/>
                    <w:left w:val="none" w:sz="0" w:space="0" w:color="auto"/>
                    <w:bottom w:val="none" w:sz="0" w:space="0" w:color="auto"/>
                    <w:right w:val="none" w:sz="0" w:space="0" w:color="auto"/>
                  </w:divBdr>
                  <w:divsChild>
                    <w:div w:id="357897368">
                      <w:marLeft w:val="0"/>
                      <w:marRight w:val="0"/>
                      <w:marTop w:val="0"/>
                      <w:marBottom w:val="0"/>
                      <w:divBdr>
                        <w:top w:val="none" w:sz="0" w:space="0" w:color="auto"/>
                        <w:left w:val="none" w:sz="0" w:space="0" w:color="auto"/>
                        <w:bottom w:val="none" w:sz="0" w:space="0" w:color="auto"/>
                        <w:right w:val="none" w:sz="0" w:space="0" w:color="auto"/>
                      </w:divBdr>
                    </w:div>
                  </w:divsChild>
                </w:div>
                <w:div w:id="342632218">
                  <w:marLeft w:val="0"/>
                  <w:marRight w:val="0"/>
                  <w:marTop w:val="0"/>
                  <w:marBottom w:val="0"/>
                  <w:divBdr>
                    <w:top w:val="none" w:sz="0" w:space="0" w:color="auto"/>
                    <w:left w:val="none" w:sz="0" w:space="0" w:color="auto"/>
                    <w:bottom w:val="none" w:sz="0" w:space="0" w:color="auto"/>
                    <w:right w:val="none" w:sz="0" w:space="0" w:color="auto"/>
                  </w:divBdr>
                  <w:divsChild>
                    <w:div w:id="619385584">
                      <w:marLeft w:val="0"/>
                      <w:marRight w:val="0"/>
                      <w:marTop w:val="0"/>
                      <w:marBottom w:val="0"/>
                      <w:divBdr>
                        <w:top w:val="none" w:sz="0" w:space="0" w:color="auto"/>
                        <w:left w:val="none" w:sz="0" w:space="0" w:color="auto"/>
                        <w:bottom w:val="none" w:sz="0" w:space="0" w:color="auto"/>
                        <w:right w:val="none" w:sz="0" w:space="0" w:color="auto"/>
                      </w:divBdr>
                    </w:div>
                  </w:divsChild>
                </w:div>
                <w:div w:id="407533876">
                  <w:marLeft w:val="0"/>
                  <w:marRight w:val="0"/>
                  <w:marTop w:val="0"/>
                  <w:marBottom w:val="0"/>
                  <w:divBdr>
                    <w:top w:val="none" w:sz="0" w:space="0" w:color="auto"/>
                    <w:left w:val="none" w:sz="0" w:space="0" w:color="auto"/>
                    <w:bottom w:val="none" w:sz="0" w:space="0" w:color="auto"/>
                    <w:right w:val="none" w:sz="0" w:space="0" w:color="auto"/>
                  </w:divBdr>
                  <w:divsChild>
                    <w:div w:id="1057319710">
                      <w:marLeft w:val="0"/>
                      <w:marRight w:val="0"/>
                      <w:marTop w:val="0"/>
                      <w:marBottom w:val="0"/>
                      <w:divBdr>
                        <w:top w:val="none" w:sz="0" w:space="0" w:color="auto"/>
                        <w:left w:val="none" w:sz="0" w:space="0" w:color="auto"/>
                        <w:bottom w:val="none" w:sz="0" w:space="0" w:color="auto"/>
                        <w:right w:val="none" w:sz="0" w:space="0" w:color="auto"/>
                      </w:divBdr>
                    </w:div>
                  </w:divsChild>
                </w:div>
                <w:div w:id="428162147">
                  <w:marLeft w:val="0"/>
                  <w:marRight w:val="0"/>
                  <w:marTop w:val="0"/>
                  <w:marBottom w:val="0"/>
                  <w:divBdr>
                    <w:top w:val="none" w:sz="0" w:space="0" w:color="auto"/>
                    <w:left w:val="none" w:sz="0" w:space="0" w:color="auto"/>
                    <w:bottom w:val="none" w:sz="0" w:space="0" w:color="auto"/>
                    <w:right w:val="none" w:sz="0" w:space="0" w:color="auto"/>
                  </w:divBdr>
                  <w:divsChild>
                    <w:div w:id="789863001">
                      <w:marLeft w:val="0"/>
                      <w:marRight w:val="0"/>
                      <w:marTop w:val="0"/>
                      <w:marBottom w:val="0"/>
                      <w:divBdr>
                        <w:top w:val="none" w:sz="0" w:space="0" w:color="auto"/>
                        <w:left w:val="none" w:sz="0" w:space="0" w:color="auto"/>
                        <w:bottom w:val="none" w:sz="0" w:space="0" w:color="auto"/>
                        <w:right w:val="none" w:sz="0" w:space="0" w:color="auto"/>
                      </w:divBdr>
                    </w:div>
                  </w:divsChild>
                </w:div>
                <w:div w:id="441150432">
                  <w:marLeft w:val="0"/>
                  <w:marRight w:val="0"/>
                  <w:marTop w:val="0"/>
                  <w:marBottom w:val="0"/>
                  <w:divBdr>
                    <w:top w:val="none" w:sz="0" w:space="0" w:color="auto"/>
                    <w:left w:val="none" w:sz="0" w:space="0" w:color="auto"/>
                    <w:bottom w:val="none" w:sz="0" w:space="0" w:color="auto"/>
                    <w:right w:val="none" w:sz="0" w:space="0" w:color="auto"/>
                  </w:divBdr>
                  <w:divsChild>
                    <w:div w:id="206920841">
                      <w:marLeft w:val="0"/>
                      <w:marRight w:val="0"/>
                      <w:marTop w:val="0"/>
                      <w:marBottom w:val="0"/>
                      <w:divBdr>
                        <w:top w:val="none" w:sz="0" w:space="0" w:color="auto"/>
                        <w:left w:val="none" w:sz="0" w:space="0" w:color="auto"/>
                        <w:bottom w:val="none" w:sz="0" w:space="0" w:color="auto"/>
                        <w:right w:val="none" w:sz="0" w:space="0" w:color="auto"/>
                      </w:divBdr>
                    </w:div>
                  </w:divsChild>
                </w:div>
                <w:div w:id="466624150">
                  <w:marLeft w:val="0"/>
                  <w:marRight w:val="0"/>
                  <w:marTop w:val="0"/>
                  <w:marBottom w:val="0"/>
                  <w:divBdr>
                    <w:top w:val="none" w:sz="0" w:space="0" w:color="auto"/>
                    <w:left w:val="none" w:sz="0" w:space="0" w:color="auto"/>
                    <w:bottom w:val="none" w:sz="0" w:space="0" w:color="auto"/>
                    <w:right w:val="none" w:sz="0" w:space="0" w:color="auto"/>
                  </w:divBdr>
                  <w:divsChild>
                    <w:div w:id="713890532">
                      <w:marLeft w:val="0"/>
                      <w:marRight w:val="0"/>
                      <w:marTop w:val="0"/>
                      <w:marBottom w:val="0"/>
                      <w:divBdr>
                        <w:top w:val="none" w:sz="0" w:space="0" w:color="auto"/>
                        <w:left w:val="none" w:sz="0" w:space="0" w:color="auto"/>
                        <w:bottom w:val="none" w:sz="0" w:space="0" w:color="auto"/>
                        <w:right w:val="none" w:sz="0" w:space="0" w:color="auto"/>
                      </w:divBdr>
                    </w:div>
                  </w:divsChild>
                </w:div>
                <w:div w:id="472601074">
                  <w:marLeft w:val="0"/>
                  <w:marRight w:val="0"/>
                  <w:marTop w:val="0"/>
                  <w:marBottom w:val="0"/>
                  <w:divBdr>
                    <w:top w:val="none" w:sz="0" w:space="0" w:color="auto"/>
                    <w:left w:val="none" w:sz="0" w:space="0" w:color="auto"/>
                    <w:bottom w:val="none" w:sz="0" w:space="0" w:color="auto"/>
                    <w:right w:val="none" w:sz="0" w:space="0" w:color="auto"/>
                  </w:divBdr>
                  <w:divsChild>
                    <w:div w:id="1228373835">
                      <w:marLeft w:val="0"/>
                      <w:marRight w:val="0"/>
                      <w:marTop w:val="0"/>
                      <w:marBottom w:val="0"/>
                      <w:divBdr>
                        <w:top w:val="none" w:sz="0" w:space="0" w:color="auto"/>
                        <w:left w:val="none" w:sz="0" w:space="0" w:color="auto"/>
                        <w:bottom w:val="none" w:sz="0" w:space="0" w:color="auto"/>
                        <w:right w:val="none" w:sz="0" w:space="0" w:color="auto"/>
                      </w:divBdr>
                    </w:div>
                  </w:divsChild>
                </w:div>
                <w:div w:id="514733203">
                  <w:marLeft w:val="0"/>
                  <w:marRight w:val="0"/>
                  <w:marTop w:val="0"/>
                  <w:marBottom w:val="0"/>
                  <w:divBdr>
                    <w:top w:val="none" w:sz="0" w:space="0" w:color="auto"/>
                    <w:left w:val="none" w:sz="0" w:space="0" w:color="auto"/>
                    <w:bottom w:val="none" w:sz="0" w:space="0" w:color="auto"/>
                    <w:right w:val="none" w:sz="0" w:space="0" w:color="auto"/>
                  </w:divBdr>
                  <w:divsChild>
                    <w:div w:id="1097825479">
                      <w:marLeft w:val="0"/>
                      <w:marRight w:val="0"/>
                      <w:marTop w:val="0"/>
                      <w:marBottom w:val="0"/>
                      <w:divBdr>
                        <w:top w:val="none" w:sz="0" w:space="0" w:color="auto"/>
                        <w:left w:val="none" w:sz="0" w:space="0" w:color="auto"/>
                        <w:bottom w:val="none" w:sz="0" w:space="0" w:color="auto"/>
                        <w:right w:val="none" w:sz="0" w:space="0" w:color="auto"/>
                      </w:divBdr>
                    </w:div>
                  </w:divsChild>
                </w:div>
                <w:div w:id="532769729">
                  <w:marLeft w:val="0"/>
                  <w:marRight w:val="0"/>
                  <w:marTop w:val="0"/>
                  <w:marBottom w:val="0"/>
                  <w:divBdr>
                    <w:top w:val="none" w:sz="0" w:space="0" w:color="auto"/>
                    <w:left w:val="none" w:sz="0" w:space="0" w:color="auto"/>
                    <w:bottom w:val="none" w:sz="0" w:space="0" w:color="auto"/>
                    <w:right w:val="none" w:sz="0" w:space="0" w:color="auto"/>
                  </w:divBdr>
                  <w:divsChild>
                    <w:div w:id="1948582082">
                      <w:marLeft w:val="0"/>
                      <w:marRight w:val="0"/>
                      <w:marTop w:val="0"/>
                      <w:marBottom w:val="0"/>
                      <w:divBdr>
                        <w:top w:val="none" w:sz="0" w:space="0" w:color="auto"/>
                        <w:left w:val="none" w:sz="0" w:space="0" w:color="auto"/>
                        <w:bottom w:val="none" w:sz="0" w:space="0" w:color="auto"/>
                        <w:right w:val="none" w:sz="0" w:space="0" w:color="auto"/>
                      </w:divBdr>
                    </w:div>
                  </w:divsChild>
                </w:div>
                <w:div w:id="570316265">
                  <w:marLeft w:val="0"/>
                  <w:marRight w:val="0"/>
                  <w:marTop w:val="0"/>
                  <w:marBottom w:val="0"/>
                  <w:divBdr>
                    <w:top w:val="none" w:sz="0" w:space="0" w:color="auto"/>
                    <w:left w:val="none" w:sz="0" w:space="0" w:color="auto"/>
                    <w:bottom w:val="none" w:sz="0" w:space="0" w:color="auto"/>
                    <w:right w:val="none" w:sz="0" w:space="0" w:color="auto"/>
                  </w:divBdr>
                  <w:divsChild>
                    <w:div w:id="725762003">
                      <w:marLeft w:val="0"/>
                      <w:marRight w:val="0"/>
                      <w:marTop w:val="0"/>
                      <w:marBottom w:val="0"/>
                      <w:divBdr>
                        <w:top w:val="none" w:sz="0" w:space="0" w:color="auto"/>
                        <w:left w:val="none" w:sz="0" w:space="0" w:color="auto"/>
                        <w:bottom w:val="none" w:sz="0" w:space="0" w:color="auto"/>
                        <w:right w:val="none" w:sz="0" w:space="0" w:color="auto"/>
                      </w:divBdr>
                    </w:div>
                  </w:divsChild>
                </w:div>
                <w:div w:id="666130684">
                  <w:marLeft w:val="0"/>
                  <w:marRight w:val="0"/>
                  <w:marTop w:val="0"/>
                  <w:marBottom w:val="0"/>
                  <w:divBdr>
                    <w:top w:val="none" w:sz="0" w:space="0" w:color="auto"/>
                    <w:left w:val="none" w:sz="0" w:space="0" w:color="auto"/>
                    <w:bottom w:val="none" w:sz="0" w:space="0" w:color="auto"/>
                    <w:right w:val="none" w:sz="0" w:space="0" w:color="auto"/>
                  </w:divBdr>
                  <w:divsChild>
                    <w:div w:id="1632709920">
                      <w:marLeft w:val="0"/>
                      <w:marRight w:val="0"/>
                      <w:marTop w:val="0"/>
                      <w:marBottom w:val="0"/>
                      <w:divBdr>
                        <w:top w:val="none" w:sz="0" w:space="0" w:color="auto"/>
                        <w:left w:val="none" w:sz="0" w:space="0" w:color="auto"/>
                        <w:bottom w:val="none" w:sz="0" w:space="0" w:color="auto"/>
                        <w:right w:val="none" w:sz="0" w:space="0" w:color="auto"/>
                      </w:divBdr>
                    </w:div>
                  </w:divsChild>
                </w:div>
                <w:div w:id="797407653">
                  <w:marLeft w:val="0"/>
                  <w:marRight w:val="0"/>
                  <w:marTop w:val="0"/>
                  <w:marBottom w:val="0"/>
                  <w:divBdr>
                    <w:top w:val="none" w:sz="0" w:space="0" w:color="auto"/>
                    <w:left w:val="none" w:sz="0" w:space="0" w:color="auto"/>
                    <w:bottom w:val="none" w:sz="0" w:space="0" w:color="auto"/>
                    <w:right w:val="none" w:sz="0" w:space="0" w:color="auto"/>
                  </w:divBdr>
                  <w:divsChild>
                    <w:div w:id="1860507414">
                      <w:marLeft w:val="0"/>
                      <w:marRight w:val="0"/>
                      <w:marTop w:val="0"/>
                      <w:marBottom w:val="0"/>
                      <w:divBdr>
                        <w:top w:val="none" w:sz="0" w:space="0" w:color="auto"/>
                        <w:left w:val="none" w:sz="0" w:space="0" w:color="auto"/>
                        <w:bottom w:val="none" w:sz="0" w:space="0" w:color="auto"/>
                        <w:right w:val="none" w:sz="0" w:space="0" w:color="auto"/>
                      </w:divBdr>
                    </w:div>
                  </w:divsChild>
                </w:div>
                <w:div w:id="804473071">
                  <w:marLeft w:val="0"/>
                  <w:marRight w:val="0"/>
                  <w:marTop w:val="0"/>
                  <w:marBottom w:val="0"/>
                  <w:divBdr>
                    <w:top w:val="none" w:sz="0" w:space="0" w:color="auto"/>
                    <w:left w:val="none" w:sz="0" w:space="0" w:color="auto"/>
                    <w:bottom w:val="none" w:sz="0" w:space="0" w:color="auto"/>
                    <w:right w:val="none" w:sz="0" w:space="0" w:color="auto"/>
                  </w:divBdr>
                  <w:divsChild>
                    <w:div w:id="637536358">
                      <w:marLeft w:val="0"/>
                      <w:marRight w:val="0"/>
                      <w:marTop w:val="0"/>
                      <w:marBottom w:val="0"/>
                      <w:divBdr>
                        <w:top w:val="none" w:sz="0" w:space="0" w:color="auto"/>
                        <w:left w:val="none" w:sz="0" w:space="0" w:color="auto"/>
                        <w:bottom w:val="none" w:sz="0" w:space="0" w:color="auto"/>
                        <w:right w:val="none" w:sz="0" w:space="0" w:color="auto"/>
                      </w:divBdr>
                    </w:div>
                  </w:divsChild>
                </w:div>
                <w:div w:id="817649290">
                  <w:marLeft w:val="0"/>
                  <w:marRight w:val="0"/>
                  <w:marTop w:val="0"/>
                  <w:marBottom w:val="0"/>
                  <w:divBdr>
                    <w:top w:val="none" w:sz="0" w:space="0" w:color="auto"/>
                    <w:left w:val="none" w:sz="0" w:space="0" w:color="auto"/>
                    <w:bottom w:val="none" w:sz="0" w:space="0" w:color="auto"/>
                    <w:right w:val="none" w:sz="0" w:space="0" w:color="auto"/>
                  </w:divBdr>
                  <w:divsChild>
                    <w:div w:id="741218067">
                      <w:marLeft w:val="0"/>
                      <w:marRight w:val="0"/>
                      <w:marTop w:val="0"/>
                      <w:marBottom w:val="0"/>
                      <w:divBdr>
                        <w:top w:val="none" w:sz="0" w:space="0" w:color="auto"/>
                        <w:left w:val="none" w:sz="0" w:space="0" w:color="auto"/>
                        <w:bottom w:val="none" w:sz="0" w:space="0" w:color="auto"/>
                        <w:right w:val="none" w:sz="0" w:space="0" w:color="auto"/>
                      </w:divBdr>
                    </w:div>
                  </w:divsChild>
                </w:div>
                <w:div w:id="885918272">
                  <w:marLeft w:val="0"/>
                  <w:marRight w:val="0"/>
                  <w:marTop w:val="0"/>
                  <w:marBottom w:val="0"/>
                  <w:divBdr>
                    <w:top w:val="none" w:sz="0" w:space="0" w:color="auto"/>
                    <w:left w:val="none" w:sz="0" w:space="0" w:color="auto"/>
                    <w:bottom w:val="none" w:sz="0" w:space="0" w:color="auto"/>
                    <w:right w:val="none" w:sz="0" w:space="0" w:color="auto"/>
                  </w:divBdr>
                  <w:divsChild>
                    <w:div w:id="178156490">
                      <w:marLeft w:val="0"/>
                      <w:marRight w:val="0"/>
                      <w:marTop w:val="0"/>
                      <w:marBottom w:val="0"/>
                      <w:divBdr>
                        <w:top w:val="none" w:sz="0" w:space="0" w:color="auto"/>
                        <w:left w:val="none" w:sz="0" w:space="0" w:color="auto"/>
                        <w:bottom w:val="none" w:sz="0" w:space="0" w:color="auto"/>
                        <w:right w:val="none" w:sz="0" w:space="0" w:color="auto"/>
                      </w:divBdr>
                    </w:div>
                  </w:divsChild>
                </w:div>
                <w:div w:id="886647142">
                  <w:marLeft w:val="0"/>
                  <w:marRight w:val="0"/>
                  <w:marTop w:val="0"/>
                  <w:marBottom w:val="0"/>
                  <w:divBdr>
                    <w:top w:val="none" w:sz="0" w:space="0" w:color="auto"/>
                    <w:left w:val="none" w:sz="0" w:space="0" w:color="auto"/>
                    <w:bottom w:val="none" w:sz="0" w:space="0" w:color="auto"/>
                    <w:right w:val="none" w:sz="0" w:space="0" w:color="auto"/>
                  </w:divBdr>
                  <w:divsChild>
                    <w:div w:id="624386299">
                      <w:marLeft w:val="0"/>
                      <w:marRight w:val="0"/>
                      <w:marTop w:val="0"/>
                      <w:marBottom w:val="0"/>
                      <w:divBdr>
                        <w:top w:val="none" w:sz="0" w:space="0" w:color="auto"/>
                        <w:left w:val="none" w:sz="0" w:space="0" w:color="auto"/>
                        <w:bottom w:val="none" w:sz="0" w:space="0" w:color="auto"/>
                        <w:right w:val="none" w:sz="0" w:space="0" w:color="auto"/>
                      </w:divBdr>
                    </w:div>
                  </w:divsChild>
                </w:div>
                <w:div w:id="892429151">
                  <w:marLeft w:val="0"/>
                  <w:marRight w:val="0"/>
                  <w:marTop w:val="0"/>
                  <w:marBottom w:val="0"/>
                  <w:divBdr>
                    <w:top w:val="none" w:sz="0" w:space="0" w:color="auto"/>
                    <w:left w:val="none" w:sz="0" w:space="0" w:color="auto"/>
                    <w:bottom w:val="none" w:sz="0" w:space="0" w:color="auto"/>
                    <w:right w:val="none" w:sz="0" w:space="0" w:color="auto"/>
                  </w:divBdr>
                  <w:divsChild>
                    <w:div w:id="1040012812">
                      <w:marLeft w:val="0"/>
                      <w:marRight w:val="0"/>
                      <w:marTop w:val="0"/>
                      <w:marBottom w:val="0"/>
                      <w:divBdr>
                        <w:top w:val="none" w:sz="0" w:space="0" w:color="auto"/>
                        <w:left w:val="none" w:sz="0" w:space="0" w:color="auto"/>
                        <w:bottom w:val="none" w:sz="0" w:space="0" w:color="auto"/>
                        <w:right w:val="none" w:sz="0" w:space="0" w:color="auto"/>
                      </w:divBdr>
                    </w:div>
                  </w:divsChild>
                </w:div>
                <w:div w:id="964391287">
                  <w:marLeft w:val="0"/>
                  <w:marRight w:val="0"/>
                  <w:marTop w:val="0"/>
                  <w:marBottom w:val="0"/>
                  <w:divBdr>
                    <w:top w:val="none" w:sz="0" w:space="0" w:color="auto"/>
                    <w:left w:val="none" w:sz="0" w:space="0" w:color="auto"/>
                    <w:bottom w:val="none" w:sz="0" w:space="0" w:color="auto"/>
                    <w:right w:val="none" w:sz="0" w:space="0" w:color="auto"/>
                  </w:divBdr>
                  <w:divsChild>
                    <w:div w:id="1603342358">
                      <w:marLeft w:val="0"/>
                      <w:marRight w:val="0"/>
                      <w:marTop w:val="0"/>
                      <w:marBottom w:val="0"/>
                      <w:divBdr>
                        <w:top w:val="none" w:sz="0" w:space="0" w:color="auto"/>
                        <w:left w:val="none" w:sz="0" w:space="0" w:color="auto"/>
                        <w:bottom w:val="none" w:sz="0" w:space="0" w:color="auto"/>
                        <w:right w:val="none" w:sz="0" w:space="0" w:color="auto"/>
                      </w:divBdr>
                    </w:div>
                  </w:divsChild>
                </w:div>
                <w:div w:id="965084737">
                  <w:marLeft w:val="0"/>
                  <w:marRight w:val="0"/>
                  <w:marTop w:val="0"/>
                  <w:marBottom w:val="0"/>
                  <w:divBdr>
                    <w:top w:val="none" w:sz="0" w:space="0" w:color="auto"/>
                    <w:left w:val="none" w:sz="0" w:space="0" w:color="auto"/>
                    <w:bottom w:val="none" w:sz="0" w:space="0" w:color="auto"/>
                    <w:right w:val="none" w:sz="0" w:space="0" w:color="auto"/>
                  </w:divBdr>
                  <w:divsChild>
                    <w:div w:id="1012683633">
                      <w:marLeft w:val="0"/>
                      <w:marRight w:val="0"/>
                      <w:marTop w:val="0"/>
                      <w:marBottom w:val="0"/>
                      <w:divBdr>
                        <w:top w:val="none" w:sz="0" w:space="0" w:color="auto"/>
                        <w:left w:val="none" w:sz="0" w:space="0" w:color="auto"/>
                        <w:bottom w:val="none" w:sz="0" w:space="0" w:color="auto"/>
                        <w:right w:val="none" w:sz="0" w:space="0" w:color="auto"/>
                      </w:divBdr>
                    </w:div>
                  </w:divsChild>
                </w:div>
                <w:div w:id="978926297">
                  <w:marLeft w:val="0"/>
                  <w:marRight w:val="0"/>
                  <w:marTop w:val="0"/>
                  <w:marBottom w:val="0"/>
                  <w:divBdr>
                    <w:top w:val="none" w:sz="0" w:space="0" w:color="auto"/>
                    <w:left w:val="none" w:sz="0" w:space="0" w:color="auto"/>
                    <w:bottom w:val="none" w:sz="0" w:space="0" w:color="auto"/>
                    <w:right w:val="none" w:sz="0" w:space="0" w:color="auto"/>
                  </w:divBdr>
                  <w:divsChild>
                    <w:div w:id="968776388">
                      <w:marLeft w:val="0"/>
                      <w:marRight w:val="0"/>
                      <w:marTop w:val="0"/>
                      <w:marBottom w:val="0"/>
                      <w:divBdr>
                        <w:top w:val="none" w:sz="0" w:space="0" w:color="auto"/>
                        <w:left w:val="none" w:sz="0" w:space="0" w:color="auto"/>
                        <w:bottom w:val="none" w:sz="0" w:space="0" w:color="auto"/>
                        <w:right w:val="none" w:sz="0" w:space="0" w:color="auto"/>
                      </w:divBdr>
                    </w:div>
                  </w:divsChild>
                </w:div>
                <w:div w:id="983512023">
                  <w:marLeft w:val="0"/>
                  <w:marRight w:val="0"/>
                  <w:marTop w:val="0"/>
                  <w:marBottom w:val="0"/>
                  <w:divBdr>
                    <w:top w:val="none" w:sz="0" w:space="0" w:color="auto"/>
                    <w:left w:val="none" w:sz="0" w:space="0" w:color="auto"/>
                    <w:bottom w:val="none" w:sz="0" w:space="0" w:color="auto"/>
                    <w:right w:val="none" w:sz="0" w:space="0" w:color="auto"/>
                  </w:divBdr>
                  <w:divsChild>
                    <w:div w:id="111634361">
                      <w:marLeft w:val="0"/>
                      <w:marRight w:val="0"/>
                      <w:marTop w:val="0"/>
                      <w:marBottom w:val="0"/>
                      <w:divBdr>
                        <w:top w:val="none" w:sz="0" w:space="0" w:color="auto"/>
                        <w:left w:val="none" w:sz="0" w:space="0" w:color="auto"/>
                        <w:bottom w:val="none" w:sz="0" w:space="0" w:color="auto"/>
                        <w:right w:val="none" w:sz="0" w:space="0" w:color="auto"/>
                      </w:divBdr>
                    </w:div>
                  </w:divsChild>
                </w:div>
                <w:div w:id="990250719">
                  <w:marLeft w:val="0"/>
                  <w:marRight w:val="0"/>
                  <w:marTop w:val="0"/>
                  <w:marBottom w:val="0"/>
                  <w:divBdr>
                    <w:top w:val="none" w:sz="0" w:space="0" w:color="auto"/>
                    <w:left w:val="none" w:sz="0" w:space="0" w:color="auto"/>
                    <w:bottom w:val="none" w:sz="0" w:space="0" w:color="auto"/>
                    <w:right w:val="none" w:sz="0" w:space="0" w:color="auto"/>
                  </w:divBdr>
                  <w:divsChild>
                    <w:div w:id="1232497710">
                      <w:marLeft w:val="0"/>
                      <w:marRight w:val="0"/>
                      <w:marTop w:val="0"/>
                      <w:marBottom w:val="0"/>
                      <w:divBdr>
                        <w:top w:val="none" w:sz="0" w:space="0" w:color="auto"/>
                        <w:left w:val="none" w:sz="0" w:space="0" w:color="auto"/>
                        <w:bottom w:val="none" w:sz="0" w:space="0" w:color="auto"/>
                        <w:right w:val="none" w:sz="0" w:space="0" w:color="auto"/>
                      </w:divBdr>
                    </w:div>
                  </w:divsChild>
                </w:div>
                <w:div w:id="991956130">
                  <w:marLeft w:val="0"/>
                  <w:marRight w:val="0"/>
                  <w:marTop w:val="0"/>
                  <w:marBottom w:val="0"/>
                  <w:divBdr>
                    <w:top w:val="none" w:sz="0" w:space="0" w:color="auto"/>
                    <w:left w:val="none" w:sz="0" w:space="0" w:color="auto"/>
                    <w:bottom w:val="none" w:sz="0" w:space="0" w:color="auto"/>
                    <w:right w:val="none" w:sz="0" w:space="0" w:color="auto"/>
                  </w:divBdr>
                  <w:divsChild>
                    <w:div w:id="1406997894">
                      <w:marLeft w:val="0"/>
                      <w:marRight w:val="0"/>
                      <w:marTop w:val="0"/>
                      <w:marBottom w:val="0"/>
                      <w:divBdr>
                        <w:top w:val="none" w:sz="0" w:space="0" w:color="auto"/>
                        <w:left w:val="none" w:sz="0" w:space="0" w:color="auto"/>
                        <w:bottom w:val="none" w:sz="0" w:space="0" w:color="auto"/>
                        <w:right w:val="none" w:sz="0" w:space="0" w:color="auto"/>
                      </w:divBdr>
                    </w:div>
                  </w:divsChild>
                </w:div>
                <w:div w:id="994920038">
                  <w:marLeft w:val="0"/>
                  <w:marRight w:val="0"/>
                  <w:marTop w:val="0"/>
                  <w:marBottom w:val="0"/>
                  <w:divBdr>
                    <w:top w:val="none" w:sz="0" w:space="0" w:color="auto"/>
                    <w:left w:val="none" w:sz="0" w:space="0" w:color="auto"/>
                    <w:bottom w:val="none" w:sz="0" w:space="0" w:color="auto"/>
                    <w:right w:val="none" w:sz="0" w:space="0" w:color="auto"/>
                  </w:divBdr>
                  <w:divsChild>
                    <w:div w:id="1762795872">
                      <w:marLeft w:val="0"/>
                      <w:marRight w:val="0"/>
                      <w:marTop w:val="0"/>
                      <w:marBottom w:val="0"/>
                      <w:divBdr>
                        <w:top w:val="none" w:sz="0" w:space="0" w:color="auto"/>
                        <w:left w:val="none" w:sz="0" w:space="0" w:color="auto"/>
                        <w:bottom w:val="none" w:sz="0" w:space="0" w:color="auto"/>
                        <w:right w:val="none" w:sz="0" w:space="0" w:color="auto"/>
                      </w:divBdr>
                    </w:div>
                    <w:div w:id="1947038226">
                      <w:marLeft w:val="0"/>
                      <w:marRight w:val="0"/>
                      <w:marTop w:val="0"/>
                      <w:marBottom w:val="0"/>
                      <w:divBdr>
                        <w:top w:val="none" w:sz="0" w:space="0" w:color="auto"/>
                        <w:left w:val="none" w:sz="0" w:space="0" w:color="auto"/>
                        <w:bottom w:val="none" w:sz="0" w:space="0" w:color="auto"/>
                        <w:right w:val="none" w:sz="0" w:space="0" w:color="auto"/>
                      </w:divBdr>
                    </w:div>
                  </w:divsChild>
                </w:div>
                <w:div w:id="1036196120">
                  <w:marLeft w:val="0"/>
                  <w:marRight w:val="0"/>
                  <w:marTop w:val="0"/>
                  <w:marBottom w:val="0"/>
                  <w:divBdr>
                    <w:top w:val="none" w:sz="0" w:space="0" w:color="auto"/>
                    <w:left w:val="none" w:sz="0" w:space="0" w:color="auto"/>
                    <w:bottom w:val="none" w:sz="0" w:space="0" w:color="auto"/>
                    <w:right w:val="none" w:sz="0" w:space="0" w:color="auto"/>
                  </w:divBdr>
                  <w:divsChild>
                    <w:div w:id="46611378">
                      <w:marLeft w:val="0"/>
                      <w:marRight w:val="0"/>
                      <w:marTop w:val="0"/>
                      <w:marBottom w:val="0"/>
                      <w:divBdr>
                        <w:top w:val="none" w:sz="0" w:space="0" w:color="auto"/>
                        <w:left w:val="none" w:sz="0" w:space="0" w:color="auto"/>
                        <w:bottom w:val="none" w:sz="0" w:space="0" w:color="auto"/>
                        <w:right w:val="none" w:sz="0" w:space="0" w:color="auto"/>
                      </w:divBdr>
                    </w:div>
                  </w:divsChild>
                </w:div>
                <w:div w:id="1046374796">
                  <w:marLeft w:val="0"/>
                  <w:marRight w:val="0"/>
                  <w:marTop w:val="0"/>
                  <w:marBottom w:val="0"/>
                  <w:divBdr>
                    <w:top w:val="none" w:sz="0" w:space="0" w:color="auto"/>
                    <w:left w:val="none" w:sz="0" w:space="0" w:color="auto"/>
                    <w:bottom w:val="none" w:sz="0" w:space="0" w:color="auto"/>
                    <w:right w:val="none" w:sz="0" w:space="0" w:color="auto"/>
                  </w:divBdr>
                  <w:divsChild>
                    <w:div w:id="1036468914">
                      <w:marLeft w:val="0"/>
                      <w:marRight w:val="0"/>
                      <w:marTop w:val="0"/>
                      <w:marBottom w:val="0"/>
                      <w:divBdr>
                        <w:top w:val="none" w:sz="0" w:space="0" w:color="auto"/>
                        <w:left w:val="none" w:sz="0" w:space="0" w:color="auto"/>
                        <w:bottom w:val="none" w:sz="0" w:space="0" w:color="auto"/>
                        <w:right w:val="none" w:sz="0" w:space="0" w:color="auto"/>
                      </w:divBdr>
                    </w:div>
                  </w:divsChild>
                </w:div>
                <w:div w:id="1081372170">
                  <w:marLeft w:val="0"/>
                  <w:marRight w:val="0"/>
                  <w:marTop w:val="0"/>
                  <w:marBottom w:val="0"/>
                  <w:divBdr>
                    <w:top w:val="none" w:sz="0" w:space="0" w:color="auto"/>
                    <w:left w:val="none" w:sz="0" w:space="0" w:color="auto"/>
                    <w:bottom w:val="none" w:sz="0" w:space="0" w:color="auto"/>
                    <w:right w:val="none" w:sz="0" w:space="0" w:color="auto"/>
                  </w:divBdr>
                  <w:divsChild>
                    <w:div w:id="427895022">
                      <w:marLeft w:val="0"/>
                      <w:marRight w:val="0"/>
                      <w:marTop w:val="0"/>
                      <w:marBottom w:val="0"/>
                      <w:divBdr>
                        <w:top w:val="none" w:sz="0" w:space="0" w:color="auto"/>
                        <w:left w:val="none" w:sz="0" w:space="0" w:color="auto"/>
                        <w:bottom w:val="none" w:sz="0" w:space="0" w:color="auto"/>
                        <w:right w:val="none" w:sz="0" w:space="0" w:color="auto"/>
                      </w:divBdr>
                    </w:div>
                  </w:divsChild>
                </w:div>
                <w:div w:id="1109934031">
                  <w:marLeft w:val="0"/>
                  <w:marRight w:val="0"/>
                  <w:marTop w:val="0"/>
                  <w:marBottom w:val="0"/>
                  <w:divBdr>
                    <w:top w:val="none" w:sz="0" w:space="0" w:color="auto"/>
                    <w:left w:val="none" w:sz="0" w:space="0" w:color="auto"/>
                    <w:bottom w:val="none" w:sz="0" w:space="0" w:color="auto"/>
                    <w:right w:val="none" w:sz="0" w:space="0" w:color="auto"/>
                  </w:divBdr>
                  <w:divsChild>
                    <w:div w:id="309407669">
                      <w:marLeft w:val="0"/>
                      <w:marRight w:val="0"/>
                      <w:marTop w:val="0"/>
                      <w:marBottom w:val="0"/>
                      <w:divBdr>
                        <w:top w:val="none" w:sz="0" w:space="0" w:color="auto"/>
                        <w:left w:val="none" w:sz="0" w:space="0" w:color="auto"/>
                        <w:bottom w:val="none" w:sz="0" w:space="0" w:color="auto"/>
                        <w:right w:val="none" w:sz="0" w:space="0" w:color="auto"/>
                      </w:divBdr>
                    </w:div>
                  </w:divsChild>
                </w:div>
                <w:div w:id="1123697725">
                  <w:marLeft w:val="0"/>
                  <w:marRight w:val="0"/>
                  <w:marTop w:val="0"/>
                  <w:marBottom w:val="0"/>
                  <w:divBdr>
                    <w:top w:val="none" w:sz="0" w:space="0" w:color="auto"/>
                    <w:left w:val="none" w:sz="0" w:space="0" w:color="auto"/>
                    <w:bottom w:val="none" w:sz="0" w:space="0" w:color="auto"/>
                    <w:right w:val="none" w:sz="0" w:space="0" w:color="auto"/>
                  </w:divBdr>
                  <w:divsChild>
                    <w:div w:id="874149144">
                      <w:marLeft w:val="0"/>
                      <w:marRight w:val="0"/>
                      <w:marTop w:val="0"/>
                      <w:marBottom w:val="0"/>
                      <w:divBdr>
                        <w:top w:val="none" w:sz="0" w:space="0" w:color="auto"/>
                        <w:left w:val="none" w:sz="0" w:space="0" w:color="auto"/>
                        <w:bottom w:val="none" w:sz="0" w:space="0" w:color="auto"/>
                        <w:right w:val="none" w:sz="0" w:space="0" w:color="auto"/>
                      </w:divBdr>
                    </w:div>
                  </w:divsChild>
                </w:div>
                <w:div w:id="1165559215">
                  <w:marLeft w:val="0"/>
                  <w:marRight w:val="0"/>
                  <w:marTop w:val="0"/>
                  <w:marBottom w:val="0"/>
                  <w:divBdr>
                    <w:top w:val="none" w:sz="0" w:space="0" w:color="auto"/>
                    <w:left w:val="none" w:sz="0" w:space="0" w:color="auto"/>
                    <w:bottom w:val="none" w:sz="0" w:space="0" w:color="auto"/>
                    <w:right w:val="none" w:sz="0" w:space="0" w:color="auto"/>
                  </w:divBdr>
                  <w:divsChild>
                    <w:div w:id="2129422388">
                      <w:marLeft w:val="0"/>
                      <w:marRight w:val="0"/>
                      <w:marTop w:val="0"/>
                      <w:marBottom w:val="0"/>
                      <w:divBdr>
                        <w:top w:val="none" w:sz="0" w:space="0" w:color="auto"/>
                        <w:left w:val="none" w:sz="0" w:space="0" w:color="auto"/>
                        <w:bottom w:val="none" w:sz="0" w:space="0" w:color="auto"/>
                        <w:right w:val="none" w:sz="0" w:space="0" w:color="auto"/>
                      </w:divBdr>
                    </w:div>
                  </w:divsChild>
                </w:div>
                <w:div w:id="1176650598">
                  <w:marLeft w:val="0"/>
                  <w:marRight w:val="0"/>
                  <w:marTop w:val="0"/>
                  <w:marBottom w:val="0"/>
                  <w:divBdr>
                    <w:top w:val="none" w:sz="0" w:space="0" w:color="auto"/>
                    <w:left w:val="none" w:sz="0" w:space="0" w:color="auto"/>
                    <w:bottom w:val="none" w:sz="0" w:space="0" w:color="auto"/>
                    <w:right w:val="none" w:sz="0" w:space="0" w:color="auto"/>
                  </w:divBdr>
                  <w:divsChild>
                    <w:div w:id="568534794">
                      <w:marLeft w:val="0"/>
                      <w:marRight w:val="0"/>
                      <w:marTop w:val="0"/>
                      <w:marBottom w:val="0"/>
                      <w:divBdr>
                        <w:top w:val="none" w:sz="0" w:space="0" w:color="auto"/>
                        <w:left w:val="none" w:sz="0" w:space="0" w:color="auto"/>
                        <w:bottom w:val="none" w:sz="0" w:space="0" w:color="auto"/>
                        <w:right w:val="none" w:sz="0" w:space="0" w:color="auto"/>
                      </w:divBdr>
                    </w:div>
                  </w:divsChild>
                </w:div>
                <w:div w:id="1203372248">
                  <w:marLeft w:val="0"/>
                  <w:marRight w:val="0"/>
                  <w:marTop w:val="0"/>
                  <w:marBottom w:val="0"/>
                  <w:divBdr>
                    <w:top w:val="none" w:sz="0" w:space="0" w:color="auto"/>
                    <w:left w:val="none" w:sz="0" w:space="0" w:color="auto"/>
                    <w:bottom w:val="none" w:sz="0" w:space="0" w:color="auto"/>
                    <w:right w:val="none" w:sz="0" w:space="0" w:color="auto"/>
                  </w:divBdr>
                  <w:divsChild>
                    <w:div w:id="840001392">
                      <w:marLeft w:val="0"/>
                      <w:marRight w:val="0"/>
                      <w:marTop w:val="0"/>
                      <w:marBottom w:val="0"/>
                      <w:divBdr>
                        <w:top w:val="none" w:sz="0" w:space="0" w:color="auto"/>
                        <w:left w:val="none" w:sz="0" w:space="0" w:color="auto"/>
                        <w:bottom w:val="none" w:sz="0" w:space="0" w:color="auto"/>
                        <w:right w:val="none" w:sz="0" w:space="0" w:color="auto"/>
                      </w:divBdr>
                    </w:div>
                  </w:divsChild>
                </w:div>
                <w:div w:id="1282348247">
                  <w:marLeft w:val="0"/>
                  <w:marRight w:val="0"/>
                  <w:marTop w:val="0"/>
                  <w:marBottom w:val="0"/>
                  <w:divBdr>
                    <w:top w:val="none" w:sz="0" w:space="0" w:color="auto"/>
                    <w:left w:val="none" w:sz="0" w:space="0" w:color="auto"/>
                    <w:bottom w:val="none" w:sz="0" w:space="0" w:color="auto"/>
                    <w:right w:val="none" w:sz="0" w:space="0" w:color="auto"/>
                  </w:divBdr>
                  <w:divsChild>
                    <w:div w:id="600336890">
                      <w:marLeft w:val="0"/>
                      <w:marRight w:val="0"/>
                      <w:marTop w:val="0"/>
                      <w:marBottom w:val="0"/>
                      <w:divBdr>
                        <w:top w:val="none" w:sz="0" w:space="0" w:color="auto"/>
                        <w:left w:val="none" w:sz="0" w:space="0" w:color="auto"/>
                        <w:bottom w:val="none" w:sz="0" w:space="0" w:color="auto"/>
                        <w:right w:val="none" w:sz="0" w:space="0" w:color="auto"/>
                      </w:divBdr>
                    </w:div>
                  </w:divsChild>
                </w:div>
                <w:div w:id="1305887744">
                  <w:marLeft w:val="0"/>
                  <w:marRight w:val="0"/>
                  <w:marTop w:val="0"/>
                  <w:marBottom w:val="0"/>
                  <w:divBdr>
                    <w:top w:val="none" w:sz="0" w:space="0" w:color="auto"/>
                    <w:left w:val="none" w:sz="0" w:space="0" w:color="auto"/>
                    <w:bottom w:val="none" w:sz="0" w:space="0" w:color="auto"/>
                    <w:right w:val="none" w:sz="0" w:space="0" w:color="auto"/>
                  </w:divBdr>
                  <w:divsChild>
                    <w:div w:id="2143767609">
                      <w:marLeft w:val="0"/>
                      <w:marRight w:val="0"/>
                      <w:marTop w:val="0"/>
                      <w:marBottom w:val="0"/>
                      <w:divBdr>
                        <w:top w:val="none" w:sz="0" w:space="0" w:color="auto"/>
                        <w:left w:val="none" w:sz="0" w:space="0" w:color="auto"/>
                        <w:bottom w:val="none" w:sz="0" w:space="0" w:color="auto"/>
                        <w:right w:val="none" w:sz="0" w:space="0" w:color="auto"/>
                      </w:divBdr>
                    </w:div>
                  </w:divsChild>
                </w:div>
                <w:div w:id="1310482430">
                  <w:marLeft w:val="0"/>
                  <w:marRight w:val="0"/>
                  <w:marTop w:val="0"/>
                  <w:marBottom w:val="0"/>
                  <w:divBdr>
                    <w:top w:val="none" w:sz="0" w:space="0" w:color="auto"/>
                    <w:left w:val="none" w:sz="0" w:space="0" w:color="auto"/>
                    <w:bottom w:val="none" w:sz="0" w:space="0" w:color="auto"/>
                    <w:right w:val="none" w:sz="0" w:space="0" w:color="auto"/>
                  </w:divBdr>
                  <w:divsChild>
                    <w:div w:id="719522275">
                      <w:marLeft w:val="0"/>
                      <w:marRight w:val="0"/>
                      <w:marTop w:val="0"/>
                      <w:marBottom w:val="0"/>
                      <w:divBdr>
                        <w:top w:val="none" w:sz="0" w:space="0" w:color="auto"/>
                        <w:left w:val="none" w:sz="0" w:space="0" w:color="auto"/>
                        <w:bottom w:val="none" w:sz="0" w:space="0" w:color="auto"/>
                        <w:right w:val="none" w:sz="0" w:space="0" w:color="auto"/>
                      </w:divBdr>
                    </w:div>
                  </w:divsChild>
                </w:div>
                <w:div w:id="1324430932">
                  <w:marLeft w:val="0"/>
                  <w:marRight w:val="0"/>
                  <w:marTop w:val="0"/>
                  <w:marBottom w:val="0"/>
                  <w:divBdr>
                    <w:top w:val="none" w:sz="0" w:space="0" w:color="auto"/>
                    <w:left w:val="none" w:sz="0" w:space="0" w:color="auto"/>
                    <w:bottom w:val="none" w:sz="0" w:space="0" w:color="auto"/>
                    <w:right w:val="none" w:sz="0" w:space="0" w:color="auto"/>
                  </w:divBdr>
                  <w:divsChild>
                    <w:div w:id="1699314432">
                      <w:marLeft w:val="0"/>
                      <w:marRight w:val="0"/>
                      <w:marTop w:val="0"/>
                      <w:marBottom w:val="0"/>
                      <w:divBdr>
                        <w:top w:val="none" w:sz="0" w:space="0" w:color="auto"/>
                        <w:left w:val="none" w:sz="0" w:space="0" w:color="auto"/>
                        <w:bottom w:val="none" w:sz="0" w:space="0" w:color="auto"/>
                        <w:right w:val="none" w:sz="0" w:space="0" w:color="auto"/>
                      </w:divBdr>
                    </w:div>
                  </w:divsChild>
                </w:div>
                <w:div w:id="1378311702">
                  <w:marLeft w:val="0"/>
                  <w:marRight w:val="0"/>
                  <w:marTop w:val="0"/>
                  <w:marBottom w:val="0"/>
                  <w:divBdr>
                    <w:top w:val="none" w:sz="0" w:space="0" w:color="auto"/>
                    <w:left w:val="none" w:sz="0" w:space="0" w:color="auto"/>
                    <w:bottom w:val="none" w:sz="0" w:space="0" w:color="auto"/>
                    <w:right w:val="none" w:sz="0" w:space="0" w:color="auto"/>
                  </w:divBdr>
                  <w:divsChild>
                    <w:div w:id="1052458774">
                      <w:marLeft w:val="0"/>
                      <w:marRight w:val="0"/>
                      <w:marTop w:val="0"/>
                      <w:marBottom w:val="0"/>
                      <w:divBdr>
                        <w:top w:val="none" w:sz="0" w:space="0" w:color="auto"/>
                        <w:left w:val="none" w:sz="0" w:space="0" w:color="auto"/>
                        <w:bottom w:val="none" w:sz="0" w:space="0" w:color="auto"/>
                        <w:right w:val="none" w:sz="0" w:space="0" w:color="auto"/>
                      </w:divBdr>
                    </w:div>
                  </w:divsChild>
                </w:div>
                <w:div w:id="1378699671">
                  <w:marLeft w:val="0"/>
                  <w:marRight w:val="0"/>
                  <w:marTop w:val="0"/>
                  <w:marBottom w:val="0"/>
                  <w:divBdr>
                    <w:top w:val="none" w:sz="0" w:space="0" w:color="auto"/>
                    <w:left w:val="none" w:sz="0" w:space="0" w:color="auto"/>
                    <w:bottom w:val="none" w:sz="0" w:space="0" w:color="auto"/>
                    <w:right w:val="none" w:sz="0" w:space="0" w:color="auto"/>
                  </w:divBdr>
                  <w:divsChild>
                    <w:div w:id="340158573">
                      <w:marLeft w:val="0"/>
                      <w:marRight w:val="0"/>
                      <w:marTop w:val="0"/>
                      <w:marBottom w:val="0"/>
                      <w:divBdr>
                        <w:top w:val="none" w:sz="0" w:space="0" w:color="auto"/>
                        <w:left w:val="none" w:sz="0" w:space="0" w:color="auto"/>
                        <w:bottom w:val="none" w:sz="0" w:space="0" w:color="auto"/>
                        <w:right w:val="none" w:sz="0" w:space="0" w:color="auto"/>
                      </w:divBdr>
                    </w:div>
                  </w:divsChild>
                </w:div>
                <w:div w:id="1411465722">
                  <w:marLeft w:val="0"/>
                  <w:marRight w:val="0"/>
                  <w:marTop w:val="0"/>
                  <w:marBottom w:val="0"/>
                  <w:divBdr>
                    <w:top w:val="none" w:sz="0" w:space="0" w:color="auto"/>
                    <w:left w:val="none" w:sz="0" w:space="0" w:color="auto"/>
                    <w:bottom w:val="none" w:sz="0" w:space="0" w:color="auto"/>
                    <w:right w:val="none" w:sz="0" w:space="0" w:color="auto"/>
                  </w:divBdr>
                  <w:divsChild>
                    <w:div w:id="1058943882">
                      <w:marLeft w:val="0"/>
                      <w:marRight w:val="0"/>
                      <w:marTop w:val="0"/>
                      <w:marBottom w:val="0"/>
                      <w:divBdr>
                        <w:top w:val="none" w:sz="0" w:space="0" w:color="auto"/>
                        <w:left w:val="none" w:sz="0" w:space="0" w:color="auto"/>
                        <w:bottom w:val="none" w:sz="0" w:space="0" w:color="auto"/>
                        <w:right w:val="none" w:sz="0" w:space="0" w:color="auto"/>
                      </w:divBdr>
                    </w:div>
                  </w:divsChild>
                </w:div>
                <w:div w:id="1426342611">
                  <w:marLeft w:val="0"/>
                  <w:marRight w:val="0"/>
                  <w:marTop w:val="0"/>
                  <w:marBottom w:val="0"/>
                  <w:divBdr>
                    <w:top w:val="none" w:sz="0" w:space="0" w:color="auto"/>
                    <w:left w:val="none" w:sz="0" w:space="0" w:color="auto"/>
                    <w:bottom w:val="none" w:sz="0" w:space="0" w:color="auto"/>
                    <w:right w:val="none" w:sz="0" w:space="0" w:color="auto"/>
                  </w:divBdr>
                  <w:divsChild>
                    <w:div w:id="1857576865">
                      <w:marLeft w:val="0"/>
                      <w:marRight w:val="0"/>
                      <w:marTop w:val="0"/>
                      <w:marBottom w:val="0"/>
                      <w:divBdr>
                        <w:top w:val="none" w:sz="0" w:space="0" w:color="auto"/>
                        <w:left w:val="none" w:sz="0" w:space="0" w:color="auto"/>
                        <w:bottom w:val="none" w:sz="0" w:space="0" w:color="auto"/>
                        <w:right w:val="none" w:sz="0" w:space="0" w:color="auto"/>
                      </w:divBdr>
                    </w:div>
                  </w:divsChild>
                </w:div>
                <w:div w:id="1432049078">
                  <w:marLeft w:val="0"/>
                  <w:marRight w:val="0"/>
                  <w:marTop w:val="0"/>
                  <w:marBottom w:val="0"/>
                  <w:divBdr>
                    <w:top w:val="none" w:sz="0" w:space="0" w:color="auto"/>
                    <w:left w:val="none" w:sz="0" w:space="0" w:color="auto"/>
                    <w:bottom w:val="none" w:sz="0" w:space="0" w:color="auto"/>
                    <w:right w:val="none" w:sz="0" w:space="0" w:color="auto"/>
                  </w:divBdr>
                  <w:divsChild>
                    <w:div w:id="1157652809">
                      <w:marLeft w:val="0"/>
                      <w:marRight w:val="0"/>
                      <w:marTop w:val="0"/>
                      <w:marBottom w:val="0"/>
                      <w:divBdr>
                        <w:top w:val="none" w:sz="0" w:space="0" w:color="auto"/>
                        <w:left w:val="none" w:sz="0" w:space="0" w:color="auto"/>
                        <w:bottom w:val="none" w:sz="0" w:space="0" w:color="auto"/>
                        <w:right w:val="none" w:sz="0" w:space="0" w:color="auto"/>
                      </w:divBdr>
                    </w:div>
                  </w:divsChild>
                </w:div>
                <w:div w:id="1434089607">
                  <w:marLeft w:val="0"/>
                  <w:marRight w:val="0"/>
                  <w:marTop w:val="0"/>
                  <w:marBottom w:val="0"/>
                  <w:divBdr>
                    <w:top w:val="none" w:sz="0" w:space="0" w:color="auto"/>
                    <w:left w:val="none" w:sz="0" w:space="0" w:color="auto"/>
                    <w:bottom w:val="none" w:sz="0" w:space="0" w:color="auto"/>
                    <w:right w:val="none" w:sz="0" w:space="0" w:color="auto"/>
                  </w:divBdr>
                  <w:divsChild>
                    <w:div w:id="1803765060">
                      <w:marLeft w:val="0"/>
                      <w:marRight w:val="0"/>
                      <w:marTop w:val="0"/>
                      <w:marBottom w:val="0"/>
                      <w:divBdr>
                        <w:top w:val="none" w:sz="0" w:space="0" w:color="auto"/>
                        <w:left w:val="none" w:sz="0" w:space="0" w:color="auto"/>
                        <w:bottom w:val="none" w:sz="0" w:space="0" w:color="auto"/>
                        <w:right w:val="none" w:sz="0" w:space="0" w:color="auto"/>
                      </w:divBdr>
                    </w:div>
                  </w:divsChild>
                </w:div>
                <w:div w:id="1448231968">
                  <w:marLeft w:val="0"/>
                  <w:marRight w:val="0"/>
                  <w:marTop w:val="0"/>
                  <w:marBottom w:val="0"/>
                  <w:divBdr>
                    <w:top w:val="none" w:sz="0" w:space="0" w:color="auto"/>
                    <w:left w:val="none" w:sz="0" w:space="0" w:color="auto"/>
                    <w:bottom w:val="none" w:sz="0" w:space="0" w:color="auto"/>
                    <w:right w:val="none" w:sz="0" w:space="0" w:color="auto"/>
                  </w:divBdr>
                  <w:divsChild>
                    <w:div w:id="1915165266">
                      <w:marLeft w:val="0"/>
                      <w:marRight w:val="0"/>
                      <w:marTop w:val="0"/>
                      <w:marBottom w:val="0"/>
                      <w:divBdr>
                        <w:top w:val="none" w:sz="0" w:space="0" w:color="auto"/>
                        <w:left w:val="none" w:sz="0" w:space="0" w:color="auto"/>
                        <w:bottom w:val="none" w:sz="0" w:space="0" w:color="auto"/>
                        <w:right w:val="none" w:sz="0" w:space="0" w:color="auto"/>
                      </w:divBdr>
                    </w:div>
                  </w:divsChild>
                </w:div>
                <w:div w:id="1472094991">
                  <w:marLeft w:val="0"/>
                  <w:marRight w:val="0"/>
                  <w:marTop w:val="0"/>
                  <w:marBottom w:val="0"/>
                  <w:divBdr>
                    <w:top w:val="none" w:sz="0" w:space="0" w:color="auto"/>
                    <w:left w:val="none" w:sz="0" w:space="0" w:color="auto"/>
                    <w:bottom w:val="none" w:sz="0" w:space="0" w:color="auto"/>
                    <w:right w:val="none" w:sz="0" w:space="0" w:color="auto"/>
                  </w:divBdr>
                  <w:divsChild>
                    <w:div w:id="2086104217">
                      <w:marLeft w:val="0"/>
                      <w:marRight w:val="0"/>
                      <w:marTop w:val="0"/>
                      <w:marBottom w:val="0"/>
                      <w:divBdr>
                        <w:top w:val="none" w:sz="0" w:space="0" w:color="auto"/>
                        <w:left w:val="none" w:sz="0" w:space="0" w:color="auto"/>
                        <w:bottom w:val="none" w:sz="0" w:space="0" w:color="auto"/>
                        <w:right w:val="none" w:sz="0" w:space="0" w:color="auto"/>
                      </w:divBdr>
                    </w:div>
                  </w:divsChild>
                </w:div>
                <w:div w:id="1490098169">
                  <w:marLeft w:val="0"/>
                  <w:marRight w:val="0"/>
                  <w:marTop w:val="0"/>
                  <w:marBottom w:val="0"/>
                  <w:divBdr>
                    <w:top w:val="none" w:sz="0" w:space="0" w:color="auto"/>
                    <w:left w:val="none" w:sz="0" w:space="0" w:color="auto"/>
                    <w:bottom w:val="none" w:sz="0" w:space="0" w:color="auto"/>
                    <w:right w:val="none" w:sz="0" w:space="0" w:color="auto"/>
                  </w:divBdr>
                  <w:divsChild>
                    <w:div w:id="733354448">
                      <w:marLeft w:val="0"/>
                      <w:marRight w:val="0"/>
                      <w:marTop w:val="0"/>
                      <w:marBottom w:val="0"/>
                      <w:divBdr>
                        <w:top w:val="none" w:sz="0" w:space="0" w:color="auto"/>
                        <w:left w:val="none" w:sz="0" w:space="0" w:color="auto"/>
                        <w:bottom w:val="none" w:sz="0" w:space="0" w:color="auto"/>
                        <w:right w:val="none" w:sz="0" w:space="0" w:color="auto"/>
                      </w:divBdr>
                    </w:div>
                  </w:divsChild>
                </w:div>
                <w:div w:id="1504541448">
                  <w:marLeft w:val="0"/>
                  <w:marRight w:val="0"/>
                  <w:marTop w:val="0"/>
                  <w:marBottom w:val="0"/>
                  <w:divBdr>
                    <w:top w:val="none" w:sz="0" w:space="0" w:color="auto"/>
                    <w:left w:val="none" w:sz="0" w:space="0" w:color="auto"/>
                    <w:bottom w:val="none" w:sz="0" w:space="0" w:color="auto"/>
                    <w:right w:val="none" w:sz="0" w:space="0" w:color="auto"/>
                  </w:divBdr>
                  <w:divsChild>
                    <w:div w:id="891185936">
                      <w:marLeft w:val="0"/>
                      <w:marRight w:val="0"/>
                      <w:marTop w:val="0"/>
                      <w:marBottom w:val="0"/>
                      <w:divBdr>
                        <w:top w:val="none" w:sz="0" w:space="0" w:color="auto"/>
                        <w:left w:val="none" w:sz="0" w:space="0" w:color="auto"/>
                        <w:bottom w:val="none" w:sz="0" w:space="0" w:color="auto"/>
                        <w:right w:val="none" w:sz="0" w:space="0" w:color="auto"/>
                      </w:divBdr>
                    </w:div>
                  </w:divsChild>
                </w:div>
                <w:div w:id="1518426927">
                  <w:marLeft w:val="0"/>
                  <w:marRight w:val="0"/>
                  <w:marTop w:val="0"/>
                  <w:marBottom w:val="0"/>
                  <w:divBdr>
                    <w:top w:val="none" w:sz="0" w:space="0" w:color="auto"/>
                    <w:left w:val="none" w:sz="0" w:space="0" w:color="auto"/>
                    <w:bottom w:val="none" w:sz="0" w:space="0" w:color="auto"/>
                    <w:right w:val="none" w:sz="0" w:space="0" w:color="auto"/>
                  </w:divBdr>
                  <w:divsChild>
                    <w:div w:id="1690522439">
                      <w:marLeft w:val="0"/>
                      <w:marRight w:val="0"/>
                      <w:marTop w:val="0"/>
                      <w:marBottom w:val="0"/>
                      <w:divBdr>
                        <w:top w:val="none" w:sz="0" w:space="0" w:color="auto"/>
                        <w:left w:val="none" w:sz="0" w:space="0" w:color="auto"/>
                        <w:bottom w:val="none" w:sz="0" w:space="0" w:color="auto"/>
                        <w:right w:val="none" w:sz="0" w:space="0" w:color="auto"/>
                      </w:divBdr>
                    </w:div>
                  </w:divsChild>
                </w:div>
                <w:div w:id="1554660618">
                  <w:marLeft w:val="0"/>
                  <w:marRight w:val="0"/>
                  <w:marTop w:val="0"/>
                  <w:marBottom w:val="0"/>
                  <w:divBdr>
                    <w:top w:val="none" w:sz="0" w:space="0" w:color="auto"/>
                    <w:left w:val="none" w:sz="0" w:space="0" w:color="auto"/>
                    <w:bottom w:val="none" w:sz="0" w:space="0" w:color="auto"/>
                    <w:right w:val="none" w:sz="0" w:space="0" w:color="auto"/>
                  </w:divBdr>
                  <w:divsChild>
                    <w:div w:id="1708220892">
                      <w:marLeft w:val="0"/>
                      <w:marRight w:val="0"/>
                      <w:marTop w:val="0"/>
                      <w:marBottom w:val="0"/>
                      <w:divBdr>
                        <w:top w:val="none" w:sz="0" w:space="0" w:color="auto"/>
                        <w:left w:val="none" w:sz="0" w:space="0" w:color="auto"/>
                        <w:bottom w:val="none" w:sz="0" w:space="0" w:color="auto"/>
                        <w:right w:val="none" w:sz="0" w:space="0" w:color="auto"/>
                      </w:divBdr>
                    </w:div>
                  </w:divsChild>
                </w:div>
                <w:div w:id="1663005922">
                  <w:marLeft w:val="0"/>
                  <w:marRight w:val="0"/>
                  <w:marTop w:val="0"/>
                  <w:marBottom w:val="0"/>
                  <w:divBdr>
                    <w:top w:val="none" w:sz="0" w:space="0" w:color="auto"/>
                    <w:left w:val="none" w:sz="0" w:space="0" w:color="auto"/>
                    <w:bottom w:val="none" w:sz="0" w:space="0" w:color="auto"/>
                    <w:right w:val="none" w:sz="0" w:space="0" w:color="auto"/>
                  </w:divBdr>
                  <w:divsChild>
                    <w:div w:id="1365448037">
                      <w:marLeft w:val="0"/>
                      <w:marRight w:val="0"/>
                      <w:marTop w:val="0"/>
                      <w:marBottom w:val="0"/>
                      <w:divBdr>
                        <w:top w:val="none" w:sz="0" w:space="0" w:color="auto"/>
                        <w:left w:val="none" w:sz="0" w:space="0" w:color="auto"/>
                        <w:bottom w:val="none" w:sz="0" w:space="0" w:color="auto"/>
                        <w:right w:val="none" w:sz="0" w:space="0" w:color="auto"/>
                      </w:divBdr>
                    </w:div>
                  </w:divsChild>
                </w:div>
                <w:div w:id="1741518370">
                  <w:marLeft w:val="0"/>
                  <w:marRight w:val="0"/>
                  <w:marTop w:val="0"/>
                  <w:marBottom w:val="0"/>
                  <w:divBdr>
                    <w:top w:val="none" w:sz="0" w:space="0" w:color="auto"/>
                    <w:left w:val="none" w:sz="0" w:space="0" w:color="auto"/>
                    <w:bottom w:val="none" w:sz="0" w:space="0" w:color="auto"/>
                    <w:right w:val="none" w:sz="0" w:space="0" w:color="auto"/>
                  </w:divBdr>
                  <w:divsChild>
                    <w:div w:id="1005329196">
                      <w:marLeft w:val="0"/>
                      <w:marRight w:val="0"/>
                      <w:marTop w:val="0"/>
                      <w:marBottom w:val="0"/>
                      <w:divBdr>
                        <w:top w:val="none" w:sz="0" w:space="0" w:color="auto"/>
                        <w:left w:val="none" w:sz="0" w:space="0" w:color="auto"/>
                        <w:bottom w:val="none" w:sz="0" w:space="0" w:color="auto"/>
                        <w:right w:val="none" w:sz="0" w:space="0" w:color="auto"/>
                      </w:divBdr>
                    </w:div>
                  </w:divsChild>
                </w:div>
                <w:div w:id="1742409008">
                  <w:marLeft w:val="0"/>
                  <w:marRight w:val="0"/>
                  <w:marTop w:val="0"/>
                  <w:marBottom w:val="0"/>
                  <w:divBdr>
                    <w:top w:val="none" w:sz="0" w:space="0" w:color="auto"/>
                    <w:left w:val="none" w:sz="0" w:space="0" w:color="auto"/>
                    <w:bottom w:val="none" w:sz="0" w:space="0" w:color="auto"/>
                    <w:right w:val="none" w:sz="0" w:space="0" w:color="auto"/>
                  </w:divBdr>
                  <w:divsChild>
                    <w:div w:id="1715302384">
                      <w:marLeft w:val="0"/>
                      <w:marRight w:val="0"/>
                      <w:marTop w:val="0"/>
                      <w:marBottom w:val="0"/>
                      <w:divBdr>
                        <w:top w:val="none" w:sz="0" w:space="0" w:color="auto"/>
                        <w:left w:val="none" w:sz="0" w:space="0" w:color="auto"/>
                        <w:bottom w:val="none" w:sz="0" w:space="0" w:color="auto"/>
                        <w:right w:val="none" w:sz="0" w:space="0" w:color="auto"/>
                      </w:divBdr>
                    </w:div>
                  </w:divsChild>
                </w:div>
                <w:div w:id="1744639480">
                  <w:marLeft w:val="0"/>
                  <w:marRight w:val="0"/>
                  <w:marTop w:val="0"/>
                  <w:marBottom w:val="0"/>
                  <w:divBdr>
                    <w:top w:val="none" w:sz="0" w:space="0" w:color="auto"/>
                    <w:left w:val="none" w:sz="0" w:space="0" w:color="auto"/>
                    <w:bottom w:val="none" w:sz="0" w:space="0" w:color="auto"/>
                    <w:right w:val="none" w:sz="0" w:space="0" w:color="auto"/>
                  </w:divBdr>
                  <w:divsChild>
                    <w:div w:id="1860853285">
                      <w:marLeft w:val="0"/>
                      <w:marRight w:val="0"/>
                      <w:marTop w:val="0"/>
                      <w:marBottom w:val="0"/>
                      <w:divBdr>
                        <w:top w:val="none" w:sz="0" w:space="0" w:color="auto"/>
                        <w:left w:val="none" w:sz="0" w:space="0" w:color="auto"/>
                        <w:bottom w:val="none" w:sz="0" w:space="0" w:color="auto"/>
                        <w:right w:val="none" w:sz="0" w:space="0" w:color="auto"/>
                      </w:divBdr>
                    </w:div>
                  </w:divsChild>
                </w:div>
                <w:div w:id="1767532560">
                  <w:marLeft w:val="0"/>
                  <w:marRight w:val="0"/>
                  <w:marTop w:val="0"/>
                  <w:marBottom w:val="0"/>
                  <w:divBdr>
                    <w:top w:val="none" w:sz="0" w:space="0" w:color="auto"/>
                    <w:left w:val="none" w:sz="0" w:space="0" w:color="auto"/>
                    <w:bottom w:val="none" w:sz="0" w:space="0" w:color="auto"/>
                    <w:right w:val="none" w:sz="0" w:space="0" w:color="auto"/>
                  </w:divBdr>
                  <w:divsChild>
                    <w:div w:id="1766144847">
                      <w:marLeft w:val="0"/>
                      <w:marRight w:val="0"/>
                      <w:marTop w:val="0"/>
                      <w:marBottom w:val="0"/>
                      <w:divBdr>
                        <w:top w:val="none" w:sz="0" w:space="0" w:color="auto"/>
                        <w:left w:val="none" w:sz="0" w:space="0" w:color="auto"/>
                        <w:bottom w:val="none" w:sz="0" w:space="0" w:color="auto"/>
                        <w:right w:val="none" w:sz="0" w:space="0" w:color="auto"/>
                      </w:divBdr>
                    </w:div>
                  </w:divsChild>
                </w:div>
                <w:div w:id="1796564382">
                  <w:marLeft w:val="0"/>
                  <w:marRight w:val="0"/>
                  <w:marTop w:val="0"/>
                  <w:marBottom w:val="0"/>
                  <w:divBdr>
                    <w:top w:val="none" w:sz="0" w:space="0" w:color="auto"/>
                    <w:left w:val="none" w:sz="0" w:space="0" w:color="auto"/>
                    <w:bottom w:val="none" w:sz="0" w:space="0" w:color="auto"/>
                    <w:right w:val="none" w:sz="0" w:space="0" w:color="auto"/>
                  </w:divBdr>
                  <w:divsChild>
                    <w:div w:id="2005476347">
                      <w:marLeft w:val="0"/>
                      <w:marRight w:val="0"/>
                      <w:marTop w:val="0"/>
                      <w:marBottom w:val="0"/>
                      <w:divBdr>
                        <w:top w:val="none" w:sz="0" w:space="0" w:color="auto"/>
                        <w:left w:val="none" w:sz="0" w:space="0" w:color="auto"/>
                        <w:bottom w:val="none" w:sz="0" w:space="0" w:color="auto"/>
                        <w:right w:val="none" w:sz="0" w:space="0" w:color="auto"/>
                      </w:divBdr>
                    </w:div>
                  </w:divsChild>
                </w:div>
                <w:div w:id="1814366700">
                  <w:marLeft w:val="0"/>
                  <w:marRight w:val="0"/>
                  <w:marTop w:val="0"/>
                  <w:marBottom w:val="0"/>
                  <w:divBdr>
                    <w:top w:val="none" w:sz="0" w:space="0" w:color="auto"/>
                    <w:left w:val="none" w:sz="0" w:space="0" w:color="auto"/>
                    <w:bottom w:val="none" w:sz="0" w:space="0" w:color="auto"/>
                    <w:right w:val="none" w:sz="0" w:space="0" w:color="auto"/>
                  </w:divBdr>
                  <w:divsChild>
                    <w:div w:id="124276347">
                      <w:marLeft w:val="0"/>
                      <w:marRight w:val="0"/>
                      <w:marTop w:val="0"/>
                      <w:marBottom w:val="0"/>
                      <w:divBdr>
                        <w:top w:val="none" w:sz="0" w:space="0" w:color="auto"/>
                        <w:left w:val="none" w:sz="0" w:space="0" w:color="auto"/>
                        <w:bottom w:val="none" w:sz="0" w:space="0" w:color="auto"/>
                        <w:right w:val="none" w:sz="0" w:space="0" w:color="auto"/>
                      </w:divBdr>
                    </w:div>
                  </w:divsChild>
                </w:div>
                <w:div w:id="1821579104">
                  <w:marLeft w:val="0"/>
                  <w:marRight w:val="0"/>
                  <w:marTop w:val="0"/>
                  <w:marBottom w:val="0"/>
                  <w:divBdr>
                    <w:top w:val="none" w:sz="0" w:space="0" w:color="auto"/>
                    <w:left w:val="none" w:sz="0" w:space="0" w:color="auto"/>
                    <w:bottom w:val="none" w:sz="0" w:space="0" w:color="auto"/>
                    <w:right w:val="none" w:sz="0" w:space="0" w:color="auto"/>
                  </w:divBdr>
                  <w:divsChild>
                    <w:div w:id="1582715976">
                      <w:marLeft w:val="0"/>
                      <w:marRight w:val="0"/>
                      <w:marTop w:val="0"/>
                      <w:marBottom w:val="0"/>
                      <w:divBdr>
                        <w:top w:val="none" w:sz="0" w:space="0" w:color="auto"/>
                        <w:left w:val="none" w:sz="0" w:space="0" w:color="auto"/>
                        <w:bottom w:val="none" w:sz="0" w:space="0" w:color="auto"/>
                        <w:right w:val="none" w:sz="0" w:space="0" w:color="auto"/>
                      </w:divBdr>
                    </w:div>
                  </w:divsChild>
                </w:div>
                <w:div w:id="1829443977">
                  <w:marLeft w:val="0"/>
                  <w:marRight w:val="0"/>
                  <w:marTop w:val="0"/>
                  <w:marBottom w:val="0"/>
                  <w:divBdr>
                    <w:top w:val="none" w:sz="0" w:space="0" w:color="auto"/>
                    <w:left w:val="none" w:sz="0" w:space="0" w:color="auto"/>
                    <w:bottom w:val="none" w:sz="0" w:space="0" w:color="auto"/>
                    <w:right w:val="none" w:sz="0" w:space="0" w:color="auto"/>
                  </w:divBdr>
                  <w:divsChild>
                    <w:div w:id="671488114">
                      <w:marLeft w:val="0"/>
                      <w:marRight w:val="0"/>
                      <w:marTop w:val="0"/>
                      <w:marBottom w:val="0"/>
                      <w:divBdr>
                        <w:top w:val="none" w:sz="0" w:space="0" w:color="auto"/>
                        <w:left w:val="none" w:sz="0" w:space="0" w:color="auto"/>
                        <w:bottom w:val="none" w:sz="0" w:space="0" w:color="auto"/>
                        <w:right w:val="none" w:sz="0" w:space="0" w:color="auto"/>
                      </w:divBdr>
                    </w:div>
                  </w:divsChild>
                </w:div>
                <w:div w:id="1840850317">
                  <w:marLeft w:val="0"/>
                  <w:marRight w:val="0"/>
                  <w:marTop w:val="0"/>
                  <w:marBottom w:val="0"/>
                  <w:divBdr>
                    <w:top w:val="none" w:sz="0" w:space="0" w:color="auto"/>
                    <w:left w:val="none" w:sz="0" w:space="0" w:color="auto"/>
                    <w:bottom w:val="none" w:sz="0" w:space="0" w:color="auto"/>
                    <w:right w:val="none" w:sz="0" w:space="0" w:color="auto"/>
                  </w:divBdr>
                  <w:divsChild>
                    <w:div w:id="1156340708">
                      <w:marLeft w:val="0"/>
                      <w:marRight w:val="0"/>
                      <w:marTop w:val="0"/>
                      <w:marBottom w:val="0"/>
                      <w:divBdr>
                        <w:top w:val="none" w:sz="0" w:space="0" w:color="auto"/>
                        <w:left w:val="none" w:sz="0" w:space="0" w:color="auto"/>
                        <w:bottom w:val="none" w:sz="0" w:space="0" w:color="auto"/>
                        <w:right w:val="none" w:sz="0" w:space="0" w:color="auto"/>
                      </w:divBdr>
                    </w:div>
                  </w:divsChild>
                </w:div>
                <w:div w:id="1860192198">
                  <w:marLeft w:val="0"/>
                  <w:marRight w:val="0"/>
                  <w:marTop w:val="0"/>
                  <w:marBottom w:val="0"/>
                  <w:divBdr>
                    <w:top w:val="none" w:sz="0" w:space="0" w:color="auto"/>
                    <w:left w:val="none" w:sz="0" w:space="0" w:color="auto"/>
                    <w:bottom w:val="none" w:sz="0" w:space="0" w:color="auto"/>
                    <w:right w:val="none" w:sz="0" w:space="0" w:color="auto"/>
                  </w:divBdr>
                  <w:divsChild>
                    <w:div w:id="1779331019">
                      <w:marLeft w:val="0"/>
                      <w:marRight w:val="0"/>
                      <w:marTop w:val="0"/>
                      <w:marBottom w:val="0"/>
                      <w:divBdr>
                        <w:top w:val="none" w:sz="0" w:space="0" w:color="auto"/>
                        <w:left w:val="none" w:sz="0" w:space="0" w:color="auto"/>
                        <w:bottom w:val="none" w:sz="0" w:space="0" w:color="auto"/>
                        <w:right w:val="none" w:sz="0" w:space="0" w:color="auto"/>
                      </w:divBdr>
                    </w:div>
                  </w:divsChild>
                </w:div>
                <w:div w:id="1874659012">
                  <w:marLeft w:val="0"/>
                  <w:marRight w:val="0"/>
                  <w:marTop w:val="0"/>
                  <w:marBottom w:val="0"/>
                  <w:divBdr>
                    <w:top w:val="none" w:sz="0" w:space="0" w:color="auto"/>
                    <w:left w:val="none" w:sz="0" w:space="0" w:color="auto"/>
                    <w:bottom w:val="none" w:sz="0" w:space="0" w:color="auto"/>
                    <w:right w:val="none" w:sz="0" w:space="0" w:color="auto"/>
                  </w:divBdr>
                  <w:divsChild>
                    <w:div w:id="384112381">
                      <w:marLeft w:val="0"/>
                      <w:marRight w:val="0"/>
                      <w:marTop w:val="0"/>
                      <w:marBottom w:val="0"/>
                      <w:divBdr>
                        <w:top w:val="none" w:sz="0" w:space="0" w:color="auto"/>
                        <w:left w:val="none" w:sz="0" w:space="0" w:color="auto"/>
                        <w:bottom w:val="none" w:sz="0" w:space="0" w:color="auto"/>
                        <w:right w:val="none" w:sz="0" w:space="0" w:color="auto"/>
                      </w:divBdr>
                    </w:div>
                  </w:divsChild>
                </w:div>
                <w:div w:id="1889418660">
                  <w:marLeft w:val="0"/>
                  <w:marRight w:val="0"/>
                  <w:marTop w:val="0"/>
                  <w:marBottom w:val="0"/>
                  <w:divBdr>
                    <w:top w:val="none" w:sz="0" w:space="0" w:color="auto"/>
                    <w:left w:val="none" w:sz="0" w:space="0" w:color="auto"/>
                    <w:bottom w:val="none" w:sz="0" w:space="0" w:color="auto"/>
                    <w:right w:val="none" w:sz="0" w:space="0" w:color="auto"/>
                  </w:divBdr>
                  <w:divsChild>
                    <w:div w:id="1459648016">
                      <w:marLeft w:val="0"/>
                      <w:marRight w:val="0"/>
                      <w:marTop w:val="0"/>
                      <w:marBottom w:val="0"/>
                      <w:divBdr>
                        <w:top w:val="none" w:sz="0" w:space="0" w:color="auto"/>
                        <w:left w:val="none" w:sz="0" w:space="0" w:color="auto"/>
                        <w:bottom w:val="none" w:sz="0" w:space="0" w:color="auto"/>
                        <w:right w:val="none" w:sz="0" w:space="0" w:color="auto"/>
                      </w:divBdr>
                    </w:div>
                  </w:divsChild>
                </w:div>
                <w:div w:id="1908295621">
                  <w:marLeft w:val="0"/>
                  <w:marRight w:val="0"/>
                  <w:marTop w:val="0"/>
                  <w:marBottom w:val="0"/>
                  <w:divBdr>
                    <w:top w:val="none" w:sz="0" w:space="0" w:color="auto"/>
                    <w:left w:val="none" w:sz="0" w:space="0" w:color="auto"/>
                    <w:bottom w:val="none" w:sz="0" w:space="0" w:color="auto"/>
                    <w:right w:val="none" w:sz="0" w:space="0" w:color="auto"/>
                  </w:divBdr>
                  <w:divsChild>
                    <w:div w:id="973020125">
                      <w:marLeft w:val="0"/>
                      <w:marRight w:val="0"/>
                      <w:marTop w:val="0"/>
                      <w:marBottom w:val="0"/>
                      <w:divBdr>
                        <w:top w:val="none" w:sz="0" w:space="0" w:color="auto"/>
                        <w:left w:val="none" w:sz="0" w:space="0" w:color="auto"/>
                        <w:bottom w:val="none" w:sz="0" w:space="0" w:color="auto"/>
                        <w:right w:val="none" w:sz="0" w:space="0" w:color="auto"/>
                      </w:divBdr>
                    </w:div>
                  </w:divsChild>
                </w:div>
                <w:div w:id="2036811043">
                  <w:marLeft w:val="0"/>
                  <w:marRight w:val="0"/>
                  <w:marTop w:val="0"/>
                  <w:marBottom w:val="0"/>
                  <w:divBdr>
                    <w:top w:val="none" w:sz="0" w:space="0" w:color="auto"/>
                    <w:left w:val="none" w:sz="0" w:space="0" w:color="auto"/>
                    <w:bottom w:val="none" w:sz="0" w:space="0" w:color="auto"/>
                    <w:right w:val="none" w:sz="0" w:space="0" w:color="auto"/>
                  </w:divBdr>
                  <w:divsChild>
                    <w:div w:id="1338075500">
                      <w:marLeft w:val="0"/>
                      <w:marRight w:val="0"/>
                      <w:marTop w:val="0"/>
                      <w:marBottom w:val="0"/>
                      <w:divBdr>
                        <w:top w:val="none" w:sz="0" w:space="0" w:color="auto"/>
                        <w:left w:val="none" w:sz="0" w:space="0" w:color="auto"/>
                        <w:bottom w:val="none" w:sz="0" w:space="0" w:color="auto"/>
                        <w:right w:val="none" w:sz="0" w:space="0" w:color="auto"/>
                      </w:divBdr>
                    </w:div>
                  </w:divsChild>
                </w:div>
                <w:div w:id="2078940476">
                  <w:marLeft w:val="0"/>
                  <w:marRight w:val="0"/>
                  <w:marTop w:val="0"/>
                  <w:marBottom w:val="0"/>
                  <w:divBdr>
                    <w:top w:val="none" w:sz="0" w:space="0" w:color="auto"/>
                    <w:left w:val="none" w:sz="0" w:space="0" w:color="auto"/>
                    <w:bottom w:val="none" w:sz="0" w:space="0" w:color="auto"/>
                    <w:right w:val="none" w:sz="0" w:space="0" w:color="auto"/>
                  </w:divBdr>
                  <w:divsChild>
                    <w:div w:id="1499416554">
                      <w:marLeft w:val="0"/>
                      <w:marRight w:val="0"/>
                      <w:marTop w:val="0"/>
                      <w:marBottom w:val="0"/>
                      <w:divBdr>
                        <w:top w:val="none" w:sz="0" w:space="0" w:color="auto"/>
                        <w:left w:val="none" w:sz="0" w:space="0" w:color="auto"/>
                        <w:bottom w:val="none" w:sz="0" w:space="0" w:color="auto"/>
                        <w:right w:val="none" w:sz="0" w:space="0" w:color="auto"/>
                      </w:divBdr>
                    </w:div>
                  </w:divsChild>
                </w:div>
                <w:div w:id="2092388603">
                  <w:marLeft w:val="0"/>
                  <w:marRight w:val="0"/>
                  <w:marTop w:val="0"/>
                  <w:marBottom w:val="0"/>
                  <w:divBdr>
                    <w:top w:val="none" w:sz="0" w:space="0" w:color="auto"/>
                    <w:left w:val="none" w:sz="0" w:space="0" w:color="auto"/>
                    <w:bottom w:val="none" w:sz="0" w:space="0" w:color="auto"/>
                    <w:right w:val="none" w:sz="0" w:space="0" w:color="auto"/>
                  </w:divBdr>
                  <w:divsChild>
                    <w:div w:id="2037196886">
                      <w:marLeft w:val="0"/>
                      <w:marRight w:val="0"/>
                      <w:marTop w:val="0"/>
                      <w:marBottom w:val="0"/>
                      <w:divBdr>
                        <w:top w:val="none" w:sz="0" w:space="0" w:color="auto"/>
                        <w:left w:val="none" w:sz="0" w:space="0" w:color="auto"/>
                        <w:bottom w:val="none" w:sz="0" w:space="0" w:color="auto"/>
                        <w:right w:val="none" w:sz="0" w:space="0" w:color="auto"/>
                      </w:divBdr>
                    </w:div>
                  </w:divsChild>
                </w:div>
                <w:div w:id="2113865234">
                  <w:marLeft w:val="0"/>
                  <w:marRight w:val="0"/>
                  <w:marTop w:val="0"/>
                  <w:marBottom w:val="0"/>
                  <w:divBdr>
                    <w:top w:val="none" w:sz="0" w:space="0" w:color="auto"/>
                    <w:left w:val="none" w:sz="0" w:space="0" w:color="auto"/>
                    <w:bottom w:val="none" w:sz="0" w:space="0" w:color="auto"/>
                    <w:right w:val="none" w:sz="0" w:space="0" w:color="auto"/>
                  </w:divBdr>
                  <w:divsChild>
                    <w:div w:id="994067417">
                      <w:marLeft w:val="0"/>
                      <w:marRight w:val="0"/>
                      <w:marTop w:val="0"/>
                      <w:marBottom w:val="0"/>
                      <w:divBdr>
                        <w:top w:val="none" w:sz="0" w:space="0" w:color="auto"/>
                        <w:left w:val="none" w:sz="0" w:space="0" w:color="auto"/>
                        <w:bottom w:val="none" w:sz="0" w:space="0" w:color="auto"/>
                        <w:right w:val="none" w:sz="0" w:space="0" w:color="auto"/>
                      </w:divBdr>
                    </w:div>
                  </w:divsChild>
                </w:div>
                <w:div w:id="2123761426">
                  <w:marLeft w:val="0"/>
                  <w:marRight w:val="0"/>
                  <w:marTop w:val="0"/>
                  <w:marBottom w:val="0"/>
                  <w:divBdr>
                    <w:top w:val="none" w:sz="0" w:space="0" w:color="auto"/>
                    <w:left w:val="none" w:sz="0" w:space="0" w:color="auto"/>
                    <w:bottom w:val="none" w:sz="0" w:space="0" w:color="auto"/>
                    <w:right w:val="none" w:sz="0" w:space="0" w:color="auto"/>
                  </w:divBdr>
                  <w:divsChild>
                    <w:div w:id="1107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90935">
          <w:marLeft w:val="0"/>
          <w:marRight w:val="0"/>
          <w:marTop w:val="0"/>
          <w:marBottom w:val="0"/>
          <w:divBdr>
            <w:top w:val="none" w:sz="0" w:space="0" w:color="auto"/>
            <w:left w:val="none" w:sz="0" w:space="0" w:color="auto"/>
            <w:bottom w:val="none" w:sz="0" w:space="0" w:color="auto"/>
            <w:right w:val="none" w:sz="0" w:space="0" w:color="auto"/>
          </w:divBdr>
        </w:div>
        <w:div w:id="799568003">
          <w:marLeft w:val="0"/>
          <w:marRight w:val="0"/>
          <w:marTop w:val="0"/>
          <w:marBottom w:val="0"/>
          <w:divBdr>
            <w:top w:val="none" w:sz="0" w:space="0" w:color="auto"/>
            <w:left w:val="none" w:sz="0" w:space="0" w:color="auto"/>
            <w:bottom w:val="none" w:sz="0" w:space="0" w:color="auto"/>
            <w:right w:val="none" w:sz="0" w:space="0" w:color="auto"/>
          </w:divBdr>
        </w:div>
        <w:div w:id="926883591">
          <w:marLeft w:val="0"/>
          <w:marRight w:val="0"/>
          <w:marTop w:val="0"/>
          <w:marBottom w:val="0"/>
          <w:divBdr>
            <w:top w:val="none" w:sz="0" w:space="0" w:color="auto"/>
            <w:left w:val="none" w:sz="0" w:space="0" w:color="auto"/>
            <w:bottom w:val="none" w:sz="0" w:space="0" w:color="auto"/>
            <w:right w:val="none" w:sz="0" w:space="0" w:color="auto"/>
          </w:divBdr>
        </w:div>
        <w:div w:id="1442457033">
          <w:marLeft w:val="0"/>
          <w:marRight w:val="0"/>
          <w:marTop w:val="0"/>
          <w:marBottom w:val="0"/>
          <w:divBdr>
            <w:top w:val="none" w:sz="0" w:space="0" w:color="auto"/>
            <w:left w:val="none" w:sz="0" w:space="0" w:color="auto"/>
            <w:bottom w:val="none" w:sz="0" w:space="0" w:color="auto"/>
            <w:right w:val="none" w:sz="0" w:space="0" w:color="auto"/>
          </w:divBdr>
        </w:div>
        <w:div w:id="1943762403">
          <w:marLeft w:val="0"/>
          <w:marRight w:val="0"/>
          <w:marTop w:val="0"/>
          <w:marBottom w:val="0"/>
          <w:divBdr>
            <w:top w:val="none" w:sz="0" w:space="0" w:color="auto"/>
            <w:left w:val="none" w:sz="0" w:space="0" w:color="auto"/>
            <w:bottom w:val="none" w:sz="0" w:space="0" w:color="auto"/>
            <w:right w:val="none" w:sz="0" w:space="0" w:color="auto"/>
          </w:divBdr>
        </w:div>
      </w:divsChild>
    </w:div>
    <w:div w:id="1244528793">
      <w:bodyDiv w:val="1"/>
      <w:marLeft w:val="0"/>
      <w:marRight w:val="0"/>
      <w:marTop w:val="0"/>
      <w:marBottom w:val="0"/>
      <w:divBdr>
        <w:top w:val="none" w:sz="0" w:space="0" w:color="auto"/>
        <w:left w:val="none" w:sz="0" w:space="0" w:color="auto"/>
        <w:bottom w:val="none" w:sz="0" w:space="0" w:color="auto"/>
        <w:right w:val="none" w:sz="0" w:space="0" w:color="auto"/>
      </w:divBdr>
      <w:divsChild>
        <w:div w:id="27531588">
          <w:marLeft w:val="0"/>
          <w:marRight w:val="0"/>
          <w:marTop w:val="0"/>
          <w:marBottom w:val="0"/>
          <w:divBdr>
            <w:top w:val="none" w:sz="0" w:space="0" w:color="auto"/>
            <w:left w:val="none" w:sz="0" w:space="0" w:color="auto"/>
            <w:bottom w:val="none" w:sz="0" w:space="0" w:color="auto"/>
            <w:right w:val="none" w:sz="0" w:space="0" w:color="auto"/>
          </w:divBdr>
        </w:div>
        <w:div w:id="104229653">
          <w:marLeft w:val="0"/>
          <w:marRight w:val="0"/>
          <w:marTop w:val="0"/>
          <w:marBottom w:val="0"/>
          <w:divBdr>
            <w:top w:val="none" w:sz="0" w:space="0" w:color="auto"/>
            <w:left w:val="none" w:sz="0" w:space="0" w:color="auto"/>
            <w:bottom w:val="none" w:sz="0" w:space="0" w:color="auto"/>
            <w:right w:val="none" w:sz="0" w:space="0" w:color="auto"/>
          </w:divBdr>
        </w:div>
        <w:div w:id="512233214">
          <w:marLeft w:val="0"/>
          <w:marRight w:val="0"/>
          <w:marTop w:val="0"/>
          <w:marBottom w:val="0"/>
          <w:divBdr>
            <w:top w:val="none" w:sz="0" w:space="0" w:color="auto"/>
            <w:left w:val="none" w:sz="0" w:space="0" w:color="auto"/>
            <w:bottom w:val="none" w:sz="0" w:space="0" w:color="auto"/>
            <w:right w:val="none" w:sz="0" w:space="0" w:color="auto"/>
          </w:divBdr>
        </w:div>
        <w:div w:id="1296637110">
          <w:marLeft w:val="0"/>
          <w:marRight w:val="0"/>
          <w:marTop w:val="0"/>
          <w:marBottom w:val="0"/>
          <w:divBdr>
            <w:top w:val="none" w:sz="0" w:space="0" w:color="auto"/>
            <w:left w:val="none" w:sz="0" w:space="0" w:color="auto"/>
            <w:bottom w:val="none" w:sz="0" w:space="0" w:color="auto"/>
            <w:right w:val="none" w:sz="0" w:space="0" w:color="auto"/>
          </w:divBdr>
        </w:div>
        <w:div w:id="1562205940">
          <w:marLeft w:val="0"/>
          <w:marRight w:val="0"/>
          <w:marTop w:val="0"/>
          <w:marBottom w:val="0"/>
          <w:divBdr>
            <w:top w:val="none" w:sz="0" w:space="0" w:color="auto"/>
            <w:left w:val="none" w:sz="0" w:space="0" w:color="auto"/>
            <w:bottom w:val="none" w:sz="0" w:space="0" w:color="auto"/>
            <w:right w:val="none" w:sz="0" w:space="0" w:color="auto"/>
          </w:divBdr>
          <w:divsChild>
            <w:div w:id="1979264422">
              <w:marLeft w:val="-75"/>
              <w:marRight w:val="0"/>
              <w:marTop w:val="30"/>
              <w:marBottom w:val="30"/>
              <w:divBdr>
                <w:top w:val="none" w:sz="0" w:space="0" w:color="auto"/>
                <w:left w:val="none" w:sz="0" w:space="0" w:color="auto"/>
                <w:bottom w:val="none" w:sz="0" w:space="0" w:color="auto"/>
                <w:right w:val="none" w:sz="0" w:space="0" w:color="auto"/>
              </w:divBdr>
              <w:divsChild>
                <w:div w:id="2362877">
                  <w:marLeft w:val="0"/>
                  <w:marRight w:val="0"/>
                  <w:marTop w:val="0"/>
                  <w:marBottom w:val="0"/>
                  <w:divBdr>
                    <w:top w:val="none" w:sz="0" w:space="0" w:color="auto"/>
                    <w:left w:val="none" w:sz="0" w:space="0" w:color="auto"/>
                    <w:bottom w:val="none" w:sz="0" w:space="0" w:color="auto"/>
                    <w:right w:val="none" w:sz="0" w:space="0" w:color="auto"/>
                  </w:divBdr>
                  <w:divsChild>
                    <w:div w:id="2139371907">
                      <w:marLeft w:val="0"/>
                      <w:marRight w:val="0"/>
                      <w:marTop w:val="0"/>
                      <w:marBottom w:val="0"/>
                      <w:divBdr>
                        <w:top w:val="none" w:sz="0" w:space="0" w:color="auto"/>
                        <w:left w:val="none" w:sz="0" w:space="0" w:color="auto"/>
                        <w:bottom w:val="none" w:sz="0" w:space="0" w:color="auto"/>
                        <w:right w:val="none" w:sz="0" w:space="0" w:color="auto"/>
                      </w:divBdr>
                    </w:div>
                  </w:divsChild>
                </w:div>
                <w:div w:id="4942215">
                  <w:marLeft w:val="0"/>
                  <w:marRight w:val="0"/>
                  <w:marTop w:val="0"/>
                  <w:marBottom w:val="0"/>
                  <w:divBdr>
                    <w:top w:val="none" w:sz="0" w:space="0" w:color="auto"/>
                    <w:left w:val="none" w:sz="0" w:space="0" w:color="auto"/>
                    <w:bottom w:val="none" w:sz="0" w:space="0" w:color="auto"/>
                    <w:right w:val="none" w:sz="0" w:space="0" w:color="auto"/>
                  </w:divBdr>
                  <w:divsChild>
                    <w:div w:id="903028238">
                      <w:marLeft w:val="0"/>
                      <w:marRight w:val="0"/>
                      <w:marTop w:val="0"/>
                      <w:marBottom w:val="0"/>
                      <w:divBdr>
                        <w:top w:val="none" w:sz="0" w:space="0" w:color="auto"/>
                        <w:left w:val="none" w:sz="0" w:space="0" w:color="auto"/>
                        <w:bottom w:val="none" w:sz="0" w:space="0" w:color="auto"/>
                        <w:right w:val="none" w:sz="0" w:space="0" w:color="auto"/>
                      </w:divBdr>
                    </w:div>
                  </w:divsChild>
                </w:div>
                <w:div w:id="26568584">
                  <w:marLeft w:val="0"/>
                  <w:marRight w:val="0"/>
                  <w:marTop w:val="0"/>
                  <w:marBottom w:val="0"/>
                  <w:divBdr>
                    <w:top w:val="none" w:sz="0" w:space="0" w:color="auto"/>
                    <w:left w:val="none" w:sz="0" w:space="0" w:color="auto"/>
                    <w:bottom w:val="none" w:sz="0" w:space="0" w:color="auto"/>
                    <w:right w:val="none" w:sz="0" w:space="0" w:color="auto"/>
                  </w:divBdr>
                  <w:divsChild>
                    <w:div w:id="367729312">
                      <w:marLeft w:val="0"/>
                      <w:marRight w:val="0"/>
                      <w:marTop w:val="0"/>
                      <w:marBottom w:val="0"/>
                      <w:divBdr>
                        <w:top w:val="none" w:sz="0" w:space="0" w:color="auto"/>
                        <w:left w:val="none" w:sz="0" w:space="0" w:color="auto"/>
                        <w:bottom w:val="none" w:sz="0" w:space="0" w:color="auto"/>
                        <w:right w:val="none" w:sz="0" w:space="0" w:color="auto"/>
                      </w:divBdr>
                    </w:div>
                  </w:divsChild>
                </w:div>
                <w:div w:id="31275376">
                  <w:marLeft w:val="0"/>
                  <w:marRight w:val="0"/>
                  <w:marTop w:val="0"/>
                  <w:marBottom w:val="0"/>
                  <w:divBdr>
                    <w:top w:val="none" w:sz="0" w:space="0" w:color="auto"/>
                    <w:left w:val="none" w:sz="0" w:space="0" w:color="auto"/>
                    <w:bottom w:val="none" w:sz="0" w:space="0" w:color="auto"/>
                    <w:right w:val="none" w:sz="0" w:space="0" w:color="auto"/>
                  </w:divBdr>
                  <w:divsChild>
                    <w:div w:id="1472674790">
                      <w:marLeft w:val="0"/>
                      <w:marRight w:val="0"/>
                      <w:marTop w:val="0"/>
                      <w:marBottom w:val="0"/>
                      <w:divBdr>
                        <w:top w:val="none" w:sz="0" w:space="0" w:color="auto"/>
                        <w:left w:val="none" w:sz="0" w:space="0" w:color="auto"/>
                        <w:bottom w:val="none" w:sz="0" w:space="0" w:color="auto"/>
                        <w:right w:val="none" w:sz="0" w:space="0" w:color="auto"/>
                      </w:divBdr>
                    </w:div>
                  </w:divsChild>
                </w:div>
                <w:div w:id="42365769">
                  <w:marLeft w:val="0"/>
                  <w:marRight w:val="0"/>
                  <w:marTop w:val="0"/>
                  <w:marBottom w:val="0"/>
                  <w:divBdr>
                    <w:top w:val="none" w:sz="0" w:space="0" w:color="auto"/>
                    <w:left w:val="none" w:sz="0" w:space="0" w:color="auto"/>
                    <w:bottom w:val="none" w:sz="0" w:space="0" w:color="auto"/>
                    <w:right w:val="none" w:sz="0" w:space="0" w:color="auto"/>
                  </w:divBdr>
                  <w:divsChild>
                    <w:div w:id="384987881">
                      <w:marLeft w:val="0"/>
                      <w:marRight w:val="0"/>
                      <w:marTop w:val="0"/>
                      <w:marBottom w:val="0"/>
                      <w:divBdr>
                        <w:top w:val="none" w:sz="0" w:space="0" w:color="auto"/>
                        <w:left w:val="none" w:sz="0" w:space="0" w:color="auto"/>
                        <w:bottom w:val="none" w:sz="0" w:space="0" w:color="auto"/>
                        <w:right w:val="none" w:sz="0" w:space="0" w:color="auto"/>
                      </w:divBdr>
                    </w:div>
                  </w:divsChild>
                </w:div>
                <w:div w:id="50272455">
                  <w:marLeft w:val="0"/>
                  <w:marRight w:val="0"/>
                  <w:marTop w:val="0"/>
                  <w:marBottom w:val="0"/>
                  <w:divBdr>
                    <w:top w:val="none" w:sz="0" w:space="0" w:color="auto"/>
                    <w:left w:val="none" w:sz="0" w:space="0" w:color="auto"/>
                    <w:bottom w:val="none" w:sz="0" w:space="0" w:color="auto"/>
                    <w:right w:val="none" w:sz="0" w:space="0" w:color="auto"/>
                  </w:divBdr>
                  <w:divsChild>
                    <w:div w:id="1876236667">
                      <w:marLeft w:val="0"/>
                      <w:marRight w:val="0"/>
                      <w:marTop w:val="0"/>
                      <w:marBottom w:val="0"/>
                      <w:divBdr>
                        <w:top w:val="none" w:sz="0" w:space="0" w:color="auto"/>
                        <w:left w:val="none" w:sz="0" w:space="0" w:color="auto"/>
                        <w:bottom w:val="none" w:sz="0" w:space="0" w:color="auto"/>
                        <w:right w:val="none" w:sz="0" w:space="0" w:color="auto"/>
                      </w:divBdr>
                    </w:div>
                  </w:divsChild>
                </w:div>
                <w:div w:id="51739702">
                  <w:marLeft w:val="0"/>
                  <w:marRight w:val="0"/>
                  <w:marTop w:val="0"/>
                  <w:marBottom w:val="0"/>
                  <w:divBdr>
                    <w:top w:val="none" w:sz="0" w:space="0" w:color="auto"/>
                    <w:left w:val="none" w:sz="0" w:space="0" w:color="auto"/>
                    <w:bottom w:val="none" w:sz="0" w:space="0" w:color="auto"/>
                    <w:right w:val="none" w:sz="0" w:space="0" w:color="auto"/>
                  </w:divBdr>
                  <w:divsChild>
                    <w:div w:id="853568279">
                      <w:marLeft w:val="0"/>
                      <w:marRight w:val="0"/>
                      <w:marTop w:val="0"/>
                      <w:marBottom w:val="0"/>
                      <w:divBdr>
                        <w:top w:val="none" w:sz="0" w:space="0" w:color="auto"/>
                        <w:left w:val="none" w:sz="0" w:space="0" w:color="auto"/>
                        <w:bottom w:val="none" w:sz="0" w:space="0" w:color="auto"/>
                        <w:right w:val="none" w:sz="0" w:space="0" w:color="auto"/>
                      </w:divBdr>
                    </w:div>
                  </w:divsChild>
                </w:div>
                <w:div w:id="206839186">
                  <w:marLeft w:val="0"/>
                  <w:marRight w:val="0"/>
                  <w:marTop w:val="0"/>
                  <w:marBottom w:val="0"/>
                  <w:divBdr>
                    <w:top w:val="none" w:sz="0" w:space="0" w:color="auto"/>
                    <w:left w:val="none" w:sz="0" w:space="0" w:color="auto"/>
                    <w:bottom w:val="none" w:sz="0" w:space="0" w:color="auto"/>
                    <w:right w:val="none" w:sz="0" w:space="0" w:color="auto"/>
                  </w:divBdr>
                  <w:divsChild>
                    <w:div w:id="508561273">
                      <w:marLeft w:val="0"/>
                      <w:marRight w:val="0"/>
                      <w:marTop w:val="0"/>
                      <w:marBottom w:val="0"/>
                      <w:divBdr>
                        <w:top w:val="none" w:sz="0" w:space="0" w:color="auto"/>
                        <w:left w:val="none" w:sz="0" w:space="0" w:color="auto"/>
                        <w:bottom w:val="none" w:sz="0" w:space="0" w:color="auto"/>
                        <w:right w:val="none" w:sz="0" w:space="0" w:color="auto"/>
                      </w:divBdr>
                    </w:div>
                    <w:div w:id="772553714">
                      <w:marLeft w:val="0"/>
                      <w:marRight w:val="0"/>
                      <w:marTop w:val="0"/>
                      <w:marBottom w:val="0"/>
                      <w:divBdr>
                        <w:top w:val="none" w:sz="0" w:space="0" w:color="auto"/>
                        <w:left w:val="none" w:sz="0" w:space="0" w:color="auto"/>
                        <w:bottom w:val="none" w:sz="0" w:space="0" w:color="auto"/>
                        <w:right w:val="none" w:sz="0" w:space="0" w:color="auto"/>
                      </w:divBdr>
                    </w:div>
                    <w:div w:id="1280647016">
                      <w:marLeft w:val="0"/>
                      <w:marRight w:val="0"/>
                      <w:marTop w:val="0"/>
                      <w:marBottom w:val="0"/>
                      <w:divBdr>
                        <w:top w:val="none" w:sz="0" w:space="0" w:color="auto"/>
                        <w:left w:val="none" w:sz="0" w:space="0" w:color="auto"/>
                        <w:bottom w:val="none" w:sz="0" w:space="0" w:color="auto"/>
                        <w:right w:val="none" w:sz="0" w:space="0" w:color="auto"/>
                      </w:divBdr>
                    </w:div>
                    <w:div w:id="1500074839">
                      <w:marLeft w:val="0"/>
                      <w:marRight w:val="0"/>
                      <w:marTop w:val="0"/>
                      <w:marBottom w:val="0"/>
                      <w:divBdr>
                        <w:top w:val="none" w:sz="0" w:space="0" w:color="auto"/>
                        <w:left w:val="none" w:sz="0" w:space="0" w:color="auto"/>
                        <w:bottom w:val="none" w:sz="0" w:space="0" w:color="auto"/>
                        <w:right w:val="none" w:sz="0" w:space="0" w:color="auto"/>
                      </w:divBdr>
                    </w:div>
                    <w:div w:id="1519659126">
                      <w:marLeft w:val="0"/>
                      <w:marRight w:val="0"/>
                      <w:marTop w:val="0"/>
                      <w:marBottom w:val="0"/>
                      <w:divBdr>
                        <w:top w:val="none" w:sz="0" w:space="0" w:color="auto"/>
                        <w:left w:val="none" w:sz="0" w:space="0" w:color="auto"/>
                        <w:bottom w:val="none" w:sz="0" w:space="0" w:color="auto"/>
                        <w:right w:val="none" w:sz="0" w:space="0" w:color="auto"/>
                      </w:divBdr>
                    </w:div>
                    <w:div w:id="1579510188">
                      <w:marLeft w:val="0"/>
                      <w:marRight w:val="0"/>
                      <w:marTop w:val="0"/>
                      <w:marBottom w:val="0"/>
                      <w:divBdr>
                        <w:top w:val="none" w:sz="0" w:space="0" w:color="auto"/>
                        <w:left w:val="none" w:sz="0" w:space="0" w:color="auto"/>
                        <w:bottom w:val="none" w:sz="0" w:space="0" w:color="auto"/>
                        <w:right w:val="none" w:sz="0" w:space="0" w:color="auto"/>
                      </w:divBdr>
                    </w:div>
                  </w:divsChild>
                </w:div>
                <w:div w:id="215625173">
                  <w:marLeft w:val="0"/>
                  <w:marRight w:val="0"/>
                  <w:marTop w:val="0"/>
                  <w:marBottom w:val="0"/>
                  <w:divBdr>
                    <w:top w:val="none" w:sz="0" w:space="0" w:color="auto"/>
                    <w:left w:val="none" w:sz="0" w:space="0" w:color="auto"/>
                    <w:bottom w:val="none" w:sz="0" w:space="0" w:color="auto"/>
                    <w:right w:val="none" w:sz="0" w:space="0" w:color="auto"/>
                  </w:divBdr>
                  <w:divsChild>
                    <w:div w:id="625544296">
                      <w:marLeft w:val="0"/>
                      <w:marRight w:val="0"/>
                      <w:marTop w:val="0"/>
                      <w:marBottom w:val="0"/>
                      <w:divBdr>
                        <w:top w:val="none" w:sz="0" w:space="0" w:color="auto"/>
                        <w:left w:val="none" w:sz="0" w:space="0" w:color="auto"/>
                        <w:bottom w:val="none" w:sz="0" w:space="0" w:color="auto"/>
                        <w:right w:val="none" w:sz="0" w:space="0" w:color="auto"/>
                      </w:divBdr>
                    </w:div>
                  </w:divsChild>
                </w:div>
                <w:div w:id="225342611">
                  <w:marLeft w:val="0"/>
                  <w:marRight w:val="0"/>
                  <w:marTop w:val="0"/>
                  <w:marBottom w:val="0"/>
                  <w:divBdr>
                    <w:top w:val="none" w:sz="0" w:space="0" w:color="auto"/>
                    <w:left w:val="none" w:sz="0" w:space="0" w:color="auto"/>
                    <w:bottom w:val="none" w:sz="0" w:space="0" w:color="auto"/>
                    <w:right w:val="none" w:sz="0" w:space="0" w:color="auto"/>
                  </w:divBdr>
                  <w:divsChild>
                    <w:div w:id="1230574717">
                      <w:marLeft w:val="0"/>
                      <w:marRight w:val="0"/>
                      <w:marTop w:val="0"/>
                      <w:marBottom w:val="0"/>
                      <w:divBdr>
                        <w:top w:val="none" w:sz="0" w:space="0" w:color="auto"/>
                        <w:left w:val="none" w:sz="0" w:space="0" w:color="auto"/>
                        <w:bottom w:val="none" w:sz="0" w:space="0" w:color="auto"/>
                        <w:right w:val="none" w:sz="0" w:space="0" w:color="auto"/>
                      </w:divBdr>
                    </w:div>
                    <w:div w:id="1397779562">
                      <w:marLeft w:val="0"/>
                      <w:marRight w:val="0"/>
                      <w:marTop w:val="0"/>
                      <w:marBottom w:val="0"/>
                      <w:divBdr>
                        <w:top w:val="none" w:sz="0" w:space="0" w:color="auto"/>
                        <w:left w:val="none" w:sz="0" w:space="0" w:color="auto"/>
                        <w:bottom w:val="none" w:sz="0" w:space="0" w:color="auto"/>
                        <w:right w:val="none" w:sz="0" w:space="0" w:color="auto"/>
                      </w:divBdr>
                    </w:div>
                  </w:divsChild>
                </w:div>
                <w:div w:id="239558882">
                  <w:marLeft w:val="0"/>
                  <w:marRight w:val="0"/>
                  <w:marTop w:val="0"/>
                  <w:marBottom w:val="0"/>
                  <w:divBdr>
                    <w:top w:val="none" w:sz="0" w:space="0" w:color="auto"/>
                    <w:left w:val="none" w:sz="0" w:space="0" w:color="auto"/>
                    <w:bottom w:val="none" w:sz="0" w:space="0" w:color="auto"/>
                    <w:right w:val="none" w:sz="0" w:space="0" w:color="auto"/>
                  </w:divBdr>
                  <w:divsChild>
                    <w:div w:id="641614810">
                      <w:marLeft w:val="0"/>
                      <w:marRight w:val="0"/>
                      <w:marTop w:val="0"/>
                      <w:marBottom w:val="0"/>
                      <w:divBdr>
                        <w:top w:val="none" w:sz="0" w:space="0" w:color="auto"/>
                        <w:left w:val="none" w:sz="0" w:space="0" w:color="auto"/>
                        <w:bottom w:val="none" w:sz="0" w:space="0" w:color="auto"/>
                        <w:right w:val="none" w:sz="0" w:space="0" w:color="auto"/>
                      </w:divBdr>
                    </w:div>
                  </w:divsChild>
                </w:div>
                <w:div w:id="267585190">
                  <w:marLeft w:val="0"/>
                  <w:marRight w:val="0"/>
                  <w:marTop w:val="0"/>
                  <w:marBottom w:val="0"/>
                  <w:divBdr>
                    <w:top w:val="none" w:sz="0" w:space="0" w:color="auto"/>
                    <w:left w:val="none" w:sz="0" w:space="0" w:color="auto"/>
                    <w:bottom w:val="none" w:sz="0" w:space="0" w:color="auto"/>
                    <w:right w:val="none" w:sz="0" w:space="0" w:color="auto"/>
                  </w:divBdr>
                  <w:divsChild>
                    <w:div w:id="1961374127">
                      <w:marLeft w:val="0"/>
                      <w:marRight w:val="0"/>
                      <w:marTop w:val="0"/>
                      <w:marBottom w:val="0"/>
                      <w:divBdr>
                        <w:top w:val="none" w:sz="0" w:space="0" w:color="auto"/>
                        <w:left w:val="none" w:sz="0" w:space="0" w:color="auto"/>
                        <w:bottom w:val="none" w:sz="0" w:space="0" w:color="auto"/>
                        <w:right w:val="none" w:sz="0" w:space="0" w:color="auto"/>
                      </w:divBdr>
                    </w:div>
                  </w:divsChild>
                </w:div>
                <w:div w:id="280838931">
                  <w:marLeft w:val="0"/>
                  <w:marRight w:val="0"/>
                  <w:marTop w:val="0"/>
                  <w:marBottom w:val="0"/>
                  <w:divBdr>
                    <w:top w:val="none" w:sz="0" w:space="0" w:color="auto"/>
                    <w:left w:val="none" w:sz="0" w:space="0" w:color="auto"/>
                    <w:bottom w:val="none" w:sz="0" w:space="0" w:color="auto"/>
                    <w:right w:val="none" w:sz="0" w:space="0" w:color="auto"/>
                  </w:divBdr>
                  <w:divsChild>
                    <w:div w:id="1131898354">
                      <w:marLeft w:val="0"/>
                      <w:marRight w:val="0"/>
                      <w:marTop w:val="0"/>
                      <w:marBottom w:val="0"/>
                      <w:divBdr>
                        <w:top w:val="none" w:sz="0" w:space="0" w:color="auto"/>
                        <w:left w:val="none" w:sz="0" w:space="0" w:color="auto"/>
                        <w:bottom w:val="none" w:sz="0" w:space="0" w:color="auto"/>
                        <w:right w:val="none" w:sz="0" w:space="0" w:color="auto"/>
                      </w:divBdr>
                    </w:div>
                  </w:divsChild>
                </w:div>
                <w:div w:id="283200868">
                  <w:marLeft w:val="0"/>
                  <w:marRight w:val="0"/>
                  <w:marTop w:val="0"/>
                  <w:marBottom w:val="0"/>
                  <w:divBdr>
                    <w:top w:val="none" w:sz="0" w:space="0" w:color="auto"/>
                    <w:left w:val="none" w:sz="0" w:space="0" w:color="auto"/>
                    <w:bottom w:val="none" w:sz="0" w:space="0" w:color="auto"/>
                    <w:right w:val="none" w:sz="0" w:space="0" w:color="auto"/>
                  </w:divBdr>
                  <w:divsChild>
                    <w:div w:id="618486944">
                      <w:marLeft w:val="0"/>
                      <w:marRight w:val="0"/>
                      <w:marTop w:val="0"/>
                      <w:marBottom w:val="0"/>
                      <w:divBdr>
                        <w:top w:val="none" w:sz="0" w:space="0" w:color="auto"/>
                        <w:left w:val="none" w:sz="0" w:space="0" w:color="auto"/>
                        <w:bottom w:val="none" w:sz="0" w:space="0" w:color="auto"/>
                        <w:right w:val="none" w:sz="0" w:space="0" w:color="auto"/>
                      </w:divBdr>
                    </w:div>
                    <w:div w:id="854270272">
                      <w:marLeft w:val="0"/>
                      <w:marRight w:val="0"/>
                      <w:marTop w:val="0"/>
                      <w:marBottom w:val="0"/>
                      <w:divBdr>
                        <w:top w:val="none" w:sz="0" w:space="0" w:color="auto"/>
                        <w:left w:val="none" w:sz="0" w:space="0" w:color="auto"/>
                        <w:bottom w:val="none" w:sz="0" w:space="0" w:color="auto"/>
                        <w:right w:val="none" w:sz="0" w:space="0" w:color="auto"/>
                      </w:divBdr>
                    </w:div>
                  </w:divsChild>
                </w:div>
                <w:div w:id="302850968">
                  <w:marLeft w:val="0"/>
                  <w:marRight w:val="0"/>
                  <w:marTop w:val="0"/>
                  <w:marBottom w:val="0"/>
                  <w:divBdr>
                    <w:top w:val="none" w:sz="0" w:space="0" w:color="auto"/>
                    <w:left w:val="none" w:sz="0" w:space="0" w:color="auto"/>
                    <w:bottom w:val="none" w:sz="0" w:space="0" w:color="auto"/>
                    <w:right w:val="none" w:sz="0" w:space="0" w:color="auto"/>
                  </w:divBdr>
                  <w:divsChild>
                    <w:div w:id="1416056030">
                      <w:marLeft w:val="0"/>
                      <w:marRight w:val="0"/>
                      <w:marTop w:val="0"/>
                      <w:marBottom w:val="0"/>
                      <w:divBdr>
                        <w:top w:val="none" w:sz="0" w:space="0" w:color="auto"/>
                        <w:left w:val="none" w:sz="0" w:space="0" w:color="auto"/>
                        <w:bottom w:val="none" w:sz="0" w:space="0" w:color="auto"/>
                        <w:right w:val="none" w:sz="0" w:space="0" w:color="auto"/>
                      </w:divBdr>
                    </w:div>
                  </w:divsChild>
                </w:div>
                <w:div w:id="396516670">
                  <w:marLeft w:val="0"/>
                  <w:marRight w:val="0"/>
                  <w:marTop w:val="0"/>
                  <w:marBottom w:val="0"/>
                  <w:divBdr>
                    <w:top w:val="none" w:sz="0" w:space="0" w:color="auto"/>
                    <w:left w:val="none" w:sz="0" w:space="0" w:color="auto"/>
                    <w:bottom w:val="none" w:sz="0" w:space="0" w:color="auto"/>
                    <w:right w:val="none" w:sz="0" w:space="0" w:color="auto"/>
                  </w:divBdr>
                  <w:divsChild>
                    <w:div w:id="1512257614">
                      <w:marLeft w:val="0"/>
                      <w:marRight w:val="0"/>
                      <w:marTop w:val="0"/>
                      <w:marBottom w:val="0"/>
                      <w:divBdr>
                        <w:top w:val="none" w:sz="0" w:space="0" w:color="auto"/>
                        <w:left w:val="none" w:sz="0" w:space="0" w:color="auto"/>
                        <w:bottom w:val="none" w:sz="0" w:space="0" w:color="auto"/>
                        <w:right w:val="none" w:sz="0" w:space="0" w:color="auto"/>
                      </w:divBdr>
                    </w:div>
                  </w:divsChild>
                </w:div>
                <w:div w:id="513496501">
                  <w:marLeft w:val="0"/>
                  <w:marRight w:val="0"/>
                  <w:marTop w:val="0"/>
                  <w:marBottom w:val="0"/>
                  <w:divBdr>
                    <w:top w:val="none" w:sz="0" w:space="0" w:color="auto"/>
                    <w:left w:val="none" w:sz="0" w:space="0" w:color="auto"/>
                    <w:bottom w:val="none" w:sz="0" w:space="0" w:color="auto"/>
                    <w:right w:val="none" w:sz="0" w:space="0" w:color="auto"/>
                  </w:divBdr>
                  <w:divsChild>
                    <w:div w:id="1305937047">
                      <w:marLeft w:val="0"/>
                      <w:marRight w:val="0"/>
                      <w:marTop w:val="0"/>
                      <w:marBottom w:val="0"/>
                      <w:divBdr>
                        <w:top w:val="none" w:sz="0" w:space="0" w:color="auto"/>
                        <w:left w:val="none" w:sz="0" w:space="0" w:color="auto"/>
                        <w:bottom w:val="none" w:sz="0" w:space="0" w:color="auto"/>
                        <w:right w:val="none" w:sz="0" w:space="0" w:color="auto"/>
                      </w:divBdr>
                    </w:div>
                  </w:divsChild>
                </w:div>
                <w:div w:id="658651626">
                  <w:marLeft w:val="0"/>
                  <w:marRight w:val="0"/>
                  <w:marTop w:val="0"/>
                  <w:marBottom w:val="0"/>
                  <w:divBdr>
                    <w:top w:val="none" w:sz="0" w:space="0" w:color="auto"/>
                    <w:left w:val="none" w:sz="0" w:space="0" w:color="auto"/>
                    <w:bottom w:val="none" w:sz="0" w:space="0" w:color="auto"/>
                    <w:right w:val="none" w:sz="0" w:space="0" w:color="auto"/>
                  </w:divBdr>
                  <w:divsChild>
                    <w:div w:id="293366246">
                      <w:marLeft w:val="0"/>
                      <w:marRight w:val="0"/>
                      <w:marTop w:val="0"/>
                      <w:marBottom w:val="0"/>
                      <w:divBdr>
                        <w:top w:val="none" w:sz="0" w:space="0" w:color="auto"/>
                        <w:left w:val="none" w:sz="0" w:space="0" w:color="auto"/>
                        <w:bottom w:val="none" w:sz="0" w:space="0" w:color="auto"/>
                        <w:right w:val="none" w:sz="0" w:space="0" w:color="auto"/>
                      </w:divBdr>
                    </w:div>
                    <w:div w:id="400255422">
                      <w:marLeft w:val="0"/>
                      <w:marRight w:val="0"/>
                      <w:marTop w:val="0"/>
                      <w:marBottom w:val="0"/>
                      <w:divBdr>
                        <w:top w:val="none" w:sz="0" w:space="0" w:color="auto"/>
                        <w:left w:val="none" w:sz="0" w:space="0" w:color="auto"/>
                        <w:bottom w:val="none" w:sz="0" w:space="0" w:color="auto"/>
                        <w:right w:val="none" w:sz="0" w:space="0" w:color="auto"/>
                      </w:divBdr>
                    </w:div>
                    <w:div w:id="986858747">
                      <w:marLeft w:val="0"/>
                      <w:marRight w:val="0"/>
                      <w:marTop w:val="0"/>
                      <w:marBottom w:val="0"/>
                      <w:divBdr>
                        <w:top w:val="none" w:sz="0" w:space="0" w:color="auto"/>
                        <w:left w:val="none" w:sz="0" w:space="0" w:color="auto"/>
                        <w:bottom w:val="none" w:sz="0" w:space="0" w:color="auto"/>
                        <w:right w:val="none" w:sz="0" w:space="0" w:color="auto"/>
                      </w:divBdr>
                    </w:div>
                    <w:div w:id="1118528152">
                      <w:marLeft w:val="0"/>
                      <w:marRight w:val="0"/>
                      <w:marTop w:val="0"/>
                      <w:marBottom w:val="0"/>
                      <w:divBdr>
                        <w:top w:val="none" w:sz="0" w:space="0" w:color="auto"/>
                        <w:left w:val="none" w:sz="0" w:space="0" w:color="auto"/>
                        <w:bottom w:val="none" w:sz="0" w:space="0" w:color="auto"/>
                        <w:right w:val="none" w:sz="0" w:space="0" w:color="auto"/>
                      </w:divBdr>
                    </w:div>
                    <w:div w:id="1380544628">
                      <w:marLeft w:val="0"/>
                      <w:marRight w:val="0"/>
                      <w:marTop w:val="0"/>
                      <w:marBottom w:val="0"/>
                      <w:divBdr>
                        <w:top w:val="none" w:sz="0" w:space="0" w:color="auto"/>
                        <w:left w:val="none" w:sz="0" w:space="0" w:color="auto"/>
                        <w:bottom w:val="none" w:sz="0" w:space="0" w:color="auto"/>
                        <w:right w:val="none" w:sz="0" w:space="0" w:color="auto"/>
                      </w:divBdr>
                    </w:div>
                    <w:div w:id="2020350071">
                      <w:marLeft w:val="0"/>
                      <w:marRight w:val="0"/>
                      <w:marTop w:val="0"/>
                      <w:marBottom w:val="0"/>
                      <w:divBdr>
                        <w:top w:val="none" w:sz="0" w:space="0" w:color="auto"/>
                        <w:left w:val="none" w:sz="0" w:space="0" w:color="auto"/>
                        <w:bottom w:val="none" w:sz="0" w:space="0" w:color="auto"/>
                        <w:right w:val="none" w:sz="0" w:space="0" w:color="auto"/>
                      </w:divBdr>
                    </w:div>
                    <w:div w:id="2100246259">
                      <w:marLeft w:val="0"/>
                      <w:marRight w:val="0"/>
                      <w:marTop w:val="0"/>
                      <w:marBottom w:val="0"/>
                      <w:divBdr>
                        <w:top w:val="none" w:sz="0" w:space="0" w:color="auto"/>
                        <w:left w:val="none" w:sz="0" w:space="0" w:color="auto"/>
                        <w:bottom w:val="none" w:sz="0" w:space="0" w:color="auto"/>
                        <w:right w:val="none" w:sz="0" w:space="0" w:color="auto"/>
                      </w:divBdr>
                    </w:div>
                  </w:divsChild>
                </w:div>
                <w:div w:id="689182611">
                  <w:marLeft w:val="0"/>
                  <w:marRight w:val="0"/>
                  <w:marTop w:val="0"/>
                  <w:marBottom w:val="0"/>
                  <w:divBdr>
                    <w:top w:val="none" w:sz="0" w:space="0" w:color="auto"/>
                    <w:left w:val="none" w:sz="0" w:space="0" w:color="auto"/>
                    <w:bottom w:val="none" w:sz="0" w:space="0" w:color="auto"/>
                    <w:right w:val="none" w:sz="0" w:space="0" w:color="auto"/>
                  </w:divBdr>
                  <w:divsChild>
                    <w:div w:id="249588037">
                      <w:marLeft w:val="0"/>
                      <w:marRight w:val="0"/>
                      <w:marTop w:val="0"/>
                      <w:marBottom w:val="0"/>
                      <w:divBdr>
                        <w:top w:val="none" w:sz="0" w:space="0" w:color="auto"/>
                        <w:left w:val="none" w:sz="0" w:space="0" w:color="auto"/>
                        <w:bottom w:val="none" w:sz="0" w:space="0" w:color="auto"/>
                        <w:right w:val="none" w:sz="0" w:space="0" w:color="auto"/>
                      </w:divBdr>
                    </w:div>
                  </w:divsChild>
                </w:div>
                <w:div w:id="689989304">
                  <w:marLeft w:val="0"/>
                  <w:marRight w:val="0"/>
                  <w:marTop w:val="0"/>
                  <w:marBottom w:val="0"/>
                  <w:divBdr>
                    <w:top w:val="none" w:sz="0" w:space="0" w:color="auto"/>
                    <w:left w:val="none" w:sz="0" w:space="0" w:color="auto"/>
                    <w:bottom w:val="none" w:sz="0" w:space="0" w:color="auto"/>
                    <w:right w:val="none" w:sz="0" w:space="0" w:color="auto"/>
                  </w:divBdr>
                  <w:divsChild>
                    <w:div w:id="1756899392">
                      <w:marLeft w:val="0"/>
                      <w:marRight w:val="0"/>
                      <w:marTop w:val="0"/>
                      <w:marBottom w:val="0"/>
                      <w:divBdr>
                        <w:top w:val="none" w:sz="0" w:space="0" w:color="auto"/>
                        <w:left w:val="none" w:sz="0" w:space="0" w:color="auto"/>
                        <w:bottom w:val="none" w:sz="0" w:space="0" w:color="auto"/>
                        <w:right w:val="none" w:sz="0" w:space="0" w:color="auto"/>
                      </w:divBdr>
                    </w:div>
                  </w:divsChild>
                </w:div>
                <w:div w:id="692538650">
                  <w:marLeft w:val="0"/>
                  <w:marRight w:val="0"/>
                  <w:marTop w:val="0"/>
                  <w:marBottom w:val="0"/>
                  <w:divBdr>
                    <w:top w:val="none" w:sz="0" w:space="0" w:color="auto"/>
                    <w:left w:val="none" w:sz="0" w:space="0" w:color="auto"/>
                    <w:bottom w:val="none" w:sz="0" w:space="0" w:color="auto"/>
                    <w:right w:val="none" w:sz="0" w:space="0" w:color="auto"/>
                  </w:divBdr>
                  <w:divsChild>
                    <w:div w:id="1470127315">
                      <w:marLeft w:val="0"/>
                      <w:marRight w:val="0"/>
                      <w:marTop w:val="0"/>
                      <w:marBottom w:val="0"/>
                      <w:divBdr>
                        <w:top w:val="none" w:sz="0" w:space="0" w:color="auto"/>
                        <w:left w:val="none" w:sz="0" w:space="0" w:color="auto"/>
                        <w:bottom w:val="none" w:sz="0" w:space="0" w:color="auto"/>
                        <w:right w:val="none" w:sz="0" w:space="0" w:color="auto"/>
                      </w:divBdr>
                    </w:div>
                  </w:divsChild>
                </w:div>
                <w:div w:id="725953153">
                  <w:marLeft w:val="0"/>
                  <w:marRight w:val="0"/>
                  <w:marTop w:val="0"/>
                  <w:marBottom w:val="0"/>
                  <w:divBdr>
                    <w:top w:val="none" w:sz="0" w:space="0" w:color="auto"/>
                    <w:left w:val="none" w:sz="0" w:space="0" w:color="auto"/>
                    <w:bottom w:val="none" w:sz="0" w:space="0" w:color="auto"/>
                    <w:right w:val="none" w:sz="0" w:space="0" w:color="auto"/>
                  </w:divBdr>
                  <w:divsChild>
                    <w:div w:id="276958934">
                      <w:marLeft w:val="0"/>
                      <w:marRight w:val="0"/>
                      <w:marTop w:val="0"/>
                      <w:marBottom w:val="0"/>
                      <w:divBdr>
                        <w:top w:val="none" w:sz="0" w:space="0" w:color="auto"/>
                        <w:left w:val="none" w:sz="0" w:space="0" w:color="auto"/>
                        <w:bottom w:val="none" w:sz="0" w:space="0" w:color="auto"/>
                        <w:right w:val="none" w:sz="0" w:space="0" w:color="auto"/>
                      </w:divBdr>
                    </w:div>
                    <w:div w:id="1112241911">
                      <w:marLeft w:val="0"/>
                      <w:marRight w:val="0"/>
                      <w:marTop w:val="0"/>
                      <w:marBottom w:val="0"/>
                      <w:divBdr>
                        <w:top w:val="none" w:sz="0" w:space="0" w:color="auto"/>
                        <w:left w:val="none" w:sz="0" w:space="0" w:color="auto"/>
                        <w:bottom w:val="none" w:sz="0" w:space="0" w:color="auto"/>
                        <w:right w:val="none" w:sz="0" w:space="0" w:color="auto"/>
                      </w:divBdr>
                    </w:div>
                  </w:divsChild>
                </w:div>
                <w:div w:id="762455259">
                  <w:marLeft w:val="0"/>
                  <w:marRight w:val="0"/>
                  <w:marTop w:val="0"/>
                  <w:marBottom w:val="0"/>
                  <w:divBdr>
                    <w:top w:val="none" w:sz="0" w:space="0" w:color="auto"/>
                    <w:left w:val="none" w:sz="0" w:space="0" w:color="auto"/>
                    <w:bottom w:val="none" w:sz="0" w:space="0" w:color="auto"/>
                    <w:right w:val="none" w:sz="0" w:space="0" w:color="auto"/>
                  </w:divBdr>
                  <w:divsChild>
                    <w:div w:id="497303841">
                      <w:marLeft w:val="0"/>
                      <w:marRight w:val="0"/>
                      <w:marTop w:val="0"/>
                      <w:marBottom w:val="0"/>
                      <w:divBdr>
                        <w:top w:val="none" w:sz="0" w:space="0" w:color="auto"/>
                        <w:left w:val="none" w:sz="0" w:space="0" w:color="auto"/>
                        <w:bottom w:val="none" w:sz="0" w:space="0" w:color="auto"/>
                        <w:right w:val="none" w:sz="0" w:space="0" w:color="auto"/>
                      </w:divBdr>
                    </w:div>
                  </w:divsChild>
                </w:div>
                <w:div w:id="771558703">
                  <w:marLeft w:val="0"/>
                  <w:marRight w:val="0"/>
                  <w:marTop w:val="0"/>
                  <w:marBottom w:val="0"/>
                  <w:divBdr>
                    <w:top w:val="none" w:sz="0" w:space="0" w:color="auto"/>
                    <w:left w:val="none" w:sz="0" w:space="0" w:color="auto"/>
                    <w:bottom w:val="none" w:sz="0" w:space="0" w:color="auto"/>
                    <w:right w:val="none" w:sz="0" w:space="0" w:color="auto"/>
                  </w:divBdr>
                  <w:divsChild>
                    <w:div w:id="160514410">
                      <w:marLeft w:val="0"/>
                      <w:marRight w:val="0"/>
                      <w:marTop w:val="0"/>
                      <w:marBottom w:val="0"/>
                      <w:divBdr>
                        <w:top w:val="none" w:sz="0" w:space="0" w:color="auto"/>
                        <w:left w:val="none" w:sz="0" w:space="0" w:color="auto"/>
                        <w:bottom w:val="none" w:sz="0" w:space="0" w:color="auto"/>
                        <w:right w:val="none" w:sz="0" w:space="0" w:color="auto"/>
                      </w:divBdr>
                    </w:div>
                  </w:divsChild>
                </w:div>
                <w:div w:id="822741183">
                  <w:marLeft w:val="0"/>
                  <w:marRight w:val="0"/>
                  <w:marTop w:val="0"/>
                  <w:marBottom w:val="0"/>
                  <w:divBdr>
                    <w:top w:val="none" w:sz="0" w:space="0" w:color="auto"/>
                    <w:left w:val="none" w:sz="0" w:space="0" w:color="auto"/>
                    <w:bottom w:val="none" w:sz="0" w:space="0" w:color="auto"/>
                    <w:right w:val="none" w:sz="0" w:space="0" w:color="auto"/>
                  </w:divBdr>
                  <w:divsChild>
                    <w:div w:id="2082829587">
                      <w:marLeft w:val="0"/>
                      <w:marRight w:val="0"/>
                      <w:marTop w:val="0"/>
                      <w:marBottom w:val="0"/>
                      <w:divBdr>
                        <w:top w:val="none" w:sz="0" w:space="0" w:color="auto"/>
                        <w:left w:val="none" w:sz="0" w:space="0" w:color="auto"/>
                        <w:bottom w:val="none" w:sz="0" w:space="0" w:color="auto"/>
                        <w:right w:val="none" w:sz="0" w:space="0" w:color="auto"/>
                      </w:divBdr>
                    </w:div>
                    <w:div w:id="2095010303">
                      <w:marLeft w:val="0"/>
                      <w:marRight w:val="0"/>
                      <w:marTop w:val="0"/>
                      <w:marBottom w:val="0"/>
                      <w:divBdr>
                        <w:top w:val="none" w:sz="0" w:space="0" w:color="auto"/>
                        <w:left w:val="none" w:sz="0" w:space="0" w:color="auto"/>
                        <w:bottom w:val="none" w:sz="0" w:space="0" w:color="auto"/>
                        <w:right w:val="none" w:sz="0" w:space="0" w:color="auto"/>
                      </w:divBdr>
                    </w:div>
                  </w:divsChild>
                </w:div>
                <w:div w:id="835261965">
                  <w:marLeft w:val="0"/>
                  <w:marRight w:val="0"/>
                  <w:marTop w:val="0"/>
                  <w:marBottom w:val="0"/>
                  <w:divBdr>
                    <w:top w:val="none" w:sz="0" w:space="0" w:color="auto"/>
                    <w:left w:val="none" w:sz="0" w:space="0" w:color="auto"/>
                    <w:bottom w:val="none" w:sz="0" w:space="0" w:color="auto"/>
                    <w:right w:val="none" w:sz="0" w:space="0" w:color="auto"/>
                  </w:divBdr>
                  <w:divsChild>
                    <w:div w:id="1715277863">
                      <w:marLeft w:val="0"/>
                      <w:marRight w:val="0"/>
                      <w:marTop w:val="0"/>
                      <w:marBottom w:val="0"/>
                      <w:divBdr>
                        <w:top w:val="none" w:sz="0" w:space="0" w:color="auto"/>
                        <w:left w:val="none" w:sz="0" w:space="0" w:color="auto"/>
                        <w:bottom w:val="none" w:sz="0" w:space="0" w:color="auto"/>
                        <w:right w:val="none" w:sz="0" w:space="0" w:color="auto"/>
                      </w:divBdr>
                    </w:div>
                  </w:divsChild>
                </w:div>
                <w:div w:id="851645218">
                  <w:marLeft w:val="0"/>
                  <w:marRight w:val="0"/>
                  <w:marTop w:val="0"/>
                  <w:marBottom w:val="0"/>
                  <w:divBdr>
                    <w:top w:val="none" w:sz="0" w:space="0" w:color="auto"/>
                    <w:left w:val="none" w:sz="0" w:space="0" w:color="auto"/>
                    <w:bottom w:val="none" w:sz="0" w:space="0" w:color="auto"/>
                    <w:right w:val="none" w:sz="0" w:space="0" w:color="auto"/>
                  </w:divBdr>
                  <w:divsChild>
                    <w:div w:id="1445920926">
                      <w:marLeft w:val="0"/>
                      <w:marRight w:val="0"/>
                      <w:marTop w:val="0"/>
                      <w:marBottom w:val="0"/>
                      <w:divBdr>
                        <w:top w:val="none" w:sz="0" w:space="0" w:color="auto"/>
                        <w:left w:val="none" w:sz="0" w:space="0" w:color="auto"/>
                        <w:bottom w:val="none" w:sz="0" w:space="0" w:color="auto"/>
                        <w:right w:val="none" w:sz="0" w:space="0" w:color="auto"/>
                      </w:divBdr>
                    </w:div>
                  </w:divsChild>
                </w:div>
                <w:div w:id="917598470">
                  <w:marLeft w:val="0"/>
                  <w:marRight w:val="0"/>
                  <w:marTop w:val="0"/>
                  <w:marBottom w:val="0"/>
                  <w:divBdr>
                    <w:top w:val="none" w:sz="0" w:space="0" w:color="auto"/>
                    <w:left w:val="none" w:sz="0" w:space="0" w:color="auto"/>
                    <w:bottom w:val="none" w:sz="0" w:space="0" w:color="auto"/>
                    <w:right w:val="none" w:sz="0" w:space="0" w:color="auto"/>
                  </w:divBdr>
                  <w:divsChild>
                    <w:div w:id="862789625">
                      <w:marLeft w:val="0"/>
                      <w:marRight w:val="0"/>
                      <w:marTop w:val="0"/>
                      <w:marBottom w:val="0"/>
                      <w:divBdr>
                        <w:top w:val="none" w:sz="0" w:space="0" w:color="auto"/>
                        <w:left w:val="none" w:sz="0" w:space="0" w:color="auto"/>
                        <w:bottom w:val="none" w:sz="0" w:space="0" w:color="auto"/>
                        <w:right w:val="none" w:sz="0" w:space="0" w:color="auto"/>
                      </w:divBdr>
                    </w:div>
                  </w:divsChild>
                </w:div>
                <w:div w:id="934364499">
                  <w:marLeft w:val="0"/>
                  <w:marRight w:val="0"/>
                  <w:marTop w:val="0"/>
                  <w:marBottom w:val="0"/>
                  <w:divBdr>
                    <w:top w:val="none" w:sz="0" w:space="0" w:color="auto"/>
                    <w:left w:val="none" w:sz="0" w:space="0" w:color="auto"/>
                    <w:bottom w:val="none" w:sz="0" w:space="0" w:color="auto"/>
                    <w:right w:val="none" w:sz="0" w:space="0" w:color="auto"/>
                  </w:divBdr>
                  <w:divsChild>
                    <w:div w:id="84810085">
                      <w:marLeft w:val="0"/>
                      <w:marRight w:val="0"/>
                      <w:marTop w:val="0"/>
                      <w:marBottom w:val="0"/>
                      <w:divBdr>
                        <w:top w:val="none" w:sz="0" w:space="0" w:color="auto"/>
                        <w:left w:val="none" w:sz="0" w:space="0" w:color="auto"/>
                        <w:bottom w:val="none" w:sz="0" w:space="0" w:color="auto"/>
                        <w:right w:val="none" w:sz="0" w:space="0" w:color="auto"/>
                      </w:divBdr>
                    </w:div>
                  </w:divsChild>
                </w:div>
                <w:div w:id="945191894">
                  <w:marLeft w:val="0"/>
                  <w:marRight w:val="0"/>
                  <w:marTop w:val="0"/>
                  <w:marBottom w:val="0"/>
                  <w:divBdr>
                    <w:top w:val="none" w:sz="0" w:space="0" w:color="auto"/>
                    <w:left w:val="none" w:sz="0" w:space="0" w:color="auto"/>
                    <w:bottom w:val="none" w:sz="0" w:space="0" w:color="auto"/>
                    <w:right w:val="none" w:sz="0" w:space="0" w:color="auto"/>
                  </w:divBdr>
                  <w:divsChild>
                    <w:div w:id="588083620">
                      <w:marLeft w:val="0"/>
                      <w:marRight w:val="0"/>
                      <w:marTop w:val="0"/>
                      <w:marBottom w:val="0"/>
                      <w:divBdr>
                        <w:top w:val="none" w:sz="0" w:space="0" w:color="auto"/>
                        <w:left w:val="none" w:sz="0" w:space="0" w:color="auto"/>
                        <w:bottom w:val="none" w:sz="0" w:space="0" w:color="auto"/>
                        <w:right w:val="none" w:sz="0" w:space="0" w:color="auto"/>
                      </w:divBdr>
                    </w:div>
                  </w:divsChild>
                </w:div>
                <w:div w:id="988172583">
                  <w:marLeft w:val="0"/>
                  <w:marRight w:val="0"/>
                  <w:marTop w:val="0"/>
                  <w:marBottom w:val="0"/>
                  <w:divBdr>
                    <w:top w:val="none" w:sz="0" w:space="0" w:color="auto"/>
                    <w:left w:val="none" w:sz="0" w:space="0" w:color="auto"/>
                    <w:bottom w:val="none" w:sz="0" w:space="0" w:color="auto"/>
                    <w:right w:val="none" w:sz="0" w:space="0" w:color="auto"/>
                  </w:divBdr>
                  <w:divsChild>
                    <w:div w:id="618147534">
                      <w:marLeft w:val="0"/>
                      <w:marRight w:val="0"/>
                      <w:marTop w:val="0"/>
                      <w:marBottom w:val="0"/>
                      <w:divBdr>
                        <w:top w:val="none" w:sz="0" w:space="0" w:color="auto"/>
                        <w:left w:val="none" w:sz="0" w:space="0" w:color="auto"/>
                        <w:bottom w:val="none" w:sz="0" w:space="0" w:color="auto"/>
                        <w:right w:val="none" w:sz="0" w:space="0" w:color="auto"/>
                      </w:divBdr>
                    </w:div>
                  </w:divsChild>
                </w:div>
                <w:div w:id="1081290905">
                  <w:marLeft w:val="0"/>
                  <w:marRight w:val="0"/>
                  <w:marTop w:val="0"/>
                  <w:marBottom w:val="0"/>
                  <w:divBdr>
                    <w:top w:val="none" w:sz="0" w:space="0" w:color="auto"/>
                    <w:left w:val="none" w:sz="0" w:space="0" w:color="auto"/>
                    <w:bottom w:val="none" w:sz="0" w:space="0" w:color="auto"/>
                    <w:right w:val="none" w:sz="0" w:space="0" w:color="auto"/>
                  </w:divBdr>
                  <w:divsChild>
                    <w:div w:id="1179927595">
                      <w:marLeft w:val="0"/>
                      <w:marRight w:val="0"/>
                      <w:marTop w:val="0"/>
                      <w:marBottom w:val="0"/>
                      <w:divBdr>
                        <w:top w:val="none" w:sz="0" w:space="0" w:color="auto"/>
                        <w:left w:val="none" w:sz="0" w:space="0" w:color="auto"/>
                        <w:bottom w:val="none" w:sz="0" w:space="0" w:color="auto"/>
                        <w:right w:val="none" w:sz="0" w:space="0" w:color="auto"/>
                      </w:divBdr>
                    </w:div>
                  </w:divsChild>
                </w:div>
                <w:div w:id="1090663149">
                  <w:marLeft w:val="0"/>
                  <w:marRight w:val="0"/>
                  <w:marTop w:val="0"/>
                  <w:marBottom w:val="0"/>
                  <w:divBdr>
                    <w:top w:val="none" w:sz="0" w:space="0" w:color="auto"/>
                    <w:left w:val="none" w:sz="0" w:space="0" w:color="auto"/>
                    <w:bottom w:val="none" w:sz="0" w:space="0" w:color="auto"/>
                    <w:right w:val="none" w:sz="0" w:space="0" w:color="auto"/>
                  </w:divBdr>
                  <w:divsChild>
                    <w:div w:id="172962534">
                      <w:marLeft w:val="0"/>
                      <w:marRight w:val="0"/>
                      <w:marTop w:val="0"/>
                      <w:marBottom w:val="0"/>
                      <w:divBdr>
                        <w:top w:val="none" w:sz="0" w:space="0" w:color="auto"/>
                        <w:left w:val="none" w:sz="0" w:space="0" w:color="auto"/>
                        <w:bottom w:val="none" w:sz="0" w:space="0" w:color="auto"/>
                        <w:right w:val="none" w:sz="0" w:space="0" w:color="auto"/>
                      </w:divBdr>
                    </w:div>
                    <w:div w:id="1037126815">
                      <w:marLeft w:val="0"/>
                      <w:marRight w:val="0"/>
                      <w:marTop w:val="0"/>
                      <w:marBottom w:val="0"/>
                      <w:divBdr>
                        <w:top w:val="none" w:sz="0" w:space="0" w:color="auto"/>
                        <w:left w:val="none" w:sz="0" w:space="0" w:color="auto"/>
                        <w:bottom w:val="none" w:sz="0" w:space="0" w:color="auto"/>
                        <w:right w:val="none" w:sz="0" w:space="0" w:color="auto"/>
                      </w:divBdr>
                    </w:div>
                    <w:div w:id="1669359581">
                      <w:marLeft w:val="0"/>
                      <w:marRight w:val="0"/>
                      <w:marTop w:val="0"/>
                      <w:marBottom w:val="0"/>
                      <w:divBdr>
                        <w:top w:val="none" w:sz="0" w:space="0" w:color="auto"/>
                        <w:left w:val="none" w:sz="0" w:space="0" w:color="auto"/>
                        <w:bottom w:val="none" w:sz="0" w:space="0" w:color="auto"/>
                        <w:right w:val="none" w:sz="0" w:space="0" w:color="auto"/>
                      </w:divBdr>
                    </w:div>
                    <w:div w:id="2127889327">
                      <w:marLeft w:val="0"/>
                      <w:marRight w:val="0"/>
                      <w:marTop w:val="0"/>
                      <w:marBottom w:val="0"/>
                      <w:divBdr>
                        <w:top w:val="none" w:sz="0" w:space="0" w:color="auto"/>
                        <w:left w:val="none" w:sz="0" w:space="0" w:color="auto"/>
                        <w:bottom w:val="none" w:sz="0" w:space="0" w:color="auto"/>
                        <w:right w:val="none" w:sz="0" w:space="0" w:color="auto"/>
                      </w:divBdr>
                    </w:div>
                  </w:divsChild>
                </w:div>
                <w:div w:id="1095976201">
                  <w:marLeft w:val="0"/>
                  <w:marRight w:val="0"/>
                  <w:marTop w:val="0"/>
                  <w:marBottom w:val="0"/>
                  <w:divBdr>
                    <w:top w:val="none" w:sz="0" w:space="0" w:color="auto"/>
                    <w:left w:val="none" w:sz="0" w:space="0" w:color="auto"/>
                    <w:bottom w:val="none" w:sz="0" w:space="0" w:color="auto"/>
                    <w:right w:val="none" w:sz="0" w:space="0" w:color="auto"/>
                  </w:divBdr>
                  <w:divsChild>
                    <w:div w:id="1254584453">
                      <w:marLeft w:val="0"/>
                      <w:marRight w:val="0"/>
                      <w:marTop w:val="0"/>
                      <w:marBottom w:val="0"/>
                      <w:divBdr>
                        <w:top w:val="none" w:sz="0" w:space="0" w:color="auto"/>
                        <w:left w:val="none" w:sz="0" w:space="0" w:color="auto"/>
                        <w:bottom w:val="none" w:sz="0" w:space="0" w:color="auto"/>
                        <w:right w:val="none" w:sz="0" w:space="0" w:color="auto"/>
                      </w:divBdr>
                    </w:div>
                  </w:divsChild>
                </w:div>
                <w:div w:id="1113354855">
                  <w:marLeft w:val="0"/>
                  <w:marRight w:val="0"/>
                  <w:marTop w:val="0"/>
                  <w:marBottom w:val="0"/>
                  <w:divBdr>
                    <w:top w:val="none" w:sz="0" w:space="0" w:color="auto"/>
                    <w:left w:val="none" w:sz="0" w:space="0" w:color="auto"/>
                    <w:bottom w:val="none" w:sz="0" w:space="0" w:color="auto"/>
                    <w:right w:val="none" w:sz="0" w:space="0" w:color="auto"/>
                  </w:divBdr>
                  <w:divsChild>
                    <w:div w:id="778717901">
                      <w:marLeft w:val="0"/>
                      <w:marRight w:val="0"/>
                      <w:marTop w:val="0"/>
                      <w:marBottom w:val="0"/>
                      <w:divBdr>
                        <w:top w:val="none" w:sz="0" w:space="0" w:color="auto"/>
                        <w:left w:val="none" w:sz="0" w:space="0" w:color="auto"/>
                        <w:bottom w:val="none" w:sz="0" w:space="0" w:color="auto"/>
                        <w:right w:val="none" w:sz="0" w:space="0" w:color="auto"/>
                      </w:divBdr>
                    </w:div>
                  </w:divsChild>
                </w:div>
                <w:div w:id="1119374814">
                  <w:marLeft w:val="0"/>
                  <w:marRight w:val="0"/>
                  <w:marTop w:val="0"/>
                  <w:marBottom w:val="0"/>
                  <w:divBdr>
                    <w:top w:val="none" w:sz="0" w:space="0" w:color="auto"/>
                    <w:left w:val="none" w:sz="0" w:space="0" w:color="auto"/>
                    <w:bottom w:val="none" w:sz="0" w:space="0" w:color="auto"/>
                    <w:right w:val="none" w:sz="0" w:space="0" w:color="auto"/>
                  </w:divBdr>
                  <w:divsChild>
                    <w:div w:id="1613628461">
                      <w:marLeft w:val="0"/>
                      <w:marRight w:val="0"/>
                      <w:marTop w:val="0"/>
                      <w:marBottom w:val="0"/>
                      <w:divBdr>
                        <w:top w:val="none" w:sz="0" w:space="0" w:color="auto"/>
                        <w:left w:val="none" w:sz="0" w:space="0" w:color="auto"/>
                        <w:bottom w:val="none" w:sz="0" w:space="0" w:color="auto"/>
                        <w:right w:val="none" w:sz="0" w:space="0" w:color="auto"/>
                      </w:divBdr>
                    </w:div>
                  </w:divsChild>
                </w:div>
                <w:div w:id="1123421347">
                  <w:marLeft w:val="0"/>
                  <w:marRight w:val="0"/>
                  <w:marTop w:val="0"/>
                  <w:marBottom w:val="0"/>
                  <w:divBdr>
                    <w:top w:val="none" w:sz="0" w:space="0" w:color="auto"/>
                    <w:left w:val="none" w:sz="0" w:space="0" w:color="auto"/>
                    <w:bottom w:val="none" w:sz="0" w:space="0" w:color="auto"/>
                    <w:right w:val="none" w:sz="0" w:space="0" w:color="auto"/>
                  </w:divBdr>
                  <w:divsChild>
                    <w:div w:id="1307323704">
                      <w:marLeft w:val="0"/>
                      <w:marRight w:val="0"/>
                      <w:marTop w:val="0"/>
                      <w:marBottom w:val="0"/>
                      <w:divBdr>
                        <w:top w:val="none" w:sz="0" w:space="0" w:color="auto"/>
                        <w:left w:val="none" w:sz="0" w:space="0" w:color="auto"/>
                        <w:bottom w:val="none" w:sz="0" w:space="0" w:color="auto"/>
                        <w:right w:val="none" w:sz="0" w:space="0" w:color="auto"/>
                      </w:divBdr>
                    </w:div>
                  </w:divsChild>
                </w:div>
                <w:div w:id="1123888417">
                  <w:marLeft w:val="0"/>
                  <w:marRight w:val="0"/>
                  <w:marTop w:val="0"/>
                  <w:marBottom w:val="0"/>
                  <w:divBdr>
                    <w:top w:val="none" w:sz="0" w:space="0" w:color="auto"/>
                    <w:left w:val="none" w:sz="0" w:space="0" w:color="auto"/>
                    <w:bottom w:val="none" w:sz="0" w:space="0" w:color="auto"/>
                    <w:right w:val="none" w:sz="0" w:space="0" w:color="auto"/>
                  </w:divBdr>
                  <w:divsChild>
                    <w:div w:id="298151028">
                      <w:marLeft w:val="0"/>
                      <w:marRight w:val="0"/>
                      <w:marTop w:val="0"/>
                      <w:marBottom w:val="0"/>
                      <w:divBdr>
                        <w:top w:val="none" w:sz="0" w:space="0" w:color="auto"/>
                        <w:left w:val="none" w:sz="0" w:space="0" w:color="auto"/>
                        <w:bottom w:val="none" w:sz="0" w:space="0" w:color="auto"/>
                        <w:right w:val="none" w:sz="0" w:space="0" w:color="auto"/>
                      </w:divBdr>
                    </w:div>
                    <w:div w:id="1174994946">
                      <w:marLeft w:val="0"/>
                      <w:marRight w:val="0"/>
                      <w:marTop w:val="0"/>
                      <w:marBottom w:val="0"/>
                      <w:divBdr>
                        <w:top w:val="none" w:sz="0" w:space="0" w:color="auto"/>
                        <w:left w:val="none" w:sz="0" w:space="0" w:color="auto"/>
                        <w:bottom w:val="none" w:sz="0" w:space="0" w:color="auto"/>
                        <w:right w:val="none" w:sz="0" w:space="0" w:color="auto"/>
                      </w:divBdr>
                    </w:div>
                    <w:div w:id="1176573315">
                      <w:marLeft w:val="0"/>
                      <w:marRight w:val="0"/>
                      <w:marTop w:val="0"/>
                      <w:marBottom w:val="0"/>
                      <w:divBdr>
                        <w:top w:val="none" w:sz="0" w:space="0" w:color="auto"/>
                        <w:left w:val="none" w:sz="0" w:space="0" w:color="auto"/>
                        <w:bottom w:val="none" w:sz="0" w:space="0" w:color="auto"/>
                        <w:right w:val="none" w:sz="0" w:space="0" w:color="auto"/>
                      </w:divBdr>
                    </w:div>
                    <w:div w:id="1179198118">
                      <w:marLeft w:val="0"/>
                      <w:marRight w:val="0"/>
                      <w:marTop w:val="0"/>
                      <w:marBottom w:val="0"/>
                      <w:divBdr>
                        <w:top w:val="none" w:sz="0" w:space="0" w:color="auto"/>
                        <w:left w:val="none" w:sz="0" w:space="0" w:color="auto"/>
                        <w:bottom w:val="none" w:sz="0" w:space="0" w:color="auto"/>
                        <w:right w:val="none" w:sz="0" w:space="0" w:color="auto"/>
                      </w:divBdr>
                    </w:div>
                    <w:div w:id="1197309893">
                      <w:marLeft w:val="0"/>
                      <w:marRight w:val="0"/>
                      <w:marTop w:val="0"/>
                      <w:marBottom w:val="0"/>
                      <w:divBdr>
                        <w:top w:val="none" w:sz="0" w:space="0" w:color="auto"/>
                        <w:left w:val="none" w:sz="0" w:space="0" w:color="auto"/>
                        <w:bottom w:val="none" w:sz="0" w:space="0" w:color="auto"/>
                        <w:right w:val="none" w:sz="0" w:space="0" w:color="auto"/>
                      </w:divBdr>
                    </w:div>
                    <w:div w:id="1466924266">
                      <w:marLeft w:val="0"/>
                      <w:marRight w:val="0"/>
                      <w:marTop w:val="0"/>
                      <w:marBottom w:val="0"/>
                      <w:divBdr>
                        <w:top w:val="none" w:sz="0" w:space="0" w:color="auto"/>
                        <w:left w:val="none" w:sz="0" w:space="0" w:color="auto"/>
                        <w:bottom w:val="none" w:sz="0" w:space="0" w:color="auto"/>
                        <w:right w:val="none" w:sz="0" w:space="0" w:color="auto"/>
                      </w:divBdr>
                    </w:div>
                    <w:div w:id="1559317965">
                      <w:marLeft w:val="0"/>
                      <w:marRight w:val="0"/>
                      <w:marTop w:val="0"/>
                      <w:marBottom w:val="0"/>
                      <w:divBdr>
                        <w:top w:val="none" w:sz="0" w:space="0" w:color="auto"/>
                        <w:left w:val="none" w:sz="0" w:space="0" w:color="auto"/>
                        <w:bottom w:val="none" w:sz="0" w:space="0" w:color="auto"/>
                        <w:right w:val="none" w:sz="0" w:space="0" w:color="auto"/>
                      </w:divBdr>
                    </w:div>
                  </w:divsChild>
                </w:div>
                <w:div w:id="1149059760">
                  <w:marLeft w:val="0"/>
                  <w:marRight w:val="0"/>
                  <w:marTop w:val="0"/>
                  <w:marBottom w:val="0"/>
                  <w:divBdr>
                    <w:top w:val="none" w:sz="0" w:space="0" w:color="auto"/>
                    <w:left w:val="none" w:sz="0" w:space="0" w:color="auto"/>
                    <w:bottom w:val="none" w:sz="0" w:space="0" w:color="auto"/>
                    <w:right w:val="none" w:sz="0" w:space="0" w:color="auto"/>
                  </w:divBdr>
                  <w:divsChild>
                    <w:div w:id="1498425492">
                      <w:marLeft w:val="0"/>
                      <w:marRight w:val="0"/>
                      <w:marTop w:val="0"/>
                      <w:marBottom w:val="0"/>
                      <w:divBdr>
                        <w:top w:val="none" w:sz="0" w:space="0" w:color="auto"/>
                        <w:left w:val="none" w:sz="0" w:space="0" w:color="auto"/>
                        <w:bottom w:val="none" w:sz="0" w:space="0" w:color="auto"/>
                        <w:right w:val="none" w:sz="0" w:space="0" w:color="auto"/>
                      </w:divBdr>
                    </w:div>
                  </w:divsChild>
                </w:div>
                <w:div w:id="1149440737">
                  <w:marLeft w:val="0"/>
                  <w:marRight w:val="0"/>
                  <w:marTop w:val="0"/>
                  <w:marBottom w:val="0"/>
                  <w:divBdr>
                    <w:top w:val="none" w:sz="0" w:space="0" w:color="auto"/>
                    <w:left w:val="none" w:sz="0" w:space="0" w:color="auto"/>
                    <w:bottom w:val="none" w:sz="0" w:space="0" w:color="auto"/>
                    <w:right w:val="none" w:sz="0" w:space="0" w:color="auto"/>
                  </w:divBdr>
                  <w:divsChild>
                    <w:div w:id="2059235851">
                      <w:marLeft w:val="0"/>
                      <w:marRight w:val="0"/>
                      <w:marTop w:val="0"/>
                      <w:marBottom w:val="0"/>
                      <w:divBdr>
                        <w:top w:val="none" w:sz="0" w:space="0" w:color="auto"/>
                        <w:left w:val="none" w:sz="0" w:space="0" w:color="auto"/>
                        <w:bottom w:val="none" w:sz="0" w:space="0" w:color="auto"/>
                        <w:right w:val="none" w:sz="0" w:space="0" w:color="auto"/>
                      </w:divBdr>
                    </w:div>
                  </w:divsChild>
                </w:div>
                <w:div w:id="1175268574">
                  <w:marLeft w:val="0"/>
                  <w:marRight w:val="0"/>
                  <w:marTop w:val="0"/>
                  <w:marBottom w:val="0"/>
                  <w:divBdr>
                    <w:top w:val="none" w:sz="0" w:space="0" w:color="auto"/>
                    <w:left w:val="none" w:sz="0" w:space="0" w:color="auto"/>
                    <w:bottom w:val="none" w:sz="0" w:space="0" w:color="auto"/>
                    <w:right w:val="none" w:sz="0" w:space="0" w:color="auto"/>
                  </w:divBdr>
                  <w:divsChild>
                    <w:div w:id="65803210">
                      <w:marLeft w:val="0"/>
                      <w:marRight w:val="0"/>
                      <w:marTop w:val="0"/>
                      <w:marBottom w:val="0"/>
                      <w:divBdr>
                        <w:top w:val="none" w:sz="0" w:space="0" w:color="auto"/>
                        <w:left w:val="none" w:sz="0" w:space="0" w:color="auto"/>
                        <w:bottom w:val="none" w:sz="0" w:space="0" w:color="auto"/>
                        <w:right w:val="none" w:sz="0" w:space="0" w:color="auto"/>
                      </w:divBdr>
                    </w:div>
                  </w:divsChild>
                </w:div>
                <w:div w:id="1340502182">
                  <w:marLeft w:val="0"/>
                  <w:marRight w:val="0"/>
                  <w:marTop w:val="0"/>
                  <w:marBottom w:val="0"/>
                  <w:divBdr>
                    <w:top w:val="none" w:sz="0" w:space="0" w:color="auto"/>
                    <w:left w:val="none" w:sz="0" w:space="0" w:color="auto"/>
                    <w:bottom w:val="none" w:sz="0" w:space="0" w:color="auto"/>
                    <w:right w:val="none" w:sz="0" w:space="0" w:color="auto"/>
                  </w:divBdr>
                  <w:divsChild>
                    <w:div w:id="228200744">
                      <w:marLeft w:val="0"/>
                      <w:marRight w:val="0"/>
                      <w:marTop w:val="0"/>
                      <w:marBottom w:val="0"/>
                      <w:divBdr>
                        <w:top w:val="none" w:sz="0" w:space="0" w:color="auto"/>
                        <w:left w:val="none" w:sz="0" w:space="0" w:color="auto"/>
                        <w:bottom w:val="none" w:sz="0" w:space="0" w:color="auto"/>
                        <w:right w:val="none" w:sz="0" w:space="0" w:color="auto"/>
                      </w:divBdr>
                    </w:div>
                    <w:div w:id="673724346">
                      <w:marLeft w:val="0"/>
                      <w:marRight w:val="0"/>
                      <w:marTop w:val="0"/>
                      <w:marBottom w:val="0"/>
                      <w:divBdr>
                        <w:top w:val="none" w:sz="0" w:space="0" w:color="auto"/>
                        <w:left w:val="none" w:sz="0" w:space="0" w:color="auto"/>
                        <w:bottom w:val="none" w:sz="0" w:space="0" w:color="auto"/>
                        <w:right w:val="none" w:sz="0" w:space="0" w:color="auto"/>
                      </w:divBdr>
                    </w:div>
                    <w:div w:id="970860486">
                      <w:marLeft w:val="0"/>
                      <w:marRight w:val="0"/>
                      <w:marTop w:val="0"/>
                      <w:marBottom w:val="0"/>
                      <w:divBdr>
                        <w:top w:val="none" w:sz="0" w:space="0" w:color="auto"/>
                        <w:left w:val="none" w:sz="0" w:space="0" w:color="auto"/>
                        <w:bottom w:val="none" w:sz="0" w:space="0" w:color="auto"/>
                        <w:right w:val="none" w:sz="0" w:space="0" w:color="auto"/>
                      </w:divBdr>
                    </w:div>
                    <w:div w:id="1273442813">
                      <w:marLeft w:val="0"/>
                      <w:marRight w:val="0"/>
                      <w:marTop w:val="0"/>
                      <w:marBottom w:val="0"/>
                      <w:divBdr>
                        <w:top w:val="none" w:sz="0" w:space="0" w:color="auto"/>
                        <w:left w:val="none" w:sz="0" w:space="0" w:color="auto"/>
                        <w:bottom w:val="none" w:sz="0" w:space="0" w:color="auto"/>
                        <w:right w:val="none" w:sz="0" w:space="0" w:color="auto"/>
                      </w:divBdr>
                    </w:div>
                    <w:div w:id="1701734055">
                      <w:marLeft w:val="0"/>
                      <w:marRight w:val="0"/>
                      <w:marTop w:val="0"/>
                      <w:marBottom w:val="0"/>
                      <w:divBdr>
                        <w:top w:val="none" w:sz="0" w:space="0" w:color="auto"/>
                        <w:left w:val="none" w:sz="0" w:space="0" w:color="auto"/>
                        <w:bottom w:val="none" w:sz="0" w:space="0" w:color="auto"/>
                        <w:right w:val="none" w:sz="0" w:space="0" w:color="auto"/>
                      </w:divBdr>
                    </w:div>
                    <w:div w:id="1989088979">
                      <w:marLeft w:val="0"/>
                      <w:marRight w:val="0"/>
                      <w:marTop w:val="0"/>
                      <w:marBottom w:val="0"/>
                      <w:divBdr>
                        <w:top w:val="none" w:sz="0" w:space="0" w:color="auto"/>
                        <w:left w:val="none" w:sz="0" w:space="0" w:color="auto"/>
                        <w:bottom w:val="none" w:sz="0" w:space="0" w:color="auto"/>
                        <w:right w:val="none" w:sz="0" w:space="0" w:color="auto"/>
                      </w:divBdr>
                    </w:div>
                  </w:divsChild>
                </w:div>
                <w:div w:id="1448935465">
                  <w:marLeft w:val="0"/>
                  <w:marRight w:val="0"/>
                  <w:marTop w:val="0"/>
                  <w:marBottom w:val="0"/>
                  <w:divBdr>
                    <w:top w:val="none" w:sz="0" w:space="0" w:color="auto"/>
                    <w:left w:val="none" w:sz="0" w:space="0" w:color="auto"/>
                    <w:bottom w:val="none" w:sz="0" w:space="0" w:color="auto"/>
                    <w:right w:val="none" w:sz="0" w:space="0" w:color="auto"/>
                  </w:divBdr>
                  <w:divsChild>
                    <w:div w:id="1336691232">
                      <w:marLeft w:val="0"/>
                      <w:marRight w:val="0"/>
                      <w:marTop w:val="0"/>
                      <w:marBottom w:val="0"/>
                      <w:divBdr>
                        <w:top w:val="none" w:sz="0" w:space="0" w:color="auto"/>
                        <w:left w:val="none" w:sz="0" w:space="0" w:color="auto"/>
                        <w:bottom w:val="none" w:sz="0" w:space="0" w:color="auto"/>
                        <w:right w:val="none" w:sz="0" w:space="0" w:color="auto"/>
                      </w:divBdr>
                    </w:div>
                  </w:divsChild>
                </w:div>
                <w:div w:id="1477138893">
                  <w:marLeft w:val="0"/>
                  <w:marRight w:val="0"/>
                  <w:marTop w:val="0"/>
                  <w:marBottom w:val="0"/>
                  <w:divBdr>
                    <w:top w:val="none" w:sz="0" w:space="0" w:color="auto"/>
                    <w:left w:val="none" w:sz="0" w:space="0" w:color="auto"/>
                    <w:bottom w:val="none" w:sz="0" w:space="0" w:color="auto"/>
                    <w:right w:val="none" w:sz="0" w:space="0" w:color="auto"/>
                  </w:divBdr>
                  <w:divsChild>
                    <w:div w:id="1766340988">
                      <w:marLeft w:val="0"/>
                      <w:marRight w:val="0"/>
                      <w:marTop w:val="0"/>
                      <w:marBottom w:val="0"/>
                      <w:divBdr>
                        <w:top w:val="none" w:sz="0" w:space="0" w:color="auto"/>
                        <w:left w:val="none" w:sz="0" w:space="0" w:color="auto"/>
                        <w:bottom w:val="none" w:sz="0" w:space="0" w:color="auto"/>
                        <w:right w:val="none" w:sz="0" w:space="0" w:color="auto"/>
                      </w:divBdr>
                    </w:div>
                  </w:divsChild>
                </w:div>
                <w:div w:id="1497457664">
                  <w:marLeft w:val="0"/>
                  <w:marRight w:val="0"/>
                  <w:marTop w:val="0"/>
                  <w:marBottom w:val="0"/>
                  <w:divBdr>
                    <w:top w:val="none" w:sz="0" w:space="0" w:color="auto"/>
                    <w:left w:val="none" w:sz="0" w:space="0" w:color="auto"/>
                    <w:bottom w:val="none" w:sz="0" w:space="0" w:color="auto"/>
                    <w:right w:val="none" w:sz="0" w:space="0" w:color="auto"/>
                  </w:divBdr>
                  <w:divsChild>
                    <w:div w:id="1551727910">
                      <w:marLeft w:val="0"/>
                      <w:marRight w:val="0"/>
                      <w:marTop w:val="0"/>
                      <w:marBottom w:val="0"/>
                      <w:divBdr>
                        <w:top w:val="none" w:sz="0" w:space="0" w:color="auto"/>
                        <w:left w:val="none" w:sz="0" w:space="0" w:color="auto"/>
                        <w:bottom w:val="none" w:sz="0" w:space="0" w:color="auto"/>
                        <w:right w:val="none" w:sz="0" w:space="0" w:color="auto"/>
                      </w:divBdr>
                    </w:div>
                  </w:divsChild>
                </w:div>
                <w:div w:id="1527133776">
                  <w:marLeft w:val="0"/>
                  <w:marRight w:val="0"/>
                  <w:marTop w:val="0"/>
                  <w:marBottom w:val="0"/>
                  <w:divBdr>
                    <w:top w:val="none" w:sz="0" w:space="0" w:color="auto"/>
                    <w:left w:val="none" w:sz="0" w:space="0" w:color="auto"/>
                    <w:bottom w:val="none" w:sz="0" w:space="0" w:color="auto"/>
                    <w:right w:val="none" w:sz="0" w:space="0" w:color="auto"/>
                  </w:divBdr>
                  <w:divsChild>
                    <w:div w:id="1443108744">
                      <w:marLeft w:val="0"/>
                      <w:marRight w:val="0"/>
                      <w:marTop w:val="0"/>
                      <w:marBottom w:val="0"/>
                      <w:divBdr>
                        <w:top w:val="none" w:sz="0" w:space="0" w:color="auto"/>
                        <w:left w:val="none" w:sz="0" w:space="0" w:color="auto"/>
                        <w:bottom w:val="none" w:sz="0" w:space="0" w:color="auto"/>
                        <w:right w:val="none" w:sz="0" w:space="0" w:color="auto"/>
                      </w:divBdr>
                    </w:div>
                  </w:divsChild>
                </w:div>
                <w:div w:id="1527982856">
                  <w:marLeft w:val="0"/>
                  <w:marRight w:val="0"/>
                  <w:marTop w:val="0"/>
                  <w:marBottom w:val="0"/>
                  <w:divBdr>
                    <w:top w:val="none" w:sz="0" w:space="0" w:color="auto"/>
                    <w:left w:val="none" w:sz="0" w:space="0" w:color="auto"/>
                    <w:bottom w:val="none" w:sz="0" w:space="0" w:color="auto"/>
                    <w:right w:val="none" w:sz="0" w:space="0" w:color="auto"/>
                  </w:divBdr>
                  <w:divsChild>
                    <w:div w:id="2079672164">
                      <w:marLeft w:val="0"/>
                      <w:marRight w:val="0"/>
                      <w:marTop w:val="0"/>
                      <w:marBottom w:val="0"/>
                      <w:divBdr>
                        <w:top w:val="none" w:sz="0" w:space="0" w:color="auto"/>
                        <w:left w:val="none" w:sz="0" w:space="0" w:color="auto"/>
                        <w:bottom w:val="none" w:sz="0" w:space="0" w:color="auto"/>
                        <w:right w:val="none" w:sz="0" w:space="0" w:color="auto"/>
                      </w:divBdr>
                    </w:div>
                  </w:divsChild>
                </w:div>
                <w:div w:id="1536772117">
                  <w:marLeft w:val="0"/>
                  <w:marRight w:val="0"/>
                  <w:marTop w:val="0"/>
                  <w:marBottom w:val="0"/>
                  <w:divBdr>
                    <w:top w:val="none" w:sz="0" w:space="0" w:color="auto"/>
                    <w:left w:val="none" w:sz="0" w:space="0" w:color="auto"/>
                    <w:bottom w:val="none" w:sz="0" w:space="0" w:color="auto"/>
                    <w:right w:val="none" w:sz="0" w:space="0" w:color="auto"/>
                  </w:divBdr>
                  <w:divsChild>
                    <w:div w:id="666252087">
                      <w:marLeft w:val="0"/>
                      <w:marRight w:val="0"/>
                      <w:marTop w:val="0"/>
                      <w:marBottom w:val="0"/>
                      <w:divBdr>
                        <w:top w:val="none" w:sz="0" w:space="0" w:color="auto"/>
                        <w:left w:val="none" w:sz="0" w:space="0" w:color="auto"/>
                        <w:bottom w:val="none" w:sz="0" w:space="0" w:color="auto"/>
                        <w:right w:val="none" w:sz="0" w:space="0" w:color="auto"/>
                      </w:divBdr>
                    </w:div>
                  </w:divsChild>
                </w:div>
                <w:div w:id="1580406927">
                  <w:marLeft w:val="0"/>
                  <w:marRight w:val="0"/>
                  <w:marTop w:val="0"/>
                  <w:marBottom w:val="0"/>
                  <w:divBdr>
                    <w:top w:val="none" w:sz="0" w:space="0" w:color="auto"/>
                    <w:left w:val="none" w:sz="0" w:space="0" w:color="auto"/>
                    <w:bottom w:val="none" w:sz="0" w:space="0" w:color="auto"/>
                    <w:right w:val="none" w:sz="0" w:space="0" w:color="auto"/>
                  </w:divBdr>
                  <w:divsChild>
                    <w:div w:id="1777093216">
                      <w:marLeft w:val="0"/>
                      <w:marRight w:val="0"/>
                      <w:marTop w:val="0"/>
                      <w:marBottom w:val="0"/>
                      <w:divBdr>
                        <w:top w:val="none" w:sz="0" w:space="0" w:color="auto"/>
                        <w:left w:val="none" w:sz="0" w:space="0" w:color="auto"/>
                        <w:bottom w:val="none" w:sz="0" w:space="0" w:color="auto"/>
                        <w:right w:val="none" w:sz="0" w:space="0" w:color="auto"/>
                      </w:divBdr>
                    </w:div>
                  </w:divsChild>
                </w:div>
                <w:div w:id="1606035352">
                  <w:marLeft w:val="0"/>
                  <w:marRight w:val="0"/>
                  <w:marTop w:val="0"/>
                  <w:marBottom w:val="0"/>
                  <w:divBdr>
                    <w:top w:val="none" w:sz="0" w:space="0" w:color="auto"/>
                    <w:left w:val="none" w:sz="0" w:space="0" w:color="auto"/>
                    <w:bottom w:val="none" w:sz="0" w:space="0" w:color="auto"/>
                    <w:right w:val="none" w:sz="0" w:space="0" w:color="auto"/>
                  </w:divBdr>
                  <w:divsChild>
                    <w:div w:id="1902521977">
                      <w:marLeft w:val="0"/>
                      <w:marRight w:val="0"/>
                      <w:marTop w:val="0"/>
                      <w:marBottom w:val="0"/>
                      <w:divBdr>
                        <w:top w:val="none" w:sz="0" w:space="0" w:color="auto"/>
                        <w:left w:val="none" w:sz="0" w:space="0" w:color="auto"/>
                        <w:bottom w:val="none" w:sz="0" w:space="0" w:color="auto"/>
                        <w:right w:val="none" w:sz="0" w:space="0" w:color="auto"/>
                      </w:divBdr>
                    </w:div>
                  </w:divsChild>
                </w:div>
                <w:div w:id="1669206471">
                  <w:marLeft w:val="0"/>
                  <w:marRight w:val="0"/>
                  <w:marTop w:val="0"/>
                  <w:marBottom w:val="0"/>
                  <w:divBdr>
                    <w:top w:val="none" w:sz="0" w:space="0" w:color="auto"/>
                    <w:left w:val="none" w:sz="0" w:space="0" w:color="auto"/>
                    <w:bottom w:val="none" w:sz="0" w:space="0" w:color="auto"/>
                    <w:right w:val="none" w:sz="0" w:space="0" w:color="auto"/>
                  </w:divBdr>
                  <w:divsChild>
                    <w:div w:id="1619877163">
                      <w:marLeft w:val="0"/>
                      <w:marRight w:val="0"/>
                      <w:marTop w:val="0"/>
                      <w:marBottom w:val="0"/>
                      <w:divBdr>
                        <w:top w:val="none" w:sz="0" w:space="0" w:color="auto"/>
                        <w:left w:val="none" w:sz="0" w:space="0" w:color="auto"/>
                        <w:bottom w:val="none" w:sz="0" w:space="0" w:color="auto"/>
                        <w:right w:val="none" w:sz="0" w:space="0" w:color="auto"/>
                      </w:divBdr>
                    </w:div>
                  </w:divsChild>
                </w:div>
                <w:div w:id="1670282702">
                  <w:marLeft w:val="0"/>
                  <w:marRight w:val="0"/>
                  <w:marTop w:val="0"/>
                  <w:marBottom w:val="0"/>
                  <w:divBdr>
                    <w:top w:val="none" w:sz="0" w:space="0" w:color="auto"/>
                    <w:left w:val="none" w:sz="0" w:space="0" w:color="auto"/>
                    <w:bottom w:val="none" w:sz="0" w:space="0" w:color="auto"/>
                    <w:right w:val="none" w:sz="0" w:space="0" w:color="auto"/>
                  </w:divBdr>
                  <w:divsChild>
                    <w:div w:id="1939172482">
                      <w:marLeft w:val="0"/>
                      <w:marRight w:val="0"/>
                      <w:marTop w:val="0"/>
                      <w:marBottom w:val="0"/>
                      <w:divBdr>
                        <w:top w:val="none" w:sz="0" w:space="0" w:color="auto"/>
                        <w:left w:val="none" w:sz="0" w:space="0" w:color="auto"/>
                        <w:bottom w:val="none" w:sz="0" w:space="0" w:color="auto"/>
                        <w:right w:val="none" w:sz="0" w:space="0" w:color="auto"/>
                      </w:divBdr>
                    </w:div>
                  </w:divsChild>
                </w:div>
                <w:div w:id="1702315332">
                  <w:marLeft w:val="0"/>
                  <w:marRight w:val="0"/>
                  <w:marTop w:val="0"/>
                  <w:marBottom w:val="0"/>
                  <w:divBdr>
                    <w:top w:val="none" w:sz="0" w:space="0" w:color="auto"/>
                    <w:left w:val="none" w:sz="0" w:space="0" w:color="auto"/>
                    <w:bottom w:val="none" w:sz="0" w:space="0" w:color="auto"/>
                    <w:right w:val="none" w:sz="0" w:space="0" w:color="auto"/>
                  </w:divBdr>
                  <w:divsChild>
                    <w:div w:id="888340539">
                      <w:marLeft w:val="0"/>
                      <w:marRight w:val="0"/>
                      <w:marTop w:val="0"/>
                      <w:marBottom w:val="0"/>
                      <w:divBdr>
                        <w:top w:val="none" w:sz="0" w:space="0" w:color="auto"/>
                        <w:left w:val="none" w:sz="0" w:space="0" w:color="auto"/>
                        <w:bottom w:val="none" w:sz="0" w:space="0" w:color="auto"/>
                        <w:right w:val="none" w:sz="0" w:space="0" w:color="auto"/>
                      </w:divBdr>
                    </w:div>
                  </w:divsChild>
                </w:div>
                <w:div w:id="1703624606">
                  <w:marLeft w:val="0"/>
                  <w:marRight w:val="0"/>
                  <w:marTop w:val="0"/>
                  <w:marBottom w:val="0"/>
                  <w:divBdr>
                    <w:top w:val="none" w:sz="0" w:space="0" w:color="auto"/>
                    <w:left w:val="none" w:sz="0" w:space="0" w:color="auto"/>
                    <w:bottom w:val="none" w:sz="0" w:space="0" w:color="auto"/>
                    <w:right w:val="none" w:sz="0" w:space="0" w:color="auto"/>
                  </w:divBdr>
                  <w:divsChild>
                    <w:div w:id="53624439">
                      <w:marLeft w:val="0"/>
                      <w:marRight w:val="0"/>
                      <w:marTop w:val="0"/>
                      <w:marBottom w:val="0"/>
                      <w:divBdr>
                        <w:top w:val="none" w:sz="0" w:space="0" w:color="auto"/>
                        <w:left w:val="none" w:sz="0" w:space="0" w:color="auto"/>
                        <w:bottom w:val="none" w:sz="0" w:space="0" w:color="auto"/>
                        <w:right w:val="none" w:sz="0" w:space="0" w:color="auto"/>
                      </w:divBdr>
                    </w:div>
                  </w:divsChild>
                </w:div>
                <w:div w:id="1712072423">
                  <w:marLeft w:val="0"/>
                  <w:marRight w:val="0"/>
                  <w:marTop w:val="0"/>
                  <w:marBottom w:val="0"/>
                  <w:divBdr>
                    <w:top w:val="none" w:sz="0" w:space="0" w:color="auto"/>
                    <w:left w:val="none" w:sz="0" w:space="0" w:color="auto"/>
                    <w:bottom w:val="none" w:sz="0" w:space="0" w:color="auto"/>
                    <w:right w:val="none" w:sz="0" w:space="0" w:color="auto"/>
                  </w:divBdr>
                  <w:divsChild>
                    <w:div w:id="581568327">
                      <w:marLeft w:val="0"/>
                      <w:marRight w:val="0"/>
                      <w:marTop w:val="0"/>
                      <w:marBottom w:val="0"/>
                      <w:divBdr>
                        <w:top w:val="none" w:sz="0" w:space="0" w:color="auto"/>
                        <w:left w:val="none" w:sz="0" w:space="0" w:color="auto"/>
                        <w:bottom w:val="none" w:sz="0" w:space="0" w:color="auto"/>
                        <w:right w:val="none" w:sz="0" w:space="0" w:color="auto"/>
                      </w:divBdr>
                    </w:div>
                    <w:div w:id="766077445">
                      <w:marLeft w:val="0"/>
                      <w:marRight w:val="0"/>
                      <w:marTop w:val="0"/>
                      <w:marBottom w:val="0"/>
                      <w:divBdr>
                        <w:top w:val="none" w:sz="0" w:space="0" w:color="auto"/>
                        <w:left w:val="none" w:sz="0" w:space="0" w:color="auto"/>
                        <w:bottom w:val="none" w:sz="0" w:space="0" w:color="auto"/>
                        <w:right w:val="none" w:sz="0" w:space="0" w:color="auto"/>
                      </w:divBdr>
                    </w:div>
                    <w:div w:id="815218350">
                      <w:marLeft w:val="0"/>
                      <w:marRight w:val="0"/>
                      <w:marTop w:val="0"/>
                      <w:marBottom w:val="0"/>
                      <w:divBdr>
                        <w:top w:val="none" w:sz="0" w:space="0" w:color="auto"/>
                        <w:left w:val="none" w:sz="0" w:space="0" w:color="auto"/>
                        <w:bottom w:val="none" w:sz="0" w:space="0" w:color="auto"/>
                        <w:right w:val="none" w:sz="0" w:space="0" w:color="auto"/>
                      </w:divBdr>
                    </w:div>
                  </w:divsChild>
                </w:div>
                <w:div w:id="1720741253">
                  <w:marLeft w:val="0"/>
                  <w:marRight w:val="0"/>
                  <w:marTop w:val="0"/>
                  <w:marBottom w:val="0"/>
                  <w:divBdr>
                    <w:top w:val="none" w:sz="0" w:space="0" w:color="auto"/>
                    <w:left w:val="none" w:sz="0" w:space="0" w:color="auto"/>
                    <w:bottom w:val="none" w:sz="0" w:space="0" w:color="auto"/>
                    <w:right w:val="none" w:sz="0" w:space="0" w:color="auto"/>
                  </w:divBdr>
                  <w:divsChild>
                    <w:div w:id="1935016969">
                      <w:marLeft w:val="0"/>
                      <w:marRight w:val="0"/>
                      <w:marTop w:val="0"/>
                      <w:marBottom w:val="0"/>
                      <w:divBdr>
                        <w:top w:val="none" w:sz="0" w:space="0" w:color="auto"/>
                        <w:left w:val="none" w:sz="0" w:space="0" w:color="auto"/>
                        <w:bottom w:val="none" w:sz="0" w:space="0" w:color="auto"/>
                        <w:right w:val="none" w:sz="0" w:space="0" w:color="auto"/>
                      </w:divBdr>
                    </w:div>
                  </w:divsChild>
                </w:div>
                <w:div w:id="1751922626">
                  <w:marLeft w:val="0"/>
                  <w:marRight w:val="0"/>
                  <w:marTop w:val="0"/>
                  <w:marBottom w:val="0"/>
                  <w:divBdr>
                    <w:top w:val="none" w:sz="0" w:space="0" w:color="auto"/>
                    <w:left w:val="none" w:sz="0" w:space="0" w:color="auto"/>
                    <w:bottom w:val="none" w:sz="0" w:space="0" w:color="auto"/>
                    <w:right w:val="none" w:sz="0" w:space="0" w:color="auto"/>
                  </w:divBdr>
                  <w:divsChild>
                    <w:div w:id="486214906">
                      <w:marLeft w:val="0"/>
                      <w:marRight w:val="0"/>
                      <w:marTop w:val="0"/>
                      <w:marBottom w:val="0"/>
                      <w:divBdr>
                        <w:top w:val="none" w:sz="0" w:space="0" w:color="auto"/>
                        <w:left w:val="none" w:sz="0" w:space="0" w:color="auto"/>
                        <w:bottom w:val="none" w:sz="0" w:space="0" w:color="auto"/>
                        <w:right w:val="none" w:sz="0" w:space="0" w:color="auto"/>
                      </w:divBdr>
                    </w:div>
                  </w:divsChild>
                </w:div>
                <w:div w:id="1763716600">
                  <w:marLeft w:val="0"/>
                  <w:marRight w:val="0"/>
                  <w:marTop w:val="0"/>
                  <w:marBottom w:val="0"/>
                  <w:divBdr>
                    <w:top w:val="none" w:sz="0" w:space="0" w:color="auto"/>
                    <w:left w:val="none" w:sz="0" w:space="0" w:color="auto"/>
                    <w:bottom w:val="none" w:sz="0" w:space="0" w:color="auto"/>
                    <w:right w:val="none" w:sz="0" w:space="0" w:color="auto"/>
                  </w:divBdr>
                  <w:divsChild>
                    <w:div w:id="308169005">
                      <w:marLeft w:val="0"/>
                      <w:marRight w:val="0"/>
                      <w:marTop w:val="0"/>
                      <w:marBottom w:val="0"/>
                      <w:divBdr>
                        <w:top w:val="none" w:sz="0" w:space="0" w:color="auto"/>
                        <w:left w:val="none" w:sz="0" w:space="0" w:color="auto"/>
                        <w:bottom w:val="none" w:sz="0" w:space="0" w:color="auto"/>
                        <w:right w:val="none" w:sz="0" w:space="0" w:color="auto"/>
                      </w:divBdr>
                    </w:div>
                  </w:divsChild>
                </w:div>
                <w:div w:id="1782337261">
                  <w:marLeft w:val="0"/>
                  <w:marRight w:val="0"/>
                  <w:marTop w:val="0"/>
                  <w:marBottom w:val="0"/>
                  <w:divBdr>
                    <w:top w:val="none" w:sz="0" w:space="0" w:color="auto"/>
                    <w:left w:val="none" w:sz="0" w:space="0" w:color="auto"/>
                    <w:bottom w:val="none" w:sz="0" w:space="0" w:color="auto"/>
                    <w:right w:val="none" w:sz="0" w:space="0" w:color="auto"/>
                  </w:divBdr>
                  <w:divsChild>
                    <w:div w:id="869728259">
                      <w:marLeft w:val="0"/>
                      <w:marRight w:val="0"/>
                      <w:marTop w:val="0"/>
                      <w:marBottom w:val="0"/>
                      <w:divBdr>
                        <w:top w:val="none" w:sz="0" w:space="0" w:color="auto"/>
                        <w:left w:val="none" w:sz="0" w:space="0" w:color="auto"/>
                        <w:bottom w:val="none" w:sz="0" w:space="0" w:color="auto"/>
                        <w:right w:val="none" w:sz="0" w:space="0" w:color="auto"/>
                      </w:divBdr>
                    </w:div>
                  </w:divsChild>
                </w:div>
                <w:div w:id="1782525871">
                  <w:marLeft w:val="0"/>
                  <w:marRight w:val="0"/>
                  <w:marTop w:val="0"/>
                  <w:marBottom w:val="0"/>
                  <w:divBdr>
                    <w:top w:val="none" w:sz="0" w:space="0" w:color="auto"/>
                    <w:left w:val="none" w:sz="0" w:space="0" w:color="auto"/>
                    <w:bottom w:val="none" w:sz="0" w:space="0" w:color="auto"/>
                    <w:right w:val="none" w:sz="0" w:space="0" w:color="auto"/>
                  </w:divBdr>
                  <w:divsChild>
                    <w:div w:id="1415201416">
                      <w:marLeft w:val="0"/>
                      <w:marRight w:val="0"/>
                      <w:marTop w:val="0"/>
                      <w:marBottom w:val="0"/>
                      <w:divBdr>
                        <w:top w:val="none" w:sz="0" w:space="0" w:color="auto"/>
                        <w:left w:val="none" w:sz="0" w:space="0" w:color="auto"/>
                        <w:bottom w:val="none" w:sz="0" w:space="0" w:color="auto"/>
                        <w:right w:val="none" w:sz="0" w:space="0" w:color="auto"/>
                      </w:divBdr>
                    </w:div>
                    <w:div w:id="2118328324">
                      <w:marLeft w:val="0"/>
                      <w:marRight w:val="0"/>
                      <w:marTop w:val="0"/>
                      <w:marBottom w:val="0"/>
                      <w:divBdr>
                        <w:top w:val="none" w:sz="0" w:space="0" w:color="auto"/>
                        <w:left w:val="none" w:sz="0" w:space="0" w:color="auto"/>
                        <w:bottom w:val="none" w:sz="0" w:space="0" w:color="auto"/>
                        <w:right w:val="none" w:sz="0" w:space="0" w:color="auto"/>
                      </w:divBdr>
                    </w:div>
                  </w:divsChild>
                </w:div>
                <w:div w:id="1840122981">
                  <w:marLeft w:val="0"/>
                  <w:marRight w:val="0"/>
                  <w:marTop w:val="0"/>
                  <w:marBottom w:val="0"/>
                  <w:divBdr>
                    <w:top w:val="none" w:sz="0" w:space="0" w:color="auto"/>
                    <w:left w:val="none" w:sz="0" w:space="0" w:color="auto"/>
                    <w:bottom w:val="none" w:sz="0" w:space="0" w:color="auto"/>
                    <w:right w:val="none" w:sz="0" w:space="0" w:color="auto"/>
                  </w:divBdr>
                  <w:divsChild>
                    <w:div w:id="1831797453">
                      <w:marLeft w:val="0"/>
                      <w:marRight w:val="0"/>
                      <w:marTop w:val="0"/>
                      <w:marBottom w:val="0"/>
                      <w:divBdr>
                        <w:top w:val="none" w:sz="0" w:space="0" w:color="auto"/>
                        <w:left w:val="none" w:sz="0" w:space="0" w:color="auto"/>
                        <w:bottom w:val="none" w:sz="0" w:space="0" w:color="auto"/>
                        <w:right w:val="none" w:sz="0" w:space="0" w:color="auto"/>
                      </w:divBdr>
                    </w:div>
                  </w:divsChild>
                </w:div>
                <w:div w:id="1971933964">
                  <w:marLeft w:val="0"/>
                  <w:marRight w:val="0"/>
                  <w:marTop w:val="0"/>
                  <w:marBottom w:val="0"/>
                  <w:divBdr>
                    <w:top w:val="none" w:sz="0" w:space="0" w:color="auto"/>
                    <w:left w:val="none" w:sz="0" w:space="0" w:color="auto"/>
                    <w:bottom w:val="none" w:sz="0" w:space="0" w:color="auto"/>
                    <w:right w:val="none" w:sz="0" w:space="0" w:color="auto"/>
                  </w:divBdr>
                  <w:divsChild>
                    <w:div w:id="1826318610">
                      <w:marLeft w:val="0"/>
                      <w:marRight w:val="0"/>
                      <w:marTop w:val="0"/>
                      <w:marBottom w:val="0"/>
                      <w:divBdr>
                        <w:top w:val="none" w:sz="0" w:space="0" w:color="auto"/>
                        <w:left w:val="none" w:sz="0" w:space="0" w:color="auto"/>
                        <w:bottom w:val="none" w:sz="0" w:space="0" w:color="auto"/>
                        <w:right w:val="none" w:sz="0" w:space="0" w:color="auto"/>
                      </w:divBdr>
                    </w:div>
                  </w:divsChild>
                </w:div>
                <w:div w:id="2006201720">
                  <w:marLeft w:val="0"/>
                  <w:marRight w:val="0"/>
                  <w:marTop w:val="0"/>
                  <w:marBottom w:val="0"/>
                  <w:divBdr>
                    <w:top w:val="none" w:sz="0" w:space="0" w:color="auto"/>
                    <w:left w:val="none" w:sz="0" w:space="0" w:color="auto"/>
                    <w:bottom w:val="none" w:sz="0" w:space="0" w:color="auto"/>
                    <w:right w:val="none" w:sz="0" w:space="0" w:color="auto"/>
                  </w:divBdr>
                  <w:divsChild>
                    <w:div w:id="97063640">
                      <w:marLeft w:val="0"/>
                      <w:marRight w:val="0"/>
                      <w:marTop w:val="0"/>
                      <w:marBottom w:val="0"/>
                      <w:divBdr>
                        <w:top w:val="none" w:sz="0" w:space="0" w:color="auto"/>
                        <w:left w:val="none" w:sz="0" w:space="0" w:color="auto"/>
                        <w:bottom w:val="none" w:sz="0" w:space="0" w:color="auto"/>
                        <w:right w:val="none" w:sz="0" w:space="0" w:color="auto"/>
                      </w:divBdr>
                    </w:div>
                  </w:divsChild>
                </w:div>
                <w:div w:id="2012367671">
                  <w:marLeft w:val="0"/>
                  <w:marRight w:val="0"/>
                  <w:marTop w:val="0"/>
                  <w:marBottom w:val="0"/>
                  <w:divBdr>
                    <w:top w:val="none" w:sz="0" w:space="0" w:color="auto"/>
                    <w:left w:val="none" w:sz="0" w:space="0" w:color="auto"/>
                    <w:bottom w:val="none" w:sz="0" w:space="0" w:color="auto"/>
                    <w:right w:val="none" w:sz="0" w:space="0" w:color="auto"/>
                  </w:divBdr>
                  <w:divsChild>
                    <w:div w:id="937952039">
                      <w:marLeft w:val="0"/>
                      <w:marRight w:val="0"/>
                      <w:marTop w:val="0"/>
                      <w:marBottom w:val="0"/>
                      <w:divBdr>
                        <w:top w:val="none" w:sz="0" w:space="0" w:color="auto"/>
                        <w:left w:val="none" w:sz="0" w:space="0" w:color="auto"/>
                        <w:bottom w:val="none" w:sz="0" w:space="0" w:color="auto"/>
                        <w:right w:val="none" w:sz="0" w:space="0" w:color="auto"/>
                      </w:divBdr>
                    </w:div>
                  </w:divsChild>
                </w:div>
                <w:div w:id="2061829268">
                  <w:marLeft w:val="0"/>
                  <w:marRight w:val="0"/>
                  <w:marTop w:val="0"/>
                  <w:marBottom w:val="0"/>
                  <w:divBdr>
                    <w:top w:val="none" w:sz="0" w:space="0" w:color="auto"/>
                    <w:left w:val="none" w:sz="0" w:space="0" w:color="auto"/>
                    <w:bottom w:val="none" w:sz="0" w:space="0" w:color="auto"/>
                    <w:right w:val="none" w:sz="0" w:space="0" w:color="auto"/>
                  </w:divBdr>
                  <w:divsChild>
                    <w:div w:id="654454060">
                      <w:marLeft w:val="0"/>
                      <w:marRight w:val="0"/>
                      <w:marTop w:val="0"/>
                      <w:marBottom w:val="0"/>
                      <w:divBdr>
                        <w:top w:val="none" w:sz="0" w:space="0" w:color="auto"/>
                        <w:left w:val="none" w:sz="0" w:space="0" w:color="auto"/>
                        <w:bottom w:val="none" w:sz="0" w:space="0" w:color="auto"/>
                        <w:right w:val="none" w:sz="0" w:space="0" w:color="auto"/>
                      </w:divBdr>
                    </w:div>
                  </w:divsChild>
                </w:div>
                <w:div w:id="2070418380">
                  <w:marLeft w:val="0"/>
                  <w:marRight w:val="0"/>
                  <w:marTop w:val="0"/>
                  <w:marBottom w:val="0"/>
                  <w:divBdr>
                    <w:top w:val="none" w:sz="0" w:space="0" w:color="auto"/>
                    <w:left w:val="none" w:sz="0" w:space="0" w:color="auto"/>
                    <w:bottom w:val="none" w:sz="0" w:space="0" w:color="auto"/>
                    <w:right w:val="none" w:sz="0" w:space="0" w:color="auto"/>
                  </w:divBdr>
                  <w:divsChild>
                    <w:div w:id="669334142">
                      <w:marLeft w:val="0"/>
                      <w:marRight w:val="0"/>
                      <w:marTop w:val="0"/>
                      <w:marBottom w:val="0"/>
                      <w:divBdr>
                        <w:top w:val="none" w:sz="0" w:space="0" w:color="auto"/>
                        <w:left w:val="none" w:sz="0" w:space="0" w:color="auto"/>
                        <w:bottom w:val="none" w:sz="0" w:space="0" w:color="auto"/>
                        <w:right w:val="none" w:sz="0" w:space="0" w:color="auto"/>
                      </w:divBdr>
                    </w:div>
                  </w:divsChild>
                </w:div>
                <w:div w:id="2121099219">
                  <w:marLeft w:val="0"/>
                  <w:marRight w:val="0"/>
                  <w:marTop w:val="0"/>
                  <w:marBottom w:val="0"/>
                  <w:divBdr>
                    <w:top w:val="none" w:sz="0" w:space="0" w:color="auto"/>
                    <w:left w:val="none" w:sz="0" w:space="0" w:color="auto"/>
                    <w:bottom w:val="none" w:sz="0" w:space="0" w:color="auto"/>
                    <w:right w:val="none" w:sz="0" w:space="0" w:color="auto"/>
                  </w:divBdr>
                  <w:divsChild>
                    <w:div w:id="906764211">
                      <w:marLeft w:val="0"/>
                      <w:marRight w:val="0"/>
                      <w:marTop w:val="0"/>
                      <w:marBottom w:val="0"/>
                      <w:divBdr>
                        <w:top w:val="none" w:sz="0" w:space="0" w:color="auto"/>
                        <w:left w:val="none" w:sz="0" w:space="0" w:color="auto"/>
                        <w:bottom w:val="none" w:sz="0" w:space="0" w:color="auto"/>
                        <w:right w:val="none" w:sz="0" w:space="0" w:color="auto"/>
                      </w:divBdr>
                    </w:div>
                    <w:div w:id="981079708">
                      <w:marLeft w:val="0"/>
                      <w:marRight w:val="0"/>
                      <w:marTop w:val="0"/>
                      <w:marBottom w:val="0"/>
                      <w:divBdr>
                        <w:top w:val="none" w:sz="0" w:space="0" w:color="auto"/>
                        <w:left w:val="none" w:sz="0" w:space="0" w:color="auto"/>
                        <w:bottom w:val="none" w:sz="0" w:space="0" w:color="auto"/>
                        <w:right w:val="none" w:sz="0" w:space="0" w:color="auto"/>
                      </w:divBdr>
                    </w:div>
                  </w:divsChild>
                </w:div>
                <w:div w:id="2124377687">
                  <w:marLeft w:val="0"/>
                  <w:marRight w:val="0"/>
                  <w:marTop w:val="0"/>
                  <w:marBottom w:val="0"/>
                  <w:divBdr>
                    <w:top w:val="none" w:sz="0" w:space="0" w:color="auto"/>
                    <w:left w:val="none" w:sz="0" w:space="0" w:color="auto"/>
                    <w:bottom w:val="none" w:sz="0" w:space="0" w:color="auto"/>
                    <w:right w:val="none" w:sz="0" w:space="0" w:color="auto"/>
                  </w:divBdr>
                  <w:divsChild>
                    <w:div w:id="577440782">
                      <w:marLeft w:val="0"/>
                      <w:marRight w:val="0"/>
                      <w:marTop w:val="0"/>
                      <w:marBottom w:val="0"/>
                      <w:divBdr>
                        <w:top w:val="none" w:sz="0" w:space="0" w:color="auto"/>
                        <w:left w:val="none" w:sz="0" w:space="0" w:color="auto"/>
                        <w:bottom w:val="none" w:sz="0" w:space="0" w:color="auto"/>
                        <w:right w:val="none" w:sz="0" w:space="0" w:color="auto"/>
                      </w:divBdr>
                    </w:div>
                  </w:divsChild>
                </w:div>
                <w:div w:id="2142334895">
                  <w:marLeft w:val="0"/>
                  <w:marRight w:val="0"/>
                  <w:marTop w:val="0"/>
                  <w:marBottom w:val="0"/>
                  <w:divBdr>
                    <w:top w:val="none" w:sz="0" w:space="0" w:color="auto"/>
                    <w:left w:val="none" w:sz="0" w:space="0" w:color="auto"/>
                    <w:bottom w:val="none" w:sz="0" w:space="0" w:color="auto"/>
                    <w:right w:val="none" w:sz="0" w:space="0" w:color="auto"/>
                  </w:divBdr>
                  <w:divsChild>
                    <w:div w:id="152647863">
                      <w:marLeft w:val="0"/>
                      <w:marRight w:val="0"/>
                      <w:marTop w:val="0"/>
                      <w:marBottom w:val="0"/>
                      <w:divBdr>
                        <w:top w:val="none" w:sz="0" w:space="0" w:color="auto"/>
                        <w:left w:val="none" w:sz="0" w:space="0" w:color="auto"/>
                        <w:bottom w:val="none" w:sz="0" w:space="0" w:color="auto"/>
                        <w:right w:val="none" w:sz="0" w:space="0" w:color="auto"/>
                      </w:divBdr>
                    </w:div>
                    <w:div w:id="434716293">
                      <w:marLeft w:val="0"/>
                      <w:marRight w:val="0"/>
                      <w:marTop w:val="0"/>
                      <w:marBottom w:val="0"/>
                      <w:divBdr>
                        <w:top w:val="none" w:sz="0" w:space="0" w:color="auto"/>
                        <w:left w:val="none" w:sz="0" w:space="0" w:color="auto"/>
                        <w:bottom w:val="none" w:sz="0" w:space="0" w:color="auto"/>
                        <w:right w:val="none" w:sz="0" w:space="0" w:color="auto"/>
                      </w:divBdr>
                    </w:div>
                    <w:div w:id="1382362195">
                      <w:marLeft w:val="0"/>
                      <w:marRight w:val="0"/>
                      <w:marTop w:val="0"/>
                      <w:marBottom w:val="0"/>
                      <w:divBdr>
                        <w:top w:val="none" w:sz="0" w:space="0" w:color="auto"/>
                        <w:left w:val="none" w:sz="0" w:space="0" w:color="auto"/>
                        <w:bottom w:val="none" w:sz="0" w:space="0" w:color="auto"/>
                        <w:right w:val="none" w:sz="0" w:space="0" w:color="auto"/>
                      </w:divBdr>
                    </w:div>
                    <w:div w:id="1399595219">
                      <w:marLeft w:val="0"/>
                      <w:marRight w:val="0"/>
                      <w:marTop w:val="0"/>
                      <w:marBottom w:val="0"/>
                      <w:divBdr>
                        <w:top w:val="none" w:sz="0" w:space="0" w:color="auto"/>
                        <w:left w:val="none" w:sz="0" w:space="0" w:color="auto"/>
                        <w:bottom w:val="none" w:sz="0" w:space="0" w:color="auto"/>
                        <w:right w:val="none" w:sz="0" w:space="0" w:color="auto"/>
                      </w:divBdr>
                    </w:div>
                  </w:divsChild>
                </w:div>
                <w:div w:id="2143837537">
                  <w:marLeft w:val="0"/>
                  <w:marRight w:val="0"/>
                  <w:marTop w:val="0"/>
                  <w:marBottom w:val="0"/>
                  <w:divBdr>
                    <w:top w:val="none" w:sz="0" w:space="0" w:color="auto"/>
                    <w:left w:val="none" w:sz="0" w:space="0" w:color="auto"/>
                    <w:bottom w:val="none" w:sz="0" w:space="0" w:color="auto"/>
                    <w:right w:val="none" w:sz="0" w:space="0" w:color="auto"/>
                  </w:divBdr>
                  <w:divsChild>
                    <w:div w:id="1211187000">
                      <w:marLeft w:val="0"/>
                      <w:marRight w:val="0"/>
                      <w:marTop w:val="0"/>
                      <w:marBottom w:val="0"/>
                      <w:divBdr>
                        <w:top w:val="none" w:sz="0" w:space="0" w:color="auto"/>
                        <w:left w:val="none" w:sz="0" w:space="0" w:color="auto"/>
                        <w:bottom w:val="none" w:sz="0" w:space="0" w:color="auto"/>
                        <w:right w:val="none" w:sz="0" w:space="0" w:color="auto"/>
                      </w:divBdr>
                    </w:div>
                    <w:div w:id="17662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37477">
      <w:bodyDiv w:val="1"/>
      <w:marLeft w:val="0"/>
      <w:marRight w:val="0"/>
      <w:marTop w:val="0"/>
      <w:marBottom w:val="0"/>
      <w:divBdr>
        <w:top w:val="none" w:sz="0" w:space="0" w:color="auto"/>
        <w:left w:val="none" w:sz="0" w:space="0" w:color="auto"/>
        <w:bottom w:val="none" w:sz="0" w:space="0" w:color="auto"/>
        <w:right w:val="none" w:sz="0" w:space="0" w:color="auto"/>
      </w:divBdr>
      <w:divsChild>
        <w:div w:id="2117867167">
          <w:marLeft w:val="288"/>
          <w:marRight w:val="0"/>
          <w:marTop w:val="240"/>
          <w:marBottom w:val="40"/>
          <w:divBdr>
            <w:top w:val="none" w:sz="0" w:space="0" w:color="auto"/>
            <w:left w:val="none" w:sz="0" w:space="0" w:color="auto"/>
            <w:bottom w:val="none" w:sz="0" w:space="0" w:color="auto"/>
            <w:right w:val="none" w:sz="0" w:space="0" w:color="auto"/>
          </w:divBdr>
        </w:div>
      </w:divsChild>
    </w:div>
    <w:div w:id="1542664982">
      <w:bodyDiv w:val="1"/>
      <w:marLeft w:val="0"/>
      <w:marRight w:val="0"/>
      <w:marTop w:val="0"/>
      <w:marBottom w:val="0"/>
      <w:divBdr>
        <w:top w:val="none" w:sz="0" w:space="0" w:color="auto"/>
        <w:left w:val="none" w:sz="0" w:space="0" w:color="auto"/>
        <w:bottom w:val="none" w:sz="0" w:space="0" w:color="auto"/>
        <w:right w:val="none" w:sz="0" w:space="0" w:color="auto"/>
      </w:divBdr>
      <w:divsChild>
        <w:div w:id="17243759">
          <w:marLeft w:val="0"/>
          <w:marRight w:val="0"/>
          <w:marTop w:val="0"/>
          <w:marBottom w:val="0"/>
          <w:divBdr>
            <w:top w:val="none" w:sz="0" w:space="0" w:color="auto"/>
            <w:left w:val="none" w:sz="0" w:space="0" w:color="auto"/>
            <w:bottom w:val="none" w:sz="0" w:space="0" w:color="auto"/>
            <w:right w:val="none" w:sz="0" w:space="0" w:color="auto"/>
          </w:divBdr>
          <w:divsChild>
            <w:div w:id="1743942671">
              <w:marLeft w:val="0"/>
              <w:marRight w:val="0"/>
              <w:marTop w:val="0"/>
              <w:marBottom w:val="0"/>
              <w:divBdr>
                <w:top w:val="none" w:sz="0" w:space="0" w:color="auto"/>
                <w:left w:val="none" w:sz="0" w:space="0" w:color="auto"/>
                <w:bottom w:val="none" w:sz="0" w:space="0" w:color="auto"/>
                <w:right w:val="none" w:sz="0" w:space="0" w:color="auto"/>
              </w:divBdr>
            </w:div>
          </w:divsChild>
        </w:div>
        <w:div w:id="81295548">
          <w:marLeft w:val="0"/>
          <w:marRight w:val="0"/>
          <w:marTop w:val="0"/>
          <w:marBottom w:val="0"/>
          <w:divBdr>
            <w:top w:val="none" w:sz="0" w:space="0" w:color="auto"/>
            <w:left w:val="none" w:sz="0" w:space="0" w:color="auto"/>
            <w:bottom w:val="none" w:sz="0" w:space="0" w:color="auto"/>
            <w:right w:val="none" w:sz="0" w:space="0" w:color="auto"/>
          </w:divBdr>
          <w:divsChild>
            <w:div w:id="1978366491">
              <w:marLeft w:val="0"/>
              <w:marRight w:val="0"/>
              <w:marTop w:val="0"/>
              <w:marBottom w:val="0"/>
              <w:divBdr>
                <w:top w:val="none" w:sz="0" w:space="0" w:color="auto"/>
                <w:left w:val="none" w:sz="0" w:space="0" w:color="auto"/>
                <w:bottom w:val="none" w:sz="0" w:space="0" w:color="auto"/>
                <w:right w:val="none" w:sz="0" w:space="0" w:color="auto"/>
              </w:divBdr>
            </w:div>
          </w:divsChild>
        </w:div>
        <w:div w:id="138351941">
          <w:marLeft w:val="0"/>
          <w:marRight w:val="0"/>
          <w:marTop w:val="0"/>
          <w:marBottom w:val="0"/>
          <w:divBdr>
            <w:top w:val="none" w:sz="0" w:space="0" w:color="auto"/>
            <w:left w:val="none" w:sz="0" w:space="0" w:color="auto"/>
            <w:bottom w:val="none" w:sz="0" w:space="0" w:color="auto"/>
            <w:right w:val="none" w:sz="0" w:space="0" w:color="auto"/>
          </w:divBdr>
          <w:divsChild>
            <w:div w:id="1989439336">
              <w:marLeft w:val="0"/>
              <w:marRight w:val="0"/>
              <w:marTop w:val="0"/>
              <w:marBottom w:val="0"/>
              <w:divBdr>
                <w:top w:val="none" w:sz="0" w:space="0" w:color="auto"/>
                <w:left w:val="none" w:sz="0" w:space="0" w:color="auto"/>
                <w:bottom w:val="none" w:sz="0" w:space="0" w:color="auto"/>
                <w:right w:val="none" w:sz="0" w:space="0" w:color="auto"/>
              </w:divBdr>
            </w:div>
          </w:divsChild>
        </w:div>
        <w:div w:id="195313590">
          <w:marLeft w:val="0"/>
          <w:marRight w:val="0"/>
          <w:marTop w:val="0"/>
          <w:marBottom w:val="0"/>
          <w:divBdr>
            <w:top w:val="none" w:sz="0" w:space="0" w:color="auto"/>
            <w:left w:val="none" w:sz="0" w:space="0" w:color="auto"/>
            <w:bottom w:val="none" w:sz="0" w:space="0" w:color="auto"/>
            <w:right w:val="none" w:sz="0" w:space="0" w:color="auto"/>
          </w:divBdr>
          <w:divsChild>
            <w:div w:id="1210651266">
              <w:marLeft w:val="0"/>
              <w:marRight w:val="0"/>
              <w:marTop w:val="0"/>
              <w:marBottom w:val="0"/>
              <w:divBdr>
                <w:top w:val="none" w:sz="0" w:space="0" w:color="auto"/>
                <w:left w:val="none" w:sz="0" w:space="0" w:color="auto"/>
                <w:bottom w:val="none" w:sz="0" w:space="0" w:color="auto"/>
                <w:right w:val="none" w:sz="0" w:space="0" w:color="auto"/>
              </w:divBdr>
            </w:div>
          </w:divsChild>
        </w:div>
        <w:div w:id="203182524">
          <w:marLeft w:val="0"/>
          <w:marRight w:val="0"/>
          <w:marTop w:val="0"/>
          <w:marBottom w:val="0"/>
          <w:divBdr>
            <w:top w:val="none" w:sz="0" w:space="0" w:color="auto"/>
            <w:left w:val="none" w:sz="0" w:space="0" w:color="auto"/>
            <w:bottom w:val="none" w:sz="0" w:space="0" w:color="auto"/>
            <w:right w:val="none" w:sz="0" w:space="0" w:color="auto"/>
          </w:divBdr>
          <w:divsChild>
            <w:div w:id="1680280353">
              <w:marLeft w:val="0"/>
              <w:marRight w:val="0"/>
              <w:marTop w:val="0"/>
              <w:marBottom w:val="0"/>
              <w:divBdr>
                <w:top w:val="none" w:sz="0" w:space="0" w:color="auto"/>
                <w:left w:val="none" w:sz="0" w:space="0" w:color="auto"/>
                <w:bottom w:val="none" w:sz="0" w:space="0" w:color="auto"/>
                <w:right w:val="none" w:sz="0" w:space="0" w:color="auto"/>
              </w:divBdr>
            </w:div>
          </w:divsChild>
        </w:div>
        <w:div w:id="277105812">
          <w:marLeft w:val="0"/>
          <w:marRight w:val="0"/>
          <w:marTop w:val="0"/>
          <w:marBottom w:val="0"/>
          <w:divBdr>
            <w:top w:val="none" w:sz="0" w:space="0" w:color="auto"/>
            <w:left w:val="none" w:sz="0" w:space="0" w:color="auto"/>
            <w:bottom w:val="none" w:sz="0" w:space="0" w:color="auto"/>
            <w:right w:val="none" w:sz="0" w:space="0" w:color="auto"/>
          </w:divBdr>
          <w:divsChild>
            <w:div w:id="1750275371">
              <w:marLeft w:val="0"/>
              <w:marRight w:val="0"/>
              <w:marTop w:val="0"/>
              <w:marBottom w:val="0"/>
              <w:divBdr>
                <w:top w:val="none" w:sz="0" w:space="0" w:color="auto"/>
                <w:left w:val="none" w:sz="0" w:space="0" w:color="auto"/>
                <w:bottom w:val="none" w:sz="0" w:space="0" w:color="auto"/>
                <w:right w:val="none" w:sz="0" w:space="0" w:color="auto"/>
              </w:divBdr>
            </w:div>
          </w:divsChild>
        </w:div>
        <w:div w:id="280114055">
          <w:marLeft w:val="0"/>
          <w:marRight w:val="0"/>
          <w:marTop w:val="0"/>
          <w:marBottom w:val="0"/>
          <w:divBdr>
            <w:top w:val="none" w:sz="0" w:space="0" w:color="auto"/>
            <w:left w:val="none" w:sz="0" w:space="0" w:color="auto"/>
            <w:bottom w:val="none" w:sz="0" w:space="0" w:color="auto"/>
            <w:right w:val="none" w:sz="0" w:space="0" w:color="auto"/>
          </w:divBdr>
          <w:divsChild>
            <w:div w:id="1712460728">
              <w:marLeft w:val="0"/>
              <w:marRight w:val="0"/>
              <w:marTop w:val="0"/>
              <w:marBottom w:val="0"/>
              <w:divBdr>
                <w:top w:val="none" w:sz="0" w:space="0" w:color="auto"/>
                <w:left w:val="none" w:sz="0" w:space="0" w:color="auto"/>
                <w:bottom w:val="none" w:sz="0" w:space="0" w:color="auto"/>
                <w:right w:val="none" w:sz="0" w:space="0" w:color="auto"/>
              </w:divBdr>
            </w:div>
          </w:divsChild>
        </w:div>
        <w:div w:id="281495386">
          <w:marLeft w:val="0"/>
          <w:marRight w:val="0"/>
          <w:marTop w:val="0"/>
          <w:marBottom w:val="0"/>
          <w:divBdr>
            <w:top w:val="none" w:sz="0" w:space="0" w:color="auto"/>
            <w:left w:val="none" w:sz="0" w:space="0" w:color="auto"/>
            <w:bottom w:val="none" w:sz="0" w:space="0" w:color="auto"/>
            <w:right w:val="none" w:sz="0" w:space="0" w:color="auto"/>
          </w:divBdr>
          <w:divsChild>
            <w:div w:id="1485075895">
              <w:marLeft w:val="0"/>
              <w:marRight w:val="0"/>
              <w:marTop w:val="0"/>
              <w:marBottom w:val="0"/>
              <w:divBdr>
                <w:top w:val="none" w:sz="0" w:space="0" w:color="auto"/>
                <w:left w:val="none" w:sz="0" w:space="0" w:color="auto"/>
                <w:bottom w:val="none" w:sz="0" w:space="0" w:color="auto"/>
                <w:right w:val="none" w:sz="0" w:space="0" w:color="auto"/>
              </w:divBdr>
            </w:div>
          </w:divsChild>
        </w:div>
        <w:div w:id="315649234">
          <w:marLeft w:val="0"/>
          <w:marRight w:val="0"/>
          <w:marTop w:val="0"/>
          <w:marBottom w:val="0"/>
          <w:divBdr>
            <w:top w:val="none" w:sz="0" w:space="0" w:color="auto"/>
            <w:left w:val="none" w:sz="0" w:space="0" w:color="auto"/>
            <w:bottom w:val="none" w:sz="0" w:space="0" w:color="auto"/>
            <w:right w:val="none" w:sz="0" w:space="0" w:color="auto"/>
          </w:divBdr>
          <w:divsChild>
            <w:div w:id="616257419">
              <w:marLeft w:val="0"/>
              <w:marRight w:val="0"/>
              <w:marTop w:val="0"/>
              <w:marBottom w:val="0"/>
              <w:divBdr>
                <w:top w:val="none" w:sz="0" w:space="0" w:color="auto"/>
                <w:left w:val="none" w:sz="0" w:space="0" w:color="auto"/>
                <w:bottom w:val="none" w:sz="0" w:space="0" w:color="auto"/>
                <w:right w:val="none" w:sz="0" w:space="0" w:color="auto"/>
              </w:divBdr>
            </w:div>
          </w:divsChild>
        </w:div>
        <w:div w:id="340398854">
          <w:marLeft w:val="0"/>
          <w:marRight w:val="0"/>
          <w:marTop w:val="0"/>
          <w:marBottom w:val="0"/>
          <w:divBdr>
            <w:top w:val="none" w:sz="0" w:space="0" w:color="auto"/>
            <w:left w:val="none" w:sz="0" w:space="0" w:color="auto"/>
            <w:bottom w:val="none" w:sz="0" w:space="0" w:color="auto"/>
            <w:right w:val="none" w:sz="0" w:space="0" w:color="auto"/>
          </w:divBdr>
          <w:divsChild>
            <w:div w:id="338124877">
              <w:marLeft w:val="0"/>
              <w:marRight w:val="0"/>
              <w:marTop w:val="0"/>
              <w:marBottom w:val="0"/>
              <w:divBdr>
                <w:top w:val="none" w:sz="0" w:space="0" w:color="auto"/>
                <w:left w:val="none" w:sz="0" w:space="0" w:color="auto"/>
                <w:bottom w:val="none" w:sz="0" w:space="0" w:color="auto"/>
                <w:right w:val="none" w:sz="0" w:space="0" w:color="auto"/>
              </w:divBdr>
            </w:div>
          </w:divsChild>
        </w:div>
        <w:div w:id="371464281">
          <w:marLeft w:val="0"/>
          <w:marRight w:val="0"/>
          <w:marTop w:val="0"/>
          <w:marBottom w:val="0"/>
          <w:divBdr>
            <w:top w:val="none" w:sz="0" w:space="0" w:color="auto"/>
            <w:left w:val="none" w:sz="0" w:space="0" w:color="auto"/>
            <w:bottom w:val="none" w:sz="0" w:space="0" w:color="auto"/>
            <w:right w:val="none" w:sz="0" w:space="0" w:color="auto"/>
          </w:divBdr>
          <w:divsChild>
            <w:div w:id="1741440809">
              <w:marLeft w:val="0"/>
              <w:marRight w:val="0"/>
              <w:marTop w:val="0"/>
              <w:marBottom w:val="0"/>
              <w:divBdr>
                <w:top w:val="none" w:sz="0" w:space="0" w:color="auto"/>
                <w:left w:val="none" w:sz="0" w:space="0" w:color="auto"/>
                <w:bottom w:val="none" w:sz="0" w:space="0" w:color="auto"/>
                <w:right w:val="none" w:sz="0" w:space="0" w:color="auto"/>
              </w:divBdr>
            </w:div>
          </w:divsChild>
        </w:div>
        <w:div w:id="396166636">
          <w:marLeft w:val="0"/>
          <w:marRight w:val="0"/>
          <w:marTop w:val="0"/>
          <w:marBottom w:val="0"/>
          <w:divBdr>
            <w:top w:val="none" w:sz="0" w:space="0" w:color="auto"/>
            <w:left w:val="none" w:sz="0" w:space="0" w:color="auto"/>
            <w:bottom w:val="none" w:sz="0" w:space="0" w:color="auto"/>
            <w:right w:val="none" w:sz="0" w:space="0" w:color="auto"/>
          </w:divBdr>
          <w:divsChild>
            <w:div w:id="287202635">
              <w:marLeft w:val="0"/>
              <w:marRight w:val="0"/>
              <w:marTop w:val="0"/>
              <w:marBottom w:val="0"/>
              <w:divBdr>
                <w:top w:val="none" w:sz="0" w:space="0" w:color="auto"/>
                <w:left w:val="none" w:sz="0" w:space="0" w:color="auto"/>
                <w:bottom w:val="none" w:sz="0" w:space="0" w:color="auto"/>
                <w:right w:val="none" w:sz="0" w:space="0" w:color="auto"/>
              </w:divBdr>
            </w:div>
          </w:divsChild>
        </w:div>
        <w:div w:id="439960367">
          <w:marLeft w:val="0"/>
          <w:marRight w:val="0"/>
          <w:marTop w:val="0"/>
          <w:marBottom w:val="0"/>
          <w:divBdr>
            <w:top w:val="none" w:sz="0" w:space="0" w:color="auto"/>
            <w:left w:val="none" w:sz="0" w:space="0" w:color="auto"/>
            <w:bottom w:val="none" w:sz="0" w:space="0" w:color="auto"/>
            <w:right w:val="none" w:sz="0" w:space="0" w:color="auto"/>
          </w:divBdr>
          <w:divsChild>
            <w:div w:id="1717965252">
              <w:marLeft w:val="0"/>
              <w:marRight w:val="0"/>
              <w:marTop w:val="0"/>
              <w:marBottom w:val="0"/>
              <w:divBdr>
                <w:top w:val="none" w:sz="0" w:space="0" w:color="auto"/>
                <w:left w:val="none" w:sz="0" w:space="0" w:color="auto"/>
                <w:bottom w:val="none" w:sz="0" w:space="0" w:color="auto"/>
                <w:right w:val="none" w:sz="0" w:space="0" w:color="auto"/>
              </w:divBdr>
            </w:div>
          </w:divsChild>
        </w:div>
        <w:div w:id="529881977">
          <w:marLeft w:val="0"/>
          <w:marRight w:val="0"/>
          <w:marTop w:val="0"/>
          <w:marBottom w:val="0"/>
          <w:divBdr>
            <w:top w:val="none" w:sz="0" w:space="0" w:color="auto"/>
            <w:left w:val="none" w:sz="0" w:space="0" w:color="auto"/>
            <w:bottom w:val="none" w:sz="0" w:space="0" w:color="auto"/>
            <w:right w:val="none" w:sz="0" w:space="0" w:color="auto"/>
          </w:divBdr>
          <w:divsChild>
            <w:div w:id="1339653373">
              <w:marLeft w:val="0"/>
              <w:marRight w:val="0"/>
              <w:marTop w:val="0"/>
              <w:marBottom w:val="0"/>
              <w:divBdr>
                <w:top w:val="none" w:sz="0" w:space="0" w:color="auto"/>
                <w:left w:val="none" w:sz="0" w:space="0" w:color="auto"/>
                <w:bottom w:val="none" w:sz="0" w:space="0" w:color="auto"/>
                <w:right w:val="none" w:sz="0" w:space="0" w:color="auto"/>
              </w:divBdr>
            </w:div>
          </w:divsChild>
        </w:div>
        <w:div w:id="544564266">
          <w:marLeft w:val="0"/>
          <w:marRight w:val="0"/>
          <w:marTop w:val="0"/>
          <w:marBottom w:val="0"/>
          <w:divBdr>
            <w:top w:val="none" w:sz="0" w:space="0" w:color="auto"/>
            <w:left w:val="none" w:sz="0" w:space="0" w:color="auto"/>
            <w:bottom w:val="none" w:sz="0" w:space="0" w:color="auto"/>
            <w:right w:val="none" w:sz="0" w:space="0" w:color="auto"/>
          </w:divBdr>
          <w:divsChild>
            <w:div w:id="528569304">
              <w:marLeft w:val="0"/>
              <w:marRight w:val="0"/>
              <w:marTop w:val="0"/>
              <w:marBottom w:val="0"/>
              <w:divBdr>
                <w:top w:val="none" w:sz="0" w:space="0" w:color="auto"/>
                <w:left w:val="none" w:sz="0" w:space="0" w:color="auto"/>
                <w:bottom w:val="none" w:sz="0" w:space="0" w:color="auto"/>
                <w:right w:val="none" w:sz="0" w:space="0" w:color="auto"/>
              </w:divBdr>
            </w:div>
          </w:divsChild>
        </w:div>
        <w:div w:id="546376248">
          <w:marLeft w:val="0"/>
          <w:marRight w:val="0"/>
          <w:marTop w:val="0"/>
          <w:marBottom w:val="0"/>
          <w:divBdr>
            <w:top w:val="none" w:sz="0" w:space="0" w:color="auto"/>
            <w:left w:val="none" w:sz="0" w:space="0" w:color="auto"/>
            <w:bottom w:val="none" w:sz="0" w:space="0" w:color="auto"/>
            <w:right w:val="none" w:sz="0" w:space="0" w:color="auto"/>
          </w:divBdr>
          <w:divsChild>
            <w:div w:id="1712270460">
              <w:marLeft w:val="0"/>
              <w:marRight w:val="0"/>
              <w:marTop w:val="0"/>
              <w:marBottom w:val="0"/>
              <w:divBdr>
                <w:top w:val="none" w:sz="0" w:space="0" w:color="auto"/>
                <w:left w:val="none" w:sz="0" w:space="0" w:color="auto"/>
                <w:bottom w:val="none" w:sz="0" w:space="0" w:color="auto"/>
                <w:right w:val="none" w:sz="0" w:space="0" w:color="auto"/>
              </w:divBdr>
            </w:div>
          </w:divsChild>
        </w:div>
        <w:div w:id="587614323">
          <w:marLeft w:val="0"/>
          <w:marRight w:val="0"/>
          <w:marTop w:val="0"/>
          <w:marBottom w:val="0"/>
          <w:divBdr>
            <w:top w:val="none" w:sz="0" w:space="0" w:color="auto"/>
            <w:left w:val="none" w:sz="0" w:space="0" w:color="auto"/>
            <w:bottom w:val="none" w:sz="0" w:space="0" w:color="auto"/>
            <w:right w:val="none" w:sz="0" w:space="0" w:color="auto"/>
          </w:divBdr>
          <w:divsChild>
            <w:div w:id="699546832">
              <w:marLeft w:val="0"/>
              <w:marRight w:val="0"/>
              <w:marTop w:val="0"/>
              <w:marBottom w:val="0"/>
              <w:divBdr>
                <w:top w:val="none" w:sz="0" w:space="0" w:color="auto"/>
                <w:left w:val="none" w:sz="0" w:space="0" w:color="auto"/>
                <w:bottom w:val="none" w:sz="0" w:space="0" w:color="auto"/>
                <w:right w:val="none" w:sz="0" w:space="0" w:color="auto"/>
              </w:divBdr>
            </w:div>
          </w:divsChild>
        </w:div>
        <w:div w:id="608588224">
          <w:marLeft w:val="0"/>
          <w:marRight w:val="0"/>
          <w:marTop w:val="0"/>
          <w:marBottom w:val="0"/>
          <w:divBdr>
            <w:top w:val="none" w:sz="0" w:space="0" w:color="auto"/>
            <w:left w:val="none" w:sz="0" w:space="0" w:color="auto"/>
            <w:bottom w:val="none" w:sz="0" w:space="0" w:color="auto"/>
            <w:right w:val="none" w:sz="0" w:space="0" w:color="auto"/>
          </w:divBdr>
          <w:divsChild>
            <w:div w:id="1814247115">
              <w:marLeft w:val="0"/>
              <w:marRight w:val="0"/>
              <w:marTop w:val="0"/>
              <w:marBottom w:val="0"/>
              <w:divBdr>
                <w:top w:val="none" w:sz="0" w:space="0" w:color="auto"/>
                <w:left w:val="none" w:sz="0" w:space="0" w:color="auto"/>
                <w:bottom w:val="none" w:sz="0" w:space="0" w:color="auto"/>
                <w:right w:val="none" w:sz="0" w:space="0" w:color="auto"/>
              </w:divBdr>
            </w:div>
          </w:divsChild>
        </w:div>
        <w:div w:id="634287959">
          <w:marLeft w:val="0"/>
          <w:marRight w:val="0"/>
          <w:marTop w:val="0"/>
          <w:marBottom w:val="0"/>
          <w:divBdr>
            <w:top w:val="none" w:sz="0" w:space="0" w:color="auto"/>
            <w:left w:val="none" w:sz="0" w:space="0" w:color="auto"/>
            <w:bottom w:val="none" w:sz="0" w:space="0" w:color="auto"/>
            <w:right w:val="none" w:sz="0" w:space="0" w:color="auto"/>
          </w:divBdr>
          <w:divsChild>
            <w:div w:id="1265378681">
              <w:marLeft w:val="0"/>
              <w:marRight w:val="0"/>
              <w:marTop w:val="0"/>
              <w:marBottom w:val="0"/>
              <w:divBdr>
                <w:top w:val="none" w:sz="0" w:space="0" w:color="auto"/>
                <w:left w:val="none" w:sz="0" w:space="0" w:color="auto"/>
                <w:bottom w:val="none" w:sz="0" w:space="0" w:color="auto"/>
                <w:right w:val="none" w:sz="0" w:space="0" w:color="auto"/>
              </w:divBdr>
            </w:div>
            <w:div w:id="1960648064">
              <w:marLeft w:val="0"/>
              <w:marRight w:val="0"/>
              <w:marTop w:val="0"/>
              <w:marBottom w:val="0"/>
              <w:divBdr>
                <w:top w:val="none" w:sz="0" w:space="0" w:color="auto"/>
                <w:left w:val="none" w:sz="0" w:space="0" w:color="auto"/>
                <w:bottom w:val="none" w:sz="0" w:space="0" w:color="auto"/>
                <w:right w:val="none" w:sz="0" w:space="0" w:color="auto"/>
              </w:divBdr>
            </w:div>
          </w:divsChild>
        </w:div>
        <w:div w:id="710498817">
          <w:marLeft w:val="0"/>
          <w:marRight w:val="0"/>
          <w:marTop w:val="0"/>
          <w:marBottom w:val="0"/>
          <w:divBdr>
            <w:top w:val="none" w:sz="0" w:space="0" w:color="auto"/>
            <w:left w:val="none" w:sz="0" w:space="0" w:color="auto"/>
            <w:bottom w:val="none" w:sz="0" w:space="0" w:color="auto"/>
            <w:right w:val="none" w:sz="0" w:space="0" w:color="auto"/>
          </w:divBdr>
          <w:divsChild>
            <w:div w:id="762265255">
              <w:marLeft w:val="0"/>
              <w:marRight w:val="0"/>
              <w:marTop w:val="0"/>
              <w:marBottom w:val="0"/>
              <w:divBdr>
                <w:top w:val="none" w:sz="0" w:space="0" w:color="auto"/>
                <w:left w:val="none" w:sz="0" w:space="0" w:color="auto"/>
                <w:bottom w:val="none" w:sz="0" w:space="0" w:color="auto"/>
                <w:right w:val="none" w:sz="0" w:space="0" w:color="auto"/>
              </w:divBdr>
            </w:div>
          </w:divsChild>
        </w:div>
        <w:div w:id="739403091">
          <w:marLeft w:val="0"/>
          <w:marRight w:val="0"/>
          <w:marTop w:val="0"/>
          <w:marBottom w:val="0"/>
          <w:divBdr>
            <w:top w:val="none" w:sz="0" w:space="0" w:color="auto"/>
            <w:left w:val="none" w:sz="0" w:space="0" w:color="auto"/>
            <w:bottom w:val="none" w:sz="0" w:space="0" w:color="auto"/>
            <w:right w:val="none" w:sz="0" w:space="0" w:color="auto"/>
          </w:divBdr>
          <w:divsChild>
            <w:div w:id="1104766500">
              <w:marLeft w:val="0"/>
              <w:marRight w:val="0"/>
              <w:marTop w:val="0"/>
              <w:marBottom w:val="0"/>
              <w:divBdr>
                <w:top w:val="none" w:sz="0" w:space="0" w:color="auto"/>
                <w:left w:val="none" w:sz="0" w:space="0" w:color="auto"/>
                <w:bottom w:val="none" w:sz="0" w:space="0" w:color="auto"/>
                <w:right w:val="none" w:sz="0" w:space="0" w:color="auto"/>
              </w:divBdr>
            </w:div>
          </w:divsChild>
        </w:div>
        <w:div w:id="763920333">
          <w:marLeft w:val="0"/>
          <w:marRight w:val="0"/>
          <w:marTop w:val="0"/>
          <w:marBottom w:val="0"/>
          <w:divBdr>
            <w:top w:val="none" w:sz="0" w:space="0" w:color="auto"/>
            <w:left w:val="none" w:sz="0" w:space="0" w:color="auto"/>
            <w:bottom w:val="none" w:sz="0" w:space="0" w:color="auto"/>
            <w:right w:val="none" w:sz="0" w:space="0" w:color="auto"/>
          </w:divBdr>
          <w:divsChild>
            <w:div w:id="1108891018">
              <w:marLeft w:val="0"/>
              <w:marRight w:val="0"/>
              <w:marTop w:val="0"/>
              <w:marBottom w:val="0"/>
              <w:divBdr>
                <w:top w:val="none" w:sz="0" w:space="0" w:color="auto"/>
                <w:left w:val="none" w:sz="0" w:space="0" w:color="auto"/>
                <w:bottom w:val="none" w:sz="0" w:space="0" w:color="auto"/>
                <w:right w:val="none" w:sz="0" w:space="0" w:color="auto"/>
              </w:divBdr>
            </w:div>
          </w:divsChild>
        </w:div>
        <w:div w:id="767772212">
          <w:marLeft w:val="0"/>
          <w:marRight w:val="0"/>
          <w:marTop w:val="0"/>
          <w:marBottom w:val="0"/>
          <w:divBdr>
            <w:top w:val="none" w:sz="0" w:space="0" w:color="auto"/>
            <w:left w:val="none" w:sz="0" w:space="0" w:color="auto"/>
            <w:bottom w:val="none" w:sz="0" w:space="0" w:color="auto"/>
            <w:right w:val="none" w:sz="0" w:space="0" w:color="auto"/>
          </w:divBdr>
          <w:divsChild>
            <w:div w:id="864488011">
              <w:marLeft w:val="0"/>
              <w:marRight w:val="0"/>
              <w:marTop w:val="0"/>
              <w:marBottom w:val="0"/>
              <w:divBdr>
                <w:top w:val="none" w:sz="0" w:space="0" w:color="auto"/>
                <w:left w:val="none" w:sz="0" w:space="0" w:color="auto"/>
                <w:bottom w:val="none" w:sz="0" w:space="0" w:color="auto"/>
                <w:right w:val="none" w:sz="0" w:space="0" w:color="auto"/>
              </w:divBdr>
            </w:div>
            <w:div w:id="1708138396">
              <w:marLeft w:val="0"/>
              <w:marRight w:val="0"/>
              <w:marTop w:val="0"/>
              <w:marBottom w:val="0"/>
              <w:divBdr>
                <w:top w:val="none" w:sz="0" w:space="0" w:color="auto"/>
                <w:left w:val="none" w:sz="0" w:space="0" w:color="auto"/>
                <w:bottom w:val="none" w:sz="0" w:space="0" w:color="auto"/>
                <w:right w:val="none" w:sz="0" w:space="0" w:color="auto"/>
              </w:divBdr>
            </w:div>
          </w:divsChild>
        </w:div>
        <w:div w:id="774907066">
          <w:marLeft w:val="0"/>
          <w:marRight w:val="0"/>
          <w:marTop w:val="0"/>
          <w:marBottom w:val="0"/>
          <w:divBdr>
            <w:top w:val="none" w:sz="0" w:space="0" w:color="auto"/>
            <w:left w:val="none" w:sz="0" w:space="0" w:color="auto"/>
            <w:bottom w:val="none" w:sz="0" w:space="0" w:color="auto"/>
            <w:right w:val="none" w:sz="0" w:space="0" w:color="auto"/>
          </w:divBdr>
          <w:divsChild>
            <w:div w:id="858619500">
              <w:marLeft w:val="0"/>
              <w:marRight w:val="0"/>
              <w:marTop w:val="0"/>
              <w:marBottom w:val="0"/>
              <w:divBdr>
                <w:top w:val="none" w:sz="0" w:space="0" w:color="auto"/>
                <w:left w:val="none" w:sz="0" w:space="0" w:color="auto"/>
                <w:bottom w:val="none" w:sz="0" w:space="0" w:color="auto"/>
                <w:right w:val="none" w:sz="0" w:space="0" w:color="auto"/>
              </w:divBdr>
            </w:div>
          </w:divsChild>
        </w:div>
        <w:div w:id="840390395">
          <w:marLeft w:val="0"/>
          <w:marRight w:val="0"/>
          <w:marTop w:val="0"/>
          <w:marBottom w:val="0"/>
          <w:divBdr>
            <w:top w:val="none" w:sz="0" w:space="0" w:color="auto"/>
            <w:left w:val="none" w:sz="0" w:space="0" w:color="auto"/>
            <w:bottom w:val="none" w:sz="0" w:space="0" w:color="auto"/>
            <w:right w:val="none" w:sz="0" w:space="0" w:color="auto"/>
          </w:divBdr>
          <w:divsChild>
            <w:div w:id="501430244">
              <w:marLeft w:val="0"/>
              <w:marRight w:val="0"/>
              <w:marTop w:val="0"/>
              <w:marBottom w:val="0"/>
              <w:divBdr>
                <w:top w:val="none" w:sz="0" w:space="0" w:color="auto"/>
                <w:left w:val="none" w:sz="0" w:space="0" w:color="auto"/>
                <w:bottom w:val="none" w:sz="0" w:space="0" w:color="auto"/>
                <w:right w:val="none" w:sz="0" w:space="0" w:color="auto"/>
              </w:divBdr>
            </w:div>
          </w:divsChild>
        </w:div>
        <w:div w:id="847914501">
          <w:marLeft w:val="0"/>
          <w:marRight w:val="0"/>
          <w:marTop w:val="0"/>
          <w:marBottom w:val="0"/>
          <w:divBdr>
            <w:top w:val="none" w:sz="0" w:space="0" w:color="auto"/>
            <w:left w:val="none" w:sz="0" w:space="0" w:color="auto"/>
            <w:bottom w:val="none" w:sz="0" w:space="0" w:color="auto"/>
            <w:right w:val="none" w:sz="0" w:space="0" w:color="auto"/>
          </w:divBdr>
          <w:divsChild>
            <w:div w:id="356933019">
              <w:marLeft w:val="0"/>
              <w:marRight w:val="0"/>
              <w:marTop w:val="0"/>
              <w:marBottom w:val="0"/>
              <w:divBdr>
                <w:top w:val="none" w:sz="0" w:space="0" w:color="auto"/>
                <w:left w:val="none" w:sz="0" w:space="0" w:color="auto"/>
                <w:bottom w:val="none" w:sz="0" w:space="0" w:color="auto"/>
                <w:right w:val="none" w:sz="0" w:space="0" w:color="auto"/>
              </w:divBdr>
            </w:div>
          </w:divsChild>
        </w:div>
        <w:div w:id="856502402">
          <w:marLeft w:val="0"/>
          <w:marRight w:val="0"/>
          <w:marTop w:val="0"/>
          <w:marBottom w:val="0"/>
          <w:divBdr>
            <w:top w:val="none" w:sz="0" w:space="0" w:color="auto"/>
            <w:left w:val="none" w:sz="0" w:space="0" w:color="auto"/>
            <w:bottom w:val="none" w:sz="0" w:space="0" w:color="auto"/>
            <w:right w:val="none" w:sz="0" w:space="0" w:color="auto"/>
          </w:divBdr>
          <w:divsChild>
            <w:div w:id="1485899147">
              <w:marLeft w:val="0"/>
              <w:marRight w:val="0"/>
              <w:marTop w:val="0"/>
              <w:marBottom w:val="0"/>
              <w:divBdr>
                <w:top w:val="none" w:sz="0" w:space="0" w:color="auto"/>
                <w:left w:val="none" w:sz="0" w:space="0" w:color="auto"/>
                <w:bottom w:val="none" w:sz="0" w:space="0" w:color="auto"/>
                <w:right w:val="none" w:sz="0" w:space="0" w:color="auto"/>
              </w:divBdr>
            </w:div>
          </w:divsChild>
        </w:div>
        <w:div w:id="881404913">
          <w:marLeft w:val="0"/>
          <w:marRight w:val="0"/>
          <w:marTop w:val="0"/>
          <w:marBottom w:val="0"/>
          <w:divBdr>
            <w:top w:val="none" w:sz="0" w:space="0" w:color="auto"/>
            <w:left w:val="none" w:sz="0" w:space="0" w:color="auto"/>
            <w:bottom w:val="none" w:sz="0" w:space="0" w:color="auto"/>
            <w:right w:val="none" w:sz="0" w:space="0" w:color="auto"/>
          </w:divBdr>
          <w:divsChild>
            <w:div w:id="1961644106">
              <w:marLeft w:val="0"/>
              <w:marRight w:val="0"/>
              <w:marTop w:val="0"/>
              <w:marBottom w:val="0"/>
              <w:divBdr>
                <w:top w:val="none" w:sz="0" w:space="0" w:color="auto"/>
                <w:left w:val="none" w:sz="0" w:space="0" w:color="auto"/>
                <w:bottom w:val="none" w:sz="0" w:space="0" w:color="auto"/>
                <w:right w:val="none" w:sz="0" w:space="0" w:color="auto"/>
              </w:divBdr>
            </w:div>
          </w:divsChild>
        </w:div>
        <w:div w:id="890847140">
          <w:marLeft w:val="0"/>
          <w:marRight w:val="0"/>
          <w:marTop w:val="0"/>
          <w:marBottom w:val="0"/>
          <w:divBdr>
            <w:top w:val="none" w:sz="0" w:space="0" w:color="auto"/>
            <w:left w:val="none" w:sz="0" w:space="0" w:color="auto"/>
            <w:bottom w:val="none" w:sz="0" w:space="0" w:color="auto"/>
            <w:right w:val="none" w:sz="0" w:space="0" w:color="auto"/>
          </w:divBdr>
          <w:divsChild>
            <w:div w:id="1377897644">
              <w:marLeft w:val="0"/>
              <w:marRight w:val="0"/>
              <w:marTop w:val="0"/>
              <w:marBottom w:val="0"/>
              <w:divBdr>
                <w:top w:val="none" w:sz="0" w:space="0" w:color="auto"/>
                <w:left w:val="none" w:sz="0" w:space="0" w:color="auto"/>
                <w:bottom w:val="none" w:sz="0" w:space="0" w:color="auto"/>
                <w:right w:val="none" w:sz="0" w:space="0" w:color="auto"/>
              </w:divBdr>
            </w:div>
          </w:divsChild>
        </w:div>
        <w:div w:id="908269493">
          <w:marLeft w:val="0"/>
          <w:marRight w:val="0"/>
          <w:marTop w:val="0"/>
          <w:marBottom w:val="0"/>
          <w:divBdr>
            <w:top w:val="none" w:sz="0" w:space="0" w:color="auto"/>
            <w:left w:val="none" w:sz="0" w:space="0" w:color="auto"/>
            <w:bottom w:val="none" w:sz="0" w:space="0" w:color="auto"/>
            <w:right w:val="none" w:sz="0" w:space="0" w:color="auto"/>
          </w:divBdr>
          <w:divsChild>
            <w:div w:id="967510315">
              <w:marLeft w:val="0"/>
              <w:marRight w:val="0"/>
              <w:marTop w:val="0"/>
              <w:marBottom w:val="0"/>
              <w:divBdr>
                <w:top w:val="none" w:sz="0" w:space="0" w:color="auto"/>
                <w:left w:val="none" w:sz="0" w:space="0" w:color="auto"/>
                <w:bottom w:val="none" w:sz="0" w:space="0" w:color="auto"/>
                <w:right w:val="none" w:sz="0" w:space="0" w:color="auto"/>
              </w:divBdr>
            </w:div>
          </w:divsChild>
        </w:div>
        <w:div w:id="967054194">
          <w:marLeft w:val="0"/>
          <w:marRight w:val="0"/>
          <w:marTop w:val="0"/>
          <w:marBottom w:val="0"/>
          <w:divBdr>
            <w:top w:val="none" w:sz="0" w:space="0" w:color="auto"/>
            <w:left w:val="none" w:sz="0" w:space="0" w:color="auto"/>
            <w:bottom w:val="none" w:sz="0" w:space="0" w:color="auto"/>
            <w:right w:val="none" w:sz="0" w:space="0" w:color="auto"/>
          </w:divBdr>
          <w:divsChild>
            <w:div w:id="1965622941">
              <w:marLeft w:val="0"/>
              <w:marRight w:val="0"/>
              <w:marTop w:val="0"/>
              <w:marBottom w:val="0"/>
              <w:divBdr>
                <w:top w:val="none" w:sz="0" w:space="0" w:color="auto"/>
                <w:left w:val="none" w:sz="0" w:space="0" w:color="auto"/>
                <w:bottom w:val="none" w:sz="0" w:space="0" w:color="auto"/>
                <w:right w:val="none" w:sz="0" w:space="0" w:color="auto"/>
              </w:divBdr>
            </w:div>
          </w:divsChild>
        </w:div>
        <w:div w:id="976496143">
          <w:marLeft w:val="0"/>
          <w:marRight w:val="0"/>
          <w:marTop w:val="0"/>
          <w:marBottom w:val="0"/>
          <w:divBdr>
            <w:top w:val="none" w:sz="0" w:space="0" w:color="auto"/>
            <w:left w:val="none" w:sz="0" w:space="0" w:color="auto"/>
            <w:bottom w:val="none" w:sz="0" w:space="0" w:color="auto"/>
            <w:right w:val="none" w:sz="0" w:space="0" w:color="auto"/>
          </w:divBdr>
          <w:divsChild>
            <w:div w:id="895122599">
              <w:marLeft w:val="0"/>
              <w:marRight w:val="0"/>
              <w:marTop w:val="0"/>
              <w:marBottom w:val="0"/>
              <w:divBdr>
                <w:top w:val="none" w:sz="0" w:space="0" w:color="auto"/>
                <w:left w:val="none" w:sz="0" w:space="0" w:color="auto"/>
                <w:bottom w:val="none" w:sz="0" w:space="0" w:color="auto"/>
                <w:right w:val="none" w:sz="0" w:space="0" w:color="auto"/>
              </w:divBdr>
            </w:div>
          </w:divsChild>
        </w:div>
        <w:div w:id="1005786115">
          <w:marLeft w:val="0"/>
          <w:marRight w:val="0"/>
          <w:marTop w:val="0"/>
          <w:marBottom w:val="0"/>
          <w:divBdr>
            <w:top w:val="none" w:sz="0" w:space="0" w:color="auto"/>
            <w:left w:val="none" w:sz="0" w:space="0" w:color="auto"/>
            <w:bottom w:val="none" w:sz="0" w:space="0" w:color="auto"/>
            <w:right w:val="none" w:sz="0" w:space="0" w:color="auto"/>
          </w:divBdr>
          <w:divsChild>
            <w:div w:id="1602833668">
              <w:marLeft w:val="0"/>
              <w:marRight w:val="0"/>
              <w:marTop w:val="0"/>
              <w:marBottom w:val="0"/>
              <w:divBdr>
                <w:top w:val="none" w:sz="0" w:space="0" w:color="auto"/>
                <w:left w:val="none" w:sz="0" w:space="0" w:color="auto"/>
                <w:bottom w:val="none" w:sz="0" w:space="0" w:color="auto"/>
                <w:right w:val="none" w:sz="0" w:space="0" w:color="auto"/>
              </w:divBdr>
            </w:div>
          </w:divsChild>
        </w:div>
        <w:div w:id="1045561516">
          <w:marLeft w:val="0"/>
          <w:marRight w:val="0"/>
          <w:marTop w:val="0"/>
          <w:marBottom w:val="0"/>
          <w:divBdr>
            <w:top w:val="none" w:sz="0" w:space="0" w:color="auto"/>
            <w:left w:val="none" w:sz="0" w:space="0" w:color="auto"/>
            <w:bottom w:val="none" w:sz="0" w:space="0" w:color="auto"/>
            <w:right w:val="none" w:sz="0" w:space="0" w:color="auto"/>
          </w:divBdr>
          <w:divsChild>
            <w:div w:id="1124664549">
              <w:marLeft w:val="0"/>
              <w:marRight w:val="0"/>
              <w:marTop w:val="0"/>
              <w:marBottom w:val="0"/>
              <w:divBdr>
                <w:top w:val="none" w:sz="0" w:space="0" w:color="auto"/>
                <w:left w:val="none" w:sz="0" w:space="0" w:color="auto"/>
                <w:bottom w:val="none" w:sz="0" w:space="0" w:color="auto"/>
                <w:right w:val="none" w:sz="0" w:space="0" w:color="auto"/>
              </w:divBdr>
            </w:div>
          </w:divsChild>
        </w:div>
        <w:div w:id="1076366437">
          <w:marLeft w:val="0"/>
          <w:marRight w:val="0"/>
          <w:marTop w:val="0"/>
          <w:marBottom w:val="0"/>
          <w:divBdr>
            <w:top w:val="none" w:sz="0" w:space="0" w:color="auto"/>
            <w:left w:val="none" w:sz="0" w:space="0" w:color="auto"/>
            <w:bottom w:val="none" w:sz="0" w:space="0" w:color="auto"/>
            <w:right w:val="none" w:sz="0" w:space="0" w:color="auto"/>
          </w:divBdr>
          <w:divsChild>
            <w:div w:id="925767940">
              <w:marLeft w:val="0"/>
              <w:marRight w:val="0"/>
              <w:marTop w:val="0"/>
              <w:marBottom w:val="0"/>
              <w:divBdr>
                <w:top w:val="none" w:sz="0" w:space="0" w:color="auto"/>
                <w:left w:val="none" w:sz="0" w:space="0" w:color="auto"/>
                <w:bottom w:val="none" w:sz="0" w:space="0" w:color="auto"/>
                <w:right w:val="none" w:sz="0" w:space="0" w:color="auto"/>
              </w:divBdr>
            </w:div>
          </w:divsChild>
        </w:div>
        <w:div w:id="1121147020">
          <w:marLeft w:val="0"/>
          <w:marRight w:val="0"/>
          <w:marTop w:val="0"/>
          <w:marBottom w:val="0"/>
          <w:divBdr>
            <w:top w:val="none" w:sz="0" w:space="0" w:color="auto"/>
            <w:left w:val="none" w:sz="0" w:space="0" w:color="auto"/>
            <w:bottom w:val="none" w:sz="0" w:space="0" w:color="auto"/>
            <w:right w:val="none" w:sz="0" w:space="0" w:color="auto"/>
          </w:divBdr>
          <w:divsChild>
            <w:div w:id="2088067501">
              <w:marLeft w:val="0"/>
              <w:marRight w:val="0"/>
              <w:marTop w:val="0"/>
              <w:marBottom w:val="0"/>
              <w:divBdr>
                <w:top w:val="none" w:sz="0" w:space="0" w:color="auto"/>
                <w:left w:val="none" w:sz="0" w:space="0" w:color="auto"/>
                <w:bottom w:val="none" w:sz="0" w:space="0" w:color="auto"/>
                <w:right w:val="none" w:sz="0" w:space="0" w:color="auto"/>
              </w:divBdr>
            </w:div>
          </w:divsChild>
        </w:div>
        <w:div w:id="1129780280">
          <w:marLeft w:val="0"/>
          <w:marRight w:val="0"/>
          <w:marTop w:val="0"/>
          <w:marBottom w:val="0"/>
          <w:divBdr>
            <w:top w:val="none" w:sz="0" w:space="0" w:color="auto"/>
            <w:left w:val="none" w:sz="0" w:space="0" w:color="auto"/>
            <w:bottom w:val="none" w:sz="0" w:space="0" w:color="auto"/>
            <w:right w:val="none" w:sz="0" w:space="0" w:color="auto"/>
          </w:divBdr>
          <w:divsChild>
            <w:div w:id="373120742">
              <w:marLeft w:val="0"/>
              <w:marRight w:val="0"/>
              <w:marTop w:val="0"/>
              <w:marBottom w:val="0"/>
              <w:divBdr>
                <w:top w:val="none" w:sz="0" w:space="0" w:color="auto"/>
                <w:left w:val="none" w:sz="0" w:space="0" w:color="auto"/>
                <w:bottom w:val="none" w:sz="0" w:space="0" w:color="auto"/>
                <w:right w:val="none" w:sz="0" w:space="0" w:color="auto"/>
              </w:divBdr>
            </w:div>
            <w:div w:id="1060860050">
              <w:marLeft w:val="0"/>
              <w:marRight w:val="0"/>
              <w:marTop w:val="0"/>
              <w:marBottom w:val="0"/>
              <w:divBdr>
                <w:top w:val="none" w:sz="0" w:space="0" w:color="auto"/>
                <w:left w:val="none" w:sz="0" w:space="0" w:color="auto"/>
                <w:bottom w:val="none" w:sz="0" w:space="0" w:color="auto"/>
                <w:right w:val="none" w:sz="0" w:space="0" w:color="auto"/>
              </w:divBdr>
            </w:div>
          </w:divsChild>
        </w:div>
        <w:div w:id="1183713370">
          <w:marLeft w:val="0"/>
          <w:marRight w:val="0"/>
          <w:marTop w:val="0"/>
          <w:marBottom w:val="0"/>
          <w:divBdr>
            <w:top w:val="none" w:sz="0" w:space="0" w:color="auto"/>
            <w:left w:val="none" w:sz="0" w:space="0" w:color="auto"/>
            <w:bottom w:val="none" w:sz="0" w:space="0" w:color="auto"/>
            <w:right w:val="none" w:sz="0" w:space="0" w:color="auto"/>
          </w:divBdr>
          <w:divsChild>
            <w:div w:id="397021183">
              <w:marLeft w:val="0"/>
              <w:marRight w:val="0"/>
              <w:marTop w:val="0"/>
              <w:marBottom w:val="0"/>
              <w:divBdr>
                <w:top w:val="none" w:sz="0" w:space="0" w:color="auto"/>
                <w:left w:val="none" w:sz="0" w:space="0" w:color="auto"/>
                <w:bottom w:val="none" w:sz="0" w:space="0" w:color="auto"/>
                <w:right w:val="none" w:sz="0" w:space="0" w:color="auto"/>
              </w:divBdr>
            </w:div>
          </w:divsChild>
        </w:div>
        <w:div w:id="1252470109">
          <w:marLeft w:val="0"/>
          <w:marRight w:val="0"/>
          <w:marTop w:val="0"/>
          <w:marBottom w:val="0"/>
          <w:divBdr>
            <w:top w:val="none" w:sz="0" w:space="0" w:color="auto"/>
            <w:left w:val="none" w:sz="0" w:space="0" w:color="auto"/>
            <w:bottom w:val="none" w:sz="0" w:space="0" w:color="auto"/>
            <w:right w:val="none" w:sz="0" w:space="0" w:color="auto"/>
          </w:divBdr>
          <w:divsChild>
            <w:div w:id="22676939">
              <w:marLeft w:val="0"/>
              <w:marRight w:val="0"/>
              <w:marTop w:val="0"/>
              <w:marBottom w:val="0"/>
              <w:divBdr>
                <w:top w:val="none" w:sz="0" w:space="0" w:color="auto"/>
                <w:left w:val="none" w:sz="0" w:space="0" w:color="auto"/>
                <w:bottom w:val="none" w:sz="0" w:space="0" w:color="auto"/>
                <w:right w:val="none" w:sz="0" w:space="0" w:color="auto"/>
              </w:divBdr>
            </w:div>
          </w:divsChild>
        </w:div>
        <w:div w:id="1305433225">
          <w:marLeft w:val="0"/>
          <w:marRight w:val="0"/>
          <w:marTop w:val="0"/>
          <w:marBottom w:val="0"/>
          <w:divBdr>
            <w:top w:val="none" w:sz="0" w:space="0" w:color="auto"/>
            <w:left w:val="none" w:sz="0" w:space="0" w:color="auto"/>
            <w:bottom w:val="none" w:sz="0" w:space="0" w:color="auto"/>
            <w:right w:val="none" w:sz="0" w:space="0" w:color="auto"/>
          </w:divBdr>
          <w:divsChild>
            <w:div w:id="971591794">
              <w:marLeft w:val="0"/>
              <w:marRight w:val="0"/>
              <w:marTop w:val="0"/>
              <w:marBottom w:val="0"/>
              <w:divBdr>
                <w:top w:val="none" w:sz="0" w:space="0" w:color="auto"/>
                <w:left w:val="none" w:sz="0" w:space="0" w:color="auto"/>
                <w:bottom w:val="none" w:sz="0" w:space="0" w:color="auto"/>
                <w:right w:val="none" w:sz="0" w:space="0" w:color="auto"/>
              </w:divBdr>
            </w:div>
          </w:divsChild>
        </w:div>
        <w:div w:id="1352877321">
          <w:marLeft w:val="0"/>
          <w:marRight w:val="0"/>
          <w:marTop w:val="0"/>
          <w:marBottom w:val="0"/>
          <w:divBdr>
            <w:top w:val="none" w:sz="0" w:space="0" w:color="auto"/>
            <w:left w:val="none" w:sz="0" w:space="0" w:color="auto"/>
            <w:bottom w:val="none" w:sz="0" w:space="0" w:color="auto"/>
            <w:right w:val="none" w:sz="0" w:space="0" w:color="auto"/>
          </w:divBdr>
          <w:divsChild>
            <w:div w:id="2032563220">
              <w:marLeft w:val="0"/>
              <w:marRight w:val="0"/>
              <w:marTop w:val="0"/>
              <w:marBottom w:val="0"/>
              <w:divBdr>
                <w:top w:val="none" w:sz="0" w:space="0" w:color="auto"/>
                <w:left w:val="none" w:sz="0" w:space="0" w:color="auto"/>
                <w:bottom w:val="none" w:sz="0" w:space="0" w:color="auto"/>
                <w:right w:val="none" w:sz="0" w:space="0" w:color="auto"/>
              </w:divBdr>
            </w:div>
          </w:divsChild>
        </w:div>
        <w:div w:id="1356927122">
          <w:marLeft w:val="0"/>
          <w:marRight w:val="0"/>
          <w:marTop w:val="0"/>
          <w:marBottom w:val="0"/>
          <w:divBdr>
            <w:top w:val="none" w:sz="0" w:space="0" w:color="auto"/>
            <w:left w:val="none" w:sz="0" w:space="0" w:color="auto"/>
            <w:bottom w:val="none" w:sz="0" w:space="0" w:color="auto"/>
            <w:right w:val="none" w:sz="0" w:space="0" w:color="auto"/>
          </w:divBdr>
          <w:divsChild>
            <w:div w:id="289432775">
              <w:marLeft w:val="0"/>
              <w:marRight w:val="0"/>
              <w:marTop w:val="0"/>
              <w:marBottom w:val="0"/>
              <w:divBdr>
                <w:top w:val="none" w:sz="0" w:space="0" w:color="auto"/>
                <w:left w:val="none" w:sz="0" w:space="0" w:color="auto"/>
                <w:bottom w:val="none" w:sz="0" w:space="0" w:color="auto"/>
                <w:right w:val="none" w:sz="0" w:space="0" w:color="auto"/>
              </w:divBdr>
            </w:div>
          </w:divsChild>
        </w:div>
        <w:div w:id="1386564241">
          <w:marLeft w:val="0"/>
          <w:marRight w:val="0"/>
          <w:marTop w:val="0"/>
          <w:marBottom w:val="0"/>
          <w:divBdr>
            <w:top w:val="none" w:sz="0" w:space="0" w:color="auto"/>
            <w:left w:val="none" w:sz="0" w:space="0" w:color="auto"/>
            <w:bottom w:val="none" w:sz="0" w:space="0" w:color="auto"/>
            <w:right w:val="none" w:sz="0" w:space="0" w:color="auto"/>
          </w:divBdr>
          <w:divsChild>
            <w:div w:id="31850956">
              <w:marLeft w:val="0"/>
              <w:marRight w:val="0"/>
              <w:marTop w:val="0"/>
              <w:marBottom w:val="0"/>
              <w:divBdr>
                <w:top w:val="none" w:sz="0" w:space="0" w:color="auto"/>
                <w:left w:val="none" w:sz="0" w:space="0" w:color="auto"/>
                <w:bottom w:val="none" w:sz="0" w:space="0" w:color="auto"/>
                <w:right w:val="none" w:sz="0" w:space="0" w:color="auto"/>
              </w:divBdr>
            </w:div>
            <w:div w:id="2137526939">
              <w:marLeft w:val="0"/>
              <w:marRight w:val="0"/>
              <w:marTop w:val="0"/>
              <w:marBottom w:val="0"/>
              <w:divBdr>
                <w:top w:val="none" w:sz="0" w:space="0" w:color="auto"/>
                <w:left w:val="none" w:sz="0" w:space="0" w:color="auto"/>
                <w:bottom w:val="none" w:sz="0" w:space="0" w:color="auto"/>
                <w:right w:val="none" w:sz="0" w:space="0" w:color="auto"/>
              </w:divBdr>
            </w:div>
          </w:divsChild>
        </w:div>
        <w:div w:id="1394966523">
          <w:marLeft w:val="0"/>
          <w:marRight w:val="0"/>
          <w:marTop w:val="0"/>
          <w:marBottom w:val="0"/>
          <w:divBdr>
            <w:top w:val="none" w:sz="0" w:space="0" w:color="auto"/>
            <w:left w:val="none" w:sz="0" w:space="0" w:color="auto"/>
            <w:bottom w:val="none" w:sz="0" w:space="0" w:color="auto"/>
            <w:right w:val="none" w:sz="0" w:space="0" w:color="auto"/>
          </w:divBdr>
          <w:divsChild>
            <w:div w:id="2031367904">
              <w:marLeft w:val="0"/>
              <w:marRight w:val="0"/>
              <w:marTop w:val="0"/>
              <w:marBottom w:val="0"/>
              <w:divBdr>
                <w:top w:val="none" w:sz="0" w:space="0" w:color="auto"/>
                <w:left w:val="none" w:sz="0" w:space="0" w:color="auto"/>
                <w:bottom w:val="none" w:sz="0" w:space="0" w:color="auto"/>
                <w:right w:val="none" w:sz="0" w:space="0" w:color="auto"/>
              </w:divBdr>
            </w:div>
          </w:divsChild>
        </w:div>
        <w:div w:id="1399285410">
          <w:marLeft w:val="0"/>
          <w:marRight w:val="0"/>
          <w:marTop w:val="0"/>
          <w:marBottom w:val="0"/>
          <w:divBdr>
            <w:top w:val="none" w:sz="0" w:space="0" w:color="auto"/>
            <w:left w:val="none" w:sz="0" w:space="0" w:color="auto"/>
            <w:bottom w:val="none" w:sz="0" w:space="0" w:color="auto"/>
            <w:right w:val="none" w:sz="0" w:space="0" w:color="auto"/>
          </w:divBdr>
          <w:divsChild>
            <w:div w:id="2036269922">
              <w:marLeft w:val="0"/>
              <w:marRight w:val="0"/>
              <w:marTop w:val="0"/>
              <w:marBottom w:val="0"/>
              <w:divBdr>
                <w:top w:val="none" w:sz="0" w:space="0" w:color="auto"/>
                <w:left w:val="none" w:sz="0" w:space="0" w:color="auto"/>
                <w:bottom w:val="none" w:sz="0" w:space="0" w:color="auto"/>
                <w:right w:val="none" w:sz="0" w:space="0" w:color="auto"/>
              </w:divBdr>
            </w:div>
          </w:divsChild>
        </w:div>
        <w:div w:id="1555000651">
          <w:marLeft w:val="0"/>
          <w:marRight w:val="0"/>
          <w:marTop w:val="0"/>
          <w:marBottom w:val="0"/>
          <w:divBdr>
            <w:top w:val="none" w:sz="0" w:space="0" w:color="auto"/>
            <w:left w:val="none" w:sz="0" w:space="0" w:color="auto"/>
            <w:bottom w:val="none" w:sz="0" w:space="0" w:color="auto"/>
            <w:right w:val="none" w:sz="0" w:space="0" w:color="auto"/>
          </w:divBdr>
          <w:divsChild>
            <w:div w:id="230162538">
              <w:marLeft w:val="0"/>
              <w:marRight w:val="0"/>
              <w:marTop w:val="0"/>
              <w:marBottom w:val="0"/>
              <w:divBdr>
                <w:top w:val="none" w:sz="0" w:space="0" w:color="auto"/>
                <w:left w:val="none" w:sz="0" w:space="0" w:color="auto"/>
                <w:bottom w:val="none" w:sz="0" w:space="0" w:color="auto"/>
                <w:right w:val="none" w:sz="0" w:space="0" w:color="auto"/>
              </w:divBdr>
            </w:div>
            <w:div w:id="1001003440">
              <w:marLeft w:val="0"/>
              <w:marRight w:val="0"/>
              <w:marTop w:val="0"/>
              <w:marBottom w:val="0"/>
              <w:divBdr>
                <w:top w:val="none" w:sz="0" w:space="0" w:color="auto"/>
                <w:left w:val="none" w:sz="0" w:space="0" w:color="auto"/>
                <w:bottom w:val="none" w:sz="0" w:space="0" w:color="auto"/>
                <w:right w:val="none" w:sz="0" w:space="0" w:color="auto"/>
              </w:divBdr>
            </w:div>
          </w:divsChild>
        </w:div>
        <w:div w:id="1623801285">
          <w:marLeft w:val="0"/>
          <w:marRight w:val="0"/>
          <w:marTop w:val="0"/>
          <w:marBottom w:val="0"/>
          <w:divBdr>
            <w:top w:val="none" w:sz="0" w:space="0" w:color="auto"/>
            <w:left w:val="none" w:sz="0" w:space="0" w:color="auto"/>
            <w:bottom w:val="none" w:sz="0" w:space="0" w:color="auto"/>
            <w:right w:val="none" w:sz="0" w:space="0" w:color="auto"/>
          </w:divBdr>
          <w:divsChild>
            <w:div w:id="1216550365">
              <w:marLeft w:val="0"/>
              <w:marRight w:val="0"/>
              <w:marTop w:val="0"/>
              <w:marBottom w:val="0"/>
              <w:divBdr>
                <w:top w:val="none" w:sz="0" w:space="0" w:color="auto"/>
                <w:left w:val="none" w:sz="0" w:space="0" w:color="auto"/>
                <w:bottom w:val="none" w:sz="0" w:space="0" w:color="auto"/>
                <w:right w:val="none" w:sz="0" w:space="0" w:color="auto"/>
              </w:divBdr>
            </w:div>
          </w:divsChild>
        </w:div>
        <w:div w:id="1698771787">
          <w:marLeft w:val="0"/>
          <w:marRight w:val="0"/>
          <w:marTop w:val="0"/>
          <w:marBottom w:val="0"/>
          <w:divBdr>
            <w:top w:val="none" w:sz="0" w:space="0" w:color="auto"/>
            <w:left w:val="none" w:sz="0" w:space="0" w:color="auto"/>
            <w:bottom w:val="none" w:sz="0" w:space="0" w:color="auto"/>
            <w:right w:val="none" w:sz="0" w:space="0" w:color="auto"/>
          </w:divBdr>
          <w:divsChild>
            <w:div w:id="2078168202">
              <w:marLeft w:val="0"/>
              <w:marRight w:val="0"/>
              <w:marTop w:val="0"/>
              <w:marBottom w:val="0"/>
              <w:divBdr>
                <w:top w:val="none" w:sz="0" w:space="0" w:color="auto"/>
                <w:left w:val="none" w:sz="0" w:space="0" w:color="auto"/>
                <w:bottom w:val="none" w:sz="0" w:space="0" w:color="auto"/>
                <w:right w:val="none" w:sz="0" w:space="0" w:color="auto"/>
              </w:divBdr>
            </w:div>
          </w:divsChild>
        </w:div>
        <w:div w:id="1732926263">
          <w:marLeft w:val="0"/>
          <w:marRight w:val="0"/>
          <w:marTop w:val="0"/>
          <w:marBottom w:val="0"/>
          <w:divBdr>
            <w:top w:val="none" w:sz="0" w:space="0" w:color="auto"/>
            <w:left w:val="none" w:sz="0" w:space="0" w:color="auto"/>
            <w:bottom w:val="none" w:sz="0" w:space="0" w:color="auto"/>
            <w:right w:val="none" w:sz="0" w:space="0" w:color="auto"/>
          </w:divBdr>
          <w:divsChild>
            <w:div w:id="1342661905">
              <w:marLeft w:val="0"/>
              <w:marRight w:val="0"/>
              <w:marTop w:val="0"/>
              <w:marBottom w:val="0"/>
              <w:divBdr>
                <w:top w:val="none" w:sz="0" w:space="0" w:color="auto"/>
                <w:left w:val="none" w:sz="0" w:space="0" w:color="auto"/>
                <w:bottom w:val="none" w:sz="0" w:space="0" w:color="auto"/>
                <w:right w:val="none" w:sz="0" w:space="0" w:color="auto"/>
              </w:divBdr>
            </w:div>
          </w:divsChild>
        </w:div>
        <w:div w:id="1817331519">
          <w:marLeft w:val="0"/>
          <w:marRight w:val="0"/>
          <w:marTop w:val="0"/>
          <w:marBottom w:val="0"/>
          <w:divBdr>
            <w:top w:val="none" w:sz="0" w:space="0" w:color="auto"/>
            <w:left w:val="none" w:sz="0" w:space="0" w:color="auto"/>
            <w:bottom w:val="none" w:sz="0" w:space="0" w:color="auto"/>
            <w:right w:val="none" w:sz="0" w:space="0" w:color="auto"/>
          </w:divBdr>
          <w:divsChild>
            <w:div w:id="417869430">
              <w:marLeft w:val="0"/>
              <w:marRight w:val="0"/>
              <w:marTop w:val="0"/>
              <w:marBottom w:val="0"/>
              <w:divBdr>
                <w:top w:val="none" w:sz="0" w:space="0" w:color="auto"/>
                <w:left w:val="none" w:sz="0" w:space="0" w:color="auto"/>
                <w:bottom w:val="none" w:sz="0" w:space="0" w:color="auto"/>
                <w:right w:val="none" w:sz="0" w:space="0" w:color="auto"/>
              </w:divBdr>
            </w:div>
          </w:divsChild>
        </w:div>
        <w:div w:id="1843467883">
          <w:marLeft w:val="0"/>
          <w:marRight w:val="0"/>
          <w:marTop w:val="0"/>
          <w:marBottom w:val="0"/>
          <w:divBdr>
            <w:top w:val="none" w:sz="0" w:space="0" w:color="auto"/>
            <w:left w:val="none" w:sz="0" w:space="0" w:color="auto"/>
            <w:bottom w:val="none" w:sz="0" w:space="0" w:color="auto"/>
            <w:right w:val="none" w:sz="0" w:space="0" w:color="auto"/>
          </w:divBdr>
          <w:divsChild>
            <w:div w:id="1146624258">
              <w:marLeft w:val="0"/>
              <w:marRight w:val="0"/>
              <w:marTop w:val="0"/>
              <w:marBottom w:val="0"/>
              <w:divBdr>
                <w:top w:val="none" w:sz="0" w:space="0" w:color="auto"/>
                <w:left w:val="none" w:sz="0" w:space="0" w:color="auto"/>
                <w:bottom w:val="none" w:sz="0" w:space="0" w:color="auto"/>
                <w:right w:val="none" w:sz="0" w:space="0" w:color="auto"/>
              </w:divBdr>
            </w:div>
          </w:divsChild>
        </w:div>
        <w:div w:id="1921672077">
          <w:marLeft w:val="0"/>
          <w:marRight w:val="0"/>
          <w:marTop w:val="0"/>
          <w:marBottom w:val="0"/>
          <w:divBdr>
            <w:top w:val="none" w:sz="0" w:space="0" w:color="auto"/>
            <w:left w:val="none" w:sz="0" w:space="0" w:color="auto"/>
            <w:bottom w:val="none" w:sz="0" w:space="0" w:color="auto"/>
            <w:right w:val="none" w:sz="0" w:space="0" w:color="auto"/>
          </w:divBdr>
          <w:divsChild>
            <w:div w:id="1106847529">
              <w:marLeft w:val="0"/>
              <w:marRight w:val="0"/>
              <w:marTop w:val="0"/>
              <w:marBottom w:val="0"/>
              <w:divBdr>
                <w:top w:val="none" w:sz="0" w:space="0" w:color="auto"/>
                <w:left w:val="none" w:sz="0" w:space="0" w:color="auto"/>
                <w:bottom w:val="none" w:sz="0" w:space="0" w:color="auto"/>
                <w:right w:val="none" w:sz="0" w:space="0" w:color="auto"/>
              </w:divBdr>
            </w:div>
          </w:divsChild>
        </w:div>
        <w:div w:id="1943561824">
          <w:marLeft w:val="0"/>
          <w:marRight w:val="0"/>
          <w:marTop w:val="0"/>
          <w:marBottom w:val="0"/>
          <w:divBdr>
            <w:top w:val="none" w:sz="0" w:space="0" w:color="auto"/>
            <w:left w:val="none" w:sz="0" w:space="0" w:color="auto"/>
            <w:bottom w:val="none" w:sz="0" w:space="0" w:color="auto"/>
            <w:right w:val="none" w:sz="0" w:space="0" w:color="auto"/>
          </w:divBdr>
          <w:divsChild>
            <w:div w:id="1098982505">
              <w:marLeft w:val="0"/>
              <w:marRight w:val="0"/>
              <w:marTop w:val="0"/>
              <w:marBottom w:val="0"/>
              <w:divBdr>
                <w:top w:val="none" w:sz="0" w:space="0" w:color="auto"/>
                <w:left w:val="none" w:sz="0" w:space="0" w:color="auto"/>
                <w:bottom w:val="none" w:sz="0" w:space="0" w:color="auto"/>
                <w:right w:val="none" w:sz="0" w:space="0" w:color="auto"/>
              </w:divBdr>
            </w:div>
          </w:divsChild>
        </w:div>
        <w:div w:id="1992707616">
          <w:marLeft w:val="0"/>
          <w:marRight w:val="0"/>
          <w:marTop w:val="0"/>
          <w:marBottom w:val="0"/>
          <w:divBdr>
            <w:top w:val="none" w:sz="0" w:space="0" w:color="auto"/>
            <w:left w:val="none" w:sz="0" w:space="0" w:color="auto"/>
            <w:bottom w:val="none" w:sz="0" w:space="0" w:color="auto"/>
            <w:right w:val="none" w:sz="0" w:space="0" w:color="auto"/>
          </w:divBdr>
          <w:divsChild>
            <w:div w:id="2143115083">
              <w:marLeft w:val="0"/>
              <w:marRight w:val="0"/>
              <w:marTop w:val="0"/>
              <w:marBottom w:val="0"/>
              <w:divBdr>
                <w:top w:val="none" w:sz="0" w:space="0" w:color="auto"/>
                <w:left w:val="none" w:sz="0" w:space="0" w:color="auto"/>
                <w:bottom w:val="none" w:sz="0" w:space="0" w:color="auto"/>
                <w:right w:val="none" w:sz="0" w:space="0" w:color="auto"/>
              </w:divBdr>
            </w:div>
          </w:divsChild>
        </w:div>
        <w:div w:id="2128355578">
          <w:marLeft w:val="0"/>
          <w:marRight w:val="0"/>
          <w:marTop w:val="0"/>
          <w:marBottom w:val="0"/>
          <w:divBdr>
            <w:top w:val="none" w:sz="0" w:space="0" w:color="auto"/>
            <w:left w:val="none" w:sz="0" w:space="0" w:color="auto"/>
            <w:bottom w:val="none" w:sz="0" w:space="0" w:color="auto"/>
            <w:right w:val="none" w:sz="0" w:space="0" w:color="auto"/>
          </w:divBdr>
          <w:divsChild>
            <w:div w:id="2821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5634">
      <w:bodyDiv w:val="1"/>
      <w:marLeft w:val="0"/>
      <w:marRight w:val="0"/>
      <w:marTop w:val="0"/>
      <w:marBottom w:val="0"/>
      <w:divBdr>
        <w:top w:val="none" w:sz="0" w:space="0" w:color="auto"/>
        <w:left w:val="none" w:sz="0" w:space="0" w:color="auto"/>
        <w:bottom w:val="none" w:sz="0" w:space="0" w:color="auto"/>
        <w:right w:val="none" w:sz="0" w:space="0" w:color="auto"/>
      </w:divBdr>
      <w:divsChild>
        <w:div w:id="15692106">
          <w:marLeft w:val="0"/>
          <w:marRight w:val="0"/>
          <w:marTop w:val="0"/>
          <w:marBottom w:val="0"/>
          <w:divBdr>
            <w:top w:val="none" w:sz="0" w:space="0" w:color="auto"/>
            <w:left w:val="none" w:sz="0" w:space="0" w:color="auto"/>
            <w:bottom w:val="none" w:sz="0" w:space="0" w:color="auto"/>
            <w:right w:val="none" w:sz="0" w:space="0" w:color="auto"/>
          </w:divBdr>
          <w:divsChild>
            <w:div w:id="1199124787">
              <w:marLeft w:val="0"/>
              <w:marRight w:val="0"/>
              <w:marTop w:val="0"/>
              <w:marBottom w:val="0"/>
              <w:divBdr>
                <w:top w:val="none" w:sz="0" w:space="0" w:color="auto"/>
                <w:left w:val="none" w:sz="0" w:space="0" w:color="auto"/>
                <w:bottom w:val="none" w:sz="0" w:space="0" w:color="auto"/>
                <w:right w:val="none" w:sz="0" w:space="0" w:color="auto"/>
              </w:divBdr>
            </w:div>
          </w:divsChild>
        </w:div>
        <w:div w:id="17704938">
          <w:marLeft w:val="0"/>
          <w:marRight w:val="0"/>
          <w:marTop w:val="0"/>
          <w:marBottom w:val="0"/>
          <w:divBdr>
            <w:top w:val="none" w:sz="0" w:space="0" w:color="auto"/>
            <w:left w:val="none" w:sz="0" w:space="0" w:color="auto"/>
            <w:bottom w:val="none" w:sz="0" w:space="0" w:color="auto"/>
            <w:right w:val="none" w:sz="0" w:space="0" w:color="auto"/>
          </w:divBdr>
          <w:divsChild>
            <w:div w:id="34741707">
              <w:marLeft w:val="0"/>
              <w:marRight w:val="0"/>
              <w:marTop w:val="0"/>
              <w:marBottom w:val="0"/>
              <w:divBdr>
                <w:top w:val="none" w:sz="0" w:space="0" w:color="auto"/>
                <w:left w:val="none" w:sz="0" w:space="0" w:color="auto"/>
                <w:bottom w:val="none" w:sz="0" w:space="0" w:color="auto"/>
                <w:right w:val="none" w:sz="0" w:space="0" w:color="auto"/>
              </w:divBdr>
            </w:div>
          </w:divsChild>
        </w:div>
        <w:div w:id="146820645">
          <w:marLeft w:val="0"/>
          <w:marRight w:val="0"/>
          <w:marTop w:val="0"/>
          <w:marBottom w:val="0"/>
          <w:divBdr>
            <w:top w:val="none" w:sz="0" w:space="0" w:color="auto"/>
            <w:left w:val="none" w:sz="0" w:space="0" w:color="auto"/>
            <w:bottom w:val="none" w:sz="0" w:space="0" w:color="auto"/>
            <w:right w:val="none" w:sz="0" w:space="0" w:color="auto"/>
          </w:divBdr>
          <w:divsChild>
            <w:div w:id="1069840519">
              <w:marLeft w:val="0"/>
              <w:marRight w:val="0"/>
              <w:marTop w:val="0"/>
              <w:marBottom w:val="0"/>
              <w:divBdr>
                <w:top w:val="none" w:sz="0" w:space="0" w:color="auto"/>
                <w:left w:val="none" w:sz="0" w:space="0" w:color="auto"/>
                <w:bottom w:val="none" w:sz="0" w:space="0" w:color="auto"/>
                <w:right w:val="none" w:sz="0" w:space="0" w:color="auto"/>
              </w:divBdr>
            </w:div>
          </w:divsChild>
        </w:div>
        <w:div w:id="310182560">
          <w:marLeft w:val="0"/>
          <w:marRight w:val="0"/>
          <w:marTop w:val="0"/>
          <w:marBottom w:val="0"/>
          <w:divBdr>
            <w:top w:val="none" w:sz="0" w:space="0" w:color="auto"/>
            <w:left w:val="none" w:sz="0" w:space="0" w:color="auto"/>
            <w:bottom w:val="none" w:sz="0" w:space="0" w:color="auto"/>
            <w:right w:val="none" w:sz="0" w:space="0" w:color="auto"/>
          </w:divBdr>
          <w:divsChild>
            <w:div w:id="1581403839">
              <w:marLeft w:val="0"/>
              <w:marRight w:val="0"/>
              <w:marTop w:val="0"/>
              <w:marBottom w:val="0"/>
              <w:divBdr>
                <w:top w:val="none" w:sz="0" w:space="0" w:color="auto"/>
                <w:left w:val="none" w:sz="0" w:space="0" w:color="auto"/>
                <w:bottom w:val="none" w:sz="0" w:space="0" w:color="auto"/>
                <w:right w:val="none" w:sz="0" w:space="0" w:color="auto"/>
              </w:divBdr>
            </w:div>
          </w:divsChild>
        </w:div>
        <w:div w:id="360404043">
          <w:marLeft w:val="0"/>
          <w:marRight w:val="0"/>
          <w:marTop w:val="0"/>
          <w:marBottom w:val="0"/>
          <w:divBdr>
            <w:top w:val="none" w:sz="0" w:space="0" w:color="auto"/>
            <w:left w:val="none" w:sz="0" w:space="0" w:color="auto"/>
            <w:bottom w:val="none" w:sz="0" w:space="0" w:color="auto"/>
            <w:right w:val="none" w:sz="0" w:space="0" w:color="auto"/>
          </w:divBdr>
          <w:divsChild>
            <w:div w:id="441996544">
              <w:marLeft w:val="0"/>
              <w:marRight w:val="0"/>
              <w:marTop w:val="0"/>
              <w:marBottom w:val="0"/>
              <w:divBdr>
                <w:top w:val="none" w:sz="0" w:space="0" w:color="auto"/>
                <w:left w:val="none" w:sz="0" w:space="0" w:color="auto"/>
                <w:bottom w:val="none" w:sz="0" w:space="0" w:color="auto"/>
                <w:right w:val="none" w:sz="0" w:space="0" w:color="auto"/>
              </w:divBdr>
            </w:div>
          </w:divsChild>
        </w:div>
        <w:div w:id="396589162">
          <w:marLeft w:val="0"/>
          <w:marRight w:val="0"/>
          <w:marTop w:val="0"/>
          <w:marBottom w:val="0"/>
          <w:divBdr>
            <w:top w:val="none" w:sz="0" w:space="0" w:color="auto"/>
            <w:left w:val="none" w:sz="0" w:space="0" w:color="auto"/>
            <w:bottom w:val="none" w:sz="0" w:space="0" w:color="auto"/>
            <w:right w:val="none" w:sz="0" w:space="0" w:color="auto"/>
          </w:divBdr>
          <w:divsChild>
            <w:div w:id="1049067232">
              <w:marLeft w:val="0"/>
              <w:marRight w:val="0"/>
              <w:marTop w:val="0"/>
              <w:marBottom w:val="0"/>
              <w:divBdr>
                <w:top w:val="none" w:sz="0" w:space="0" w:color="auto"/>
                <w:left w:val="none" w:sz="0" w:space="0" w:color="auto"/>
                <w:bottom w:val="none" w:sz="0" w:space="0" w:color="auto"/>
                <w:right w:val="none" w:sz="0" w:space="0" w:color="auto"/>
              </w:divBdr>
            </w:div>
          </w:divsChild>
        </w:div>
        <w:div w:id="406731026">
          <w:marLeft w:val="0"/>
          <w:marRight w:val="0"/>
          <w:marTop w:val="0"/>
          <w:marBottom w:val="0"/>
          <w:divBdr>
            <w:top w:val="none" w:sz="0" w:space="0" w:color="auto"/>
            <w:left w:val="none" w:sz="0" w:space="0" w:color="auto"/>
            <w:bottom w:val="none" w:sz="0" w:space="0" w:color="auto"/>
            <w:right w:val="none" w:sz="0" w:space="0" w:color="auto"/>
          </w:divBdr>
          <w:divsChild>
            <w:div w:id="566695031">
              <w:marLeft w:val="0"/>
              <w:marRight w:val="0"/>
              <w:marTop w:val="0"/>
              <w:marBottom w:val="0"/>
              <w:divBdr>
                <w:top w:val="none" w:sz="0" w:space="0" w:color="auto"/>
                <w:left w:val="none" w:sz="0" w:space="0" w:color="auto"/>
                <w:bottom w:val="none" w:sz="0" w:space="0" w:color="auto"/>
                <w:right w:val="none" w:sz="0" w:space="0" w:color="auto"/>
              </w:divBdr>
            </w:div>
          </w:divsChild>
        </w:div>
        <w:div w:id="411707586">
          <w:marLeft w:val="0"/>
          <w:marRight w:val="0"/>
          <w:marTop w:val="0"/>
          <w:marBottom w:val="0"/>
          <w:divBdr>
            <w:top w:val="none" w:sz="0" w:space="0" w:color="auto"/>
            <w:left w:val="none" w:sz="0" w:space="0" w:color="auto"/>
            <w:bottom w:val="none" w:sz="0" w:space="0" w:color="auto"/>
            <w:right w:val="none" w:sz="0" w:space="0" w:color="auto"/>
          </w:divBdr>
          <w:divsChild>
            <w:div w:id="694384682">
              <w:marLeft w:val="0"/>
              <w:marRight w:val="0"/>
              <w:marTop w:val="0"/>
              <w:marBottom w:val="0"/>
              <w:divBdr>
                <w:top w:val="none" w:sz="0" w:space="0" w:color="auto"/>
                <w:left w:val="none" w:sz="0" w:space="0" w:color="auto"/>
                <w:bottom w:val="none" w:sz="0" w:space="0" w:color="auto"/>
                <w:right w:val="none" w:sz="0" w:space="0" w:color="auto"/>
              </w:divBdr>
            </w:div>
          </w:divsChild>
        </w:div>
        <w:div w:id="465971772">
          <w:marLeft w:val="0"/>
          <w:marRight w:val="0"/>
          <w:marTop w:val="0"/>
          <w:marBottom w:val="0"/>
          <w:divBdr>
            <w:top w:val="none" w:sz="0" w:space="0" w:color="auto"/>
            <w:left w:val="none" w:sz="0" w:space="0" w:color="auto"/>
            <w:bottom w:val="none" w:sz="0" w:space="0" w:color="auto"/>
            <w:right w:val="none" w:sz="0" w:space="0" w:color="auto"/>
          </w:divBdr>
          <w:divsChild>
            <w:div w:id="1466700632">
              <w:marLeft w:val="0"/>
              <w:marRight w:val="0"/>
              <w:marTop w:val="0"/>
              <w:marBottom w:val="0"/>
              <w:divBdr>
                <w:top w:val="none" w:sz="0" w:space="0" w:color="auto"/>
                <w:left w:val="none" w:sz="0" w:space="0" w:color="auto"/>
                <w:bottom w:val="none" w:sz="0" w:space="0" w:color="auto"/>
                <w:right w:val="none" w:sz="0" w:space="0" w:color="auto"/>
              </w:divBdr>
            </w:div>
          </w:divsChild>
        </w:div>
        <w:div w:id="513423335">
          <w:marLeft w:val="0"/>
          <w:marRight w:val="0"/>
          <w:marTop w:val="0"/>
          <w:marBottom w:val="0"/>
          <w:divBdr>
            <w:top w:val="none" w:sz="0" w:space="0" w:color="auto"/>
            <w:left w:val="none" w:sz="0" w:space="0" w:color="auto"/>
            <w:bottom w:val="none" w:sz="0" w:space="0" w:color="auto"/>
            <w:right w:val="none" w:sz="0" w:space="0" w:color="auto"/>
          </w:divBdr>
          <w:divsChild>
            <w:div w:id="202064945">
              <w:marLeft w:val="0"/>
              <w:marRight w:val="0"/>
              <w:marTop w:val="0"/>
              <w:marBottom w:val="0"/>
              <w:divBdr>
                <w:top w:val="none" w:sz="0" w:space="0" w:color="auto"/>
                <w:left w:val="none" w:sz="0" w:space="0" w:color="auto"/>
                <w:bottom w:val="none" w:sz="0" w:space="0" w:color="auto"/>
                <w:right w:val="none" w:sz="0" w:space="0" w:color="auto"/>
              </w:divBdr>
            </w:div>
          </w:divsChild>
        </w:div>
        <w:div w:id="566307297">
          <w:marLeft w:val="0"/>
          <w:marRight w:val="0"/>
          <w:marTop w:val="0"/>
          <w:marBottom w:val="0"/>
          <w:divBdr>
            <w:top w:val="none" w:sz="0" w:space="0" w:color="auto"/>
            <w:left w:val="none" w:sz="0" w:space="0" w:color="auto"/>
            <w:bottom w:val="none" w:sz="0" w:space="0" w:color="auto"/>
            <w:right w:val="none" w:sz="0" w:space="0" w:color="auto"/>
          </w:divBdr>
          <w:divsChild>
            <w:div w:id="2019115230">
              <w:marLeft w:val="0"/>
              <w:marRight w:val="0"/>
              <w:marTop w:val="0"/>
              <w:marBottom w:val="0"/>
              <w:divBdr>
                <w:top w:val="none" w:sz="0" w:space="0" w:color="auto"/>
                <w:left w:val="none" w:sz="0" w:space="0" w:color="auto"/>
                <w:bottom w:val="none" w:sz="0" w:space="0" w:color="auto"/>
                <w:right w:val="none" w:sz="0" w:space="0" w:color="auto"/>
              </w:divBdr>
            </w:div>
          </w:divsChild>
        </w:div>
        <w:div w:id="622468477">
          <w:marLeft w:val="0"/>
          <w:marRight w:val="0"/>
          <w:marTop w:val="0"/>
          <w:marBottom w:val="0"/>
          <w:divBdr>
            <w:top w:val="none" w:sz="0" w:space="0" w:color="auto"/>
            <w:left w:val="none" w:sz="0" w:space="0" w:color="auto"/>
            <w:bottom w:val="none" w:sz="0" w:space="0" w:color="auto"/>
            <w:right w:val="none" w:sz="0" w:space="0" w:color="auto"/>
          </w:divBdr>
          <w:divsChild>
            <w:div w:id="895973185">
              <w:marLeft w:val="0"/>
              <w:marRight w:val="0"/>
              <w:marTop w:val="0"/>
              <w:marBottom w:val="0"/>
              <w:divBdr>
                <w:top w:val="none" w:sz="0" w:space="0" w:color="auto"/>
                <w:left w:val="none" w:sz="0" w:space="0" w:color="auto"/>
                <w:bottom w:val="none" w:sz="0" w:space="0" w:color="auto"/>
                <w:right w:val="none" w:sz="0" w:space="0" w:color="auto"/>
              </w:divBdr>
            </w:div>
          </w:divsChild>
        </w:div>
        <w:div w:id="657460322">
          <w:marLeft w:val="0"/>
          <w:marRight w:val="0"/>
          <w:marTop w:val="0"/>
          <w:marBottom w:val="0"/>
          <w:divBdr>
            <w:top w:val="none" w:sz="0" w:space="0" w:color="auto"/>
            <w:left w:val="none" w:sz="0" w:space="0" w:color="auto"/>
            <w:bottom w:val="none" w:sz="0" w:space="0" w:color="auto"/>
            <w:right w:val="none" w:sz="0" w:space="0" w:color="auto"/>
          </w:divBdr>
          <w:divsChild>
            <w:div w:id="1437408693">
              <w:marLeft w:val="0"/>
              <w:marRight w:val="0"/>
              <w:marTop w:val="0"/>
              <w:marBottom w:val="0"/>
              <w:divBdr>
                <w:top w:val="none" w:sz="0" w:space="0" w:color="auto"/>
                <w:left w:val="none" w:sz="0" w:space="0" w:color="auto"/>
                <w:bottom w:val="none" w:sz="0" w:space="0" w:color="auto"/>
                <w:right w:val="none" w:sz="0" w:space="0" w:color="auto"/>
              </w:divBdr>
            </w:div>
          </w:divsChild>
        </w:div>
        <w:div w:id="749039157">
          <w:marLeft w:val="0"/>
          <w:marRight w:val="0"/>
          <w:marTop w:val="0"/>
          <w:marBottom w:val="0"/>
          <w:divBdr>
            <w:top w:val="none" w:sz="0" w:space="0" w:color="auto"/>
            <w:left w:val="none" w:sz="0" w:space="0" w:color="auto"/>
            <w:bottom w:val="none" w:sz="0" w:space="0" w:color="auto"/>
            <w:right w:val="none" w:sz="0" w:space="0" w:color="auto"/>
          </w:divBdr>
          <w:divsChild>
            <w:div w:id="1841922015">
              <w:marLeft w:val="0"/>
              <w:marRight w:val="0"/>
              <w:marTop w:val="0"/>
              <w:marBottom w:val="0"/>
              <w:divBdr>
                <w:top w:val="none" w:sz="0" w:space="0" w:color="auto"/>
                <w:left w:val="none" w:sz="0" w:space="0" w:color="auto"/>
                <w:bottom w:val="none" w:sz="0" w:space="0" w:color="auto"/>
                <w:right w:val="none" w:sz="0" w:space="0" w:color="auto"/>
              </w:divBdr>
            </w:div>
          </w:divsChild>
        </w:div>
        <w:div w:id="759252946">
          <w:marLeft w:val="0"/>
          <w:marRight w:val="0"/>
          <w:marTop w:val="0"/>
          <w:marBottom w:val="0"/>
          <w:divBdr>
            <w:top w:val="none" w:sz="0" w:space="0" w:color="auto"/>
            <w:left w:val="none" w:sz="0" w:space="0" w:color="auto"/>
            <w:bottom w:val="none" w:sz="0" w:space="0" w:color="auto"/>
            <w:right w:val="none" w:sz="0" w:space="0" w:color="auto"/>
          </w:divBdr>
          <w:divsChild>
            <w:div w:id="1225796285">
              <w:marLeft w:val="0"/>
              <w:marRight w:val="0"/>
              <w:marTop w:val="0"/>
              <w:marBottom w:val="0"/>
              <w:divBdr>
                <w:top w:val="none" w:sz="0" w:space="0" w:color="auto"/>
                <w:left w:val="none" w:sz="0" w:space="0" w:color="auto"/>
                <w:bottom w:val="none" w:sz="0" w:space="0" w:color="auto"/>
                <w:right w:val="none" w:sz="0" w:space="0" w:color="auto"/>
              </w:divBdr>
            </w:div>
          </w:divsChild>
        </w:div>
        <w:div w:id="809131305">
          <w:marLeft w:val="0"/>
          <w:marRight w:val="0"/>
          <w:marTop w:val="0"/>
          <w:marBottom w:val="0"/>
          <w:divBdr>
            <w:top w:val="none" w:sz="0" w:space="0" w:color="auto"/>
            <w:left w:val="none" w:sz="0" w:space="0" w:color="auto"/>
            <w:bottom w:val="none" w:sz="0" w:space="0" w:color="auto"/>
            <w:right w:val="none" w:sz="0" w:space="0" w:color="auto"/>
          </w:divBdr>
          <w:divsChild>
            <w:div w:id="2108889651">
              <w:marLeft w:val="0"/>
              <w:marRight w:val="0"/>
              <w:marTop w:val="0"/>
              <w:marBottom w:val="0"/>
              <w:divBdr>
                <w:top w:val="none" w:sz="0" w:space="0" w:color="auto"/>
                <w:left w:val="none" w:sz="0" w:space="0" w:color="auto"/>
                <w:bottom w:val="none" w:sz="0" w:space="0" w:color="auto"/>
                <w:right w:val="none" w:sz="0" w:space="0" w:color="auto"/>
              </w:divBdr>
            </w:div>
          </w:divsChild>
        </w:div>
        <w:div w:id="818957940">
          <w:marLeft w:val="0"/>
          <w:marRight w:val="0"/>
          <w:marTop w:val="0"/>
          <w:marBottom w:val="0"/>
          <w:divBdr>
            <w:top w:val="none" w:sz="0" w:space="0" w:color="auto"/>
            <w:left w:val="none" w:sz="0" w:space="0" w:color="auto"/>
            <w:bottom w:val="none" w:sz="0" w:space="0" w:color="auto"/>
            <w:right w:val="none" w:sz="0" w:space="0" w:color="auto"/>
          </w:divBdr>
          <w:divsChild>
            <w:div w:id="1256134377">
              <w:marLeft w:val="0"/>
              <w:marRight w:val="0"/>
              <w:marTop w:val="0"/>
              <w:marBottom w:val="0"/>
              <w:divBdr>
                <w:top w:val="none" w:sz="0" w:space="0" w:color="auto"/>
                <w:left w:val="none" w:sz="0" w:space="0" w:color="auto"/>
                <w:bottom w:val="none" w:sz="0" w:space="0" w:color="auto"/>
                <w:right w:val="none" w:sz="0" w:space="0" w:color="auto"/>
              </w:divBdr>
            </w:div>
            <w:div w:id="1828980701">
              <w:marLeft w:val="0"/>
              <w:marRight w:val="0"/>
              <w:marTop w:val="0"/>
              <w:marBottom w:val="0"/>
              <w:divBdr>
                <w:top w:val="none" w:sz="0" w:space="0" w:color="auto"/>
                <w:left w:val="none" w:sz="0" w:space="0" w:color="auto"/>
                <w:bottom w:val="none" w:sz="0" w:space="0" w:color="auto"/>
                <w:right w:val="none" w:sz="0" w:space="0" w:color="auto"/>
              </w:divBdr>
            </w:div>
          </w:divsChild>
        </w:div>
        <w:div w:id="879434918">
          <w:marLeft w:val="0"/>
          <w:marRight w:val="0"/>
          <w:marTop w:val="0"/>
          <w:marBottom w:val="0"/>
          <w:divBdr>
            <w:top w:val="none" w:sz="0" w:space="0" w:color="auto"/>
            <w:left w:val="none" w:sz="0" w:space="0" w:color="auto"/>
            <w:bottom w:val="none" w:sz="0" w:space="0" w:color="auto"/>
            <w:right w:val="none" w:sz="0" w:space="0" w:color="auto"/>
          </w:divBdr>
          <w:divsChild>
            <w:div w:id="1140538724">
              <w:marLeft w:val="0"/>
              <w:marRight w:val="0"/>
              <w:marTop w:val="0"/>
              <w:marBottom w:val="0"/>
              <w:divBdr>
                <w:top w:val="none" w:sz="0" w:space="0" w:color="auto"/>
                <w:left w:val="none" w:sz="0" w:space="0" w:color="auto"/>
                <w:bottom w:val="none" w:sz="0" w:space="0" w:color="auto"/>
                <w:right w:val="none" w:sz="0" w:space="0" w:color="auto"/>
              </w:divBdr>
            </w:div>
          </w:divsChild>
        </w:div>
        <w:div w:id="987054933">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sChild>
        </w:div>
        <w:div w:id="987244771">
          <w:marLeft w:val="0"/>
          <w:marRight w:val="0"/>
          <w:marTop w:val="0"/>
          <w:marBottom w:val="0"/>
          <w:divBdr>
            <w:top w:val="none" w:sz="0" w:space="0" w:color="auto"/>
            <w:left w:val="none" w:sz="0" w:space="0" w:color="auto"/>
            <w:bottom w:val="none" w:sz="0" w:space="0" w:color="auto"/>
            <w:right w:val="none" w:sz="0" w:space="0" w:color="auto"/>
          </w:divBdr>
          <w:divsChild>
            <w:div w:id="1040856803">
              <w:marLeft w:val="0"/>
              <w:marRight w:val="0"/>
              <w:marTop w:val="0"/>
              <w:marBottom w:val="0"/>
              <w:divBdr>
                <w:top w:val="none" w:sz="0" w:space="0" w:color="auto"/>
                <w:left w:val="none" w:sz="0" w:space="0" w:color="auto"/>
                <w:bottom w:val="none" w:sz="0" w:space="0" w:color="auto"/>
                <w:right w:val="none" w:sz="0" w:space="0" w:color="auto"/>
              </w:divBdr>
            </w:div>
          </w:divsChild>
        </w:div>
        <w:div w:id="1019625853">
          <w:marLeft w:val="0"/>
          <w:marRight w:val="0"/>
          <w:marTop w:val="0"/>
          <w:marBottom w:val="0"/>
          <w:divBdr>
            <w:top w:val="none" w:sz="0" w:space="0" w:color="auto"/>
            <w:left w:val="none" w:sz="0" w:space="0" w:color="auto"/>
            <w:bottom w:val="none" w:sz="0" w:space="0" w:color="auto"/>
            <w:right w:val="none" w:sz="0" w:space="0" w:color="auto"/>
          </w:divBdr>
          <w:divsChild>
            <w:div w:id="615911563">
              <w:marLeft w:val="0"/>
              <w:marRight w:val="0"/>
              <w:marTop w:val="0"/>
              <w:marBottom w:val="0"/>
              <w:divBdr>
                <w:top w:val="none" w:sz="0" w:space="0" w:color="auto"/>
                <w:left w:val="none" w:sz="0" w:space="0" w:color="auto"/>
                <w:bottom w:val="none" w:sz="0" w:space="0" w:color="auto"/>
                <w:right w:val="none" w:sz="0" w:space="0" w:color="auto"/>
              </w:divBdr>
            </w:div>
          </w:divsChild>
        </w:div>
        <w:div w:id="1030640786">
          <w:marLeft w:val="0"/>
          <w:marRight w:val="0"/>
          <w:marTop w:val="0"/>
          <w:marBottom w:val="0"/>
          <w:divBdr>
            <w:top w:val="none" w:sz="0" w:space="0" w:color="auto"/>
            <w:left w:val="none" w:sz="0" w:space="0" w:color="auto"/>
            <w:bottom w:val="none" w:sz="0" w:space="0" w:color="auto"/>
            <w:right w:val="none" w:sz="0" w:space="0" w:color="auto"/>
          </w:divBdr>
          <w:divsChild>
            <w:div w:id="943150308">
              <w:marLeft w:val="0"/>
              <w:marRight w:val="0"/>
              <w:marTop w:val="0"/>
              <w:marBottom w:val="0"/>
              <w:divBdr>
                <w:top w:val="none" w:sz="0" w:space="0" w:color="auto"/>
                <w:left w:val="none" w:sz="0" w:space="0" w:color="auto"/>
                <w:bottom w:val="none" w:sz="0" w:space="0" w:color="auto"/>
                <w:right w:val="none" w:sz="0" w:space="0" w:color="auto"/>
              </w:divBdr>
            </w:div>
          </w:divsChild>
        </w:div>
        <w:div w:id="1061320592">
          <w:marLeft w:val="0"/>
          <w:marRight w:val="0"/>
          <w:marTop w:val="0"/>
          <w:marBottom w:val="0"/>
          <w:divBdr>
            <w:top w:val="none" w:sz="0" w:space="0" w:color="auto"/>
            <w:left w:val="none" w:sz="0" w:space="0" w:color="auto"/>
            <w:bottom w:val="none" w:sz="0" w:space="0" w:color="auto"/>
            <w:right w:val="none" w:sz="0" w:space="0" w:color="auto"/>
          </w:divBdr>
          <w:divsChild>
            <w:div w:id="40132263">
              <w:marLeft w:val="0"/>
              <w:marRight w:val="0"/>
              <w:marTop w:val="0"/>
              <w:marBottom w:val="0"/>
              <w:divBdr>
                <w:top w:val="none" w:sz="0" w:space="0" w:color="auto"/>
                <w:left w:val="none" w:sz="0" w:space="0" w:color="auto"/>
                <w:bottom w:val="none" w:sz="0" w:space="0" w:color="auto"/>
                <w:right w:val="none" w:sz="0" w:space="0" w:color="auto"/>
              </w:divBdr>
            </w:div>
          </w:divsChild>
        </w:div>
        <w:div w:id="1102145510">
          <w:marLeft w:val="0"/>
          <w:marRight w:val="0"/>
          <w:marTop w:val="0"/>
          <w:marBottom w:val="0"/>
          <w:divBdr>
            <w:top w:val="none" w:sz="0" w:space="0" w:color="auto"/>
            <w:left w:val="none" w:sz="0" w:space="0" w:color="auto"/>
            <w:bottom w:val="none" w:sz="0" w:space="0" w:color="auto"/>
            <w:right w:val="none" w:sz="0" w:space="0" w:color="auto"/>
          </w:divBdr>
          <w:divsChild>
            <w:div w:id="329912686">
              <w:marLeft w:val="0"/>
              <w:marRight w:val="0"/>
              <w:marTop w:val="0"/>
              <w:marBottom w:val="0"/>
              <w:divBdr>
                <w:top w:val="none" w:sz="0" w:space="0" w:color="auto"/>
                <w:left w:val="none" w:sz="0" w:space="0" w:color="auto"/>
                <w:bottom w:val="none" w:sz="0" w:space="0" w:color="auto"/>
                <w:right w:val="none" w:sz="0" w:space="0" w:color="auto"/>
              </w:divBdr>
            </w:div>
          </w:divsChild>
        </w:div>
        <w:div w:id="1120029920">
          <w:marLeft w:val="0"/>
          <w:marRight w:val="0"/>
          <w:marTop w:val="0"/>
          <w:marBottom w:val="0"/>
          <w:divBdr>
            <w:top w:val="none" w:sz="0" w:space="0" w:color="auto"/>
            <w:left w:val="none" w:sz="0" w:space="0" w:color="auto"/>
            <w:bottom w:val="none" w:sz="0" w:space="0" w:color="auto"/>
            <w:right w:val="none" w:sz="0" w:space="0" w:color="auto"/>
          </w:divBdr>
          <w:divsChild>
            <w:div w:id="282613510">
              <w:marLeft w:val="0"/>
              <w:marRight w:val="0"/>
              <w:marTop w:val="0"/>
              <w:marBottom w:val="0"/>
              <w:divBdr>
                <w:top w:val="none" w:sz="0" w:space="0" w:color="auto"/>
                <w:left w:val="none" w:sz="0" w:space="0" w:color="auto"/>
                <w:bottom w:val="none" w:sz="0" w:space="0" w:color="auto"/>
                <w:right w:val="none" w:sz="0" w:space="0" w:color="auto"/>
              </w:divBdr>
            </w:div>
            <w:div w:id="768082455">
              <w:marLeft w:val="0"/>
              <w:marRight w:val="0"/>
              <w:marTop w:val="0"/>
              <w:marBottom w:val="0"/>
              <w:divBdr>
                <w:top w:val="none" w:sz="0" w:space="0" w:color="auto"/>
                <w:left w:val="none" w:sz="0" w:space="0" w:color="auto"/>
                <w:bottom w:val="none" w:sz="0" w:space="0" w:color="auto"/>
                <w:right w:val="none" w:sz="0" w:space="0" w:color="auto"/>
              </w:divBdr>
            </w:div>
          </w:divsChild>
        </w:div>
        <w:div w:id="1172329808">
          <w:marLeft w:val="0"/>
          <w:marRight w:val="0"/>
          <w:marTop w:val="0"/>
          <w:marBottom w:val="0"/>
          <w:divBdr>
            <w:top w:val="none" w:sz="0" w:space="0" w:color="auto"/>
            <w:left w:val="none" w:sz="0" w:space="0" w:color="auto"/>
            <w:bottom w:val="none" w:sz="0" w:space="0" w:color="auto"/>
            <w:right w:val="none" w:sz="0" w:space="0" w:color="auto"/>
          </w:divBdr>
          <w:divsChild>
            <w:div w:id="401606674">
              <w:marLeft w:val="0"/>
              <w:marRight w:val="0"/>
              <w:marTop w:val="0"/>
              <w:marBottom w:val="0"/>
              <w:divBdr>
                <w:top w:val="none" w:sz="0" w:space="0" w:color="auto"/>
                <w:left w:val="none" w:sz="0" w:space="0" w:color="auto"/>
                <w:bottom w:val="none" w:sz="0" w:space="0" w:color="auto"/>
                <w:right w:val="none" w:sz="0" w:space="0" w:color="auto"/>
              </w:divBdr>
            </w:div>
            <w:div w:id="432435009">
              <w:marLeft w:val="0"/>
              <w:marRight w:val="0"/>
              <w:marTop w:val="0"/>
              <w:marBottom w:val="0"/>
              <w:divBdr>
                <w:top w:val="none" w:sz="0" w:space="0" w:color="auto"/>
                <w:left w:val="none" w:sz="0" w:space="0" w:color="auto"/>
                <w:bottom w:val="none" w:sz="0" w:space="0" w:color="auto"/>
                <w:right w:val="none" w:sz="0" w:space="0" w:color="auto"/>
              </w:divBdr>
            </w:div>
          </w:divsChild>
        </w:div>
        <w:div w:id="1185247106">
          <w:marLeft w:val="0"/>
          <w:marRight w:val="0"/>
          <w:marTop w:val="0"/>
          <w:marBottom w:val="0"/>
          <w:divBdr>
            <w:top w:val="none" w:sz="0" w:space="0" w:color="auto"/>
            <w:left w:val="none" w:sz="0" w:space="0" w:color="auto"/>
            <w:bottom w:val="none" w:sz="0" w:space="0" w:color="auto"/>
            <w:right w:val="none" w:sz="0" w:space="0" w:color="auto"/>
          </w:divBdr>
          <w:divsChild>
            <w:div w:id="419985979">
              <w:marLeft w:val="0"/>
              <w:marRight w:val="0"/>
              <w:marTop w:val="0"/>
              <w:marBottom w:val="0"/>
              <w:divBdr>
                <w:top w:val="none" w:sz="0" w:space="0" w:color="auto"/>
                <w:left w:val="none" w:sz="0" w:space="0" w:color="auto"/>
                <w:bottom w:val="none" w:sz="0" w:space="0" w:color="auto"/>
                <w:right w:val="none" w:sz="0" w:space="0" w:color="auto"/>
              </w:divBdr>
            </w:div>
          </w:divsChild>
        </w:div>
        <w:div w:id="1196381985">
          <w:marLeft w:val="0"/>
          <w:marRight w:val="0"/>
          <w:marTop w:val="0"/>
          <w:marBottom w:val="0"/>
          <w:divBdr>
            <w:top w:val="none" w:sz="0" w:space="0" w:color="auto"/>
            <w:left w:val="none" w:sz="0" w:space="0" w:color="auto"/>
            <w:bottom w:val="none" w:sz="0" w:space="0" w:color="auto"/>
            <w:right w:val="none" w:sz="0" w:space="0" w:color="auto"/>
          </w:divBdr>
          <w:divsChild>
            <w:div w:id="529072390">
              <w:marLeft w:val="0"/>
              <w:marRight w:val="0"/>
              <w:marTop w:val="0"/>
              <w:marBottom w:val="0"/>
              <w:divBdr>
                <w:top w:val="none" w:sz="0" w:space="0" w:color="auto"/>
                <w:left w:val="none" w:sz="0" w:space="0" w:color="auto"/>
                <w:bottom w:val="none" w:sz="0" w:space="0" w:color="auto"/>
                <w:right w:val="none" w:sz="0" w:space="0" w:color="auto"/>
              </w:divBdr>
            </w:div>
          </w:divsChild>
        </w:div>
        <w:div w:id="1217661292">
          <w:marLeft w:val="0"/>
          <w:marRight w:val="0"/>
          <w:marTop w:val="0"/>
          <w:marBottom w:val="0"/>
          <w:divBdr>
            <w:top w:val="none" w:sz="0" w:space="0" w:color="auto"/>
            <w:left w:val="none" w:sz="0" w:space="0" w:color="auto"/>
            <w:bottom w:val="none" w:sz="0" w:space="0" w:color="auto"/>
            <w:right w:val="none" w:sz="0" w:space="0" w:color="auto"/>
          </w:divBdr>
          <w:divsChild>
            <w:div w:id="610937897">
              <w:marLeft w:val="0"/>
              <w:marRight w:val="0"/>
              <w:marTop w:val="0"/>
              <w:marBottom w:val="0"/>
              <w:divBdr>
                <w:top w:val="none" w:sz="0" w:space="0" w:color="auto"/>
                <w:left w:val="none" w:sz="0" w:space="0" w:color="auto"/>
                <w:bottom w:val="none" w:sz="0" w:space="0" w:color="auto"/>
                <w:right w:val="none" w:sz="0" w:space="0" w:color="auto"/>
              </w:divBdr>
            </w:div>
          </w:divsChild>
        </w:div>
        <w:div w:id="1248034437">
          <w:marLeft w:val="0"/>
          <w:marRight w:val="0"/>
          <w:marTop w:val="0"/>
          <w:marBottom w:val="0"/>
          <w:divBdr>
            <w:top w:val="none" w:sz="0" w:space="0" w:color="auto"/>
            <w:left w:val="none" w:sz="0" w:space="0" w:color="auto"/>
            <w:bottom w:val="none" w:sz="0" w:space="0" w:color="auto"/>
            <w:right w:val="none" w:sz="0" w:space="0" w:color="auto"/>
          </w:divBdr>
          <w:divsChild>
            <w:div w:id="267353606">
              <w:marLeft w:val="0"/>
              <w:marRight w:val="0"/>
              <w:marTop w:val="0"/>
              <w:marBottom w:val="0"/>
              <w:divBdr>
                <w:top w:val="none" w:sz="0" w:space="0" w:color="auto"/>
                <w:left w:val="none" w:sz="0" w:space="0" w:color="auto"/>
                <w:bottom w:val="none" w:sz="0" w:space="0" w:color="auto"/>
                <w:right w:val="none" w:sz="0" w:space="0" w:color="auto"/>
              </w:divBdr>
            </w:div>
          </w:divsChild>
        </w:div>
        <w:div w:id="1254244838">
          <w:marLeft w:val="0"/>
          <w:marRight w:val="0"/>
          <w:marTop w:val="0"/>
          <w:marBottom w:val="0"/>
          <w:divBdr>
            <w:top w:val="none" w:sz="0" w:space="0" w:color="auto"/>
            <w:left w:val="none" w:sz="0" w:space="0" w:color="auto"/>
            <w:bottom w:val="none" w:sz="0" w:space="0" w:color="auto"/>
            <w:right w:val="none" w:sz="0" w:space="0" w:color="auto"/>
          </w:divBdr>
          <w:divsChild>
            <w:div w:id="672032934">
              <w:marLeft w:val="0"/>
              <w:marRight w:val="0"/>
              <w:marTop w:val="0"/>
              <w:marBottom w:val="0"/>
              <w:divBdr>
                <w:top w:val="none" w:sz="0" w:space="0" w:color="auto"/>
                <w:left w:val="none" w:sz="0" w:space="0" w:color="auto"/>
                <w:bottom w:val="none" w:sz="0" w:space="0" w:color="auto"/>
                <w:right w:val="none" w:sz="0" w:space="0" w:color="auto"/>
              </w:divBdr>
            </w:div>
          </w:divsChild>
        </w:div>
        <w:div w:id="1282804159">
          <w:marLeft w:val="0"/>
          <w:marRight w:val="0"/>
          <w:marTop w:val="0"/>
          <w:marBottom w:val="0"/>
          <w:divBdr>
            <w:top w:val="none" w:sz="0" w:space="0" w:color="auto"/>
            <w:left w:val="none" w:sz="0" w:space="0" w:color="auto"/>
            <w:bottom w:val="none" w:sz="0" w:space="0" w:color="auto"/>
            <w:right w:val="none" w:sz="0" w:space="0" w:color="auto"/>
          </w:divBdr>
          <w:divsChild>
            <w:div w:id="244538983">
              <w:marLeft w:val="0"/>
              <w:marRight w:val="0"/>
              <w:marTop w:val="0"/>
              <w:marBottom w:val="0"/>
              <w:divBdr>
                <w:top w:val="none" w:sz="0" w:space="0" w:color="auto"/>
                <w:left w:val="none" w:sz="0" w:space="0" w:color="auto"/>
                <w:bottom w:val="none" w:sz="0" w:space="0" w:color="auto"/>
                <w:right w:val="none" w:sz="0" w:space="0" w:color="auto"/>
              </w:divBdr>
            </w:div>
          </w:divsChild>
        </w:div>
        <w:div w:id="1290745253">
          <w:marLeft w:val="0"/>
          <w:marRight w:val="0"/>
          <w:marTop w:val="0"/>
          <w:marBottom w:val="0"/>
          <w:divBdr>
            <w:top w:val="none" w:sz="0" w:space="0" w:color="auto"/>
            <w:left w:val="none" w:sz="0" w:space="0" w:color="auto"/>
            <w:bottom w:val="none" w:sz="0" w:space="0" w:color="auto"/>
            <w:right w:val="none" w:sz="0" w:space="0" w:color="auto"/>
          </w:divBdr>
          <w:divsChild>
            <w:div w:id="963343103">
              <w:marLeft w:val="0"/>
              <w:marRight w:val="0"/>
              <w:marTop w:val="0"/>
              <w:marBottom w:val="0"/>
              <w:divBdr>
                <w:top w:val="none" w:sz="0" w:space="0" w:color="auto"/>
                <w:left w:val="none" w:sz="0" w:space="0" w:color="auto"/>
                <w:bottom w:val="none" w:sz="0" w:space="0" w:color="auto"/>
                <w:right w:val="none" w:sz="0" w:space="0" w:color="auto"/>
              </w:divBdr>
            </w:div>
          </w:divsChild>
        </w:div>
        <w:div w:id="1383990181">
          <w:marLeft w:val="0"/>
          <w:marRight w:val="0"/>
          <w:marTop w:val="0"/>
          <w:marBottom w:val="0"/>
          <w:divBdr>
            <w:top w:val="none" w:sz="0" w:space="0" w:color="auto"/>
            <w:left w:val="none" w:sz="0" w:space="0" w:color="auto"/>
            <w:bottom w:val="none" w:sz="0" w:space="0" w:color="auto"/>
            <w:right w:val="none" w:sz="0" w:space="0" w:color="auto"/>
          </w:divBdr>
          <w:divsChild>
            <w:div w:id="1959339733">
              <w:marLeft w:val="0"/>
              <w:marRight w:val="0"/>
              <w:marTop w:val="0"/>
              <w:marBottom w:val="0"/>
              <w:divBdr>
                <w:top w:val="none" w:sz="0" w:space="0" w:color="auto"/>
                <w:left w:val="none" w:sz="0" w:space="0" w:color="auto"/>
                <w:bottom w:val="none" w:sz="0" w:space="0" w:color="auto"/>
                <w:right w:val="none" w:sz="0" w:space="0" w:color="auto"/>
              </w:divBdr>
            </w:div>
          </w:divsChild>
        </w:div>
        <w:div w:id="1384478176">
          <w:marLeft w:val="0"/>
          <w:marRight w:val="0"/>
          <w:marTop w:val="0"/>
          <w:marBottom w:val="0"/>
          <w:divBdr>
            <w:top w:val="none" w:sz="0" w:space="0" w:color="auto"/>
            <w:left w:val="none" w:sz="0" w:space="0" w:color="auto"/>
            <w:bottom w:val="none" w:sz="0" w:space="0" w:color="auto"/>
            <w:right w:val="none" w:sz="0" w:space="0" w:color="auto"/>
          </w:divBdr>
          <w:divsChild>
            <w:div w:id="560530414">
              <w:marLeft w:val="0"/>
              <w:marRight w:val="0"/>
              <w:marTop w:val="0"/>
              <w:marBottom w:val="0"/>
              <w:divBdr>
                <w:top w:val="none" w:sz="0" w:space="0" w:color="auto"/>
                <w:left w:val="none" w:sz="0" w:space="0" w:color="auto"/>
                <w:bottom w:val="none" w:sz="0" w:space="0" w:color="auto"/>
                <w:right w:val="none" w:sz="0" w:space="0" w:color="auto"/>
              </w:divBdr>
            </w:div>
          </w:divsChild>
        </w:div>
        <w:div w:id="1397165968">
          <w:marLeft w:val="0"/>
          <w:marRight w:val="0"/>
          <w:marTop w:val="0"/>
          <w:marBottom w:val="0"/>
          <w:divBdr>
            <w:top w:val="none" w:sz="0" w:space="0" w:color="auto"/>
            <w:left w:val="none" w:sz="0" w:space="0" w:color="auto"/>
            <w:bottom w:val="none" w:sz="0" w:space="0" w:color="auto"/>
            <w:right w:val="none" w:sz="0" w:space="0" w:color="auto"/>
          </w:divBdr>
          <w:divsChild>
            <w:div w:id="191385277">
              <w:marLeft w:val="0"/>
              <w:marRight w:val="0"/>
              <w:marTop w:val="0"/>
              <w:marBottom w:val="0"/>
              <w:divBdr>
                <w:top w:val="none" w:sz="0" w:space="0" w:color="auto"/>
                <w:left w:val="none" w:sz="0" w:space="0" w:color="auto"/>
                <w:bottom w:val="none" w:sz="0" w:space="0" w:color="auto"/>
                <w:right w:val="none" w:sz="0" w:space="0" w:color="auto"/>
              </w:divBdr>
            </w:div>
          </w:divsChild>
        </w:div>
        <w:div w:id="1400857443">
          <w:marLeft w:val="0"/>
          <w:marRight w:val="0"/>
          <w:marTop w:val="0"/>
          <w:marBottom w:val="0"/>
          <w:divBdr>
            <w:top w:val="none" w:sz="0" w:space="0" w:color="auto"/>
            <w:left w:val="none" w:sz="0" w:space="0" w:color="auto"/>
            <w:bottom w:val="none" w:sz="0" w:space="0" w:color="auto"/>
            <w:right w:val="none" w:sz="0" w:space="0" w:color="auto"/>
          </w:divBdr>
          <w:divsChild>
            <w:div w:id="24183560">
              <w:marLeft w:val="0"/>
              <w:marRight w:val="0"/>
              <w:marTop w:val="0"/>
              <w:marBottom w:val="0"/>
              <w:divBdr>
                <w:top w:val="none" w:sz="0" w:space="0" w:color="auto"/>
                <w:left w:val="none" w:sz="0" w:space="0" w:color="auto"/>
                <w:bottom w:val="none" w:sz="0" w:space="0" w:color="auto"/>
                <w:right w:val="none" w:sz="0" w:space="0" w:color="auto"/>
              </w:divBdr>
            </w:div>
          </w:divsChild>
        </w:div>
        <w:div w:id="1437750075">
          <w:marLeft w:val="0"/>
          <w:marRight w:val="0"/>
          <w:marTop w:val="0"/>
          <w:marBottom w:val="0"/>
          <w:divBdr>
            <w:top w:val="none" w:sz="0" w:space="0" w:color="auto"/>
            <w:left w:val="none" w:sz="0" w:space="0" w:color="auto"/>
            <w:bottom w:val="none" w:sz="0" w:space="0" w:color="auto"/>
            <w:right w:val="none" w:sz="0" w:space="0" w:color="auto"/>
          </w:divBdr>
          <w:divsChild>
            <w:div w:id="773281149">
              <w:marLeft w:val="0"/>
              <w:marRight w:val="0"/>
              <w:marTop w:val="0"/>
              <w:marBottom w:val="0"/>
              <w:divBdr>
                <w:top w:val="none" w:sz="0" w:space="0" w:color="auto"/>
                <w:left w:val="none" w:sz="0" w:space="0" w:color="auto"/>
                <w:bottom w:val="none" w:sz="0" w:space="0" w:color="auto"/>
                <w:right w:val="none" w:sz="0" w:space="0" w:color="auto"/>
              </w:divBdr>
            </w:div>
            <w:div w:id="1323315092">
              <w:marLeft w:val="0"/>
              <w:marRight w:val="0"/>
              <w:marTop w:val="0"/>
              <w:marBottom w:val="0"/>
              <w:divBdr>
                <w:top w:val="none" w:sz="0" w:space="0" w:color="auto"/>
                <w:left w:val="none" w:sz="0" w:space="0" w:color="auto"/>
                <w:bottom w:val="none" w:sz="0" w:space="0" w:color="auto"/>
                <w:right w:val="none" w:sz="0" w:space="0" w:color="auto"/>
              </w:divBdr>
            </w:div>
          </w:divsChild>
        </w:div>
        <w:div w:id="1452868091">
          <w:marLeft w:val="0"/>
          <w:marRight w:val="0"/>
          <w:marTop w:val="0"/>
          <w:marBottom w:val="0"/>
          <w:divBdr>
            <w:top w:val="none" w:sz="0" w:space="0" w:color="auto"/>
            <w:left w:val="none" w:sz="0" w:space="0" w:color="auto"/>
            <w:bottom w:val="none" w:sz="0" w:space="0" w:color="auto"/>
            <w:right w:val="none" w:sz="0" w:space="0" w:color="auto"/>
          </w:divBdr>
          <w:divsChild>
            <w:div w:id="2043943660">
              <w:marLeft w:val="0"/>
              <w:marRight w:val="0"/>
              <w:marTop w:val="0"/>
              <w:marBottom w:val="0"/>
              <w:divBdr>
                <w:top w:val="none" w:sz="0" w:space="0" w:color="auto"/>
                <w:left w:val="none" w:sz="0" w:space="0" w:color="auto"/>
                <w:bottom w:val="none" w:sz="0" w:space="0" w:color="auto"/>
                <w:right w:val="none" w:sz="0" w:space="0" w:color="auto"/>
              </w:divBdr>
            </w:div>
          </w:divsChild>
        </w:div>
        <w:div w:id="1468477622">
          <w:marLeft w:val="0"/>
          <w:marRight w:val="0"/>
          <w:marTop w:val="0"/>
          <w:marBottom w:val="0"/>
          <w:divBdr>
            <w:top w:val="none" w:sz="0" w:space="0" w:color="auto"/>
            <w:left w:val="none" w:sz="0" w:space="0" w:color="auto"/>
            <w:bottom w:val="none" w:sz="0" w:space="0" w:color="auto"/>
            <w:right w:val="none" w:sz="0" w:space="0" w:color="auto"/>
          </w:divBdr>
          <w:divsChild>
            <w:div w:id="1667246962">
              <w:marLeft w:val="0"/>
              <w:marRight w:val="0"/>
              <w:marTop w:val="0"/>
              <w:marBottom w:val="0"/>
              <w:divBdr>
                <w:top w:val="none" w:sz="0" w:space="0" w:color="auto"/>
                <w:left w:val="none" w:sz="0" w:space="0" w:color="auto"/>
                <w:bottom w:val="none" w:sz="0" w:space="0" w:color="auto"/>
                <w:right w:val="none" w:sz="0" w:space="0" w:color="auto"/>
              </w:divBdr>
            </w:div>
          </w:divsChild>
        </w:div>
        <w:div w:id="1527867343">
          <w:marLeft w:val="0"/>
          <w:marRight w:val="0"/>
          <w:marTop w:val="0"/>
          <w:marBottom w:val="0"/>
          <w:divBdr>
            <w:top w:val="none" w:sz="0" w:space="0" w:color="auto"/>
            <w:left w:val="none" w:sz="0" w:space="0" w:color="auto"/>
            <w:bottom w:val="none" w:sz="0" w:space="0" w:color="auto"/>
            <w:right w:val="none" w:sz="0" w:space="0" w:color="auto"/>
          </w:divBdr>
          <w:divsChild>
            <w:div w:id="1605916160">
              <w:marLeft w:val="0"/>
              <w:marRight w:val="0"/>
              <w:marTop w:val="0"/>
              <w:marBottom w:val="0"/>
              <w:divBdr>
                <w:top w:val="none" w:sz="0" w:space="0" w:color="auto"/>
                <w:left w:val="none" w:sz="0" w:space="0" w:color="auto"/>
                <w:bottom w:val="none" w:sz="0" w:space="0" w:color="auto"/>
                <w:right w:val="none" w:sz="0" w:space="0" w:color="auto"/>
              </w:divBdr>
            </w:div>
          </w:divsChild>
        </w:div>
        <w:div w:id="1580825005">
          <w:marLeft w:val="0"/>
          <w:marRight w:val="0"/>
          <w:marTop w:val="0"/>
          <w:marBottom w:val="0"/>
          <w:divBdr>
            <w:top w:val="none" w:sz="0" w:space="0" w:color="auto"/>
            <w:left w:val="none" w:sz="0" w:space="0" w:color="auto"/>
            <w:bottom w:val="none" w:sz="0" w:space="0" w:color="auto"/>
            <w:right w:val="none" w:sz="0" w:space="0" w:color="auto"/>
          </w:divBdr>
          <w:divsChild>
            <w:div w:id="2013946589">
              <w:marLeft w:val="0"/>
              <w:marRight w:val="0"/>
              <w:marTop w:val="0"/>
              <w:marBottom w:val="0"/>
              <w:divBdr>
                <w:top w:val="none" w:sz="0" w:space="0" w:color="auto"/>
                <w:left w:val="none" w:sz="0" w:space="0" w:color="auto"/>
                <w:bottom w:val="none" w:sz="0" w:space="0" w:color="auto"/>
                <w:right w:val="none" w:sz="0" w:space="0" w:color="auto"/>
              </w:divBdr>
            </w:div>
          </w:divsChild>
        </w:div>
        <w:div w:id="1667828604">
          <w:marLeft w:val="0"/>
          <w:marRight w:val="0"/>
          <w:marTop w:val="0"/>
          <w:marBottom w:val="0"/>
          <w:divBdr>
            <w:top w:val="none" w:sz="0" w:space="0" w:color="auto"/>
            <w:left w:val="none" w:sz="0" w:space="0" w:color="auto"/>
            <w:bottom w:val="none" w:sz="0" w:space="0" w:color="auto"/>
            <w:right w:val="none" w:sz="0" w:space="0" w:color="auto"/>
          </w:divBdr>
          <w:divsChild>
            <w:div w:id="1727756916">
              <w:marLeft w:val="0"/>
              <w:marRight w:val="0"/>
              <w:marTop w:val="0"/>
              <w:marBottom w:val="0"/>
              <w:divBdr>
                <w:top w:val="none" w:sz="0" w:space="0" w:color="auto"/>
                <w:left w:val="none" w:sz="0" w:space="0" w:color="auto"/>
                <w:bottom w:val="none" w:sz="0" w:space="0" w:color="auto"/>
                <w:right w:val="none" w:sz="0" w:space="0" w:color="auto"/>
              </w:divBdr>
            </w:div>
          </w:divsChild>
        </w:div>
        <w:div w:id="1677608001">
          <w:marLeft w:val="0"/>
          <w:marRight w:val="0"/>
          <w:marTop w:val="0"/>
          <w:marBottom w:val="0"/>
          <w:divBdr>
            <w:top w:val="none" w:sz="0" w:space="0" w:color="auto"/>
            <w:left w:val="none" w:sz="0" w:space="0" w:color="auto"/>
            <w:bottom w:val="none" w:sz="0" w:space="0" w:color="auto"/>
            <w:right w:val="none" w:sz="0" w:space="0" w:color="auto"/>
          </w:divBdr>
          <w:divsChild>
            <w:div w:id="771439916">
              <w:marLeft w:val="0"/>
              <w:marRight w:val="0"/>
              <w:marTop w:val="0"/>
              <w:marBottom w:val="0"/>
              <w:divBdr>
                <w:top w:val="none" w:sz="0" w:space="0" w:color="auto"/>
                <w:left w:val="none" w:sz="0" w:space="0" w:color="auto"/>
                <w:bottom w:val="none" w:sz="0" w:space="0" w:color="auto"/>
                <w:right w:val="none" w:sz="0" w:space="0" w:color="auto"/>
              </w:divBdr>
            </w:div>
          </w:divsChild>
        </w:div>
        <w:div w:id="1698893511">
          <w:marLeft w:val="0"/>
          <w:marRight w:val="0"/>
          <w:marTop w:val="0"/>
          <w:marBottom w:val="0"/>
          <w:divBdr>
            <w:top w:val="none" w:sz="0" w:space="0" w:color="auto"/>
            <w:left w:val="none" w:sz="0" w:space="0" w:color="auto"/>
            <w:bottom w:val="none" w:sz="0" w:space="0" w:color="auto"/>
            <w:right w:val="none" w:sz="0" w:space="0" w:color="auto"/>
          </w:divBdr>
          <w:divsChild>
            <w:div w:id="1674144631">
              <w:marLeft w:val="0"/>
              <w:marRight w:val="0"/>
              <w:marTop w:val="0"/>
              <w:marBottom w:val="0"/>
              <w:divBdr>
                <w:top w:val="none" w:sz="0" w:space="0" w:color="auto"/>
                <w:left w:val="none" w:sz="0" w:space="0" w:color="auto"/>
                <w:bottom w:val="none" w:sz="0" w:space="0" w:color="auto"/>
                <w:right w:val="none" w:sz="0" w:space="0" w:color="auto"/>
              </w:divBdr>
            </w:div>
          </w:divsChild>
        </w:div>
        <w:div w:id="1700399817">
          <w:marLeft w:val="0"/>
          <w:marRight w:val="0"/>
          <w:marTop w:val="0"/>
          <w:marBottom w:val="0"/>
          <w:divBdr>
            <w:top w:val="none" w:sz="0" w:space="0" w:color="auto"/>
            <w:left w:val="none" w:sz="0" w:space="0" w:color="auto"/>
            <w:bottom w:val="none" w:sz="0" w:space="0" w:color="auto"/>
            <w:right w:val="none" w:sz="0" w:space="0" w:color="auto"/>
          </w:divBdr>
          <w:divsChild>
            <w:div w:id="1515724688">
              <w:marLeft w:val="0"/>
              <w:marRight w:val="0"/>
              <w:marTop w:val="0"/>
              <w:marBottom w:val="0"/>
              <w:divBdr>
                <w:top w:val="none" w:sz="0" w:space="0" w:color="auto"/>
                <w:left w:val="none" w:sz="0" w:space="0" w:color="auto"/>
                <w:bottom w:val="none" w:sz="0" w:space="0" w:color="auto"/>
                <w:right w:val="none" w:sz="0" w:space="0" w:color="auto"/>
              </w:divBdr>
            </w:div>
          </w:divsChild>
        </w:div>
        <w:div w:id="1703825402">
          <w:marLeft w:val="0"/>
          <w:marRight w:val="0"/>
          <w:marTop w:val="0"/>
          <w:marBottom w:val="0"/>
          <w:divBdr>
            <w:top w:val="none" w:sz="0" w:space="0" w:color="auto"/>
            <w:left w:val="none" w:sz="0" w:space="0" w:color="auto"/>
            <w:bottom w:val="none" w:sz="0" w:space="0" w:color="auto"/>
            <w:right w:val="none" w:sz="0" w:space="0" w:color="auto"/>
          </w:divBdr>
          <w:divsChild>
            <w:div w:id="1737169084">
              <w:marLeft w:val="0"/>
              <w:marRight w:val="0"/>
              <w:marTop w:val="0"/>
              <w:marBottom w:val="0"/>
              <w:divBdr>
                <w:top w:val="none" w:sz="0" w:space="0" w:color="auto"/>
                <w:left w:val="none" w:sz="0" w:space="0" w:color="auto"/>
                <w:bottom w:val="none" w:sz="0" w:space="0" w:color="auto"/>
                <w:right w:val="none" w:sz="0" w:space="0" w:color="auto"/>
              </w:divBdr>
            </w:div>
            <w:div w:id="2039115579">
              <w:marLeft w:val="0"/>
              <w:marRight w:val="0"/>
              <w:marTop w:val="0"/>
              <w:marBottom w:val="0"/>
              <w:divBdr>
                <w:top w:val="none" w:sz="0" w:space="0" w:color="auto"/>
                <w:left w:val="none" w:sz="0" w:space="0" w:color="auto"/>
                <w:bottom w:val="none" w:sz="0" w:space="0" w:color="auto"/>
                <w:right w:val="none" w:sz="0" w:space="0" w:color="auto"/>
              </w:divBdr>
            </w:div>
          </w:divsChild>
        </w:div>
        <w:div w:id="1706179684">
          <w:marLeft w:val="0"/>
          <w:marRight w:val="0"/>
          <w:marTop w:val="0"/>
          <w:marBottom w:val="0"/>
          <w:divBdr>
            <w:top w:val="none" w:sz="0" w:space="0" w:color="auto"/>
            <w:left w:val="none" w:sz="0" w:space="0" w:color="auto"/>
            <w:bottom w:val="none" w:sz="0" w:space="0" w:color="auto"/>
            <w:right w:val="none" w:sz="0" w:space="0" w:color="auto"/>
          </w:divBdr>
          <w:divsChild>
            <w:div w:id="1521238910">
              <w:marLeft w:val="0"/>
              <w:marRight w:val="0"/>
              <w:marTop w:val="0"/>
              <w:marBottom w:val="0"/>
              <w:divBdr>
                <w:top w:val="none" w:sz="0" w:space="0" w:color="auto"/>
                <w:left w:val="none" w:sz="0" w:space="0" w:color="auto"/>
                <w:bottom w:val="none" w:sz="0" w:space="0" w:color="auto"/>
                <w:right w:val="none" w:sz="0" w:space="0" w:color="auto"/>
              </w:divBdr>
            </w:div>
          </w:divsChild>
        </w:div>
        <w:div w:id="1767728001">
          <w:marLeft w:val="0"/>
          <w:marRight w:val="0"/>
          <w:marTop w:val="0"/>
          <w:marBottom w:val="0"/>
          <w:divBdr>
            <w:top w:val="none" w:sz="0" w:space="0" w:color="auto"/>
            <w:left w:val="none" w:sz="0" w:space="0" w:color="auto"/>
            <w:bottom w:val="none" w:sz="0" w:space="0" w:color="auto"/>
            <w:right w:val="none" w:sz="0" w:space="0" w:color="auto"/>
          </w:divBdr>
          <w:divsChild>
            <w:div w:id="1193036327">
              <w:marLeft w:val="0"/>
              <w:marRight w:val="0"/>
              <w:marTop w:val="0"/>
              <w:marBottom w:val="0"/>
              <w:divBdr>
                <w:top w:val="none" w:sz="0" w:space="0" w:color="auto"/>
                <w:left w:val="none" w:sz="0" w:space="0" w:color="auto"/>
                <w:bottom w:val="none" w:sz="0" w:space="0" w:color="auto"/>
                <w:right w:val="none" w:sz="0" w:space="0" w:color="auto"/>
              </w:divBdr>
            </w:div>
          </w:divsChild>
        </w:div>
        <w:div w:id="1907301041">
          <w:marLeft w:val="0"/>
          <w:marRight w:val="0"/>
          <w:marTop w:val="0"/>
          <w:marBottom w:val="0"/>
          <w:divBdr>
            <w:top w:val="none" w:sz="0" w:space="0" w:color="auto"/>
            <w:left w:val="none" w:sz="0" w:space="0" w:color="auto"/>
            <w:bottom w:val="none" w:sz="0" w:space="0" w:color="auto"/>
            <w:right w:val="none" w:sz="0" w:space="0" w:color="auto"/>
          </w:divBdr>
          <w:divsChild>
            <w:div w:id="273754798">
              <w:marLeft w:val="0"/>
              <w:marRight w:val="0"/>
              <w:marTop w:val="0"/>
              <w:marBottom w:val="0"/>
              <w:divBdr>
                <w:top w:val="none" w:sz="0" w:space="0" w:color="auto"/>
                <w:left w:val="none" w:sz="0" w:space="0" w:color="auto"/>
                <w:bottom w:val="none" w:sz="0" w:space="0" w:color="auto"/>
                <w:right w:val="none" w:sz="0" w:space="0" w:color="auto"/>
              </w:divBdr>
            </w:div>
          </w:divsChild>
        </w:div>
        <w:div w:id="1923295050">
          <w:marLeft w:val="0"/>
          <w:marRight w:val="0"/>
          <w:marTop w:val="0"/>
          <w:marBottom w:val="0"/>
          <w:divBdr>
            <w:top w:val="none" w:sz="0" w:space="0" w:color="auto"/>
            <w:left w:val="none" w:sz="0" w:space="0" w:color="auto"/>
            <w:bottom w:val="none" w:sz="0" w:space="0" w:color="auto"/>
            <w:right w:val="none" w:sz="0" w:space="0" w:color="auto"/>
          </w:divBdr>
          <w:divsChild>
            <w:div w:id="75370580">
              <w:marLeft w:val="0"/>
              <w:marRight w:val="0"/>
              <w:marTop w:val="0"/>
              <w:marBottom w:val="0"/>
              <w:divBdr>
                <w:top w:val="none" w:sz="0" w:space="0" w:color="auto"/>
                <w:left w:val="none" w:sz="0" w:space="0" w:color="auto"/>
                <w:bottom w:val="none" w:sz="0" w:space="0" w:color="auto"/>
                <w:right w:val="none" w:sz="0" w:space="0" w:color="auto"/>
              </w:divBdr>
            </w:div>
          </w:divsChild>
        </w:div>
        <w:div w:id="1951546666">
          <w:marLeft w:val="0"/>
          <w:marRight w:val="0"/>
          <w:marTop w:val="0"/>
          <w:marBottom w:val="0"/>
          <w:divBdr>
            <w:top w:val="none" w:sz="0" w:space="0" w:color="auto"/>
            <w:left w:val="none" w:sz="0" w:space="0" w:color="auto"/>
            <w:bottom w:val="none" w:sz="0" w:space="0" w:color="auto"/>
            <w:right w:val="none" w:sz="0" w:space="0" w:color="auto"/>
          </w:divBdr>
          <w:divsChild>
            <w:div w:id="2022002319">
              <w:marLeft w:val="0"/>
              <w:marRight w:val="0"/>
              <w:marTop w:val="0"/>
              <w:marBottom w:val="0"/>
              <w:divBdr>
                <w:top w:val="none" w:sz="0" w:space="0" w:color="auto"/>
                <w:left w:val="none" w:sz="0" w:space="0" w:color="auto"/>
                <w:bottom w:val="none" w:sz="0" w:space="0" w:color="auto"/>
                <w:right w:val="none" w:sz="0" w:space="0" w:color="auto"/>
              </w:divBdr>
            </w:div>
          </w:divsChild>
        </w:div>
        <w:div w:id="1996108173">
          <w:marLeft w:val="0"/>
          <w:marRight w:val="0"/>
          <w:marTop w:val="0"/>
          <w:marBottom w:val="0"/>
          <w:divBdr>
            <w:top w:val="none" w:sz="0" w:space="0" w:color="auto"/>
            <w:left w:val="none" w:sz="0" w:space="0" w:color="auto"/>
            <w:bottom w:val="none" w:sz="0" w:space="0" w:color="auto"/>
            <w:right w:val="none" w:sz="0" w:space="0" w:color="auto"/>
          </w:divBdr>
          <w:divsChild>
            <w:div w:id="1470855396">
              <w:marLeft w:val="0"/>
              <w:marRight w:val="0"/>
              <w:marTop w:val="0"/>
              <w:marBottom w:val="0"/>
              <w:divBdr>
                <w:top w:val="none" w:sz="0" w:space="0" w:color="auto"/>
                <w:left w:val="none" w:sz="0" w:space="0" w:color="auto"/>
                <w:bottom w:val="none" w:sz="0" w:space="0" w:color="auto"/>
                <w:right w:val="none" w:sz="0" w:space="0" w:color="auto"/>
              </w:divBdr>
            </w:div>
          </w:divsChild>
        </w:div>
        <w:div w:id="2075663697">
          <w:marLeft w:val="0"/>
          <w:marRight w:val="0"/>
          <w:marTop w:val="0"/>
          <w:marBottom w:val="0"/>
          <w:divBdr>
            <w:top w:val="none" w:sz="0" w:space="0" w:color="auto"/>
            <w:left w:val="none" w:sz="0" w:space="0" w:color="auto"/>
            <w:bottom w:val="none" w:sz="0" w:space="0" w:color="auto"/>
            <w:right w:val="none" w:sz="0" w:space="0" w:color="auto"/>
          </w:divBdr>
          <w:divsChild>
            <w:div w:id="1036346081">
              <w:marLeft w:val="0"/>
              <w:marRight w:val="0"/>
              <w:marTop w:val="0"/>
              <w:marBottom w:val="0"/>
              <w:divBdr>
                <w:top w:val="none" w:sz="0" w:space="0" w:color="auto"/>
                <w:left w:val="none" w:sz="0" w:space="0" w:color="auto"/>
                <w:bottom w:val="none" w:sz="0" w:space="0" w:color="auto"/>
                <w:right w:val="none" w:sz="0" w:space="0" w:color="auto"/>
              </w:divBdr>
            </w:div>
          </w:divsChild>
        </w:div>
        <w:div w:id="2134862731">
          <w:marLeft w:val="0"/>
          <w:marRight w:val="0"/>
          <w:marTop w:val="0"/>
          <w:marBottom w:val="0"/>
          <w:divBdr>
            <w:top w:val="none" w:sz="0" w:space="0" w:color="auto"/>
            <w:left w:val="none" w:sz="0" w:space="0" w:color="auto"/>
            <w:bottom w:val="none" w:sz="0" w:space="0" w:color="auto"/>
            <w:right w:val="none" w:sz="0" w:space="0" w:color="auto"/>
          </w:divBdr>
          <w:divsChild>
            <w:div w:id="20196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99063">
      <w:bodyDiv w:val="1"/>
      <w:marLeft w:val="0"/>
      <w:marRight w:val="0"/>
      <w:marTop w:val="0"/>
      <w:marBottom w:val="0"/>
      <w:divBdr>
        <w:top w:val="none" w:sz="0" w:space="0" w:color="auto"/>
        <w:left w:val="none" w:sz="0" w:space="0" w:color="auto"/>
        <w:bottom w:val="none" w:sz="0" w:space="0" w:color="auto"/>
        <w:right w:val="none" w:sz="0" w:space="0" w:color="auto"/>
      </w:divBdr>
      <w:divsChild>
        <w:div w:id="17702597">
          <w:marLeft w:val="0"/>
          <w:marRight w:val="0"/>
          <w:marTop w:val="0"/>
          <w:marBottom w:val="0"/>
          <w:divBdr>
            <w:top w:val="none" w:sz="0" w:space="0" w:color="auto"/>
            <w:left w:val="none" w:sz="0" w:space="0" w:color="auto"/>
            <w:bottom w:val="none" w:sz="0" w:space="0" w:color="auto"/>
            <w:right w:val="none" w:sz="0" w:space="0" w:color="auto"/>
          </w:divBdr>
          <w:divsChild>
            <w:div w:id="917597465">
              <w:marLeft w:val="0"/>
              <w:marRight w:val="0"/>
              <w:marTop w:val="0"/>
              <w:marBottom w:val="0"/>
              <w:divBdr>
                <w:top w:val="none" w:sz="0" w:space="0" w:color="auto"/>
                <w:left w:val="none" w:sz="0" w:space="0" w:color="auto"/>
                <w:bottom w:val="none" w:sz="0" w:space="0" w:color="auto"/>
                <w:right w:val="none" w:sz="0" w:space="0" w:color="auto"/>
              </w:divBdr>
            </w:div>
          </w:divsChild>
        </w:div>
        <w:div w:id="39861575">
          <w:marLeft w:val="0"/>
          <w:marRight w:val="0"/>
          <w:marTop w:val="0"/>
          <w:marBottom w:val="0"/>
          <w:divBdr>
            <w:top w:val="none" w:sz="0" w:space="0" w:color="auto"/>
            <w:left w:val="none" w:sz="0" w:space="0" w:color="auto"/>
            <w:bottom w:val="none" w:sz="0" w:space="0" w:color="auto"/>
            <w:right w:val="none" w:sz="0" w:space="0" w:color="auto"/>
          </w:divBdr>
          <w:divsChild>
            <w:div w:id="556283581">
              <w:marLeft w:val="0"/>
              <w:marRight w:val="0"/>
              <w:marTop w:val="0"/>
              <w:marBottom w:val="0"/>
              <w:divBdr>
                <w:top w:val="none" w:sz="0" w:space="0" w:color="auto"/>
                <w:left w:val="none" w:sz="0" w:space="0" w:color="auto"/>
                <w:bottom w:val="none" w:sz="0" w:space="0" w:color="auto"/>
                <w:right w:val="none" w:sz="0" w:space="0" w:color="auto"/>
              </w:divBdr>
            </w:div>
          </w:divsChild>
        </w:div>
        <w:div w:id="55056383">
          <w:marLeft w:val="0"/>
          <w:marRight w:val="0"/>
          <w:marTop w:val="0"/>
          <w:marBottom w:val="0"/>
          <w:divBdr>
            <w:top w:val="none" w:sz="0" w:space="0" w:color="auto"/>
            <w:left w:val="none" w:sz="0" w:space="0" w:color="auto"/>
            <w:bottom w:val="none" w:sz="0" w:space="0" w:color="auto"/>
            <w:right w:val="none" w:sz="0" w:space="0" w:color="auto"/>
          </w:divBdr>
          <w:divsChild>
            <w:div w:id="1383938402">
              <w:marLeft w:val="0"/>
              <w:marRight w:val="0"/>
              <w:marTop w:val="0"/>
              <w:marBottom w:val="0"/>
              <w:divBdr>
                <w:top w:val="none" w:sz="0" w:space="0" w:color="auto"/>
                <w:left w:val="none" w:sz="0" w:space="0" w:color="auto"/>
                <w:bottom w:val="none" w:sz="0" w:space="0" w:color="auto"/>
                <w:right w:val="none" w:sz="0" w:space="0" w:color="auto"/>
              </w:divBdr>
            </w:div>
          </w:divsChild>
        </w:div>
        <w:div w:id="71582245">
          <w:marLeft w:val="0"/>
          <w:marRight w:val="0"/>
          <w:marTop w:val="0"/>
          <w:marBottom w:val="0"/>
          <w:divBdr>
            <w:top w:val="none" w:sz="0" w:space="0" w:color="auto"/>
            <w:left w:val="none" w:sz="0" w:space="0" w:color="auto"/>
            <w:bottom w:val="none" w:sz="0" w:space="0" w:color="auto"/>
            <w:right w:val="none" w:sz="0" w:space="0" w:color="auto"/>
          </w:divBdr>
          <w:divsChild>
            <w:div w:id="854609535">
              <w:marLeft w:val="0"/>
              <w:marRight w:val="0"/>
              <w:marTop w:val="0"/>
              <w:marBottom w:val="0"/>
              <w:divBdr>
                <w:top w:val="none" w:sz="0" w:space="0" w:color="auto"/>
                <w:left w:val="none" w:sz="0" w:space="0" w:color="auto"/>
                <w:bottom w:val="none" w:sz="0" w:space="0" w:color="auto"/>
                <w:right w:val="none" w:sz="0" w:space="0" w:color="auto"/>
              </w:divBdr>
            </w:div>
          </w:divsChild>
        </w:div>
        <w:div w:id="121461404">
          <w:marLeft w:val="0"/>
          <w:marRight w:val="0"/>
          <w:marTop w:val="0"/>
          <w:marBottom w:val="0"/>
          <w:divBdr>
            <w:top w:val="none" w:sz="0" w:space="0" w:color="auto"/>
            <w:left w:val="none" w:sz="0" w:space="0" w:color="auto"/>
            <w:bottom w:val="none" w:sz="0" w:space="0" w:color="auto"/>
            <w:right w:val="none" w:sz="0" w:space="0" w:color="auto"/>
          </w:divBdr>
          <w:divsChild>
            <w:div w:id="239143363">
              <w:marLeft w:val="0"/>
              <w:marRight w:val="0"/>
              <w:marTop w:val="0"/>
              <w:marBottom w:val="0"/>
              <w:divBdr>
                <w:top w:val="none" w:sz="0" w:space="0" w:color="auto"/>
                <w:left w:val="none" w:sz="0" w:space="0" w:color="auto"/>
                <w:bottom w:val="none" w:sz="0" w:space="0" w:color="auto"/>
                <w:right w:val="none" w:sz="0" w:space="0" w:color="auto"/>
              </w:divBdr>
            </w:div>
          </w:divsChild>
        </w:div>
        <w:div w:id="173762318">
          <w:marLeft w:val="0"/>
          <w:marRight w:val="0"/>
          <w:marTop w:val="0"/>
          <w:marBottom w:val="0"/>
          <w:divBdr>
            <w:top w:val="none" w:sz="0" w:space="0" w:color="auto"/>
            <w:left w:val="none" w:sz="0" w:space="0" w:color="auto"/>
            <w:bottom w:val="none" w:sz="0" w:space="0" w:color="auto"/>
            <w:right w:val="none" w:sz="0" w:space="0" w:color="auto"/>
          </w:divBdr>
          <w:divsChild>
            <w:div w:id="806704047">
              <w:marLeft w:val="0"/>
              <w:marRight w:val="0"/>
              <w:marTop w:val="0"/>
              <w:marBottom w:val="0"/>
              <w:divBdr>
                <w:top w:val="none" w:sz="0" w:space="0" w:color="auto"/>
                <w:left w:val="none" w:sz="0" w:space="0" w:color="auto"/>
                <w:bottom w:val="none" w:sz="0" w:space="0" w:color="auto"/>
                <w:right w:val="none" w:sz="0" w:space="0" w:color="auto"/>
              </w:divBdr>
            </w:div>
          </w:divsChild>
        </w:div>
        <w:div w:id="198469143">
          <w:marLeft w:val="0"/>
          <w:marRight w:val="0"/>
          <w:marTop w:val="0"/>
          <w:marBottom w:val="0"/>
          <w:divBdr>
            <w:top w:val="none" w:sz="0" w:space="0" w:color="auto"/>
            <w:left w:val="none" w:sz="0" w:space="0" w:color="auto"/>
            <w:bottom w:val="none" w:sz="0" w:space="0" w:color="auto"/>
            <w:right w:val="none" w:sz="0" w:space="0" w:color="auto"/>
          </w:divBdr>
          <w:divsChild>
            <w:div w:id="1697462810">
              <w:marLeft w:val="0"/>
              <w:marRight w:val="0"/>
              <w:marTop w:val="0"/>
              <w:marBottom w:val="0"/>
              <w:divBdr>
                <w:top w:val="none" w:sz="0" w:space="0" w:color="auto"/>
                <w:left w:val="none" w:sz="0" w:space="0" w:color="auto"/>
                <w:bottom w:val="none" w:sz="0" w:space="0" w:color="auto"/>
                <w:right w:val="none" w:sz="0" w:space="0" w:color="auto"/>
              </w:divBdr>
            </w:div>
          </w:divsChild>
        </w:div>
        <w:div w:id="200286598">
          <w:marLeft w:val="0"/>
          <w:marRight w:val="0"/>
          <w:marTop w:val="0"/>
          <w:marBottom w:val="0"/>
          <w:divBdr>
            <w:top w:val="none" w:sz="0" w:space="0" w:color="auto"/>
            <w:left w:val="none" w:sz="0" w:space="0" w:color="auto"/>
            <w:bottom w:val="none" w:sz="0" w:space="0" w:color="auto"/>
            <w:right w:val="none" w:sz="0" w:space="0" w:color="auto"/>
          </w:divBdr>
          <w:divsChild>
            <w:div w:id="769394839">
              <w:marLeft w:val="0"/>
              <w:marRight w:val="0"/>
              <w:marTop w:val="0"/>
              <w:marBottom w:val="0"/>
              <w:divBdr>
                <w:top w:val="none" w:sz="0" w:space="0" w:color="auto"/>
                <w:left w:val="none" w:sz="0" w:space="0" w:color="auto"/>
                <w:bottom w:val="none" w:sz="0" w:space="0" w:color="auto"/>
                <w:right w:val="none" w:sz="0" w:space="0" w:color="auto"/>
              </w:divBdr>
            </w:div>
          </w:divsChild>
        </w:div>
        <w:div w:id="213080116">
          <w:marLeft w:val="0"/>
          <w:marRight w:val="0"/>
          <w:marTop w:val="0"/>
          <w:marBottom w:val="0"/>
          <w:divBdr>
            <w:top w:val="none" w:sz="0" w:space="0" w:color="auto"/>
            <w:left w:val="none" w:sz="0" w:space="0" w:color="auto"/>
            <w:bottom w:val="none" w:sz="0" w:space="0" w:color="auto"/>
            <w:right w:val="none" w:sz="0" w:space="0" w:color="auto"/>
          </w:divBdr>
          <w:divsChild>
            <w:div w:id="1515530443">
              <w:marLeft w:val="0"/>
              <w:marRight w:val="0"/>
              <w:marTop w:val="0"/>
              <w:marBottom w:val="0"/>
              <w:divBdr>
                <w:top w:val="none" w:sz="0" w:space="0" w:color="auto"/>
                <w:left w:val="none" w:sz="0" w:space="0" w:color="auto"/>
                <w:bottom w:val="none" w:sz="0" w:space="0" w:color="auto"/>
                <w:right w:val="none" w:sz="0" w:space="0" w:color="auto"/>
              </w:divBdr>
            </w:div>
          </w:divsChild>
        </w:div>
        <w:div w:id="215745866">
          <w:marLeft w:val="0"/>
          <w:marRight w:val="0"/>
          <w:marTop w:val="0"/>
          <w:marBottom w:val="0"/>
          <w:divBdr>
            <w:top w:val="none" w:sz="0" w:space="0" w:color="auto"/>
            <w:left w:val="none" w:sz="0" w:space="0" w:color="auto"/>
            <w:bottom w:val="none" w:sz="0" w:space="0" w:color="auto"/>
            <w:right w:val="none" w:sz="0" w:space="0" w:color="auto"/>
          </w:divBdr>
          <w:divsChild>
            <w:div w:id="1958632558">
              <w:marLeft w:val="0"/>
              <w:marRight w:val="0"/>
              <w:marTop w:val="0"/>
              <w:marBottom w:val="0"/>
              <w:divBdr>
                <w:top w:val="none" w:sz="0" w:space="0" w:color="auto"/>
                <w:left w:val="none" w:sz="0" w:space="0" w:color="auto"/>
                <w:bottom w:val="none" w:sz="0" w:space="0" w:color="auto"/>
                <w:right w:val="none" w:sz="0" w:space="0" w:color="auto"/>
              </w:divBdr>
            </w:div>
          </w:divsChild>
        </w:div>
        <w:div w:id="229310812">
          <w:marLeft w:val="0"/>
          <w:marRight w:val="0"/>
          <w:marTop w:val="0"/>
          <w:marBottom w:val="0"/>
          <w:divBdr>
            <w:top w:val="none" w:sz="0" w:space="0" w:color="auto"/>
            <w:left w:val="none" w:sz="0" w:space="0" w:color="auto"/>
            <w:bottom w:val="none" w:sz="0" w:space="0" w:color="auto"/>
            <w:right w:val="none" w:sz="0" w:space="0" w:color="auto"/>
          </w:divBdr>
          <w:divsChild>
            <w:div w:id="2108847423">
              <w:marLeft w:val="0"/>
              <w:marRight w:val="0"/>
              <w:marTop w:val="0"/>
              <w:marBottom w:val="0"/>
              <w:divBdr>
                <w:top w:val="none" w:sz="0" w:space="0" w:color="auto"/>
                <w:left w:val="none" w:sz="0" w:space="0" w:color="auto"/>
                <w:bottom w:val="none" w:sz="0" w:space="0" w:color="auto"/>
                <w:right w:val="none" w:sz="0" w:space="0" w:color="auto"/>
              </w:divBdr>
            </w:div>
          </w:divsChild>
        </w:div>
        <w:div w:id="238175173">
          <w:marLeft w:val="0"/>
          <w:marRight w:val="0"/>
          <w:marTop w:val="0"/>
          <w:marBottom w:val="0"/>
          <w:divBdr>
            <w:top w:val="none" w:sz="0" w:space="0" w:color="auto"/>
            <w:left w:val="none" w:sz="0" w:space="0" w:color="auto"/>
            <w:bottom w:val="none" w:sz="0" w:space="0" w:color="auto"/>
            <w:right w:val="none" w:sz="0" w:space="0" w:color="auto"/>
          </w:divBdr>
          <w:divsChild>
            <w:div w:id="225772928">
              <w:marLeft w:val="0"/>
              <w:marRight w:val="0"/>
              <w:marTop w:val="0"/>
              <w:marBottom w:val="0"/>
              <w:divBdr>
                <w:top w:val="none" w:sz="0" w:space="0" w:color="auto"/>
                <w:left w:val="none" w:sz="0" w:space="0" w:color="auto"/>
                <w:bottom w:val="none" w:sz="0" w:space="0" w:color="auto"/>
                <w:right w:val="none" w:sz="0" w:space="0" w:color="auto"/>
              </w:divBdr>
            </w:div>
          </w:divsChild>
        </w:div>
        <w:div w:id="302934181">
          <w:marLeft w:val="0"/>
          <w:marRight w:val="0"/>
          <w:marTop w:val="0"/>
          <w:marBottom w:val="0"/>
          <w:divBdr>
            <w:top w:val="none" w:sz="0" w:space="0" w:color="auto"/>
            <w:left w:val="none" w:sz="0" w:space="0" w:color="auto"/>
            <w:bottom w:val="none" w:sz="0" w:space="0" w:color="auto"/>
            <w:right w:val="none" w:sz="0" w:space="0" w:color="auto"/>
          </w:divBdr>
          <w:divsChild>
            <w:div w:id="209921885">
              <w:marLeft w:val="0"/>
              <w:marRight w:val="0"/>
              <w:marTop w:val="0"/>
              <w:marBottom w:val="0"/>
              <w:divBdr>
                <w:top w:val="none" w:sz="0" w:space="0" w:color="auto"/>
                <w:left w:val="none" w:sz="0" w:space="0" w:color="auto"/>
                <w:bottom w:val="none" w:sz="0" w:space="0" w:color="auto"/>
                <w:right w:val="none" w:sz="0" w:space="0" w:color="auto"/>
              </w:divBdr>
            </w:div>
            <w:div w:id="946502345">
              <w:marLeft w:val="0"/>
              <w:marRight w:val="0"/>
              <w:marTop w:val="0"/>
              <w:marBottom w:val="0"/>
              <w:divBdr>
                <w:top w:val="none" w:sz="0" w:space="0" w:color="auto"/>
                <w:left w:val="none" w:sz="0" w:space="0" w:color="auto"/>
                <w:bottom w:val="none" w:sz="0" w:space="0" w:color="auto"/>
                <w:right w:val="none" w:sz="0" w:space="0" w:color="auto"/>
              </w:divBdr>
            </w:div>
          </w:divsChild>
        </w:div>
        <w:div w:id="383522823">
          <w:marLeft w:val="0"/>
          <w:marRight w:val="0"/>
          <w:marTop w:val="0"/>
          <w:marBottom w:val="0"/>
          <w:divBdr>
            <w:top w:val="none" w:sz="0" w:space="0" w:color="auto"/>
            <w:left w:val="none" w:sz="0" w:space="0" w:color="auto"/>
            <w:bottom w:val="none" w:sz="0" w:space="0" w:color="auto"/>
            <w:right w:val="none" w:sz="0" w:space="0" w:color="auto"/>
          </w:divBdr>
          <w:divsChild>
            <w:div w:id="298651012">
              <w:marLeft w:val="0"/>
              <w:marRight w:val="0"/>
              <w:marTop w:val="0"/>
              <w:marBottom w:val="0"/>
              <w:divBdr>
                <w:top w:val="none" w:sz="0" w:space="0" w:color="auto"/>
                <w:left w:val="none" w:sz="0" w:space="0" w:color="auto"/>
                <w:bottom w:val="none" w:sz="0" w:space="0" w:color="auto"/>
                <w:right w:val="none" w:sz="0" w:space="0" w:color="auto"/>
              </w:divBdr>
            </w:div>
          </w:divsChild>
        </w:div>
        <w:div w:id="387723245">
          <w:marLeft w:val="0"/>
          <w:marRight w:val="0"/>
          <w:marTop w:val="0"/>
          <w:marBottom w:val="0"/>
          <w:divBdr>
            <w:top w:val="none" w:sz="0" w:space="0" w:color="auto"/>
            <w:left w:val="none" w:sz="0" w:space="0" w:color="auto"/>
            <w:bottom w:val="none" w:sz="0" w:space="0" w:color="auto"/>
            <w:right w:val="none" w:sz="0" w:space="0" w:color="auto"/>
          </w:divBdr>
          <w:divsChild>
            <w:div w:id="873233681">
              <w:marLeft w:val="0"/>
              <w:marRight w:val="0"/>
              <w:marTop w:val="0"/>
              <w:marBottom w:val="0"/>
              <w:divBdr>
                <w:top w:val="none" w:sz="0" w:space="0" w:color="auto"/>
                <w:left w:val="none" w:sz="0" w:space="0" w:color="auto"/>
                <w:bottom w:val="none" w:sz="0" w:space="0" w:color="auto"/>
                <w:right w:val="none" w:sz="0" w:space="0" w:color="auto"/>
              </w:divBdr>
            </w:div>
          </w:divsChild>
        </w:div>
        <w:div w:id="396051897">
          <w:marLeft w:val="0"/>
          <w:marRight w:val="0"/>
          <w:marTop w:val="0"/>
          <w:marBottom w:val="0"/>
          <w:divBdr>
            <w:top w:val="none" w:sz="0" w:space="0" w:color="auto"/>
            <w:left w:val="none" w:sz="0" w:space="0" w:color="auto"/>
            <w:bottom w:val="none" w:sz="0" w:space="0" w:color="auto"/>
            <w:right w:val="none" w:sz="0" w:space="0" w:color="auto"/>
          </w:divBdr>
          <w:divsChild>
            <w:div w:id="1463839435">
              <w:marLeft w:val="0"/>
              <w:marRight w:val="0"/>
              <w:marTop w:val="0"/>
              <w:marBottom w:val="0"/>
              <w:divBdr>
                <w:top w:val="none" w:sz="0" w:space="0" w:color="auto"/>
                <w:left w:val="none" w:sz="0" w:space="0" w:color="auto"/>
                <w:bottom w:val="none" w:sz="0" w:space="0" w:color="auto"/>
                <w:right w:val="none" w:sz="0" w:space="0" w:color="auto"/>
              </w:divBdr>
            </w:div>
          </w:divsChild>
        </w:div>
        <w:div w:id="433937463">
          <w:marLeft w:val="0"/>
          <w:marRight w:val="0"/>
          <w:marTop w:val="0"/>
          <w:marBottom w:val="0"/>
          <w:divBdr>
            <w:top w:val="none" w:sz="0" w:space="0" w:color="auto"/>
            <w:left w:val="none" w:sz="0" w:space="0" w:color="auto"/>
            <w:bottom w:val="none" w:sz="0" w:space="0" w:color="auto"/>
            <w:right w:val="none" w:sz="0" w:space="0" w:color="auto"/>
          </w:divBdr>
          <w:divsChild>
            <w:div w:id="890530777">
              <w:marLeft w:val="0"/>
              <w:marRight w:val="0"/>
              <w:marTop w:val="0"/>
              <w:marBottom w:val="0"/>
              <w:divBdr>
                <w:top w:val="none" w:sz="0" w:space="0" w:color="auto"/>
                <w:left w:val="none" w:sz="0" w:space="0" w:color="auto"/>
                <w:bottom w:val="none" w:sz="0" w:space="0" w:color="auto"/>
                <w:right w:val="none" w:sz="0" w:space="0" w:color="auto"/>
              </w:divBdr>
            </w:div>
          </w:divsChild>
        </w:div>
        <w:div w:id="462700974">
          <w:marLeft w:val="0"/>
          <w:marRight w:val="0"/>
          <w:marTop w:val="0"/>
          <w:marBottom w:val="0"/>
          <w:divBdr>
            <w:top w:val="none" w:sz="0" w:space="0" w:color="auto"/>
            <w:left w:val="none" w:sz="0" w:space="0" w:color="auto"/>
            <w:bottom w:val="none" w:sz="0" w:space="0" w:color="auto"/>
            <w:right w:val="none" w:sz="0" w:space="0" w:color="auto"/>
          </w:divBdr>
          <w:divsChild>
            <w:div w:id="1954361028">
              <w:marLeft w:val="0"/>
              <w:marRight w:val="0"/>
              <w:marTop w:val="0"/>
              <w:marBottom w:val="0"/>
              <w:divBdr>
                <w:top w:val="none" w:sz="0" w:space="0" w:color="auto"/>
                <w:left w:val="none" w:sz="0" w:space="0" w:color="auto"/>
                <w:bottom w:val="none" w:sz="0" w:space="0" w:color="auto"/>
                <w:right w:val="none" w:sz="0" w:space="0" w:color="auto"/>
              </w:divBdr>
            </w:div>
          </w:divsChild>
        </w:div>
        <w:div w:id="538785849">
          <w:marLeft w:val="0"/>
          <w:marRight w:val="0"/>
          <w:marTop w:val="0"/>
          <w:marBottom w:val="0"/>
          <w:divBdr>
            <w:top w:val="none" w:sz="0" w:space="0" w:color="auto"/>
            <w:left w:val="none" w:sz="0" w:space="0" w:color="auto"/>
            <w:bottom w:val="none" w:sz="0" w:space="0" w:color="auto"/>
            <w:right w:val="none" w:sz="0" w:space="0" w:color="auto"/>
          </w:divBdr>
          <w:divsChild>
            <w:div w:id="1503082684">
              <w:marLeft w:val="0"/>
              <w:marRight w:val="0"/>
              <w:marTop w:val="0"/>
              <w:marBottom w:val="0"/>
              <w:divBdr>
                <w:top w:val="none" w:sz="0" w:space="0" w:color="auto"/>
                <w:left w:val="none" w:sz="0" w:space="0" w:color="auto"/>
                <w:bottom w:val="none" w:sz="0" w:space="0" w:color="auto"/>
                <w:right w:val="none" w:sz="0" w:space="0" w:color="auto"/>
              </w:divBdr>
            </w:div>
          </w:divsChild>
        </w:div>
        <w:div w:id="560602583">
          <w:marLeft w:val="0"/>
          <w:marRight w:val="0"/>
          <w:marTop w:val="0"/>
          <w:marBottom w:val="0"/>
          <w:divBdr>
            <w:top w:val="none" w:sz="0" w:space="0" w:color="auto"/>
            <w:left w:val="none" w:sz="0" w:space="0" w:color="auto"/>
            <w:bottom w:val="none" w:sz="0" w:space="0" w:color="auto"/>
            <w:right w:val="none" w:sz="0" w:space="0" w:color="auto"/>
          </w:divBdr>
          <w:divsChild>
            <w:div w:id="510530222">
              <w:marLeft w:val="0"/>
              <w:marRight w:val="0"/>
              <w:marTop w:val="0"/>
              <w:marBottom w:val="0"/>
              <w:divBdr>
                <w:top w:val="none" w:sz="0" w:space="0" w:color="auto"/>
                <w:left w:val="none" w:sz="0" w:space="0" w:color="auto"/>
                <w:bottom w:val="none" w:sz="0" w:space="0" w:color="auto"/>
                <w:right w:val="none" w:sz="0" w:space="0" w:color="auto"/>
              </w:divBdr>
            </w:div>
          </w:divsChild>
        </w:div>
        <w:div w:id="590546826">
          <w:marLeft w:val="0"/>
          <w:marRight w:val="0"/>
          <w:marTop w:val="0"/>
          <w:marBottom w:val="0"/>
          <w:divBdr>
            <w:top w:val="none" w:sz="0" w:space="0" w:color="auto"/>
            <w:left w:val="none" w:sz="0" w:space="0" w:color="auto"/>
            <w:bottom w:val="none" w:sz="0" w:space="0" w:color="auto"/>
            <w:right w:val="none" w:sz="0" w:space="0" w:color="auto"/>
          </w:divBdr>
          <w:divsChild>
            <w:div w:id="852766814">
              <w:marLeft w:val="0"/>
              <w:marRight w:val="0"/>
              <w:marTop w:val="0"/>
              <w:marBottom w:val="0"/>
              <w:divBdr>
                <w:top w:val="none" w:sz="0" w:space="0" w:color="auto"/>
                <w:left w:val="none" w:sz="0" w:space="0" w:color="auto"/>
                <w:bottom w:val="none" w:sz="0" w:space="0" w:color="auto"/>
                <w:right w:val="none" w:sz="0" w:space="0" w:color="auto"/>
              </w:divBdr>
            </w:div>
          </w:divsChild>
        </w:div>
        <w:div w:id="608391313">
          <w:marLeft w:val="0"/>
          <w:marRight w:val="0"/>
          <w:marTop w:val="0"/>
          <w:marBottom w:val="0"/>
          <w:divBdr>
            <w:top w:val="none" w:sz="0" w:space="0" w:color="auto"/>
            <w:left w:val="none" w:sz="0" w:space="0" w:color="auto"/>
            <w:bottom w:val="none" w:sz="0" w:space="0" w:color="auto"/>
            <w:right w:val="none" w:sz="0" w:space="0" w:color="auto"/>
          </w:divBdr>
          <w:divsChild>
            <w:div w:id="1501459495">
              <w:marLeft w:val="0"/>
              <w:marRight w:val="0"/>
              <w:marTop w:val="0"/>
              <w:marBottom w:val="0"/>
              <w:divBdr>
                <w:top w:val="none" w:sz="0" w:space="0" w:color="auto"/>
                <w:left w:val="none" w:sz="0" w:space="0" w:color="auto"/>
                <w:bottom w:val="none" w:sz="0" w:space="0" w:color="auto"/>
                <w:right w:val="none" w:sz="0" w:space="0" w:color="auto"/>
              </w:divBdr>
            </w:div>
          </w:divsChild>
        </w:div>
        <w:div w:id="658728026">
          <w:marLeft w:val="0"/>
          <w:marRight w:val="0"/>
          <w:marTop w:val="0"/>
          <w:marBottom w:val="0"/>
          <w:divBdr>
            <w:top w:val="none" w:sz="0" w:space="0" w:color="auto"/>
            <w:left w:val="none" w:sz="0" w:space="0" w:color="auto"/>
            <w:bottom w:val="none" w:sz="0" w:space="0" w:color="auto"/>
            <w:right w:val="none" w:sz="0" w:space="0" w:color="auto"/>
          </w:divBdr>
          <w:divsChild>
            <w:div w:id="1293749096">
              <w:marLeft w:val="0"/>
              <w:marRight w:val="0"/>
              <w:marTop w:val="0"/>
              <w:marBottom w:val="0"/>
              <w:divBdr>
                <w:top w:val="none" w:sz="0" w:space="0" w:color="auto"/>
                <w:left w:val="none" w:sz="0" w:space="0" w:color="auto"/>
                <w:bottom w:val="none" w:sz="0" w:space="0" w:color="auto"/>
                <w:right w:val="none" w:sz="0" w:space="0" w:color="auto"/>
              </w:divBdr>
            </w:div>
          </w:divsChild>
        </w:div>
        <w:div w:id="664286499">
          <w:marLeft w:val="0"/>
          <w:marRight w:val="0"/>
          <w:marTop w:val="0"/>
          <w:marBottom w:val="0"/>
          <w:divBdr>
            <w:top w:val="none" w:sz="0" w:space="0" w:color="auto"/>
            <w:left w:val="none" w:sz="0" w:space="0" w:color="auto"/>
            <w:bottom w:val="none" w:sz="0" w:space="0" w:color="auto"/>
            <w:right w:val="none" w:sz="0" w:space="0" w:color="auto"/>
          </w:divBdr>
          <w:divsChild>
            <w:div w:id="1212813020">
              <w:marLeft w:val="0"/>
              <w:marRight w:val="0"/>
              <w:marTop w:val="0"/>
              <w:marBottom w:val="0"/>
              <w:divBdr>
                <w:top w:val="none" w:sz="0" w:space="0" w:color="auto"/>
                <w:left w:val="none" w:sz="0" w:space="0" w:color="auto"/>
                <w:bottom w:val="none" w:sz="0" w:space="0" w:color="auto"/>
                <w:right w:val="none" w:sz="0" w:space="0" w:color="auto"/>
              </w:divBdr>
            </w:div>
          </w:divsChild>
        </w:div>
        <w:div w:id="711736480">
          <w:marLeft w:val="0"/>
          <w:marRight w:val="0"/>
          <w:marTop w:val="0"/>
          <w:marBottom w:val="0"/>
          <w:divBdr>
            <w:top w:val="none" w:sz="0" w:space="0" w:color="auto"/>
            <w:left w:val="none" w:sz="0" w:space="0" w:color="auto"/>
            <w:bottom w:val="none" w:sz="0" w:space="0" w:color="auto"/>
            <w:right w:val="none" w:sz="0" w:space="0" w:color="auto"/>
          </w:divBdr>
          <w:divsChild>
            <w:div w:id="311523481">
              <w:marLeft w:val="0"/>
              <w:marRight w:val="0"/>
              <w:marTop w:val="0"/>
              <w:marBottom w:val="0"/>
              <w:divBdr>
                <w:top w:val="none" w:sz="0" w:space="0" w:color="auto"/>
                <w:left w:val="none" w:sz="0" w:space="0" w:color="auto"/>
                <w:bottom w:val="none" w:sz="0" w:space="0" w:color="auto"/>
                <w:right w:val="none" w:sz="0" w:space="0" w:color="auto"/>
              </w:divBdr>
            </w:div>
          </w:divsChild>
        </w:div>
        <w:div w:id="726799081">
          <w:marLeft w:val="0"/>
          <w:marRight w:val="0"/>
          <w:marTop w:val="0"/>
          <w:marBottom w:val="0"/>
          <w:divBdr>
            <w:top w:val="none" w:sz="0" w:space="0" w:color="auto"/>
            <w:left w:val="none" w:sz="0" w:space="0" w:color="auto"/>
            <w:bottom w:val="none" w:sz="0" w:space="0" w:color="auto"/>
            <w:right w:val="none" w:sz="0" w:space="0" w:color="auto"/>
          </w:divBdr>
          <w:divsChild>
            <w:div w:id="1295982018">
              <w:marLeft w:val="0"/>
              <w:marRight w:val="0"/>
              <w:marTop w:val="0"/>
              <w:marBottom w:val="0"/>
              <w:divBdr>
                <w:top w:val="none" w:sz="0" w:space="0" w:color="auto"/>
                <w:left w:val="none" w:sz="0" w:space="0" w:color="auto"/>
                <w:bottom w:val="none" w:sz="0" w:space="0" w:color="auto"/>
                <w:right w:val="none" w:sz="0" w:space="0" w:color="auto"/>
              </w:divBdr>
            </w:div>
          </w:divsChild>
        </w:div>
        <w:div w:id="769668680">
          <w:marLeft w:val="0"/>
          <w:marRight w:val="0"/>
          <w:marTop w:val="0"/>
          <w:marBottom w:val="0"/>
          <w:divBdr>
            <w:top w:val="none" w:sz="0" w:space="0" w:color="auto"/>
            <w:left w:val="none" w:sz="0" w:space="0" w:color="auto"/>
            <w:bottom w:val="none" w:sz="0" w:space="0" w:color="auto"/>
            <w:right w:val="none" w:sz="0" w:space="0" w:color="auto"/>
          </w:divBdr>
          <w:divsChild>
            <w:div w:id="1242252130">
              <w:marLeft w:val="0"/>
              <w:marRight w:val="0"/>
              <w:marTop w:val="0"/>
              <w:marBottom w:val="0"/>
              <w:divBdr>
                <w:top w:val="none" w:sz="0" w:space="0" w:color="auto"/>
                <w:left w:val="none" w:sz="0" w:space="0" w:color="auto"/>
                <w:bottom w:val="none" w:sz="0" w:space="0" w:color="auto"/>
                <w:right w:val="none" w:sz="0" w:space="0" w:color="auto"/>
              </w:divBdr>
            </w:div>
          </w:divsChild>
        </w:div>
        <w:div w:id="847989670">
          <w:marLeft w:val="0"/>
          <w:marRight w:val="0"/>
          <w:marTop w:val="0"/>
          <w:marBottom w:val="0"/>
          <w:divBdr>
            <w:top w:val="none" w:sz="0" w:space="0" w:color="auto"/>
            <w:left w:val="none" w:sz="0" w:space="0" w:color="auto"/>
            <w:bottom w:val="none" w:sz="0" w:space="0" w:color="auto"/>
            <w:right w:val="none" w:sz="0" w:space="0" w:color="auto"/>
          </w:divBdr>
          <w:divsChild>
            <w:div w:id="939486630">
              <w:marLeft w:val="0"/>
              <w:marRight w:val="0"/>
              <w:marTop w:val="0"/>
              <w:marBottom w:val="0"/>
              <w:divBdr>
                <w:top w:val="none" w:sz="0" w:space="0" w:color="auto"/>
                <w:left w:val="none" w:sz="0" w:space="0" w:color="auto"/>
                <w:bottom w:val="none" w:sz="0" w:space="0" w:color="auto"/>
                <w:right w:val="none" w:sz="0" w:space="0" w:color="auto"/>
              </w:divBdr>
            </w:div>
          </w:divsChild>
        </w:div>
        <w:div w:id="858661688">
          <w:marLeft w:val="0"/>
          <w:marRight w:val="0"/>
          <w:marTop w:val="0"/>
          <w:marBottom w:val="0"/>
          <w:divBdr>
            <w:top w:val="none" w:sz="0" w:space="0" w:color="auto"/>
            <w:left w:val="none" w:sz="0" w:space="0" w:color="auto"/>
            <w:bottom w:val="none" w:sz="0" w:space="0" w:color="auto"/>
            <w:right w:val="none" w:sz="0" w:space="0" w:color="auto"/>
          </w:divBdr>
          <w:divsChild>
            <w:div w:id="1800538658">
              <w:marLeft w:val="0"/>
              <w:marRight w:val="0"/>
              <w:marTop w:val="0"/>
              <w:marBottom w:val="0"/>
              <w:divBdr>
                <w:top w:val="none" w:sz="0" w:space="0" w:color="auto"/>
                <w:left w:val="none" w:sz="0" w:space="0" w:color="auto"/>
                <w:bottom w:val="none" w:sz="0" w:space="0" w:color="auto"/>
                <w:right w:val="none" w:sz="0" w:space="0" w:color="auto"/>
              </w:divBdr>
            </w:div>
          </w:divsChild>
        </w:div>
        <w:div w:id="921186147">
          <w:marLeft w:val="0"/>
          <w:marRight w:val="0"/>
          <w:marTop w:val="0"/>
          <w:marBottom w:val="0"/>
          <w:divBdr>
            <w:top w:val="none" w:sz="0" w:space="0" w:color="auto"/>
            <w:left w:val="none" w:sz="0" w:space="0" w:color="auto"/>
            <w:bottom w:val="none" w:sz="0" w:space="0" w:color="auto"/>
            <w:right w:val="none" w:sz="0" w:space="0" w:color="auto"/>
          </w:divBdr>
          <w:divsChild>
            <w:div w:id="1406301517">
              <w:marLeft w:val="0"/>
              <w:marRight w:val="0"/>
              <w:marTop w:val="0"/>
              <w:marBottom w:val="0"/>
              <w:divBdr>
                <w:top w:val="none" w:sz="0" w:space="0" w:color="auto"/>
                <w:left w:val="none" w:sz="0" w:space="0" w:color="auto"/>
                <w:bottom w:val="none" w:sz="0" w:space="0" w:color="auto"/>
                <w:right w:val="none" w:sz="0" w:space="0" w:color="auto"/>
              </w:divBdr>
            </w:div>
          </w:divsChild>
        </w:div>
        <w:div w:id="949507665">
          <w:marLeft w:val="0"/>
          <w:marRight w:val="0"/>
          <w:marTop w:val="0"/>
          <w:marBottom w:val="0"/>
          <w:divBdr>
            <w:top w:val="none" w:sz="0" w:space="0" w:color="auto"/>
            <w:left w:val="none" w:sz="0" w:space="0" w:color="auto"/>
            <w:bottom w:val="none" w:sz="0" w:space="0" w:color="auto"/>
            <w:right w:val="none" w:sz="0" w:space="0" w:color="auto"/>
          </w:divBdr>
          <w:divsChild>
            <w:div w:id="1633361190">
              <w:marLeft w:val="0"/>
              <w:marRight w:val="0"/>
              <w:marTop w:val="0"/>
              <w:marBottom w:val="0"/>
              <w:divBdr>
                <w:top w:val="none" w:sz="0" w:space="0" w:color="auto"/>
                <w:left w:val="none" w:sz="0" w:space="0" w:color="auto"/>
                <w:bottom w:val="none" w:sz="0" w:space="0" w:color="auto"/>
                <w:right w:val="none" w:sz="0" w:space="0" w:color="auto"/>
              </w:divBdr>
            </w:div>
          </w:divsChild>
        </w:div>
        <w:div w:id="976494523">
          <w:marLeft w:val="0"/>
          <w:marRight w:val="0"/>
          <w:marTop w:val="0"/>
          <w:marBottom w:val="0"/>
          <w:divBdr>
            <w:top w:val="none" w:sz="0" w:space="0" w:color="auto"/>
            <w:left w:val="none" w:sz="0" w:space="0" w:color="auto"/>
            <w:bottom w:val="none" w:sz="0" w:space="0" w:color="auto"/>
            <w:right w:val="none" w:sz="0" w:space="0" w:color="auto"/>
          </w:divBdr>
          <w:divsChild>
            <w:div w:id="655033045">
              <w:marLeft w:val="0"/>
              <w:marRight w:val="0"/>
              <w:marTop w:val="0"/>
              <w:marBottom w:val="0"/>
              <w:divBdr>
                <w:top w:val="none" w:sz="0" w:space="0" w:color="auto"/>
                <w:left w:val="none" w:sz="0" w:space="0" w:color="auto"/>
                <w:bottom w:val="none" w:sz="0" w:space="0" w:color="auto"/>
                <w:right w:val="none" w:sz="0" w:space="0" w:color="auto"/>
              </w:divBdr>
            </w:div>
          </w:divsChild>
        </w:div>
        <w:div w:id="1070615234">
          <w:marLeft w:val="0"/>
          <w:marRight w:val="0"/>
          <w:marTop w:val="0"/>
          <w:marBottom w:val="0"/>
          <w:divBdr>
            <w:top w:val="none" w:sz="0" w:space="0" w:color="auto"/>
            <w:left w:val="none" w:sz="0" w:space="0" w:color="auto"/>
            <w:bottom w:val="none" w:sz="0" w:space="0" w:color="auto"/>
            <w:right w:val="none" w:sz="0" w:space="0" w:color="auto"/>
          </w:divBdr>
          <w:divsChild>
            <w:div w:id="1849558955">
              <w:marLeft w:val="0"/>
              <w:marRight w:val="0"/>
              <w:marTop w:val="0"/>
              <w:marBottom w:val="0"/>
              <w:divBdr>
                <w:top w:val="none" w:sz="0" w:space="0" w:color="auto"/>
                <w:left w:val="none" w:sz="0" w:space="0" w:color="auto"/>
                <w:bottom w:val="none" w:sz="0" w:space="0" w:color="auto"/>
                <w:right w:val="none" w:sz="0" w:space="0" w:color="auto"/>
              </w:divBdr>
            </w:div>
          </w:divsChild>
        </w:div>
        <w:div w:id="1085608849">
          <w:marLeft w:val="0"/>
          <w:marRight w:val="0"/>
          <w:marTop w:val="0"/>
          <w:marBottom w:val="0"/>
          <w:divBdr>
            <w:top w:val="none" w:sz="0" w:space="0" w:color="auto"/>
            <w:left w:val="none" w:sz="0" w:space="0" w:color="auto"/>
            <w:bottom w:val="none" w:sz="0" w:space="0" w:color="auto"/>
            <w:right w:val="none" w:sz="0" w:space="0" w:color="auto"/>
          </w:divBdr>
          <w:divsChild>
            <w:div w:id="954991224">
              <w:marLeft w:val="0"/>
              <w:marRight w:val="0"/>
              <w:marTop w:val="0"/>
              <w:marBottom w:val="0"/>
              <w:divBdr>
                <w:top w:val="none" w:sz="0" w:space="0" w:color="auto"/>
                <w:left w:val="none" w:sz="0" w:space="0" w:color="auto"/>
                <w:bottom w:val="none" w:sz="0" w:space="0" w:color="auto"/>
                <w:right w:val="none" w:sz="0" w:space="0" w:color="auto"/>
              </w:divBdr>
            </w:div>
            <w:div w:id="1042245717">
              <w:marLeft w:val="0"/>
              <w:marRight w:val="0"/>
              <w:marTop w:val="0"/>
              <w:marBottom w:val="0"/>
              <w:divBdr>
                <w:top w:val="none" w:sz="0" w:space="0" w:color="auto"/>
                <w:left w:val="none" w:sz="0" w:space="0" w:color="auto"/>
                <w:bottom w:val="none" w:sz="0" w:space="0" w:color="auto"/>
                <w:right w:val="none" w:sz="0" w:space="0" w:color="auto"/>
              </w:divBdr>
            </w:div>
          </w:divsChild>
        </w:div>
        <w:div w:id="1130979612">
          <w:marLeft w:val="0"/>
          <w:marRight w:val="0"/>
          <w:marTop w:val="0"/>
          <w:marBottom w:val="0"/>
          <w:divBdr>
            <w:top w:val="none" w:sz="0" w:space="0" w:color="auto"/>
            <w:left w:val="none" w:sz="0" w:space="0" w:color="auto"/>
            <w:bottom w:val="none" w:sz="0" w:space="0" w:color="auto"/>
            <w:right w:val="none" w:sz="0" w:space="0" w:color="auto"/>
          </w:divBdr>
          <w:divsChild>
            <w:div w:id="344553565">
              <w:marLeft w:val="0"/>
              <w:marRight w:val="0"/>
              <w:marTop w:val="0"/>
              <w:marBottom w:val="0"/>
              <w:divBdr>
                <w:top w:val="none" w:sz="0" w:space="0" w:color="auto"/>
                <w:left w:val="none" w:sz="0" w:space="0" w:color="auto"/>
                <w:bottom w:val="none" w:sz="0" w:space="0" w:color="auto"/>
                <w:right w:val="none" w:sz="0" w:space="0" w:color="auto"/>
              </w:divBdr>
            </w:div>
          </w:divsChild>
        </w:div>
        <w:div w:id="1153066750">
          <w:marLeft w:val="0"/>
          <w:marRight w:val="0"/>
          <w:marTop w:val="0"/>
          <w:marBottom w:val="0"/>
          <w:divBdr>
            <w:top w:val="none" w:sz="0" w:space="0" w:color="auto"/>
            <w:left w:val="none" w:sz="0" w:space="0" w:color="auto"/>
            <w:bottom w:val="none" w:sz="0" w:space="0" w:color="auto"/>
            <w:right w:val="none" w:sz="0" w:space="0" w:color="auto"/>
          </w:divBdr>
          <w:divsChild>
            <w:div w:id="1103572997">
              <w:marLeft w:val="0"/>
              <w:marRight w:val="0"/>
              <w:marTop w:val="0"/>
              <w:marBottom w:val="0"/>
              <w:divBdr>
                <w:top w:val="none" w:sz="0" w:space="0" w:color="auto"/>
                <w:left w:val="none" w:sz="0" w:space="0" w:color="auto"/>
                <w:bottom w:val="none" w:sz="0" w:space="0" w:color="auto"/>
                <w:right w:val="none" w:sz="0" w:space="0" w:color="auto"/>
              </w:divBdr>
            </w:div>
            <w:div w:id="1437991287">
              <w:marLeft w:val="0"/>
              <w:marRight w:val="0"/>
              <w:marTop w:val="0"/>
              <w:marBottom w:val="0"/>
              <w:divBdr>
                <w:top w:val="none" w:sz="0" w:space="0" w:color="auto"/>
                <w:left w:val="none" w:sz="0" w:space="0" w:color="auto"/>
                <w:bottom w:val="none" w:sz="0" w:space="0" w:color="auto"/>
                <w:right w:val="none" w:sz="0" w:space="0" w:color="auto"/>
              </w:divBdr>
            </w:div>
          </w:divsChild>
        </w:div>
        <w:div w:id="1175191560">
          <w:marLeft w:val="0"/>
          <w:marRight w:val="0"/>
          <w:marTop w:val="0"/>
          <w:marBottom w:val="0"/>
          <w:divBdr>
            <w:top w:val="none" w:sz="0" w:space="0" w:color="auto"/>
            <w:left w:val="none" w:sz="0" w:space="0" w:color="auto"/>
            <w:bottom w:val="none" w:sz="0" w:space="0" w:color="auto"/>
            <w:right w:val="none" w:sz="0" w:space="0" w:color="auto"/>
          </w:divBdr>
          <w:divsChild>
            <w:div w:id="609316496">
              <w:marLeft w:val="0"/>
              <w:marRight w:val="0"/>
              <w:marTop w:val="0"/>
              <w:marBottom w:val="0"/>
              <w:divBdr>
                <w:top w:val="none" w:sz="0" w:space="0" w:color="auto"/>
                <w:left w:val="none" w:sz="0" w:space="0" w:color="auto"/>
                <w:bottom w:val="none" w:sz="0" w:space="0" w:color="auto"/>
                <w:right w:val="none" w:sz="0" w:space="0" w:color="auto"/>
              </w:divBdr>
            </w:div>
          </w:divsChild>
        </w:div>
        <w:div w:id="1175533760">
          <w:marLeft w:val="0"/>
          <w:marRight w:val="0"/>
          <w:marTop w:val="0"/>
          <w:marBottom w:val="0"/>
          <w:divBdr>
            <w:top w:val="none" w:sz="0" w:space="0" w:color="auto"/>
            <w:left w:val="none" w:sz="0" w:space="0" w:color="auto"/>
            <w:bottom w:val="none" w:sz="0" w:space="0" w:color="auto"/>
            <w:right w:val="none" w:sz="0" w:space="0" w:color="auto"/>
          </w:divBdr>
          <w:divsChild>
            <w:div w:id="1500733269">
              <w:marLeft w:val="0"/>
              <w:marRight w:val="0"/>
              <w:marTop w:val="0"/>
              <w:marBottom w:val="0"/>
              <w:divBdr>
                <w:top w:val="none" w:sz="0" w:space="0" w:color="auto"/>
                <w:left w:val="none" w:sz="0" w:space="0" w:color="auto"/>
                <w:bottom w:val="none" w:sz="0" w:space="0" w:color="auto"/>
                <w:right w:val="none" w:sz="0" w:space="0" w:color="auto"/>
              </w:divBdr>
            </w:div>
            <w:div w:id="1864172352">
              <w:marLeft w:val="0"/>
              <w:marRight w:val="0"/>
              <w:marTop w:val="0"/>
              <w:marBottom w:val="0"/>
              <w:divBdr>
                <w:top w:val="none" w:sz="0" w:space="0" w:color="auto"/>
                <w:left w:val="none" w:sz="0" w:space="0" w:color="auto"/>
                <w:bottom w:val="none" w:sz="0" w:space="0" w:color="auto"/>
                <w:right w:val="none" w:sz="0" w:space="0" w:color="auto"/>
              </w:divBdr>
            </w:div>
          </w:divsChild>
        </w:div>
        <w:div w:id="1223709047">
          <w:marLeft w:val="0"/>
          <w:marRight w:val="0"/>
          <w:marTop w:val="0"/>
          <w:marBottom w:val="0"/>
          <w:divBdr>
            <w:top w:val="none" w:sz="0" w:space="0" w:color="auto"/>
            <w:left w:val="none" w:sz="0" w:space="0" w:color="auto"/>
            <w:bottom w:val="none" w:sz="0" w:space="0" w:color="auto"/>
            <w:right w:val="none" w:sz="0" w:space="0" w:color="auto"/>
          </w:divBdr>
          <w:divsChild>
            <w:div w:id="1999727779">
              <w:marLeft w:val="0"/>
              <w:marRight w:val="0"/>
              <w:marTop w:val="0"/>
              <w:marBottom w:val="0"/>
              <w:divBdr>
                <w:top w:val="none" w:sz="0" w:space="0" w:color="auto"/>
                <w:left w:val="none" w:sz="0" w:space="0" w:color="auto"/>
                <w:bottom w:val="none" w:sz="0" w:space="0" w:color="auto"/>
                <w:right w:val="none" w:sz="0" w:space="0" w:color="auto"/>
              </w:divBdr>
            </w:div>
          </w:divsChild>
        </w:div>
        <w:div w:id="1318652918">
          <w:marLeft w:val="0"/>
          <w:marRight w:val="0"/>
          <w:marTop w:val="0"/>
          <w:marBottom w:val="0"/>
          <w:divBdr>
            <w:top w:val="none" w:sz="0" w:space="0" w:color="auto"/>
            <w:left w:val="none" w:sz="0" w:space="0" w:color="auto"/>
            <w:bottom w:val="none" w:sz="0" w:space="0" w:color="auto"/>
            <w:right w:val="none" w:sz="0" w:space="0" w:color="auto"/>
          </w:divBdr>
          <w:divsChild>
            <w:div w:id="1046294823">
              <w:marLeft w:val="0"/>
              <w:marRight w:val="0"/>
              <w:marTop w:val="0"/>
              <w:marBottom w:val="0"/>
              <w:divBdr>
                <w:top w:val="none" w:sz="0" w:space="0" w:color="auto"/>
                <w:left w:val="none" w:sz="0" w:space="0" w:color="auto"/>
                <w:bottom w:val="none" w:sz="0" w:space="0" w:color="auto"/>
                <w:right w:val="none" w:sz="0" w:space="0" w:color="auto"/>
              </w:divBdr>
            </w:div>
          </w:divsChild>
        </w:div>
        <w:div w:id="1395466798">
          <w:marLeft w:val="0"/>
          <w:marRight w:val="0"/>
          <w:marTop w:val="0"/>
          <w:marBottom w:val="0"/>
          <w:divBdr>
            <w:top w:val="none" w:sz="0" w:space="0" w:color="auto"/>
            <w:left w:val="none" w:sz="0" w:space="0" w:color="auto"/>
            <w:bottom w:val="none" w:sz="0" w:space="0" w:color="auto"/>
            <w:right w:val="none" w:sz="0" w:space="0" w:color="auto"/>
          </w:divBdr>
          <w:divsChild>
            <w:div w:id="1183280558">
              <w:marLeft w:val="0"/>
              <w:marRight w:val="0"/>
              <w:marTop w:val="0"/>
              <w:marBottom w:val="0"/>
              <w:divBdr>
                <w:top w:val="none" w:sz="0" w:space="0" w:color="auto"/>
                <w:left w:val="none" w:sz="0" w:space="0" w:color="auto"/>
                <w:bottom w:val="none" w:sz="0" w:space="0" w:color="auto"/>
                <w:right w:val="none" w:sz="0" w:space="0" w:color="auto"/>
              </w:divBdr>
            </w:div>
          </w:divsChild>
        </w:div>
        <w:div w:id="1448507671">
          <w:marLeft w:val="0"/>
          <w:marRight w:val="0"/>
          <w:marTop w:val="0"/>
          <w:marBottom w:val="0"/>
          <w:divBdr>
            <w:top w:val="none" w:sz="0" w:space="0" w:color="auto"/>
            <w:left w:val="none" w:sz="0" w:space="0" w:color="auto"/>
            <w:bottom w:val="none" w:sz="0" w:space="0" w:color="auto"/>
            <w:right w:val="none" w:sz="0" w:space="0" w:color="auto"/>
          </w:divBdr>
          <w:divsChild>
            <w:div w:id="1712343618">
              <w:marLeft w:val="0"/>
              <w:marRight w:val="0"/>
              <w:marTop w:val="0"/>
              <w:marBottom w:val="0"/>
              <w:divBdr>
                <w:top w:val="none" w:sz="0" w:space="0" w:color="auto"/>
                <w:left w:val="none" w:sz="0" w:space="0" w:color="auto"/>
                <w:bottom w:val="none" w:sz="0" w:space="0" w:color="auto"/>
                <w:right w:val="none" w:sz="0" w:space="0" w:color="auto"/>
              </w:divBdr>
            </w:div>
          </w:divsChild>
        </w:div>
        <w:div w:id="1450785375">
          <w:marLeft w:val="0"/>
          <w:marRight w:val="0"/>
          <w:marTop w:val="0"/>
          <w:marBottom w:val="0"/>
          <w:divBdr>
            <w:top w:val="none" w:sz="0" w:space="0" w:color="auto"/>
            <w:left w:val="none" w:sz="0" w:space="0" w:color="auto"/>
            <w:bottom w:val="none" w:sz="0" w:space="0" w:color="auto"/>
            <w:right w:val="none" w:sz="0" w:space="0" w:color="auto"/>
          </w:divBdr>
          <w:divsChild>
            <w:div w:id="2051105307">
              <w:marLeft w:val="0"/>
              <w:marRight w:val="0"/>
              <w:marTop w:val="0"/>
              <w:marBottom w:val="0"/>
              <w:divBdr>
                <w:top w:val="none" w:sz="0" w:space="0" w:color="auto"/>
                <w:left w:val="none" w:sz="0" w:space="0" w:color="auto"/>
                <w:bottom w:val="none" w:sz="0" w:space="0" w:color="auto"/>
                <w:right w:val="none" w:sz="0" w:space="0" w:color="auto"/>
              </w:divBdr>
            </w:div>
          </w:divsChild>
        </w:div>
        <w:div w:id="1497187927">
          <w:marLeft w:val="0"/>
          <w:marRight w:val="0"/>
          <w:marTop w:val="0"/>
          <w:marBottom w:val="0"/>
          <w:divBdr>
            <w:top w:val="none" w:sz="0" w:space="0" w:color="auto"/>
            <w:left w:val="none" w:sz="0" w:space="0" w:color="auto"/>
            <w:bottom w:val="none" w:sz="0" w:space="0" w:color="auto"/>
            <w:right w:val="none" w:sz="0" w:space="0" w:color="auto"/>
          </w:divBdr>
          <w:divsChild>
            <w:div w:id="839614148">
              <w:marLeft w:val="0"/>
              <w:marRight w:val="0"/>
              <w:marTop w:val="0"/>
              <w:marBottom w:val="0"/>
              <w:divBdr>
                <w:top w:val="none" w:sz="0" w:space="0" w:color="auto"/>
                <w:left w:val="none" w:sz="0" w:space="0" w:color="auto"/>
                <w:bottom w:val="none" w:sz="0" w:space="0" w:color="auto"/>
                <w:right w:val="none" w:sz="0" w:space="0" w:color="auto"/>
              </w:divBdr>
            </w:div>
            <w:div w:id="1369985552">
              <w:marLeft w:val="0"/>
              <w:marRight w:val="0"/>
              <w:marTop w:val="0"/>
              <w:marBottom w:val="0"/>
              <w:divBdr>
                <w:top w:val="none" w:sz="0" w:space="0" w:color="auto"/>
                <w:left w:val="none" w:sz="0" w:space="0" w:color="auto"/>
                <w:bottom w:val="none" w:sz="0" w:space="0" w:color="auto"/>
                <w:right w:val="none" w:sz="0" w:space="0" w:color="auto"/>
              </w:divBdr>
            </w:div>
          </w:divsChild>
        </w:div>
        <w:div w:id="1642420633">
          <w:marLeft w:val="0"/>
          <w:marRight w:val="0"/>
          <w:marTop w:val="0"/>
          <w:marBottom w:val="0"/>
          <w:divBdr>
            <w:top w:val="none" w:sz="0" w:space="0" w:color="auto"/>
            <w:left w:val="none" w:sz="0" w:space="0" w:color="auto"/>
            <w:bottom w:val="none" w:sz="0" w:space="0" w:color="auto"/>
            <w:right w:val="none" w:sz="0" w:space="0" w:color="auto"/>
          </w:divBdr>
          <w:divsChild>
            <w:div w:id="1933588356">
              <w:marLeft w:val="0"/>
              <w:marRight w:val="0"/>
              <w:marTop w:val="0"/>
              <w:marBottom w:val="0"/>
              <w:divBdr>
                <w:top w:val="none" w:sz="0" w:space="0" w:color="auto"/>
                <w:left w:val="none" w:sz="0" w:space="0" w:color="auto"/>
                <w:bottom w:val="none" w:sz="0" w:space="0" w:color="auto"/>
                <w:right w:val="none" w:sz="0" w:space="0" w:color="auto"/>
              </w:divBdr>
            </w:div>
          </w:divsChild>
        </w:div>
        <w:div w:id="1659918333">
          <w:marLeft w:val="0"/>
          <w:marRight w:val="0"/>
          <w:marTop w:val="0"/>
          <w:marBottom w:val="0"/>
          <w:divBdr>
            <w:top w:val="none" w:sz="0" w:space="0" w:color="auto"/>
            <w:left w:val="none" w:sz="0" w:space="0" w:color="auto"/>
            <w:bottom w:val="none" w:sz="0" w:space="0" w:color="auto"/>
            <w:right w:val="none" w:sz="0" w:space="0" w:color="auto"/>
          </w:divBdr>
          <w:divsChild>
            <w:div w:id="197010774">
              <w:marLeft w:val="0"/>
              <w:marRight w:val="0"/>
              <w:marTop w:val="0"/>
              <w:marBottom w:val="0"/>
              <w:divBdr>
                <w:top w:val="none" w:sz="0" w:space="0" w:color="auto"/>
                <w:left w:val="none" w:sz="0" w:space="0" w:color="auto"/>
                <w:bottom w:val="none" w:sz="0" w:space="0" w:color="auto"/>
                <w:right w:val="none" w:sz="0" w:space="0" w:color="auto"/>
              </w:divBdr>
            </w:div>
          </w:divsChild>
        </w:div>
        <w:div w:id="1720740560">
          <w:marLeft w:val="0"/>
          <w:marRight w:val="0"/>
          <w:marTop w:val="0"/>
          <w:marBottom w:val="0"/>
          <w:divBdr>
            <w:top w:val="none" w:sz="0" w:space="0" w:color="auto"/>
            <w:left w:val="none" w:sz="0" w:space="0" w:color="auto"/>
            <w:bottom w:val="none" w:sz="0" w:space="0" w:color="auto"/>
            <w:right w:val="none" w:sz="0" w:space="0" w:color="auto"/>
          </w:divBdr>
          <w:divsChild>
            <w:div w:id="1715541536">
              <w:marLeft w:val="0"/>
              <w:marRight w:val="0"/>
              <w:marTop w:val="0"/>
              <w:marBottom w:val="0"/>
              <w:divBdr>
                <w:top w:val="none" w:sz="0" w:space="0" w:color="auto"/>
                <w:left w:val="none" w:sz="0" w:space="0" w:color="auto"/>
                <w:bottom w:val="none" w:sz="0" w:space="0" w:color="auto"/>
                <w:right w:val="none" w:sz="0" w:space="0" w:color="auto"/>
              </w:divBdr>
            </w:div>
          </w:divsChild>
        </w:div>
        <w:div w:id="1768043797">
          <w:marLeft w:val="0"/>
          <w:marRight w:val="0"/>
          <w:marTop w:val="0"/>
          <w:marBottom w:val="0"/>
          <w:divBdr>
            <w:top w:val="none" w:sz="0" w:space="0" w:color="auto"/>
            <w:left w:val="none" w:sz="0" w:space="0" w:color="auto"/>
            <w:bottom w:val="none" w:sz="0" w:space="0" w:color="auto"/>
            <w:right w:val="none" w:sz="0" w:space="0" w:color="auto"/>
          </w:divBdr>
          <w:divsChild>
            <w:div w:id="64107573">
              <w:marLeft w:val="0"/>
              <w:marRight w:val="0"/>
              <w:marTop w:val="0"/>
              <w:marBottom w:val="0"/>
              <w:divBdr>
                <w:top w:val="none" w:sz="0" w:space="0" w:color="auto"/>
                <w:left w:val="none" w:sz="0" w:space="0" w:color="auto"/>
                <w:bottom w:val="none" w:sz="0" w:space="0" w:color="auto"/>
                <w:right w:val="none" w:sz="0" w:space="0" w:color="auto"/>
              </w:divBdr>
            </w:div>
          </w:divsChild>
        </w:div>
        <w:div w:id="1915889512">
          <w:marLeft w:val="0"/>
          <w:marRight w:val="0"/>
          <w:marTop w:val="0"/>
          <w:marBottom w:val="0"/>
          <w:divBdr>
            <w:top w:val="none" w:sz="0" w:space="0" w:color="auto"/>
            <w:left w:val="none" w:sz="0" w:space="0" w:color="auto"/>
            <w:bottom w:val="none" w:sz="0" w:space="0" w:color="auto"/>
            <w:right w:val="none" w:sz="0" w:space="0" w:color="auto"/>
          </w:divBdr>
          <w:divsChild>
            <w:div w:id="232349385">
              <w:marLeft w:val="0"/>
              <w:marRight w:val="0"/>
              <w:marTop w:val="0"/>
              <w:marBottom w:val="0"/>
              <w:divBdr>
                <w:top w:val="none" w:sz="0" w:space="0" w:color="auto"/>
                <w:left w:val="none" w:sz="0" w:space="0" w:color="auto"/>
                <w:bottom w:val="none" w:sz="0" w:space="0" w:color="auto"/>
                <w:right w:val="none" w:sz="0" w:space="0" w:color="auto"/>
              </w:divBdr>
            </w:div>
          </w:divsChild>
        </w:div>
        <w:div w:id="1931156257">
          <w:marLeft w:val="0"/>
          <w:marRight w:val="0"/>
          <w:marTop w:val="0"/>
          <w:marBottom w:val="0"/>
          <w:divBdr>
            <w:top w:val="none" w:sz="0" w:space="0" w:color="auto"/>
            <w:left w:val="none" w:sz="0" w:space="0" w:color="auto"/>
            <w:bottom w:val="none" w:sz="0" w:space="0" w:color="auto"/>
            <w:right w:val="none" w:sz="0" w:space="0" w:color="auto"/>
          </w:divBdr>
          <w:divsChild>
            <w:div w:id="943151627">
              <w:marLeft w:val="0"/>
              <w:marRight w:val="0"/>
              <w:marTop w:val="0"/>
              <w:marBottom w:val="0"/>
              <w:divBdr>
                <w:top w:val="none" w:sz="0" w:space="0" w:color="auto"/>
                <w:left w:val="none" w:sz="0" w:space="0" w:color="auto"/>
                <w:bottom w:val="none" w:sz="0" w:space="0" w:color="auto"/>
                <w:right w:val="none" w:sz="0" w:space="0" w:color="auto"/>
              </w:divBdr>
            </w:div>
          </w:divsChild>
        </w:div>
        <w:div w:id="1967618949">
          <w:marLeft w:val="0"/>
          <w:marRight w:val="0"/>
          <w:marTop w:val="0"/>
          <w:marBottom w:val="0"/>
          <w:divBdr>
            <w:top w:val="none" w:sz="0" w:space="0" w:color="auto"/>
            <w:left w:val="none" w:sz="0" w:space="0" w:color="auto"/>
            <w:bottom w:val="none" w:sz="0" w:space="0" w:color="auto"/>
            <w:right w:val="none" w:sz="0" w:space="0" w:color="auto"/>
          </w:divBdr>
          <w:divsChild>
            <w:div w:id="169949288">
              <w:marLeft w:val="0"/>
              <w:marRight w:val="0"/>
              <w:marTop w:val="0"/>
              <w:marBottom w:val="0"/>
              <w:divBdr>
                <w:top w:val="none" w:sz="0" w:space="0" w:color="auto"/>
                <w:left w:val="none" w:sz="0" w:space="0" w:color="auto"/>
                <w:bottom w:val="none" w:sz="0" w:space="0" w:color="auto"/>
                <w:right w:val="none" w:sz="0" w:space="0" w:color="auto"/>
              </w:divBdr>
            </w:div>
          </w:divsChild>
        </w:div>
        <w:div w:id="1997223999">
          <w:marLeft w:val="0"/>
          <w:marRight w:val="0"/>
          <w:marTop w:val="0"/>
          <w:marBottom w:val="0"/>
          <w:divBdr>
            <w:top w:val="none" w:sz="0" w:space="0" w:color="auto"/>
            <w:left w:val="none" w:sz="0" w:space="0" w:color="auto"/>
            <w:bottom w:val="none" w:sz="0" w:space="0" w:color="auto"/>
            <w:right w:val="none" w:sz="0" w:space="0" w:color="auto"/>
          </w:divBdr>
          <w:divsChild>
            <w:div w:id="1743747090">
              <w:marLeft w:val="0"/>
              <w:marRight w:val="0"/>
              <w:marTop w:val="0"/>
              <w:marBottom w:val="0"/>
              <w:divBdr>
                <w:top w:val="none" w:sz="0" w:space="0" w:color="auto"/>
                <w:left w:val="none" w:sz="0" w:space="0" w:color="auto"/>
                <w:bottom w:val="none" w:sz="0" w:space="0" w:color="auto"/>
                <w:right w:val="none" w:sz="0" w:space="0" w:color="auto"/>
              </w:divBdr>
            </w:div>
          </w:divsChild>
        </w:div>
        <w:div w:id="2072804251">
          <w:marLeft w:val="0"/>
          <w:marRight w:val="0"/>
          <w:marTop w:val="0"/>
          <w:marBottom w:val="0"/>
          <w:divBdr>
            <w:top w:val="none" w:sz="0" w:space="0" w:color="auto"/>
            <w:left w:val="none" w:sz="0" w:space="0" w:color="auto"/>
            <w:bottom w:val="none" w:sz="0" w:space="0" w:color="auto"/>
            <w:right w:val="none" w:sz="0" w:space="0" w:color="auto"/>
          </w:divBdr>
          <w:divsChild>
            <w:div w:id="1639991474">
              <w:marLeft w:val="0"/>
              <w:marRight w:val="0"/>
              <w:marTop w:val="0"/>
              <w:marBottom w:val="0"/>
              <w:divBdr>
                <w:top w:val="none" w:sz="0" w:space="0" w:color="auto"/>
                <w:left w:val="none" w:sz="0" w:space="0" w:color="auto"/>
                <w:bottom w:val="none" w:sz="0" w:space="0" w:color="auto"/>
                <w:right w:val="none" w:sz="0" w:space="0" w:color="auto"/>
              </w:divBdr>
            </w:div>
          </w:divsChild>
        </w:div>
        <w:div w:id="2082677501">
          <w:marLeft w:val="0"/>
          <w:marRight w:val="0"/>
          <w:marTop w:val="0"/>
          <w:marBottom w:val="0"/>
          <w:divBdr>
            <w:top w:val="none" w:sz="0" w:space="0" w:color="auto"/>
            <w:left w:val="none" w:sz="0" w:space="0" w:color="auto"/>
            <w:bottom w:val="none" w:sz="0" w:space="0" w:color="auto"/>
            <w:right w:val="none" w:sz="0" w:space="0" w:color="auto"/>
          </w:divBdr>
          <w:divsChild>
            <w:div w:id="479420055">
              <w:marLeft w:val="0"/>
              <w:marRight w:val="0"/>
              <w:marTop w:val="0"/>
              <w:marBottom w:val="0"/>
              <w:divBdr>
                <w:top w:val="none" w:sz="0" w:space="0" w:color="auto"/>
                <w:left w:val="none" w:sz="0" w:space="0" w:color="auto"/>
                <w:bottom w:val="none" w:sz="0" w:space="0" w:color="auto"/>
                <w:right w:val="none" w:sz="0" w:space="0" w:color="auto"/>
              </w:divBdr>
            </w:div>
          </w:divsChild>
        </w:div>
        <w:div w:id="2119328223">
          <w:marLeft w:val="0"/>
          <w:marRight w:val="0"/>
          <w:marTop w:val="0"/>
          <w:marBottom w:val="0"/>
          <w:divBdr>
            <w:top w:val="none" w:sz="0" w:space="0" w:color="auto"/>
            <w:left w:val="none" w:sz="0" w:space="0" w:color="auto"/>
            <w:bottom w:val="none" w:sz="0" w:space="0" w:color="auto"/>
            <w:right w:val="none" w:sz="0" w:space="0" w:color="auto"/>
          </w:divBdr>
          <w:divsChild>
            <w:div w:id="17714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8206">
      <w:bodyDiv w:val="1"/>
      <w:marLeft w:val="0"/>
      <w:marRight w:val="0"/>
      <w:marTop w:val="0"/>
      <w:marBottom w:val="0"/>
      <w:divBdr>
        <w:top w:val="none" w:sz="0" w:space="0" w:color="auto"/>
        <w:left w:val="none" w:sz="0" w:space="0" w:color="auto"/>
        <w:bottom w:val="none" w:sz="0" w:space="0" w:color="auto"/>
        <w:right w:val="none" w:sz="0" w:space="0" w:color="auto"/>
      </w:divBdr>
    </w:div>
    <w:div w:id="1742412951">
      <w:bodyDiv w:val="1"/>
      <w:marLeft w:val="0"/>
      <w:marRight w:val="0"/>
      <w:marTop w:val="0"/>
      <w:marBottom w:val="0"/>
      <w:divBdr>
        <w:top w:val="none" w:sz="0" w:space="0" w:color="auto"/>
        <w:left w:val="none" w:sz="0" w:space="0" w:color="auto"/>
        <w:bottom w:val="none" w:sz="0" w:space="0" w:color="auto"/>
        <w:right w:val="none" w:sz="0" w:space="0" w:color="auto"/>
      </w:divBdr>
      <w:divsChild>
        <w:div w:id="251398954">
          <w:marLeft w:val="0"/>
          <w:marRight w:val="0"/>
          <w:marTop w:val="0"/>
          <w:marBottom w:val="0"/>
          <w:divBdr>
            <w:top w:val="none" w:sz="0" w:space="0" w:color="auto"/>
            <w:left w:val="none" w:sz="0" w:space="0" w:color="auto"/>
            <w:bottom w:val="none" w:sz="0" w:space="0" w:color="auto"/>
            <w:right w:val="none" w:sz="0" w:space="0" w:color="auto"/>
          </w:divBdr>
        </w:div>
        <w:div w:id="402483948">
          <w:marLeft w:val="0"/>
          <w:marRight w:val="0"/>
          <w:marTop w:val="0"/>
          <w:marBottom w:val="0"/>
          <w:divBdr>
            <w:top w:val="none" w:sz="0" w:space="0" w:color="auto"/>
            <w:left w:val="none" w:sz="0" w:space="0" w:color="auto"/>
            <w:bottom w:val="none" w:sz="0" w:space="0" w:color="auto"/>
            <w:right w:val="none" w:sz="0" w:space="0" w:color="auto"/>
          </w:divBdr>
          <w:divsChild>
            <w:div w:id="1409890065">
              <w:marLeft w:val="-75"/>
              <w:marRight w:val="0"/>
              <w:marTop w:val="30"/>
              <w:marBottom w:val="30"/>
              <w:divBdr>
                <w:top w:val="none" w:sz="0" w:space="0" w:color="auto"/>
                <w:left w:val="none" w:sz="0" w:space="0" w:color="auto"/>
                <w:bottom w:val="none" w:sz="0" w:space="0" w:color="auto"/>
                <w:right w:val="none" w:sz="0" w:space="0" w:color="auto"/>
              </w:divBdr>
              <w:divsChild>
                <w:div w:id="12342544">
                  <w:marLeft w:val="0"/>
                  <w:marRight w:val="0"/>
                  <w:marTop w:val="0"/>
                  <w:marBottom w:val="0"/>
                  <w:divBdr>
                    <w:top w:val="none" w:sz="0" w:space="0" w:color="auto"/>
                    <w:left w:val="none" w:sz="0" w:space="0" w:color="auto"/>
                    <w:bottom w:val="none" w:sz="0" w:space="0" w:color="auto"/>
                    <w:right w:val="none" w:sz="0" w:space="0" w:color="auto"/>
                  </w:divBdr>
                  <w:divsChild>
                    <w:div w:id="800416571">
                      <w:marLeft w:val="0"/>
                      <w:marRight w:val="0"/>
                      <w:marTop w:val="0"/>
                      <w:marBottom w:val="0"/>
                      <w:divBdr>
                        <w:top w:val="none" w:sz="0" w:space="0" w:color="auto"/>
                        <w:left w:val="none" w:sz="0" w:space="0" w:color="auto"/>
                        <w:bottom w:val="none" w:sz="0" w:space="0" w:color="auto"/>
                        <w:right w:val="none" w:sz="0" w:space="0" w:color="auto"/>
                      </w:divBdr>
                    </w:div>
                  </w:divsChild>
                </w:div>
                <w:div w:id="14774882">
                  <w:marLeft w:val="0"/>
                  <w:marRight w:val="0"/>
                  <w:marTop w:val="0"/>
                  <w:marBottom w:val="0"/>
                  <w:divBdr>
                    <w:top w:val="none" w:sz="0" w:space="0" w:color="auto"/>
                    <w:left w:val="none" w:sz="0" w:space="0" w:color="auto"/>
                    <w:bottom w:val="none" w:sz="0" w:space="0" w:color="auto"/>
                    <w:right w:val="none" w:sz="0" w:space="0" w:color="auto"/>
                  </w:divBdr>
                  <w:divsChild>
                    <w:div w:id="1775902422">
                      <w:marLeft w:val="0"/>
                      <w:marRight w:val="0"/>
                      <w:marTop w:val="0"/>
                      <w:marBottom w:val="0"/>
                      <w:divBdr>
                        <w:top w:val="none" w:sz="0" w:space="0" w:color="auto"/>
                        <w:left w:val="none" w:sz="0" w:space="0" w:color="auto"/>
                        <w:bottom w:val="none" w:sz="0" w:space="0" w:color="auto"/>
                        <w:right w:val="none" w:sz="0" w:space="0" w:color="auto"/>
                      </w:divBdr>
                    </w:div>
                  </w:divsChild>
                </w:div>
                <w:div w:id="80222362">
                  <w:marLeft w:val="0"/>
                  <w:marRight w:val="0"/>
                  <w:marTop w:val="0"/>
                  <w:marBottom w:val="0"/>
                  <w:divBdr>
                    <w:top w:val="none" w:sz="0" w:space="0" w:color="auto"/>
                    <w:left w:val="none" w:sz="0" w:space="0" w:color="auto"/>
                    <w:bottom w:val="none" w:sz="0" w:space="0" w:color="auto"/>
                    <w:right w:val="none" w:sz="0" w:space="0" w:color="auto"/>
                  </w:divBdr>
                  <w:divsChild>
                    <w:div w:id="1570728797">
                      <w:marLeft w:val="0"/>
                      <w:marRight w:val="0"/>
                      <w:marTop w:val="0"/>
                      <w:marBottom w:val="0"/>
                      <w:divBdr>
                        <w:top w:val="none" w:sz="0" w:space="0" w:color="auto"/>
                        <w:left w:val="none" w:sz="0" w:space="0" w:color="auto"/>
                        <w:bottom w:val="none" w:sz="0" w:space="0" w:color="auto"/>
                        <w:right w:val="none" w:sz="0" w:space="0" w:color="auto"/>
                      </w:divBdr>
                    </w:div>
                  </w:divsChild>
                </w:div>
                <w:div w:id="119885623">
                  <w:marLeft w:val="0"/>
                  <w:marRight w:val="0"/>
                  <w:marTop w:val="0"/>
                  <w:marBottom w:val="0"/>
                  <w:divBdr>
                    <w:top w:val="none" w:sz="0" w:space="0" w:color="auto"/>
                    <w:left w:val="none" w:sz="0" w:space="0" w:color="auto"/>
                    <w:bottom w:val="none" w:sz="0" w:space="0" w:color="auto"/>
                    <w:right w:val="none" w:sz="0" w:space="0" w:color="auto"/>
                  </w:divBdr>
                  <w:divsChild>
                    <w:div w:id="155729364">
                      <w:marLeft w:val="0"/>
                      <w:marRight w:val="0"/>
                      <w:marTop w:val="0"/>
                      <w:marBottom w:val="0"/>
                      <w:divBdr>
                        <w:top w:val="none" w:sz="0" w:space="0" w:color="auto"/>
                        <w:left w:val="none" w:sz="0" w:space="0" w:color="auto"/>
                        <w:bottom w:val="none" w:sz="0" w:space="0" w:color="auto"/>
                        <w:right w:val="none" w:sz="0" w:space="0" w:color="auto"/>
                      </w:divBdr>
                    </w:div>
                  </w:divsChild>
                </w:div>
                <w:div w:id="126163272">
                  <w:marLeft w:val="0"/>
                  <w:marRight w:val="0"/>
                  <w:marTop w:val="0"/>
                  <w:marBottom w:val="0"/>
                  <w:divBdr>
                    <w:top w:val="none" w:sz="0" w:space="0" w:color="auto"/>
                    <w:left w:val="none" w:sz="0" w:space="0" w:color="auto"/>
                    <w:bottom w:val="none" w:sz="0" w:space="0" w:color="auto"/>
                    <w:right w:val="none" w:sz="0" w:space="0" w:color="auto"/>
                  </w:divBdr>
                  <w:divsChild>
                    <w:div w:id="1056704546">
                      <w:marLeft w:val="0"/>
                      <w:marRight w:val="0"/>
                      <w:marTop w:val="0"/>
                      <w:marBottom w:val="0"/>
                      <w:divBdr>
                        <w:top w:val="none" w:sz="0" w:space="0" w:color="auto"/>
                        <w:left w:val="none" w:sz="0" w:space="0" w:color="auto"/>
                        <w:bottom w:val="none" w:sz="0" w:space="0" w:color="auto"/>
                        <w:right w:val="none" w:sz="0" w:space="0" w:color="auto"/>
                      </w:divBdr>
                    </w:div>
                  </w:divsChild>
                </w:div>
                <w:div w:id="129522291">
                  <w:marLeft w:val="0"/>
                  <w:marRight w:val="0"/>
                  <w:marTop w:val="0"/>
                  <w:marBottom w:val="0"/>
                  <w:divBdr>
                    <w:top w:val="none" w:sz="0" w:space="0" w:color="auto"/>
                    <w:left w:val="none" w:sz="0" w:space="0" w:color="auto"/>
                    <w:bottom w:val="none" w:sz="0" w:space="0" w:color="auto"/>
                    <w:right w:val="none" w:sz="0" w:space="0" w:color="auto"/>
                  </w:divBdr>
                  <w:divsChild>
                    <w:div w:id="1086465213">
                      <w:marLeft w:val="0"/>
                      <w:marRight w:val="0"/>
                      <w:marTop w:val="0"/>
                      <w:marBottom w:val="0"/>
                      <w:divBdr>
                        <w:top w:val="none" w:sz="0" w:space="0" w:color="auto"/>
                        <w:left w:val="none" w:sz="0" w:space="0" w:color="auto"/>
                        <w:bottom w:val="none" w:sz="0" w:space="0" w:color="auto"/>
                        <w:right w:val="none" w:sz="0" w:space="0" w:color="auto"/>
                      </w:divBdr>
                    </w:div>
                  </w:divsChild>
                </w:div>
                <w:div w:id="220403947">
                  <w:marLeft w:val="0"/>
                  <w:marRight w:val="0"/>
                  <w:marTop w:val="0"/>
                  <w:marBottom w:val="0"/>
                  <w:divBdr>
                    <w:top w:val="none" w:sz="0" w:space="0" w:color="auto"/>
                    <w:left w:val="none" w:sz="0" w:space="0" w:color="auto"/>
                    <w:bottom w:val="none" w:sz="0" w:space="0" w:color="auto"/>
                    <w:right w:val="none" w:sz="0" w:space="0" w:color="auto"/>
                  </w:divBdr>
                  <w:divsChild>
                    <w:div w:id="1409688552">
                      <w:marLeft w:val="0"/>
                      <w:marRight w:val="0"/>
                      <w:marTop w:val="0"/>
                      <w:marBottom w:val="0"/>
                      <w:divBdr>
                        <w:top w:val="none" w:sz="0" w:space="0" w:color="auto"/>
                        <w:left w:val="none" w:sz="0" w:space="0" w:color="auto"/>
                        <w:bottom w:val="none" w:sz="0" w:space="0" w:color="auto"/>
                        <w:right w:val="none" w:sz="0" w:space="0" w:color="auto"/>
                      </w:divBdr>
                    </w:div>
                  </w:divsChild>
                </w:div>
                <w:div w:id="248317136">
                  <w:marLeft w:val="0"/>
                  <w:marRight w:val="0"/>
                  <w:marTop w:val="0"/>
                  <w:marBottom w:val="0"/>
                  <w:divBdr>
                    <w:top w:val="none" w:sz="0" w:space="0" w:color="auto"/>
                    <w:left w:val="none" w:sz="0" w:space="0" w:color="auto"/>
                    <w:bottom w:val="none" w:sz="0" w:space="0" w:color="auto"/>
                    <w:right w:val="none" w:sz="0" w:space="0" w:color="auto"/>
                  </w:divBdr>
                  <w:divsChild>
                    <w:div w:id="163207321">
                      <w:marLeft w:val="0"/>
                      <w:marRight w:val="0"/>
                      <w:marTop w:val="0"/>
                      <w:marBottom w:val="0"/>
                      <w:divBdr>
                        <w:top w:val="none" w:sz="0" w:space="0" w:color="auto"/>
                        <w:left w:val="none" w:sz="0" w:space="0" w:color="auto"/>
                        <w:bottom w:val="none" w:sz="0" w:space="0" w:color="auto"/>
                        <w:right w:val="none" w:sz="0" w:space="0" w:color="auto"/>
                      </w:divBdr>
                    </w:div>
                  </w:divsChild>
                </w:div>
                <w:div w:id="282812137">
                  <w:marLeft w:val="0"/>
                  <w:marRight w:val="0"/>
                  <w:marTop w:val="0"/>
                  <w:marBottom w:val="0"/>
                  <w:divBdr>
                    <w:top w:val="none" w:sz="0" w:space="0" w:color="auto"/>
                    <w:left w:val="none" w:sz="0" w:space="0" w:color="auto"/>
                    <w:bottom w:val="none" w:sz="0" w:space="0" w:color="auto"/>
                    <w:right w:val="none" w:sz="0" w:space="0" w:color="auto"/>
                  </w:divBdr>
                  <w:divsChild>
                    <w:div w:id="1568876991">
                      <w:marLeft w:val="0"/>
                      <w:marRight w:val="0"/>
                      <w:marTop w:val="0"/>
                      <w:marBottom w:val="0"/>
                      <w:divBdr>
                        <w:top w:val="none" w:sz="0" w:space="0" w:color="auto"/>
                        <w:left w:val="none" w:sz="0" w:space="0" w:color="auto"/>
                        <w:bottom w:val="none" w:sz="0" w:space="0" w:color="auto"/>
                        <w:right w:val="none" w:sz="0" w:space="0" w:color="auto"/>
                      </w:divBdr>
                    </w:div>
                  </w:divsChild>
                </w:div>
                <w:div w:id="303202292">
                  <w:marLeft w:val="0"/>
                  <w:marRight w:val="0"/>
                  <w:marTop w:val="0"/>
                  <w:marBottom w:val="0"/>
                  <w:divBdr>
                    <w:top w:val="none" w:sz="0" w:space="0" w:color="auto"/>
                    <w:left w:val="none" w:sz="0" w:space="0" w:color="auto"/>
                    <w:bottom w:val="none" w:sz="0" w:space="0" w:color="auto"/>
                    <w:right w:val="none" w:sz="0" w:space="0" w:color="auto"/>
                  </w:divBdr>
                  <w:divsChild>
                    <w:div w:id="706031710">
                      <w:marLeft w:val="0"/>
                      <w:marRight w:val="0"/>
                      <w:marTop w:val="0"/>
                      <w:marBottom w:val="0"/>
                      <w:divBdr>
                        <w:top w:val="none" w:sz="0" w:space="0" w:color="auto"/>
                        <w:left w:val="none" w:sz="0" w:space="0" w:color="auto"/>
                        <w:bottom w:val="none" w:sz="0" w:space="0" w:color="auto"/>
                        <w:right w:val="none" w:sz="0" w:space="0" w:color="auto"/>
                      </w:divBdr>
                    </w:div>
                  </w:divsChild>
                </w:div>
                <w:div w:id="340737273">
                  <w:marLeft w:val="0"/>
                  <w:marRight w:val="0"/>
                  <w:marTop w:val="0"/>
                  <w:marBottom w:val="0"/>
                  <w:divBdr>
                    <w:top w:val="none" w:sz="0" w:space="0" w:color="auto"/>
                    <w:left w:val="none" w:sz="0" w:space="0" w:color="auto"/>
                    <w:bottom w:val="none" w:sz="0" w:space="0" w:color="auto"/>
                    <w:right w:val="none" w:sz="0" w:space="0" w:color="auto"/>
                  </w:divBdr>
                  <w:divsChild>
                    <w:div w:id="1624071098">
                      <w:marLeft w:val="0"/>
                      <w:marRight w:val="0"/>
                      <w:marTop w:val="0"/>
                      <w:marBottom w:val="0"/>
                      <w:divBdr>
                        <w:top w:val="none" w:sz="0" w:space="0" w:color="auto"/>
                        <w:left w:val="none" w:sz="0" w:space="0" w:color="auto"/>
                        <w:bottom w:val="none" w:sz="0" w:space="0" w:color="auto"/>
                        <w:right w:val="none" w:sz="0" w:space="0" w:color="auto"/>
                      </w:divBdr>
                    </w:div>
                  </w:divsChild>
                </w:div>
                <w:div w:id="348022102">
                  <w:marLeft w:val="0"/>
                  <w:marRight w:val="0"/>
                  <w:marTop w:val="0"/>
                  <w:marBottom w:val="0"/>
                  <w:divBdr>
                    <w:top w:val="none" w:sz="0" w:space="0" w:color="auto"/>
                    <w:left w:val="none" w:sz="0" w:space="0" w:color="auto"/>
                    <w:bottom w:val="none" w:sz="0" w:space="0" w:color="auto"/>
                    <w:right w:val="none" w:sz="0" w:space="0" w:color="auto"/>
                  </w:divBdr>
                  <w:divsChild>
                    <w:div w:id="1855991855">
                      <w:marLeft w:val="0"/>
                      <w:marRight w:val="0"/>
                      <w:marTop w:val="0"/>
                      <w:marBottom w:val="0"/>
                      <w:divBdr>
                        <w:top w:val="none" w:sz="0" w:space="0" w:color="auto"/>
                        <w:left w:val="none" w:sz="0" w:space="0" w:color="auto"/>
                        <w:bottom w:val="none" w:sz="0" w:space="0" w:color="auto"/>
                        <w:right w:val="none" w:sz="0" w:space="0" w:color="auto"/>
                      </w:divBdr>
                    </w:div>
                  </w:divsChild>
                </w:div>
                <w:div w:id="412355646">
                  <w:marLeft w:val="0"/>
                  <w:marRight w:val="0"/>
                  <w:marTop w:val="0"/>
                  <w:marBottom w:val="0"/>
                  <w:divBdr>
                    <w:top w:val="none" w:sz="0" w:space="0" w:color="auto"/>
                    <w:left w:val="none" w:sz="0" w:space="0" w:color="auto"/>
                    <w:bottom w:val="none" w:sz="0" w:space="0" w:color="auto"/>
                    <w:right w:val="none" w:sz="0" w:space="0" w:color="auto"/>
                  </w:divBdr>
                  <w:divsChild>
                    <w:div w:id="1521817132">
                      <w:marLeft w:val="0"/>
                      <w:marRight w:val="0"/>
                      <w:marTop w:val="0"/>
                      <w:marBottom w:val="0"/>
                      <w:divBdr>
                        <w:top w:val="none" w:sz="0" w:space="0" w:color="auto"/>
                        <w:left w:val="none" w:sz="0" w:space="0" w:color="auto"/>
                        <w:bottom w:val="none" w:sz="0" w:space="0" w:color="auto"/>
                        <w:right w:val="none" w:sz="0" w:space="0" w:color="auto"/>
                      </w:divBdr>
                    </w:div>
                  </w:divsChild>
                </w:div>
                <w:div w:id="453137695">
                  <w:marLeft w:val="0"/>
                  <w:marRight w:val="0"/>
                  <w:marTop w:val="0"/>
                  <w:marBottom w:val="0"/>
                  <w:divBdr>
                    <w:top w:val="none" w:sz="0" w:space="0" w:color="auto"/>
                    <w:left w:val="none" w:sz="0" w:space="0" w:color="auto"/>
                    <w:bottom w:val="none" w:sz="0" w:space="0" w:color="auto"/>
                    <w:right w:val="none" w:sz="0" w:space="0" w:color="auto"/>
                  </w:divBdr>
                  <w:divsChild>
                    <w:div w:id="753548820">
                      <w:marLeft w:val="0"/>
                      <w:marRight w:val="0"/>
                      <w:marTop w:val="0"/>
                      <w:marBottom w:val="0"/>
                      <w:divBdr>
                        <w:top w:val="none" w:sz="0" w:space="0" w:color="auto"/>
                        <w:left w:val="none" w:sz="0" w:space="0" w:color="auto"/>
                        <w:bottom w:val="none" w:sz="0" w:space="0" w:color="auto"/>
                        <w:right w:val="none" w:sz="0" w:space="0" w:color="auto"/>
                      </w:divBdr>
                    </w:div>
                  </w:divsChild>
                </w:div>
                <w:div w:id="467867377">
                  <w:marLeft w:val="0"/>
                  <w:marRight w:val="0"/>
                  <w:marTop w:val="0"/>
                  <w:marBottom w:val="0"/>
                  <w:divBdr>
                    <w:top w:val="none" w:sz="0" w:space="0" w:color="auto"/>
                    <w:left w:val="none" w:sz="0" w:space="0" w:color="auto"/>
                    <w:bottom w:val="none" w:sz="0" w:space="0" w:color="auto"/>
                    <w:right w:val="none" w:sz="0" w:space="0" w:color="auto"/>
                  </w:divBdr>
                  <w:divsChild>
                    <w:div w:id="814100918">
                      <w:marLeft w:val="0"/>
                      <w:marRight w:val="0"/>
                      <w:marTop w:val="0"/>
                      <w:marBottom w:val="0"/>
                      <w:divBdr>
                        <w:top w:val="none" w:sz="0" w:space="0" w:color="auto"/>
                        <w:left w:val="none" w:sz="0" w:space="0" w:color="auto"/>
                        <w:bottom w:val="none" w:sz="0" w:space="0" w:color="auto"/>
                        <w:right w:val="none" w:sz="0" w:space="0" w:color="auto"/>
                      </w:divBdr>
                    </w:div>
                  </w:divsChild>
                </w:div>
                <w:div w:id="477497899">
                  <w:marLeft w:val="0"/>
                  <w:marRight w:val="0"/>
                  <w:marTop w:val="0"/>
                  <w:marBottom w:val="0"/>
                  <w:divBdr>
                    <w:top w:val="none" w:sz="0" w:space="0" w:color="auto"/>
                    <w:left w:val="none" w:sz="0" w:space="0" w:color="auto"/>
                    <w:bottom w:val="none" w:sz="0" w:space="0" w:color="auto"/>
                    <w:right w:val="none" w:sz="0" w:space="0" w:color="auto"/>
                  </w:divBdr>
                  <w:divsChild>
                    <w:div w:id="1752121546">
                      <w:marLeft w:val="0"/>
                      <w:marRight w:val="0"/>
                      <w:marTop w:val="0"/>
                      <w:marBottom w:val="0"/>
                      <w:divBdr>
                        <w:top w:val="none" w:sz="0" w:space="0" w:color="auto"/>
                        <w:left w:val="none" w:sz="0" w:space="0" w:color="auto"/>
                        <w:bottom w:val="none" w:sz="0" w:space="0" w:color="auto"/>
                        <w:right w:val="none" w:sz="0" w:space="0" w:color="auto"/>
                      </w:divBdr>
                    </w:div>
                  </w:divsChild>
                </w:div>
                <w:div w:id="518128847">
                  <w:marLeft w:val="0"/>
                  <w:marRight w:val="0"/>
                  <w:marTop w:val="0"/>
                  <w:marBottom w:val="0"/>
                  <w:divBdr>
                    <w:top w:val="none" w:sz="0" w:space="0" w:color="auto"/>
                    <w:left w:val="none" w:sz="0" w:space="0" w:color="auto"/>
                    <w:bottom w:val="none" w:sz="0" w:space="0" w:color="auto"/>
                    <w:right w:val="none" w:sz="0" w:space="0" w:color="auto"/>
                  </w:divBdr>
                  <w:divsChild>
                    <w:div w:id="1446535519">
                      <w:marLeft w:val="0"/>
                      <w:marRight w:val="0"/>
                      <w:marTop w:val="0"/>
                      <w:marBottom w:val="0"/>
                      <w:divBdr>
                        <w:top w:val="none" w:sz="0" w:space="0" w:color="auto"/>
                        <w:left w:val="none" w:sz="0" w:space="0" w:color="auto"/>
                        <w:bottom w:val="none" w:sz="0" w:space="0" w:color="auto"/>
                        <w:right w:val="none" w:sz="0" w:space="0" w:color="auto"/>
                      </w:divBdr>
                    </w:div>
                  </w:divsChild>
                </w:div>
                <w:div w:id="536704941">
                  <w:marLeft w:val="0"/>
                  <w:marRight w:val="0"/>
                  <w:marTop w:val="0"/>
                  <w:marBottom w:val="0"/>
                  <w:divBdr>
                    <w:top w:val="none" w:sz="0" w:space="0" w:color="auto"/>
                    <w:left w:val="none" w:sz="0" w:space="0" w:color="auto"/>
                    <w:bottom w:val="none" w:sz="0" w:space="0" w:color="auto"/>
                    <w:right w:val="none" w:sz="0" w:space="0" w:color="auto"/>
                  </w:divBdr>
                  <w:divsChild>
                    <w:div w:id="966205860">
                      <w:marLeft w:val="0"/>
                      <w:marRight w:val="0"/>
                      <w:marTop w:val="0"/>
                      <w:marBottom w:val="0"/>
                      <w:divBdr>
                        <w:top w:val="none" w:sz="0" w:space="0" w:color="auto"/>
                        <w:left w:val="none" w:sz="0" w:space="0" w:color="auto"/>
                        <w:bottom w:val="none" w:sz="0" w:space="0" w:color="auto"/>
                        <w:right w:val="none" w:sz="0" w:space="0" w:color="auto"/>
                      </w:divBdr>
                    </w:div>
                  </w:divsChild>
                </w:div>
                <w:div w:id="546986393">
                  <w:marLeft w:val="0"/>
                  <w:marRight w:val="0"/>
                  <w:marTop w:val="0"/>
                  <w:marBottom w:val="0"/>
                  <w:divBdr>
                    <w:top w:val="none" w:sz="0" w:space="0" w:color="auto"/>
                    <w:left w:val="none" w:sz="0" w:space="0" w:color="auto"/>
                    <w:bottom w:val="none" w:sz="0" w:space="0" w:color="auto"/>
                    <w:right w:val="none" w:sz="0" w:space="0" w:color="auto"/>
                  </w:divBdr>
                  <w:divsChild>
                    <w:div w:id="1540894430">
                      <w:marLeft w:val="0"/>
                      <w:marRight w:val="0"/>
                      <w:marTop w:val="0"/>
                      <w:marBottom w:val="0"/>
                      <w:divBdr>
                        <w:top w:val="none" w:sz="0" w:space="0" w:color="auto"/>
                        <w:left w:val="none" w:sz="0" w:space="0" w:color="auto"/>
                        <w:bottom w:val="none" w:sz="0" w:space="0" w:color="auto"/>
                        <w:right w:val="none" w:sz="0" w:space="0" w:color="auto"/>
                      </w:divBdr>
                    </w:div>
                  </w:divsChild>
                </w:div>
                <w:div w:id="554316666">
                  <w:marLeft w:val="0"/>
                  <w:marRight w:val="0"/>
                  <w:marTop w:val="0"/>
                  <w:marBottom w:val="0"/>
                  <w:divBdr>
                    <w:top w:val="none" w:sz="0" w:space="0" w:color="auto"/>
                    <w:left w:val="none" w:sz="0" w:space="0" w:color="auto"/>
                    <w:bottom w:val="none" w:sz="0" w:space="0" w:color="auto"/>
                    <w:right w:val="none" w:sz="0" w:space="0" w:color="auto"/>
                  </w:divBdr>
                  <w:divsChild>
                    <w:div w:id="912159369">
                      <w:marLeft w:val="0"/>
                      <w:marRight w:val="0"/>
                      <w:marTop w:val="0"/>
                      <w:marBottom w:val="0"/>
                      <w:divBdr>
                        <w:top w:val="none" w:sz="0" w:space="0" w:color="auto"/>
                        <w:left w:val="none" w:sz="0" w:space="0" w:color="auto"/>
                        <w:bottom w:val="none" w:sz="0" w:space="0" w:color="auto"/>
                        <w:right w:val="none" w:sz="0" w:space="0" w:color="auto"/>
                      </w:divBdr>
                    </w:div>
                  </w:divsChild>
                </w:div>
                <w:div w:id="604385666">
                  <w:marLeft w:val="0"/>
                  <w:marRight w:val="0"/>
                  <w:marTop w:val="0"/>
                  <w:marBottom w:val="0"/>
                  <w:divBdr>
                    <w:top w:val="none" w:sz="0" w:space="0" w:color="auto"/>
                    <w:left w:val="none" w:sz="0" w:space="0" w:color="auto"/>
                    <w:bottom w:val="none" w:sz="0" w:space="0" w:color="auto"/>
                    <w:right w:val="none" w:sz="0" w:space="0" w:color="auto"/>
                  </w:divBdr>
                  <w:divsChild>
                    <w:div w:id="35544885">
                      <w:marLeft w:val="0"/>
                      <w:marRight w:val="0"/>
                      <w:marTop w:val="0"/>
                      <w:marBottom w:val="0"/>
                      <w:divBdr>
                        <w:top w:val="none" w:sz="0" w:space="0" w:color="auto"/>
                        <w:left w:val="none" w:sz="0" w:space="0" w:color="auto"/>
                        <w:bottom w:val="none" w:sz="0" w:space="0" w:color="auto"/>
                        <w:right w:val="none" w:sz="0" w:space="0" w:color="auto"/>
                      </w:divBdr>
                    </w:div>
                  </w:divsChild>
                </w:div>
                <w:div w:id="606347902">
                  <w:marLeft w:val="0"/>
                  <w:marRight w:val="0"/>
                  <w:marTop w:val="0"/>
                  <w:marBottom w:val="0"/>
                  <w:divBdr>
                    <w:top w:val="none" w:sz="0" w:space="0" w:color="auto"/>
                    <w:left w:val="none" w:sz="0" w:space="0" w:color="auto"/>
                    <w:bottom w:val="none" w:sz="0" w:space="0" w:color="auto"/>
                    <w:right w:val="none" w:sz="0" w:space="0" w:color="auto"/>
                  </w:divBdr>
                  <w:divsChild>
                    <w:div w:id="1725173979">
                      <w:marLeft w:val="0"/>
                      <w:marRight w:val="0"/>
                      <w:marTop w:val="0"/>
                      <w:marBottom w:val="0"/>
                      <w:divBdr>
                        <w:top w:val="none" w:sz="0" w:space="0" w:color="auto"/>
                        <w:left w:val="none" w:sz="0" w:space="0" w:color="auto"/>
                        <w:bottom w:val="none" w:sz="0" w:space="0" w:color="auto"/>
                        <w:right w:val="none" w:sz="0" w:space="0" w:color="auto"/>
                      </w:divBdr>
                    </w:div>
                  </w:divsChild>
                </w:div>
                <w:div w:id="612859325">
                  <w:marLeft w:val="0"/>
                  <w:marRight w:val="0"/>
                  <w:marTop w:val="0"/>
                  <w:marBottom w:val="0"/>
                  <w:divBdr>
                    <w:top w:val="none" w:sz="0" w:space="0" w:color="auto"/>
                    <w:left w:val="none" w:sz="0" w:space="0" w:color="auto"/>
                    <w:bottom w:val="none" w:sz="0" w:space="0" w:color="auto"/>
                    <w:right w:val="none" w:sz="0" w:space="0" w:color="auto"/>
                  </w:divBdr>
                  <w:divsChild>
                    <w:div w:id="1854369691">
                      <w:marLeft w:val="0"/>
                      <w:marRight w:val="0"/>
                      <w:marTop w:val="0"/>
                      <w:marBottom w:val="0"/>
                      <w:divBdr>
                        <w:top w:val="none" w:sz="0" w:space="0" w:color="auto"/>
                        <w:left w:val="none" w:sz="0" w:space="0" w:color="auto"/>
                        <w:bottom w:val="none" w:sz="0" w:space="0" w:color="auto"/>
                        <w:right w:val="none" w:sz="0" w:space="0" w:color="auto"/>
                      </w:divBdr>
                    </w:div>
                  </w:divsChild>
                </w:div>
                <w:div w:id="622006917">
                  <w:marLeft w:val="0"/>
                  <w:marRight w:val="0"/>
                  <w:marTop w:val="0"/>
                  <w:marBottom w:val="0"/>
                  <w:divBdr>
                    <w:top w:val="none" w:sz="0" w:space="0" w:color="auto"/>
                    <w:left w:val="none" w:sz="0" w:space="0" w:color="auto"/>
                    <w:bottom w:val="none" w:sz="0" w:space="0" w:color="auto"/>
                    <w:right w:val="none" w:sz="0" w:space="0" w:color="auto"/>
                  </w:divBdr>
                  <w:divsChild>
                    <w:div w:id="942683671">
                      <w:marLeft w:val="0"/>
                      <w:marRight w:val="0"/>
                      <w:marTop w:val="0"/>
                      <w:marBottom w:val="0"/>
                      <w:divBdr>
                        <w:top w:val="none" w:sz="0" w:space="0" w:color="auto"/>
                        <w:left w:val="none" w:sz="0" w:space="0" w:color="auto"/>
                        <w:bottom w:val="none" w:sz="0" w:space="0" w:color="auto"/>
                        <w:right w:val="none" w:sz="0" w:space="0" w:color="auto"/>
                      </w:divBdr>
                    </w:div>
                  </w:divsChild>
                </w:div>
                <w:div w:id="645015668">
                  <w:marLeft w:val="0"/>
                  <w:marRight w:val="0"/>
                  <w:marTop w:val="0"/>
                  <w:marBottom w:val="0"/>
                  <w:divBdr>
                    <w:top w:val="none" w:sz="0" w:space="0" w:color="auto"/>
                    <w:left w:val="none" w:sz="0" w:space="0" w:color="auto"/>
                    <w:bottom w:val="none" w:sz="0" w:space="0" w:color="auto"/>
                    <w:right w:val="none" w:sz="0" w:space="0" w:color="auto"/>
                  </w:divBdr>
                  <w:divsChild>
                    <w:div w:id="1264386419">
                      <w:marLeft w:val="0"/>
                      <w:marRight w:val="0"/>
                      <w:marTop w:val="0"/>
                      <w:marBottom w:val="0"/>
                      <w:divBdr>
                        <w:top w:val="none" w:sz="0" w:space="0" w:color="auto"/>
                        <w:left w:val="none" w:sz="0" w:space="0" w:color="auto"/>
                        <w:bottom w:val="none" w:sz="0" w:space="0" w:color="auto"/>
                        <w:right w:val="none" w:sz="0" w:space="0" w:color="auto"/>
                      </w:divBdr>
                    </w:div>
                  </w:divsChild>
                </w:div>
                <w:div w:id="687175444">
                  <w:marLeft w:val="0"/>
                  <w:marRight w:val="0"/>
                  <w:marTop w:val="0"/>
                  <w:marBottom w:val="0"/>
                  <w:divBdr>
                    <w:top w:val="none" w:sz="0" w:space="0" w:color="auto"/>
                    <w:left w:val="none" w:sz="0" w:space="0" w:color="auto"/>
                    <w:bottom w:val="none" w:sz="0" w:space="0" w:color="auto"/>
                    <w:right w:val="none" w:sz="0" w:space="0" w:color="auto"/>
                  </w:divBdr>
                  <w:divsChild>
                    <w:div w:id="1305963515">
                      <w:marLeft w:val="0"/>
                      <w:marRight w:val="0"/>
                      <w:marTop w:val="0"/>
                      <w:marBottom w:val="0"/>
                      <w:divBdr>
                        <w:top w:val="none" w:sz="0" w:space="0" w:color="auto"/>
                        <w:left w:val="none" w:sz="0" w:space="0" w:color="auto"/>
                        <w:bottom w:val="none" w:sz="0" w:space="0" w:color="auto"/>
                        <w:right w:val="none" w:sz="0" w:space="0" w:color="auto"/>
                      </w:divBdr>
                    </w:div>
                  </w:divsChild>
                </w:div>
                <w:div w:id="688141828">
                  <w:marLeft w:val="0"/>
                  <w:marRight w:val="0"/>
                  <w:marTop w:val="0"/>
                  <w:marBottom w:val="0"/>
                  <w:divBdr>
                    <w:top w:val="none" w:sz="0" w:space="0" w:color="auto"/>
                    <w:left w:val="none" w:sz="0" w:space="0" w:color="auto"/>
                    <w:bottom w:val="none" w:sz="0" w:space="0" w:color="auto"/>
                    <w:right w:val="none" w:sz="0" w:space="0" w:color="auto"/>
                  </w:divBdr>
                  <w:divsChild>
                    <w:div w:id="14431116">
                      <w:marLeft w:val="0"/>
                      <w:marRight w:val="0"/>
                      <w:marTop w:val="0"/>
                      <w:marBottom w:val="0"/>
                      <w:divBdr>
                        <w:top w:val="none" w:sz="0" w:space="0" w:color="auto"/>
                        <w:left w:val="none" w:sz="0" w:space="0" w:color="auto"/>
                        <w:bottom w:val="none" w:sz="0" w:space="0" w:color="auto"/>
                        <w:right w:val="none" w:sz="0" w:space="0" w:color="auto"/>
                      </w:divBdr>
                    </w:div>
                  </w:divsChild>
                </w:div>
                <w:div w:id="696084826">
                  <w:marLeft w:val="0"/>
                  <w:marRight w:val="0"/>
                  <w:marTop w:val="0"/>
                  <w:marBottom w:val="0"/>
                  <w:divBdr>
                    <w:top w:val="none" w:sz="0" w:space="0" w:color="auto"/>
                    <w:left w:val="none" w:sz="0" w:space="0" w:color="auto"/>
                    <w:bottom w:val="none" w:sz="0" w:space="0" w:color="auto"/>
                    <w:right w:val="none" w:sz="0" w:space="0" w:color="auto"/>
                  </w:divBdr>
                  <w:divsChild>
                    <w:div w:id="99105654">
                      <w:marLeft w:val="0"/>
                      <w:marRight w:val="0"/>
                      <w:marTop w:val="0"/>
                      <w:marBottom w:val="0"/>
                      <w:divBdr>
                        <w:top w:val="none" w:sz="0" w:space="0" w:color="auto"/>
                        <w:left w:val="none" w:sz="0" w:space="0" w:color="auto"/>
                        <w:bottom w:val="none" w:sz="0" w:space="0" w:color="auto"/>
                        <w:right w:val="none" w:sz="0" w:space="0" w:color="auto"/>
                      </w:divBdr>
                    </w:div>
                  </w:divsChild>
                </w:div>
                <w:div w:id="696345783">
                  <w:marLeft w:val="0"/>
                  <w:marRight w:val="0"/>
                  <w:marTop w:val="0"/>
                  <w:marBottom w:val="0"/>
                  <w:divBdr>
                    <w:top w:val="none" w:sz="0" w:space="0" w:color="auto"/>
                    <w:left w:val="none" w:sz="0" w:space="0" w:color="auto"/>
                    <w:bottom w:val="none" w:sz="0" w:space="0" w:color="auto"/>
                    <w:right w:val="none" w:sz="0" w:space="0" w:color="auto"/>
                  </w:divBdr>
                  <w:divsChild>
                    <w:div w:id="1827282854">
                      <w:marLeft w:val="0"/>
                      <w:marRight w:val="0"/>
                      <w:marTop w:val="0"/>
                      <w:marBottom w:val="0"/>
                      <w:divBdr>
                        <w:top w:val="none" w:sz="0" w:space="0" w:color="auto"/>
                        <w:left w:val="none" w:sz="0" w:space="0" w:color="auto"/>
                        <w:bottom w:val="none" w:sz="0" w:space="0" w:color="auto"/>
                        <w:right w:val="none" w:sz="0" w:space="0" w:color="auto"/>
                      </w:divBdr>
                    </w:div>
                  </w:divsChild>
                </w:div>
                <w:div w:id="720834326">
                  <w:marLeft w:val="0"/>
                  <w:marRight w:val="0"/>
                  <w:marTop w:val="0"/>
                  <w:marBottom w:val="0"/>
                  <w:divBdr>
                    <w:top w:val="none" w:sz="0" w:space="0" w:color="auto"/>
                    <w:left w:val="none" w:sz="0" w:space="0" w:color="auto"/>
                    <w:bottom w:val="none" w:sz="0" w:space="0" w:color="auto"/>
                    <w:right w:val="none" w:sz="0" w:space="0" w:color="auto"/>
                  </w:divBdr>
                  <w:divsChild>
                    <w:div w:id="887298318">
                      <w:marLeft w:val="0"/>
                      <w:marRight w:val="0"/>
                      <w:marTop w:val="0"/>
                      <w:marBottom w:val="0"/>
                      <w:divBdr>
                        <w:top w:val="none" w:sz="0" w:space="0" w:color="auto"/>
                        <w:left w:val="none" w:sz="0" w:space="0" w:color="auto"/>
                        <w:bottom w:val="none" w:sz="0" w:space="0" w:color="auto"/>
                        <w:right w:val="none" w:sz="0" w:space="0" w:color="auto"/>
                      </w:divBdr>
                    </w:div>
                  </w:divsChild>
                </w:div>
                <w:div w:id="761804893">
                  <w:marLeft w:val="0"/>
                  <w:marRight w:val="0"/>
                  <w:marTop w:val="0"/>
                  <w:marBottom w:val="0"/>
                  <w:divBdr>
                    <w:top w:val="none" w:sz="0" w:space="0" w:color="auto"/>
                    <w:left w:val="none" w:sz="0" w:space="0" w:color="auto"/>
                    <w:bottom w:val="none" w:sz="0" w:space="0" w:color="auto"/>
                    <w:right w:val="none" w:sz="0" w:space="0" w:color="auto"/>
                  </w:divBdr>
                  <w:divsChild>
                    <w:div w:id="148133168">
                      <w:marLeft w:val="0"/>
                      <w:marRight w:val="0"/>
                      <w:marTop w:val="0"/>
                      <w:marBottom w:val="0"/>
                      <w:divBdr>
                        <w:top w:val="none" w:sz="0" w:space="0" w:color="auto"/>
                        <w:left w:val="none" w:sz="0" w:space="0" w:color="auto"/>
                        <w:bottom w:val="none" w:sz="0" w:space="0" w:color="auto"/>
                        <w:right w:val="none" w:sz="0" w:space="0" w:color="auto"/>
                      </w:divBdr>
                    </w:div>
                  </w:divsChild>
                </w:div>
                <w:div w:id="765536692">
                  <w:marLeft w:val="0"/>
                  <w:marRight w:val="0"/>
                  <w:marTop w:val="0"/>
                  <w:marBottom w:val="0"/>
                  <w:divBdr>
                    <w:top w:val="none" w:sz="0" w:space="0" w:color="auto"/>
                    <w:left w:val="none" w:sz="0" w:space="0" w:color="auto"/>
                    <w:bottom w:val="none" w:sz="0" w:space="0" w:color="auto"/>
                    <w:right w:val="none" w:sz="0" w:space="0" w:color="auto"/>
                  </w:divBdr>
                  <w:divsChild>
                    <w:div w:id="1315449460">
                      <w:marLeft w:val="0"/>
                      <w:marRight w:val="0"/>
                      <w:marTop w:val="0"/>
                      <w:marBottom w:val="0"/>
                      <w:divBdr>
                        <w:top w:val="none" w:sz="0" w:space="0" w:color="auto"/>
                        <w:left w:val="none" w:sz="0" w:space="0" w:color="auto"/>
                        <w:bottom w:val="none" w:sz="0" w:space="0" w:color="auto"/>
                        <w:right w:val="none" w:sz="0" w:space="0" w:color="auto"/>
                      </w:divBdr>
                    </w:div>
                  </w:divsChild>
                </w:div>
                <w:div w:id="803159166">
                  <w:marLeft w:val="0"/>
                  <w:marRight w:val="0"/>
                  <w:marTop w:val="0"/>
                  <w:marBottom w:val="0"/>
                  <w:divBdr>
                    <w:top w:val="none" w:sz="0" w:space="0" w:color="auto"/>
                    <w:left w:val="none" w:sz="0" w:space="0" w:color="auto"/>
                    <w:bottom w:val="none" w:sz="0" w:space="0" w:color="auto"/>
                    <w:right w:val="none" w:sz="0" w:space="0" w:color="auto"/>
                  </w:divBdr>
                  <w:divsChild>
                    <w:div w:id="565070591">
                      <w:marLeft w:val="0"/>
                      <w:marRight w:val="0"/>
                      <w:marTop w:val="0"/>
                      <w:marBottom w:val="0"/>
                      <w:divBdr>
                        <w:top w:val="none" w:sz="0" w:space="0" w:color="auto"/>
                        <w:left w:val="none" w:sz="0" w:space="0" w:color="auto"/>
                        <w:bottom w:val="none" w:sz="0" w:space="0" w:color="auto"/>
                        <w:right w:val="none" w:sz="0" w:space="0" w:color="auto"/>
                      </w:divBdr>
                    </w:div>
                  </w:divsChild>
                </w:div>
                <w:div w:id="804665951">
                  <w:marLeft w:val="0"/>
                  <w:marRight w:val="0"/>
                  <w:marTop w:val="0"/>
                  <w:marBottom w:val="0"/>
                  <w:divBdr>
                    <w:top w:val="none" w:sz="0" w:space="0" w:color="auto"/>
                    <w:left w:val="none" w:sz="0" w:space="0" w:color="auto"/>
                    <w:bottom w:val="none" w:sz="0" w:space="0" w:color="auto"/>
                    <w:right w:val="none" w:sz="0" w:space="0" w:color="auto"/>
                  </w:divBdr>
                  <w:divsChild>
                    <w:div w:id="1947693342">
                      <w:marLeft w:val="0"/>
                      <w:marRight w:val="0"/>
                      <w:marTop w:val="0"/>
                      <w:marBottom w:val="0"/>
                      <w:divBdr>
                        <w:top w:val="none" w:sz="0" w:space="0" w:color="auto"/>
                        <w:left w:val="none" w:sz="0" w:space="0" w:color="auto"/>
                        <w:bottom w:val="none" w:sz="0" w:space="0" w:color="auto"/>
                        <w:right w:val="none" w:sz="0" w:space="0" w:color="auto"/>
                      </w:divBdr>
                    </w:div>
                  </w:divsChild>
                </w:div>
                <w:div w:id="835532134">
                  <w:marLeft w:val="0"/>
                  <w:marRight w:val="0"/>
                  <w:marTop w:val="0"/>
                  <w:marBottom w:val="0"/>
                  <w:divBdr>
                    <w:top w:val="none" w:sz="0" w:space="0" w:color="auto"/>
                    <w:left w:val="none" w:sz="0" w:space="0" w:color="auto"/>
                    <w:bottom w:val="none" w:sz="0" w:space="0" w:color="auto"/>
                    <w:right w:val="none" w:sz="0" w:space="0" w:color="auto"/>
                  </w:divBdr>
                  <w:divsChild>
                    <w:div w:id="76636225">
                      <w:marLeft w:val="0"/>
                      <w:marRight w:val="0"/>
                      <w:marTop w:val="0"/>
                      <w:marBottom w:val="0"/>
                      <w:divBdr>
                        <w:top w:val="none" w:sz="0" w:space="0" w:color="auto"/>
                        <w:left w:val="none" w:sz="0" w:space="0" w:color="auto"/>
                        <w:bottom w:val="none" w:sz="0" w:space="0" w:color="auto"/>
                        <w:right w:val="none" w:sz="0" w:space="0" w:color="auto"/>
                      </w:divBdr>
                    </w:div>
                  </w:divsChild>
                </w:div>
                <w:div w:id="899367578">
                  <w:marLeft w:val="0"/>
                  <w:marRight w:val="0"/>
                  <w:marTop w:val="0"/>
                  <w:marBottom w:val="0"/>
                  <w:divBdr>
                    <w:top w:val="none" w:sz="0" w:space="0" w:color="auto"/>
                    <w:left w:val="none" w:sz="0" w:space="0" w:color="auto"/>
                    <w:bottom w:val="none" w:sz="0" w:space="0" w:color="auto"/>
                    <w:right w:val="none" w:sz="0" w:space="0" w:color="auto"/>
                  </w:divBdr>
                  <w:divsChild>
                    <w:div w:id="627008190">
                      <w:marLeft w:val="0"/>
                      <w:marRight w:val="0"/>
                      <w:marTop w:val="0"/>
                      <w:marBottom w:val="0"/>
                      <w:divBdr>
                        <w:top w:val="none" w:sz="0" w:space="0" w:color="auto"/>
                        <w:left w:val="none" w:sz="0" w:space="0" w:color="auto"/>
                        <w:bottom w:val="none" w:sz="0" w:space="0" w:color="auto"/>
                        <w:right w:val="none" w:sz="0" w:space="0" w:color="auto"/>
                      </w:divBdr>
                    </w:div>
                  </w:divsChild>
                </w:div>
                <w:div w:id="904292768">
                  <w:marLeft w:val="0"/>
                  <w:marRight w:val="0"/>
                  <w:marTop w:val="0"/>
                  <w:marBottom w:val="0"/>
                  <w:divBdr>
                    <w:top w:val="none" w:sz="0" w:space="0" w:color="auto"/>
                    <w:left w:val="none" w:sz="0" w:space="0" w:color="auto"/>
                    <w:bottom w:val="none" w:sz="0" w:space="0" w:color="auto"/>
                    <w:right w:val="none" w:sz="0" w:space="0" w:color="auto"/>
                  </w:divBdr>
                  <w:divsChild>
                    <w:div w:id="82075613">
                      <w:marLeft w:val="0"/>
                      <w:marRight w:val="0"/>
                      <w:marTop w:val="0"/>
                      <w:marBottom w:val="0"/>
                      <w:divBdr>
                        <w:top w:val="none" w:sz="0" w:space="0" w:color="auto"/>
                        <w:left w:val="none" w:sz="0" w:space="0" w:color="auto"/>
                        <w:bottom w:val="none" w:sz="0" w:space="0" w:color="auto"/>
                        <w:right w:val="none" w:sz="0" w:space="0" w:color="auto"/>
                      </w:divBdr>
                    </w:div>
                  </w:divsChild>
                </w:div>
                <w:div w:id="974718747">
                  <w:marLeft w:val="0"/>
                  <w:marRight w:val="0"/>
                  <w:marTop w:val="0"/>
                  <w:marBottom w:val="0"/>
                  <w:divBdr>
                    <w:top w:val="none" w:sz="0" w:space="0" w:color="auto"/>
                    <w:left w:val="none" w:sz="0" w:space="0" w:color="auto"/>
                    <w:bottom w:val="none" w:sz="0" w:space="0" w:color="auto"/>
                    <w:right w:val="none" w:sz="0" w:space="0" w:color="auto"/>
                  </w:divBdr>
                  <w:divsChild>
                    <w:div w:id="55667190">
                      <w:marLeft w:val="0"/>
                      <w:marRight w:val="0"/>
                      <w:marTop w:val="0"/>
                      <w:marBottom w:val="0"/>
                      <w:divBdr>
                        <w:top w:val="none" w:sz="0" w:space="0" w:color="auto"/>
                        <w:left w:val="none" w:sz="0" w:space="0" w:color="auto"/>
                        <w:bottom w:val="none" w:sz="0" w:space="0" w:color="auto"/>
                        <w:right w:val="none" w:sz="0" w:space="0" w:color="auto"/>
                      </w:divBdr>
                    </w:div>
                  </w:divsChild>
                </w:div>
                <w:div w:id="1042752224">
                  <w:marLeft w:val="0"/>
                  <w:marRight w:val="0"/>
                  <w:marTop w:val="0"/>
                  <w:marBottom w:val="0"/>
                  <w:divBdr>
                    <w:top w:val="none" w:sz="0" w:space="0" w:color="auto"/>
                    <w:left w:val="none" w:sz="0" w:space="0" w:color="auto"/>
                    <w:bottom w:val="none" w:sz="0" w:space="0" w:color="auto"/>
                    <w:right w:val="none" w:sz="0" w:space="0" w:color="auto"/>
                  </w:divBdr>
                  <w:divsChild>
                    <w:div w:id="53435263">
                      <w:marLeft w:val="0"/>
                      <w:marRight w:val="0"/>
                      <w:marTop w:val="0"/>
                      <w:marBottom w:val="0"/>
                      <w:divBdr>
                        <w:top w:val="none" w:sz="0" w:space="0" w:color="auto"/>
                        <w:left w:val="none" w:sz="0" w:space="0" w:color="auto"/>
                        <w:bottom w:val="none" w:sz="0" w:space="0" w:color="auto"/>
                        <w:right w:val="none" w:sz="0" w:space="0" w:color="auto"/>
                      </w:divBdr>
                    </w:div>
                  </w:divsChild>
                </w:div>
                <w:div w:id="1043291206">
                  <w:marLeft w:val="0"/>
                  <w:marRight w:val="0"/>
                  <w:marTop w:val="0"/>
                  <w:marBottom w:val="0"/>
                  <w:divBdr>
                    <w:top w:val="none" w:sz="0" w:space="0" w:color="auto"/>
                    <w:left w:val="none" w:sz="0" w:space="0" w:color="auto"/>
                    <w:bottom w:val="none" w:sz="0" w:space="0" w:color="auto"/>
                    <w:right w:val="none" w:sz="0" w:space="0" w:color="auto"/>
                  </w:divBdr>
                  <w:divsChild>
                    <w:div w:id="64841466">
                      <w:marLeft w:val="0"/>
                      <w:marRight w:val="0"/>
                      <w:marTop w:val="0"/>
                      <w:marBottom w:val="0"/>
                      <w:divBdr>
                        <w:top w:val="none" w:sz="0" w:space="0" w:color="auto"/>
                        <w:left w:val="none" w:sz="0" w:space="0" w:color="auto"/>
                        <w:bottom w:val="none" w:sz="0" w:space="0" w:color="auto"/>
                        <w:right w:val="none" w:sz="0" w:space="0" w:color="auto"/>
                      </w:divBdr>
                    </w:div>
                  </w:divsChild>
                </w:div>
                <w:div w:id="1067874625">
                  <w:marLeft w:val="0"/>
                  <w:marRight w:val="0"/>
                  <w:marTop w:val="0"/>
                  <w:marBottom w:val="0"/>
                  <w:divBdr>
                    <w:top w:val="none" w:sz="0" w:space="0" w:color="auto"/>
                    <w:left w:val="none" w:sz="0" w:space="0" w:color="auto"/>
                    <w:bottom w:val="none" w:sz="0" w:space="0" w:color="auto"/>
                    <w:right w:val="none" w:sz="0" w:space="0" w:color="auto"/>
                  </w:divBdr>
                  <w:divsChild>
                    <w:div w:id="935752520">
                      <w:marLeft w:val="0"/>
                      <w:marRight w:val="0"/>
                      <w:marTop w:val="0"/>
                      <w:marBottom w:val="0"/>
                      <w:divBdr>
                        <w:top w:val="none" w:sz="0" w:space="0" w:color="auto"/>
                        <w:left w:val="none" w:sz="0" w:space="0" w:color="auto"/>
                        <w:bottom w:val="none" w:sz="0" w:space="0" w:color="auto"/>
                        <w:right w:val="none" w:sz="0" w:space="0" w:color="auto"/>
                      </w:divBdr>
                    </w:div>
                  </w:divsChild>
                </w:div>
                <w:div w:id="1097872520">
                  <w:marLeft w:val="0"/>
                  <w:marRight w:val="0"/>
                  <w:marTop w:val="0"/>
                  <w:marBottom w:val="0"/>
                  <w:divBdr>
                    <w:top w:val="none" w:sz="0" w:space="0" w:color="auto"/>
                    <w:left w:val="none" w:sz="0" w:space="0" w:color="auto"/>
                    <w:bottom w:val="none" w:sz="0" w:space="0" w:color="auto"/>
                    <w:right w:val="none" w:sz="0" w:space="0" w:color="auto"/>
                  </w:divBdr>
                  <w:divsChild>
                    <w:div w:id="1706130863">
                      <w:marLeft w:val="0"/>
                      <w:marRight w:val="0"/>
                      <w:marTop w:val="0"/>
                      <w:marBottom w:val="0"/>
                      <w:divBdr>
                        <w:top w:val="none" w:sz="0" w:space="0" w:color="auto"/>
                        <w:left w:val="none" w:sz="0" w:space="0" w:color="auto"/>
                        <w:bottom w:val="none" w:sz="0" w:space="0" w:color="auto"/>
                        <w:right w:val="none" w:sz="0" w:space="0" w:color="auto"/>
                      </w:divBdr>
                    </w:div>
                  </w:divsChild>
                </w:div>
                <w:div w:id="1132284069">
                  <w:marLeft w:val="0"/>
                  <w:marRight w:val="0"/>
                  <w:marTop w:val="0"/>
                  <w:marBottom w:val="0"/>
                  <w:divBdr>
                    <w:top w:val="none" w:sz="0" w:space="0" w:color="auto"/>
                    <w:left w:val="none" w:sz="0" w:space="0" w:color="auto"/>
                    <w:bottom w:val="none" w:sz="0" w:space="0" w:color="auto"/>
                    <w:right w:val="none" w:sz="0" w:space="0" w:color="auto"/>
                  </w:divBdr>
                  <w:divsChild>
                    <w:div w:id="25375295">
                      <w:marLeft w:val="0"/>
                      <w:marRight w:val="0"/>
                      <w:marTop w:val="0"/>
                      <w:marBottom w:val="0"/>
                      <w:divBdr>
                        <w:top w:val="none" w:sz="0" w:space="0" w:color="auto"/>
                        <w:left w:val="none" w:sz="0" w:space="0" w:color="auto"/>
                        <w:bottom w:val="none" w:sz="0" w:space="0" w:color="auto"/>
                        <w:right w:val="none" w:sz="0" w:space="0" w:color="auto"/>
                      </w:divBdr>
                    </w:div>
                    <w:div w:id="1561356212">
                      <w:marLeft w:val="0"/>
                      <w:marRight w:val="0"/>
                      <w:marTop w:val="0"/>
                      <w:marBottom w:val="0"/>
                      <w:divBdr>
                        <w:top w:val="none" w:sz="0" w:space="0" w:color="auto"/>
                        <w:left w:val="none" w:sz="0" w:space="0" w:color="auto"/>
                        <w:bottom w:val="none" w:sz="0" w:space="0" w:color="auto"/>
                        <w:right w:val="none" w:sz="0" w:space="0" w:color="auto"/>
                      </w:divBdr>
                    </w:div>
                  </w:divsChild>
                </w:div>
                <w:div w:id="1184051450">
                  <w:marLeft w:val="0"/>
                  <w:marRight w:val="0"/>
                  <w:marTop w:val="0"/>
                  <w:marBottom w:val="0"/>
                  <w:divBdr>
                    <w:top w:val="none" w:sz="0" w:space="0" w:color="auto"/>
                    <w:left w:val="none" w:sz="0" w:space="0" w:color="auto"/>
                    <w:bottom w:val="none" w:sz="0" w:space="0" w:color="auto"/>
                    <w:right w:val="none" w:sz="0" w:space="0" w:color="auto"/>
                  </w:divBdr>
                  <w:divsChild>
                    <w:div w:id="1603299527">
                      <w:marLeft w:val="0"/>
                      <w:marRight w:val="0"/>
                      <w:marTop w:val="0"/>
                      <w:marBottom w:val="0"/>
                      <w:divBdr>
                        <w:top w:val="none" w:sz="0" w:space="0" w:color="auto"/>
                        <w:left w:val="none" w:sz="0" w:space="0" w:color="auto"/>
                        <w:bottom w:val="none" w:sz="0" w:space="0" w:color="auto"/>
                        <w:right w:val="none" w:sz="0" w:space="0" w:color="auto"/>
                      </w:divBdr>
                    </w:div>
                  </w:divsChild>
                </w:div>
                <w:div w:id="1185172777">
                  <w:marLeft w:val="0"/>
                  <w:marRight w:val="0"/>
                  <w:marTop w:val="0"/>
                  <w:marBottom w:val="0"/>
                  <w:divBdr>
                    <w:top w:val="none" w:sz="0" w:space="0" w:color="auto"/>
                    <w:left w:val="none" w:sz="0" w:space="0" w:color="auto"/>
                    <w:bottom w:val="none" w:sz="0" w:space="0" w:color="auto"/>
                    <w:right w:val="none" w:sz="0" w:space="0" w:color="auto"/>
                  </w:divBdr>
                  <w:divsChild>
                    <w:div w:id="997998528">
                      <w:marLeft w:val="0"/>
                      <w:marRight w:val="0"/>
                      <w:marTop w:val="0"/>
                      <w:marBottom w:val="0"/>
                      <w:divBdr>
                        <w:top w:val="none" w:sz="0" w:space="0" w:color="auto"/>
                        <w:left w:val="none" w:sz="0" w:space="0" w:color="auto"/>
                        <w:bottom w:val="none" w:sz="0" w:space="0" w:color="auto"/>
                        <w:right w:val="none" w:sz="0" w:space="0" w:color="auto"/>
                      </w:divBdr>
                    </w:div>
                  </w:divsChild>
                </w:div>
                <w:div w:id="1203178201">
                  <w:marLeft w:val="0"/>
                  <w:marRight w:val="0"/>
                  <w:marTop w:val="0"/>
                  <w:marBottom w:val="0"/>
                  <w:divBdr>
                    <w:top w:val="none" w:sz="0" w:space="0" w:color="auto"/>
                    <w:left w:val="none" w:sz="0" w:space="0" w:color="auto"/>
                    <w:bottom w:val="none" w:sz="0" w:space="0" w:color="auto"/>
                    <w:right w:val="none" w:sz="0" w:space="0" w:color="auto"/>
                  </w:divBdr>
                  <w:divsChild>
                    <w:div w:id="2118134325">
                      <w:marLeft w:val="0"/>
                      <w:marRight w:val="0"/>
                      <w:marTop w:val="0"/>
                      <w:marBottom w:val="0"/>
                      <w:divBdr>
                        <w:top w:val="none" w:sz="0" w:space="0" w:color="auto"/>
                        <w:left w:val="none" w:sz="0" w:space="0" w:color="auto"/>
                        <w:bottom w:val="none" w:sz="0" w:space="0" w:color="auto"/>
                        <w:right w:val="none" w:sz="0" w:space="0" w:color="auto"/>
                      </w:divBdr>
                    </w:div>
                  </w:divsChild>
                </w:div>
                <w:div w:id="1225795394">
                  <w:marLeft w:val="0"/>
                  <w:marRight w:val="0"/>
                  <w:marTop w:val="0"/>
                  <w:marBottom w:val="0"/>
                  <w:divBdr>
                    <w:top w:val="none" w:sz="0" w:space="0" w:color="auto"/>
                    <w:left w:val="none" w:sz="0" w:space="0" w:color="auto"/>
                    <w:bottom w:val="none" w:sz="0" w:space="0" w:color="auto"/>
                    <w:right w:val="none" w:sz="0" w:space="0" w:color="auto"/>
                  </w:divBdr>
                  <w:divsChild>
                    <w:div w:id="1299796155">
                      <w:marLeft w:val="0"/>
                      <w:marRight w:val="0"/>
                      <w:marTop w:val="0"/>
                      <w:marBottom w:val="0"/>
                      <w:divBdr>
                        <w:top w:val="none" w:sz="0" w:space="0" w:color="auto"/>
                        <w:left w:val="none" w:sz="0" w:space="0" w:color="auto"/>
                        <w:bottom w:val="none" w:sz="0" w:space="0" w:color="auto"/>
                        <w:right w:val="none" w:sz="0" w:space="0" w:color="auto"/>
                      </w:divBdr>
                    </w:div>
                  </w:divsChild>
                </w:div>
                <w:div w:id="1237058247">
                  <w:marLeft w:val="0"/>
                  <w:marRight w:val="0"/>
                  <w:marTop w:val="0"/>
                  <w:marBottom w:val="0"/>
                  <w:divBdr>
                    <w:top w:val="none" w:sz="0" w:space="0" w:color="auto"/>
                    <w:left w:val="none" w:sz="0" w:space="0" w:color="auto"/>
                    <w:bottom w:val="none" w:sz="0" w:space="0" w:color="auto"/>
                    <w:right w:val="none" w:sz="0" w:space="0" w:color="auto"/>
                  </w:divBdr>
                  <w:divsChild>
                    <w:div w:id="922880146">
                      <w:marLeft w:val="0"/>
                      <w:marRight w:val="0"/>
                      <w:marTop w:val="0"/>
                      <w:marBottom w:val="0"/>
                      <w:divBdr>
                        <w:top w:val="none" w:sz="0" w:space="0" w:color="auto"/>
                        <w:left w:val="none" w:sz="0" w:space="0" w:color="auto"/>
                        <w:bottom w:val="none" w:sz="0" w:space="0" w:color="auto"/>
                        <w:right w:val="none" w:sz="0" w:space="0" w:color="auto"/>
                      </w:divBdr>
                    </w:div>
                  </w:divsChild>
                </w:div>
                <w:div w:id="1282615216">
                  <w:marLeft w:val="0"/>
                  <w:marRight w:val="0"/>
                  <w:marTop w:val="0"/>
                  <w:marBottom w:val="0"/>
                  <w:divBdr>
                    <w:top w:val="none" w:sz="0" w:space="0" w:color="auto"/>
                    <w:left w:val="none" w:sz="0" w:space="0" w:color="auto"/>
                    <w:bottom w:val="none" w:sz="0" w:space="0" w:color="auto"/>
                    <w:right w:val="none" w:sz="0" w:space="0" w:color="auto"/>
                  </w:divBdr>
                  <w:divsChild>
                    <w:div w:id="325547882">
                      <w:marLeft w:val="0"/>
                      <w:marRight w:val="0"/>
                      <w:marTop w:val="0"/>
                      <w:marBottom w:val="0"/>
                      <w:divBdr>
                        <w:top w:val="none" w:sz="0" w:space="0" w:color="auto"/>
                        <w:left w:val="none" w:sz="0" w:space="0" w:color="auto"/>
                        <w:bottom w:val="none" w:sz="0" w:space="0" w:color="auto"/>
                        <w:right w:val="none" w:sz="0" w:space="0" w:color="auto"/>
                      </w:divBdr>
                    </w:div>
                  </w:divsChild>
                </w:div>
                <w:div w:id="1325670279">
                  <w:marLeft w:val="0"/>
                  <w:marRight w:val="0"/>
                  <w:marTop w:val="0"/>
                  <w:marBottom w:val="0"/>
                  <w:divBdr>
                    <w:top w:val="none" w:sz="0" w:space="0" w:color="auto"/>
                    <w:left w:val="none" w:sz="0" w:space="0" w:color="auto"/>
                    <w:bottom w:val="none" w:sz="0" w:space="0" w:color="auto"/>
                    <w:right w:val="none" w:sz="0" w:space="0" w:color="auto"/>
                  </w:divBdr>
                  <w:divsChild>
                    <w:div w:id="1313683308">
                      <w:marLeft w:val="0"/>
                      <w:marRight w:val="0"/>
                      <w:marTop w:val="0"/>
                      <w:marBottom w:val="0"/>
                      <w:divBdr>
                        <w:top w:val="none" w:sz="0" w:space="0" w:color="auto"/>
                        <w:left w:val="none" w:sz="0" w:space="0" w:color="auto"/>
                        <w:bottom w:val="none" w:sz="0" w:space="0" w:color="auto"/>
                        <w:right w:val="none" w:sz="0" w:space="0" w:color="auto"/>
                      </w:divBdr>
                    </w:div>
                  </w:divsChild>
                </w:div>
                <w:div w:id="1380396643">
                  <w:marLeft w:val="0"/>
                  <w:marRight w:val="0"/>
                  <w:marTop w:val="0"/>
                  <w:marBottom w:val="0"/>
                  <w:divBdr>
                    <w:top w:val="none" w:sz="0" w:space="0" w:color="auto"/>
                    <w:left w:val="none" w:sz="0" w:space="0" w:color="auto"/>
                    <w:bottom w:val="none" w:sz="0" w:space="0" w:color="auto"/>
                    <w:right w:val="none" w:sz="0" w:space="0" w:color="auto"/>
                  </w:divBdr>
                  <w:divsChild>
                    <w:div w:id="764037721">
                      <w:marLeft w:val="0"/>
                      <w:marRight w:val="0"/>
                      <w:marTop w:val="0"/>
                      <w:marBottom w:val="0"/>
                      <w:divBdr>
                        <w:top w:val="none" w:sz="0" w:space="0" w:color="auto"/>
                        <w:left w:val="none" w:sz="0" w:space="0" w:color="auto"/>
                        <w:bottom w:val="none" w:sz="0" w:space="0" w:color="auto"/>
                        <w:right w:val="none" w:sz="0" w:space="0" w:color="auto"/>
                      </w:divBdr>
                    </w:div>
                  </w:divsChild>
                </w:div>
                <w:div w:id="1392853242">
                  <w:marLeft w:val="0"/>
                  <w:marRight w:val="0"/>
                  <w:marTop w:val="0"/>
                  <w:marBottom w:val="0"/>
                  <w:divBdr>
                    <w:top w:val="none" w:sz="0" w:space="0" w:color="auto"/>
                    <w:left w:val="none" w:sz="0" w:space="0" w:color="auto"/>
                    <w:bottom w:val="none" w:sz="0" w:space="0" w:color="auto"/>
                    <w:right w:val="none" w:sz="0" w:space="0" w:color="auto"/>
                  </w:divBdr>
                  <w:divsChild>
                    <w:div w:id="1387145471">
                      <w:marLeft w:val="0"/>
                      <w:marRight w:val="0"/>
                      <w:marTop w:val="0"/>
                      <w:marBottom w:val="0"/>
                      <w:divBdr>
                        <w:top w:val="none" w:sz="0" w:space="0" w:color="auto"/>
                        <w:left w:val="none" w:sz="0" w:space="0" w:color="auto"/>
                        <w:bottom w:val="none" w:sz="0" w:space="0" w:color="auto"/>
                        <w:right w:val="none" w:sz="0" w:space="0" w:color="auto"/>
                      </w:divBdr>
                    </w:div>
                  </w:divsChild>
                </w:div>
                <w:div w:id="1403529314">
                  <w:marLeft w:val="0"/>
                  <w:marRight w:val="0"/>
                  <w:marTop w:val="0"/>
                  <w:marBottom w:val="0"/>
                  <w:divBdr>
                    <w:top w:val="none" w:sz="0" w:space="0" w:color="auto"/>
                    <w:left w:val="none" w:sz="0" w:space="0" w:color="auto"/>
                    <w:bottom w:val="none" w:sz="0" w:space="0" w:color="auto"/>
                    <w:right w:val="none" w:sz="0" w:space="0" w:color="auto"/>
                  </w:divBdr>
                  <w:divsChild>
                    <w:div w:id="579799653">
                      <w:marLeft w:val="0"/>
                      <w:marRight w:val="0"/>
                      <w:marTop w:val="0"/>
                      <w:marBottom w:val="0"/>
                      <w:divBdr>
                        <w:top w:val="none" w:sz="0" w:space="0" w:color="auto"/>
                        <w:left w:val="none" w:sz="0" w:space="0" w:color="auto"/>
                        <w:bottom w:val="none" w:sz="0" w:space="0" w:color="auto"/>
                        <w:right w:val="none" w:sz="0" w:space="0" w:color="auto"/>
                      </w:divBdr>
                    </w:div>
                  </w:divsChild>
                </w:div>
                <w:div w:id="1424372672">
                  <w:marLeft w:val="0"/>
                  <w:marRight w:val="0"/>
                  <w:marTop w:val="0"/>
                  <w:marBottom w:val="0"/>
                  <w:divBdr>
                    <w:top w:val="none" w:sz="0" w:space="0" w:color="auto"/>
                    <w:left w:val="none" w:sz="0" w:space="0" w:color="auto"/>
                    <w:bottom w:val="none" w:sz="0" w:space="0" w:color="auto"/>
                    <w:right w:val="none" w:sz="0" w:space="0" w:color="auto"/>
                  </w:divBdr>
                  <w:divsChild>
                    <w:div w:id="885289277">
                      <w:marLeft w:val="0"/>
                      <w:marRight w:val="0"/>
                      <w:marTop w:val="0"/>
                      <w:marBottom w:val="0"/>
                      <w:divBdr>
                        <w:top w:val="none" w:sz="0" w:space="0" w:color="auto"/>
                        <w:left w:val="none" w:sz="0" w:space="0" w:color="auto"/>
                        <w:bottom w:val="none" w:sz="0" w:space="0" w:color="auto"/>
                        <w:right w:val="none" w:sz="0" w:space="0" w:color="auto"/>
                      </w:divBdr>
                    </w:div>
                  </w:divsChild>
                </w:div>
                <w:div w:id="1426270076">
                  <w:marLeft w:val="0"/>
                  <w:marRight w:val="0"/>
                  <w:marTop w:val="0"/>
                  <w:marBottom w:val="0"/>
                  <w:divBdr>
                    <w:top w:val="none" w:sz="0" w:space="0" w:color="auto"/>
                    <w:left w:val="none" w:sz="0" w:space="0" w:color="auto"/>
                    <w:bottom w:val="none" w:sz="0" w:space="0" w:color="auto"/>
                    <w:right w:val="none" w:sz="0" w:space="0" w:color="auto"/>
                  </w:divBdr>
                  <w:divsChild>
                    <w:div w:id="339432533">
                      <w:marLeft w:val="0"/>
                      <w:marRight w:val="0"/>
                      <w:marTop w:val="0"/>
                      <w:marBottom w:val="0"/>
                      <w:divBdr>
                        <w:top w:val="none" w:sz="0" w:space="0" w:color="auto"/>
                        <w:left w:val="none" w:sz="0" w:space="0" w:color="auto"/>
                        <w:bottom w:val="none" w:sz="0" w:space="0" w:color="auto"/>
                        <w:right w:val="none" w:sz="0" w:space="0" w:color="auto"/>
                      </w:divBdr>
                    </w:div>
                  </w:divsChild>
                </w:div>
                <w:div w:id="1491213549">
                  <w:marLeft w:val="0"/>
                  <w:marRight w:val="0"/>
                  <w:marTop w:val="0"/>
                  <w:marBottom w:val="0"/>
                  <w:divBdr>
                    <w:top w:val="none" w:sz="0" w:space="0" w:color="auto"/>
                    <w:left w:val="none" w:sz="0" w:space="0" w:color="auto"/>
                    <w:bottom w:val="none" w:sz="0" w:space="0" w:color="auto"/>
                    <w:right w:val="none" w:sz="0" w:space="0" w:color="auto"/>
                  </w:divBdr>
                  <w:divsChild>
                    <w:div w:id="1754353325">
                      <w:marLeft w:val="0"/>
                      <w:marRight w:val="0"/>
                      <w:marTop w:val="0"/>
                      <w:marBottom w:val="0"/>
                      <w:divBdr>
                        <w:top w:val="none" w:sz="0" w:space="0" w:color="auto"/>
                        <w:left w:val="none" w:sz="0" w:space="0" w:color="auto"/>
                        <w:bottom w:val="none" w:sz="0" w:space="0" w:color="auto"/>
                        <w:right w:val="none" w:sz="0" w:space="0" w:color="auto"/>
                      </w:divBdr>
                    </w:div>
                  </w:divsChild>
                </w:div>
                <w:div w:id="1492912313">
                  <w:marLeft w:val="0"/>
                  <w:marRight w:val="0"/>
                  <w:marTop w:val="0"/>
                  <w:marBottom w:val="0"/>
                  <w:divBdr>
                    <w:top w:val="none" w:sz="0" w:space="0" w:color="auto"/>
                    <w:left w:val="none" w:sz="0" w:space="0" w:color="auto"/>
                    <w:bottom w:val="none" w:sz="0" w:space="0" w:color="auto"/>
                    <w:right w:val="none" w:sz="0" w:space="0" w:color="auto"/>
                  </w:divBdr>
                  <w:divsChild>
                    <w:div w:id="776801707">
                      <w:marLeft w:val="0"/>
                      <w:marRight w:val="0"/>
                      <w:marTop w:val="0"/>
                      <w:marBottom w:val="0"/>
                      <w:divBdr>
                        <w:top w:val="none" w:sz="0" w:space="0" w:color="auto"/>
                        <w:left w:val="none" w:sz="0" w:space="0" w:color="auto"/>
                        <w:bottom w:val="none" w:sz="0" w:space="0" w:color="auto"/>
                        <w:right w:val="none" w:sz="0" w:space="0" w:color="auto"/>
                      </w:divBdr>
                    </w:div>
                  </w:divsChild>
                </w:div>
                <w:div w:id="1521122501">
                  <w:marLeft w:val="0"/>
                  <w:marRight w:val="0"/>
                  <w:marTop w:val="0"/>
                  <w:marBottom w:val="0"/>
                  <w:divBdr>
                    <w:top w:val="none" w:sz="0" w:space="0" w:color="auto"/>
                    <w:left w:val="none" w:sz="0" w:space="0" w:color="auto"/>
                    <w:bottom w:val="none" w:sz="0" w:space="0" w:color="auto"/>
                    <w:right w:val="none" w:sz="0" w:space="0" w:color="auto"/>
                  </w:divBdr>
                  <w:divsChild>
                    <w:div w:id="1405571844">
                      <w:marLeft w:val="0"/>
                      <w:marRight w:val="0"/>
                      <w:marTop w:val="0"/>
                      <w:marBottom w:val="0"/>
                      <w:divBdr>
                        <w:top w:val="none" w:sz="0" w:space="0" w:color="auto"/>
                        <w:left w:val="none" w:sz="0" w:space="0" w:color="auto"/>
                        <w:bottom w:val="none" w:sz="0" w:space="0" w:color="auto"/>
                        <w:right w:val="none" w:sz="0" w:space="0" w:color="auto"/>
                      </w:divBdr>
                    </w:div>
                  </w:divsChild>
                </w:div>
                <w:div w:id="1524975496">
                  <w:marLeft w:val="0"/>
                  <w:marRight w:val="0"/>
                  <w:marTop w:val="0"/>
                  <w:marBottom w:val="0"/>
                  <w:divBdr>
                    <w:top w:val="none" w:sz="0" w:space="0" w:color="auto"/>
                    <w:left w:val="none" w:sz="0" w:space="0" w:color="auto"/>
                    <w:bottom w:val="none" w:sz="0" w:space="0" w:color="auto"/>
                    <w:right w:val="none" w:sz="0" w:space="0" w:color="auto"/>
                  </w:divBdr>
                  <w:divsChild>
                    <w:div w:id="2052000784">
                      <w:marLeft w:val="0"/>
                      <w:marRight w:val="0"/>
                      <w:marTop w:val="0"/>
                      <w:marBottom w:val="0"/>
                      <w:divBdr>
                        <w:top w:val="none" w:sz="0" w:space="0" w:color="auto"/>
                        <w:left w:val="none" w:sz="0" w:space="0" w:color="auto"/>
                        <w:bottom w:val="none" w:sz="0" w:space="0" w:color="auto"/>
                        <w:right w:val="none" w:sz="0" w:space="0" w:color="auto"/>
                      </w:divBdr>
                    </w:div>
                  </w:divsChild>
                </w:div>
                <w:div w:id="1529293218">
                  <w:marLeft w:val="0"/>
                  <w:marRight w:val="0"/>
                  <w:marTop w:val="0"/>
                  <w:marBottom w:val="0"/>
                  <w:divBdr>
                    <w:top w:val="none" w:sz="0" w:space="0" w:color="auto"/>
                    <w:left w:val="none" w:sz="0" w:space="0" w:color="auto"/>
                    <w:bottom w:val="none" w:sz="0" w:space="0" w:color="auto"/>
                    <w:right w:val="none" w:sz="0" w:space="0" w:color="auto"/>
                  </w:divBdr>
                  <w:divsChild>
                    <w:div w:id="667248303">
                      <w:marLeft w:val="0"/>
                      <w:marRight w:val="0"/>
                      <w:marTop w:val="0"/>
                      <w:marBottom w:val="0"/>
                      <w:divBdr>
                        <w:top w:val="none" w:sz="0" w:space="0" w:color="auto"/>
                        <w:left w:val="none" w:sz="0" w:space="0" w:color="auto"/>
                        <w:bottom w:val="none" w:sz="0" w:space="0" w:color="auto"/>
                        <w:right w:val="none" w:sz="0" w:space="0" w:color="auto"/>
                      </w:divBdr>
                    </w:div>
                  </w:divsChild>
                </w:div>
                <w:div w:id="1544711300">
                  <w:marLeft w:val="0"/>
                  <w:marRight w:val="0"/>
                  <w:marTop w:val="0"/>
                  <w:marBottom w:val="0"/>
                  <w:divBdr>
                    <w:top w:val="none" w:sz="0" w:space="0" w:color="auto"/>
                    <w:left w:val="none" w:sz="0" w:space="0" w:color="auto"/>
                    <w:bottom w:val="none" w:sz="0" w:space="0" w:color="auto"/>
                    <w:right w:val="none" w:sz="0" w:space="0" w:color="auto"/>
                  </w:divBdr>
                  <w:divsChild>
                    <w:div w:id="422456269">
                      <w:marLeft w:val="0"/>
                      <w:marRight w:val="0"/>
                      <w:marTop w:val="0"/>
                      <w:marBottom w:val="0"/>
                      <w:divBdr>
                        <w:top w:val="none" w:sz="0" w:space="0" w:color="auto"/>
                        <w:left w:val="none" w:sz="0" w:space="0" w:color="auto"/>
                        <w:bottom w:val="none" w:sz="0" w:space="0" w:color="auto"/>
                        <w:right w:val="none" w:sz="0" w:space="0" w:color="auto"/>
                      </w:divBdr>
                    </w:div>
                  </w:divsChild>
                </w:div>
                <w:div w:id="1573197980">
                  <w:marLeft w:val="0"/>
                  <w:marRight w:val="0"/>
                  <w:marTop w:val="0"/>
                  <w:marBottom w:val="0"/>
                  <w:divBdr>
                    <w:top w:val="none" w:sz="0" w:space="0" w:color="auto"/>
                    <w:left w:val="none" w:sz="0" w:space="0" w:color="auto"/>
                    <w:bottom w:val="none" w:sz="0" w:space="0" w:color="auto"/>
                    <w:right w:val="none" w:sz="0" w:space="0" w:color="auto"/>
                  </w:divBdr>
                  <w:divsChild>
                    <w:div w:id="27149536">
                      <w:marLeft w:val="0"/>
                      <w:marRight w:val="0"/>
                      <w:marTop w:val="0"/>
                      <w:marBottom w:val="0"/>
                      <w:divBdr>
                        <w:top w:val="none" w:sz="0" w:space="0" w:color="auto"/>
                        <w:left w:val="none" w:sz="0" w:space="0" w:color="auto"/>
                        <w:bottom w:val="none" w:sz="0" w:space="0" w:color="auto"/>
                        <w:right w:val="none" w:sz="0" w:space="0" w:color="auto"/>
                      </w:divBdr>
                    </w:div>
                  </w:divsChild>
                </w:div>
                <w:div w:id="1598252990">
                  <w:marLeft w:val="0"/>
                  <w:marRight w:val="0"/>
                  <w:marTop w:val="0"/>
                  <w:marBottom w:val="0"/>
                  <w:divBdr>
                    <w:top w:val="none" w:sz="0" w:space="0" w:color="auto"/>
                    <w:left w:val="none" w:sz="0" w:space="0" w:color="auto"/>
                    <w:bottom w:val="none" w:sz="0" w:space="0" w:color="auto"/>
                    <w:right w:val="none" w:sz="0" w:space="0" w:color="auto"/>
                  </w:divBdr>
                  <w:divsChild>
                    <w:div w:id="1571036872">
                      <w:marLeft w:val="0"/>
                      <w:marRight w:val="0"/>
                      <w:marTop w:val="0"/>
                      <w:marBottom w:val="0"/>
                      <w:divBdr>
                        <w:top w:val="none" w:sz="0" w:space="0" w:color="auto"/>
                        <w:left w:val="none" w:sz="0" w:space="0" w:color="auto"/>
                        <w:bottom w:val="none" w:sz="0" w:space="0" w:color="auto"/>
                        <w:right w:val="none" w:sz="0" w:space="0" w:color="auto"/>
                      </w:divBdr>
                    </w:div>
                  </w:divsChild>
                </w:div>
                <w:div w:id="1690837747">
                  <w:marLeft w:val="0"/>
                  <w:marRight w:val="0"/>
                  <w:marTop w:val="0"/>
                  <w:marBottom w:val="0"/>
                  <w:divBdr>
                    <w:top w:val="none" w:sz="0" w:space="0" w:color="auto"/>
                    <w:left w:val="none" w:sz="0" w:space="0" w:color="auto"/>
                    <w:bottom w:val="none" w:sz="0" w:space="0" w:color="auto"/>
                    <w:right w:val="none" w:sz="0" w:space="0" w:color="auto"/>
                  </w:divBdr>
                  <w:divsChild>
                    <w:div w:id="88544720">
                      <w:marLeft w:val="0"/>
                      <w:marRight w:val="0"/>
                      <w:marTop w:val="0"/>
                      <w:marBottom w:val="0"/>
                      <w:divBdr>
                        <w:top w:val="none" w:sz="0" w:space="0" w:color="auto"/>
                        <w:left w:val="none" w:sz="0" w:space="0" w:color="auto"/>
                        <w:bottom w:val="none" w:sz="0" w:space="0" w:color="auto"/>
                        <w:right w:val="none" w:sz="0" w:space="0" w:color="auto"/>
                      </w:divBdr>
                    </w:div>
                  </w:divsChild>
                </w:div>
                <w:div w:id="1740783857">
                  <w:marLeft w:val="0"/>
                  <w:marRight w:val="0"/>
                  <w:marTop w:val="0"/>
                  <w:marBottom w:val="0"/>
                  <w:divBdr>
                    <w:top w:val="none" w:sz="0" w:space="0" w:color="auto"/>
                    <w:left w:val="none" w:sz="0" w:space="0" w:color="auto"/>
                    <w:bottom w:val="none" w:sz="0" w:space="0" w:color="auto"/>
                    <w:right w:val="none" w:sz="0" w:space="0" w:color="auto"/>
                  </w:divBdr>
                  <w:divsChild>
                    <w:div w:id="709886495">
                      <w:marLeft w:val="0"/>
                      <w:marRight w:val="0"/>
                      <w:marTop w:val="0"/>
                      <w:marBottom w:val="0"/>
                      <w:divBdr>
                        <w:top w:val="none" w:sz="0" w:space="0" w:color="auto"/>
                        <w:left w:val="none" w:sz="0" w:space="0" w:color="auto"/>
                        <w:bottom w:val="none" w:sz="0" w:space="0" w:color="auto"/>
                        <w:right w:val="none" w:sz="0" w:space="0" w:color="auto"/>
                      </w:divBdr>
                    </w:div>
                  </w:divsChild>
                </w:div>
                <w:div w:id="1742289049">
                  <w:marLeft w:val="0"/>
                  <w:marRight w:val="0"/>
                  <w:marTop w:val="0"/>
                  <w:marBottom w:val="0"/>
                  <w:divBdr>
                    <w:top w:val="none" w:sz="0" w:space="0" w:color="auto"/>
                    <w:left w:val="none" w:sz="0" w:space="0" w:color="auto"/>
                    <w:bottom w:val="none" w:sz="0" w:space="0" w:color="auto"/>
                    <w:right w:val="none" w:sz="0" w:space="0" w:color="auto"/>
                  </w:divBdr>
                  <w:divsChild>
                    <w:div w:id="1112430968">
                      <w:marLeft w:val="0"/>
                      <w:marRight w:val="0"/>
                      <w:marTop w:val="0"/>
                      <w:marBottom w:val="0"/>
                      <w:divBdr>
                        <w:top w:val="none" w:sz="0" w:space="0" w:color="auto"/>
                        <w:left w:val="none" w:sz="0" w:space="0" w:color="auto"/>
                        <w:bottom w:val="none" w:sz="0" w:space="0" w:color="auto"/>
                        <w:right w:val="none" w:sz="0" w:space="0" w:color="auto"/>
                      </w:divBdr>
                    </w:div>
                  </w:divsChild>
                </w:div>
                <w:div w:id="1778594249">
                  <w:marLeft w:val="0"/>
                  <w:marRight w:val="0"/>
                  <w:marTop w:val="0"/>
                  <w:marBottom w:val="0"/>
                  <w:divBdr>
                    <w:top w:val="none" w:sz="0" w:space="0" w:color="auto"/>
                    <w:left w:val="none" w:sz="0" w:space="0" w:color="auto"/>
                    <w:bottom w:val="none" w:sz="0" w:space="0" w:color="auto"/>
                    <w:right w:val="none" w:sz="0" w:space="0" w:color="auto"/>
                  </w:divBdr>
                  <w:divsChild>
                    <w:div w:id="1328485487">
                      <w:marLeft w:val="0"/>
                      <w:marRight w:val="0"/>
                      <w:marTop w:val="0"/>
                      <w:marBottom w:val="0"/>
                      <w:divBdr>
                        <w:top w:val="none" w:sz="0" w:space="0" w:color="auto"/>
                        <w:left w:val="none" w:sz="0" w:space="0" w:color="auto"/>
                        <w:bottom w:val="none" w:sz="0" w:space="0" w:color="auto"/>
                        <w:right w:val="none" w:sz="0" w:space="0" w:color="auto"/>
                      </w:divBdr>
                    </w:div>
                  </w:divsChild>
                </w:div>
                <w:div w:id="1800755849">
                  <w:marLeft w:val="0"/>
                  <w:marRight w:val="0"/>
                  <w:marTop w:val="0"/>
                  <w:marBottom w:val="0"/>
                  <w:divBdr>
                    <w:top w:val="none" w:sz="0" w:space="0" w:color="auto"/>
                    <w:left w:val="none" w:sz="0" w:space="0" w:color="auto"/>
                    <w:bottom w:val="none" w:sz="0" w:space="0" w:color="auto"/>
                    <w:right w:val="none" w:sz="0" w:space="0" w:color="auto"/>
                  </w:divBdr>
                  <w:divsChild>
                    <w:div w:id="2044355931">
                      <w:marLeft w:val="0"/>
                      <w:marRight w:val="0"/>
                      <w:marTop w:val="0"/>
                      <w:marBottom w:val="0"/>
                      <w:divBdr>
                        <w:top w:val="none" w:sz="0" w:space="0" w:color="auto"/>
                        <w:left w:val="none" w:sz="0" w:space="0" w:color="auto"/>
                        <w:bottom w:val="none" w:sz="0" w:space="0" w:color="auto"/>
                        <w:right w:val="none" w:sz="0" w:space="0" w:color="auto"/>
                      </w:divBdr>
                    </w:div>
                  </w:divsChild>
                </w:div>
                <w:div w:id="1828864985">
                  <w:marLeft w:val="0"/>
                  <w:marRight w:val="0"/>
                  <w:marTop w:val="0"/>
                  <w:marBottom w:val="0"/>
                  <w:divBdr>
                    <w:top w:val="none" w:sz="0" w:space="0" w:color="auto"/>
                    <w:left w:val="none" w:sz="0" w:space="0" w:color="auto"/>
                    <w:bottom w:val="none" w:sz="0" w:space="0" w:color="auto"/>
                    <w:right w:val="none" w:sz="0" w:space="0" w:color="auto"/>
                  </w:divBdr>
                  <w:divsChild>
                    <w:div w:id="1926112708">
                      <w:marLeft w:val="0"/>
                      <w:marRight w:val="0"/>
                      <w:marTop w:val="0"/>
                      <w:marBottom w:val="0"/>
                      <w:divBdr>
                        <w:top w:val="none" w:sz="0" w:space="0" w:color="auto"/>
                        <w:left w:val="none" w:sz="0" w:space="0" w:color="auto"/>
                        <w:bottom w:val="none" w:sz="0" w:space="0" w:color="auto"/>
                        <w:right w:val="none" w:sz="0" w:space="0" w:color="auto"/>
                      </w:divBdr>
                    </w:div>
                  </w:divsChild>
                </w:div>
                <w:div w:id="1839077936">
                  <w:marLeft w:val="0"/>
                  <w:marRight w:val="0"/>
                  <w:marTop w:val="0"/>
                  <w:marBottom w:val="0"/>
                  <w:divBdr>
                    <w:top w:val="none" w:sz="0" w:space="0" w:color="auto"/>
                    <w:left w:val="none" w:sz="0" w:space="0" w:color="auto"/>
                    <w:bottom w:val="none" w:sz="0" w:space="0" w:color="auto"/>
                    <w:right w:val="none" w:sz="0" w:space="0" w:color="auto"/>
                  </w:divBdr>
                  <w:divsChild>
                    <w:div w:id="1362827355">
                      <w:marLeft w:val="0"/>
                      <w:marRight w:val="0"/>
                      <w:marTop w:val="0"/>
                      <w:marBottom w:val="0"/>
                      <w:divBdr>
                        <w:top w:val="none" w:sz="0" w:space="0" w:color="auto"/>
                        <w:left w:val="none" w:sz="0" w:space="0" w:color="auto"/>
                        <w:bottom w:val="none" w:sz="0" w:space="0" w:color="auto"/>
                        <w:right w:val="none" w:sz="0" w:space="0" w:color="auto"/>
                      </w:divBdr>
                    </w:div>
                  </w:divsChild>
                </w:div>
                <w:div w:id="1840539844">
                  <w:marLeft w:val="0"/>
                  <w:marRight w:val="0"/>
                  <w:marTop w:val="0"/>
                  <w:marBottom w:val="0"/>
                  <w:divBdr>
                    <w:top w:val="none" w:sz="0" w:space="0" w:color="auto"/>
                    <w:left w:val="none" w:sz="0" w:space="0" w:color="auto"/>
                    <w:bottom w:val="none" w:sz="0" w:space="0" w:color="auto"/>
                    <w:right w:val="none" w:sz="0" w:space="0" w:color="auto"/>
                  </w:divBdr>
                  <w:divsChild>
                    <w:div w:id="1323662931">
                      <w:marLeft w:val="0"/>
                      <w:marRight w:val="0"/>
                      <w:marTop w:val="0"/>
                      <w:marBottom w:val="0"/>
                      <w:divBdr>
                        <w:top w:val="none" w:sz="0" w:space="0" w:color="auto"/>
                        <w:left w:val="none" w:sz="0" w:space="0" w:color="auto"/>
                        <w:bottom w:val="none" w:sz="0" w:space="0" w:color="auto"/>
                        <w:right w:val="none" w:sz="0" w:space="0" w:color="auto"/>
                      </w:divBdr>
                    </w:div>
                  </w:divsChild>
                </w:div>
                <w:div w:id="1907183946">
                  <w:marLeft w:val="0"/>
                  <w:marRight w:val="0"/>
                  <w:marTop w:val="0"/>
                  <w:marBottom w:val="0"/>
                  <w:divBdr>
                    <w:top w:val="none" w:sz="0" w:space="0" w:color="auto"/>
                    <w:left w:val="none" w:sz="0" w:space="0" w:color="auto"/>
                    <w:bottom w:val="none" w:sz="0" w:space="0" w:color="auto"/>
                    <w:right w:val="none" w:sz="0" w:space="0" w:color="auto"/>
                  </w:divBdr>
                  <w:divsChild>
                    <w:div w:id="1450008759">
                      <w:marLeft w:val="0"/>
                      <w:marRight w:val="0"/>
                      <w:marTop w:val="0"/>
                      <w:marBottom w:val="0"/>
                      <w:divBdr>
                        <w:top w:val="none" w:sz="0" w:space="0" w:color="auto"/>
                        <w:left w:val="none" w:sz="0" w:space="0" w:color="auto"/>
                        <w:bottom w:val="none" w:sz="0" w:space="0" w:color="auto"/>
                        <w:right w:val="none" w:sz="0" w:space="0" w:color="auto"/>
                      </w:divBdr>
                    </w:div>
                  </w:divsChild>
                </w:div>
                <w:div w:id="1919901970">
                  <w:marLeft w:val="0"/>
                  <w:marRight w:val="0"/>
                  <w:marTop w:val="0"/>
                  <w:marBottom w:val="0"/>
                  <w:divBdr>
                    <w:top w:val="none" w:sz="0" w:space="0" w:color="auto"/>
                    <w:left w:val="none" w:sz="0" w:space="0" w:color="auto"/>
                    <w:bottom w:val="none" w:sz="0" w:space="0" w:color="auto"/>
                    <w:right w:val="none" w:sz="0" w:space="0" w:color="auto"/>
                  </w:divBdr>
                  <w:divsChild>
                    <w:div w:id="1620989681">
                      <w:marLeft w:val="0"/>
                      <w:marRight w:val="0"/>
                      <w:marTop w:val="0"/>
                      <w:marBottom w:val="0"/>
                      <w:divBdr>
                        <w:top w:val="none" w:sz="0" w:space="0" w:color="auto"/>
                        <w:left w:val="none" w:sz="0" w:space="0" w:color="auto"/>
                        <w:bottom w:val="none" w:sz="0" w:space="0" w:color="auto"/>
                        <w:right w:val="none" w:sz="0" w:space="0" w:color="auto"/>
                      </w:divBdr>
                    </w:div>
                  </w:divsChild>
                </w:div>
                <w:div w:id="1941989328">
                  <w:marLeft w:val="0"/>
                  <w:marRight w:val="0"/>
                  <w:marTop w:val="0"/>
                  <w:marBottom w:val="0"/>
                  <w:divBdr>
                    <w:top w:val="none" w:sz="0" w:space="0" w:color="auto"/>
                    <w:left w:val="none" w:sz="0" w:space="0" w:color="auto"/>
                    <w:bottom w:val="none" w:sz="0" w:space="0" w:color="auto"/>
                    <w:right w:val="none" w:sz="0" w:space="0" w:color="auto"/>
                  </w:divBdr>
                  <w:divsChild>
                    <w:div w:id="1415122801">
                      <w:marLeft w:val="0"/>
                      <w:marRight w:val="0"/>
                      <w:marTop w:val="0"/>
                      <w:marBottom w:val="0"/>
                      <w:divBdr>
                        <w:top w:val="none" w:sz="0" w:space="0" w:color="auto"/>
                        <w:left w:val="none" w:sz="0" w:space="0" w:color="auto"/>
                        <w:bottom w:val="none" w:sz="0" w:space="0" w:color="auto"/>
                        <w:right w:val="none" w:sz="0" w:space="0" w:color="auto"/>
                      </w:divBdr>
                    </w:div>
                  </w:divsChild>
                </w:div>
                <w:div w:id="1984459169">
                  <w:marLeft w:val="0"/>
                  <w:marRight w:val="0"/>
                  <w:marTop w:val="0"/>
                  <w:marBottom w:val="0"/>
                  <w:divBdr>
                    <w:top w:val="none" w:sz="0" w:space="0" w:color="auto"/>
                    <w:left w:val="none" w:sz="0" w:space="0" w:color="auto"/>
                    <w:bottom w:val="none" w:sz="0" w:space="0" w:color="auto"/>
                    <w:right w:val="none" w:sz="0" w:space="0" w:color="auto"/>
                  </w:divBdr>
                  <w:divsChild>
                    <w:div w:id="658075629">
                      <w:marLeft w:val="0"/>
                      <w:marRight w:val="0"/>
                      <w:marTop w:val="0"/>
                      <w:marBottom w:val="0"/>
                      <w:divBdr>
                        <w:top w:val="none" w:sz="0" w:space="0" w:color="auto"/>
                        <w:left w:val="none" w:sz="0" w:space="0" w:color="auto"/>
                        <w:bottom w:val="none" w:sz="0" w:space="0" w:color="auto"/>
                        <w:right w:val="none" w:sz="0" w:space="0" w:color="auto"/>
                      </w:divBdr>
                    </w:div>
                  </w:divsChild>
                </w:div>
                <w:div w:id="2015909923">
                  <w:marLeft w:val="0"/>
                  <w:marRight w:val="0"/>
                  <w:marTop w:val="0"/>
                  <w:marBottom w:val="0"/>
                  <w:divBdr>
                    <w:top w:val="none" w:sz="0" w:space="0" w:color="auto"/>
                    <w:left w:val="none" w:sz="0" w:space="0" w:color="auto"/>
                    <w:bottom w:val="none" w:sz="0" w:space="0" w:color="auto"/>
                    <w:right w:val="none" w:sz="0" w:space="0" w:color="auto"/>
                  </w:divBdr>
                  <w:divsChild>
                    <w:div w:id="1559246691">
                      <w:marLeft w:val="0"/>
                      <w:marRight w:val="0"/>
                      <w:marTop w:val="0"/>
                      <w:marBottom w:val="0"/>
                      <w:divBdr>
                        <w:top w:val="none" w:sz="0" w:space="0" w:color="auto"/>
                        <w:left w:val="none" w:sz="0" w:space="0" w:color="auto"/>
                        <w:bottom w:val="none" w:sz="0" w:space="0" w:color="auto"/>
                        <w:right w:val="none" w:sz="0" w:space="0" w:color="auto"/>
                      </w:divBdr>
                    </w:div>
                  </w:divsChild>
                </w:div>
                <w:div w:id="2064333182">
                  <w:marLeft w:val="0"/>
                  <w:marRight w:val="0"/>
                  <w:marTop w:val="0"/>
                  <w:marBottom w:val="0"/>
                  <w:divBdr>
                    <w:top w:val="none" w:sz="0" w:space="0" w:color="auto"/>
                    <w:left w:val="none" w:sz="0" w:space="0" w:color="auto"/>
                    <w:bottom w:val="none" w:sz="0" w:space="0" w:color="auto"/>
                    <w:right w:val="none" w:sz="0" w:space="0" w:color="auto"/>
                  </w:divBdr>
                  <w:divsChild>
                    <w:div w:id="526869170">
                      <w:marLeft w:val="0"/>
                      <w:marRight w:val="0"/>
                      <w:marTop w:val="0"/>
                      <w:marBottom w:val="0"/>
                      <w:divBdr>
                        <w:top w:val="none" w:sz="0" w:space="0" w:color="auto"/>
                        <w:left w:val="none" w:sz="0" w:space="0" w:color="auto"/>
                        <w:bottom w:val="none" w:sz="0" w:space="0" w:color="auto"/>
                        <w:right w:val="none" w:sz="0" w:space="0" w:color="auto"/>
                      </w:divBdr>
                    </w:div>
                  </w:divsChild>
                </w:div>
                <w:div w:id="2086758170">
                  <w:marLeft w:val="0"/>
                  <w:marRight w:val="0"/>
                  <w:marTop w:val="0"/>
                  <w:marBottom w:val="0"/>
                  <w:divBdr>
                    <w:top w:val="none" w:sz="0" w:space="0" w:color="auto"/>
                    <w:left w:val="none" w:sz="0" w:space="0" w:color="auto"/>
                    <w:bottom w:val="none" w:sz="0" w:space="0" w:color="auto"/>
                    <w:right w:val="none" w:sz="0" w:space="0" w:color="auto"/>
                  </w:divBdr>
                  <w:divsChild>
                    <w:div w:id="953093427">
                      <w:marLeft w:val="0"/>
                      <w:marRight w:val="0"/>
                      <w:marTop w:val="0"/>
                      <w:marBottom w:val="0"/>
                      <w:divBdr>
                        <w:top w:val="none" w:sz="0" w:space="0" w:color="auto"/>
                        <w:left w:val="none" w:sz="0" w:space="0" w:color="auto"/>
                        <w:bottom w:val="none" w:sz="0" w:space="0" w:color="auto"/>
                        <w:right w:val="none" w:sz="0" w:space="0" w:color="auto"/>
                      </w:divBdr>
                    </w:div>
                  </w:divsChild>
                </w:div>
                <w:div w:id="2090954051">
                  <w:marLeft w:val="0"/>
                  <w:marRight w:val="0"/>
                  <w:marTop w:val="0"/>
                  <w:marBottom w:val="0"/>
                  <w:divBdr>
                    <w:top w:val="none" w:sz="0" w:space="0" w:color="auto"/>
                    <w:left w:val="none" w:sz="0" w:space="0" w:color="auto"/>
                    <w:bottom w:val="none" w:sz="0" w:space="0" w:color="auto"/>
                    <w:right w:val="none" w:sz="0" w:space="0" w:color="auto"/>
                  </w:divBdr>
                  <w:divsChild>
                    <w:div w:id="1039547916">
                      <w:marLeft w:val="0"/>
                      <w:marRight w:val="0"/>
                      <w:marTop w:val="0"/>
                      <w:marBottom w:val="0"/>
                      <w:divBdr>
                        <w:top w:val="none" w:sz="0" w:space="0" w:color="auto"/>
                        <w:left w:val="none" w:sz="0" w:space="0" w:color="auto"/>
                        <w:bottom w:val="none" w:sz="0" w:space="0" w:color="auto"/>
                        <w:right w:val="none" w:sz="0" w:space="0" w:color="auto"/>
                      </w:divBdr>
                    </w:div>
                  </w:divsChild>
                </w:div>
                <w:div w:id="2098281603">
                  <w:marLeft w:val="0"/>
                  <w:marRight w:val="0"/>
                  <w:marTop w:val="0"/>
                  <w:marBottom w:val="0"/>
                  <w:divBdr>
                    <w:top w:val="none" w:sz="0" w:space="0" w:color="auto"/>
                    <w:left w:val="none" w:sz="0" w:space="0" w:color="auto"/>
                    <w:bottom w:val="none" w:sz="0" w:space="0" w:color="auto"/>
                    <w:right w:val="none" w:sz="0" w:space="0" w:color="auto"/>
                  </w:divBdr>
                  <w:divsChild>
                    <w:div w:id="16263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3227">
          <w:marLeft w:val="0"/>
          <w:marRight w:val="0"/>
          <w:marTop w:val="0"/>
          <w:marBottom w:val="0"/>
          <w:divBdr>
            <w:top w:val="none" w:sz="0" w:space="0" w:color="auto"/>
            <w:left w:val="none" w:sz="0" w:space="0" w:color="auto"/>
            <w:bottom w:val="none" w:sz="0" w:space="0" w:color="auto"/>
            <w:right w:val="none" w:sz="0" w:space="0" w:color="auto"/>
          </w:divBdr>
        </w:div>
        <w:div w:id="1352802339">
          <w:marLeft w:val="0"/>
          <w:marRight w:val="0"/>
          <w:marTop w:val="0"/>
          <w:marBottom w:val="0"/>
          <w:divBdr>
            <w:top w:val="none" w:sz="0" w:space="0" w:color="auto"/>
            <w:left w:val="none" w:sz="0" w:space="0" w:color="auto"/>
            <w:bottom w:val="none" w:sz="0" w:space="0" w:color="auto"/>
            <w:right w:val="none" w:sz="0" w:space="0" w:color="auto"/>
          </w:divBdr>
        </w:div>
        <w:div w:id="1696541756">
          <w:marLeft w:val="0"/>
          <w:marRight w:val="0"/>
          <w:marTop w:val="0"/>
          <w:marBottom w:val="0"/>
          <w:divBdr>
            <w:top w:val="none" w:sz="0" w:space="0" w:color="auto"/>
            <w:left w:val="none" w:sz="0" w:space="0" w:color="auto"/>
            <w:bottom w:val="none" w:sz="0" w:space="0" w:color="auto"/>
            <w:right w:val="none" w:sz="0" w:space="0" w:color="auto"/>
          </w:divBdr>
        </w:div>
        <w:div w:id="1698190793">
          <w:marLeft w:val="0"/>
          <w:marRight w:val="0"/>
          <w:marTop w:val="0"/>
          <w:marBottom w:val="0"/>
          <w:divBdr>
            <w:top w:val="none" w:sz="0" w:space="0" w:color="auto"/>
            <w:left w:val="none" w:sz="0" w:space="0" w:color="auto"/>
            <w:bottom w:val="none" w:sz="0" w:space="0" w:color="auto"/>
            <w:right w:val="none" w:sz="0" w:space="0" w:color="auto"/>
          </w:divBdr>
        </w:div>
        <w:div w:id="2029983431">
          <w:marLeft w:val="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23373706">
      <w:bodyDiv w:val="1"/>
      <w:marLeft w:val="0"/>
      <w:marRight w:val="0"/>
      <w:marTop w:val="0"/>
      <w:marBottom w:val="0"/>
      <w:divBdr>
        <w:top w:val="none" w:sz="0" w:space="0" w:color="auto"/>
        <w:left w:val="none" w:sz="0" w:space="0" w:color="auto"/>
        <w:bottom w:val="none" w:sz="0" w:space="0" w:color="auto"/>
        <w:right w:val="none" w:sz="0" w:space="0" w:color="auto"/>
      </w:divBdr>
      <w:divsChild>
        <w:div w:id="353459435">
          <w:marLeft w:val="0"/>
          <w:marRight w:val="0"/>
          <w:marTop w:val="0"/>
          <w:marBottom w:val="0"/>
          <w:divBdr>
            <w:top w:val="none" w:sz="0" w:space="0" w:color="auto"/>
            <w:left w:val="none" w:sz="0" w:space="0" w:color="auto"/>
            <w:bottom w:val="none" w:sz="0" w:space="0" w:color="auto"/>
            <w:right w:val="none" w:sz="0" w:space="0" w:color="auto"/>
          </w:divBdr>
        </w:div>
        <w:div w:id="452671315">
          <w:marLeft w:val="0"/>
          <w:marRight w:val="0"/>
          <w:marTop w:val="0"/>
          <w:marBottom w:val="0"/>
          <w:divBdr>
            <w:top w:val="none" w:sz="0" w:space="0" w:color="auto"/>
            <w:left w:val="none" w:sz="0" w:space="0" w:color="auto"/>
            <w:bottom w:val="none" w:sz="0" w:space="0" w:color="auto"/>
            <w:right w:val="none" w:sz="0" w:space="0" w:color="auto"/>
          </w:divBdr>
        </w:div>
        <w:div w:id="515967374">
          <w:marLeft w:val="0"/>
          <w:marRight w:val="0"/>
          <w:marTop w:val="0"/>
          <w:marBottom w:val="0"/>
          <w:divBdr>
            <w:top w:val="none" w:sz="0" w:space="0" w:color="auto"/>
            <w:left w:val="none" w:sz="0" w:space="0" w:color="auto"/>
            <w:bottom w:val="none" w:sz="0" w:space="0" w:color="auto"/>
            <w:right w:val="none" w:sz="0" w:space="0" w:color="auto"/>
          </w:divBdr>
        </w:div>
        <w:div w:id="927346382">
          <w:marLeft w:val="0"/>
          <w:marRight w:val="0"/>
          <w:marTop w:val="0"/>
          <w:marBottom w:val="0"/>
          <w:divBdr>
            <w:top w:val="none" w:sz="0" w:space="0" w:color="auto"/>
            <w:left w:val="none" w:sz="0" w:space="0" w:color="auto"/>
            <w:bottom w:val="none" w:sz="0" w:space="0" w:color="auto"/>
            <w:right w:val="none" w:sz="0" w:space="0" w:color="auto"/>
          </w:divBdr>
        </w:div>
        <w:div w:id="1211261198">
          <w:marLeft w:val="0"/>
          <w:marRight w:val="0"/>
          <w:marTop w:val="0"/>
          <w:marBottom w:val="0"/>
          <w:divBdr>
            <w:top w:val="none" w:sz="0" w:space="0" w:color="auto"/>
            <w:left w:val="none" w:sz="0" w:space="0" w:color="auto"/>
            <w:bottom w:val="none" w:sz="0" w:space="0" w:color="auto"/>
            <w:right w:val="none" w:sz="0" w:space="0" w:color="auto"/>
          </w:divBdr>
        </w:div>
        <w:div w:id="1795950239">
          <w:marLeft w:val="0"/>
          <w:marRight w:val="0"/>
          <w:marTop w:val="0"/>
          <w:marBottom w:val="0"/>
          <w:divBdr>
            <w:top w:val="none" w:sz="0" w:space="0" w:color="auto"/>
            <w:left w:val="none" w:sz="0" w:space="0" w:color="auto"/>
            <w:bottom w:val="none" w:sz="0" w:space="0" w:color="auto"/>
            <w:right w:val="none" w:sz="0" w:space="0" w:color="auto"/>
          </w:divBdr>
        </w:div>
        <w:div w:id="1956330662">
          <w:marLeft w:val="0"/>
          <w:marRight w:val="0"/>
          <w:marTop w:val="0"/>
          <w:marBottom w:val="0"/>
          <w:divBdr>
            <w:top w:val="none" w:sz="0" w:space="0" w:color="auto"/>
            <w:left w:val="none" w:sz="0" w:space="0" w:color="auto"/>
            <w:bottom w:val="none" w:sz="0" w:space="0" w:color="auto"/>
            <w:right w:val="none" w:sz="0" w:space="0" w:color="auto"/>
          </w:divBdr>
          <w:divsChild>
            <w:div w:id="30768076">
              <w:marLeft w:val="-75"/>
              <w:marRight w:val="0"/>
              <w:marTop w:val="30"/>
              <w:marBottom w:val="30"/>
              <w:divBdr>
                <w:top w:val="none" w:sz="0" w:space="0" w:color="auto"/>
                <w:left w:val="none" w:sz="0" w:space="0" w:color="auto"/>
                <w:bottom w:val="none" w:sz="0" w:space="0" w:color="auto"/>
                <w:right w:val="none" w:sz="0" w:space="0" w:color="auto"/>
              </w:divBdr>
              <w:divsChild>
                <w:div w:id="39210105">
                  <w:marLeft w:val="0"/>
                  <w:marRight w:val="0"/>
                  <w:marTop w:val="0"/>
                  <w:marBottom w:val="0"/>
                  <w:divBdr>
                    <w:top w:val="none" w:sz="0" w:space="0" w:color="auto"/>
                    <w:left w:val="none" w:sz="0" w:space="0" w:color="auto"/>
                    <w:bottom w:val="none" w:sz="0" w:space="0" w:color="auto"/>
                    <w:right w:val="none" w:sz="0" w:space="0" w:color="auto"/>
                  </w:divBdr>
                  <w:divsChild>
                    <w:div w:id="1056200043">
                      <w:marLeft w:val="0"/>
                      <w:marRight w:val="0"/>
                      <w:marTop w:val="0"/>
                      <w:marBottom w:val="0"/>
                      <w:divBdr>
                        <w:top w:val="none" w:sz="0" w:space="0" w:color="auto"/>
                        <w:left w:val="none" w:sz="0" w:space="0" w:color="auto"/>
                        <w:bottom w:val="none" w:sz="0" w:space="0" w:color="auto"/>
                        <w:right w:val="none" w:sz="0" w:space="0" w:color="auto"/>
                      </w:divBdr>
                    </w:div>
                  </w:divsChild>
                </w:div>
                <w:div w:id="52587501">
                  <w:marLeft w:val="0"/>
                  <w:marRight w:val="0"/>
                  <w:marTop w:val="0"/>
                  <w:marBottom w:val="0"/>
                  <w:divBdr>
                    <w:top w:val="none" w:sz="0" w:space="0" w:color="auto"/>
                    <w:left w:val="none" w:sz="0" w:space="0" w:color="auto"/>
                    <w:bottom w:val="none" w:sz="0" w:space="0" w:color="auto"/>
                    <w:right w:val="none" w:sz="0" w:space="0" w:color="auto"/>
                  </w:divBdr>
                  <w:divsChild>
                    <w:div w:id="1894657487">
                      <w:marLeft w:val="0"/>
                      <w:marRight w:val="0"/>
                      <w:marTop w:val="0"/>
                      <w:marBottom w:val="0"/>
                      <w:divBdr>
                        <w:top w:val="none" w:sz="0" w:space="0" w:color="auto"/>
                        <w:left w:val="none" w:sz="0" w:space="0" w:color="auto"/>
                        <w:bottom w:val="none" w:sz="0" w:space="0" w:color="auto"/>
                        <w:right w:val="none" w:sz="0" w:space="0" w:color="auto"/>
                      </w:divBdr>
                    </w:div>
                  </w:divsChild>
                </w:div>
                <w:div w:id="58481686">
                  <w:marLeft w:val="0"/>
                  <w:marRight w:val="0"/>
                  <w:marTop w:val="0"/>
                  <w:marBottom w:val="0"/>
                  <w:divBdr>
                    <w:top w:val="none" w:sz="0" w:space="0" w:color="auto"/>
                    <w:left w:val="none" w:sz="0" w:space="0" w:color="auto"/>
                    <w:bottom w:val="none" w:sz="0" w:space="0" w:color="auto"/>
                    <w:right w:val="none" w:sz="0" w:space="0" w:color="auto"/>
                  </w:divBdr>
                  <w:divsChild>
                    <w:div w:id="1876581779">
                      <w:marLeft w:val="0"/>
                      <w:marRight w:val="0"/>
                      <w:marTop w:val="0"/>
                      <w:marBottom w:val="0"/>
                      <w:divBdr>
                        <w:top w:val="none" w:sz="0" w:space="0" w:color="auto"/>
                        <w:left w:val="none" w:sz="0" w:space="0" w:color="auto"/>
                        <w:bottom w:val="none" w:sz="0" w:space="0" w:color="auto"/>
                        <w:right w:val="none" w:sz="0" w:space="0" w:color="auto"/>
                      </w:divBdr>
                    </w:div>
                  </w:divsChild>
                </w:div>
                <w:div w:id="88746186">
                  <w:marLeft w:val="0"/>
                  <w:marRight w:val="0"/>
                  <w:marTop w:val="0"/>
                  <w:marBottom w:val="0"/>
                  <w:divBdr>
                    <w:top w:val="none" w:sz="0" w:space="0" w:color="auto"/>
                    <w:left w:val="none" w:sz="0" w:space="0" w:color="auto"/>
                    <w:bottom w:val="none" w:sz="0" w:space="0" w:color="auto"/>
                    <w:right w:val="none" w:sz="0" w:space="0" w:color="auto"/>
                  </w:divBdr>
                  <w:divsChild>
                    <w:div w:id="2146896783">
                      <w:marLeft w:val="0"/>
                      <w:marRight w:val="0"/>
                      <w:marTop w:val="0"/>
                      <w:marBottom w:val="0"/>
                      <w:divBdr>
                        <w:top w:val="none" w:sz="0" w:space="0" w:color="auto"/>
                        <w:left w:val="none" w:sz="0" w:space="0" w:color="auto"/>
                        <w:bottom w:val="none" w:sz="0" w:space="0" w:color="auto"/>
                        <w:right w:val="none" w:sz="0" w:space="0" w:color="auto"/>
                      </w:divBdr>
                    </w:div>
                  </w:divsChild>
                </w:div>
                <w:div w:id="94056470">
                  <w:marLeft w:val="0"/>
                  <w:marRight w:val="0"/>
                  <w:marTop w:val="0"/>
                  <w:marBottom w:val="0"/>
                  <w:divBdr>
                    <w:top w:val="none" w:sz="0" w:space="0" w:color="auto"/>
                    <w:left w:val="none" w:sz="0" w:space="0" w:color="auto"/>
                    <w:bottom w:val="none" w:sz="0" w:space="0" w:color="auto"/>
                    <w:right w:val="none" w:sz="0" w:space="0" w:color="auto"/>
                  </w:divBdr>
                  <w:divsChild>
                    <w:div w:id="194543348">
                      <w:marLeft w:val="0"/>
                      <w:marRight w:val="0"/>
                      <w:marTop w:val="0"/>
                      <w:marBottom w:val="0"/>
                      <w:divBdr>
                        <w:top w:val="none" w:sz="0" w:space="0" w:color="auto"/>
                        <w:left w:val="none" w:sz="0" w:space="0" w:color="auto"/>
                        <w:bottom w:val="none" w:sz="0" w:space="0" w:color="auto"/>
                        <w:right w:val="none" w:sz="0" w:space="0" w:color="auto"/>
                      </w:divBdr>
                    </w:div>
                  </w:divsChild>
                </w:div>
                <w:div w:id="116145364">
                  <w:marLeft w:val="0"/>
                  <w:marRight w:val="0"/>
                  <w:marTop w:val="0"/>
                  <w:marBottom w:val="0"/>
                  <w:divBdr>
                    <w:top w:val="none" w:sz="0" w:space="0" w:color="auto"/>
                    <w:left w:val="none" w:sz="0" w:space="0" w:color="auto"/>
                    <w:bottom w:val="none" w:sz="0" w:space="0" w:color="auto"/>
                    <w:right w:val="none" w:sz="0" w:space="0" w:color="auto"/>
                  </w:divBdr>
                  <w:divsChild>
                    <w:div w:id="281573508">
                      <w:marLeft w:val="0"/>
                      <w:marRight w:val="0"/>
                      <w:marTop w:val="0"/>
                      <w:marBottom w:val="0"/>
                      <w:divBdr>
                        <w:top w:val="none" w:sz="0" w:space="0" w:color="auto"/>
                        <w:left w:val="none" w:sz="0" w:space="0" w:color="auto"/>
                        <w:bottom w:val="none" w:sz="0" w:space="0" w:color="auto"/>
                        <w:right w:val="none" w:sz="0" w:space="0" w:color="auto"/>
                      </w:divBdr>
                    </w:div>
                  </w:divsChild>
                </w:div>
                <w:div w:id="142696908">
                  <w:marLeft w:val="0"/>
                  <w:marRight w:val="0"/>
                  <w:marTop w:val="0"/>
                  <w:marBottom w:val="0"/>
                  <w:divBdr>
                    <w:top w:val="none" w:sz="0" w:space="0" w:color="auto"/>
                    <w:left w:val="none" w:sz="0" w:space="0" w:color="auto"/>
                    <w:bottom w:val="none" w:sz="0" w:space="0" w:color="auto"/>
                    <w:right w:val="none" w:sz="0" w:space="0" w:color="auto"/>
                  </w:divBdr>
                  <w:divsChild>
                    <w:div w:id="1257791068">
                      <w:marLeft w:val="0"/>
                      <w:marRight w:val="0"/>
                      <w:marTop w:val="0"/>
                      <w:marBottom w:val="0"/>
                      <w:divBdr>
                        <w:top w:val="none" w:sz="0" w:space="0" w:color="auto"/>
                        <w:left w:val="none" w:sz="0" w:space="0" w:color="auto"/>
                        <w:bottom w:val="none" w:sz="0" w:space="0" w:color="auto"/>
                        <w:right w:val="none" w:sz="0" w:space="0" w:color="auto"/>
                      </w:divBdr>
                    </w:div>
                  </w:divsChild>
                </w:div>
                <w:div w:id="162400493">
                  <w:marLeft w:val="0"/>
                  <w:marRight w:val="0"/>
                  <w:marTop w:val="0"/>
                  <w:marBottom w:val="0"/>
                  <w:divBdr>
                    <w:top w:val="none" w:sz="0" w:space="0" w:color="auto"/>
                    <w:left w:val="none" w:sz="0" w:space="0" w:color="auto"/>
                    <w:bottom w:val="none" w:sz="0" w:space="0" w:color="auto"/>
                    <w:right w:val="none" w:sz="0" w:space="0" w:color="auto"/>
                  </w:divBdr>
                  <w:divsChild>
                    <w:div w:id="975724547">
                      <w:marLeft w:val="0"/>
                      <w:marRight w:val="0"/>
                      <w:marTop w:val="0"/>
                      <w:marBottom w:val="0"/>
                      <w:divBdr>
                        <w:top w:val="none" w:sz="0" w:space="0" w:color="auto"/>
                        <w:left w:val="none" w:sz="0" w:space="0" w:color="auto"/>
                        <w:bottom w:val="none" w:sz="0" w:space="0" w:color="auto"/>
                        <w:right w:val="none" w:sz="0" w:space="0" w:color="auto"/>
                      </w:divBdr>
                    </w:div>
                  </w:divsChild>
                </w:div>
                <w:div w:id="177085865">
                  <w:marLeft w:val="0"/>
                  <w:marRight w:val="0"/>
                  <w:marTop w:val="0"/>
                  <w:marBottom w:val="0"/>
                  <w:divBdr>
                    <w:top w:val="none" w:sz="0" w:space="0" w:color="auto"/>
                    <w:left w:val="none" w:sz="0" w:space="0" w:color="auto"/>
                    <w:bottom w:val="none" w:sz="0" w:space="0" w:color="auto"/>
                    <w:right w:val="none" w:sz="0" w:space="0" w:color="auto"/>
                  </w:divBdr>
                  <w:divsChild>
                    <w:div w:id="659046598">
                      <w:marLeft w:val="0"/>
                      <w:marRight w:val="0"/>
                      <w:marTop w:val="0"/>
                      <w:marBottom w:val="0"/>
                      <w:divBdr>
                        <w:top w:val="none" w:sz="0" w:space="0" w:color="auto"/>
                        <w:left w:val="none" w:sz="0" w:space="0" w:color="auto"/>
                        <w:bottom w:val="none" w:sz="0" w:space="0" w:color="auto"/>
                        <w:right w:val="none" w:sz="0" w:space="0" w:color="auto"/>
                      </w:divBdr>
                    </w:div>
                  </w:divsChild>
                </w:div>
                <w:div w:id="180094584">
                  <w:marLeft w:val="0"/>
                  <w:marRight w:val="0"/>
                  <w:marTop w:val="0"/>
                  <w:marBottom w:val="0"/>
                  <w:divBdr>
                    <w:top w:val="none" w:sz="0" w:space="0" w:color="auto"/>
                    <w:left w:val="none" w:sz="0" w:space="0" w:color="auto"/>
                    <w:bottom w:val="none" w:sz="0" w:space="0" w:color="auto"/>
                    <w:right w:val="none" w:sz="0" w:space="0" w:color="auto"/>
                  </w:divBdr>
                  <w:divsChild>
                    <w:div w:id="1783843081">
                      <w:marLeft w:val="0"/>
                      <w:marRight w:val="0"/>
                      <w:marTop w:val="0"/>
                      <w:marBottom w:val="0"/>
                      <w:divBdr>
                        <w:top w:val="none" w:sz="0" w:space="0" w:color="auto"/>
                        <w:left w:val="none" w:sz="0" w:space="0" w:color="auto"/>
                        <w:bottom w:val="none" w:sz="0" w:space="0" w:color="auto"/>
                        <w:right w:val="none" w:sz="0" w:space="0" w:color="auto"/>
                      </w:divBdr>
                    </w:div>
                  </w:divsChild>
                </w:div>
                <w:div w:id="193277532">
                  <w:marLeft w:val="0"/>
                  <w:marRight w:val="0"/>
                  <w:marTop w:val="0"/>
                  <w:marBottom w:val="0"/>
                  <w:divBdr>
                    <w:top w:val="none" w:sz="0" w:space="0" w:color="auto"/>
                    <w:left w:val="none" w:sz="0" w:space="0" w:color="auto"/>
                    <w:bottom w:val="none" w:sz="0" w:space="0" w:color="auto"/>
                    <w:right w:val="none" w:sz="0" w:space="0" w:color="auto"/>
                  </w:divBdr>
                  <w:divsChild>
                    <w:div w:id="214583795">
                      <w:marLeft w:val="0"/>
                      <w:marRight w:val="0"/>
                      <w:marTop w:val="0"/>
                      <w:marBottom w:val="0"/>
                      <w:divBdr>
                        <w:top w:val="none" w:sz="0" w:space="0" w:color="auto"/>
                        <w:left w:val="none" w:sz="0" w:space="0" w:color="auto"/>
                        <w:bottom w:val="none" w:sz="0" w:space="0" w:color="auto"/>
                        <w:right w:val="none" w:sz="0" w:space="0" w:color="auto"/>
                      </w:divBdr>
                    </w:div>
                  </w:divsChild>
                </w:div>
                <w:div w:id="229968104">
                  <w:marLeft w:val="0"/>
                  <w:marRight w:val="0"/>
                  <w:marTop w:val="0"/>
                  <w:marBottom w:val="0"/>
                  <w:divBdr>
                    <w:top w:val="none" w:sz="0" w:space="0" w:color="auto"/>
                    <w:left w:val="none" w:sz="0" w:space="0" w:color="auto"/>
                    <w:bottom w:val="none" w:sz="0" w:space="0" w:color="auto"/>
                    <w:right w:val="none" w:sz="0" w:space="0" w:color="auto"/>
                  </w:divBdr>
                  <w:divsChild>
                    <w:div w:id="1578855272">
                      <w:marLeft w:val="0"/>
                      <w:marRight w:val="0"/>
                      <w:marTop w:val="0"/>
                      <w:marBottom w:val="0"/>
                      <w:divBdr>
                        <w:top w:val="none" w:sz="0" w:space="0" w:color="auto"/>
                        <w:left w:val="none" w:sz="0" w:space="0" w:color="auto"/>
                        <w:bottom w:val="none" w:sz="0" w:space="0" w:color="auto"/>
                        <w:right w:val="none" w:sz="0" w:space="0" w:color="auto"/>
                      </w:divBdr>
                    </w:div>
                    <w:div w:id="1906379776">
                      <w:marLeft w:val="0"/>
                      <w:marRight w:val="0"/>
                      <w:marTop w:val="0"/>
                      <w:marBottom w:val="0"/>
                      <w:divBdr>
                        <w:top w:val="none" w:sz="0" w:space="0" w:color="auto"/>
                        <w:left w:val="none" w:sz="0" w:space="0" w:color="auto"/>
                        <w:bottom w:val="none" w:sz="0" w:space="0" w:color="auto"/>
                        <w:right w:val="none" w:sz="0" w:space="0" w:color="auto"/>
                      </w:divBdr>
                    </w:div>
                  </w:divsChild>
                </w:div>
                <w:div w:id="230623271">
                  <w:marLeft w:val="0"/>
                  <w:marRight w:val="0"/>
                  <w:marTop w:val="0"/>
                  <w:marBottom w:val="0"/>
                  <w:divBdr>
                    <w:top w:val="none" w:sz="0" w:space="0" w:color="auto"/>
                    <w:left w:val="none" w:sz="0" w:space="0" w:color="auto"/>
                    <w:bottom w:val="none" w:sz="0" w:space="0" w:color="auto"/>
                    <w:right w:val="none" w:sz="0" w:space="0" w:color="auto"/>
                  </w:divBdr>
                  <w:divsChild>
                    <w:div w:id="817460005">
                      <w:marLeft w:val="0"/>
                      <w:marRight w:val="0"/>
                      <w:marTop w:val="0"/>
                      <w:marBottom w:val="0"/>
                      <w:divBdr>
                        <w:top w:val="none" w:sz="0" w:space="0" w:color="auto"/>
                        <w:left w:val="none" w:sz="0" w:space="0" w:color="auto"/>
                        <w:bottom w:val="none" w:sz="0" w:space="0" w:color="auto"/>
                        <w:right w:val="none" w:sz="0" w:space="0" w:color="auto"/>
                      </w:divBdr>
                    </w:div>
                  </w:divsChild>
                </w:div>
                <w:div w:id="239488829">
                  <w:marLeft w:val="0"/>
                  <w:marRight w:val="0"/>
                  <w:marTop w:val="0"/>
                  <w:marBottom w:val="0"/>
                  <w:divBdr>
                    <w:top w:val="none" w:sz="0" w:space="0" w:color="auto"/>
                    <w:left w:val="none" w:sz="0" w:space="0" w:color="auto"/>
                    <w:bottom w:val="none" w:sz="0" w:space="0" w:color="auto"/>
                    <w:right w:val="none" w:sz="0" w:space="0" w:color="auto"/>
                  </w:divBdr>
                  <w:divsChild>
                    <w:div w:id="392702913">
                      <w:marLeft w:val="0"/>
                      <w:marRight w:val="0"/>
                      <w:marTop w:val="0"/>
                      <w:marBottom w:val="0"/>
                      <w:divBdr>
                        <w:top w:val="none" w:sz="0" w:space="0" w:color="auto"/>
                        <w:left w:val="none" w:sz="0" w:space="0" w:color="auto"/>
                        <w:bottom w:val="none" w:sz="0" w:space="0" w:color="auto"/>
                        <w:right w:val="none" w:sz="0" w:space="0" w:color="auto"/>
                      </w:divBdr>
                    </w:div>
                  </w:divsChild>
                </w:div>
                <w:div w:id="296685809">
                  <w:marLeft w:val="0"/>
                  <w:marRight w:val="0"/>
                  <w:marTop w:val="0"/>
                  <w:marBottom w:val="0"/>
                  <w:divBdr>
                    <w:top w:val="none" w:sz="0" w:space="0" w:color="auto"/>
                    <w:left w:val="none" w:sz="0" w:space="0" w:color="auto"/>
                    <w:bottom w:val="none" w:sz="0" w:space="0" w:color="auto"/>
                    <w:right w:val="none" w:sz="0" w:space="0" w:color="auto"/>
                  </w:divBdr>
                  <w:divsChild>
                    <w:div w:id="902183026">
                      <w:marLeft w:val="0"/>
                      <w:marRight w:val="0"/>
                      <w:marTop w:val="0"/>
                      <w:marBottom w:val="0"/>
                      <w:divBdr>
                        <w:top w:val="none" w:sz="0" w:space="0" w:color="auto"/>
                        <w:left w:val="none" w:sz="0" w:space="0" w:color="auto"/>
                        <w:bottom w:val="none" w:sz="0" w:space="0" w:color="auto"/>
                        <w:right w:val="none" w:sz="0" w:space="0" w:color="auto"/>
                      </w:divBdr>
                    </w:div>
                  </w:divsChild>
                </w:div>
                <w:div w:id="306475363">
                  <w:marLeft w:val="0"/>
                  <w:marRight w:val="0"/>
                  <w:marTop w:val="0"/>
                  <w:marBottom w:val="0"/>
                  <w:divBdr>
                    <w:top w:val="none" w:sz="0" w:space="0" w:color="auto"/>
                    <w:left w:val="none" w:sz="0" w:space="0" w:color="auto"/>
                    <w:bottom w:val="none" w:sz="0" w:space="0" w:color="auto"/>
                    <w:right w:val="none" w:sz="0" w:space="0" w:color="auto"/>
                  </w:divBdr>
                  <w:divsChild>
                    <w:div w:id="2106458706">
                      <w:marLeft w:val="0"/>
                      <w:marRight w:val="0"/>
                      <w:marTop w:val="0"/>
                      <w:marBottom w:val="0"/>
                      <w:divBdr>
                        <w:top w:val="none" w:sz="0" w:space="0" w:color="auto"/>
                        <w:left w:val="none" w:sz="0" w:space="0" w:color="auto"/>
                        <w:bottom w:val="none" w:sz="0" w:space="0" w:color="auto"/>
                        <w:right w:val="none" w:sz="0" w:space="0" w:color="auto"/>
                      </w:divBdr>
                    </w:div>
                  </w:divsChild>
                </w:div>
                <w:div w:id="359405365">
                  <w:marLeft w:val="0"/>
                  <w:marRight w:val="0"/>
                  <w:marTop w:val="0"/>
                  <w:marBottom w:val="0"/>
                  <w:divBdr>
                    <w:top w:val="none" w:sz="0" w:space="0" w:color="auto"/>
                    <w:left w:val="none" w:sz="0" w:space="0" w:color="auto"/>
                    <w:bottom w:val="none" w:sz="0" w:space="0" w:color="auto"/>
                    <w:right w:val="none" w:sz="0" w:space="0" w:color="auto"/>
                  </w:divBdr>
                  <w:divsChild>
                    <w:div w:id="127087140">
                      <w:marLeft w:val="0"/>
                      <w:marRight w:val="0"/>
                      <w:marTop w:val="0"/>
                      <w:marBottom w:val="0"/>
                      <w:divBdr>
                        <w:top w:val="none" w:sz="0" w:space="0" w:color="auto"/>
                        <w:left w:val="none" w:sz="0" w:space="0" w:color="auto"/>
                        <w:bottom w:val="none" w:sz="0" w:space="0" w:color="auto"/>
                        <w:right w:val="none" w:sz="0" w:space="0" w:color="auto"/>
                      </w:divBdr>
                    </w:div>
                  </w:divsChild>
                </w:div>
                <w:div w:id="383330856">
                  <w:marLeft w:val="0"/>
                  <w:marRight w:val="0"/>
                  <w:marTop w:val="0"/>
                  <w:marBottom w:val="0"/>
                  <w:divBdr>
                    <w:top w:val="none" w:sz="0" w:space="0" w:color="auto"/>
                    <w:left w:val="none" w:sz="0" w:space="0" w:color="auto"/>
                    <w:bottom w:val="none" w:sz="0" w:space="0" w:color="auto"/>
                    <w:right w:val="none" w:sz="0" w:space="0" w:color="auto"/>
                  </w:divBdr>
                  <w:divsChild>
                    <w:div w:id="1338539865">
                      <w:marLeft w:val="0"/>
                      <w:marRight w:val="0"/>
                      <w:marTop w:val="0"/>
                      <w:marBottom w:val="0"/>
                      <w:divBdr>
                        <w:top w:val="none" w:sz="0" w:space="0" w:color="auto"/>
                        <w:left w:val="none" w:sz="0" w:space="0" w:color="auto"/>
                        <w:bottom w:val="none" w:sz="0" w:space="0" w:color="auto"/>
                        <w:right w:val="none" w:sz="0" w:space="0" w:color="auto"/>
                      </w:divBdr>
                    </w:div>
                  </w:divsChild>
                </w:div>
                <w:div w:id="410124491">
                  <w:marLeft w:val="0"/>
                  <w:marRight w:val="0"/>
                  <w:marTop w:val="0"/>
                  <w:marBottom w:val="0"/>
                  <w:divBdr>
                    <w:top w:val="none" w:sz="0" w:space="0" w:color="auto"/>
                    <w:left w:val="none" w:sz="0" w:space="0" w:color="auto"/>
                    <w:bottom w:val="none" w:sz="0" w:space="0" w:color="auto"/>
                    <w:right w:val="none" w:sz="0" w:space="0" w:color="auto"/>
                  </w:divBdr>
                  <w:divsChild>
                    <w:div w:id="1128819944">
                      <w:marLeft w:val="0"/>
                      <w:marRight w:val="0"/>
                      <w:marTop w:val="0"/>
                      <w:marBottom w:val="0"/>
                      <w:divBdr>
                        <w:top w:val="none" w:sz="0" w:space="0" w:color="auto"/>
                        <w:left w:val="none" w:sz="0" w:space="0" w:color="auto"/>
                        <w:bottom w:val="none" w:sz="0" w:space="0" w:color="auto"/>
                        <w:right w:val="none" w:sz="0" w:space="0" w:color="auto"/>
                      </w:divBdr>
                    </w:div>
                  </w:divsChild>
                </w:div>
                <w:div w:id="463161033">
                  <w:marLeft w:val="0"/>
                  <w:marRight w:val="0"/>
                  <w:marTop w:val="0"/>
                  <w:marBottom w:val="0"/>
                  <w:divBdr>
                    <w:top w:val="none" w:sz="0" w:space="0" w:color="auto"/>
                    <w:left w:val="none" w:sz="0" w:space="0" w:color="auto"/>
                    <w:bottom w:val="none" w:sz="0" w:space="0" w:color="auto"/>
                    <w:right w:val="none" w:sz="0" w:space="0" w:color="auto"/>
                  </w:divBdr>
                  <w:divsChild>
                    <w:div w:id="1872524480">
                      <w:marLeft w:val="0"/>
                      <w:marRight w:val="0"/>
                      <w:marTop w:val="0"/>
                      <w:marBottom w:val="0"/>
                      <w:divBdr>
                        <w:top w:val="none" w:sz="0" w:space="0" w:color="auto"/>
                        <w:left w:val="none" w:sz="0" w:space="0" w:color="auto"/>
                        <w:bottom w:val="none" w:sz="0" w:space="0" w:color="auto"/>
                        <w:right w:val="none" w:sz="0" w:space="0" w:color="auto"/>
                      </w:divBdr>
                    </w:div>
                  </w:divsChild>
                </w:div>
                <w:div w:id="466701216">
                  <w:marLeft w:val="0"/>
                  <w:marRight w:val="0"/>
                  <w:marTop w:val="0"/>
                  <w:marBottom w:val="0"/>
                  <w:divBdr>
                    <w:top w:val="none" w:sz="0" w:space="0" w:color="auto"/>
                    <w:left w:val="none" w:sz="0" w:space="0" w:color="auto"/>
                    <w:bottom w:val="none" w:sz="0" w:space="0" w:color="auto"/>
                    <w:right w:val="none" w:sz="0" w:space="0" w:color="auto"/>
                  </w:divBdr>
                  <w:divsChild>
                    <w:div w:id="687218097">
                      <w:marLeft w:val="0"/>
                      <w:marRight w:val="0"/>
                      <w:marTop w:val="0"/>
                      <w:marBottom w:val="0"/>
                      <w:divBdr>
                        <w:top w:val="none" w:sz="0" w:space="0" w:color="auto"/>
                        <w:left w:val="none" w:sz="0" w:space="0" w:color="auto"/>
                        <w:bottom w:val="none" w:sz="0" w:space="0" w:color="auto"/>
                        <w:right w:val="none" w:sz="0" w:space="0" w:color="auto"/>
                      </w:divBdr>
                    </w:div>
                  </w:divsChild>
                </w:div>
                <w:div w:id="515921067">
                  <w:marLeft w:val="0"/>
                  <w:marRight w:val="0"/>
                  <w:marTop w:val="0"/>
                  <w:marBottom w:val="0"/>
                  <w:divBdr>
                    <w:top w:val="none" w:sz="0" w:space="0" w:color="auto"/>
                    <w:left w:val="none" w:sz="0" w:space="0" w:color="auto"/>
                    <w:bottom w:val="none" w:sz="0" w:space="0" w:color="auto"/>
                    <w:right w:val="none" w:sz="0" w:space="0" w:color="auto"/>
                  </w:divBdr>
                  <w:divsChild>
                    <w:div w:id="1848985382">
                      <w:marLeft w:val="0"/>
                      <w:marRight w:val="0"/>
                      <w:marTop w:val="0"/>
                      <w:marBottom w:val="0"/>
                      <w:divBdr>
                        <w:top w:val="none" w:sz="0" w:space="0" w:color="auto"/>
                        <w:left w:val="none" w:sz="0" w:space="0" w:color="auto"/>
                        <w:bottom w:val="none" w:sz="0" w:space="0" w:color="auto"/>
                        <w:right w:val="none" w:sz="0" w:space="0" w:color="auto"/>
                      </w:divBdr>
                    </w:div>
                  </w:divsChild>
                </w:div>
                <w:div w:id="517541905">
                  <w:marLeft w:val="0"/>
                  <w:marRight w:val="0"/>
                  <w:marTop w:val="0"/>
                  <w:marBottom w:val="0"/>
                  <w:divBdr>
                    <w:top w:val="none" w:sz="0" w:space="0" w:color="auto"/>
                    <w:left w:val="none" w:sz="0" w:space="0" w:color="auto"/>
                    <w:bottom w:val="none" w:sz="0" w:space="0" w:color="auto"/>
                    <w:right w:val="none" w:sz="0" w:space="0" w:color="auto"/>
                  </w:divBdr>
                  <w:divsChild>
                    <w:div w:id="1793747075">
                      <w:marLeft w:val="0"/>
                      <w:marRight w:val="0"/>
                      <w:marTop w:val="0"/>
                      <w:marBottom w:val="0"/>
                      <w:divBdr>
                        <w:top w:val="none" w:sz="0" w:space="0" w:color="auto"/>
                        <w:left w:val="none" w:sz="0" w:space="0" w:color="auto"/>
                        <w:bottom w:val="none" w:sz="0" w:space="0" w:color="auto"/>
                        <w:right w:val="none" w:sz="0" w:space="0" w:color="auto"/>
                      </w:divBdr>
                    </w:div>
                  </w:divsChild>
                </w:div>
                <w:div w:id="521162831">
                  <w:marLeft w:val="0"/>
                  <w:marRight w:val="0"/>
                  <w:marTop w:val="0"/>
                  <w:marBottom w:val="0"/>
                  <w:divBdr>
                    <w:top w:val="none" w:sz="0" w:space="0" w:color="auto"/>
                    <w:left w:val="none" w:sz="0" w:space="0" w:color="auto"/>
                    <w:bottom w:val="none" w:sz="0" w:space="0" w:color="auto"/>
                    <w:right w:val="none" w:sz="0" w:space="0" w:color="auto"/>
                  </w:divBdr>
                  <w:divsChild>
                    <w:div w:id="1969430057">
                      <w:marLeft w:val="0"/>
                      <w:marRight w:val="0"/>
                      <w:marTop w:val="0"/>
                      <w:marBottom w:val="0"/>
                      <w:divBdr>
                        <w:top w:val="none" w:sz="0" w:space="0" w:color="auto"/>
                        <w:left w:val="none" w:sz="0" w:space="0" w:color="auto"/>
                        <w:bottom w:val="none" w:sz="0" w:space="0" w:color="auto"/>
                        <w:right w:val="none" w:sz="0" w:space="0" w:color="auto"/>
                      </w:divBdr>
                    </w:div>
                  </w:divsChild>
                </w:div>
                <w:div w:id="597173440">
                  <w:marLeft w:val="0"/>
                  <w:marRight w:val="0"/>
                  <w:marTop w:val="0"/>
                  <w:marBottom w:val="0"/>
                  <w:divBdr>
                    <w:top w:val="none" w:sz="0" w:space="0" w:color="auto"/>
                    <w:left w:val="none" w:sz="0" w:space="0" w:color="auto"/>
                    <w:bottom w:val="none" w:sz="0" w:space="0" w:color="auto"/>
                    <w:right w:val="none" w:sz="0" w:space="0" w:color="auto"/>
                  </w:divBdr>
                  <w:divsChild>
                    <w:div w:id="1946501379">
                      <w:marLeft w:val="0"/>
                      <w:marRight w:val="0"/>
                      <w:marTop w:val="0"/>
                      <w:marBottom w:val="0"/>
                      <w:divBdr>
                        <w:top w:val="none" w:sz="0" w:space="0" w:color="auto"/>
                        <w:left w:val="none" w:sz="0" w:space="0" w:color="auto"/>
                        <w:bottom w:val="none" w:sz="0" w:space="0" w:color="auto"/>
                        <w:right w:val="none" w:sz="0" w:space="0" w:color="auto"/>
                      </w:divBdr>
                    </w:div>
                  </w:divsChild>
                </w:div>
                <w:div w:id="635718138">
                  <w:marLeft w:val="0"/>
                  <w:marRight w:val="0"/>
                  <w:marTop w:val="0"/>
                  <w:marBottom w:val="0"/>
                  <w:divBdr>
                    <w:top w:val="none" w:sz="0" w:space="0" w:color="auto"/>
                    <w:left w:val="none" w:sz="0" w:space="0" w:color="auto"/>
                    <w:bottom w:val="none" w:sz="0" w:space="0" w:color="auto"/>
                    <w:right w:val="none" w:sz="0" w:space="0" w:color="auto"/>
                  </w:divBdr>
                  <w:divsChild>
                    <w:div w:id="1341858622">
                      <w:marLeft w:val="0"/>
                      <w:marRight w:val="0"/>
                      <w:marTop w:val="0"/>
                      <w:marBottom w:val="0"/>
                      <w:divBdr>
                        <w:top w:val="none" w:sz="0" w:space="0" w:color="auto"/>
                        <w:left w:val="none" w:sz="0" w:space="0" w:color="auto"/>
                        <w:bottom w:val="none" w:sz="0" w:space="0" w:color="auto"/>
                        <w:right w:val="none" w:sz="0" w:space="0" w:color="auto"/>
                      </w:divBdr>
                    </w:div>
                  </w:divsChild>
                </w:div>
                <w:div w:id="670914551">
                  <w:marLeft w:val="0"/>
                  <w:marRight w:val="0"/>
                  <w:marTop w:val="0"/>
                  <w:marBottom w:val="0"/>
                  <w:divBdr>
                    <w:top w:val="none" w:sz="0" w:space="0" w:color="auto"/>
                    <w:left w:val="none" w:sz="0" w:space="0" w:color="auto"/>
                    <w:bottom w:val="none" w:sz="0" w:space="0" w:color="auto"/>
                    <w:right w:val="none" w:sz="0" w:space="0" w:color="auto"/>
                  </w:divBdr>
                  <w:divsChild>
                    <w:div w:id="1884826361">
                      <w:marLeft w:val="0"/>
                      <w:marRight w:val="0"/>
                      <w:marTop w:val="0"/>
                      <w:marBottom w:val="0"/>
                      <w:divBdr>
                        <w:top w:val="none" w:sz="0" w:space="0" w:color="auto"/>
                        <w:left w:val="none" w:sz="0" w:space="0" w:color="auto"/>
                        <w:bottom w:val="none" w:sz="0" w:space="0" w:color="auto"/>
                        <w:right w:val="none" w:sz="0" w:space="0" w:color="auto"/>
                      </w:divBdr>
                    </w:div>
                  </w:divsChild>
                </w:div>
                <w:div w:id="680161715">
                  <w:marLeft w:val="0"/>
                  <w:marRight w:val="0"/>
                  <w:marTop w:val="0"/>
                  <w:marBottom w:val="0"/>
                  <w:divBdr>
                    <w:top w:val="none" w:sz="0" w:space="0" w:color="auto"/>
                    <w:left w:val="none" w:sz="0" w:space="0" w:color="auto"/>
                    <w:bottom w:val="none" w:sz="0" w:space="0" w:color="auto"/>
                    <w:right w:val="none" w:sz="0" w:space="0" w:color="auto"/>
                  </w:divBdr>
                  <w:divsChild>
                    <w:div w:id="794493566">
                      <w:marLeft w:val="0"/>
                      <w:marRight w:val="0"/>
                      <w:marTop w:val="0"/>
                      <w:marBottom w:val="0"/>
                      <w:divBdr>
                        <w:top w:val="none" w:sz="0" w:space="0" w:color="auto"/>
                        <w:left w:val="none" w:sz="0" w:space="0" w:color="auto"/>
                        <w:bottom w:val="none" w:sz="0" w:space="0" w:color="auto"/>
                        <w:right w:val="none" w:sz="0" w:space="0" w:color="auto"/>
                      </w:divBdr>
                    </w:div>
                  </w:divsChild>
                </w:div>
                <w:div w:id="686253769">
                  <w:marLeft w:val="0"/>
                  <w:marRight w:val="0"/>
                  <w:marTop w:val="0"/>
                  <w:marBottom w:val="0"/>
                  <w:divBdr>
                    <w:top w:val="none" w:sz="0" w:space="0" w:color="auto"/>
                    <w:left w:val="none" w:sz="0" w:space="0" w:color="auto"/>
                    <w:bottom w:val="none" w:sz="0" w:space="0" w:color="auto"/>
                    <w:right w:val="none" w:sz="0" w:space="0" w:color="auto"/>
                  </w:divBdr>
                  <w:divsChild>
                    <w:div w:id="2100638965">
                      <w:marLeft w:val="0"/>
                      <w:marRight w:val="0"/>
                      <w:marTop w:val="0"/>
                      <w:marBottom w:val="0"/>
                      <w:divBdr>
                        <w:top w:val="none" w:sz="0" w:space="0" w:color="auto"/>
                        <w:left w:val="none" w:sz="0" w:space="0" w:color="auto"/>
                        <w:bottom w:val="none" w:sz="0" w:space="0" w:color="auto"/>
                        <w:right w:val="none" w:sz="0" w:space="0" w:color="auto"/>
                      </w:divBdr>
                    </w:div>
                  </w:divsChild>
                </w:div>
                <w:div w:id="722370475">
                  <w:marLeft w:val="0"/>
                  <w:marRight w:val="0"/>
                  <w:marTop w:val="0"/>
                  <w:marBottom w:val="0"/>
                  <w:divBdr>
                    <w:top w:val="none" w:sz="0" w:space="0" w:color="auto"/>
                    <w:left w:val="none" w:sz="0" w:space="0" w:color="auto"/>
                    <w:bottom w:val="none" w:sz="0" w:space="0" w:color="auto"/>
                    <w:right w:val="none" w:sz="0" w:space="0" w:color="auto"/>
                  </w:divBdr>
                  <w:divsChild>
                    <w:div w:id="1103571071">
                      <w:marLeft w:val="0"/>
                      <w:marRight w:val="0"/>
                      <w:marTop w:val="0"/>
                      <w:marBottom w:val="0"/>
                      <w:divBdr>
                        <w:top w:val="none" w:sz="0" w:space="0" w:color="auto"/>
                        <w:left w:val="none" w:sz="0" w:space="0" w:color="auto"/>
                        <w:bottom w:val="none" w:sz="0" w:space="0" w:color="auto"/>
                        <w:right w:val="none" w:sz="0" w:space="0" w:color="auto"/>
                      </w:divBdr>
                    </w:div>
                  </w:divsChild>
                </w:div>
                <w:div w:id="743189005">
                  <w:marLeft w:val="0"/>
                  <w:marRight w:val="0"/>
                  <w:marTop w:val="0"/>
                  <w:marBottom w:val="0"/>
                  <w:divBdr>
                    <w:top w:val="none" w:sz="0" w:space="0" w:color="auto"/>
                    <w:left w:val="none" w:sz="0" w:space="0" w:color="auto"/>
                    <w:bottom w:val="none" w:sz="0" w:space="0" w:color="auto"/>
                    <w:right w:val="none" w:sz="0" w:space="0" w:color="auto"/>
                  </w:divBdr>
                  <w:divsChild>
                    <w:div w:id="604852798">
                      <w:marLeft w:val="0"/>
                      <w:marRight w:val="0"/>
                      <w:marTop w:val="0"/>
                      <w:marBottom w:val="0"/>
                      <w:divBdr>
                        <w:top w:val="none" w:sz="0" w:space="0" w:color="auto"/>
                        <w:left w:val="none" w:sz="0" w:space="0" w:color="auto"/>
                        <w:bottom w:val="none" w:sz="0" w:space="0" w:color="auto"/>
                        <w:right w:val="none" w:sz="0" w:space="0" w:color="auto"/>
                      </w:divBdr>
                    </w:div>
                  </w:divsChild>
                </w:div>
                <w:div w:id="746610044">
                  <w:marLeft w:val="0"/>
                  <w:marRight w:val="0"/>
                  <w:marTop w:val="0"/>
                  <w:marBottom w:val="0"/>
                  <w:divBdr>
                    <w:top w:val="none" w:sz="0" w:space="0" w:color="auto"/>
                    <w:left w:val="none" w:sz="0" w:space="0" w:color="auto"/>
                    <w:bottom w:val="none" w:sz="0" w:space="0" w:color="auto"/>
                    <w:right w:val="none" w:sz="0" w:space="0" w:color="auto"/>
                  </w:divBdr>
                  <w:divsChild>
                    <w:div w:id="1943146138">
                      <w:marLeft w:val="0"/>
                      <w:marRight w:val="0"/>
                      <w:marTop w:val="0"/>
                      <w:marBottom w:val="0"/>
                      <w:divBdr>
                        <w:top w:val="none" w:sz="0" w:space="0" w:color="auto"/>
                        <w:left w:val="none" w:sz="0" w:space="0" w:color="auto"/>
                        <w:bottom w:val="none" w:sz="0" w:space="0" w:color="auto"/>
                        <w:right w:val="none" w:sz="0" w:space="0" w:color="auto"/>
                      </w:divBdr>
                    </w:div>
                  </w:divsChild>
                </w:div>
                <w:div w:id="756558161">
                  <w:marLeft w:val="0"/>
                  <w:marRight w:val="0"/>
                  <w:marTop w:val="0"/>
                  <w:marBottom w:val="0"/>
                  <w:divBdr>
                    <w:top w:val="none" w:sz="0" w:space="0" w:color="auto"/>
                    <w:left w:val="none" w:sz="0" w:space="0" w:color="auto"/>
                    <w:bottom w:val="none" w:sz="0" w:space="0" w:color="auto"/>
                    <w:right w:val="none" w:sz="0" w:space="0" w:color="auto"/>
                  </w:divBdr>
                  <w:divsChild>
                    <w:div w:id="791634115">
                      <w:marLeft w:val="0"/>
                      <w:marRight w:val="0"/>
                      <w:marTop w:val="0"/>
                      <w:marBottom w:val="0"/>
                      <w:divBdr>
                        <w:top w:val="none" w:sz="0" w:space="0" w:color="auto"/>
                        <w:left w:val="none" w:sz="0" w:space="0" w:color="auto"/>
                        <w:bottom w:val="none" w:sz="0" w:space="0" w:color="auto"/>
                        <w:right w:val="none" w:sz="0" w:space="0" w:color="auto"/>
                      </w:divBdr>
                    </w:div>
                  </w:divsChild>
                </w:div>
                <w:div w:id="796486856">
                  <w:marLeft w:val="0"/>
                  <w:marRight w:val="0"/>
                  <w:marTop w:val="0"/>
                  <w:marBottom w:val="0"/>
                  <w:divBdr>
                    <w:top w:val="none" w:sz="0" w:space="0" w:color="auto"/>
                    <w:left w:val="none" w:sz="0" w:space="0" w:color="auto"/>
                    <w:bottom w:val="none" w:sz="0" w:space="0" w:color="auto"/>
                    <w:right w:val="none" w:sz="0" w:space="0" w:color="auto"/>
                  </w:divBdr>
                  <w:divsChild>
                    <w:div w:id="1041170723">
                      <w:marLeft w:val="0"/>
                      <w:marRight w:val="0"/>
                      <w:marTop w:val="0"/>
                      <w:marBottom w:val="0"/>
                      <w:divBdr>
                        <w:top w:val="none" w:sz="0" w:space="0" w:color="auto"/>
                        <w:left w:val="none" w:sz="0" w:space="0" w:color="auto"/>
                        <w:bottom w:val="none" w:sz="0" w:space="0" w:color="auto"/>
                        <w:right w:val="none" w:sz="0" w:space="0" w:color="auto"/>
                      </w:divBdr>
                    </w:div>
                  </w:divsChild>
                </w:div>
                <w:div w:id="875384900">
                  <w:marLeft w:val="0"/>
                  <w:marRight w:val="0"/>
                  <w:marTop w:val="0"/>
                  <w:marBottom w:val="0"/>
                  <w:divBdr>
                    <w:top w:val="none" w:sz="0" w:space="0" w:color="auto"/>
                    <w:left w:val="none" w:sz="0" w:space="0" w:color="auto"/>
                    <w:bottom w:val="none" w:sz="0" w:space="0" w:color="auto"/>
                    <w:right w:val="none" w:sz="0" w:space="0" w:color="auto"/>
                  </w:divBdr>
                  <w:divsChild>
                    <w:div w:id="685205609">
                      <w:marLeft w:val="0"/>
                      <w:marRight w:val="0"/>
                      <w:marTop w:val="0"/>
                      <w:marBottom w:val="0"/>
                      <w:divBdr>
                        <w:top w:val="none" w:sz="0" w:space="0" w:color="auto"/>
                        <w:left w:val="none" w:sz="0" w:space="0" w:color="auto"/>
                        <w:bottom w:val="none" w:sz="0" w:space="0" w:color="auto"/>
                        <w:right w:val="none" w:sz="0" w:space="0" w:color="auto"/>
                      </w:divBdr>
                    </w:div>
                  </w:divsChild>
                </w:div>
                <w:div w:id="966352900">
                  <w:marLeft w:val="0"/>
                  <w:marRight w:val="0"/>
                  <w:marTop w:val="0"/>
                  <w:marBottom w:val="0"/>
                  <w:divBdr>
                    <w:top w:val="none" w:sz="0" w:space="0" w:color="auto"/>
                    <w:left w:val="none" w:sz="0" w:space="0" w:color="auto"/>
                    <w:bottom w:val="none" w:sz="0" w:space="0" w:color="auto"/>
                    <w:right w:val="none" w:sz="0" w:space="0" w:color="auto"/>
                  </w:divBdr>
                  <w:divsChild>
                    <w:div w:id="428043887">
                      <w:marLeft w:val="0"/>
                      <w:marRight w:val="0"/>
                      <w:marTop w:val="0"/>
                      <w:marBottom w:val="0"/>
                      <w:divBdr>
                        <w:top w:val="none" w:sz="0" w:space="0" w:color="auto"/>
                        <w:left w:val="none" w:sz="0" w:space="0" w:color="auto"/>
                        <w:bottom w:val="none" w:sz="0" w:space="0" w:color="auto"/>
                        <w:right w:val="none" w:sz="0" w:space="0" w:color="auto"/>
                      </w:divBdr>
                    </w:div>
                  </w:divsChild>
                </w:div>
                <w:div w:id="1000619075">
                  <w:marLeft w:val="0"/>
                  <w:marRight w:val="0"/>
                  <w:marTop w:val="0"/>
                  <w:marBottom w:val="0"/>
                  <w:divBdr>
                    <w:top w:val="none" w:sz="0" w:space="0" w:color="auto"/>
                    <w:left w:val="none" w:sz="0" w:space="0" w:color="auto"/>
                    <w:bottom w:val="none" w:sz="0" w:space="0" w:color="auto"/>
                    <w:right w:val="none" w:sz="0" w:space="0" w:color="auto"/>
                  </w:divBdr>
                  <w:divsChild>
                    <w:div w:id="1992900143">
                      <w:marLeft w:val="0"/>
                      <w:marRight w:val="0"/>
                      <w:marTop w:val="0"/>
                      <w:marBottom w:val="0"/>
                      <w:divBdr>
                        <w:top w:val="none" w:sz="0" w:space="0" w:color="auto"/>
                        <w:left w:val="none" w:sz="0" w:space="0" w:color="auto"/>
                        <w:bottom w:val="none" w:sz="0" w:space="0" w:color="auto"/>
                        <w:right w:val="none" w:sz="0" w:space="0" w:color="auto"/>
                      </w:divBdr>
                    </w:div>
                  </w:divsChild>
                </w:div>
                <w:div w:id="1016351307">
                  <w:marLeft w:val="0"/>
                  <w:marRight w:val="0"/>
                  <w:marTop w:val="0"/>
                  <w:marBottom w:val="0"/>
                  <w:divBdr>
                    <w:top w:val="none" w:sz="0" w:space="0" w:color="auto"/>
                    <w:left w:val="none" w:sz="0" w:space="0" w:color="auto"/>
                    <w:bottom w:val="none" w:sz="0" w:space="0" w:color="auto"/>
                    <w:right w:val="none" w:sz="0" w:space="0" w:color="auto"/>
                  </w:divBdr>
                  <w:divsChild>
                    <w:div w:id="1182859662">
                      <w:marLeft w:val="0"/>
                      <w:marRight w:val="0"/>
                      <w:marTop w:val="0"/>
                      <w:marBottom w:val="0"/>
                      <w:divBdr>
                        <w:top w:val="none" w:sz="0" w:space="0" w:color="auto"/>
                        <w:left w:val="none" w:sz="0" w:space="0" w:color="auto"/>
                        <w:bottom w:val="none" w:sz="0" w:space="0" w:color="auto"/>
                        <w:right w:val="none" w:sz="0" w:space="0" w:color="auto"/>
                      </w:divBdr>
                    </w:div>
                  </w:divsChild>
                </w:div>
                <w:div w:id="1044057971">
                  <w:marLeft w:val="0"/>
                  <w:marRight w:val="0"/>
                  <w:marTop w:val="0"/>
                  <w:marBottom w:val="0"/>
                  <w:divBdr>
                    <w:top w:val="none" w:sz="0" w:space="0" w:color="auto"/>
                    <w:left w:val="none" w:sz="0" w:space="0" w:color="auto"/>
                    <w:bottom w:val="none" w:sz="0" w:space="0" w:color="auto"/>
                    <w:right w:val="none" w:sz="0" w:space="0" w:color="auto"/>
                  </w:divBdr>
                  <w:divsChild>
                    <w:div w:id="1612519043">
                      <w:marLeft w:val="0"/>
                      <w:marRight w:val="0"/>
                      <w:marTop w:val="0"/>
                      <w:marBottom w:val="0"/>
                      <w:divBdr>
                        <w:top w:val="none" w:sz="0" w:space="0" w:color="auto"/>
                        <w:left w:val="none" w:sz="0" w:space="0" w:color="auto"/>
                        <w:bottom w:val="none" w:sz="0" w:space="0" w:color="auto"/>
                        <w:right w:val="none" w:sz="0" w:space="0" w:color="auto"/>
                      </w:divBdr>
                    </w:div>
                  </w:divsChild>
                </w:div>
                <w:div w:id="1086028865">
                  <w:marLeft w:val="0"/>
                  <w:marRight w:val="0"/>
                  <w:marTop w:val="0"/>
                  <w:marBottom w:val="0"/>
                  <w:divBdr>
                    <w:top w:val="none" w:sz="0" w:space="0" w:color="auto"/>
                    <w:left w:val="none" w:sz="0" w:space="0" w:color="auto"/>
                    <w:bottom w:val="none" w:sz="0" w:space="0" w:color="auto"/>
                    <w:right w:val="none" w:sz="0" w:space="0" w:color="auto"/>
                  </w:divBdr>
                  <w:divsChild>
                    <w:div w:id="1756054548">
                      <w:marLeft w:val="0"/>
                      <w:marRight w:val="0"/>
                      <w:marTop w:val="0"/>
                      <w:marBottom w:val="0"/>
                      <w:divBdr>
                        <w:top w:val="none" w:sz="0" w:space="0" w:color="auto"/>
                        <w:left w:val="none" w:sz="0" w:space="0" w:color="auto"/>
                        <w:bottom w:val="none" w:sz="0" w:space="0" w:color="auto"/>
                        <w:right w:val="none" w:sz="0" w:space="0" w:color="auto"/>
                      </w:divBdr>
                    </w:div>
                  </w:divsChild>
                </w:div>
                <w:div w:id="1097825761">
                  <w:marLeft w:val="0"/>
                  <w:marRight w:val="0"/>
                  <w:marTop w:val="0"/>
                  <w:marBottom w:val="0"/>
                  <w:divBdr>
                    <w:top w:val="none" w:sz="0" w:space="0" w:color="auto"/>
                    <w:left w:val="none" w:sz="0" w:space="0" w:color="auto"/>
                    <w:bottom w:val="none" w:sz="0" w:space="0" w:color="auto"/>
                    <w:right w:val="none" w:sz="0" w:space="0" w:color="auto"/>
                  </w:divBdr>
                  <w:divsChild>
                    <w:div w:id="466435048">
                      <w:marLeft w:val="0"/>
                      <w:marRight w:val="0"/>
                      <w:marTop w:val="0"/>
                      <w:marBottom w:val="0"/>
                      <w:divBdr>
                        <w:top w:val="none" w:sz="0" w:space="0" w:color="auto"/>
                        <w:left w:val="none" w:sz="0" w:space="0" w:color="auto"/>
                        <w:bottom w:val="none" w:sz="0" w:space="0" w:color="auto"/>
                        <w:right w:val="none" w:sz="0" w:space="0" w:color="auto"/>
                      </w:divBdr>
                    </w:div>
                  </w:divsChild>
                </w:div>
                <w:div w:id="1147743189">
                  <w:marLeft w:val="0"/>
                  <w:marRight w:val="0"/>
                  <w:marTop w:val="0"/>
                  <w:marBottom w:val="0"/>
                  <w:divBdr>
                    <w:top w:val="none" w:sz="0" w:space="0" w:color="auto"/>
                    <w:left w:val="none" w:sz="0" w:space="0" w:color="auto"/>
                    <w:bottom w:val="none" w:sz="0" w:space="0" w:color="auto"/>
                    <w:right w:val="none" w:sz="0" w:space="0" w:color="auto"/>
                  </w:divBdr>
                  <w:divsChild>
                    <w:div w:id="1494182584">
                      <w:marLeft w:val="0"/>
                      <w:marRight w:val="0"/>
                      <w:marTop w:val="0"/>
                      <w:marBottom w:val="0"/>
                      <w:divBdr>
                        <w:top w:val="none" w:sz="0" w:space="0" w:color="auto"/>
                        <w:left w:val="none" w:sz="0" w:space="0" w:color="auto"/>
                        <w:bottom w:val="none" w:sz="0" w:space="0" w:color="auto"/>
                        <w:right w:val="none" w:sz="0" w:space="0" w:color="auto"/>
                      </w:divBdr>
                    </w:div>
                  </w:divsChild>
                </w:div>
                <w:div w:id="1183396466">
                  <w:marLeft w:val="0"/>
                  <w:marRight w:val="0"/>
                  <w:marTop w:val="0"/>
                  <w:marBottom w:val="0"/>
                  <w:divBdr>
                    <w:top w:val="none" w:sz="0" w:space="0" w:color="auto"/>
                    <w:left w:val="none" w:sz="0" w:space="0" w:color="auto"/>
                    <w:bottom w:val="none" w:sz="0" w:space="0" w:color="auto"/>
                    <w:right w:val="none" w:sz="0" w:space="0" w:color="auto"/>
                  </w:divBdr>
                  <w:divsChild>
                    <w:div w:id="1242644670">
                      <w:marLeft w:val="0"/>
                      <w:marRight w:val="0"/>
                      <w:marTop w:val="0"/>
                      <w:marBottom w:val="0"/>
                      <w:divBdr>
                        <w:top w:val="none" w:sz="0" w:space="0" w:color="auto"/>
                        <w:left w:val="none" w:sz="0" w:space="0" w:color="auto"/>
                        <w:bottom w:val="none" w:sz="0" w:space="0" w:color="auto"/>
                        <w:right w:val="none" w:sz="0" w:space="0" w:color="auto"/>
                      </w:divBdr>
                    </w:div>
                  </w:divsChild>
                </w:div>
                <w:div w:id="1214850404">
                  <w:marLeft w:val="0"/>
                  <w:marRight w:val="0"/>
                  <w:marTop w:val="0"/>
                  <w:marBottom w:val="0"/>
                  <w:divBdr>
                    <w:top w:val="none" w:sz="0" w:space="0" w:color="auto"/>
                    <w:left w:val="none" w:sz="0" w:space="0" w:color="auto"/>
                    <w:bottom w:val="none" w:sz="0" w:space="0" w:color="auto"/>
                    <w:right w:val="none" w:sz="0" w:space="0" w:color="auto"/>
                  </w:divBdr>
                  <w:divsChild>
                    <w:div w:id="1106969288">
                      <w:marLeft w:val="0"/>
                      <w:marRight w:val="0"/>
                      <w:marTop w:val="0"/>
                      <w:marBottom w:val="0"/>
                      <w:divBdr>
                        <w:top w:val="none" w:sz="0" w:space="0" w:color="auto"/>
                        <w:left w:val="none" w:sz="0" w:space="0" w:color="auto"/>
                        <w:bottom w:val="none" w:sz="0" w:space="0" w:color="auto"/>
                        <w:right w:val="none" w:sz="0" w:space="0" w:color="auto"/>
                      </w:divBdr>
                    </w:div>
                  </w:divsChild>
                </w:div>
                <w:div w:id="1270701250">
                  <w:marLeft w:val="0"/>
                  <w:marRight w:val="0"/>
                  <w:marTop w:val="0"/>
                  <w:marBottom w:val="0"/>
                  <w:divBdr>
                    <w:top w:val="none" w:sz="0" w:space="0" w:color="auto"/>
                    <w:left w:val="none" w:sz="0" w:space="0" w:color="auto"/>
                    <w:bottom w:val="none" w:sz="0" w:space="0" w:color="auto"/>
                    <w:right w:val="none" w:sz="0" w:space="0" w:color="auto"/>
                  </w:divBdr>
                  <w:divsChild>
                    <w:div w:id="872234427">
                      <w:marLeft w:val="0"/>
                      <w:marRight w:val="0"/>
                      <w:marTop w:val="0"/>
                      <w:marBottom w:val="0"/>
                      <w:divBdr>
                        <w:top w:val="none" w:sz="0" w:space="0" w:color="auto"/>
                        <w:left w:val="none" w:sz="0" w:space="0" w:color="auto"/>
                        <w:bottom w:val="none" w:sz="0" w:space="0" w:color="auto"/>
                        <w:right w:val="none" w:sz="0" w:space="0" w:color="auto"/>
                      </w:divBdr>
                    </w:div>
                  </w:divsChild>
                </w:div>
                <w:div w:id="1277978401">
                  <w:marLeft w:val="0"/>
                  <w:marRight w:val="0"/>
                  <w:marTop w:val="0"/>
                  <w:marBottom w:val="0"/>
                  <w:divBdr>
                    <w:top w:val="none" w:sz="0" w:space="0" w:color="auto"/>
                    <w:left w:val="none" w:sz="0" w:space="0" w:color="auto"/>
                    <w:bottom w:val="none" w:sz="0" w:space="0" w:color="auto"/>
                    <w:right w:val="none" w:sz="0" w:space="0" w:color="auto"/>
                  </w:divBdr>
                  <w:divsChild>
                    <w:div w:id="1227109869">
                      <w:marLeft w:val="0"/>
                      <w:marRight w:val="0"/>
                      <w:marTop w:val="0"/>
                      <w:marBottom w:val="0"/>
                      <w:divBdr>
                        <w:top w:val="none" w:sz="0" w:space="0" w:color="auto"/>
                        <w:left w:val="none" w:sz="0" w:space="0" w:color="auto"/>
                        <w:bottom w:val="none" w:sz="0" w:space="0" w:color="auto"/>
                        <w:right w:val="none" w:sz="0" w:space="0" w:color="auto"/>
                      </w:divBdr>
                    </w:div>
                  </w:divsChild>
                </w:div>
                <w:div w:id="1362707158">
                  <w:marLeft w:val="0"/>
                  <w:marRight w:val="0"/>
                  <w:marTop w:val="0"/>
                  <w:marBottom w:val="0"/>
                  <w:divBdr>
                    <w:top w:val="none" w:sz="0" w:space="0" w:color="auto"/>
                    <w:left w:val="none" w:sz="0" w:space="0" w:color="auto"/>
                    <w:bottom w:val="none" w:sz="0" w:space="0" w:color="auto"/>
                    <w:right w:val="none" w:sz="0" w:space="0" w:color="auto"/>
                  </w:divBdr>
                  <w:divsChild>
                    <w:div w:id="386803126">
                      <w:marLeft w:val="0"/>
                      <w:marRight w:val="0"/>
                      <w:marTop w:val="0"/>
                      <w:marBottom w:val="0"/>
                      <w:divBdr>
                        <w:top w:val="none" w:sz="0" w:space="0" w:color="auto"/>
                        <w:left w:val="none" w:sz="0" w:space="0" w:color="auto"/>
                        <w:bottom w:val="none" w:sz="0" w:space="0" w:color="auto"/>
                        <w:right w:val="none" w:sz="0" w:space="0" w:color="auto"/>
                      </w:divBdr>
                    </w:div>
                  </w:divsChild>
                </w:div>
                <w:div w:id="1370227005">
                  <w:marLeft w:val="0"/>
                  <w:marRight w:val="0"/>
                  <w:marTop w:val="0"/>
                  <w:marBottom w:val="0"/>
                  <w:divBdr>
                    <w:top w:val="none" w:sz="0" w:space="0" w:color="auto"/>
                    <w:left w:val="none" w:sz="0" w:space="0" w:color="auto"/>
                    <w:bottom w:val="none" w:sz="0" w:space="0" w:color="auto"/>
                    <w:right w:val="none" w:sz="0" w:space="0" w:color="auto"/>
                  </w:divBdr>
                  <w:divsChild>
                    <w:div w:id="346298465">
                      <w:marLeft w:val="0"/>
                      <w:marRight w:val="0"/>
                      <w:marTop w:val="0"/>
                      <w:marBottom w:val="0"/>
                      <w:divBdr>
                        <w:top w:val="none" w:sz="0" w:space="0" w:color="auto"/>
                        <w:left w:val="none" w:sz="0" w:space="0" w:color="auto"/>
                        <w:bottom w:val="none" w:sz="0" w:space="0" w:color="auto"/>
                        <w:right w:val="none" w:sz="0" w:space="0" w:color="auto"/>
                      </w:divBdr>
                    </w:div>
                  </w:divsChild>
                </w:div>
                <w:div w:id="1412581954">
                  <w:marLeft w:val="0"/>
                  <w:marRight w:val="0"/>
                  <w:marTop w:val="0"/>
                  <w:marBottom w:val="0"/>
                  <w:divBdr>
                    <w:top w:val="none" w:sz="0" w:space="0" w:color="auto"/>
                    <w:left w:val="none" w:sz="0" w:space="0" w:color="auto"/>
                    <w:bottom w:val="none" w:sz="0" w:space="0" w:color="auto"/>
                    <w:right w:val="none" w:sz="0" w:space="0" w:color="auto"/>
                  </w:divBdr>
                  <w:divsChild>
                    <w:div w:id="749351368">
                      <w:marLeft w:val="0"/>
                      <w:marRight w:val="0"/>
                      <w:marTop w:val="0"/>
                      <w:marBottom w:val="0"/>
                      <w:divBdr>
                        <w:top w:val="none" w:sz="0" w:space="0" w:color="auto"/>
                        <w:left w:val="none" w:sz="0" w:space="0" w:color="auto"/>
                        <w:bottom w:val="none" w:sz="0" w:space="0" w:color="auto"/>
                        <w:right w:val="none" w:sz="0" w:space="0" w:color="auto"/>
                      </w:divBdr>
                    </w:div>
                  </w:divsChild>
                </w:div>
                <w:div w:id="1422023803">
                  <w:marLeft w:val="0"/>
                  <w:marRight w:val="0"/>
                  <w:marTop w:val="0"/>
                  <w:marBottom w:val="0"/>
                  <w:divBdr>
                    <w:top w:val="none" w:sz="0" w:space="0" w:color="auto"/>
                    <w:left w:val="none" w:sz="0" w:space="0" w:color="auto"/>
                    <w:bottom w:val="none" w:sz="0" w:space="0" w:color="auto"/>
                    <w:right w:val="none" w:sz="0" w:space="0" w:color="auto"/>
                  </w:divBdr>
                  <w:divsChild>
                    <w:div w:id="1384061829">
                      <w:marLeft w:val="0"/>
                      <w:marRight w:val="0"/>
                      <w:marTop w:val="0"/>
                      <w:marBottom w:val="0"/>
                      <w:divBdr>
                        <w:top w:val="none" w:sz="0" w:space="0" w:color="auto"/>
                        <w:left w:val="none" w:sz="0" w:space="0" w:color="auto"/>
                        <w:bottom w:val="none" w:sz="0" w:space="0" w:color="auto"/>
                        <w:right w:val="none" w:sz="0" w:space="0" w:color="auto"/>
                      </w:divBdr>
                    </w:div>
                  </w:divsChild>
                </w:div>
                <w:div w:id="1422876780">
                  <w:marLeft w:val="0"/>
                  <w:marRight w:val="0"/>
                  <w:marTop w:val="0"/>
                  <w:marBottom w:val="0"/>
                  <w:divBdr>
                    <w:top w:val="none" w:sz="0" w:space="0" w:color="auto"/>
                    <w:left w:val="none" w:sz="0" w:space="0" w:color="auto"/>
                    <w:bottom w:val="none" w:sz="0" w:space="0" w:color="auto"/>
                    <w:right w:val="none" w:sz="0" w:space="0" w:color="auto"/>
                  </w:divBdr>
                  <w:divsChild>
                    <w:div w:id="1620798080">
                      <w:marLeft w:val="0"/>
                      <w:marRight w:val="0"/>
                      <w:marTop w:val="0"/>
                      <w:marBottom w:val="0"/>
                      <w:divBdr>
                        <w:top w:val="none" w:sz="0" w:space="0" w:color="auto"/>
                        <w:left w:val="none" w:sz="0" w:space="0" w:color="auto"/>
                        <w:bottom w:val="none" w:sz="0" w:space="0" w:color="auto"/>
                        <w:right w:val="none" w:sz="0" w:space="0" w:color="auto"/>
                      </w:divBdr>
                    </w:div>
                  </w:divsChild>
                </w:div>
                <w:div w:id="1441677990">
                  <w:marLeft w:val="0"/>
                  <w:marRight w:val="0"/>
                  <w:marTop w:val="0"/>
                  <w:marBottom w:val="0"/>
                  <w:divBdr>
                    <w:top w:val="none" w:sz="0" w:space="0" w:color="auto"/>
                    <w:left w:val="none" w:sz="0" w:space="0" w:color="auto"/>
                    <w:bottom w:val="none" w:sz="0" w:space="0" w:color="auto"/>
                    <w:right w:val="none" w:sz="0" w:space="0" w:color="auto"/>
                  </w:divBdr>
                  <w:divsChild>
                    <w:div w:id="1499495682">
                      <w:marLeft w:val="0"/>
                      <w:marRight w:val="0"/>
                      <w:marTop w:val="0"/>
                      <w:marBottom w:val="0"/>
                      <w:divBdr>
                        <w:top w:val="none" w:sz="0" w:space="0" w:color="auto"/>
                        <w:left w:val="none" w:sz="0" w:space="0" w:color="auto"/>
                        <w:bottom w:val="none" w:sz="0" w:space="0" w:color="auto"/>
                        <w:right w:val="none" w:sz="0" w:space="0" w:color="auto"/>
                      </w:divBdr>
                    </w:div>
                  </w:divsChild>
                </w:div>
                <w:div w:id="1490973779">
                  <w:marLeft w:val="0"/>
                  <w:marRight w:val="0"/>
                  <w:marTop w:val="0"/>
                  <w:marBottom w:val="0"/>
                  <w:divBdr>
                    <w:top w:val="none" w:sz="0" w:space="0" w:color="auto"/>
                    <w:left w:val="none" w:sz="0" w:space="0" w:color="auto"/>
                    <w:bottom w:val="none" w:sz="0" w:space="0" w:color="auto"/>
                    <w:right w:val="none" w:sz="0" w:space="0" w:color="auto"/>
                  </w:divBdr>
                  <w:divsChild>
                    <w:div w:id="816607736">
                      <w:marLeft w:val="0"/>
                      <w:marRight w:val="0"/>
                      <w:marTop w:val="0"/>
                      <w:marBottom w:val="0"/>
                      <w:divBdr>
                        <w:top w:val="none" w:sz="0" w:space="0" w:color="auto"/>
                        <w:left w:val="none" w:sz="0" w:space="0" w:color="auto"/>
                        <w:bottom w:val="none" w:sz="0" w:space="0" w:color="auto"/>
                        <w:right w:val="none" w:sz="0" w:space="0" w:color="auto"/>
                      </w:divBdr>
                    </w:div>
                  </w:divsChild>
                </w:div>
                <w:div w:id="1512448615">
                  <w:marLeft w:val="0"/>
                  <w:marRight w:val="0"/>
                  <w:marTop w:val="0"/>
                  <w:marBottom w:val="0"/>
                  <w:divBdr>
                    <w:top w:val="none" w:sz="0" w:space="0" w:color="auto"/>
                    <w:left w:val="none" w:sz="0" w:space="0" w:color="auto"/>
                    <w:bottom w:val="none" w:sz="0" w:space="0" w:color="auto"/>
                    <w:right w:val="none" w:sz="0" w:space="0" w:color="auto"/>
                  </w:divBdr>
                  <w:divsChild>
                    <w:div w:id="110587083">
                      <w:marLeft w:val="0"/>
                      <w:marRight w:val="0"/>
                      <w:marTop w:val="0"/>
                      <w:marBottom w:val="0"/>
                      <w:divBdr>
                        <w:top w:val="none" w:sz="0" w:space="0" w:color="auto"/>
                        <w:left w:val="none" w:sz="0" w:space="0" w:color="auto"/>
                        <w:bottom w:val="none" w:sz="0" w:space="0" w:color="auto"/>
                        <w:right w:val="none" w:sz="0" w:space="0" w:color="auto"/>
                      </w:divBdr>
                    </w:div>
                  </w:divsChild>
                </w:div>
                <w:div w:id="1512528144">
                  <w:marLeft w:val="0"/>
                  <w:marRight w:val="0"/>
                  <w:marTop w:val="0"/>
                  <w:marBottom w:val="0"/>
                  <w:divBdr>
                    <w:top w:val="none" w:sz="0" w:space="0" w:color="auto"/>
                    <w:left w:val="none" w:sz="0" w:space="0" w:color="auto"/>
                    <w:bottom w:val="none" w:sz="0" w:space="0" w:color="auto"/>
                    <w:right w:val="none" w:sz="0" w:space="0" w:color="auto"/>
                  </w:divBdr>
                  <w:divsChild>
                    <w:div w:id="1426419078">
                      <w:marLeft w:val="0"/>
                      <w:marRight w:val="0"/>
                      <w:marTop w:val="0"/>
                      <w:marBottom w:val="0"/>
                      <w:divBdr>
                        <w:top w:val="none" w:sz="0" w:space="0" w:color="auto"/>
                        <w:left w:val="none" w:sz="0" w:space="0" w:color="auto"/>
                        <w:bottom w:val="none" w:sz="0" w:space="0" w:color="auto"/>
                        <w:right w:val="none" w:sz="0" w:space="0" w:color="auto"/>
                      </w:divBdr>
                    </w:div>
                  </w:divsChild>
                </w:div>
                <w:div w:id="1555117541">
                  <w:marLeft w:val="0"/>
                  <w:marRight w:val="0"/>
                  <w:marTop w:val="0"/>
                  <w:marBottom w:val="0"/>
                  <w:divBdr>
                    <w:top w:val="none" w:sz="0" w:space="0" w:color="auto"/>
                    <w:left w:val="none" w:sz="0" w:space="0" w:color="auto"/>
                    <w:bottom w:val="none" w:sz="0" w:space="0" w:color="auto"/>
                    <w:right w:val="none" w:sz="0" w:space="0" w:color="auto"/>
                  </w:divBdr>
                  <w:divsChild>
                    <w:div w:id="636183818">
                      <w:marLeft w:val="0"/>
                      <w:marRight w:val="0"/>
                      <w:marTop w:val="0"/>
                      <w:marBottom w:val="0"/>
                      <w:divBdr>
                        <w:top w:val="none" w:sz="0" w:space="0" w:color="auto"/>
                        <w:left w:val="none" w:sz="0" w:space="0" w:color="auto"/>
                        <w:bottom w:val="none" w:sz="0" w:space="0" w:color="auto"/>
                        <w:right w:val="none" w:sz="0" w:space="0" w:color="auto"/>
                      </w:divBdr>
                    </w:div>
                  </w:divsChild>
                </w:div>
                <w:div w:id="1561400058">
                  <w:marLeft w:val="0"/>
                  <w:marRight w:val="0"/>
                  <w:marTop w:val="0"/>
                  <w:marBottom w:val="0"/>
                  <w:divBdr>
                    <w:top w:val="none" w:sz="0" w:space="0" w:color="auto"/>
                    <w:left w:val="none" w:sz="0" w:space="0" w:color="auto"/>
                    <w:bottom w:val="none" w:sz="0" w:space="0" w:color="auto"/>
                    <w:right w:val="none" w:sz="0" w:space="0" w:color="auto"/>
                  </w:divBdr>
                  <w:divsChild>
                    <w:div w:id="473984424">
                      <w:marLeft w:val="0"/>
                      <w:marRight w:val="0"/>
                      <w:marTop w:val="0"/>
                      <w:marBottom w:val="0"/>
                      <w:divBdr>
                        <w:top w:val="none" w:sz="0" w:space="0" w:color="auto"/>
                        <w:left w:val="none" w:sz="0" w:space="0" w:color="auto"/>
                        <w:bottom w:val="none" w:sz="0" w:space="0" w:color="auto"/>
                        <w:right w:val="none" w:sz="0" w:space="0" w:color="auto"/>
                      </w:divBdr>
                    </w:div>
                  </w:divsChild>
                </w:div>
                <w:div w:id="1569654421">
                  <w:marLeft w:val="0"/>
                  <w:marRight w:val="0"/>
                  <w:marTop w:val="0"/>
                  <w:marBottom w:val="0"/>
                  <w:divBdr>
                    <w:top w:val="none" w:sz="0" w:space="0" w:color="auto"/>
                    <w:left w:val="none" w:sz="0" w:space="0" w:color="auto"/>
                    <w:bottom w:val="none" w:sz="0" w:space="0" w:color="auto"/>
                    <w:right w:val="none" w:sz="0" w:space="0" w:color="auto"/>
                  </w:divBdr>
                  <w:divsChild>
                    <w:div w:id="1857232537">
                      <w:marLeft w:val="0"/>
                      <w:marRight w:val="0"/>
                      <w:marTop w:val="0"/>
                      <w:marBottom w:val="0"/>
                      <w:divBdr>
                        <w:top w:val="none" w:sz="0" w:space="0" w:color="auto"/>
                        <w:left w:val="none" w:sz="0" w:space="0" w:color="auto"/>
                        <w:bottom w:val="none" w:sz="0" w:space="0" w:color="auto"/>
                        <w:right w:val="none" w:sz="0" w:space="0" w:color="auto"/>
                      </w:divBdr>
                    </w:div>
                  </w:divsChild>
                </w:div>
                <w:div w:id="1597395672">
                  <w:marLeft w:val="0"/>
                  <w:marRight w:val="0"/>
                  <w:marTop w:val="0"/>
                  <w:marBottom w:val="0"/>
                  <w:divBdr>
                    <w:top w:val="none" w:sz="0" w:space="0" w:color="auto"/>
                    <w:left w:val="none" w:sz="0" w:space="0" w:color="auto"/>
                    <w:bottom w:val="none" w:sz="0" w:space="0" w:color="auto"/>
                    <w:right w:val="none" w:sz="0" w:space="0" w:color="auto"/>
                  </w:divBdr>
                  <w:divsChild>
                    <w:div w:id="351883332">
                      <w:marLeft w:val="0"/>
                      <w:marRight w:val="0"/>
                      <w:marTop w:val="0"/>
                      <w:marBottom w:val="0"/>
                      <w:divBdr>
                        <w:top w:val="none" w:sz="0" w:space="0" w:color="auto"/>
                        <w:left w:val="none" w:sz="0" w:space="0" w:color="auto"/>
                        <w:bottom w:val="none" w:sz="0" w:space="0" w:color="auto"/>
                        <w:right w:val="none" w:sz="0" w:space="0" w:color="auto"/>
                      </w:divBdr>
                    </w:div>
                  </w:divsChild>
                </w:div>
                <w:div w:id="1690374466">
                  <w:marLeft w:val="0"/>
                  <w:marRight w:val="0"/>
                  <w:marTop w:val="0"/>
                  <w:marBottom w:val="0"/>
                  <w:divBdr>
                    <w:top w:val="none" w:sz="0" w:space="0" w:color="auto"/>
                    <w:left w:val="none" w:sz="0" w:space="0" w:color="auto"/>
                    <w:bottom w:val="none" w:sz="0" w:space="0" w:color="auto"/>
                    <w:right w:val="none" w:sz="0" w:space="0" w:color="auto"/>
                  </w:divBdr>
                  <w:divsChild>
                    <w:div w:id="775172025">
                      <w:marLeft w:val="0"/>
                      <w:marRight w:val="0"/>
                      <w:marTop w:val="0"/>
                      <w:marBottom w:val="0"/>
                      <w:divBdr>
                        <w:top w:val="none" w:sz="0" w:space="0" w:color="auto"/>
                        <w:left w:val="none" w:sz="0" w:space="0" w:color="auto"/>
                        <w:bottom w:val="none" w:sz="0" w:space="0" w:color="auto"/>
                        <w:right w:val="none" w:sz="0" w:space="0" w:color="auto"/>
                      </w:divBdr>
                    </w:div>
                  </w:divsChild>
                </w:div>
                <w:div w:id="1709574076">
                  <w:marLeft w:val="0"/>
                  <w:marRight w:val="0"/>
                  <w:marTop w:val="0"/>
                  <w:marBottom w:val="0"/>
                  <w:divBdr>
                    <w:top w:val="none" w:sz="0" w:space="0" w:color="auto"/>
                    <w:left w:val="none" w:sz="0" w:space="0" w:color="auto"/>
                    <w:bottom w:val="none" w:sz="0" w:space="0" w:color="auto"/>
                    <w:right w:val="none" w:sz="0" w:space="0" w:color="auto"/>
                  </w:divBdr>
                  <w:divsChild>
                    <w:div w:id="1618100021">
                      <w:marLeft w:val="0"/>
                      <w:marRight w:val="0"/>
                      <w:marTop w:val="0"/>
                      <w:marBottom w:val="0"/>
                      <w:divBdr>
                        <w:top w:val="none" w:sz="0" w:space="0" w:color="auto"/>
                        <w:left w:val="none" w:sz="0" w:space="0" w:color="auto"/>
                        <w:bottom w:val="none" w:sz="0" w:space="0" w:color="auto"/>
                        <w:right w:val="none" w:sz="0" w:space="0" w:color="auto"/>
                      </w:divBdr>
                    </w:div>
                  </w:divsChild>
                </w:div>
                <w:div w:id="1711496266">
                  <w:marLeft w:val="0"/>
                  <w:marRight w:val="0"/>
                  <w:marTop w:val="0"/>
                  <w:marBottom w:val="0"/>
                  <w:divBdr>
                    <w:top w:val="none" w:sz="0" w:space="0" w:color="auto"/>
                    <w:left w:val="none" w:sz="0" w:space="0" w:color="auto"/>
                    <w:bottom w:val="none" w:sz="0" w:space="0" w:color="auto"/>
                    <w:right w:val="none" w:sz="0" w:space="0" w:color="auto"/>
                  </w:divBdr>
                  <w:divsChild>
                    <w:div w:id="132479517">
                      <w:marLeft w:val="0"/>
                      <w:marRight w:val="0"/>
                      <w:marTop w:val="0"/>
                      <w:marBottom w:val="0"/>
                      <w:divBdr>
                        <w:top w:val="none" w:sz="0" w:space="0" w:color="auto"/>
                        <w:left w:val="none" w:sz="0" w:space="0" w:color="auto"/>
                        <w:bottom w:val="none" w:sz="0" w:space="0" w:color="auto"/>
                        <w:right w:val="none" w:sz="0" w:space="0" w:color="auto"/>
                      </w:divBdr>
                    </w:div>
                  </w:divsChild>
                </w:div>
                <w:div w:id="1731347396">
                  <w:marLeft w:val="0"/>
                  <w:marRight w:val="0"/>
                  <w:marTop w:val="0"/>
                  <w:marBottom w:val="0"/>
                  <w:divBdr>
                    <w:top w:val="none" w:sz="0" w:space="0" w:color="auto"/>
                    <w:left w:val="none" w:sz="0" w:space="0" w:color="auto"/>
                    <w:bottom w:val="none" w:sz="0" w:space="0" w:color="auto"/>
                    <w:right w:val="none" w:sz="0" w:space="0" w:color="auto"/>
                  </w:divBdr>
                  <w:divsChild>
                    <w:div w:id="1293054723">
                      <w:marLeft w:val="0"/>
                      <w:marRight w:val="0"/>
                      <w:marTop w:val="0"/>
                      <w:marBottom w:val="0"/>
                      <w:divBdr>
                        <w:top w:val="none" w:sz="0" w:space="0" w:color="auto"/>
                        <w:left w:val="none" w:sz="0" w:space="0" w:color="auto"/>
                        <w:bottom w:val="none" w:sz="0" w:space="0" w:color="auto"/>
                        <w:right w:val="none" w:sz="0" w:space="0" w:color="auto"/>
                      </w:divBdr>
                    </w:div>
                  </w:divsChild>
                </w:div>
                <w:div w:id="1792554531">
                  <w:marLeft w:val="0"/>
                  <w:marRight w:val="0"/>
                  <w:marTop w:val="0"/>
                  <w:marBottom w:val="0"/>
                  <w:divBdr>
                    <w:top w:val="none" w:sz="0" w:space="0" w:color="auto"/>
                    <w:left w:val="none" w:sz="0" w:space="0" w:color="auto"/>
                    <w:bottom w:val="none" w:sz="0" w:space="0" w:color="auto"/>
                    <w:right w:val="none" w:sz="0" w:space="0" w:color="auto"/>
                  </w:divBdr>
                  <w:divsChild>
                    <w:div w:id="914096614">
                      <w:marLeft w:val="0"/>
                      <w:marRight w:val="0"/>
                      <w:marTop w:val="0"/>
                      <w:marBottom w:val="0"/>
                      <w:divBdr>
                        <w:top w:val="none" w:sz="0" w:space="0" w:color="auto"/>
                        <w:left w:val="none" w:sz="0" w:space="0" w:color="auto"/>
                        <w:bottom w:val="none" w:sz="0" w:space="0" w:color="auto"/>
                        <w:right w:val="none" w:sz="0" w:space="0" w:color="auto"/>
                      </w:divBdr>
                    </w:div>
                  </w:divsChild>
                </w:div>
                <w:div w:id="1793478753">
                  <w:marLeft w:val="0"/>
                  <w:marRight w:val="0"/>
                  <w:marTop w:val="0"/>
                  <w:marBottom w:val="0"/>
                  <w:divBdr>
                    <w:top w:val="none" w:sz="0" w:space="0" w:color="auto"/>
                    <w:left w:val="none" w:sz="0" w:space="0" w:color="auto"/>
                    <w:bottom w:val="none" w:sz="0" w:space="0" w:color="auto"/>
                    <w:right w:val="none" w:sz="0" w:space="0" w:color="auto"/>
                  </w:divBdr>
                  <w:divsChild>
                    <w:div w:id="1084837372">
                      <w:marLeft w:val="0"/>
                      <w:marRight w:val="0"/>
                      <w:marTop w:val="0"/>
                      <w:marBottom w:val="0"/>
                      <w:divBdr>
                        <w:top w:val="none" w:sz="0" w:space="0" w:color="auto"/>
                        <w:left w:val="none" w:sz="0" w:space="0" w:color="auto"/>
                        <w:bottom w:val="none" w:sz="0" w:space="0" w:color="auto"/>
                        <w:right w:val="none" w:sz="0" w:space="0" w:color="auto"/>
                      </w:divBdr>
                    </w:div>
                  </w:divsChild>
                </w:div>
                <w:div w:id="1814567211">
                  <w:marLeft w:val="0"/>
                  <w:marRight w:val="0"/>
                  <w:marTop w:val="0"/>
                  <w:marBottom w:val="0"/>
                  <w:divBdr>
                    <w:top w:val="none" w:sz="0" w:space="0" w:color="auto"/>
                    <w:left w:val="none" w:sz="0" w:space="0" w:color="auto"/>
                    <w:bottom w:val="none" w:sz="0" w:space="0" w:color="auto"/>
                    <w:right w:val="none" w:sz="0" w:space="0" w:color="auto"/>
                  </w:divBdr>
                  <w:divsChild>
                    <w:div w:id="1975214833">
                      <w:marLeft w:val="0"/>
                      <w:marRight w:val="0"/>
                      <w:marTop w:val="0"/>
                      <w:marBottom w:val="0"/>
                      <w:divBdr>
                        <w:top w:val="none" w:sz="0" w:space="0" w:color="auto"/>
                        <w:left w:val="none" w:sz="0" w:space="0" w:color="auto"/>
                        <w:bottom w:val="none" w:sz="0" w:space="0" w:color="auto"/>
                        <w:right w:val="none" w:sz="0" w:space="0" w:color="auto"/>
                      </w:divBdr>
                    </w:div>
                  </w:divsChild>
                </w:div>
                <w:div w:id="1834830587">
                  <w:marLeft w:val="0"/>
                  <w:marRight w:val="0"/>
                  <w:marTop w:val="0"/>
                  <w:marBottom w:val="0"/>
                  <w:divBdr>
                    <w:top w:val="none" w:sz="0" w:space="0" w:color="auto"/>
                    <w:left w:val="none" w:sz="0" w:space="0" w:color="auto"/>
                    <w:bottom w:val="none" w:sz="0" w:space="0" w:color="auto"/>
                    <w:right w:val="none" w:sz="0" w:space="0" w:color="auto"/>
                  </w:divBdr>
                  <w:divsChild>
                    <w:div w:id="1694457969">
                      <w:marLeft w:val="0"/>
                      <w:marRight w:val="0"/>
                      <w:marTop w:val="0"/>
                      <w:marBottom w:val="0"/>
                      <w:divBdr>
                        <w:top w:val="none" w:sz="0" w:space="0" w:color="auto"/>
                        <w:left w:val="none" w:sz="0" w:space="0" w:color="auto"/>
                        <w:bottom w:val="none" w:sz="0" w:space="0" w:color="auto"/>
                        <w:right w:val="none" w:sz="0" w:space="0" w:color="auto"/>
                      </w:divBdr>
                    </w:div>
                  </w:divsChild>
                </w:div>
                <w:div w:id="1858348220">
                  <w:marLeft w:val="0"/>
                  <w:marRight w:val="0"/>
                  <w:marTop w:val="0"/>
                  <w:marBottom w:val="0"/>
                  <w:divBdr>
                    <w:top w:val="none" w:sz="0" w:space="0" w:color="auto"/>
                    <w:left w:val="none" w:sz="0" w:space="0" w:color="auto"/>
                    <w:bottom w:val="none" w:sz="0" w:space="0" w:color="auto"/>
                    <w:right w:val="none" w:sz="0" w:space="0" w:color="auto"/>
                  </w:divBdr>
                  <w:divsChild>
                    <w:div w:id="139925725">
                      <w:marLeft w:val="0"/>
                      <w:marRight w:val="0"/>
                      <w:marTop w:val="0"/>
                      <w:marBottom w:val="0"/>
                      <w:divBdr>
                        <w:top w:val="none" w:sz="0" w:space="0" w:color="auto"/>
                        <w:left w:val="none" w:sz="0" w:space="0" w:color="auto"/>
                        <w:bottom w:val="none" w:sz="0" w:space="0" w:color="auto"/>
                        <w:right w:val="none" w:sz="0" w:space="0" w:color="auto"/>
                      </w:divBdr>
                    </w:div>
                  </w:divsChild>
                </w:div>
                <w:div w:id="1859469927">
                  <w:marLeft w:val="0"/>
                  <w:marRight w:val="0"/>
                  <w:marTop w:val="0"/>
                  <w:marBottom w:val="0"/>
                  <w:divBdr>
                    <w:top w:val="none" w:sz="0" w:space="0" w:color="auto"/>
                    <w:left w:val="none" w:sz="0" w:space="0" w:color="auto"/>
                    <w:bottom w:val="none" w:sz="0" w:space="0" w:color="auto"/>
                    <w:right w:val="none" w:sz="0" w:space="0" w:color="auto"/>
                  </w:divBdr>
                  <w:divsChild>
                    <w:div w:id="1591501100">
                      <w:marLeft w:val="0"/>
                      <w:marRight w:val="0"/>
                      <w:marTop w:val="0"/>
                      <w:marBottom w:val="0"/>
                      <w:divBdr>
                        <w:top w:val="none" w:sz="0" w:space="0" w:color="auto"/>
                        <w:left w:val="none" w:sz="0" w:space="0" w:color="auto"/>
                        <w:bottom w:val="none" w:sz="0" w:space="0" w:color="auto"/>
                        <w:right w:val="none" w:sz="0" w:space="0" w:color="auto"/>
                      </w:divBdr>
                    </w:div>
                  </w:divsChild>
                </w:div>
                <w:div w:id="1862549225">
                  <w:marLeft w:val="0"/>
                  <w:marRight w:val="0"/>
                  <w:marTop w:val="0"/>
                  <w:marBottom w:val="0"/>
                  <w:divBdr>
                    <w:top w:val="none" w:sz="0" w:space="0" w:color="auto"/>
                    <w:left w:val="none" w:sz="0" w:space="0" w:color="auto"/>
                    <w:bottom w:val="none" w:sz="0" w:space="0" w:color="auto"/>
                    <w:right w:val="none" w:sz="0" w:space="0" w:color="auto"/>
                  </w:divBdr>
                  <w:divsChild>
                    <w:div w:id="1570384345">
                      <w:marLeft w:val="0"/>
                      <w:marRight w:val="0"/>
                      <w:marTop w:val="0"/>
                      <w:marBottom w:val="0"/>
                      <w:divBdr>
                        <w:top w:val="none" w:sz="0" w:space="0" w:color="auto"/>
                        <w:left w:val="none" w:sz="0" w:space="0" w:color="auto"/>
                        <w:bottom w:val="none" w:sz="0" w:space="0" w:color="auto"/>
                        <w:right w:val="none" w:sz="0" w:space="0" w:color="auto"/>
                      </w:divBdr>
                    </w:div>
                  </w:divsChild>
                </w:div>
                <w:div w:id="1934627727">
                  <w:marLeft w:val="0"/>
                  <w:marRight w:val="0"/>
                  <w:marTop w:val="0"/>
                  <w:marBottom w:val="0"/>
                  <w:divBdr>
                    <w:top w:val="none" w:sz="0" w:space="0" w:color="auto"/>
                    <w:left w:val="none" w:sz="0" w:space="0" w:color="auto"/>
                    <w:bottom w:val="none" w:sz="0" w:space="0" w:color="auto"/>
                    <w:right w:val="none" w:sz="0" w:space="0" w:color="auto"/>
                  </w:divBdr>
                  <w:divsChild>
                    <w:div w:id="1636716826">
                      <w:marLeft w:val="0"/>
                      <w:marRight w:val="0"/>
                      <w:marTop w:val="0"/>
                      <w:marBottom w:val="0"/>
                      <w:divBdr>
                        <w:top w:val="none" w:sz="0" w:space="0" w:color="auto"/>
                        <w:left w:val="none" w:sz="0" w:space="0" w:color="auto"/>
                        <w:bottom w:val="none" w:sz="0" w:space="0" w:color="auto"/>
                        <w:right w:val="none" w:sz="0" w:space="0" w:color="auto"/>
                      </w:divBdr>
                    </w:div>
                  </w:divsChild>
                </w:div>
                <w:div w:id="1945963067">
                  <w:marLeft w:val="0"/>
                  <w:marRight w:val="0"/>
                  <w:marTop w:val="0"/>
                  <w:marBottom w:val="0"/>
                  <w:divBdr>
                    <w:top w:val="none" w:sz="0" w:space="0" w:color="auto"/>
                    <w:left w:val="none" w:sz="0" w:space="0" w:color="auto"/>
                    <w:bottom w:val="none" w:sz="0" w:space="0" w:color="auto"/>
                    <w:right w:val="none" w:sz="0" w:space="0" w:color="auto"/>
                  </w:divBdr>
                  <w:divsChild>
                    <w:div w:id="1754889464">
                      <w:marLeft w:val="0"/>
                      <w:marRight w:val="0"/>
                      <w:marTop w:val="0"/>
                      <w:marBottom w:val="0"/>
                      <w:divBdr>
                        <w:top w:val="none" w:sz="0" w:space="0" w:color="auto"/>
                        <w:left w:val="none" w:sz="0" w:space="0" w:color="auto"/>
                        <w:bottom w:val="none" w:sz="0" w:space="0" w:color="auto"/>
                        <w:right w:val="none" w:sz="0" w:space="0" w:color="auto"/>
                      </w:divBdr>
                    </w:div>
                  </w:divsChild>
                </w:div>
                <w:div w:id="2000844290">
                  <w:marLeft w:val="0"/>
                  <w:marRight w:val="0"/>
                  <w:marTop w:val="0"/>
                  <w:marBottom w:val="0"/>
                  <w:divBdr>
                    <w:top w:val="none" w:sz="0" w:space="0" w:color="auto"/>
                    <w:left w:val="none" w:sz="0" w:space="0" w:color="auto"/>
                    <w:bottom w:val="none" w:sz="0" w:space="0" w:color="auto"/>
                    <w:right w:val="none" w:sz="0" w:space="0" w:color="auto"/>
                  </w:divBdr>
                  <w:divsChild>
                    <w:div w:id="575823728">
                      <w:marLeft w:val="0"/>
                      <w:marRight w:val="0"/>
                      <w:marTop w:val="0"/>
                      <w:marBottom w:val="0"/>
                      <w:divBdr>
                        <w:top w:val="none" w:sz="0" w:space="0" w:color="auto"/>
                        <w:left w:val="none" w:sz="0" w:space="0" w:color="auto"/>
                        <w:bottom w:val="none" w:sz="0" w:space="0" w:color="auto"/>
                        <w:right w:val="none" w:sz="0" w:space="0" w:color="auto"/>
                      </w:divBdr>
                    </w:div>
                  </w:divsChild>
                </w:div>
                <w:div w:id="2040275820">
                  <w:marLeft w:val="0"/>
                  <w:marRight w:val="0"/>
                  <w:marTop w:val="0"/>
                  <w:marBottom w:val="0"/>
                  <w:divBdr>
                    <w:top w:val="none" w:sz="0" w:space="0" w:color="auto"/>
                    <w:left w:val="none" w:sz="0" w:space="0" w:color="auto"/>
                    <w:bottom w:val="none" w:sz="0" w:space="0" w:color="auto"/>
                    <w:right w:val="none" w:sz="0" w:space="0" w:color="auto"/>
                  </w:divBdr>
                  <w:divsChild>
                    <w:div w:id="1615475525">
                      <w:marLeft w:val="0"/>
                      <w:marRight w:val="0"/>
                      <w:marTop w:val="0"/>
                      <w:marBottom w:val="0"/>
                      <w:divBdr>
                        <w:top w:val="none" w:sz="0" w:space="0" w:color="auto"/>
                        <w:left w:val="none" w:sz="0" w:space="0" w:color="auto"/>
                        <w:bottom w:val="none" w:sz="0" w:space="0" w:color="auto"/>
                        <w:right w:val="none" w:sz="0" w:space="0" w:color="auto"/>
                      </w:divBdr>
                    </w:div>
                  </w:divsChild>
                </w:div>
                <w:div w:id="2042393440">
                  <w:marLeft w:val="0"/>
                  <w:marRight w:val="0"/>
                  <w:marTop w:val="0"/>
                  <w:marBottom w:val="0"/>
                  <w:divBdr>
                    <w:top w:val="none" w:sz="0" w:space="0" w:color="auto"/>
                    <w:left w:val="none" w:sz="0" w:space="0" w:color="auto"/>
                    <w:bottom w:val="none" w:sz="0" w:space="0" w:color="auto"/>
                    <w:right w:val="none" w:sz="0" w:space="0" w:color="auto"/>
                  </w:divBdr>
                  <w:divsChild>
                    <w:div w:id="1171674895">
                      <w:marLeft w:val="0"/>
                      <w:marRight w:val="0"/>
                      <w:marTop w:val="0"/>
                      <w:marBottom w:val="0"/>
                      <w:divBdr>
                        <w:top w:val="none" w:sz="0" w:space="0" w:color="auto"/>
                        <w:left w:val="none" w:sz="0" w:space="0" w:color="auto"/>
                        <w:bottom w:val="none" w:sz="0" w:space="0" w:color="auto"/>
                        <w:right w:val="none" w:sz="0" w:space="0" w:color="auto"/>
                      </w:divBdr>
                    </w:div>
                  </w:divsChild>
                </w:div>
                <w:div w:id="2057465759">
                  <w:marLeft w:val="0"/>
                  <w:marRight w:val="0"/>
                  <w:marTop w:val="0"/>
                  <w:marBottom w:val="0"/>
                  <w:divBdr>
                    <w:top w:val="none" w:sz="0" w:space="0" w:color="auto"/>
                    <w:left w:val="none" w:sz="0" w:space="0" w:color="auto"/>
                    <w:bottom w:val="none" w:sz="0" w:space="0" w:color="auto"/>
                    <w:right w:val="none" w:sz="0" w:space="0" w:color="auto"/>
                  </w:divBdr>
                  <w:divsChild>
                    <w:div w:id="701593128">
                      <w:marLeft w:val="0"/>
                      <w:marRight w:val="0"/>
                      <w:marTop w:val="0"/>
                      <w:marBottom w:val="0"/>
                      <w:divBdr>
                        <w:top w:val="none" w:sz="0" w:space="0" w:color="auto"/>
                        <w:left w:val="none" w:sz="0" w:space="0" w:color="auto"/>
                        <w:bottom w:val="none" w:sz="0" w:space="0" w:color="auto"/>
                        <w:right w:val="none" w:sz="0" w:space="0" w:color="auto"/>
                      </w:divBdr>
                    </w:div>
                  </w:divsChild>
                </w:div>
                <w:div w:id="2066677940">
                  <w:marLeft w:val="0"/>
                  <w:marRight w:val="0"/>
                  <w:marTop w:val="0"/>
                  <w:marBottom w:val="0"/>
                  <w:divBdr>
                    <w:top w:val="none" w:sz="0" w:space="0" w:color="auto"/>
                    <w:left w:val="none" w:sz="0" w:space="0" w:color="auto"/>
                    <w:bottom w:val="none" w:sz="0" w:space="0" w:color="auto"/>
                    <w:right w:val="none" w:sz="0" w:space="0" w:color="auto"/>
                  </w:divBdr>
                  <w:divsChild>
                    <w:div w:id="1125658427">
                      <w:marLeft w:val="0"/>
                      <w:marRight w:val="0"/>
                      <w:marTop w:val="0"/>
                      <w:marBottom w:val="0"/>
                      <w:divBdr>
                        <w:top w:val="none" w:sz="0" w:space="0" w:color="auto"/>
                        <w:left w:val="none" w:sz="0" w:space="0" w:color="auto"/>
                        <w:bottom w:val="none" w:sz="0" w:space="0" w:color="auto"/>
                        <w:right w:val="none" w:sz="0" w:space="0" w:color="auto"/>
                      </w:divBdr>
                    </w:div>
                  </w:divsChild>
                </w:div>
                <w:div w:id="2079546219">
                  <w:marLeft w:val="0"/>
                  <w:marRight w:val="0"/>
                  <w:marTop w:val="0"/>
                  <w:marBottom w:val="0"/>
                  <w:divBdr>
                    <w:top w:val="none" w:sz="0" w:space="0" w:color="auto"/>
                    <w:left w:val="none" w:sz="0" w:space="0" w:color="auto"/>
                    <w:bottom w:val="none" w:sz="0" w:space="0" w:color="auto"/>
                    <w:right w:val="none" w:sz="0" w:space="0" w:color="auto"/>
                  </w:divBdr>
                  <w:divsChild>
                    <w:div w:id="481579224">
                      <w:marLeft w:val="0"/>
                      <w:marRight w:val="0"/>
                      <w:marTop w:val="0"/>
                      <w:marBottom w:val="0"/>
                      <w:divBdr>
                        <w:top w:val="none" w:sz="0" w:space="0" w:color="auto"/>
                        <w:left w:val="none" w:sz="0" w:space="0" w:color="auto"/>
                        <w:bottom w:val="none" w:sz="0" w:space="0" w:color="auto"/>
                        <w:right w:val="none" w:sz="0" w:space="0" w:color="auto"/>
                      </w:divBdr>
                    </w:div>
                  </w:divsChild>
                </w:div>
                <w:div w:id="2092116992">
                  <w:marLeft w:val="0"/>
                  <w:marRight w:val="0"/>
                  <w:marTop w:val="0"/>
                  <w:marBottom w:val="0"/>
                  <w:divBdr>
                    <w:top w:val="none" w:sz="0" w:space="0" w:color="auto"/>
                    <w:left w:val="none" w:sz="0" w:space="0" w:color="auto"/>
                    <w:bottom w:val="none" w:sz="0" w:space="0" w:color="auto"/>
                    <w:right w:val="none" w:sz="0" w:space="0" w:color="auto"/>
                  </w:divBdr>
                  <w:divsChild>
                    <w:div w:id="488137454">
                      <w:marLeft w:val="0"/>
                      <w:marRight w:val="0"/>
                      <w:marTop w:val="0"/>
                      <w:marBottom w:val="0"/>
                      <w:divBdr>
                        <w:top w:val="none" w:sz="0" w:space="0" w:color="auto"/>
                        <w:left w:val="none" w:sz="0" w:space="0" w:color="auto"/>
                        <w:bottom w:val="none" w:sz="0" w:space="0" w:color="auto"/>
                        <w:right w:val="none" w:sz="0" w:space="0" w:color="auto"/>
                      </w:divBdr>
                    </w:div>
                  </w:divsChild>
                </w:div>
                <w:div w:id="2094164040">
                  <w:marLeft w:val="0"/>
                  <w:marRight w:val="0"/>
                  <w:marTop w:val="0"/>
                  <w:marBottom w:val="0"/>
                  <w:divBdr>
                    <w:top w:val="none" w:sz="0" w:space="0" w:color="auto"/>
                    <w:left w:val="none" w:sz="0" w:space="0" w:color="auto"/>
                    <w:bottom w:val="none" w:sz="0" w:space="0" w:color="auto"/>
                    <w:right w:val="none" w:sz="0" w:space="0" w:color="auto"/>
                  </w:divBdr>
                  <w:divsChild>
                    <w:div w:id="12119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bs.gov.au/industry/listing/elements/pbac-meetings/psd/2020-11/files/durvalumab-psd-nov-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24928-129D-46C0-B209-527A81A4B337}">
  <ds:schemaRefs>
    <ds:schemaRef ds:uri="http://schemas.microsoft.com/sharepoint/v3/contenttype/forms"/>
  </ds:schemaRefs>
</ds:datastoreItem>
</file>

<file path=customXml/itemProps2.xml><?xml version="1.0" encoding="utf-8"?>
<ds:datastoreItem xmlns:ds="http://schemas.openxmlformats.org/officeDocument/2006/customXml" ds:itemID="{560C8BCA-AFEB-47D3-A6F5-5FD821FA6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68D41-5F68-4DCA-B190-318BF6D763E5}">
  <ds:schemaRefs>
    <ds:schemaRef ds:uri="http://purl.org/dc/dcmitype/"/>
    <ds:schemaRef ds:uri="http://schemas.microsoft.com/office/2006/documentManagement/types"/>
    <ds:schemaRef ds:uri="72f95629-adac-4ec1-8738-e1cec852b92b"/>
    <ds:schemaRef ds:uri="http://schemas.microsoft.com/office/2006/metadata/properties"/>
    <ds:schemaRef ds:uri="http://www.w3.org/XML/1998/namespace"/>
    <ds:schemaRef ds:uri="7f856f8d-13b3-495a-9a4b-41f8182eda4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12252</Words>
  <Characters>71432</Characters>
  <Application>Microsoft Office Word</Application>
  <DocSecurity>0</DocSecurity>
  <Lines>1831</Lines>
  <Paragraphs>1101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2026-03-01T23:24:00Z</dcterms:created>
  <dcterms:modified xsi:type="dcterms:W3CDTF">2026-03-03T00:29:00Z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aea1d81,22df5d7,306edb41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16ceab84,38fe4d5,62d24886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2025-12-10T23:56:08Z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58d87e48-815d-43a6-9f44-1317baad1da9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