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71FCC347" w:rsidR="00B60939" w:rsidRPr="00BB49D8" w:rsidRDefault="009A442D" w:rsidP="00370D8E">
      <w:pPr>
        <w:pStyle w:val="COMH1-notnumbered"/>
        <w:rPr>
          <w:sz w:val="32"/>
          <w:szCs w:val="32"/>
        </w:rPr>
      </w:pPr>
      <w:bookmarkStart w:id="0" w:name="_Toc209000647"/>
      <w:r>
        <w:t>6</w:t>
      </w:r>
      <w:r w:rsidR="00433044" w:rsidRPr="0098262F">
        <w:t>.</w:t>
      </w:r>
      <w:r>
        <w:t>04</w:t>
      </w:r>
      <w:r w:rsidR="00163F66" w:rsidRPr="0098262F">
        <w:tab/>
      </w:r>
      <w:r w:rsidR="00D60DC6">
        <w:t>IPTACOPAN</w:t>
      </w:r>
      <w:r w:rsidR="00163F66" w:rsidRPr="0098262F">
        <w:t>,</w:t>
      </w:r>
      <w:r w:rsidR="00163F66" w:rsidRPr="0098262F">
        <w:br/>
      </w:r>
      <w:r w:rsidR="00443C1B">
        <w:t>C</w:t>
      </w:r>
      <w:r w:rsidR="005C781C">
        <w:t>apsule</w:t>
      </w:r>
      <w:r w:rsidR="00443C1B">
        <w:t xml:space="preserve"> </w:t>
      </w:r>
      <w:r w:rsidR="005C781C">
        <w:t>200 mg</w:t>
      </w:r>
      <w:r w:rsidR="00163F66" w:rsidRPr="0098262F">
        <w:t>,</w:t>
      </w:r>
      <w:r w:rsidR="00163F66" w:rsidRPr="0098262F">
        <w:br/>
      </w:r>
      <w:proofErr w:type="spellStart"/>
      <w:r w:rsidR="00443C1B">
        <w:t>Fabhalta</w:t>
      </w:r>
      <w:proofErr w:type="spellEnd"/>
      <w:r w:rsidR="00B60939" w:rsidRPr="0098262F">
        <w:rPr>
          <w:vertAlign w:val="superscript"/>
        </w:rPr>
        <w:t>®</w:t>
      </w:r>
      <w:r w:rsidR="004A6040" w:rsidRPr="0098262F">
        <w:t>,</w:t>
      </w:r>
      <w:r w:rsidR="004A6040" w:rsidRPr="0098262F">
        <w:br/>
      </w:r>
      <w:r w:rsidR="00443C1B" w:rsidRPr="00BB49D8">
        <w:rPr>
          <w:caps/>
          <w:sz w:val="32"/>
          <w:szCs w:val="32"/>
        </w:rPr>
        <w:t>Novartis Pharmaceuticals Australia Pty Limited</w:t>
      </w:r>
      <w:r w:rsidR="00B60939" w:rsidRPr="00BB49D8">
        <w:rPr>
          <w:caps/>
          <w:sz w:val="32"/>
          <w:szCs w:val="32"/>
        </w:rPr>
        <w:t>.</w:t>
      </w:r>
      <w:bookmarkEnd w:id="0"/>
      <w:r w:rsidR="00F73E08" w:rsidRPr="00BB49D8">
        <w:rPr>
          <w:sz w:val="32"/>
          <w:szCs w:val="32"/>
        </w:rPr>
        <w:t xml:space="preserve"> </w:t>
      </w:r>
    </w:p>
    <w:p w14:paraId="11C00795" w14:textId="3DFB6D23" w:rsidR="00B50DB8" w:rsidRPr="007E186A" w:rsidRDefault="00B50DB8" w:rsidP="00370D8E">
      <w:pPr>
        <w:pStyle w:val="COMESH2"/>
      </w:pPr>
      <w:bookmarkStart w:id="1" w:name="_Toc209000649"/>
      <w:r w:rsidRPr="007E186A">
        <w:t xml:space="preserve">Purpose of </w:t>
      </w:r>
      <w:r w:rsidR="00CD7193" w:rsidRPr="007E186A">
        <w:t>s</w:t>
      </w:r>
      <w:r w:rsidR="00BB3A45" w:rsidRPr="007E186A">
        <w:t>ubmission</w:t>
      </w:r>
      <w:bookmarkEnd w:id="1"/>
    </w:p>
    <w:p w14:paraId="19414AA1" w14:textId="7E2FF91F" w:rsidR="002C2775" w:rsidRDefault="007170DA" w:rsidP="00370D8E">
      <w:pPr>
        <w:pStyle w:val="COMESnumberedpara"/>
      </w:pPr>
      <w:r w:rsidRPr="0098262F">
        <w:t xml:space="preserve">The </w:t>
      </w:r>
      <w:r w:rsidR="00F73E08" w:rsidRPr="0098262F">
        <w:t xml:space="preserve">Category </w:t>
      </w:r>
      <w:r w:rsidR="00780CD9">
        <w:t>1</w:t>
      </w:r>
      <w:r w:rsidR="00F73E08" w:rsidRPr="0098262F">
        <w:t xml:space="preserve"> </w:t>
      </w:r>
      <w:r w:rsidRPr="0098262F">
        <w:t xml:space="preserve">submission requested </w:t>
      </w:r>
      <w:r w:rsidR="00D164B7">
        <w:t>a Section 85</w:t>
      </w:r>
      <w:r w:rsidR="008B1757" w:rsidRPr="0098262F">
        <w:t>, Authority Required</w:t>
      </w:r>
      <w:r w:rsidR="00672027">
        <w:t xml:space="preserve"> (Written)</w:t>
      </w:r>
      <w:r w:rsidR="00D164B7">
        <w:t xml:space="preserve"> </w:t>
      </w:r>
      <w:r w:rsidR="008B1757" w:rsidRPr="0098262F">
        <w:t xml:space="preserve">listing for </w:t>
      </w:r>
      <w:r w:rsidR="00672027">
        <w:t>iptacopan</w:t>
      </w:r>
      <w:r w:rsidR="008B1757" w:rsidRPr="0098262F">
        <w:t xml:space="preserve"> for </w:t>
      </w:r>
      <w:r w:rsidR="0050174E" w:rsidRPr="0098262F">
        <w:t xml:space="preserve">the </w:t>
      </w:r>
      <w:r w:rsidR="008B1757" w:rsidRPr="0098262F">
        <w:t>treatment of</w:t>
      </w:r>
      <w:r w:rsidR="00672027">
        <w:t xml:space="preserve"> adults with </w:t>
      </w:r>
      <w:r w:rsidR="00A220C4">
        <w:t xml:space="preserve">complement 3 glomerulopathy (C3G) with either native kidneys or disease recurrence following a kidney transplant. </w:t>
      </w:r>
    </w:p>
    <w:p w14:paraId="4E9FBCB5" w14:textId="2E4481B0" w:rsidR="00C2778B" w:rsidRPr="0098262F" w:rsidRDefault="005750C5" w:rsidP="00370D8E">
      <w:pPr>
        <w:pStyle w:val="COMESnumberedpara"/>
      </w:pPr>
      <w:r w:rsidRPr="0098262F">
        <w:t xml:space="preserve">Listing was requested </w:t>
      </w:r>
      <w:proofErr w:type="gramStart"/>
      <w:r w:rsidRPr="0098262F">
        <w:t>on the basis of</w:t>
      </w:r>
      <w:proofErr w:type="gramEnd"/>
      <w:r w:rsidRPr="0098262F">
        <w:t xml:space="preserve"> a cost-effectiveness analysis versus </w:t>
      </w:r>
      <w:r w:rsidR="00926D40">
        <w:t>standard of care</w:t>
      </w:r>
      <w:r w:rsidRPr="0098262F">
        <w:t>.</w:t>
      </w:r>
      <w:r w:rsidR="006B75F2">
        <w:t xml:space="preserve"> </w:t>
      </w:r>
    </w:p>
    <w:p w14:paraId="3718DE61" w14:textId="26D44837" w:rsidR="008B1757" w:rsidRDefault="00696EF9" w:rsidP="00370D8E">
      <w:pPr>
        <w:pStyle w:val="COMTableFigurecaption"/>
      </w:pPr>
      <w:r w:rsidRPr="0098262F">
        <w:t xml:space="preserve">Table </w:t>
      </w:r>
      <w:r w:rsidR="00DA4682">
        <w:fldChar w:fldCharType="begin"/>
      </w:r>
      <w:r w:rsidR="00DA4682">
        <w:instrText xml:space="preserve"> SEQ Table \* ARABIC </w:instrText>
      </w:r>
      <w:r w:rsidR="00DA4682">
        <w:fldChar w:fldCharType="separate"/>
      </w:r>
      <w:r w:rsidR="00CC1313">
        <w:rPr>
          <w:noProof/>
        </w:rPr>
        <w:t>1</w:t>
      </w:r>
      <w:r w:rsidR="00DA4682">
        <w:rPr>
          <w:noProof/>
        </w:rPr>
        <w:fldChar w:fldCharType="end"/>
      </w:r>
      <w:r w:rsidRPr="0098262F">
        <w:t>:</w:t>
      </w:r>
      <w:r w:rsidR="00BC591F" w:rsidRPr="0098262F">
        <w:t xml:space="preserve"> </w:t>
      </w:r>
      <w:r w:rsidR="008B1757" w:rsidRPr="0098262F">
        <w:t xml:space="preserve">Key components of the clinical issue addressed </w:t>
      </w:r>
      <w:r w:rsidR="00FD7AA2">
        <w:t>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297"/>
        <w:gridCol w:w="7859"/>
      </w:tblGrid>
      <w:tr w:rsidR="00FD7AA2" w:rsidRPr="0098262F" w14:paraId="2ABF9122" w14:textId="77777777">
        <w:tc>
          <w:tcPr>
            <w:tcW w:w="1297" w:type="dxa"/>
            <w:vAlign w:val="center"/>
          </w:tcPr>
          <w:p w14:paraId="7A448C38" w14:textId="77777777" w:rsidR="00FD7AA2" w:rsidRPr="0098262F" w:rsidRDefault="00FD7AA2" w:rsidP="00370D8E">
            <w:pPr>
              <w:pStyle w:val="COMTableheadingrow"/>
            </w:pPr>
            <w:r w:rsidRPr="0098262F">
              <w:t>Component</w:t>
            </w:r>
          </w:p>
        </w:tc>
        <w:tc>
          <w:tcPr>
            <w:tcW w:w="7859" w:type="dxa"/>
            <w:vAlign w:val="center"/>
          </w:tcPr>
          <w:p w14:paraId="32C42B58" w14:textId="77777777" w:rsidR="00FD7AA2" w:rsidRPr="0098262F" w:rsidRDefault="00FD7AA2" w:rsidP="00370D8E">
            <w:pPr>
              <w:pStyle w:val="COMTableheadingrow"/>
            </w:pPr>
            <w:r w:rsidRPr="0098262F">
              <w:t>Description</w:t>
            </w:r>
          </w:p>
        </w:tc>
      </w:tr>
      <w:tr w:rsidR="00FD7AA2" w:rsidRPr="0098262F" w14:paraId="2C373F92" w14:textId="77777777">
        <w:tc>
          <w:tcPr>
            <w:tcW w:w="1297" w:type="dxa"/>
            <w:vAlign w:val="center"/>
          </w:tcPr>
          <w:p w14:paraId="122F87BE" w14:textId="77777777" w:rsidR="00FD7AA2" w:rsidRPr="0098262F" w:rsidRDefault="00FD7AA2" w:rsidP="00370D8E">
            <w:pPr>
              <w:pStyle w:val="COMTabletext"/>
            </w:pPr>
            <w:r w:rsidRPr="0098262F">
              <w:t>Population</w:t>
            </w:r>
          </w:p>
        </w:tc>
        <w:tc>
          <w:tcPr>
            <w:tcW w:w="7859" w:type="dxa"/>
            <w:vAlign w:val="center"/>
          </w:tcPr>
          <w:p w14:paraId="447734F4" w14:textId="77777777" w:rsidR="00FD7AA2" w:rsidRPr="0098262F" w:rsidRDefault="00FD7AA2" w:rsidP="00370D8E">
            <w:pPr>
              <w:pStyle w:val="COMTabletext"/>
            </w:pPr>
            <w:r>
              <w:t>Adults aged ≥18 years with C3G with native kidneys or disease recurrence following a kidney transplant</w:t>
            </w:r>
          </w:p>
        </w:tc>
      </w:tr>
      <w:tr w:rsidR="00FD7AA2" w:rsidRPr="0098262F" w14:paraId="4BA083A7" w14:textId="77777777">
        <w:tc>
          <w:tcPr>
            <w:tcW w:w="1297" w:type="dxa"/>
            <w:vAlign w:val="center"/>
          </w:tcPr>
          <w:p w14:paraId="5E8E9017" w14:textId="77777777" w:rsidR="00FD7AA2" w:rsidRPr="0098262F" w:rsidRDefault="00FD7AA2" w:rsidP="00370D8E">
            <w:pPr>
              <w:pStyle w:val="COMTabletext"/>
            </w:pPr>
            <w:r w:rsidRPr="0098262F">
              <w:t>Intervention</w:t>
            </w:r>
          </w:p>
        </w:tc>
        <w:tc>
          <w:tcPr>
            <w:tcW w:w="7859" w:type="dxa"/>
            <w:vAlign w:val="center"/>
          </w:tcPr>
          <w:p w14:paraId="1E3AAA35" w14:textId="77777777" w:rsidR="00FD7AA2" w:rsidRPr="0098262F" w:rsidRDefault="00FD7AA2" w:rsidP="00370D8E">
            <w:pPr>
              <w:pStyle w:val="COMTabletext"/>
            </w:pPr>
            <w:r>
              <w:t>Iptacopan 200 mg orally twice a day</w:t>
            </w:r>
          </w:p>
        </w:tc>
      </w:tr>
      <w:tr w:rsidR="00FD7AA2" w:rsidRPr="0098262F" w14:paraId="09C34386" w14:textId="77777777" w:rsidTr="006E78EB">
        <w:trPr>
          <w:trHeight w:val="60"/>
        </w:trPr>
        <w:tc>
          <w:tcPr>
            <w:tcW w:w="1297" w:type="dxa"/>
            <w:vAlign w:val="center"/>
          </w:tcPr>
          <w:p w14:paraId="67E773AF" w14:textId="77777777" w:rsidR="00FD7AA2" w:rsidRPr="0098262F" w:rsidRDefault="00FD7AA2" w:rsidP="00370D8E">
            <w:pPr>
              <w:pStyle w:val="COMTabletext"/>
            </w:pPr>
            <w:r w:rsidRPr="0098262F">
              <w:t>Comparator</w:t>
            </w:r>
          </w:p>
        </w:tc>
        <w:tc>
          <w:tcPr>
            <w:tcW w:w="7859" w:type="dxa"/>
            <w:vAlign w:val="center"/>
          </w:tcPr>
          <w:p w14:paraId="354DEE7F" w14:textId="77777777" w:rsidR="00FD7AA2" w:rsidRPr="0098262F" w:rsidRDefault="00FD7AA2" w:rsidP="00370D8E">
            <w:pPr>
              <w:pStyle w:val="COMTabletext"/>
            </w:pPr>
            <w:r>
              <w:t>Standard of care</w:t>
            </w:r>
          </w:p>
        </w:tc>
      </w:tr>
      <w:tr w:rsidR="00FD7AA2" w:rsidRPr="0098262F" w14:paraId="5A65BC20" w14:textId="77777777">
        <w:tc>
          <w:tcPr>
            <w:tcW w:w="1297" w:type="dxa"/>
            <w:vAlign w:val="center"/>
          </w:tcPr>
          <w:p w14:paraId="230226CD" w14:textId="77777777" w:rsidR="00FD7AA2" w:rsidRPr="0098262F" w:rsidRDefault="00FD7AA2" w:rsidP="00370D8E">
            <w:pPr>
              <w:pStyle w:val="COMTabletext"/>
            </w:pPr>
            <w:r w:rsidRPr="0098262F">
              <w:t>Outcomes</w:t>
            </w:r>
          </w:p>
        </w:tc>
        <w:tc>
          <w:tcPr>
            <w:tcW w:w="7859" w:type="dxa"/>
            <w:vAlign w:val="center"/>
          </w:tcPr>
          <w:p w14:paraId="24974604" w14:textId="77777777" w:rsidR="00FD7AA2" w:rsidRPr="0098262F" w:rsidRDefault="00FD7AA2" w:rsidP="00370D8E">
            <w:pPr>
              <w:pStyle w:val="COMTabletext"/>
            </w:pPr>
            <w:r>
              <w:t>Reduction in proteinuria and improvements in eGFR leading to delay/avoidance of end stage kidney disease, and related improvements in survival and quality of life. Increase in treatment-related adverse events.</w:t>
            </w:r>
          </w:p>
        </w:tc>
      </w:tr>
      <w:tr w:rsidR="00FD7AA2" w:rsidRPr="0098262F" w14:paraId="0322D57F" w14:textId="77777777">
        <w:tc>
          <w:tcPr>
            <w:tcW w:w="1297" w:type="dxa"/>
            <w:vAlign w:val="center"/>
          </w:tcPr>
          <w:p w14:paraId="0BEF0C11" w14:textId="77777777" w:rsidR="00FD7AA2" w:rsidRPr="0098262F" w:rsidRDefault="00FD7AA2" w:rsidP="00370D8E">
            <w:pPr>
              <w:pStyle w:val="COMTabletext"/>
            </w:pPr>
            <w:r w:rsidRPr="0098262F">
              <w:t>Clinical claim</w:t>
            </w:r>
          </w:p>
        </w:tc>
        <w:tc>
          <w:tcPr>
            <w:tcW w:w="7859" w:type="dxa"/>
            <w:vAlign w:val="center"/>
          </w:tcPr>
          <w:p w14:paraId="6CAEA5FD" w14:textId="77777777" w:rsidR="00FD7AA2" w:rsidRPr="0098262F" w:rsidRDefault="00FD7AA2" w:rsidP="00370D8E">
            <w:pPr>
              <w:pStyle w:val="COMTabletext"/>
            </w:pPr>
            <w:r>
              <w:t>Iptacopan is superior in terms of efficacy and inferior in terms of safety compared to standard of care</w:t>
            </w:r>
          </w:p>
        </w:tc>
      </w:tr>
    </w:tbl>
    <w:p w14:paraId="527CA7F0" w14:textId="6653D411" w:rsidR="004E43B2" w:rsidRDefault="008B1757" w:rsidP="00370D8E">
      <w:pPr>
        <w:pStyle w:val="COMTablefooter"/>
      </w:pPr>
      <w:r w:rsidRPr="0098262F">
        <w:t xml:space="preserve">Source: </w:t>
      </w:r>
      <w:r w:rsidR="00FD7AA2" w:rsidRPr="00FD7AA2">
        <w:t>Table 1.1, p4 of the submission</w:t>
      </w:r>
    </w:p>
    <w:p w14:paraId="0CC78802" w14:textId="2AC01343" w:rsidR="00FD7AA2" w:rsidRPr="00FD7AA2" w:rsidRDefault="00FD7AA2" w:rsidP="00370D8E">
      <w:pPr>
        <w:pStyle w:val="COMTablefooter"/>
      </w:pPr>
      <w:r w:rsidRPr="00FD7AA2">
        <w:t>Abbreviations: C3G, complement 3 glomerulopathy; eGFR, estimated glomerular filtration rate</w:t>
      </w:r>
    </w:p>
    <w:p w14:paraId="6B4AB6C2" w14:textId="35B0F758" w:rsidR="005C25FF" w:rsidRPr="0098262F" w:rsidRDefault="005C25FF" w:rsidP="00370D8E">
      <w:pPr>
        <w:pStyle w:val="COMESH2"/>
      </w:pPr>
      <w:bookmarkStart w:id="2" w:name="_Toc209000650"/>
      <w:r w:rsidRPr="0098262F">
        <w:t>Background</w:t>
      </w:r>
      <w:bookmarkEnd w:id="2"/>
    </w:p>
    <w:p w14:paraId="2C521D6D" w14:textId="78CF03EE" w:rsidR="005C25FF" w:rsidRPr="0098262F" w:rsidRDefault="005C25FF" w:rsidP="00370D8E">
      <w:pPr>
        <w:pStyle w:val="COMESSubsectionheading"/>
      </w:pPr>
      <w:bookmarkStart w:id="3" w:name="_Toc22897638"/>
      <w:bookmarkStart w:id="4" w:name="_Toc209000651"/>
      <w:r w:rsidRPr="0098262F">
        <w:t>Registration status</w:t>
      </w:r>
      <w:bookmarkEnd w:id="3"/>
      <w:bookmarkEnd w:id="4"/>
    </w:p>
    <w:p w14:paraId="5374AD55" w14:textId="3AD7AB84" w:rsidR="005C25FF" w:rsidRDefault="00DC6170" w:rsidP="00370D8E">
      <w:pPr>
        <w:pStyle w:val="COMESnumberedpara"/>
      </w:pPr>
      <w:r w:rsidRPr="00DC6170">
        <w:t xml:space="preserve">The submission was made under the TGA/PBAC parallel process. </w:t>
      </w:r>
      <w:r w:rsidR="003F7831" w:rsidRPr="00DC6170">
        <w:t xml:space="preserve">The TGA </w:t>
      </w:r>
      <w:r w:rsidR="003F7831">
        <w:t>D</w:t>
      </w:r>
      <w:r w:rsidR="003F7831" w:rsidRPr="00DC6170">
        <w:t xml:space="preserve">elegate’s </w:t>
      </w:r>
      <w:r w:rsidR="003F7831">
        <w:t>O</w:t>
      </w:r>
      <w:r w:rsidR="003F7831" w:rsidRPr="00DC6170">
        <w:t xml:space="preserve">verview </w:t>
      </w:r>
      <w:r w:rsidR="003F7831">
        <w:t>was</w:t>
      </w:r>
      <w:r w:rsidR="003F7831" w:rsidRPr="00DC6170">
        <w:t xml:space="preserve"> available </w:t>
      </w:r>
      <w:r w:rsidR="003F7831">
        <w:t>for</w:t>
      </w:r>
      <w:r w:rsidR="003F7831" w:rsidRPr="00DC6170">
        <w:t xml:space="preserve"> the November 2025 PBAC meeting</w:t>
      </w:r>
      <w:r w:rsidR="003F7831">
        <w:t>.</w:t>
      </w:r>
    </w:p>
    <w:p w14:paraId="61BC5CDD" w14:textId="04115C01" w:rsidR="00DC6170" w:rsidRDefault="00017912" w:rsidP="00370D8E">
      <w:pPr>
        <w:pStyle w:val="COMESnumberedpara"/>
      </w:pPr>
      <w:r w:rsidRPr="00017912">
        <w:t xml:space="preserve">The proposed indication for iptacopan </w:t>
      </w:r>
      <w:r w:rsidR="00144CEC">
        <w:t>wa</w:t>
      </w:r>
      <w:r w:rsidRPr="00017912">
        <w:t xml:space="preserve">s for the treatment of adult patients with </w:t>
      </w:r>
      <w:r w:rsidR="009E206F">
        <w:t>C3G.</w:t>
      </w:r>
      <w:r>
        <w:t xml:space="preserve"> </w:t>
      </w:r>
      <w:r w:rsidR="003F7831" w:rsidRPr="003F7831">
        <w:t>The TGA Delegate’s Overview stated that the indication wording may require further restrictions or conditions</w:t>
      </w:r>
      <w:r w:rsidR="00427160">
        <w:t xml:space="preserve"> and requested ACM advice re</w:t>
      </w:r>
      <w:r w:rsidR="00677913">
        <w:t>garding whether the indication should include all sub</w:t>
      </w:r>
      <w:r w:rsidR="00E72803">
        <w:t>types or be more restric</w:t>
      </w:r>
      <w:r w:rsidR="00E6582D">
        <w:t xml:space="preserve">tive or </w:t>
      </w:r>
      <w:r w:rsidR="00E72803">
        <w:t>targeted to specific conditions</w:t>
      </w:r>
      <w:r w:rsidR="004D0072">
        <w:t>.</w:t>
      </w:r>
    </w:p>
    <w:p w14:paraId="306A5F6B" w14:textId="509EB2DF" w:rsidR="00017912" w:rsidRDefault="001C7351" w:rsidP="00370D8E">
      <w:pPr>
        <w:pStyle w:val="COMESnumberedpara"/>
      </w:pPr>
      <w:r>
        <w:t xml:space="preserve">Iptacopan </w:t>
      </w:r>
      <w:r w:rsidR="00A66834">
        <w:t xml:space="preserve">is FDA-approved for the treatment of adults with C3G to reduce proteinuria and it is EMA-approved for the treatment of </w:t>
      </w:r>
      <w:r w:rsidR="00A66834" w:rsidRPr="00A66834">
        <w:t>adult patients with C3G in combination with a renin-angiotensin system (RAS) inhibitor, or in patients who are RAS-inhibitor intolerant, or for whom a RAS inhibitor is contraindicated</w:t>
      </w:r>
      <w:r w:rsidR="00A66834">
        <w:t>.</w:t>
      </w:r>
    </w:p>
    <w:p w14:paraId="668EAFE5" w14:textId="43F2076D" w:rsidR="00994C8B" w:rsidRDefault="00A66834" w:rsidP="00370D8E">
      <w:pPr>
        <w:pStyle w:val="COMESnumberedpara"/>
      </w:pPr>
      <w:r w:rsidRPr="00017912">
        <w:t>Iptacopan is currently approved by the TGA for the treatment of adult patients with paroxysmal nocturnal haemoglobinuria (PNH).</w:t>
      </w:r>
      <w:r w:rsidR="00CE496A">
        <w:t xml:space="preserve"> </w:t>
      </w:r>
      <w:r w:rsidR="002B2BBA">
        <w:t xml:space="preserve">Iptacopan was </w:t>
      </w:r>
      <w:r w:rsidR="001711FD">
        <w:t>recommended by PBAC for PNH in July 2024 and listed in the PBS on 1 November 2025.</w:t>
      </w:r>
    </w:p>
    <w:p w14:paraId="23A41FA6" w14:textId="37E9F4A5" w:rsidR="009A4A51" w:rsidRPr="0098262F" w:rsidRDefault="009A4A51" w:rsidP="00370D8E">
      <w:bookmarkStart w:id="5" w:name="_Hlk76375324"/>
      <w:r w:rsidRPr="00C33D30">
        <w:rPr>
          <w:rFonts w:asciiTheme="minorHAnsi" w:hAnsiTheme="minorHAnsi"/>
          <w:i/>
        </w:rPr>
        <w:t>For more detail on PBAC’s view, see section 7 PBAC outcome</w:t>
      </w:r>
      <w:bookmarkEnd w:id="5"/>
      <w:r w:rsidR="003E6B6A">
        <w:rPr>
          <w:rFonts w:asciiTheme="minorHAnsi" w:hAnsiTheme="minorHAnsi"/>
          <w:i/>
        </w:rPr>
        <w:t>.</w:t>
      </w:r>
    </w:p>
    <w:p w14:paraId="1B423B86" w14:textId="2BF693D4" w:rsidR="003A4C14" w:rsidRDefault="00B50DB8" w:rsidP="00370D8E">
      <w:pPr>
        <w:pStyle w:val="COMESH2"/>
      </w:pPr>
      <w:bookmarkStart w:id="6" w:name="_Toc107902078"/>
      <w:bookmarkStart w:id="7" w:name="_Toc209000652"/>
      <w:bookmarkEnd w:id="6"/>
      <w:r w:rsidRPr="0098262F">
        <w:lastRenderedPageBreak/>
        <w:t>Requested listing</w:t>
      </w:r>
      <w:bookmarkEnd w:id="7"/>
    </w:p>
    <w:p w14:paraId="6B3EA87E" w14:textId="3EE223CD" w:rsidR="00705917" w:rsidRDefault="00705917" w:rsidP="00370D8E">
      <w:pPr>
        <w:pStyle w:val="COMESnumberedpara"/>
      </w:pPr>
      <w:r>
        <w:t>The proposed listing with changes suggested by the Secretariat is shown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1222"/>
        <w:gridCol w:w="44"/>
        <w:gridCol w:w="1436"/>
        <w:gridCol w:w="1202"/>
        <w:gridCol w:w="641"/>
        <w:gridCol w:w="170"/>
        <w:gridCol w:w="614"/>
        <w:gridCol w:w="199"/>
        <w:gridCol w:w="583"/>
        <w:gridCol w:w="228"/>
        <w:gridCol w:w="558"/>
        <w:gridCol w:w="254"/>
        <w:gridCol w:w="1866"/>
      </w:tblGrid>
      <w:tr w:rsidR="000A5C9B" w:rsidRPr="00446E53" w14:paraId="343CEF7E" w14:textId="77777777" w:rsidTr="00F92F4D">
        <w:trPr>
          <w:trHeight w:val="20"/>
        </w:trPr>
        <w:tc>
          <w:tcPr>
            <w:tcW w:w="2702" w:type="dxa"/>
            <w:gridSpan w:val="3"/>
            <w:vAlign w:val="center"/>
          </w:tcPr>
          <w:p w14:paraId="20FF27BB" w14:textId="77777777" w:rsidR="000A5C9B" w:rsidRPr="00446E53" w:rsidRDefault="000A5C9B" w:rsidP="00370D8E">
            <w:pPr>
              <w:keepLines/>
              <w:rPr>
                <w:rFonts w:ascii="Arial Narrow" w:hAnsi="Arial Narrow"/>
                <w:b/>
                <w:bCs/>
                <w:sz w:val="20"/>
                <w:szCs w:val="20"/>
              </w:rPr>
            </w:pPr>
            <w:r w:rsidRPr="00446E53">
              <w:rPr>
                <w:rFonts w:ascii="Arial Narrow" w:hAnsi="Arial Narrow"/>
                <w:b/>
                <w:bCs/>
                <w:sz w:val="20"/>
                <w:szCs w:val="20"/>
              </w:rPr>
              <w:t>MEDICINAL PRODUCT</w:t>
            </w:r>
          </w:p>
          <w:p w14:paraId="77A3E1B5" w14:textId="77777777" w:rsidR="000A5C9B" w:rsidRPr="00405780" w:rsidRDefault="000A5C9B" w:rsidP="00370D8E">
            <w:pPr>
              <w:keepLines/>
              <w:rPr>
                <w:rFonts w:ascii="Arial Narrow" w:hAnsi="Arial Narrow"/>
                <w:b/>
                <w:bCs/>
                <w:sz w:val="20"/>
                <w:szCs w:val="20"/>
              </w:rPr>
            </w:pPr>
            <w:r w:rsidRPr="00446E53">
              <w:rPr>
                <w:rFonts w:ascii="Arial Narrow" w:hAnsi="Arial Narrow"/>
                <w:b/>
                <w:bCs/>
                <w:sz w:val="20"/>
                <w:szCs w:val="20"/>
              </w:rPr>
              <w:t>medicinal product pack</w:t>
            </w:r>
          </w:p>
        </w:tc>
        <w:tc>
          <w:tcPr>
            <w:tcW w:w="1843" w:type="dxa"/>
            <w:gridSpan w:val="2"/>
            <w:vAlign w:val="center"/>
          </w:tcPr>
          <w:p w14:paraId="6516E678" w14:textId="5A71D820" w:rsidR="000A5C9B" w:rsidRPr="00405780" w:rsidRDefault="00140769" w:rsidP="00370D8E">
            <w:pPr>
              <w:keepLines/>
              <w:jc w:val="center"/>
              <w:rPr>
                <w:rFonts w:ascii="Arial Narrow" w:hAnsi="Arial Narrow"/>
                <w:b/>
                <w:bCs/>
                <w:sz w:val="20"/>
                <w:szCs w:val="20"/>
              </w:rPr>
            </w:pPr>
            <w:r w:rsidRPr="00405780">
              <w:rPr>
                <w:rFonts w:ascii="Arial Narrow" w:hAnsi="Arial Narrow"/>
                <w:b/>
                <w:bCs/>
                <w:sz w:val="20"/>
                <w:szCs w:val="20"/>
              </w:rPr>
              <w:t>Dispensed Price for Max. Qty</w:t>
            </w:r>
          </w:p>
        </w:tc>
        <w:tc>
          <w:tcPr>
            <w:tcW w:w="784" w:type="dxa"/>
            <w:gridSpan w:val="2"/>
            <w:vAlign w:val="center"/>
          </w:tcPr>
          <w:p w14:paraId="3A948467" w14:textId="77777777" w:rsidR="000A5C9B" w:rsidRPr="00446E53" w:rsidRDefault="000A5C9B" w:rsidP="00370D8E">
            <w:pPr>
              <w:keepLines/>
              <w:jc w:val="center"/>
              <w:rPr>
                <w:rFonts w:ascii="Arial Narrow" w:hAnsi="Arial Narrow"/>
                <w:b/>
                <w:sz w:val="20"/>
                <w:szCs w:val="20"/>
              </w:rPr>
            </w:pPr>
            <w:r w:rsidRPr="00446E53">
              <w:rPr>
                <w:rFonts w:ascii="Arial Narrow" w:hAnsi="Arial Narrow"/>
                <w:b/>
                <w:sz w:val="20"/>
                <w:szCs w:val="20"/>
              </w:rPr>
              <w:t>Max. qty packs</w:t>
            </w:r>
          </w:p>
        </w:tc>
        <w:tc>
          <w:tcPr>
            <w:tcW w:w="782" w:type="dxa"/>
            <w:gridSpan w:val="2"/>
            <w:vAlign w:val="center"/>
          </w:tcPr>
          <w:p w14:paraId="6EA83217" w14:textId="77777777" w:rsidR="000A5C9B" w:rsidRPr="00446E53" w:rsidRDefault="000A5C9B" w:rsidP="00370D8E">
            <w:pPr>
              <w:keepLines/>
              <w:jc w:val="center"/>
              <w:rPr>
                <w:rFonts w:ascii="Arial Narrow" w:hAnsi="Arial Narrow"/>
                <w:b/>
                <w:sz w:val="20"/>
                <w:szCs w:val="20"/>
              </w:rPr>
            </w:pPr>
            <w:r w:rsidRPr="00446E53">
              <w:rPr>
                <w:rFonts w:ascii="Arial Narrow" w:hAnsi="Arial Narrow"/>
                <w:b/>
                <w:sz w:val="20"/>
                <w:szCs w:val="20"/>
              </w:rPr>
              <w:t>Max. qty units</w:t>
            </w:r>
          </w:p>
        </w:tc>
        <w:tc>
          <w:tcPr>
            <w:tcW w:w="786" w:type="dxa"/>
            <w:gridSpan w:val="2"/>
            <w:vAlign w:val="center"/>
          </w:tcPr>
          <w:p w14:paraId="459691EB" w14:textId="77777777" w:rsidR="000A5C9B" w:rsidRPr="00446E53" w:rsidRDefault="000A5C9B" w:rsidP="00370D8E">
            <w:pPr>
              <w:keepLines/>
              <w:jc w:val="center"/>
              <w:rPr>
                <w:rFonts w:ascii="Arial Narrow" w:hAnsi="Arial Narrow"/>
                <w:b/>
                <w:sz w:val="20"/>
                <w:szCs w:val="20"/>
              </w:rPr>
            </w:pPr>
            <w:r w:rsidRPr="00446E53">
              <w:rPr>
                <w:rFonts w:ascii="Arial Narrow" w:hAnsi="Arial Narrow"/>
                <w:b/>
                <w:sz w:val="20"/>
                <w:szCs w:val="20"/>
              </w:rPr>
              <w:t>№.of</w:t>
            </w:r>
          </w:p>
          <w:p w14:paraId="3C68BE10" w14:textId="77777777" w:rsidR="000A5C9B" w:rsidRPr="00446E53" w:rsidRDefault="000A5C9B" w:rsidP="00370D8E">
            <w:pPr>
              <w:keepLines/>
              <w:jc w:val="center"/>
              <w:rPr>
                <w:rFonts w:ascii="Arial Narrow" w:hAnsi="Arial Narrow"/>
                <w:b/>
                <w:sz w:val="20"/>
                <w:szCs w:val="20"/>
              </w:rPr>
            </w:pPr>
            <w:r w:rsidRPr="00446E53">
              <w:rPr>
                <w:rFonts w:ascii="Arial Narrow" w:hAnsi="Arial Narrow"/>
                <w:b/>
                <w:sz w:val="20"/>
                <w:szCs w:val="20"/>
              </w:rPr>
              <w:t>Rpts</w:t>
            </w:r>
          </w:p>
        </w:tc>
        <w:tc>
          <w:tcPr>
            <w:tcW w:w="2120" w:type="dxa"/>
            <w:gridSpan w:val="2"/>
            <w:vAlign w:val="center"/>
          </w:tcPr>
          <w:p w14:paraId="19502F8D" w14:textId="77777777" w:rsidR="000A5C9B" w:rsidRPr="00446E53" w:rsidRDefault="000A5C9B" w:rsidP="00370D8E">
            <w:pPr>
              <w:keepLines/>
              <w:rPr>
                <w:rFonts w:ascii="Arial Narrow" w:hAnsi="Arial Narrow"/>
                <w:b/>
                <w:sz w:val="20"/>
                <w:szCs w:val="20"/>
                <w:lang w:val="fr-FR"/>
              </w:rPr>
            </w:pPr>
            <w:r w:rsidRPr="00446E53">
              <w:rPr>
                <w:rFonts w:ascii="Arial Narrow" w:hAnsi="Arial Narrow"/>
                <w:b/>
                <w:sz w:val="20"/>
                <w:szCs w:val="20"/>
              </w:rPr>
              <w:t>Available brands</w:t>
            </w:r>
          </w:p>
        </w:tc>
      </w:tr>
      <w:tr w:rsidR="000A5C9B" w:rsidRPr="00446E53" w14:paraId="7ADDA40B" w14:textId="77777777" w:rsidTr="00F92F4D">
        <w:trPr>
          <w:trHeight w:val="20"/>
        </w:trPr>
        <w:tc>
          <w:tcPr>
            <w:tcW w:w="9017" w:type="dxa"/>
            <w:gridSpan w:val="13"/>
            <w:vAlign w:val="center"/>
          </w:tcPr>
          <w:p w14:paraId="20BC8240" w14:textId="77777777" w:rsidR="000A5C9B" w:rsidRPr="00446E53" w:rsidRDefault="000A5C9B" w:rsidP="00370D8E">
            <w:pPr>
              <w:keepLines/>
              <w:rPr>
                <w:rFonts w:ascii="Arial Narrow" w:hAnsi="Arial Narrow"/>
                <w:sz w:val="20"/>
                <w:szCs w:val="20"/>
              </w:rPr>
            </w:pPr>
            <w:r>
              <w:rPr>
                <w:rFonts w:ascii="Arial Narrow" w:hAnsi="Arial Narrow"/>
                <w:sz w:val="20"/>
                <w:szCs w:val="20"/>
              </w:rPr>
              <w:t>IPTACOPAN</w:t>
            </w:r>
          </w:p>
        </w:tc>
      </w:tr>
      <w:tr w:rsidR="000A5C9B" w:rsidRPr="00FD1C47" w14:paraId="00A9D09A" w14:textId="77777777" w:rsidTr="00F92F4D">
        <w:trPr>
          <w:trHeight w:val="20"/>
        </w:trPr>
        <w:tc>
          <w:tcPr>
            <w:tcW w:w="2702" w:type="dxa"/>
            <w:gridSpan w:val="3"/>
            <w:vAlign w:val="center"/>
          </w:tcPr>
          <w:p w14:paraId="23EB2F30" w14:textId="46B01F92" w:rsidR="000A5C9B" w:rsidRPr="00446E53" w:rsidRDefault="00D84038" w:rsidP="00370D8E">
            <w:pPr>
              <w:keepLines/>
              <w:rPr>
                <w:rFonts w:ascii="Arial Narrow" w:hAnsi="Arial Narrow"/>
                <w:sz w:val="20"/>
                <w:szCs w:val="20"/>
              </w:rPr>
            </w:pPr>
            <w:r w:rsidRPr="00A569F9">
              <w:rPr>
                <w:rFonts w:ascii="Arial Narrow" w:hAnsi="Arial Narrow"/>
                <w:strike/>
                <w:sz w:val="20"/>
                <w:szCs w:val="20"/>
              </w:rPr>
              <w:t>I</w:t>
            </w:r>
            <w:r>
              <w:rPr>
                <w:rFonts w:ascii="Arial Narrow" w:hAnsi="Arial Narrow"/>
                <w:sz w:val="20"/>
                <w:szCs w:val="20"/>
              </w:rPr>
              <w:t xml:space="preserve"> </w:t>
            </w:r>
            <w:r>
              <w:rPr>
                <w:rFonts w:ascii="Arial Narrow" w:hAnsi="Arial Narrow"/>
                <w:i/>
                <w:iCs/>
                <w:sz w:val="20"/>
                <w:szCs w:val="20"/>
              </w:rPr>
              <w:t>i</w:t>
            </w:r>
            <w:r w:rsidR="000A5C9B" w:rsidRPr="00405780">
              <w:rPr>
                <w:rFonts w:ascii="Arial Narrow" w:hAnsi="Arial Narrow"/>
                <w:sz w:val="20"/>
                <w:szCs w:val="20"/>
              </w:rPr>
              <w:t>p</w:t>
            </w:r>
            <w:r w:rsidR="000A5C9B">
              <w:rPr>
                <w:rFonts w:ascii="Arial Narrow" w:hAnsi="Arial Narrow"/>
                <w:sz w:val="20"/>
                <w:szCs w:val="20"/>
              </w:rPr>
              <w:t>tacopan 200 mg capsule, 56</w:t>
            </w:r>
          </w:p>
        </w:tc>
        <w:tc>
          <w:tcPr>
            <w:tcW w:w="1843" w:type="dxa"/>
            <w:gridSpan w:val="2"/>
            <w:vAlign w:val="center"/>
          </w:tcPr>
          <w:p w14:paraId="1E93BC8C" w14:textId="49573DFF" w:rsidR="00405780" w:rsidRPr="005C0A8E" w:rsidRDefault="00405780" w:rsidP="00370D8E">
            <w:pPr>
              <w:pStyle w:val="COMTabletext"/>
              <w:keepNext w:val="0"/>
              <w:keepLines w:val="0"/>
              <w:jc w:val="center"/>
            </w:pPr>
            <w:r>
              <w:t>Published</w:t>
            </w:r>
            <w:r w:rsidRPr="005C0A8E">
              <w:t>: $</w:t>
            </w:r>
            <w:r w:rsidR="00994C8B" w:rsidRPr="00994C8B">
              <w:rPr>
                <w:highlight w:val="black"/>
              </w:rPr>
              <w:t>&amp;&amp;&amp;&amp;</w:t>
            </w:r>
          </w:p>
          <w:p w14:paraId="107DFB37" w14:textId="0F5AA89A" w:rsidR="000A5C9B" w:rsidRPr="00FD1C47" w:rsidRDefault="00405780" w:rsidP="00370D8E">
            <w:pPr>
              <w:pStyle w:val="COMTabletext"/>
              <w:keepNext w:val="0"/>
              <w:keepLines w:val="0"/>
              <w:jc w:val="center"/>
              <w:rPr>
                <w:szCs w:val="20"/>
              </w:rPr>
            </w:pPr>
            <w:r>
              <w:t>Effective: $</w:t>
            </w:r>
            <w:r w:rsidR="00994C8B" w:rsidRPr="00994C8B">
              <w:rPr>
                <w:highlight w:val="black"/>
              </w:rPr>
              <w:t>&amp;&amp;&amp;&amp;</w:t>
            </w:r>
          </w:p>
        </w:tc>
        <w:tc>
          <w:tcPr>
            <w:tcW w:w="784" w:type="dxa"/>
            <w:gridSpan w:val="2"/>
            <w:vAlign w:val="center"/>
          </w:tcPr>
          <w:p w14:paraId="4C1B17FD" w14:textId="77777777" w:rsidR="000A5C9B" w:rsidRPr="00FD1C47" w:rsidRDefault="000A5C9B" w:rsidP="00370D8E">
            <w:pPr>
              <w:keepLines/>
              <w:jc w:val="center"/>
              <w:rPr>
                <w:rFonts w:ascii="Arial Narrow" w:hAnsi="Arial Narrow"/>
                <w:sz w:val="20"/>
                <w:szCs w:val="20"/>
              </w:rPr>
            </w:pPr>
            <w:r w:rsidRPr="00FD1C47">
              <w:rPr>
                <w:rFonts w:ascii="Arial Narrow" w:hAnsi="Arial Narrow"/>
                <w:sz w:val="20"/>
                <w:szCs w:val="20"/>
              </w:rPr>
              <w:t>1</w:t>
            </w:r>
          </w:p>
        </w:tc>
        <w:tc>
          <w:tcPr>
            <w:tcW w:w="782" w:type="dxa"/>
            <w:gridSpan w:val="2"/>
            <w:vAlign w:val="center"/>
          </w:tcPr>
          <w:p w14:paraId="467428CA" w14:textId="77777777" w:rsidR="000A5C9B" w:rsidRPr="00FD1C47" w:rsidRDefault="000A5C9B" w:rsidP="00370D8E">
            <w:pPr>
              <w:keepLines/>
              <w:jc w:val="center"/>
              <w:rPr>
                <w:rFonts w:ascii="Arial Narrow" w:hAnsi="Arial Narrow"/>
                <w:sz w:val="20"/>
                <w:szCs w:val="20"/>
              </w:rPr>
            </w:pPr>
            <w:r w:rsidRPr="00FD1C47">
              <w:rPr>
                <w:rFonts w:ascii="Arial Narrow" w:hAnsi="Arial Narrow"/>
                <w:sz w:val="20"/>
                <w:szCs w:val="20"/>
              </w:rPr>
              <w:t>56</w:t>
            </w:r>
          </w:p>
        </w:tc>
        <w:tc>
          <w:tcPr>
            <w:tcW w:w="786" w:type="dxa"/>
            <w:gridSpan w:val="2"/>
            <w:vAlign w:val="center"/>
          </w:tcPr>
          <w:p w14:paraId="714DAC17" w14:textId="77777777" w:rsidR="000A5C9B" w:rsidRPr="00FD1C47" w:rsidRDefault="000A5C9B" w:rsidP="00370D8E">
            <w:pPr>
              <w:keepLines/>
              <w:jc w:val="center"/>
              <w:rPr>
                <w:rFonts w:ascii="Arial Narrow" w:hAnsi="Arial Narrow"/>
                <w:sz w:val="20"/>
                <w:szCs w:val="20"/>
              </w:rPr>
            </w:pPr>
            <w:r w:rsidRPr="00FD1C47">
              <w:rPr>
                <w:rFonts w:ascii="Arial Narrow" w:hAnsi="Arial Narrow"/>
                <w:sz w:val="20"/>
                <w:szCs w:val="20"/>
              </w:rPr>
              <w:t>5</w:t>
            </w:r>
          </w:p>
        </w:tc>
        <w:tc>
          <w:tcPr>
            <w:tcW w:w="2120" w:type="dxa"/>
            <w:gridSpan w:val="2"/>
            <w:vAlign w:val="center"/>
          </w:tcPr>
          <w:p w14:paraId="4BCFDEF9" w14:textId="77777777" w:rsidR="000A5C9B" w:rsidRPr="00FD1C47" w:rsidRDefault="000A5C9B" w:rsidP="00370D8E">
            <w:pPr>
              <w:keepLines/>
              <w:jc w:val="center"/>
              <w:rPr>
                <w:rFonts w:ascii="Arial Narrow" w:hAnsi="Arial Narrow"/>
                <w:sz w:val="20"/>
                <w:szCs w:val="20"/>
              </w:rPr>
            </w:pPr>
            <w:proofErr w:type="spellStart"/>
            <w:r w:rsidRPr="00FD1C47">
              <w:rPr>
                <w:rFonts w:ascii="Arial Narrow" w:hAnsi="Arial Narrow"/>
                <w:sz w:val="20"/>
                <w:szCs w:val="20"/>
              </w:rPr>
              <w:t>Fabhalta</w:t>
            </w:r>
            <w:proofErr w:type="spellEnd"/>
          </w:p>
        </w:tc>
      </w:tr>
      <w:tr w:rsidR="000A5C9B" w:rsidRPr="00446E53" w14:paraId="57BEDC1C" w14:textId="77777777" w:rsidTr="00F92F4D">
        <w:tblPrEx>
          <w:tblCellMar>
            <w:top w:w="15" w:type="dxa"/>
            <w:bottom w:w="15" w:type="dxa"/>
          </w:tblCellMar>
          <w:tblLook w:val="04A0" w:firstRow="1" w:lastRow="0" w:firstColumn="1" w:lastColumn="0" w:noHBand="0" w:noVBand="1"/>
        </w:tblPrEx>
        <w:trPr>
          <w:trHeight w:val="20"/>
        </w:trPr>
        <w:tc>
          <w:tcPr>
            <w:tcW w:w="9017" w:type="dxa"/>
            <w:gridSpan w:val="13"/>
            <w:tcBorders>
              <w:top w:val="single" w:sz="4" w:space="0" w:color="auto"/>
              <w:left w:val="single" w:sz="4" w:space="0" w:color="auto"/>
              <w:right w:val="single" w:sz="4" w:space="0" w:color="auto"/>
            </w:tcBorders>
            <w:vAlign w:val="center"/>
          </w:tcPr>
          <w:p w14:paraId="0DB444C4" w14:textId="77777777" w:rsidR="000A5C9B" w:rsidRPr="00446E53" w:rsidRDefault="000A5C9B" w:rsidP="00370D8E">
            <w:pPr>
              <w:rPr>
                <w:rFonts w:ascii="Arial Narrow" w:hAnsi="Arial Narrow"/>
                <w:sz w:val="20"/>
                <w:szCs w:val="20"/>
              </w:rPr>
            </w:pPr>
          </w:p>
        </w:tc>
      </w:tr>
      <w:tr w:rsidR="000A5C9B" w:rsidRPr="00A76D9D" w14:paraId="6C940276" w14:textId="77777777" w:rsidTr="00F92F4D">
        <w:tblPrEx>
          <w:tblCellMar>
            <w:top w:w="15" w:type="dxa"/>
            <w:bottom w:w="15" w:type="dxa"/>
          </w:tblCellMar>
          <w:tblLook w:val="04A0" w:firstRow="1" w:lastRow="0" w:firstColumn="1" w:lastColumn="0" w:noHBand="0" w:noVBand="1"/>
        </w:tblPrEx>
        <w:trPr>
          <w:trHeight w:val="20"/>
        </w:trPr>
        <w:tc>
          <w:tcPr>
            <w:tcW w:w="1222" w:type="dxa"/>
            <w:vMerge w:val="restart"/>
            <w:tcBorders>
              <w:top w:val="single" w:sz="4" w:space="0" w:color="auto"/>
              <w:left w:val="single" w:sz="4" w:space="0" w:color="auto"/>
              <w:right w:val="single" w:sz="4" w:space="0" w:color="auto"/>
            </w:tcBorders>
          </w:tcPr>
          <w:p w14:paraId="500EF965" w14:textId="77777777" w:rsidR="000A5C9B" w:rsidRPr="00446E53" w:rsidRDefault="000A5C9B" w:rsidP="00370D8E">
            <w:pPr>
              <w:jc w:val="center"/>
              <w:rPr>
                <w:rFonts w:ascii="Arial Narrow" w:hAnsi="Arial Narrow"/>
                <w:sz w:val="20"/>
                <w:szCs w:val="20"/>
              </w:rPr>
            </w:pPr>
            <w:r w:rsidRPr="00446E53">
              <w:rPr>
                <w:rFonts w:ascii="Arial Narrow" w:hAnsi="Arial Narrow"/>
                <w:b/>
                <w:sz w:val="20"/>
                <w:szCs w:val="20"/>
              </w:rPr>
              <w:t>Concept ID</w:t>
            </w:r>
          </w:p>
          <w:p w14:paraId="69828A54" w14:textId="77777777" w:rsidR="000A5C9B" w:rsidRPr="00446E53" w:rsidRDefault="000A5C9B" w:rsidP="00370D8E">
            <w:pPr>
              <w:jc w:val="center"/>
              <w:rPr>
                <w:rFonts w:ascii="Arial Narrow" w:hAnsi="Arial Narrow"/>
                <w:b/>
                <w:sz w:val="20"/>
                <w:szCs w:val="20"/>
              </w:rPr>
            </w:pPr>
          </w:p>
        </w:tc>
        <w:tc>
          <w:tcPr>
            <w:tcW w:w="7795" w:type="dxa"/>
            <w:gridSpan w:val="12"/>
            <w:tcBorders>
              <w:top w:val="single" w:sz="4" w:space="0" w:color="auto"/>
              <w:left w:val="single" w:sz="4" w:space="0" w:color="auto"/>
              <w:bottom w:val="single" w:sz="4" w:space="0" w:color="auto"/>
              <w:right w:val="single" w:sz="4" w:space="0" w:color="auto"/>
            </w:tcBorders>
            <w:vAlign w:val="center"/>
          </w:tcPr>
          <w:p w14:paraId="5001B545" w14:textId="77777777" w:rsidR="000A5C9B" w:rsidRPr="00A76D9D" w:rsidRDefault="000A5C9B" w:rsidP="00370D8E">
            <w:pPr>
              <w:keepLines/>
              <w:rPr>
                <w:rFonts w:ascii="Arial Narrow" w:hAnsi="Arial Narrow"/>
                <w:sz w:val="20"/>
                <w:szCs w:val="20"/>
              </w:rPr>
            </w:pPr>
            <w:r w:rsidRPr="00A76D9D">
              <w:rPr>
                <w:rFonts w:ascii="Arial Narrow" w:hAnsi="Arial Narrow"/>
                <w:b/>
                <w:sz w:val="20"/>
                <w:szCs w:val="20"/>
              </w:rPr>
              <w:t>Category / Program:</w:t>
            </w:r>
            <w:r w:rsidRPr="00A76D9D">
              <w:rPr>
                <w:rFonts w:ascii="Arial Narrow" w:hAnsi="Arial Narrow"/>
                <w:sz w:val="20"/>
                <w:szCs w:val="20"/>
              </w:rPr>
              <w:t xml:space="preserve"> </w:t>
            </w:r>
            <w:r w:rsidRPr="00A76D9D">
              <w:rPr>
                <w:rFonts w:ascii="Arial Narrow" w:hAnsi="Arial Narrow"/>
                <w:sz w:val="20"/>
                <w:szCs w:val="20"/>
              </w:rPr>
              <w:fldChar w:fldCharType="begin">
                <w:ffData>
                  <w:name w:val=""/>
                  <w:enabled/>
                  <w:calcOnExit w:val="0"/>
                  <w:checkBox>
                    <w:sizeAuto/>
                    <w:default w:val="1"/>
                  </w:checkBox>
                </w:ffData>
              </w:fldChar>
            </w:r>
            <w:r w:rsidRPr="00A76D9D">
              <w:rPr>
                <w:rFonts w:ascii="Arial Narrow" w:hAnsi="Arial Narrow"/>
                <w:sz w:val="20"/>
                <w:szCs w:val="20"/>
              </w:rPr>
              <w:instrText xml:space="preserve"> FORMCHECKBOX </w:instrText>
            </w:r>
            <w:r w:rsidRPr="00A76D9D">
              <w:rPr>
                <w:rFonts w:ascii="Arial Narrow" w:hAnsi="Arial Narrow"/>
                <w:sz w:val="20"/>
                <w:szCs w:val="20"/>
              </w:rPr>
            </w:r>
            <w:r w:rsidRPr="00A76D9D">
              <w:rPr>
                <w:rFonts w:ascii="Arial Narrow" w:hAnsi="Arial Narrow"/>
                <w:sz w:val="20"/>
                <w:szCs w:val="20"/>
              </w:rPr>
              <w:fldChar w:fldCharType="separate"/>
            </w:r>
            <w:r w:rsidRPr="00A76D9D">
              <w:rPr>
                <w:rFonts w:ascii="Arial Narrow" w:hAnsi="Arial Narrow"/>
                <w:sz w:val="20"/>
                <w:szCs w:val="20"/>
              </w:rPr>
              <w:fldChar w:fldCharType="end"/>
            </w:r>
            <w:r w:rsidRPr="00A76D9D">
              <w:rPr>
                <w:rFonts w:ascii="Arial Narrow" w:hAnsi="Arial Narrow"/>
                <w:sz w:val="20"/>
                <w:szCs w:val="20"/>
              </w:rPr>
              <w:t xml:space="preserve"> </w:t>
            </w:r>
            <w:r w:rsidRPr="00A76D9D">
              <w:rPr>
                <w:rFonts w:ascii="Arial Narrow" w:eastAsia="Calibri" w:hAnsi="Arial Narrow"/>
                <w:sz w:val="20"/>
                <w:szCs w:val="20"/>
              </w:rPr>
              <w:t xml:space="preserve">GENERAL - General Schedule (Code GE) </w:t>
            </w:r>
          </w:p>
        </w:tc>
      </w:tr>
      <w:tr w:rsidR="000A5C9B" w:rsidRPr="00A76D9D" w14:paraId="252A51D1" w14:textId="77777777" w:rsidTr="00F92F4D">
        <w:tblPrEx>
          <w:tblCellMar>
            <w:top w:w="15" w:type="dxa"/>
            <w:bottom w:w="15" w:type="dxa"/>
          </w:tblCellMar>
          <w:tblLook w:val="04A0" w:firstRow="1" w:lastRow="0" w:firstColumn="1" w:lastColumn="0" w:noHBand="0" w:noVBand="1"/>
        </w:tblPrEx>
        <w:trPr>
          <w:trHeight w:val="20"/>
        </w:trPr>
        <w:tc>
          <w:tcPr>
            <w:tcW w:w="1222" w:type="dxa"/>
            <w:vMerge/>
            <w:tcBorders>
              <w:left w:val="single" w:sz="4" w:space="0" w:color="auto"/>
              <w:right w:val="single" w:sz="4" w:space="0" w:color="auto"/>
            </w:tcBorders>
          </w:tcPr>
          <w:p w14:paraId="052F6660" w14:textId="77777777" w:rsidR="000A5C9B" w:rsidRPr="00446E53" w:rsidRDefault="000A5C9B" w:rsidP="00370D8E">
            <w:pPr>
              <w:jc w:val="center"/>
              <w:rPr>
                <w:rFonts w:ascii="Arial Narrow" w:hAnsi="Arial Narrow"/>
                <w:sz w:val="20"/>
                <w:szCs w:val="20"/>
              </w:rPr>
            </w:pPr>
          </w:p>
        </w:tc>
        <w:tc>
          <w:tcPr>
            <w:tcW w:w="7795" w:type="dxa"/>
            <w:gridSpan w:val="12"/>
            <w:tcBorders>
              <w:top w:val="single" w:sz="4" w:space="0" w:color="auto"/>
              <w:left w:val="single" w:sz="4" w:space="0" w:color="auto"/>
              <w:bottom w:val="single" w:sz="4" w:space="0" w:color="auto"/>
              <w:right w:val="single" w:sz="4" w:space="0" w:color="auto"/>
            </w:tcBorders>
            <w:vAlign w:val="center"/>
          </w:tcPr>
          <w:p w14:paraId="06772DF2" w14:textId="77777777" w:rsidR="000A5C9B" w:rsidRPr="00A76D9D" w:rsidRDefault="000A5C9B" w:rsidP="00370D8E">
            <w:pPr>
              <w:keepLines/>
              <w:rPr>
                <w:rFonts w:ascii="Arial Narrow" w:hAnsi="Arial Narrow"/>
                <w:b/>
                <w:sz w:val="20"/>
                <w:szCs w:val="20"/>
              </w:rPr>
            </w:pPr>
            <w:r w:rsidRPr="00A76D9D">
              <w:rPr>
                <w:rFonts w:ascii="Arial Narrow" w:hAnsi="Arial Narrow"/>
                <w:b/>
                <w:sz w:val="20"/>
                <w:szCs w:val="20"/>
              </w:rPr>
              <w:t xml:space="preserve">Prescriber type: </w:t>
            </w:r>
            <w:r w:rsidRPr="00A76D9D">
              <w:rPr>
                <w:rFonts w:ascii="Arial Narrow" w:hAnsi="Arial Narrow"/>
                <w:sz w:val="20"/>
                <w:szCs w:val="20"/>
              </w:rPr>
              <w:fldChar w:fldCharType="begin">
                <w:ffData>
                  <w:name w:val=""/>
                  <w:enabled/>
                  <w:calcOnExit w:val="0"/>
                  <w:checkBox>
                    <w:sizeAuto/>
                    <w:default w:val="1"/>
                  </w:checkBox>
                </w:ffData>
              </w:fldChar>
            </w:r>
            <w:r w:rsidRPr="00A76D9D">
              <w:rPr>
                <w:rFonts w:ascii="Arial Narrow" w:hAnsi="Arial Narrow"/>
                <w:sz w:val="20"/>
                <w:szCs w:val="20"/>
              </w:rPr>
              <w:instrText xml:space="preserve"> FORMCHECKBOX </w:instrText>
            </w:r>
            <w:r w:rsidRPr="00A76D9D">
              <w:rPr>
                <w:rFonts w:ascii="Arial Narrow" w:hAnsi="Arial Narrow"/>
                <w:sz w:val="20"/>
                <w:szCs w:val="20"/>
              </w:rPr>
            </w:r>
            <w:r w:rsidRPr="00A76D9D">
              <w:rPr>
                <w:rFonts w:ascii="Arial Narrow" w:hAnsi="Arial Narrow"/>
                <w:sz w:val="20"/>
                <w:szCs w:val="20"/>
              </w:rPr>
              <w:fldChar w:fldCharType="separate"/>
            </w:r>
            <w:r w:rsidRPr="00A76D9D">
              <w:rPr>
                <w:rFonts w:ascii="Arial Narrow" w:hAnsi="Arial Narrow"/>
                <w:sz w:val="20"/>
                <w:szCs w:val="20"/>
              </w:rPr>
              <w:fldChar w:fldCharType="end"/>
            </w:r>
            <w:r w:rsidRPr="00A76D9D">
              <w:rPr>
                <w:rFonts w:ascii="Arial Narrow" w:hAnsi="Arial Narrow"/>
                <w:sz w:val="20"/>
                <w:szCs w:val="20"/>
              </w:rPr>
              <w:t xml:space="preserve"> Medical Practitioners </w:t>
            </w:r>
            <w:r w:rsidRPr="00A76D9D">
              <w:rPr>
                <w:rFonts w:ascii="Arial Narrow" w:hAnsi="Arial Narrow"/>
                <w:sz w:val="20"/>
                <w:szCs w:val="20"/>
              </w:rPr>
              <w:fldChar w:fldCharType="begin">
                <w:ffData>
                  <w:name w:val=""/>
                  <w:enabled/>
                  <w:calcOnExit w:val="0"/>
                  <w:checkBox>
                    <w:sizeAuto/>
                    <w:default w:val="1"/>
                  </w:checkBox>
                </w:ffData>
              </w:fldChar>
            </w:r>
            <w:r w:rsidRPr="00A76D9D">
              <w:rPr>
                <w:rFonts w:ascii="Arial Narrow" w:hAnsi="Arial Narrow"/>
                <w:sz w:val="20"/>
                <w:szCs w:val="20"/>
              </w:rPr>
              <w:instrText xml:space="preserve"> FORMCHECKBOX </w:instrText>
            </w:r>
            <w:r w:rsidRPr="00A76D9D">
              <w:rPr>
                <w:rFonts w:ascii="Arial Narrow" w:hAnsi="Arial Narrow"/>
                <w:sz w:val="20"/>
                <w:szCs w:val="20"/>
              </w:rPr>
            </w:r>
            <w:r w:rsidRPr="00A76D9D">
              <w:rPr>
                <w:rFonts w:ascii="Arial Narrow" w:hAnsi="Arial Narrow"/>
                <w:sz w:val="20"/>
                <w:szCs w:val="20"/>
              </w:rPr>
              <w:fldChar w:fldCharType="separate"/>
            </w:r>
            <w:r w:rsidRPr="00A76D9D">
              <w:rPr>
                <w:rFonts w:ascii="Arial Narrow" w:hAnsi="Arial Narrow"/>
                <w:sz w:val="20"/>
                <w:szCs w:val="20"/>
              </w:rPr>
              <w:fldChar w:fldCharType="end"/>
            </w:r>
            <w:r w:rsidRPr="00A76D9D">
              <w:rPr>
                <w:rFonts w:ascii="Arial Narrow" w:hAnsi="Arial Narrow"/>
                <w:sz w:val="20"/>
                <w:szCs w:val="20"/>
              </w:rPr>
              <w:t xml:space="preserve"> Nurse practitioners </w:t>
            </w:r>
          </w:p>
        </w:tc>
      </w:tr>
      <w:tr w:rsidR="000A5C9B" w:rsidRPr="00A76D9D" w14:paraId="4FE4E168" w14:textId="77777777" w:rsidTr="00F92F4D">
        <w:tblPrEx>
          <w:tblCellMar>
            <w:top w:w="15" w:type="dxa"/>
            <w:bottom w:w="15" w:type="dxa"/>
          </w:tblCellMar>
          <w:tblLook w:val="04A0" w:firstRow="1" w:lastRow="0" w:firstColumn="1" w:lastColumn="0" w:noHBand="0" w:noVBand="1"/>
        </w:tblPrEx>
        <w:trPr>
          <w:trHeight w:val="20"/>
        </w:trPr>
        <w:tc>
          <w:tcPr>
            <w:tcW w:w="1222" w:type="dxa"/>
            <w:vMerge/>
            <w:tcBorders>
              <w:left w:val="single" w:sz="4" w:space="0" w:color="auto"/>
              <w:right w:val="single" w:sz="4" w:space="0" w:color="auto"/>
            </w:tcBorders>
          </w:tcPr>
          <w:p w14:paraId="63917B8A" w14:textId="77777777" w:rsidR="000A5C9B" w:rsidRPr="00446E53" w:rsidRDefault="000A5C9B" w:rsidP="00370D8E">
            <w:pPr>
              <w:jc w:val="center"/>
              <w:rPr>
                <w:rFonts w:ascii="Arial Narrow" w:hAnsi="Arial Narrow"/>
                <w:sz w:val="20"/>
                <w:szCs w:val="20"/>
              </w:rPr>
            </w:pPr>
          </w:p>
        </w:tc>
        <w:tc>
          <w:tcPr>
            <w:tcW w:w="7795" w:type="dxa"/>
            <w:gridSpan w:val="12"/>
            <w:tcBorders>
              <w:top w:val="single" w:sz="4" w:space="0" w:color="auto"/>
              <w:left w:val="single" w:sz="4" w:space="0" w:color="auto"/>
              <w:bottom w:val="single" w:sz="4" w:space="0" w:color="auto"/>
              <w:right w:val="single" w:sz="4" w:space="0" w:color="auto"/>
            </w:tcBorders>
            <w:vAlign w:val="center"/>
          </w:tcPr>
          <w:p w14:paraId="5F3D5B4F" w14:textId="70318A1C" w:rsidR="000A5C9B" w:rsidRPr="00A76D9D" w:rsidRDefault="000A5C9B" w:rsidP="00370D8E">
            <w:pPr>
              <w:keepLines/>
              <w:rPr>
                <w:rFonts w:ascii="Arial Narrow" w:hAnsi="Arial Narrow"/>
                <w:sz w:val="20"/>
                <w:szCs w:val="20"/>
              </w:rPr>
            </w:pPr>
            <w:r w:rsidRPr="00A76D9D">
              <w:rPr>
                <w:rFonts w:ascii="Arial Narrow" w:hAnsi="Arial Narrow"/>
                <w:b/>
                <w:sz w:val="20"/>
                <w:szCs w:val="20"/>
              </w:rPr>
              <w:t xml:space="preserve">Benefit type: </w:t>
            </w:r>
            <w:r w:rsidRPr="00A76D9D">
              <w:rPr>
                <w:rFonts w:ascii="Arial Narrow" w:hAnsi="Arial Narrow"/>
                <w:sz w:val="20"/>
                <w:szCs w:val="20"/>
              </w:rPr>
              <w:fldChar w:fldCharType="begin">
                <w:ffData>
                  <w:name w:val=""/>
                  <w:enabled/>
                  <w:calcOnExit w:val="0"/>
                  <w:checkBox>
                    <w:sizeAuto/>
                    <w:default w:val="1"/>
                  </w:checkBox>
                </w:ffData>
              </w:fldChar>
            </w:r>
            <w:r w:rsidRPr="00A76D9D">
              <w:rPr>
                <w:rFonts w:ascii="Arial Narrow" w:hAnsi="Arial Narrow"/>
                <w:sz w:val="20"/>
                <w:szCs w:val="20"/>
              </w:rPr>
              <w:instrText xml:space="preserve"> FORMCHECKBOX </w:instrText>
            </w:r>
            <w:r w:rsidRPr="00A76D9D">
              <w:rPr>
                <w:rFonts w:ascii="Arial Narrow" w:hAnsi="Arial Narrow"/>
                <w:sz w:val="20"/>
                <w:szCs w:val="20"/>
              </w:rPr>
            </w:r>
            <w:r w:rsidRPr="00A76D9D">
              <w:rPr>
                <w:rFonts w:ascii="Arial Narrow" w:hAnsi="Arial Narrow"/>
                <w:sz w:val="20"/>
                <w:szCs w:val="20"/>
              </w:rPr>
              <w:fldChar w:fldCharType="separate"/>
            </w:r>
            <w:r w:rsidRPr="00A76D9D">
              <w:rPr>
                <w:rFonts w:ascii="Arial Narrow" w:hAnsi="Arial Narrow"/>
                <w:sz w:val="20"/>
                <w:szCs w:val="20"/>
              </w:rPr>
              <w:fldChar w:fldCharType="end"/>
            </w:r>
            <w:r w:rsidRPr="00A76D9D">
              <w:rPr>
                <w:rFonts w:ascii="Arial Narrow" w:hAnsi="Arial Narrow"/>
                <w:sz w:val="20"/>
                <w:szCs w:val="20"/>
              </w:rPr>
              <w:t xml:space="preserve"> </w:t>
            </w:r>
            <w:r w:rsidRPr="00A76D9D">
              <w:rPr>
                <w:rFonts w:ascii="Arial Narrow" w:eastAsia="Calibri" w:hAnsi="Arial Narrow"/>
                <w:sz w:val="20"/>
                <w:szCs w:val="20"/>
              </w:rPr>
              <w:t xml:space="preserve">Authority Required in writing only </w:t>
            </w:r>
            <w:r w:rsidRPr="003F33D6">
              <w:rPr>
                <w:rFonts w:ascii="Arial Narrow" w:eastAsia="Calibri" w:hAnsi="Arial Narrow"/>
                <w:sz w:val="20"/>
                <w:szCs w:val="20"/>
              </w:rPr>
              <w:t>via OPA/</w:t>
            </w:r>
            <w:r w:rsidRPr="00A76D9D">
              <w:rPr>
                <w:rFonts w:ascii="Arial Narrow" w:eastAsia="Calibri" w:hAnsi="Arial Narrow"/>
                <w:sz w:val="20"/>
                <w:szCs w:val="20"/>
              </w:rPr>
              <w:t>post/HPOS upload)</w:t>
            </w:r>
            <w:r w:rsidR="006B75F2">
              <w:rPr>
                <w:rFonts w:ascii="Arial Narrow" w:eastAsia="Calibri" w:hAnsi="Arial Narrow"/>
                <w:sz w:val="20"/>
                <w:szCs w:val="20"/>
              </w:rPr>
              <w:t xml:space="preserve"> </w:t>
            </w:r>
          </w:p>
        </w:tc>
      </w:tr>
      <w:tr w:rsidR="000A5C9B" w:rsidRPr="00446E53" w14:paraId="44C464F2" w14:textId="77777777" w:rsidTr="00F92F4D">
        <w:tblPrEx>
          <w:tblCellMar>
            <w:top w:w="15" w:type="dxa"/>
            <w:bottom w:w="15" w:type="dxa"/>
          </w:tblCellMar>
          <w:tblLook w:val="04A0" w:firstRow="1" w:lastRow="0" w:firstColumn="1" w:lastColumn="0" w:noHBand="0" w:noVBand="1"/>
        </w:tblPrEx>
        <w:trPr>
          <w:trHeight w:val="236"/>
        </w:trPr>
        <w:tc>
          <w:tcPr>
            <w:tcW w:w="1222" w:type="dxa"/>
            <w:tcBorders>
              <w:left w:val="single" w:sz="4" w:space="0" w:color="auto"/>
              <w:bottom w:val="single" w:sz="4" w:space="0" w:color="auto"/>
              <w:right w:val="single" w:sz="4" w:space="0" w:color="auto"/>
            </w:tcBorders>
          </w:tcPr>
          <w:p w14:paraId="1AA8285A" w14:textId="77777777" w:rsidR="000A5C9B" w:rsidRPr="00446E53" w:rsidRDefault="000A5C9B" w:rsidP="00370D8E">
            <w:pPr>
              <w:jc w:val="center"/>
              <w:rPr>
                <w:rFonts w:ascii="Arial Narrow" w:hAnsi="Arial Narrow"/>
                <w:sz w:val="20"/>
                <w:szCs w:val="20"/>
              </w:rPr>
            </w:pPr>
          </w:p>
        </w:tc>
        <w:tc>
          <w:tcPr>
            <w:tcW w:w="7795" w:type="dxa"/>
            <w:gridSpan w:val="12"/>
            <w:tcBorders>
              <w:top w:val="single" w:sz="4" w:space="0" w:color="auto"/>
              <w:left w:val="single" w:sz="4" w:space="0" w:color="auto"/>
              <w:bottom w:val="single" w:sz="4" w:space="0" w:color="auto"/>
              <w:right w:val="single" w:sz="4" w:space="0" w:color="auto"/>
            </w:tcBorders>
            <w:vAlign w:val="center"/>
          </w:tcPr>
          <w:p w14:paraId="4020C8CE" w14:textId="77777777" w:rsidR="000A5C9B" w:rsidRPr="00446E53" w:rsidRDefault="000A5C9B" w:rsidP="00370D8E">
            <w:pPr>
              <w:pStyle w:val="pf0"/>
              <w:spacing w:before="0" w:beforeAutospacing="0" w:after="0" w:afterAutospacing="0"/>
              <w:rPr>
                <w:rFonts w:ascii="Arial Narrow" w:hAnsi="Arial Narrow" w:cs="Arial"/>
                <w:b/>
                <w:sz w:val="20"/>
                <w:szCs w:val="20"/>
              </w:rPr>
            </w:pPr>
            <w:r w:rsidRPr="00446E53">
              <w:rPr>
                <w:rFonts w:ascii="Arial Narrow" w:hAnsi="Arial Narrow" w:cs="Arial"/>
                <w:b/>
                <w:sz w:val="20"/>
                <w:szCs w:val="20"/>
              </w:rPr>
              <w:t xml:space="preserve">Prescribing rule level: </w:t>
            </w:r>
          </w:p>
        </w:tc>
      </w:tr>
      <w:tr w:rsidR="000A5C9B" w:rsidRPr="00B36F17" w14:paraId="657CCAF8" w14:textId="77777777" w:rsidTr="00F92F4D">
        <w:tblPrEx>
          <w:tblCellMar>
            <w:top w:w="15" w:type="dxa"/>
            <w:bottom w:w="15" w:type="dxa"/>
          </w:tblCellMar>
          <w:tblLook w:val="04A0" w:firstRow="1" w:lastRow="0" w:firstColumn="1" w:lastColumn="0" w:noHBand="0" w:noVBand="1"/>
        </w:tblPrEx>
        <w:trPr>
          <w:trHeight w:val="20"/>
        </w:trPr>
        <w:tc>
          <w:tcPr>
            <w:tcW w:w="1222" w:type="dxa"/>
            <w:tcBorders>
              <w:left w:val="single" w:sz="4" w:space="0" w:color="auto"/>
              <w:bottom w:val="single" w:sz="4" w:space="0" w:color="auto"/>
              <w:right w:val="single" w:sz="4" w:space="0" w:color="auto"/>
            </w:tcBorders>
          </w:tcPr>
          <w:p w14:paraId="3D617726" w14:textId="77777777" w:rsidR="000A5C9B" w:rsidRPr="00446E53" w:rsidRDefault="000A5C9B" w:rsidP="00370D8E">
            <w:pPr>
              <w:jc w:val="center"/>
              <w:rPr>
                <w:rFonts w:ascii="Arial Narrow" w:hAnsi="Arial Narrow"/>
                <w:sz w:val="20"/>
                <w:szCs w:val="20"/>
              </w:rPr>
            </w:pPr>
            <w:r>
              <w:rPr>
                <w:rFonts w:ascii="Arial Narrow" w:hAnsi="Arial Narrow"/>
                <w:sz w:val="20"/>
                <w:szCs w:val="20"/>
              </w:rPr>
              <w:t>7606</w:t>
            </w:r>
          </w:p>
        </w:tc>
        <w:tc>
          <w:tcPr>
            <w:tcW w:w="7795" w:type="dxa"/>
            <w:gridSpan w:val="12"/>
            <w:tcBorders>
              <w:top w:val="single" w:sz="4" w:space="0" w:color="auto"/>
              <w:left w:val="single" w:sz="4" w:space="0" w:color="auto"/>
              <w:bottom w:val="single" w:sz="4" w:space="0" w:color="auto"/>
              <w:right w:val="single" w:sz="4" w:space="0" w:color="auto"/>
            </w:tcBorders>
            <w:vAlign w:val="center"/>
          </w:tcPr>
          <w:p w14:paraId="5F24C179" w14:textId="77777777" w:rsidR="000A5C9B" w:rsidRDefault="000A5C9B" w:rsidP="00370D8E">
            <w:pPr>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201F228A" w14:textId="77777777" w:rsidR="000A5C9B" w:rsidRPr="00B36F17" w:rsidRDefault="000A5C9B" w:rsidP="00370D8E">
            <w:pPr>
              <w:rPr>
                <w:rFonts w:ascii="Arial Narrow" w:hAnsi="Arial Narrow"/>
                <w:color w:val="333333"/>
                <w:sz w:val="20"/>
                <w:szCs w:val="20"/>
              </w:rPr>
            </w:pPr>
            <w:r w:rsidRPr="00B36F17">
              <w:rPr>
                <w:rFonts w:ascii="Arial Narrow" w:hAnsi="Arial Narrow"/>
                <w:color w:val="333333"/>
                <w:sz w:val="20"/>
                <w:szCs w:val="20"/>
              </w:rPr>
              <w:t>No increase in the maximum quantity or number of units may be authorised.</w:t>
            </w:r>
          </w:p>
        </w:tc>
      </w:tr>
      <w:tr w:rsidR="000A5C9B" w:rsidRPr="00BC55AF" w14:paraId="5AF77384" w14:textId="77777777" w:rsidTr="00F92F4D">
        <w:tblPrEx>
          <w:tblCellMar>
            <w:top w:w="15" w:type="dxa"/>
            <w:bottom w:w="15" w:type="dxa"/>
          </w:tblCellMar>
          <w:tblLook w:val="04A0" w:firstRow="1" w:lastRow="0" w:firstColumn="1" w:lastColumn="0" w:noHBand="0" w:noVBand="1"/>
        </w:tblPrEx>
        <w:trPr>
          <w:trHeight w:val="20"/>
        </w:trPr>
        <w:tc>
          <w:tcPr>
            <w:tcW w:w="1222" w:type="dxa"/>
            <w:tcBorders>
              <w:left w:val="single" w:sz="4" w:space="0" w:color="auto"/>
              <w:bottom w:val="single" w:sz="4" w:space="0" w:color="auto"/>
              <w:right w:val="single" w:sz="4" w:space="0" w:color="auto"/>
            </w:tcBorders>
          </w:tcPr>
          <w:p w14:paraId="7F8366D4" w14:textId="77777777" w:rsidR="000A5C9B" w:rsidRPr="00446E53" w:rsidRDefault="000A5C9B" w:rsidP="00370D8E">
            <w:pPr>
              <w:jc w:val="center"/>
              <w:rPr>
                <w:rFonts w:ascii="Arial Narrow" w:hAnsi="Arial Narrow"/>
                <w:sz w:val="20"/>
                <w:szCs w:val="20"/>
              </w:rPr>
            </w:pPr>
            <w:r>
              <w:rPr>
                <w:rFonts w:ascii="Arial Narrow" w:hAnsi="Arial Narrow"/>
                <w:sz w:val="20"/>
                <w:szCs w:val="20"/>
              </w:rPr>
              <w:t>7607</w:t>
            </w:r>
          </w:p>
        </w:tc>
        <w:tc>
          <w:tcPr>
            <w:tcW w:w="7795" w:type="dxa"/>
            <w:gridSpan w:val="12"/>
            <w:tcBorders>
              <w:top w:val="single" w:sz="4" w:space="0" w:color="auto"/>
              <w:left w:val="single" w:sz="4" w:space="0" w:color="auto"/>
              <w:bottom w:val="single" w:sz="4" w:space="0" w:color="auto"/>
              <w:right w:val="single" w:sz="4" w:space="0" w:color="auto"/>
            </w:tcBorders>
            <w:vAlign w:val="center"/>
          </w:tcPr>
          <w:p w14:paraId="6F0CD1F1" w14:textId="77777777" w:rsidR="000A5C9B" w:rsidRDefault="000A5C9B" w:rsidP="00370D8E">
            <w:pPr>
              <w:keepLines/>
              <w:rPr>
                <w:rFonts w:ascii="Arial Narrow" w:hAnsi="Arial Narrow"/>
                <w:b/>
                <w:bCs/>
                <w:color w:val="333333"/>
                <w:sz w:val="20"/>
                <w:szCs w:val="20"/>
              </w:rPr>
            </w:pPr>
            <w:r w:rsidRPr="00446E53">
              <w:rPr>
                <w:rFonts w:ascii="Arial Narrow" w:hAnsi="Arial Narrow"/>
                <w:b/>
                <w:bCs/>
                <w:color w:val="333333"/>
                <w:sz w:val="20"/>
                <w:szCs w:val="20"/>
              </w:rPr>
              <w:t>Administrative Advice:</w:t>
            </w:r>
          </w:p>
          <w:p w14:paraId="59DEFF5D" w14:textId="77777777" w:rsidR="000A5C9B" w:rsidRPr="00BC55AF" w:rsidRDefault="000A5C9B" w:rsidP="00370D8E">
            <w:pPr>
              <w:keepLines/>
              <w:rPr>
                <w:rFonts w:ascii="Arial Narrow" w:hAnsi="Arial Narrow"/>
                <w:sz w:val="20"/>
                <w:szCs w:val="20"/>
              </w:rPr>
            </w:pPr>
            <w:r w:rsidRPr="00BC55AF">
              <w:rPr>
                <w:rFonts w:ascii="Arial Narrow" w:hAnsi="Arial Narrow"/>
                <w:sz w:val="20"/>
                <w:szCs w:val="20"/>
              </w:rPr>
              <w:t>No increase in the maximum number of repeats may be authorised.</w:t>
            </w:r>
          </w:p>
        </w:tc>
      </w:tr>
      <w:tr w:rsidR="000A5C9B" w:rsidRPr="000C59A5" w14:paraId="3800F75E" w14:textId="77777777" w:rsidTr="00F92F4D">
        <w:tblPrEx>
          <w:tblCellMar>
            <w:top w:w="15" w:type="dxa"/>
            <w:bottom w:w="15" w:type="dxa"/>
          </w:tblCellMar>
          <w:tblLook w:val="04A0" w:firstRow="1" w:lastRow="0" w:firstColumn="1" w:lastColumn="0" w:noHBand="0" w:noVBand="1"/>
        </w:tblPrEx>
        <w:trPr>
          <w:trHeight w:val="20"/>
        </w:trPr>
        <w:tc>
          <w:tcPr>
            <w:tcW w:w="1222" w:type="dxa"/>
            <w:tcBorders>
              <w:left w:val="single" w:sz="4" w:space="0" w:color="auto"/>
              <w:bottom w:val="single" w:sz="4" w:space="0" w:color="auto"/>
              <w:right w:val="single" w:sz="4" w:space="0" w:color="auto"/>
            </w:tcBorders>
          </w:tcPr>
          <w:p w14:paraId="62177BE6" w14:textId="77777777" w:rsidR="000A5C9B" w:rsidRPr="000C59A5" w:rsidRDefault="000A5C9B" w:rsidP="00370D8E">
            <w:pPr>
              <w:jc w:val="center"/>
              <w:rPr>
                <w:rFonts w:ascii="Arial Narrow" w:hAnsi="Arial Narrow"/>
                <w:color w:val="333333"/>
                <w:sz w:val="20"/>
                <w:szCs w:val="20"/>
              </w:rPr>
            </w:pPr>
            <w:r>
              <w:rPr>
                <w:rFonts w:ascii="Arial Narrow" w:hAnsi="Arial Narrow"/>
                <w:color w:val="333333"/>
                <w:sz w:val="20"/>
                <w:szCs w:val="20"/>
              </w:rPr>
              <w:t>33720</w:t>
            </w:r>
          </w:p>
        </w:tc>
        <w:tc>
          <w:tcPr>
            <w:tcW w:w="7795" w:type="dxa"/>
            <w:gridSpan w:val="12"/>
            <w:tcBorders>
              <w:top w:val="single" w:sz="4" w:space="0" w:color="auto"/>
              <w:left w:val="single" w:sz="4" w:space="0" w:color="auto"/>
              <w:bottom w:val="single" w:sz="4" w:space="0" w:color="auto"/>
              <w:right w:val="single" w:sz="4" w:space="0" w:color="auto"/>
            </w:tcBorders>
            <w:vAlign w:val="center"/>
          </w:tcPr>
          <w:p w14:paraId="39F90471" w14:textId="77777777" w:rsidR="000A5C9B" w:rsidRPr="000C59A5" w:rsidRDefault="000A5C9B" w:rsidP="00370D8E">
            <w:pPr>
              <w:keepLines/>
              <w:rPr>
                <w:rFonts w:ascii="Arial Narrow" w:hAnsi="Arial Narrow"/>
                <w:b/>
                <w:bCs/>
                <w:color w:val="333333"/>
                <w:sz w:val="20"/>
                <w:szCs w:val="20"/>
              </w:rPr>
            </w:pPr>
            <w:r w:rsidRPr="000C59A5">
              <w:rPr>
                <w:rFonts w:ascii="Arial Narrow" w:hAnsi="Arial Narrow"/>
                <w:b/>
                <w:bCs/>
                <w:color w:val="333333"/>
                <w:sz w:val="20"/>
                <w:szCs w:val="20"/>
              </w:rPr>
              <w:t>Administrative Advice:</w:t>
            </w:r>
          </w:p>
          <w:p w14:paraId="212C2D62" w14:textId="77777777" w:rsidR="000A5C9B" w:rsidRPr="000C59A5" w:rsidRDefault="000A5C9B" w:rsidP="00370D8E">
            <w:pPr>
              <w:rPr>
                <w:rFonts w:ascii="Arial Narrow" w:hAnsi="Arial Narrow"/>
                <w:sz w:val="20"/>
                <w:szCs w:val="20"/>
              </w:rPr>
            </w:pPr>
            <w:r w:rsidRPr="000C59A5">
              <w:rPr>
                <w:rFonts w:ascii="Arial Narrow" w:hAnsi="Arial Narrow"/>
                <w:sz w:val="20"/>
                <w:szCs w:val="20"/>
              </w:rPr>
              <w:t>Any queries concerning the arrangements to prescribe may be directed to Services Australia on 1800 700 270 (hours of operation 8 a.m. to 5 p.m. Monday to Friday).</w:t>
            </w:r>
          </w:p>
          <w:p w14:paraId="36D5C345" w14:textId="77777777" w:rsidR="000A5C9B" w:rsidRPr="000C59A5" w:rsidRDefault="000A5C9B" w:rsidP="00370D8E">
            <w:pPr>
              <w:rPr>
                <w:rFonts w:ascii="Arial Narrow" w:hAnsi="Arial Narrow"/>
                <w:sz w:val="20"/>
                <w:szCs w:val="20"/>
              </w:rPr>
            </w:pPr>
          </w:p>
          <w:p w14:paraId="41B11086" w14:textId="725C5228" w:rsidR="000A5C9B" w:rsidRPr="000C59A5" w:rsidRDefault="000A5C9B" w:rsidP="00370D8E">
            <w:pPr>
              <w:rPr>
                <w:rFonts w:ascii="Arial Narrow" w:hAnsi="Arial Narrow"/>
                <w:sz w:val="20"/>
                <w:szCs w:val="20"/>
              </w:rPr>
            </w:pPr>
            <w:r w:rsidRPr="000C59A5">
              <w:rPr>
                <w:rFonts w:ascii="Arial Narrow" w:hAnsi="Arial Narrow"/>
                <w:sz w:val="20"/>
                <w:szCs w:val="20"/>
              </w:rPr>
              <w:t xml:space="preserve">Prescribing information (including Authority Application forms and other relevant documentation as applicable) is available on the Services Australia website at </w:t>
            </w:r>
            <w:hyperlink r:id="rId11" w:history="1">
              <w:r w:rsidRPr="00FB138C">
                <w:rPr>
                  <w:rStyle w:val="Hyperlink"/>
                  <w:rFonts w:ascii="Arial Narrow" w:hAnsi="Arial Narrow"/>
                  <w:color w:val="auto"/>
                  <w:sz w:val="20"/>
                  <w:szCs w:val="20"/>
                </w:rPr>
                <w:t>www.servicesaustralia.gov.au</w:t>
              </w:r>
            </w:hyperlink>
          </w:p>
          <w:p w14:paraId="40D3B215" w14:textId="77777777" w:rsidR="000A5C9B" w:rsidRDefault="000A5C9B" w:rsidP="00370D8E">
            <w:pPr>
              <w:rPr>
                <w:rFonts w:ascii="Arial Narrow" w:hAnsi="Arial Narrow"/>
                <w:sz w:val="20"/>
                <w:szCs w:val="20"/>
              </w:rPr>
            </w:pPr>
          </w:p>
          <w:p w14:paraId="14639B76" w14:textId="60824BCE" w:rsidR="000A5C9B" w:rsidRPr="008D6FBD" w:rsidRDefault="000A5C9B" w:rsidP="00370D8E">
            <w:pPr>
              <w:rPr>
                <w:rFonts w:ascii="Arial Narrow" w:hAnsi="Arial Narrow"/>
                <w:sz w:val="20"/>
                <w:szCs w:val="20"/>
              </w:rPr>
            </w:pPr>
            <w:r w:rsidRPr="008D6FBD">
              <w:rPr>
                <w:rFonts w:ascii="Arial Narrow" w:hAnsi="Arial Narrow"/>
                <w:sz w:val="20"/>
                <w:szCs w:val="20"/>
              </w:rPr>
              <w:t xml:space="preserve">Applications for authorisation under this restriction should be made using the Online PBS Authorities system (see </w:t>
            </w:r>
            <w:hyperlink r:id="rId12" w:history="1">
              <w:r w:rsidRPr="00FB138C">
                <w:rPr>
                  <w:rStyle w:val="Hyperlink"/>
                  <w:rFonts w:ascii="Arial Narrow" w:hAnsi="Arial Narrow"/>
                  <w:color w:val="auto"/>
                  <w:sz w:val="20"/>
                  <w:szCs w:val="20"/>
                </w:rPr>
                <w:t>www.servicesaustralia.gov.au/hpos</w:t>
              </w:r>
            </w:hyperlink>
            <w:r w:rsidRPr="008D6FBD">
              <w:rPr>
                <w:rFonts w:ascii="Arial Narrow" w:hAnsi="Arial Narrow"/>
                <w:sz w:val="20"/>
                <w:szCs w:val="20"/>
              </w:rPr>
              <w:t>)</w:t>
            </w:r>
          </w:p>
          <w:p w14:paraId="4C4FAA73" w14:textId="77777777" w:rsidR="000A5C9B" w:rsidRPr="000C59A5" w:rsidRDefault="000A5C9B" w:rsidP="00370D8E">
            <w:pPr>
              <w:rPr>
                <w:rFonts w:ascii="Arial Narrow" w:hAnsi="Arial Narrow"/>
                <w:sz w:val="20"/>
                <w:szCs w:val="20"/>
              </w:rPr>
            </w:pPr>
          </w:p>
          <w:p w14:paraId="274ADA8A" w14:textId="671AF5F4" w:rsidR="000A5C9B" w:rsidRPr="000C59A5" w:rsidRDefault="000A5C9B" w:rsidP="00370D8E">
            <w:pPr>
              <w:rPr>
                <w:rFonts w:ascii="Arial Narrow" w:hAnsi="Arial Narrow"/>
                <w:sz w:val="20"/>
                <w:szCs w:val="20"/>
              </w:rPr>
            </w:pPr>
            <w:r>
              <w:rPr>
                <w:rFonts w:ascii="Arial Narrow" w:hAnsi="Arial Narrow"/>
                <w:i/>
                <w:iCs/>
                <w:sz w:val="20"/>
                <w:szCs w:val="20"/>
              </w:rPr>
              <w:t xml:space="preserve">Alternatively </w:t>
            </w:r>
            <w:r w:rsidRPr="008D6FBD">
              <w:rPr>
                <w:rFonts w:ascii="Arial Narrow" w:hAnsi="Arial Narrow"/>
                <w:strike/>
                <w:sz w:val="20"/>
                <w:szCs w:val="20"/>
              </w:rPr>
              <w:t>A</w:t>
            </w:r>
            <w:r w:rsidRPr="008D6FBD">
              <w:rPr>
                <w:rFonts w:ascii="Arial Narrow" w:hAnsi="Arial Narrow"/>
                <w:sz w:val="20"/>
                <w:szCs w:val="20"/>
              </w:rPr>
              <w:t xml:space="preserve"> </w:t>
            </w:r>
            <w:r>
              <w:rPr>
                <w:rFonts w:ascii="Arial Narrow" w:hAnsi="Arial Narrow"/>
                <w:i/>
                <w:iCs/>
                <w:sz w:val="20"/>
                <w:szCs w:val="20"/>
              </w:rPr>
              <w:t>a</w:t>
            </w:r>
            <w:r w:rsidRPr="000C59A5">
              <w:rPr>
                <w:rFonts w:ascii="Arial Narrow" w:hAnsi="Arial Narrow"/>
                <w:sz w:val="20"/>
                <w:szCs w:val="20"/>
              </w:rPr>
              <w:t xml:space="preserve">pplications for authority to prescribe </w:t>
            </w:r>
            <w:proofErr w:type="gramStart"/>
            <w:r w:rsidRPr="008D6FBD">
              <w:rPr>
                <w:rFonts w:ascii="Arial Narrow" w:hAnsi="Arial Narrow"/>
                <w:strike/>
                <w:sz w:val="20"/>
                <w:szCs w:val="20"/>
              </w:rPr>
              <w:t>should</w:t>
            </w:r>
            <w:r>
              <w:rPr>
                <w:rFonts w:ascii="Arial Narrow" w:hAnsi="Arial Narrow"/>
                <w:i/>
                <w:iCs/>
                <w:sz w:val="20"/>
                <w:szCs w:val="20"/>
              </w:rPr>
              <w:t xml:space="preserve"> can</w:t>
            </w:r>
            <w:proofErr w:type="gramEnd"/>
            <w:r w:rsidRPr="000C59A5">
              <w:rPr>
                <w:rFonts w:ascii="Arial Narrow" w:hAnsi="Arial Narrow"/>
                <w:sz w:val="20"/>
                <w:szCs w:val="20"/>
              </w:rPr>
              <w:t xml:space="preserve"> be submitted online using the form upload facility in Health Professional Online Services (HPOS) at </w:t>
            </w:r>
            <w:hyperlink r:id="rId13" w:history="1">
              <w:r w:rsidRPr="00FB138C">
                <w:rPr>
                  <w:rStyle w:val="Hyperlink"/>
                  <w:rFonts w:ascii="Arial Narrow" w:hAnsi="Arial Narrow"/>
                  <w:color w:val="auto"/>
                  <w:sz w:val="20"/>
                  <w:szCs w:val="20"/>
                </w:rPr>
                <w:t>www.servicesaustralia.gov.au/hpos</w:t>
              </w:r>
            </w:hyperlink>
          </w:p>
          <w:p w14:paraId="7DAEB506" w14:textId="77777777" w:rsidR="000A5C9B" w:rsidRPr="000C59A5" w:rsidRDefault="000A5C9B" w:rsidP="00370D8E">
            <w:pPr>
              <w:rPr>
                <w:rFonts w:ascii="Arial Narrow" w:hAnsi="Arial Narrow"/>
                <w:sz w:val="20"/>
                <w:szCs w:val="20"/>
              </w:rPr>
            </w:pPr>
          </w:p>
          <w:p w14:paraId="32639FAA" w14:textId="77777777" w:rsidR="000A5C9B" w:rsidRPr="000C59A5" w:rsidRDefault="000A5C9B" w:rsidP="00370D8E">
            <w:pPr>
              <w:rPr>
                <w:rFonts w:ascii="Arial Narrow" w:hAnsi="Arial Narrow"/>
                <w:sz w:val="20"/>
                <w:szCs w:val="20"/>
              </w:rPr>
            </w:pPr>
            <w:r w:rsidRPr="000C59A5">
              <w:rPr>
                <w:rFonts w:ascii="Arial Narrow" w:hAnsi="Arial Narrow"/>
                <w:sz w:val="20"/>
                <w:szCs w:val="20"/>
              </w:rPr>
              <w:t>Or mailed to:</w:t>
            </w:r>
          </w:p>
          <w:p w14:paraId="32F11998" w14:textId="77777777" w:rsidR="000A5C9B" w:rsidRPr="000C59A5" w:rsidRDefault="000A5C9B" w:rsidP="00370D8E">
            <w:pPr>
              <w:rPr>
                <w:rFonts w:ascii="Arial Narrow" w:hAnsi="Arial Narrow"/>
                <w:sz w:val="20"/>
                <w:szCs w:val="20"/>
              </w:rPr>
            </w:pPr>
            <w:r w:rsidRPr="000C59A5">
              <w:rPr>
                <w:rFonts w:ascii="Arial Narrow" w:hAnsi="Arial Narrow"/>
                <w:sz w:val="20"/>
                <w:szCs w:val="20"/>
              </w:rPr>
              <w:t>Services Australia</w:t>
            </w:r>
          </w:p>
          <w:p w14:paraId="666FB814" w14:textId="77777777" w:rsidR="000A5C9B" w:rsidRPr="000C59A5" w:rsidRDefault="000A5C9B" w:rsidP="00370D8E">
            <w:pPr>
              <w:rPr>
                <w:rFonts w:ascii="Arial Narrow" w:hAnsi="Arial Narrow"/>
                <w:sz w:val="20"/>
                <w:szCs w:val="20"/>
              </w:rPr>
            </w:pPr>
            <w:r w:rsidRPr="000C59A5">
              <w:rPr>
                <w:rFonts w:ascii="Arial Narrow" w:hAnsi="Arial Narrow"/>
                <w:sz w:val="20"/>
                <w:szCs w:val="20"/>
              </w:rPr>
              <w:t>Complex Drugs</w:t>
            </w:r>
          </w:p>
          <w:p w14:paraId="66F5CBA1" w14:textId="77777777" w:rsidR="000A5C9B" w:rsidRPr="000C59A5" w:rsidRDefault="000A5C9B" w:rsidP="00370D8E">
            <w:pPr>
              <w:rPr>
                <w:rFonts w:ascii="Arial Narrow" w:hAnsi="Arial Narrow"/>
                <w:sz w:val="20"/>
                <w:szCs w:val="20"/>
              </w:rPr>
            </w:pPr>
            <w:r w:rsidRPr="000C59A5">
              <w:rPr>
                <w:rFonts w:ascii="Arial Narrow" w:hAnsi="Arial Narrow"/>
                <w:sz w:val="20"/>
                <w:szCs w:val="20"/>
              </w:rPr>
              <w:t>Reply Paid 9826</w:t>
            </w:r>
          </w:p>
          <w:p w14:paraId="7E91BCB2" w14:textId="77777777" w:rsidR="000A5C9B" w:rsidRPr="000C59A5" w:rsidRDefault="000A5C9B" w:rsidP="00370D8E">
            <w:pPr>
              <w:keepLines/>
              <w:rPr>
                <w:rFonts w:ascii="Arial Narrow" w:hAnsi="Arial Narrow"/>
                <w:color w:val="333333"/>
                <w:sz w:val="20"/>
                <w:szCs w:val="20"/>
              </w:rPr>
            </w:pPr>
            <w:r w:rsidRPr="000C59A5">
              <w:rPr>
                <w:rFonts w:ascii="Arial Narrow" w:hAnsi="Arial Narrow"/>
                <w:sz w:val="20"/>
                <w:szCs w:val="20"/>
              </w:rPr>
              <w:t>HOBART TAS 7001</w:t>
            </w:r>
          </w:p>
        </w:tc>
      </w:tr>
      <w:tr w:rsidR="000A5C9B" w:rsidRPr="00446E53" w14:paraId="508FDFA3" w14:textId="77777777" w:rsidTr="00F92F4D">
        <w:tblPrEx>
          <w:tblCellMar>
            <w:top w:w="15" w:type="dxa"/>
            <w:bottom w:w="15" w:type="dxa"/>
          </w:tblCellMar>
          <w:tblLook w:val="04A0" w:firstRow="1" w:lastRow="0" w:firstColumn="1" w:lastColumn="0" w:noHBand="0" w:noVBand="1"/>
        </w:tblPrEx>
        <w:trPr>
          <w:trHeight w:val="20"/>
        </w:trPr>
        <w:tc>
          <w:tcPr>
            <w:tcW w:w="1222" w:type="dxa"/>
            <w:tcBorders>
              <w:left w:val="single" w:sz="4" w:space="0" w:color="auto"/>
              <w:bottom w:val="single" w:sz="4" w:space="0" w:color="auto"/>
              <w:right w:val="single" w:sz="4" w:space="0" w:color="auto"/>
            </w:tcBorders>
          </w:tcPr>
          <w:p w14:paraId="181EB0FC" w14:textId="77777777" w:rsidR="000A5C9B" w:rsidRPr="00446E53" w:rsidRDefault="000A5C9B" w:rsidP="00370D8E">
            <w:pPr>
              <w:jc w:val="center"/>
              <w:rPr>
                <w:rFonts w:ascii="Arial Narrow" w:hAnsi="Arial Narrow"/>
                <w:sz w:val="20"/>
                <w:szCs w:val="20"/>
              </w:rPr>
            </w:pPr>
            <w:r>
              <w:rPr>
                <w:rFonts w:ascii="Arial Narrow" w:hAnsi="Arial Narrow"/>
                <w:sz w:val="20"/>
                <w:szCs w:val="20"/>
              </w:rPr>
              <w:t>29959</w:t>
            </w:r>
          </w:p>
        </w:tc>
        <w:tc>
          <w:tcPr>
            <w:tcW w:w="7795" w:type="dxa"/>
            <w:gridSpan w:val="12"/>
            <w:tcBorders>
              <w:top w:val="single" w:sz="4" w:space="0" w:color="auto"/>
              <w:left w:val="single" w:sz="4" w:space="0" w:color="auto"/>
              <w:bottom w:val="single" w:sz="4" w:space="0" w:color="auto"/>
              <w:right w:val="single" w:sz="4" w:space="0" w:color="auto"/>
            </w:tcBorders>
            <w:vAlign w:val="center"/>
          </w:tcPr>
          <w:p w14:paraId="6C78733C" w14:textId="77777777" w:rsidR="000A5C9B" w:rsidRDefault="000A5C9B" w:rsidP="00370D8E">
            <w:pPr>
              <w:keepLines/>
              <w:rPr>
                <w:rFonts w:ascii="Arial Narrow" w:hAnsi="Arial Narrow"/>
                <w:color w:val="FF0000"/>
                <w:sz w:val="20"/>
                <w:szCs w:val="20"/>
              </w:rPr>
            </w:pPr>
            <w:r>
              <w:rPr>
                <w:rFonts w:ascii="Arial Narrow" w:hAnsi="Arial Narrow"/>
                <w:b/>
                <w:bCs/>
                <w:color w:val="333333"/>
                <w:sz w:val="20"/>
                <w:szCs w:val="20"/>
              </w:rPr>
              <w:t xml:space="preserve">Caution: </w:t>
            </w:r>
          </w:p>
          <w:p w14:paraId="63E9ADC5" w14:textId="77777777" w:rsidR="000A5C9B" w:rsidRPr="00513DDC" w:rsidRDefault="000A5C9B" w:rsidP="00370D8E">
            <w:pPr>
              <w:rPr>
                <w:rFonts w:ascii="Arial Narrow" w:hAnsi="Arial Narrow"/>
                <w:sz w:val="20"/>
                <w:szCs w:val="20"/>
              </w:rPr>
            </w:pPr>
            <w:r w:rsidRPr="00513DDC">
              <w:rPr>
                <w:rFonts w:ascii="Arial Narrow" w:hAnsi="Arial Narrow"/>
                <w:sz w:val="20"/>
                <w:szCs w:val="20"/>
              </w:rPr>
              <w:t>This drug increases the risk of encapsulated bacterial infections.</w:t>
            </w:r>
          </w:p>
          <w:p w14:paraId="16BC4AD7" w14:textId="77777777" w:rsidR="000A5C9B" w:rsidRPr="00446E53" w:rsidRDefault="000A5C9B" w:rsidP="00370D8E">
            <w:pPr>
              <w:keepLines/>
              <w:rPr>
                <w:rFonts w:ascii="Arial Narrow" w:hAnsi="Arial Narrow"/>
                <w:b/>
                <w:sz w:val="20"/>
                <w:szCs w:val="20"/>
              </w:rPr>
            </w:pPr>
            <w:r w:rsidRPr="00513DDC">
              <w:rPr>
                <w:rFonts w:ascii="Arial Narrow" w:hAnsi="Arial Narrow"/>
                <w:sz w:val="20"/>
                <w:szCs w:val="20"/>
              </w:rPr>
              <w:t>Consult the approved Product Information for information about vaccination against meningococcal, pneumococcal and Haemophilus influenzae type B (Hib) infection.</w:t>
            </w:r>
          </w:p>
        </w:tc>
      </w:tr>
      <w:tr w:rsidR="000A5C9B" w:rsidRPr="00CC3A3C" w14:paraId="4A3F2860" w14:textId="77777777" w:rsidTr="00F92F4D">
        <w:tblPrEx>
          <w:tblCellMar>
            <w:top w:w="15" w:type="dxa"/>
            <w:bottom w:w="15" w:type="dxa"/>
          </w:tblCellMar>
          <w:tblLook w:val="04A0" w:firstRow="1" w:lastRow="0" w:firstColumn="1" w:lastColumn="0" w:noHBand="0" w:noVBand="1"/>
        </w:tblPrEx>
        <w:trPr>
          <w:trHeight w:val="20"/>
        </w:trPr>
        <w:tc>
          <w:tcPr>
            <w:tcW w:w="1222" w:type="dxa"/>
            <w:tcBorders>
              <w:left w:val="single" w:sz="4" w:space="0" w:color="auto"/>
              <w:bottom w:val="single" w:sz="4" w:space="0" w:color="auto"/>
              <w:right w:val="single" w:sz="4" w:space="0" w:color="auto"/>
            </w:tcBorders>
            <w:shd w:val="clear" w:color="auto" w:fill="BFBFBF" w:themeFill="background1" w:themeFillShade="BF"/>
          </w:tcPr>
          <w:p w14:paraId="3A835FA2" w14:textId="77777777" w:rsidR="000A5C9B" w:rsidRPr="00446E53" w:rsidRDefault="000A5C9B" w:rsidP="00370D8E">
            <w:pPr>
              <w:jc w:val="center"/>
              <w:rPr>
                <w:rFonts w:ascii="Arial Narrow" w:hAnsi="Arial Narrow"/>
                <w:color w:val="333333"/>
                <w:sz w:val="20"/>
                <w:szCs w:val="20"/>
              </w:rPr>
            </w:pPr>
          </w:p>
        </w:tc>
        <w:tc>
          <w:tcPr>
            <w:tcW w:w="7795" w:type="dxa"/>
            <w:gridSpan w:val="1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F8A783" w14:textId="77777777" w:rsidR="000A5C9B" w:rsidRPr="00CC3A3C" w:rsidRDefault="000A5C9B" w:rsidP="00370D8E">
            <w:pPr>
              <w:keepLines/>
              <w:rPr>
                <w:rFonts w:ascii="Arial Narrow" w:hAnsi="Arial Narrow"/>
                <w:b/>
                <w:bCs/>
                <w:sz w:val="20"/>
                <w:szCs w:val="20"/>
              </w:rPr>
            </w:pPr>
            <w:r w:rsidRPr="00CC3A3C">
              <w:rPr>
                <w:rFonts w:ascii="Arial Narrow" w:hAnsi="Arial Narrow"/>
                <w:b/>
                <w:sz w:val="20"/>
                <w:szCs w:val="20"/>
              </w:rPr>
              <w:t>Restriction Summary [new1] / Treatment of Concept: [new1A]</w:t>
            </w:r>
          </w:p>
        </w:tc>
      </w:tr>
      <w:tr w:rsidR="000A5C9B" w:rsidRPr="00446E53" w14:paraId="49D91118" w14:textId="77777777" w:rsidTr="00F92F4D">
        <w:tblPrEx>
          <w:tblCellMar>
            <w:top w:w="15" w:type="dxa"/>
            <w:bottom w:w="15" w:type="dxa"/>
          </w:tblCellMar>
          <w:tblLook w:val="04A0" w:firstRow="1" w:lastRow="0" w:firstColumn="1" w:lastColumn="0" w:noHBand="0" w:noVBand="1"/>
        </w:tblPrEx>
        <w:trPr>
          <w:trHeight w:val="20"/>
        </w:trPr>
        <w:tc>
          <w:tcPr>
            <w:tcW w:w="1222" w:type="dxa"/>
            <w:vMerge w:val="restart"/>
          </w:tcPr>
          <w:p w14:paraId="73FCD844" w14:textId="77777777" w:rsidR="000A5C9B" w:rsidRPr="00446E53" w:rsidRDefault="000A5C9B" w:rsidP="00370D8E">
            <w:pPr>
              <w:keepLines/>
              <w:jc w:val="center"/>
              <w:rPr>
                <w:rFonts w:ascii="Arial Narrow" w:hAnsi="Arial Narrow"/>
                <w:color w:val="333333"/>
                <w:sz w:val="20"/>
                <w:szCs w:val="20"/>
              </w:rPr>
            </w:pPr>
          </w:p>
        </w:tc>
        <w:tc>
          <w:tcPr>
            <w:tcW w:w="7795" w:type="dxa"/>
            <w:gridSpan w:val="12"/>
            <w:vAlign w:val="center"/>
          </w:tcPr>
          <w:p w14:paraId="4601B066" w14:textId="77777777" w:rsidR="000A5C9B" w:rsidRPr="00446E53" w:rsidRDefault="000A5C9B" w:rsidP="00370D8E">
            <w:pPr>
              <w:keepLines/>
              <w:rPr>
                <w:rFonts w:ascii="Arial Narrow" w:hAnsi="Arial Narrow"/>
                <w:bCs/>
                <w:color w:val="333333"/>
                <w:sz w:val="20"/>
                <w:szCs w:val="20"/>
              </w:rPr>
            </w:pPr>
            <w:r w:rsidRPr="00446E53">
              <w:rPr>
                <w:rFonts w:ascii="Arial Narrow" w:hAnsi="Arial Narrow"/>
                <w:b/>
                <w:bCs/>
                <w:color w:val="333333"/>
                <w:sz w:val="20"/>
                <w:szCs w:val="20"/>
              </w:rPr>
              <w:t xml:space="preserve">Episodicity: </w:t>
            </w:r>
            <w:r w:rsidRPr="00CC3A3C">
              <w:rPr>
                <w:rFonts w:ascii="Arial Narrow" w:hAnsi="Arial Narrow"/>
                <w:color w:val="333333"/>
                <w:sz w:val="20"/>
                <w:szCs w:val="20"/>
              </w:rPr>
              <w:t>[blank]</w:t>
            </w:r>
          </w:p>
        </w:tc>
      </w:tr>
      <w:tr w:rsidR="000A5C9B" w:rsidRPr="00446E53" w14:paraId="5DC4FD34" w14:textId="77777777" w:rsidTr="00F92F4D">
        <w:tblPrEx>
          <w:tblCellMar>
            <w:top w:w="15" w:type="dxa"/>
            <w:bottom w:w="15" w:type="dxa"/>
          </w:tblCellMar>
          <w:tblLook w:val="04A0" w:firstRow="1" w:lastRow="0" w:firstColumn="1" w:lastColumn="0" w:noHBand="0" w:noVBand="1"/>
        </w:tblPrEx>
        <w:trPr>
          <w:trHeight w:val="20"/>
        </w:trPr>
        <w:tc>
          <w:tcPr>
            <w:tcW w:w="1222" w:type="dxa"/>
            <w:vMerge/>
          </w:tcPr>
          <w:p w14:paraId="2771AFF8" w14:textId="77777777" w:rsidR="000A5C9B" w:rsidRPr="00446E53" w:rsidRDefault="000A5C9B" w:rsidP="00370D8E">
            <w:pPr>
              <w:keepLines/>
              <w:jc w:val="center"/>
              <w:rPr>
                <w:rFonts w:ascii="Arial Narrow" w:hAnsi="Arial Narrow"/>
                <w:color w:val="333333"/>
                <w:sz w:val="20"/>
                <w:szCs w:val="20"/>
              </w:rPr>
            </w:pPr>
          </w:p>
        </w:tc>
        <w:tc>
          <w:tcPr>
            <w:tcW w:w="7795" w:type="dxa"/>
            <w:gridSpan w:val="12"/>
            <w:vAlign w:val="center"/>
          </w:tcPr>
          <w:p w14:paraId="4F78864C" w14:textId="77777777" w:rsidR="000A5C9B" w:rsidRPr="00446E53" w:rsidRDefault="000A5C9B" w:rsidP="00370D8E">
            <w:pPr>
              <w:keepLines/>
              <w:rPr>
                <w:rFonts w:ascii="Arial Narrow" w:hAnsi="Arial Narrow"/>
                <w:b/>
                <w:bCs/>
                <w:color w:val="333333"/>
                <w:sz w:val="20"/>
                <w:szCs w:val="20"/>
              </w:rPr>
            </w:pPr>
            <w:r w:rsidRPr="00446E53">
              <w:rPr>
                <w:rFonts w:ascii="Arial Narrow" w:hAnsi="Arial Narrow"/>
                <w:b/>
                <w:bCs/>
                <w:color w:val="333333"/>
                <w:sz w:val="20"/>
                <w:szCs w:val="20"/>
              </w:rPr>
              <w:t xml:space="preserve">Severity: </w:t>
            </w:r>
            <w:r w:rsidRPr="00CC3A3C">
              <w:rPr>
                <w:rFonts w:ascii="Arial Narrow" w:hAnsi="Arial Narrow"/>
                <w:color w:val="333333"/>
                <w:sz w:val="20"/>
                <w:szCs w:val="20"/>
              </w:rPr>
              <w:t>[blank]</w:t>
            </w:r>
          </w:p>
        </w:tc>
      </w:tr>
      <w:tr w:rsidR="000A5C9B" w:rsidRPr="00CC3A3C" w14:paraId="0466ECE8" w14:textId="77777777" w:rsidTr="00F92F4D">
        <w:tblPrEx>
          <w:tblCellMar>
            <w:top w:w="15" w:type="dxa"/>
            <w:bottom w:w="15" w:type="dxa"/>
          </w:tblCellMar>
          <w:tblLook w:val="04A0" w:firstRow="1" w:lastRow="0" w:firstColumn="1" w:lastColumn="0" w:noHBand="0" w:noVBand="1"/>
        </w:tblPrEx>
        <w:trPr>
          <w:trHeight w:val="20"/>
        </w:trPr>
        <w:tc>
          <w:tcPr>
            <w:tcW w:w="1222" w:type="dxa"/>
            <w:vMerge/>
          </w:tcPr>
          <w:p w14:paraId="6932ADCC" w14:textId="77777777" w:rsidR="000A5C9B" w:rsidRPr="00446E53" w:rsidRDefault="000A5C9B" w:rsidP="00370D8E">
            <w:pPr>
              <w:keepLines/>
              <w:jc w:val="center"/>
              <w:rPr>
                <w:rFonts w:ascii="Arial Narrow" w:hAnsi="Arial Narrow"/>
                <w:color w:val="333333"/>
                <w:sz w:val="20"/>
                <w:szCs w:val="20"/>
              </w:rPr>
            </w:pPr>
          </w:p>
        </w:tc>
        <w:tc>
          <w:tcPr>
            <w:tcW w:w="7795" w:type="dxa"/>
            <w:gridSpan w:val="12"/>
            <w:vAlign w:val="center"/>
          </w:tcPr>
          <w:p w14:paraId="58425941" w14:textId="77777777" w:rsidR="000A5C9B" w:rsidRPr="00CC3A3C" w:rsidRDefault="000A5C9B" w:rsidP="00370D8E">
            <w:pPr>
              <w:keepLines/>
              <w:rPr>
                <w:rFonts w:ascii="Arial Narrow" w:hAnsi="Arial Narrow"/>
                <w:color w:val="333333"/>
                <w:sz w:val="20"/>
                <w:szCs w:val="20"/>
              </w:rPr>
            </w:pPr>
            <w:r w:rsidRPr="00446E53">
              <w:rPr>
                <w:rFonts w:ascii="Arial Narrow" w:hAnsi="Arial Narrow"/>
                <w:b/>
                <w:bCs/>
                <w:color w:val="333333"/>
                <w:sz w:val="20"/>
                <w:szCs w:val="20"/>
              </w:rPr>
              <w:t xml:space="preserve">Condition: </w:t>
            </w:r>
            <w:r>
              <w:rPr>
                <w:rFonts w:ascii="Arial Narrow" w:hAnsi="Arial Narrow"/>
                <w:color w:val="333333"/>
                <w:sz w:val="20"/>
                <w:szCs w:val="20"/>
              </w:rPr>
              <w:t xml:space="preserve">Complement 3 glomerulopathy (C3G) </w:t>
            </w:r>
          </w:p>
        </w:tc>
      </w:tr>
      <w:tr w:rsidR="000A5C9B" w:rsidRPr="00CC3A3C" w14:paraId="3C505B28" w14:textId="77777777" w:rsidTr="00F92F4D">
        <w:tblPrEx>
          <w:tblCellMar>
            <w:top w:w="15" w:type="dxa"/>
            <w:bottom w:w="15" w:type="dxa"/>
          </w:tblCellMar>
          <w:tblLook w:val="04A0" w:firstRow="1" w:lastRow="0" w:firstColumn="1" w:lastColumn="0" w:noHBand="0" w:noVBand="1"/>
        </w:tblPrEx>
        <w:trPr>
          <w:trHeight w:val="20"/>
        </w:trPr>
        <w:tc>
          <w:tcPr>
            <w:tcW w:w="1222" w:type="dxa"/>
            <w:hideMark/>
          </w:tcPr>
          <w:p w14:paraId="7B9B2F08" w14:textId="77777777" w:rsidR="000A5C9B" w:rsidRPr="00446E53" w:rsidRDefault="000A5C9B" w:rsidP="00370D8E">
            <w:pPr>
              <w:keepLines/>
              <w:jc w:val="center"/>
              <w:rPr>
                <w:rFonts w:ascii="Arial Narrow" w:hAnsi="Arial Narrow"/>
                <w:color w:val="333333"/>
                <w:sz w:val="20"/>
                <w:szCs w:val="20"/>
              </w:rPr>
            </w:pPr>
            <w:r w:rsidRPr="00446E53">
              <w:rPr>
                <w:rFonts w:ascii="Arial Narrow" w:hAnsi="Arial Narrow"/>
                <w:color w:val="333333"/>
                <w:sz w:val="20"/>
                <w:szCs w:val="20"/>
              </w:rPr>
              <w:t>New I1</w:t>
            </w:r>
          </w:p>
        </w:tc>
        <w:tc>
          <w:tcPr>
            <w:tcW w:w="7795" w:type="dxa"/>
            <w:gridSpan w:val="12"/>
            <w:vAlign w:val="center"/>
            <w:hideMark/>
          </w:tcPr>
          <w:p w14:paraId="0B68534D" w14:textId="77777777" w:rsidR="000A5C9B" w:rsidRPr="00CC3A3C" w:rsidRDefault="000A5C9B" w:rsidP="00370D8E">
            <w:pPr>
              <w:keepLines/>
              <w:rPr>
                <w:rFonts w:ascii="Arial Narrow" w:hAnsi="Arial Narrow"/>
                <w:sz w:val="20"/>
                <w:szCs w:val="20"/>
              </w:rPr>
            </w:pPr>
            <w:r w:rsidRPr="00CC3A3C">
              <w:rPr>
                <w:rFonts w:ascii="Arial Narrow" w:hAnsi="Arial Narrow"/>
                <w:b/>
                <w:bCs/>
                <w:sz w:val="20"/>
                <w:szCs w:val="20"/>
              </w:rPr>
              <w:t>Indication:</w:t>
            </w:r>
            <w:r w:rsidRPr="00CC3A3C">
              <w:rPr>
                <w:rFonts w:ascii="Arial Narrow" w:hAnsi="Arial Narrow"/>
                <w:sz w:val="20"/>
                <w:szCs w:val="20"/>
              </w:rPr>
              <w:t xml:space="preserve"> Complement 3 glomerulopathy (C3G)</w:t>
            </w:r>
          </w:p>
        </w:tc>
      </w:tr>
      <w:tr w:rsidR="000A5C9B" w:rsidRPr="00CC3A3C" w14:paraId="680B30C7" w14:textId="77777777" w:rsidTr="00F92F4D">
        <w:tblPrEx>
          <w:tblCellMar>
            <w:top w:w="15" w:type="dxa"/>
            <w:bottom w:w="15" w:type="dxa"/>
          </w:tblCellMar>
          <w:tblLook w:val="04A0" w:firstRow="1" w:lastRow="0" w:firstColumn="1" w:lastColumn="0" w:noHBand="0" w:noVBand="1"/>
        </w:tblPrEx>
        <w:trPr>
          <w:trHeight w:val="20"/>
        </w:trPr>
        <w:tc>
          <w:tcPr>
            <w:tcW w:w="1222" w:type="dxa"/>
            <w:hideMark/>
          </w:tcPr>
          <w:p w14:paraId="71C5F17C" w14:textId="77777777" w:rsidR="000A5C9B" w:rsidRPr="00446E53" w:rsidRDefault="000A5C9B" w:rsidP="00370D8E">
            <w:pPr>
              <w:jc w:val="center"/>
              <w:rPr>
                <w:rFonts w:ascii="Arial Narrow" w:hAnsi="Arial Narrow"/>
                <w:color w:val="333333"/>
                <w:sz w:val="20"/>
                <w:szCs w:val="20"/>
              </w:rPr>
            </w:pPr>
          </w:p>
        </w:tc>
        <w:tc>
          <w:tcPr>
            <w:tcW w:w="7795" w:type="dxa"/>
            <w:gridSpan w:val="12"/>
            <w:vAlign w:val="center"/>
            <w:hideMark/>
          </w:tcPr>
          <w:p w14:paraId="51CE07B9" w14:textId="77777777" w:rsidR="000A5C9B" w:rsidRPr="00CC3A3C" w:rsidRDefault="000A5C9B" w:rsidP="00370D8E">
            <w:pPr>
              <w:rPr>
                <w:rFonts w:ascii="Arial Narrow" w:hAnsi="Arial Narrow"/>
                <w:sz w:val="20"/>
                <w:szCs w:val="20"/>
              </w:rPr>
            </w:pPr>
            <w:r w:rsidRPr="00CC3A3C">
              <w:rPr>
                <w:rFonts w:ascii="Arial Narrow" w:hAnsi="Arial Narrow"/>
                <w:b/>
                <w:bCs/>
                <w:sz w:val="20"/>
                <w:szCs w:val="20"/>
              </w:rPr>
              <w:t>Treatment Phase:</w:t>
            </w:r>
            <w:r w:rsidRPr="00CC3A3C">
              <w:rPr>
                <w:rFonts w:ascii="Arial Narrow" w:hAnsi="Arial Narrow"/>
                <w:sz w:val="20"/>
                <w:szCs w:val="20"/>
              </w:rPr>
              <w:t xml:space="preserve"> Initial treatment</w:t>
            </w:r>
            <w:r>
              <w:rPr>
                <w:rFonts w:ascii="Arial Narrow" w:hAnsi="Arial Narrow"/>
                <w:i/>
                <w:iCs/>
                <w:sz w:val="20"/>
                <w:szCs w:val="20"/>
              </w:rPr>
              <w:t xml:space="preserve"> – native kidney patients</w:t>
            </w:r>
            <w:r w:rsidRPr="00CC3A3C">
              <w:rPr>
                <w:rFonts w:ascii="Arial Narrow" w:hAnsi="Arial Narrow"/>
                <w:sz w:val="20"/>
                <w:szCs w:val="20"/>
              </w:rPr>
              <w:t xml:space="preserve"> </w:t>
            </w:r>
            <w:r w:rsidRPr="006845CB">
              <w:rPr>
                <w:rFonts w:ascii="Arial Narrow" w:hAnsi="Arial Narrow"/>
                <w:strike/>
                <w:sz w:val="20"/>
                <w:szCs w:val="20"/>
              </w:rPr>
              <w:t>(new patient)</w:t>
            </w:r>
          </w:p>
        </w:tc>
      </w:tr>
      <w:tr w:rsidR="000A5C9B" w:rsidRPr="00446E53" w14:paraId="1A488487"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105B23B4" w14:textId="77777777" w:rsidR="000A5C9B" w:rsidRPr="003A1081" w:rsidRDefault="000A5C9B" w:rsidP="00370D8E">
            <w:pPr>
              <w:jc w:val="center"/>
              <w:rPr>
                <w:rFonts w:ascii="Arial Narrow" w:hAnsi="Arial Narrow"/>
                <w:color w:val="333333"/>
                <w:sz w:val="20"/>
                <w:szCs w:val="20"/>
              </w:rPr>
            </w:pPr>
            <w:r>
              <w:rPr>
                <w:rFonts w:ascii="Arial Narrow" w:hAnsi="Arial Narrow"/>
                <w:color w:val="333333"/>
                <w:sz w:val="20"/>
                <w:szCs w:val="20"/>
              </w:rPr>
              <w:t>New CC</w:t>
            </w:r>
          </w:p>
        </w:tc>
        <w:tc>
          <w:tcPr>
            <w:tcW w:w="7795" w:type="dxa"/>
            <w:gridSpan w:val="12"/>
            <w:vAlign w:val="center"/>
            <w:hideMark/>
          </w:tcPr>
          <w:p w14:paraId="137568F7" w14:textId="77777777" w:rsidR="000A5C9B" w:rsidRPr="00446E53" w:rsidRDefault="000A5C9B" w:rsidP="00370D8E">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0A5C9B" w:rsidRPr="00F26587" w14:paraId="106E372B"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6B10FCBE" w14:textId="77777777" w:rsidR="000A5C9B" w:rsidRPr="00726D00" w:rsidRDefault="000A5C9B" w:rsidP="00370D8E">
            <w:pPr>
              <w:jc w:val="center"/>
              <w:rPr>
                <w:rFonts w:ascii="Arial Narrow" w:hAnsi="Arial Narrow"/>
                <w:sz w:val="20"/>
                <w:szCs w:val="20"/>
              </w:rPr>
            </w:pPr>
            <w:r>
              <w:rPr>
                <w:rFonts w:ascii="Arial Narrow" w:hAnsi="Arial Narrow"/>
                <w:color w:val="333333"/>
                <w:sz w:val="20"/>
                <w:szCs w:val="20"/>
              </w:rPr>
              <w:t>New CC</w:t>
            </w:r>
          </w:p>
        </w:tc>
        <w:tc>
          <w:tcPr>
            <w:tcW w:w="7795" w:type="dxa"/>
            <w:gridSpan w:val="12"/>
            <w:vAlign w:val="center"/>
            <w:hideMark/>
          </w:tcPr>
          <w:p w14:paraId="05BCECBA" w14:textId="77777777" w:rsidR="000A5C9B" w:rsidRPr="003A1081" w:rsidRDefault="000A5C9B" w:rsidP="00370D8E">
            <w:pPr>
              <w:rPr>
                <w:rFonts w:ascii="Arial Narrow" w:hAnsi="Arial Narrow"/>
                <w:strike/>
                <w:sz w:val="20"/>
                <w:szCs w:val="20"/>
              </w:rPr>
            </w:pPr>
            <w:r w:rsidRPr="003A1081">
              <w:rPr>
                <w:rFonts w:ascii="Arial Narrow" w:hAnsi="Arial Narrow"/>
                <w:strike/>
                <w:sz w:val="20"/>
                <w:szCs w:val="20"/>
              </w:rPr>
              <w:t>Patient must have a diagnosis of C3G, confirmed by kidney biopsy, prior to initiating treatment with this drug</w:t>
            </w:r>
          </w:p>
          <w:p w14:paraId="3BD25E08" w14:textId="77777777" w:rsidR="000A5C9B" w:rsidRPr="00F26587" w:rsidRDefault="000A5C9B" w:rsidP="00370D8E">
            <w:pPr>
              <w:rPr>
                <w:rFonts w:ascii="Arial Narrow" w:hAnsi="Arial Narrow"/>
                <w:i/>
                <w:iCs/>
                <w:sz w:val="20"/>
                <w:szCs w:val="20"/>
              </w:rPr>
            </w:pPr>
            <w:r>
              <w:rPr>
                <w:rFonts w:ascii="Arial Narrow" w:hAnsi="Arial Narrow"/>
                <w:i/>
                <w:iCs/>
                <w:sz w:val="20"/>
                <w:szCs w:val="20"/>
              </w:rPr>
              <w:t xml:space="preserve">Patient must have/have had a confirmed diagnosis of complement 3 glomerulopathy (C3G) evidenced by kidney biopsy prior to commencing treatment with this drug </w:t>
            </w:r>
          </w:p>
        </w:tc>
      </w:tr>
      <w:tr w:rsidR="000A5C9B" w:rsidRPr="00446E53" w14:paraId="49FCED4B"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6F47336D" w14:textId="77777777" w:rsidR="000A5C9B" w:rsidRPr="00446E53" w:rsidRDefault="000A5C9B" w:rsidP="00370D8E">
            <w:pPr>
              <w:jc w:val="center"/>
              <w:rPr>
                <w:rFonts w:ascii="Arial Narrow" w:hAnsi="Arial Narrow"/>
                <w:color w:val="333333"/>
                <w:sz w:val="20"/>
                <w:szCs w:val="20"/>
              </w:rPr>
            </w:pPr>
          </w:p>
        </w:tc>
        <w:tc>
          <w:tcPr>
            <w:tcW w:w="7795" w:type="dxa"/>
            <w:gridSpan w:val="12"/>
            <w:vAlign w:val="center"/>
            <w:hideMark/>
          </w:tcPr>
          <w:p w14:paraId="198CCF64" w14:textId="77777777" w:rsidR="000A5C9B" w:rsidRPr="00446E53" w:rsidRDefault="000A5C9B" w:rsidP="00370D8E">
            <w:pPr>
              <w:rPr>
                <w:rFonts w:ascii="Arial Narrow" w:hAnsi="Arial Narrow"/>
                <w:color w:val="333333"/>
                <w:sz w:val="20"/>
                <w:szCs w:val="20"/>
              </w:rPr>
            </w:pPr>
            <w:r w:rsidRPr="00446E53">
              <w:rPr>
                <w:rFonts w:ascii="Arial Narrow" w:hAnsi="Arial Narrow"/>
                <w:b/>
                <w:bCs/>
                <w:color w:val="333333"/>
                <w:sz w:val="20"/>
                <w:szCs w:val="20"/>
              </w:rPr>
              <w:t>AND</w:t>
            </w:r>
          </w:p>
        </w:tc>
      </w:tr>
      <w:tr w:rsidR="000A5C9B" w:rsidRPr="00446E53" w14:paraId="3ED47603"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07283868" w14:textId="77777777" w:rsidR="000A5C9B" w:rsidRPr="00446E53" w:rsidRDefault="000A5C9B" w:rsidP="00370D8E">
            <w:pPr>
              <w:jc w:val="center"/>
              <w:rPr>
                <w:rFonts w:ascii="Arial Narrow" w:hAnsi="Arial Narrow"/>
                <w:color w:val="333333"/>
                <w:sz w:val="20"/>
                <w:szCs w:val="20"/>
              </w:rPr>
            </w:pPr>
            <w:r>
              <w:rPr>
                <w:rFonts w:ascii="Arial Narrow" w:hAnsi="Arial Narrow"/>
                <w:color w:val="333333"/>
                <w:sz w:val="20"/>
                <w:szCs w:val="20"/>
              </w:rPr>
              <w:t>New CC</w:t>
            </w:r>
          </w:p>
        </w:tc>
        <w:tc>
          <w:tcPr>
            <w:tcW w:w="7795" w:type="dxa"/>
            <w:gridSpan w:val="12"/>
            <w:vAlign w:val="center"/>
            <w:hideMark/>
          </w:tcPr>
          <w:p w14:paraId="2D089F4F" w14:textId="77777777" w:rsidR="000A5C9B" w:rsidRPr="00446E53" w:rsidRDefault="000A5C9B" w:rsidP="00370D8E">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0A5C9B" w:rsidRPr="0030696A" w14:paraId="6744AB47"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77C02289" w14:textId="77777777" w:rsidR="000A5C9B" w:rsidRPr="00446E53" w:rsidRDefault="000A5C9B" w:rsidP="00370D8E">
            <w:pPr>
              <w:jc w:val="center"/>
              <w:rPr>
                <w:rFonts w:ascii="Arial Narrow" w:hAnsi="Arial Narrow"/>
                <w:color w:val="333333"/>
                <w:sz w:val="20"/>
                <w:szCs w:val="20"/>
              </w:rPr>
            </w:pPr>
            <w:r>
              <w:rPr>
                <w:rFonts w:ascii="Arial Narrow" w:hAnsi="Arial Narrow"/>
                <w:color w:val="333333"/>
                <w:sz w:val="20"/>
                <w:szCs w:val="20"/>
              </w:rPr>
              <w:t>New CC</w:t>
            </w:r>
          </w:p>
        </w:tc>
        <w:tc>
          <w:tcPr>
            <w:tcW w:w="7795" w:type="dxa"/>
            <w:gridSpan w:val="12"/>
            <w:vAlign w:val="center"/>
          </w:tcPr>
          <w:p w14:paraId="20F9CC9F" w14:textId="77777777" w:rsidR="000A5C9B" w:rsidRPr="0030696A" w:rsidRDefault="000A5C9B" w:rsidP="00370D8E">
            <w:pPr>
              <w:rPr>
                <w:rFonts w:ascii="Arial Narrow" w:hAnsi="Arial Narrow"/>
                <w:strike/>
                <w:sz w:val="20"/>
                <w:szCs w:val="20"/>
              </w:rPr>
            </w:pPr>
            <w:r w:rsidRPr="0030696A">
              <w:rPr>
                <w:rFonts w:ascii="Arial Narrow" w:hAnsi="Arial Narrow"/>
                <w:strike/>
                <w:sz w:val="20"/>
                <w:szCs w:val="20"/>
              </w:rPr>
              <w:t>Patient must have an estimated glomerular filtration rate of at least 30 mL/min/1.73 m2 prior to initiating treatment with this drug</w:t>
            </w:r>
          </w:p>
          <w:p w14:paraId="2A2BA423" w14:textId="77777777" w:rsidR="000A5C9B" w:rsidRPr="0030696A" w:rsidRDefault="000A5C9B" w:rsidP="00370D8E">
            <w:pPr>
              <w:rPr>
                <w:rFonts w:ascii="Arial Narrow" w:hAnsi="Arial Narrow"/>
                <w:i/>
                <w:iCs/>
                <w:color w:val="FF0000"/>
                <w:sz w:val="20"/>
                <w:szCs w:val="20"/>
              </w:rPr>
            </w:pPr>
            <w:r>
              <w:rPr>
                <w:rFonts w:ascii="Arial Narrow" w:hAnsi="Arial Narrow"/>
                <w:i/>
                <w:iCs/>
                <w:sz w:val="20"/>
                <w:szCs w:val="20"/>
              </w:rPr>
              <w:t xml:space="preserve">Patient must have/have had an </w:t>
            </w:r>
            <w:r w:rsidRPr="0030696A">
              <w:rPr>
                <w:rFonts w:ascii="Arial Narrow" w:hAnsi="Arial Narrow"/>
                <w:i/>
                <w:iCs/>
                <w:sz w:val="20"/>
                <w:szCs w:val="20"/>
              </w:rPr>
              <w:t>estimated glomerular filtration rate (eGFR) of at least 30 mL/min/1.73 m</w:t>
            </w:r>
            <w:r w:rsidRPr="0030696A">
              <w:rPr>
                <w:rFonts w:ascii="Arial Narrow" w:hAnsi="Arial Narrow"/>
                <w:i/>
                <w:iCs/>
                <w:sz w:val="20"/>
                <w:szCs w:val="20"/>
                <w:vertAlign w:val="superscript"/>
              </w:rPr>
              <w:t>2</w:t>
            </w:r>
            <w:r>
              <w:rPr>
                <w:rFonts w:ascii="Arial Narrow" w:hAnsi="Arial Narrow"/>
                <w:i/>
                <w:iCs/>
                <w:sz w:val="20"/>
                <w:szCs w:val="20"/>
              </w:rPr>
              <w:t xml:space="preserve"> prior to commencing treatment with this drug</w:t>
            </w:r>
          </w:p>
        </w:tc>
      </w:tr>
      <w:tr w:rsidR="000A5C9B" w:rsidRPr="00446E53" w14:paraId="2A4C36EE"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506BB775" w14:textId="77777777" w:rsidR="000A5C9B" w:rsidRPr="00446E53" w:rsidRDefault="000A5C9B" w:rsidP="00370D8E">
            <w:pPr>
              <w:jc w:val="center"/>
              <w:rPr>
                <w:rFonts w:ascii="Arial Narrow" w:hAnsi="Arial Narrow"/>
                <w:color w:val="333333"/>
                <w:sz w:val="20"/>
                <w:szCs w:val="20"/>
              </w:rPr>
            </w:pPr>
          </w:p>
        </w:tc>
        <w:tc>
          <w:tcPr>
            <w:tcW w:w="7795" w:type="dxa"/>
            <w:gridSpan w:val="12"/>
            <w:vAlign w:val="center"/>
            <w:hideMark/>
          </w:tcPr>
          <w:p w14:paraId="4F69D639" w14:textId="77777777" w:rsidR="000A5C9B" w:rsidRPr="00446E53" w:rsidRDefault="000A5C9B" w:rsidP="00370D8E">
            <w:pPr>
              <w:rPr>
                <w:rFonts w:ascii="Arial Narrow" w:hAnsi="Arial Narrow"/>
                <w:color w:val="333333"/>
                <w:sz w:val="20"/>
                <w:szCs w:val="20"/>
              </w:rPr>
            </w:pPr>
            <w:r w:rsidRPr="00446E53">
              <w:rPr>
                <w:rFonts w:ascii="Arial Narrow" w:hAnsi="Arial Narrow"/>
                <w:b/>
                <w:bCs/>
                <w:color w:val="333333"/>
                <w:sz w:val="20"/>
                <w:szCs w:val="20"/>
              </w:rPr>
              <w:t>AND</w:t>
            </w:r>
          </w:p>
        </w:tc>
      </w:tr>
      <w:tr w:rsidR="000A5C9B" w:rsidRPr="00446E53" w14:paraId="2F207F7D"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48E4035B" w14:textId="77777777" w:rsidR="000A5C9B" w:rsidRPr="00446E53" w:rsidRDefault="000A5C9B" w:rsidP="00370D8E">
            <w:pPr>
              <w:jc w:val="center"/>
              <w:rPr>
                <w:rFonts w:ascii="Arial Narrow" w:hAnsi="Arial Narrow"/>
                <w:color w:val="333333"/>
                <w:sz w:val="20"/>
                <w:szCs w:val="20"/>
              </w:rPr>
            </w:pPr>
            <w:r>
              <w:rPr>
                <w:rFonts w:ascii="Arial Narrow" w:hAnsi="Arial Narrow"/>
                <w:color w:val="333333"/>
                <w:sz w:val="20"/>
                <w:szCs w:val="20"/>
              </w:rPr>
              <w:t>New CC</w:t>
            </w:r>
          </w:p>
        </w:tc>
        <w:tc>
          <w:tcPr>
            <w:tcW w:w="7795" w:type="dxa"/>
            <w:gridSpan w:val="12"/>
            <w:vAlign w:val="center"/>
            <w:hideMark/>
          </w:tcPr>
          <w:p w14:paraId="6E618B0E" w14:textId="77777777" w:rsidR="000A5C9B" w:rsidRPr="00446E53" w:rsidRDefault="000A5C9B" w:rsidP="00370D8E">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0A5C9B" w:rsidRPr="001B6E5A" w14:paraId="437FF1F9"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0CC7AB5D" w14:textId="77777777" w:rsidR="000A5C9B" w:rsidRPr="00446E53" w:rsidRDefault="000A5C9B" w:rsidP="00370D8E">
            <w:pPr>
              <w:jc w:val="center"/>
              <w:rPr>
                <w:rFonts w:ascii="Arial Narrow" w:hAnsi="Arial Narrow"/>
                <w:sz w:val="20"/>
                <w:szCs w:val="20"/>
              </w:rPr>
            </w:pPr>
            <w:r>
              <w:rPr>
                <w:rFonts w:ascii="Arial Narrow" w:hAnsi="Arial Narrow"/>
                <w:color w:val="333333"/>
                <w:sz w:val="20"/>
                <w:szCs w:val="20"/>
              </w:rPr>
              <w:t>New CC</w:t>
            </w:r>
          </w:p>
        </w:tc>
        <w:tc>
          <w:tcPr>
            <w:tcW w:w="7795" w:type="dxa"/>
            <w:gridSpan w:val="12"/>
            <w:vAlign w:val="center"/>
            <w:hideMark/>
          </w:tcPr>
          <w:p w14:paraId="6305D72A" w14:textId="77777777" w:rsidR="000A5C9B" w:rsidRPr="007E0C32" w:rsidRDefault="000A5C9B" w:rsidP="00370D8E">
            <w:pPr>
              <w:rPr>
                <w:rFonts w:ascii="Arial Narrow" w:hAnsi="Arial Narrow"/>
                <w:strike/>
                <w:sz w:val="20"/>
                <w:szCs w:val="20"/>
              </w:rPr>
            </w:pPr>
            <w:r w:rsidRPr="007E0C32">
              <w:rPr>
                <w:rFonts w:ascii="Arial Narrow" w:hAnsi="Arial Narrow"/>
                <w:strike/>
                <w:sz w:val="20"/>
                <w:szCs w:val="20"/>
              </w:rPr>
              <w:t>Patient must have a urine protein-creatine ratio (UPCR) of at least 1.0 g/g or 113 mg/mmol prior to initiating treatment with this drug</w:t>
            </w:r>
          </w:p>
          <w:p w14:paraId="721C51ED" w14:textId="77777777" w:rsidR="000A5C9B" w:rsidRPr="001B6E5A" w:rsidRDefault="000A5C9B" w:rsidP="00370D8E">
            <w:pPr>
              <w:rPr>
                <w:rFonts w:ascii="Arial Narrow" w:hAnsi="Arial Narrow"/>
                <w:i/>
                <w:iCs/>
                <w:color w:val="333333"/>
                <w:sz w:val="20"/>
                <w:szCs w:val="20"/>
              </w:rPr>
            </w:pPr>
            <w:r>
              <w:rPr>
                <w:rFonts w:ascii="Arial Narrow" w:hAnsi="Arial Narrow"/>
                <w:i/>
                <w:iCs/>
                <w:sz w:val="20"/>
                <w:szCs w:val="20"/>
              </w:rPr>
              <w:t>Patient must have/have had a urine protein-creatine ratio (UPCR) of at least 1.0 g/g (or 113 mg/mmol) prior to commencing treatment with this drug</w:t>
            </w:r>
          </w:p>
        </w:tc>
      </w:tr>
      <w:tr w:rsidR="000A5C9B" w:rsidRPr="00446E53" w14:paraId="3856EBEE"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1E72C77C" w14:textId="77777777" w:rsidR="000A5C9B" w:rsidRPr="00446E53" w:rsidRDefault="000A5C9B" w:rsidP="00370D8E">
            <w:pPr>
              <w:jc w:val="center"/>
              <w:rPr>
                <w:rFonts w:ascii="Arial Narrow" w:hAnsi="Arial Narrow"/>
                <w:color w:val="FF0000"/>
                <w:sz w:val="20"/>
                <w:szCs w:val="20"/>
              </w:rPr>
            </w:pPr>
          </w:p>
        </w:tc>
        <w:tc>
          <w:tcPr>
            <w:tcW w:w="7795" w:type="dxa"/>
            <w:gridSpan w:val="12"/>
            <w:vAlign w:val="center"/>
          </w:tcPr>
          <w:p w14:paraId="345B9459" w14:textId="77777777" w:rsidR="000A5C9B" w:rsidRPr="00446E53" w:rsidRDefault="000A5C9B" w:rsidP="00370D8E">
            <w:pPr>
              <w:rPr>
                <w:rFonts w:ascii="Arial Narrow" w:hAnsi="Arial Narrow"/>
                <w:color w:val="FF0000"/>
                <w:sz w:val="20"/>
                <w:szCs w:val="20"/>
              </w:rPr>
            </w:pPr>
            <w:r w:rsidRPr="00446E53">
              <w:rPr>
                <w:rFonts w:ascii="Arial Narrow" w:hAnsi="Arial Narrow" w:cs="Arial Narrow"/>
                <w:b/>
                <w:bCs/>
                <w:iCs/>
                <w:sz w:val="20"/>
                <w:szCs w:val="20"/>
              </w:rPr>
              <w:t>AND</w:t>
            </w:r>
          </w:p>
        </w:tc>
      </w:tr>
      <w:tr w:rsidR="000A5C9B" w:rsidRPr="00446E53" w14:paraId="441BEA3B"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79A5DBE1" w14:textId="77777777" w:rsidR="000A5C9B" w:rsidRPr="00446E53" w:rsidRDefault="000A5C9B" w:rsidP="00370D8E">
            <w:pPr>
              <w:keepNext/>
              <w:jc w:val="center"/>
              <w:rPr>
                <w:rFonts w:ascii="Arial Narrow" w:hAnsi="Arial Narrow"/>
                <w:color w:val="333333"/>
                <w:sz w:val="20"/>
                <w:szCs w:val="20"/>
              </w:rPr>
            </w:pPr>
            <w:r>
              <w:rPr>
                <w:rFonts w:ascii="Arial Narrow" w:hAnsi="Arial Narrow"/>
                <w:color w:val="333333"/>
                <w:sz w:val="20"/>
                <w:szCs w:val="20"/>
              </w:rPr>
              <w:t>New CC</w:t>
            </w:r>
          </w:p>
        </w:tc>
        <w:tc>
          <w:tcPr>
            <w:tcW w:w="7795" w:type="dxa"/>
            <w:gridSpan w:val="12"/>
            <w:vAlign w:val="center"/>
          </w:tcPr>
          <w:p w14:paraId="6AF13F72" w14:textId="77777777" w:rsidR="000A5C9B" w:rsidRPr="00446E53" w:rsidRDefault="000A5C9B" w:rsidP="00370D8E">
            <w:pPr>
              <w:keepNext/>
              <w:rPr>
                <w:rFonts w:ascii="Arial Narrow" w:hAnsi="Arial Narrow"/>
                <w:b/>
                <w:bCs/>
                <w:color w:val="333333"/>
                <w:sz w:val="20"/>
                <w:szCs w:val="20"/>
              </w:rPr>
            </w:pPr>
            <w:r w:rsidRPr="00446E53">
              <w:rPr>
                <w:rFonts w:ascii="Arial Narrow" w:hAnsi="Arial Narrow"/>
                <w:b/>
                <w:bCs/>
                <w:color w:val="333333"/>
                <w:sz w:val="20"/>
                <w:szCs w:val="20"/>
              </w:rPr>
              <w:t>Clinical criteria:</w:t>
            </w:r>
          </w:p>
        </w:tc>
      </w:tr>
      <w:tr w:rsidR="000A5C9B" w:rsidRPr="009575C6" w14:paraId="39A262CA"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7DF5AFF9" w14:textId="77777777" w:rsidR="000A5C9B" w:rsidRPr="00446E53" w:rsidRDefault="000A5C9B" w:rsidP="00370D8E">
            <w:pPr>
              <w:keepNext/>
              <w:jc w:val="center"/>
              <w:rPr>
                <w:rFonts w:ascii="Arial Narrow" w:hAnsi="Arial Narrow"/>
                <w:color w:val="333333"/>
                <w:sz w:val="20"/>
                <w:szCs w:val="20"/>
              </w:rPr>
            </w:pPr>
            <w:r>
              <w:rPr>
                <w:rFonts w:ascii="Arial Narrow" w:hAnsi="Arial Narrow"/>
                <w:color w:val="333333"/>
                <w:sz w:val="20"/>
                <w:szCs w:val="20"/>
              </w:rPr>
              <w:t>New CC</w:t>
            </w:r>
          </w:p>
        </w:tc>
        <w:tc>
          <w:tcPr>
            <w:tcW w:w="7795" w:type="dxa"/>
            <w:gridSpan w:val="12"/>
            <w:vAlign w:val="center"/>
          </w:tcPr>
          <w:p w14:paraId="556CDBCA" w14:textId="77777777" w:rsidR="000A5C9B" w:rsidRPr="0043708B" w:rsidRDefault="000A5C9B" w:rsidP="00370D8E">
            <w:pPr>
              <w:keepNext/>
              <w:rPr>
                <w:rFonts w:ascii="Arial Narrow" w:hAnsi="Arial Narrow"/>
                <w:strike/>
                <w:sz w:val="20"/>
                <w:szCs w:val="20"/>
              </w:rPr>
            </w:pPr>
            <w:r w:rsidRPr="0043708B">
              <w:rPr>
                <w:rFonts w:ascii="Arial Narrow" w:hAnsi="Arial Narrow"/>
                <w:strike/>
                <w:sz w:val="20"/>
                <w:szCs w:val="20"/>
              </w:rPr>
              <w:t>Patient must have been stabilised on an ACE inhibitor or Angiotensin II receptor antagonist to receive treatment with this drug unless such treatment is medically contraindicated or cannot be tolerated</w:t>
            </w:r>
          </w:p>
          <w:p w14:paraId="4C38C9CC" w14:textId="77777777" w:rsidR="000A5C9B" w:rsidRPr="009575C6" w:rsidRDefault="000A5C9B" w:rsidP="00370D8E">
            <w:pPr>
              <w:keepNext/>
              <w:rPr>
                <w:rFonts w:ascii="Arial Narrow" w:hAnsi="Arial Narrow"/>
                <w:b/>
                <w:bCs/>
                <w:i/>
                <w:iCs/>
                <w:color w:val="333333"/>
                <w:sz w:val="20"/>
                <w:szCs w:val="20"/>
              </w:rPr>
            </w:pPr>
            <w:r>
              <w:rPr>
                <w:rFonts w:ascii="Arial Narrow" w:hAnsi="Arial Narrow"/>
                <w:i/>
                <w:iCs/>
                <w:sz w:val="20"/>
                <w:szCs w:val="20"/>
              </w:rPr>
              <w:t>Patient must have been stabilised on either: (i) ACE inhibitor, (ii) Angiotensin II receptor antagonist (ARB), prior to commencing treatment with this drug, unless intolerant/</w:t>
            </w:r>
            <w:r w:rsidRPr="0043708B">
              <w:rPr>
                <w:rFonts w:ascii="Arial Narrow" w:hAnsi="Arial Narrow"/>
                <w:i/>
                <w:iCs/>
                <w:sz w:val="20"/>
                <w:szCs w:val="20"/>
              </w:rPr>
              <w:t xml:space="preserve">contraindicated according to the TGA-approved Product Information </w:t>
            </w:r>
          </w:p>
        </w:tc>
      </w:tr>
      <w:tr w:rsidR="000A5C9B" w:rsidRPr="001213FA" w14:paraId="6B891205"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25B4A465" w14:textId="77777777" w:rsidR="000A5C9B" w:rsidRPr="00A67B94" w:rsidRDefault="000A5C9B" w:rsidP="00370D8E">
            <w:pPr>
              <w:keepNext/>
              <w:jc w:val="center"/>
              <w:rPr>
                <w:rFonts w:ascii="Arial Narrow" w:hAnsi="Arial Narrow"/>
                <w:color w:val="333333"/>
                <w:sz w:val="20"/>
                <w:szCs w:val="20"/>
              </w:rPr>
            </w:pPr>
          </w:p>
        </w:tc>
        <w:tc>
          <w:tcPr>
            <w:tcW w:w="7795" w:type="dxa"/>
            <w:gridSpan w:val="12"/>
            <w:vAlign w:val="center"/>
          </w:tcPr>
          <w:p w14:paraId="1E137555" w14:textId="77777777" w:rsidR="000A5C9B" w:rsidRPr="001213FA" w:rsidRDefault="000A5C9B" w:rsidP="00370D8E">
            <w:pPr>
              <w:keepNext/>
              <w:rPr>
                <w:rFonts w:ascii="Arial Narrow" w:hAnsi="Arial Narrow"/>
                <w:i/>
                <w:sz w:val="20"/>
                <w:szCs w:val="20"/>
              </w:rPr>
            </w:pPr>
            <w:r w:rsidRPr="001213FA">
              <w:rPr>
                <w:rFonts w:ascii="Arial Narrow" w:hAnsi="Arial Narrow" w:cs="Arial Narrow"/>
                <w:b/>
                <w:bCs/>
                <w:i/>
                <w:sz w:val="20"/>
                <w:szCs w:val="20"/>
              </w:rPr>
              <w:t>AND</w:t>
            </w:r>
          </w:p>
        </w:tc>
      </w:tr>
      <w:tr w:rsidR="000A5C9B" w:rsidRPr="00A67B94" w14:paraId="3C686287"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04854959" w14:textId="77777777" w:rsidR="000A5C9B" w:rsidRPr="001213FA" w:rsidRDefault="000A5C9B" w:rsidP="00370D8E">
            <w:pPr>
              <w:keepNext/>
              <w:jc w:val="center"/>
              <w:rPr>
                <w:rFonts w:ascii="Arial Narrow" w:hAnsi="Arial Narrow"/>
                <w:i/>
                <w:iCs/>
                <w:color w:val="333333"/>
                <w:sz w:val="20"/>
                <w:szCs w:val="20"/>
              </w:rPr>
            </w:pPr>
            <w:r>
              <w:rPr>
                <w:rFonts w:ascii="Arial Narrow" w:hAnsi="Arial Narrow"/>
                <w:i/>
                <w:iCs/>
                <w:color w:val="333333"/>
                <w:sz w:val="20"/>
                <w:szCs w:val="20"/>
              </w:rPr>
              <w:t>23150</w:t>
            </w:r>
          </w:p>
        </w:tc>
        <w:tc>
          <w:tcPr>
            <w:tcW w:w="7795" w:type="dxa"/>
            <w:gridSpan w:val="12"/>
            <w:vAlign w:val="center"/>
          </w:tcPr>
          <w:p w14:paraId="085B94CE" w14:textId="77777777" w:rsidR="000A5C9B" w:rsidRPr="00A67B94" w:rsidRDefault="000A5C9B" w:rsidP="00370D8E">
            <w:pPr>
              <w:keepNext/>
              <w:rPr>
                <w:rFonts w:ascii="Arial Narrow" w:hAnsi="Arial Narrow"/>
                <w:sz w:val="20"/>
                <w:szCs w:val="20"/>
              </w:rPr>
            </w:pPr>
            <w:r>
              <w:rPr>
                <w:rFonts w:ascii="Arial Narrow" w:hAnsi="Arial Narrow"/>
                <w:b/>
                <w:bCs/>
                <w:i/>
                <w:iCs/>
                <w:color w:val="333333"/>
                <w:sz w:val="20"/>
                <w:szCs w:val="20"/>
              </w:rPr>
              <w:t>Clinical</w:t>
            </w:r>
            <w:r w:rsidRPr="00A67B94">
              <w:rPr>
                <w:rFonts w:ascii="Arial Narrow" w:hAnsi="Arial Narrow"/>
                <w:b/>
                <w:bCs/>
                <w:i/>
                <w:iCs/>
                <w:color w:val="333333"/>
                <w:sz w:val="20"/>
                <w:szCs w:val="20"/>
              </w:rPr>
              <w:t xml:space="preserve"> criteria:</w:t>
            </w:r>
          </w:p>
        </w:tc>
      </w:tr>
      <w:tr w:rsidR="000A5C9B" w:rsidRPr="001213FA" w14:paraId="052C7C38"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0B9897A8" w14:textId="77777777" w:rsidR="000A5C9B" w:rsidRPr="001213FA" w:rsidRDefault="000A5C9B" w:rsidP="00370D8E">
            <w:pPr>
              <w:keepNext/>
              <w:jc w:val="center"/>
              <w:rPr>
                <w:rFonts w:ascii="Arial Narrow" w:hAnsi="Arial Narrow"/>
                <w:i/>
                <w:iCs/>
                <w:color w:val="333333"/>
                <w:sz w:val="20"/>
                <w:szCs w:val="20"/>
              </w:rPr>
            </w:pPr>
            <w:r w:rsidRPr="001213FA">
              <w:rPr>
                <w:rFonts w:ascii="Arial Narrow" w:hAnsi="Arial Narrow"/>
                <w:i/>
                <w:iCs/>
                <w:color w:val="333333"/>
                <w:sz w:val="20"/>
                <w:szCs w:val="20"/>
              </w:rPr>
              <w:t>22518</w:t>
            </w:r>
          </w:p>
        </w:tc>
        <w:tc>
          <w:tcPr>
            <w:tcW w:w="7795" w:type="dxa"/>
            <w:gridSpan w:val="12"/>
            <w:vAlign w:val="center"/>
          </w:tcPr>
          <w:p w14:paraId="77FECDDD" w14:textId="77777777" w:rsidR="000A5C9B" w:rsidRPr="001213FA" w:rsidRDefault="000A5C9B" w:rsidP="00370D8E">
            <w:pPr>
              <w:keepNext/>
              <w:rPr>
                <w:rFonts w:ascii="Arial Narrow" w:hAnsi="Arial Narrow"/>
                <w:i/>
                <w:iCs/>
                <w:sz w:val="20"/>
                <w:szCs w:val="20"/>
              </w:rPr>
            </w:pPr>
            <w:r w:rsidRPr="001213FA">
              <w:rPr>
                <w:rFonts w:ascii="Arial Narrow" w:hAnsi="Arial Narrow"/>
                <w:i/>
                <w:iCs/>
                <w:sz w:val="20"/>
                <w:szCs w:val="20"/>
              </w:rPr>
              <w:t>Patient must not have had a kidney transplant</w:t>
            </w:r>
          </w:p>
        </w:tc>
      </w:tr>
      <w:tr w:rsidR="000A5C9B" w:rsidRPr="00446E53" w14:paraId="3C313920"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16A6173C" w14:textId="77777777" w:rsidR="000A5C9B" w:rsidRPr="00D27ACE" w:rsidRDefault="000A5C9B" w:rsidP="00370D8E">
            <w:pPr>
              <w:keepNext/>
              <w:jc w:val="center"/>
              <w:rPr>
                <w:rFonts w:ascii="Arial Narrow" w:hAnsi="Arial Narrow"/>
                <w:color w:val="333333"/>
                <w:sz w:val="20"/>
                <w:szCs w:val="20"/>
              </w:rPr>
            </w:pPr>
            <w:r w:rsidRPr="00D27ACE">
              <w:rPr>
                <w:rFonts w:ascii="Arial Narrow" w:hAnsi="Arial Narrow"/>
                <w:color w:val="333333"/>
                <w:sz w:val="20"/>
                <w:szCs w:val="20"/>
              </w:rPr>
              <w:t>New TC</w:t>
            </w:r>
          </w:p>
        </w:tc>
        <w:tc>
          <w:tcPr>
            <w:tcW w:w="7795" w:type="dxa"/>
            <w:gridSpan w:val="12"/>
            <w:vAlign w:val="center"/>
            <w:hideMark/>
          </w:tcPr>
          <w:p w14:paraId="7CD616AF" w14:textId="77777777" w:rsidR="000A5C9B" w:rsidRPr="00446E53" w:rsidRDefault="000A5C9B" w:rsidP="00370D8E">
            <w:pPr>
              <w:keepNext/>
              <w:rPr>
                <w:rFonts w:ascii="Arial Narrow" w:hAnsi="Arial Narrow"/>
                <w:color w:val="333333"/>
                <w:sz w:val="20"/>
                <w:szCs w:val="20"/>
              </w:rPr>
            </w:pPr>
            <w:r w:rsidRPr="00446E53">
              <w:rPr>
                <w:rFonts w:ascii="Arial Narrow" w:hAnsi="Arial Narrow"/>
                <w:b/>
                <w:bCs/>
                <w:color w:val="333333"/>
                <w:sz w:val="20"/>
                <w:szCs w:val="20"/>
              </w:rPr>
              <w:t>Treatment criteria:</w:t>
            </w:r>
          </w:p>
        </w:tc>
      </w:tr>
      <w:tr w:rsidR="000A5C9B" w:rsidRPr="00BC5E91" w14:paraId="6D5FD806"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47695CB6" w14:textId="77777777" w:rsidR="000A5C9B" w:rsidRPr="00D27ACE" w:rsidRDefault="000A5C9B" w:rsidP="00370D8E">
            <w:pPr>
              <w:jc w:val="center"/>
              <w:rPr>
                <w:rFonts w:ascii="Arial Narrow" w:hAnsi="Arial Narrow"/>
                <w:color w:val="333333"/>
                <w:sz w:val="20"/>
                <w:szCs w:val="20"/>
              </w:rPr>
            </w:pPr>
            <w:r w:rsidRPr="00D27ACE">
              <w:rPr>
                <w:rFonts w:ascii="Arial Narrow" w:hAnsi="Arial Narrow"/>
                <w:color w:val="333333"/>
                <w:sz w:val="20"/>
                <w:szCs w:val="20"/>
              </w:rPr>
              <w:t>13590</w:t>
            </w:r>
          </w:p>
        </w:tc>
        <w:tc>
          <w:tcPr>
            <w:tcW w:w="7795" w:type="dxa"/>
            <w:gridSpan w:val="12"/>
            <w:vAlign w:val="center"/>
            <w:hideMark/>
          </w:tcPr>
          <w:p w14:paraId="30169506" w14:textId="77777777" w:rsidR="000A5C9B" w:rsidRPr="00BC5E91" w:rsidRDefault="000A5C9B" w:rsidP="00370D8E">
            <w:pPr>
              <w:autoSpaceDE w:val="0"/>
              <w:autoSpaceDN w:val="0"/>
              <w:adjustRightInd w:val="0"/>
              <w:rPr>
                <w:rFonts w:ascii="Arial Narrow" w:hAnsi="Arial Narrow"/>
                <w:sz w:val="20"/>
                <w:szCs w:val="20"/>
              </w:rPr>
            </w:pPr>
            <w:r w:rsidRPr="00BC5E91">
              <w:rPr>
                <w:rFonts w:ascii="Arial Narrow" w:hAnsi="Arial Narrow"/>
                <w:sz w:val="20"/>
                <w:szCs w:val="20"/>
              </w:rPr>
              <w:t>Must be treated by a nephrologist; or</w:t>
            </w:r>
          </w:p>
        </w:tc>
      </w:tr>
      <w:tr w:rsidR="000A5C9B" w:rsidRPr="00A84045" w14:paraId="0837B01C"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10EF5E03" w14:textId="77777777" w:rsidR="000A5C9B" w:rsidRPr="00D27ACE" w:rsidRDefault="000A5C9B" w:rsidP="00370D8E">
            <w:pPr>
              <w:jc w:val="center"/>
              <w:rPr>
                <w:rFonts w:ascii="Arial Narrow" w:hAnsi="Arial Narrow"/>
                <w:color w:val="333333"/>
                <w:sz w:val="20"/>
                <w:szCs w:val="20"/>
              </w:rPr>
            </w:pPr>
            <w:r w:rsidRPr="00D27ACE">
              <w:rPr>
                <w:rFonts w:ascii="Arial Narrow" w:hAnsi="Arial Narrow"/>
                <w:color w:val="333333"/>
                <w:sz w:val="20"/>
                <w:szCs w:val="20"/>
              </w:rPr>
              <w:t>New TC</w:t>
            </w:r>
          </w:p>
        </w:tc>
        <w:tc>
          <w:tcPr>
            <w:tcW w:w="7795" w:type="dxa"/>
            <w:gridSpan w:val="12"/>
            <w:vAlign w:val="center"/>
          </w:tcPr>
          <w:p w14:paraId="49F64812" w14:textId="77777777" w:rsidR="000A5C9B" w:rsidRPr="00A84045" w:rsidRDefault="000A5C9B" w:rsidP="00370D8E">
            <w:pPr>
              <w:autoSpaceDE w:val="0"/>
              <w:autoSpaceDN w:val="0"/>
              <w:adjustRightInd w:val="0"/>
              <w:rPr>
                <w:rFonts w:ascii="Arial Narrow" w:hAnsi="Arial Narrow"/>
                <w:sz w:val="20"/>
                <w:szCs w:val="20"/>
              </w:rPr>
            </w:pPr>
            <w:r w:rsidRPr="00A84045">
              <w:rPr>
                <w:rFonts w:ascii="Arial Narrow" w:hAnsi="Arial Narrow"/>
                <w:sz w:val="20"/>
                <w:szCs w:val="20"/>
              </w:rPr>
              <w:t>Must be treated by a non-specialist medical physician or nurse practitioner who has consulted a nephrologist on the patient’s drug treatment details</w:t>
            </w:r>
          </w:p>
        </w:tc>
      </w:tr>
      <w:tr w:rsidR="000A5C9B" w:rsidRPr="00446E53" w14:paraId="0024ADF1"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5B6BE648" w14:textId="77777777" w:rsidR="000A5C9B" w:rsidRPr="009B4A1A" w:rsidRDefault="000A5C9B" w:rsidP="00370D8E">
            <w:pPr>
              <w:jc w:val="center"/>
              <w:rPr>
                <w:rFonts w:ascii="Arial Narrow" w:hAnsi="Arial Narrow"/>
                <w:i/>
                <w:iCs/>
                <w:color w:val="333333"/>
                <w:sz w:val="20"/>
                <w:szCs w:val="20"/>
              </w:rPr>
            </w:pPr>
            <w:r>
              <w:rPr>
                <w:rFonts w:ascii="Arial Narrow" w:hAnsi="Arial Narrow"/>
                <w:i/>
                <w:iCs/>
                <w:color w:val="333333"/>
                <w:sz w:val="20"/>
                <w:szCs w:val="20"/>
              </w:rPr>
              <w:t>27771</w:t>
            </w:r>
          </w:p>
        </w:tc>
        <w:tc>
          <w:tcPr>
            <w:tcW w:w="7795" w:type="dxa"/>
            <w:gridSpan w:val="12"/>
            <w:vAlign w:val="center"/>
            <w:hideMark/>
          </w:tcPr>
          <w:p w14:paraId="556E3644" w14:textId="77777777" w:rsidR="000A5C9B" w:rsidRPr="00446E53" w:rsidRDefault="000A5C9B" w:rsidP="00370D8E">
            <w:pPr>
              <w:rPr>
                <w:rFonts w:ascii="Arial Narrow" w:hAnsi="Arial Narrow"/>
                <w:color w:val="333333"/>
                <w:sz w:val="20"/>
                <w:szCs w:val="20"/>
              </w:rPr>
            </w:pPr>
            <w:r w:rsidRPr="00446E53">
              <w:rPr>
                <w:rFonts w:ascii="Arial Narrow" w:hAnsi="Arial Narrow"/>
                <w:b/>
                <w:bCs/>
                <w:color w:val="333333"/>
                <w:sz w:val="20"/>
                <w:szCs w:val="20"/>
              </w:rPr>
              <w:t>Population criteria:</w:t>
            </w:r>
          </w:p>
        </w:tc>
      </w:tr>
      <w:tr w:rsidR="000A5C9B" w:rsidRPr="009B4A1A" w14:paraId="3C55970B"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1A31A4DC" w14:textId="77777777" w:rsidR="000A5C9B" w:rsidRPr="009B4A1A" w:rsidRDefault="000A5C9B" w:rsidP="00370D8E">
            <w:pPr>
              <w:jc w:val="center"/>
              <w:rPr>
                <w:rFonts w:ascii="Arial Narrow" w:hAnsi="Arial Narrow"/>
                <w:i/>
                <w:iCs/>
                <w:color w:val="333333"/>
                <w:sz w:val="20"/>
                <w:szCs w:val="20"/>
              </w:rPr>
            </w:pPr>
            <w:r w:rsidRPr="009B4A1A">
              <w:rPr>
                <w:rFonts w:ascii="Arial Narrow" w:hAnsi="Arial Narrow"/>
                <w:i/>
                <w:iCs/>
                <w:color w:val="333333"/>
                <w:sz w:val="20"/>
                <w:szCs w:val="20"/>
              </w:rPr>
              <w:t>27770</w:t>
            </w:r>
          </w:p>
        </w:tc>
        <w:tc>
          <w:tcPr>
            <w:tcW w:w="7795" w:type="dxa"/>
            <w:gridSpan w:val="12"/>
            <w:vAlign w:val="center"/>
            <w:hideMark/>
          </w:tcPr>
          <w:p w14:paraId="7D8E4923" w14:textId="77777777" w:rsidR="000A5C9B" w:rsidRPr="009B4A1A" w:rsidRDefault="000A5C9B" w:rsidP="00370D8E">
            <w:pPr>
              <w:rPr>
                <w:rFonts w:ascii="Arial Narrow" w:hAnsi="Arial Narrow"/>
                <w:strike/>
                <w:sz w:val="20"/>
                <w:szCs w:val="20"/>
              </w:rPr>
            </w:pPr>
            <w:r w:rsidRPr="009B4A1A">
              <w:rPr>
                <w:rFonts w:ascii="Arial Narrow" w:hAnsi="Arial Narrow"/>
                <w:strike/>
                <w:sz w:val="20"/>
                <w:szCs w:val="20"/>
              </w:rPr>
              <w:t>Patient must be 18 years of age or older</w:t>
            </w:r>
          </w:p>
          <w:p w14:paraId="5698BB48" w14:textId="77777777" w:rsidR="000A5C9B" w:rsidRPr="009B4A1A" w:rsidRDefault="000A5C9B" w:rsidP="00370D8E">
            <w:pPr>
              <w:rPr>
                <w:rFonts w:ascii="Arial Narrow" w:hAnsi="Arial Narrow"/>
                <w:i/>
                <w:iCs/>
                <w:sz w:val="20"/>
                <w:szCs w:val="20"/>
              </w:rPr>
            </w:pPr>
            <w:r>
              <w:rPr>
                <w:rFonts w:ascii="Arial Narrow" w:hAnsi="Arial Narrow"/>
                <w:i/>
                <w:iCs/>
                <w:sz w:val="20"/>
                <w:szCs w:val="20"/>
              </w:rPr>
              <w:t xml:space="preserve">Patient must be at least 18 years of age. </w:t>
            </w:r>
          </w:p>
        </w:tc>
      </w:tr>
      <w:tr w:rsidR="000A5C9B" w:rsidRPr="00DB1035" w14:paraId="2CF63D88"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3A904B53" w14:textId="77777777" w:rsidR="000A5C9B" w:rsidRPr="00DB1035" w:rsidRDefault="000A5C9B" w:rsidP="00370D8E">
            <w:pPr>
              <w:jc w:val="center"/>
              <w:rPr>
                <w:rFonts w:ascii="Arial Narrow" w:hAnsi="Arial Narrow"/>
                <w:strike/>
                <w:color w:val="333333"/>
                <w:sz w:val="20"/>
                <w:szCs w:val="20"/>
              </w:rPr>
            </w:pPr>
          </w:p>
        </w:tc>
        <w:tc>
          <w:tcPr>
            <w:tcW w:w="7795" w:type="dxa"/>
            <w:gridSpan w:val="12"/>
            <w:vAlign w:val="center"/>
          </w:tcPr>
          <w:p w14:paraId="4CA6902F" w14:textId="77777777" w:rsidR="000A5C9B" w:rsidRPr="00DB1035" w:rsidRDefault="000A5C9B" w:rsidP="00370D8E">
            <w:pPr>
              <w:rPr>
                <w:rFonts w:ascii="Arial Narrow" w:hAnsi="Arial Narrow"/>
                <w:strike/>
                <w:color w:val="333333"/>
                <w:sz w:val="20"/>
                <w:szCs w:val="20"/>
              </w:rPr>
            </w:pPr>
            <w:r w:rsidRPr="00DB1035">
              <w:rPr>
                <w:rFonts w:ascii="Arial Narrow" w:hAnsi="Arial Narrow" w:cs="Arial Narrow"/>
                <w:b/>
                <w:bCs/>
                <w:iCs/>
                <w:strike/>
                <w:sz w:val="20"/>
                <w:szCs w:val="20"/>
              </w:rPr>
              <w:t>AND</w:t>
            </w:r>
          </w:p>
        </w:tc>
      </w:tr>
      <w:tr w:rsidR="000A5C9B" w:rsidRPr="00DB1035" w14:paraId="20791B7E"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7DA357CE" w14:textId="77777777" w:rsidR="000A5C9B" w:rsidRPr="00DB1035" w:rsidRDefault="000A5C9B" w:rsidP="00370D8E">
            <w:pPr>
              <w:jc w:val="center"/>
              <w:rPr>
                <w:rFonts w:ascii="Arial Narrow" w:hAnsi="Arial Narrow"/>
                <w:strike/>
                <w:color w:val="333333"/>
                <w:sz w:val="20"/>
                <w:szCs w:val="20"/>
              </w:rPr>
            </w:pPr>
            <w:r>
              <w:rPr>
                <w:rFonts w:ascii="Arial Narrow" w:hAnsi="Arial Narrow"/>
                <w:strike/>
                <w:color w:val="333333"/>
                <w:sz w:val="20"/>
                <w:szCs w:val="20"/>
              </w:rPr>
              <w:t>New PC</w:t>
            </w:r>
          </w:p>
        </w:tc>
        <w:tc>
          <w:tcPr>
            <w:tcW w:w="7795" w:type="dxa"/>
            <w:gridSpan w:val="12"/>
            <w:vAlign w:val="center"/>
          </w:tcPr>
          <w:p w14:paraId="7E6C6C06" w14:textId="77777777" w:rsidR="000A5C9B" w:rsidRPr="00DB1035" w:rsidRDefault="000A5C9B" w:rsidP="00370D8E">
            <w:pPr>
              <w:rPr>
                <w:rFonts w:ascii="Arial Narrow" w:hAnsi="Arial Narrow"/>
                <w:i/>
                <w:iCs/>
                <w:strike/>
                <w:color w:val="333333"/>
                <w:sz w:val="20"/>
                <w:szCs w:val="20"/>
              </w:rPr>
            </w:pPr>
            <w:r w:rsidRPr="00DB1035">
              <w:rPr>
                <w:rFonts w:ascii="Arial Narrow" w:hAnsi="Arial Narrow"/>
                <w:b/>
                <w:bCs/>
                <w:i/>
                <w:iCs/>
                <w:strike/>
                <w:color w:val="333333"/>
                <w:sz w:val="20"/>
                <w:szCs w:val="20"/>
              </w:rPr>
              <w:t>Population criteria:</w:t>
            </w:r>
          </w:p>
        </w:tc>
      </w:tr>
      <w:tr w:rsidR="000A5C9B" w:rsidRPr="00DB1035" w14:paraId="49070EC0"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6120673F" w14:textId="77777777" w:rsidR="000A5C9B" w:rsidRPr="00DB1035" w:rsidRDefault="000A5C9B" w:rsidP="00370D8E">
            <w:pPr>
              <w:jc w:val="center"/>
              <w:rPr>
                <w:rFonts w:ascii="Arial Narrow" w:hAnsi="Arial Narrow"/>
                <w:strike/>
                <w:color w:val="333333"/>
                <w:sz w:val="20"/>
                <w:szCs w:val="20"/>
              </w:rPr>
            </w:pPr>
            <w:r>
              <w:rPr>
                <w:rFonts w:ascii="Arial Narrow" w:hAnsi="Arial Narrow"/>
                <w:strike/>
                <w:color w:val="333333"/>
                <w:sz w:val="20"/>
                <w:szCs w:val="20"/>
              </w:rPr>
              <w:t>New PC</w:t>
            </w:r>
          </w:p>
        </w:tc>
        <w:tc>
          <w:tcPr>
            <w:tcW w:w="7795" w:type="dxa"/>
            <w:gridSpan w:val="12"/>
            <w:vAlign w:val="center"/>
          </w:tcPr>
          <w:p w14:paraId="3325B7C0" w14:textId="77777777" w:rsidR="000A5C9B" w:rsidRPr="00DB1035" w:rsidRDefault="000A5C9B" w:rsidP="00370D8E">
            <w:pPr>
              <w:rPr>
                <w:rFonts w:ascii="Arial Narrow" w:hAnsi="Arial Narrow"/>
                <w:strike/>
                <w:color w:val="333333"/>
                <w:sz w:val="20"/>
                <w:szCs w:val="20"/>
              </w:rPr>
            </w:pPr>
            <w:r w:rsidRPr="00DB1035">
              <w:rPr>
                <w:rFonts w:ascii="Arial Narrow" w:hAnsi="Arial Narrow"/>
                <w:strike/>
                <w:sz w:val="20"/>
                <w:szCs w:val="20"/>
              </w:rPr>
              <w:t>Patient must not have had a kidney transplant</w:t>
            </w:r>
          </w:p>
        </w:tc>
      </w:tr>
      <w:tr w:rsidR="000A5C9B" w:rsidRPr="00446E53" w14:paraId="2F8D3B05" w14:textId="77777777" w:rsidTr="00F92F4D">
        <w:tblPrEx>
          <w:tblCellMar>
            <w:top w:w="15" w:type="dxa"/>
            <w:bottom w:w="15" w:type="dxa"/>
          </w:tblCellMar>
          <w:tblLook w:val="04A0" w:firstRow="1" w:lastRow="0" w:firstColumn="1" w:lastColumn="0" w:noHBand="0" w:noVBand="1"/>
        </w:tblPrEx>
        <w:trPr>
          <w:trHeight w:val="20"/>
        </w:trPr>
        <w:tc>
          <w:tcPr>
            <w:tcW w:w="1222" w:type="dxa"/>
            <w:hideMark/>
          </w:tcPr>
          <w:p w14:paraId="2ECDB8F6" w14:textId="77777777" w:rsidR="000A5C9B" w:rsidRPr="001B4E7A" w:rsidRDefault="000A5C9B" w:rsidP="00370D8E">
            <w:pPr>
              <w:jc w:val="center"/>
              <w:rPr>
                <w:rFonts w:ascii="Arial Narrow" w:hAnsi="Arial Narrow"/>
                <w:i/>
                <w:iCs/>
                <w:color w:val="333333"/>
                <w:sz w:val="20"/>
                <w:szCs w:val="20"/>
              </w:rPr>
            </w:pPr>
            <w:r w:rsidRPr="001B4E7A">
              <w:rPr>
                <w:rFonts w:ascii="Arial Narrow" w:hAnsi="Arial Narrow"/>
                <w:i/>
                <w:iCs/>
                <w:color w:val="333333"/>
                <w:sz w:val="20"/>
                <w:szCs w:val="20"/>
              </w:rPr>
              <w:t xml:space="preserve">34070 </w:t>
            </w:r>
          </w:p>
        </w:tc>
        <w:tc>
          <w:tcPr>
            <w:tcW w:w="7795" w:type="dxa"/>
            <w:gridSpan w:val="12"/>
            <w:vAlign w:val="center"/>
            <w:hideMark/>
          </w:tcPr>
          <w:p w14:paraId="253D8DB6" w14:textId="77777777" w:rsidR="000A5C9B" w:rsidRPr="00C42087" w:rsidRDefault="000A5C9B" w:rsidP="00370D8E">
            <w:pPr>
              <w:rPr>
                <w:rFonts w:ascii="Arial Narrow" w:hAnsi="Arial Narrow"/>
                <w:b/>
                <w:bCs/>
                <w:sz w:val="20"/>
                <w:szCs w:val="20"/>
              </w:rPr>
            </w:pPr>
            <w:r w:rsidRPr="00C42087">
              <w:rPr>
                <w:rFonts w:ascii="Arial Narrow" w:hAnsi="Arial Narrow"/>
                <w:b/>
                <w:bCs/>
                <w:sz w:val="20"/>
                <w:szCs w:val="20"/>
              </w:rPr>
              <w:t xml:space="preserve">Prescribing Instructions: </w:t>
            </w:r>
          </w:p>
          <w:p w14:paraId="45723883" w14:textId="77777777" w:rsidR="000A5C9B" w:rsidRPr="00C42087" w:rsidRDefault="000A5C9B" w:rsidP="00370D8E">
            <w:pPr>
              <w:rPr>
                <w:rFonts w:ascii="Arial Narrow" w:hAnsi="Arial Narrow"/>
                <w:sz w:val="20"/>
                <w:szCs w:val="20"/>
              </w:rPr>
            </w:pPr>
            <w:r w:rsidRPr="00C42087">
              <w:rPr>
                <w:rFonts w:ascii="Arial Narrow" w:hAnsi="Arial Narrow"/>
                <w:sz w:val="20"/>
                <w:szCs w:val="20"/>
              </w:rPr>
              <w:t xml:space="preserve">The authority application must be made </w:t>
            </w:r>
            <w:r>
              <w:rPr>
                <w:rFonts w:ascii="Arial Narrow" w:hAnsi="Arial Narrow"/>
                <w:i/>
                <w:iCs/>
                <w:sz w:val="20"/>
                <w:szCs w:val="20"/>
              </w:rPr>
              <w:t xml:space="preserve">via the Online PBS Authorities System, or </w:t>
            </w:r>
            <w:r w:rsidRPr="00C42087">
              <w:rPr>
                <w:rFonts w:ascii="Arial Narrow" w:hAnsi="Arial Narrow"/>
                <w:sz w:val="20"/>
                <w:szCs w:val="20"/>
              </w:rPr>
              <w:t>in writing</w:t>
            </w:r>
            <w:r>
              <w:rPr>
                <w:rFonts w:ascii="Arial Narrow" w:hAnsi="Arial Narrow"/>
                <w:sz w:val="20"/>
                <w:szCs w:val="20"/>
              </w:rPr>
              <w:t xml:space="preserve"> </w:t>
            </w:r>
            <w:r>
              <w:rPr>
                <w:rFonts w:ascii="Arial Narrow" w:hAnsi="Arial Narrow"/>
                <w:i/>
                <w:iCs/>
                <w:sz w:val="20"/>
                <w:szCs w:val="20"/>
              </w:rPr>
              <w:t>via HPOS form upload or mail</w:t>
            </w:r>
            <w:r w:rsidRPr="00C42087">
              <w:rPr>
                <w:rFonts w:ascii="Arial Narrow" w:hAnsi="Arial Narrow"/>
                <w:sz w:val="20"/>
                <w:szCs w:val="20"/>
              </w:rPr>
              <w:t xml:space="preserve"> and must include:</w:t>
            </w:r>
          </w:p>
          <w:p w14:paraId="49EED8AC" w14:textId="77777777" w:rsidR="000A5C9B" w:rsidRPr="00C42087" w:rsidRDefault="000A5C9B" w:rsidP="00370D8E">
            <w:pPr>
              <w:rPr>
                <w:rFonts w:ascii="Arial Narrow" w:hAnsi="Arial Narrow"/>
                <w:sz w:val="20"/>
                <w:szCs w:val="20"/>
              </w:rPr>
            </w:pPr>
            <w:r w:rsidRPr="00C42087">
              <w:rPr>
                <w:rFonts w:ascii="Arial Narrow" w:hAnsi="Arial Narrow"/>
                <w:sz w:val="20"/>
                <w:szCs w:val="20"/>
              </w:rPr>
              <w:t>(1) details of the proposed prescription</w:t>
            </w:r>
            <w:r>
              <w:rPr>
                <w:rFonts w:ascii="Arial Narrow" w:hAnsi="Arial Narrow"/>
                <w:i/>
                <w:iCs/>
                <w:sz w:val="20"/>
                <w:szCs w:val="20"/>
              </w:rPr>
              <w:t>(s)</w:t>
            </w:r>
            <w:r w:rsidRPr="00C42087">
              <w:rPr>
                <w:rFonts w:ascii="Arial Narrow" w:hAnsi="Arial Narrow"/>
                <w:sz w:val="20"/>
                <w:szCs w:val="20"/>
              </w:rPr>
              <w:t>; and</w:t>
            </w:r>
          </w:p>
          <w:p w14:paraId="40C3B896" w14:textId="37C564BB" w:rsidR="000A5C9B" w:rsidRPr="00446E53" w:rsidRDefault="000A5C9B" w:rsidP="00370D8E">
            <w:pPr>
              <w:rPr>
                <w:rFonts w:ascii="Arial Narrow" w:hAnsi="Arial Narrow"/>
                <w:sz w:val="20"/>
                <w:szCs w:val="20"/>
              </w:rPr>
            </w:pPr>
            <w:r w:rsidRPr="00C42087">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0A5C9B" w:rsidRPr="00B3191B" w14:paraId="2B75220A"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581DF134" w14:textId="77777777" w:rsidR="000A5C9B" w:rsidRPr="00C27A72" w:rsidRDefault="000A5C9B" w:rsidP="00370D8E">
            <w:pPr>
              <w:jc w:val="center"/>
              <w:rPr>
                <w:rFonts w:ascii="Arial Narrow" w:hAnsi="Arial Narrow"/>
                <w:i/>
                <w:iCs/>
                <w:color w:val="333333"/>
                <w:sz w:val="20"/>
                <w:szCs w:val="20"/>
              </w:rPr>
            </w:pPr>
            <w:r w:rsidRPr="00C27A72">
              <w:rPr>
                <w:rFonts w:ascii="Arial Narrow" w:hAnsi="Arial Narrow"/>
                <w:i/>
                <w:iCs/>
                <w:color w:val="333333"/>
                <w:sz w:val="20"/>
                <w:szCs w:val="20"/>
              </w:rPr>
              <w:t>New PI</w:t>
            </w:r>
          </w:p>
        </w:tc>
        <w:tc>
          <w:tcPr>
            <w:tcW w:w="7795" w:type="dxa"/>
            <w:gridSpan w:val="12"/>
            <w:vAlign w:val="center"/>
          </w:tcPr>
          <w:p w14:paraId="0FBB2F2F" w14:textId="77777777" w:rsidR="000A5C9B" w:rsidRPr="00C27A72" w:rsidRDefault="000A5C9B" w:rsidP="00370D8E">
            <w:pPr>
              <w:rPr>
                <w:rFonts w:ascii="Arial Narrow" w:hAnsi="Arial Narrow"/>
                <w:b/>
                <w:bCs/>
                <w:i/>
                <w:iCs/>
                <w:sz w:val="20"/>
                <w:szCs w:val="20"/>
              </w:rPr>
            </w:pPr>
            <w:r w:rsidRPr="00C27A72">
              <w:rPr>
                <w:rFonts w:ascii="Arial Narrow" w:hAnsi="Arial Narrow"/>
                <w:b/>
                <w:bCs/>
                <w:i/>
                <w:iCs/>
                <w:sz w:val="20"/>
                <w:szCs w:val="20"/>
              </w:rPr>
              <w:t xml:space="preserve">Prescribing Instructions: </w:t>
            </w:r>
          </w:p>
          <w:p w14:paraId="1B0DE901" w14:textId="77777777" w:rsidR="000A5C9B" w:rsidRDefault="000A5C9B" w:rsidP="00370D8E">
            <w:pPr>
              <w:rPr>
                <w:rFonts w:ascii="Arial Narrow" w:hAnsi="Arial Narrow"/>
                <w:i/>
                <w:iCs/>
                <w:sz w:val="20"/>
                <w:szCs w:val="20"/>
              </w:rPr>
            </w:pPr>
            <w:r>
              <w:rPr>
                <w:rFonts w:ascii="Arial Narrow" w:hAnsi="Arial Narrow"/>
                <w:i/>
                <w:iCs/>
                <w:sz w:val="20"/>
                <w:szCs w:val="20"/>
              </w:rPr>
              <w:t xml:space="preserve">At the time of authority application, details of the following must be provided: </w:t>
            </w:r>
          </w:p>
          <w:p w14:paraId="7FB09769" w14:textId="77777777" w:rsidR="000A5C9B" w:rsidRDefault="000A5C9B" w:rsidP="00370D8E">
            <w:pPr>
              <w:pStyle w:val="ListParagraph"/>
              <w:numPr>
                <w:ilvl w:val="0"/>
                <w:numId w:val="23"/>
              </w:numPr>
              <w:spacing w:after="0"/>
              <w:contextualSpacing/>
              <w:jc w:val="both"/>
              <w:rPr>
                <w:rFonts w:ascii="Arial Narrow" w:hAnsi="Arial Narrow"/>
                <w:i/>
                <w:iCs/>
                <w:sz w:val="20"/>
                <w:szCs w:val="20"/>
              </w:rPr>
            </w:pPr>
            <w:r w:rsidRPr="00702C8F">
              <w:rPr>
                <w:rFonts w:ascii="Arial Narrow" w:hAnsi="Arial Narrow"/>
                <w:i/>
                <w:iCs/>
                <w:sz w:val="20"/>
                <w:szCs w:val="20"/>
              </w:rPr>
              <w:t>eGFR</w:t>
            </w:r>
            <w:r>
              <w:rPr>
                <w:rFonts w:ascii="Arial Narrow" w:hAnsi="Arial Narrow"/>
                <w:i/>
                <w:iCs/>
                <w:sz w:val="20"/>
                <w:szCs w:val="20"/>
              </w:rPr>
              <w:t xml:space="preserve"> and </w:t>
            </w:r>
            <w:r w:rsidRPr="00702C8F">
              <w:rPr>
                <w:rFonts w:ascii="Arial Narrow" w:hAnsi="Arial Narrow"/>
                <w:i/>
                <w:iCs/>
                <w:sz w:val="20"/>
                <w:szCs w:val="20"/>
              </w:rPr>
              <w:t>UPCR at baseline</w:t>
            </w:r>
          </w:p>
          <w:p w14:paraId="34ADA55C" w14:textId="77777777" w:rsidR="000A5C9B" w:rsidRDefault="000A5C9B" w:rsidP="00370D8E">
            <w:pPr>
              <w:pStyle w:val="ListParagraph"/>
              <w:numPr>
                <w:ilvl w:val="0"/>
                <w:numId w:val="23"/>
              </w:numPr>
              <w:spacing w:after="0"/>
              <w:contextualSpacing/>
              <w:jc w:val="both"/>
              <w:rPr>
                <w:rFonts w:ascii="Arial Narrow" w:hAnsi="Arial Narrow"/>
                <w:i/>
                <w:iCs/>
                <w:sz w:val="20"/>
                <w:szCs w:val="20"/>
              </w:rPr>
            </w:pPr>
            <w:r>
              <w:rPr>
                <w:rFonts w:ascii="Arial Narrow" w:hAnsi="Arial Narrow"/>
                <w:i/>
                <w:iCs/>
                <w:sz w:val="20"/>
                <w:szCs w:val="20"/>
              </w:rPr>
              <w:t xml:space="preserve">Details </w:t>
            </w:r>
            <w:r w:rsidRPr="00D12958">
              <w:rPr>
                <w:rFonts w:ascii="Arial Narrow" w:hAnsi="Arial Narrow"/>
                <w:i/>
                <w:iCs/>
                <w:sz w:val="20"/>
                <w:szCs w:val="20"/>
              </w:rPr>
              <w:t xml:space="preserve">(date, unique identifying number/code or provider number) </w:t>
            </w:r>
            <w:r>
              <w:rPr>
                <w:rFonts w:ascii="Arial Narrow" w:hAnsi="Arial Narrow"/>
                <w:i/>
                <w:iCs/>
                <w:sz w:val="20"/>
                <w:szCs w:val="20"/>
              </w:rPr>
              <w:t>of the pathology report confirming C3G diagnosis via</w:t>
            </w:r>
            <w:r w:rsidRPr="00702C8F">
              <w:rPr>
                <w:rFonts w:ascii="Arial Narrow" w:hAnsi="Arial Narrow"/>
                <w:i/>
                <w:iCs/>
                <w:sz w:val="20"/>
                <w:szCs w:val="20"/>
              </w:rPr>
              <w:t xml:space="preserve"> kidney biopsy </w:t>
            </w:r>
          </w:p>
          <w:p w14:paraId="04AD8AF9" w14:textId="77777777" w:rsidR="000A5C9B" w:rsidRDefault="000A5C9B" w:rsidP="00370D8E">
            <w:pPr>
              <w:pStyle w:val="ListParagraph"/>
              <w:numPr>
                <w:ilvl w:val="0"/>
                <w:numId w:val="23"/>
              </w:numPr>
              <w:spacing w:after="0"/>
              <w:contextualSpacing/>
              <w:jc w:val="both"/>
              <w:rPr>
                <w:rFonts w:ascii="Arial Narrow" w:hAnsi="Arial Narrow"/>
                <w:i/>
                <w:iCs/>
                <w:sz w:val="20"/>
                <w:szCs w:val="20"/>
              </w:rPr>
            </w:pPr>
            <w:r>
              <w:rPr>
                <w:rFonts w:ascii="Arial Narrow" w:hAnsi="Arial Narrow"/>
                <w:i/>
                <w:iCs/>
                <w:sz w:val="20"/>
                <w:szCs w:val="20"/>
              </w:rPr>
              <w:t>Treatment with ACE inhibitor or Angiotensin II receptor antagonist (ARB) dose and duration</w:t>
            </w:r>
          </w:p>
          <w:p w14:paraId="10B9300D" w14:textId="77777777" w:rsidR="000A5C9B" w:rsidRPr="00B3191B" w:rsidRDefault="000A5C9B" w:rsidP="00370D8E">
            <w:pPr>
              <w:rPr>
                <w:rFonts w:ascii="Arial Narrow" w:hAnsi="Arial Narrow"/>
                <w:i/>
                <w:iCs/>
                <w:sz w:val="20"/>
                <w:szCs w:val="20"/>
              </w:rPr>
            </w:pPr>
            <w:r>
              <w:rPr>
                <w:rFonts w:ascii="Arial Narrow" w:hAnsi="Arial Narrow"/>
                <w:i/>
                <w:iCs/>
                <w:sz w:val="20"/>
                <w:szCs w:val="20"/>
              </w:rPr>
              <w:t>All results and reports must be documented in the patient’s medical records.</w:t>
            </w:r>
          </w:p>
        </w:tc>
      </w:tr>
      <w:tr w:rsidR="000A5C9B" w:rsidRPr="00C27A72" w14:paraId="61F102A2" w14:textId="77777777" w:rsidTr="00F92F4D">
        <w:tblPrEx>
          <w:tblCellMar>
            <w:top w:w="15" w:type="dxa"/>
            <w:bottom w:w="15" w:type="dxa"/>
          </w:tblCellMar>
          <w:tblLook w:val="04A0" w:firstRow="1" w:lastRow="0" w:firstColumn="1" w:lastColumn="0" w:noHBand="0" w:noVBand="1"/>
        </w:tblPrEx>
        <w:trPr>
          <w:trHeight w:val="20"/>
        </w:trPr>
        <w:tc>
          <w:tcPr>
            <w:tcW w:w="9017" w:type="dxa"/>
            <w:gridSpan w:val="13"/>
          </w:tcPr>
          <w:p w14:paraId="47A79FC4" w14:textId="77777777" w:rsidR="000A5C9B" w:rsidRDefault="000A5C9B" w:rsidP="00370D8E">
            <w:pPr>
              <w:jc w:val="center"/>
              <w:rPr>
                <w:rFonts w:ascii="Arial Narrow" w:hAnsi="Arial Narrow"/>
                <w:i/>
                <w:iCs/>
                <w:color w:val="333333"/>
                <w:sz w:val="20"/>
                <w:szCs w:val="20"/>
              </w:rPr>
            </w:pPr>
          </w:p>
          <w:p w14:paraId="04A8FCA5" w14:textId="77777777" w:rsidR="000A5C9B" w:rsidRPr="00C27A72" w:rsidRDefault="000A5C9B" w:rsidP="00370D8E">
            <w:pPr>
              <w:rPr>
                <w:rFonts w:ascii="Arial Narrow" w:hAnsi="Arial Narrow"/>
                <w:b/>
                <w:bCs/>
                <w:i/>
                <w:iCs/>
                <w:sz w:val="20"/>
                <w:szCs w:val="20"/>
              </w:rPr>
            </w:pPr>
          </w:p>
        </w:tc>
      </w:tr>
      <w:tr w:rsidR="000A5C9B" w:rsidRPr="00C27A72" w14:paraId="2F993BA2" w14:textId="77777777" w:rsidTr="00F92F4D">
        <w:tblPrEx>
          <w:tblCellMar>
            <w:top w:w="15" w:type="dxa"/>
            <w:bottom w:w="15" w:type="dxa"/>
          </w:tblCellMar>
          <w:tblLook w:val="04A0" w:firstRow="1" w:lastRow="0" w:firstColumn="1" w:lastColumn="0" w:noHBand="0" w:noVBand="1"/>
        </w:tblPrEx>
        <w:trPr>
          <w:trHeight w:val="20"/>
        </w:trPr>
        <w:tc>
          <w:tcPr>
            <w:tcW w:w="1222" w:type="dxa"/>
            <w:shd w:val="clear" w:color="auto" w:fill="BFBFBF" w:themeFill="background1" w:themeFillShade="BF"/>
          </w:tcPr>
          <w:p w14:paraId="75FEDFA2" w14:textId="77777777" w:rsidR="000A5C9B" w:rsidRPr="00C27A72" w:rsidRDefault="000A5C9B" w:rsidP="00370D8E">
            <w:pPr>
              <w:jc w:val="center"/>
              <w:rPr>
                <w:rFonts w:ascii="Arial Narrow" w:hAnsi="Arial Narrow"/>
                <w:i/>
                <w:iCs/>
                <w:color w:val="333333"/>
                <w:sz w:val="20"/>
                <w:szCs w:val="20"/>
              </w:rPr>
            </w:pPr>
          </w:p>
        </w:tc>
        <w:tc>
          <w:tcPr>
            <w:tcW w:w="7795" w:type="dxa"/>
            <w:gridSpan w:val="12"/>
            <w:shd w:val="clear" w:color="auto" w:fill="BFBFBF" w:themeFill="background1" w:themeFillShade="BF"/>
            <w:vAlign w:val="center"/>
          </w:tcPr>
          <w:p w14:paraId="4DD64170" w14:textId="77777777" w:rsidR="000A5C9B" w:rsidRPr="00C27A72" w:rsidRDefault="000A5C9B" w:rsidP="00370D8E">
            <w:pPr>
              <w:rPr>
                <w:rFonts w:ascii="Arial Narrow" w:hAnsi="Arial Narrow"/>
                <w:b/>
                <w:bCs/>
                <w:i/>
                <w:iCs/>
                <w:sz w:val="20"/>
                <w:szCs w:val="20"/>
              </w:rPr>
            </w:pPr>
            <w:r w:rsidRPr="00CC3A3C">
              <w:rPr>
                <w:rFonts w:ascii="Arial Narrow" w:hAnsi="Arial Narrow"/>
                <w:b/>
                <w:sz w:val="20"/>
                <w:szCs w:val="20"/>
              </w:rPr>
              <w:t>Restriction Summary [new</w:t>
            </w:r>
            <w:r>
              <w:rPr>
                <w:rFonts w:ascii="Arial Narrow" w:hAnsi="Arial Narrow"/>
                <w:b/>
                <w:sz w:val="20"/>
                <w:szCs w:val="20"/>
              </w:rPr>
              <w:t>2</w:t>
            </w:r>
            <w:r w:rsidRPr="00CC3A3C">
              <w:rPr>
                <w:rFonts w:ascii="Arial Narrow" w:hAnsi="Arial Narrow"/>
                <w:b/>
                <w:sz w:val="20"/>
                <w:szCs w:val="20"/>
              </w:rPr>
              <w:t>] / Treatment of Concept: [new</w:t>
            </w:r>
            <w:r>
              <w:rPr>
                <w:rFonts w:ascii="Arial Narrow" w:hAnsi="Arial Narrow"/>
                <w:b/>
                <w:sz w:val="20"/>
                <w:szCs w:val="20"/>
              </w:rPr>
              <w:t>2</w:t>
            </w:r>
            <w:r w:rsidRPr="00CC3A3C">
              <w:rPr>
                <w:rFonts w:ascii="Arial Narrow" w:hAnsi="Arial Narrow"/>
                <w:b/>
                <w:sz w:val="20"/>
                <w:szCs w:val="20"/>
              </w:rPr>
              <w:t>A]</w:t>
            </w:r>
          </w:p>
        </w:tc>
      </w:tr>
      <w:tr w:rsidR="000A5C9B" w:rsidRPr="00C27A72" w14:paraId="0291A6B2" w14:textId="77777777" w:rsidTr="00F92F4D">
        <w:tblPrEx>
          <w:tblCellMar>
            <w:top w:w="15" w:type="dxa"/>
            <w:bottom w:w="15" w:type="dxa"/>
          </w:tblCellMar>
          <w:tblLook w:val="04A0" w:firstRow="1" w:lastRow="0" w:firstColumn="1" w:lastColumn="0" w:noHBand="0" w:noVBand="1"/>
        </w:tblPrEx>
        <w:trPr>
          <w:trHeight w:val="20"/>
        </w:trPr>
        <w:tc>
          <w:tcPr>
            <w:tcW w:w="1222" w:type="dxa"/>
            <w:vMerge w:val="restart"/>
          </w:tcPr>
          <w:p w14:paraId="24917671" w14:textId="77777777" w:rsidR="000A5C9B" w:rsidRPr="00C27A72" w:rsidRDefault="000A5C9B" w:rsidP="00370D8E">
            <w:pPr>
              <w:jc w:val="center"/>
              <w:rPr>
                <w:rFonts w:ascii="Arial Narrow" w:hAnsi="Arial Narrow"/>
                <w:i/>
                <w:iCs/>
                <w:color w:val="333333"/>
                <w:sz w:val="20"/>
                <w:szCs w:val="20"/>
              </w:rPr>
            </w:pPr>
          </w:p>
        </w:tc>
        <w:tc>
          <w:tcPr>
            <w:tcW w:w="7795" w:type="dxa"/>
            <w:gridSpan w:val="12"/>
            <w:vAlign w:val="center"/>
          </w:tcPr>
          <w:p w14:paraId="7B79968D" w14:textId="77777777" w:rsidR="000A5C9B" w:rsidRPr="00C27A72" w:rsidRDefault="000A5C9B" w:rsidP="00370D8E">
            <w:pPr>
              <w:rPr>
                <w:rFonts w:ascii="Arial Narrow" w:hAnsi="Arial Narrow"/>
                <w:b/>
                <w:bCs/>
                <w:i/>
                <w:iCs/>
                <w:sz w:val="20"/>
                <w:szCs w:val="20"/>
              </w:rPr>
            </w:pPr>
            <w:r w:rsidRPr="00446E53">
              <w:rPr>
                <w:rFonts w:ascii="Arial Narrow" w:hAnsi="Arial Narrow"/>
                <w:b/>
                <w:bCs/>
                <w:color w:val="333333"/>
                <w:sz w:val="20"/>
                <w:szCs w:val="20"/>
              </w:rPr>
              <w:t xml:space="preserve">Episodicity: </w:t>
            </w:r>
            <w:r w:rsidRPr="00CC3A3C">
              <w:rPr>
                <w:rFonts w:ascii="Arial Narrow" w:hAnsi="Arial Narrow"/>
                <w:color w:val="333333"/>
                <w:sz w:val="20"/>
                <w:szCs w:val="20"/>
              </w:rPr>
              <w:t>[blank]</w:t>
            </w:r>
          </w:p>
        </w:tc>
      </w:tr>
      <w:tr w:rsidR="000A5C9B" w:rsidRPr="00C27A72" w14:paraId="6A53FB66" w14:textId="77777777" w:rsidTr="00F92F4D">
        <w:tblPrEx>
          <w:tblCellMar>
            <w:top w:w="15" w:type="dxa"/>
            <w:bottom w:w="15" w:type="dxa"/>
          </w:tblCellMar>
          <w:tblLook w:val="04A0" w:firstRow="1" w:lastRow="0" w:firstColumn="1" w:lastColumn="0" w:noHBand="0" w:noVBand="1"/>
        </w:tblPrEx>
        <w:trPr>
          <w:trHeight w:val="20"/>
        </w:trPr>
        <w:tc>
          <w:tcPr>
            <w:tcW w:w="1222" w:type="dxa"/>
            <w:vMerge/>
          </w:tcPr>
          <w:p w14:paraId="28B4BDBA" w14:textId="77777777" w:rsidR="000A5C9B" w:rsidRPr="00C27A72" w:rsidRDefault="000A5C9B" w:rsidP="00370D8E">
            <w:pPr>
              <w:jc w:val="center"/>
              <w:rPr>
                <w:rFonts w:ascii="Arial Narrow" w:hAnsi="Arial Narrow"/>
                <w:i/>
                <w:iCs/>
                <w:color w:val="333333"/>
                <w:sz w:val="20"/>
                <w:szCs w:val="20"/>
              </w:rPr>
            </w:pPr>
          </w:p>
        </w:tc>
        <w:tc>
          <w:tcPr>
            <w:tcW w:w="7795" w:type="dxa"/>
            <w:gridSpan w:val="12"/>
            <w:vAlign w:val="center"/>
          </w:tcPr>
          <w:p w14:paraId="38DF51DA" w14:textId="77777777" w:rsidR="000A5C9B" w:rsidRPr="00C27A72" w:rsidRDefault="000A5C9B" w:rsidP="00370D8E">
            <w:pPr>
              <w:rPr>
                <w:rFonts w:ascii="Arial Narrow" w:hAnsi="Arial Narrow"/>
                <w:b/>
                <w:bCs/>
                <w:i/>
                <w:iCs/>
                <w:sz w:val="20"/>
                <w:szCs w:val="20"/>
              </w:rPr>
            </w:pPr>
            <w:r w:rsidRPr="00446E53">
              <w:rPr>
                <w:rFonts w:ascii="Arial Narrow" w:hAnsi="Arial Narrow"/>
                <w:b/>
                <w:bCs/>
                <w:color w:val="333333"/>
                <w:sz w:val="20"/>
                <w:szCs w:val="20"/>
              </w:rPr>
              <w:t xml:space="preserve">Severity: </w:t>
            </w:r>
            <w:r w:rsidRPr="00CC3A3C">
              <w:rPr>
                <w:rFonts w:ascii="Arial Narrow" w:hAnsi="Arial Narrow"/>
                <w:color w:val="333333"/>
                <w:sz w:val="20"/>
                <w:szCs w:val="20"/>
              </w:rPr>
              <w:t>[blank]</w:t>
            </w:r>
          </w:p>
        </w:tc>
      </w:tr>
      <w:tr w:rsidR="000A5C9B" w:rsidRPr="00C27A72" w14:paraId="04962720" w14:textId="77777777" w:rsidTr="00F92F4D">
        <w:tblPrEx>
          <w:tblCellMar>
            <w:top w:w="15" w:type="dxa"/>
            <w:bottom w:w="15" w:type="dxa"/>
          </w:tblCellMar>
          <w:tblLook w:val="04A0" w:firstRow="1" w:lastRow="0" w:firstColumn="1" w:lastColumn="0" w:noHBand="0" w:noVBand="1"/>
        </w:tblPrEx>
        <w:trPr>
          <w:trHeight w:val="20"/>
        </w:trPr>
        <w:tc>
          <w:tcPr>
            <w:tcW w:w="1222" w:type="dxa"/>
            <w:vMerge/>
          </w:tcPr>
          <w:p w14:paraId="32E064C7" w14:textId="77777777" w:rsidR="000A5C9B" w:rsidRPr="00C27A72" w:rsidRDefault="000A5C9B" w:rsidP="00370D8E">
            <w:pPr>
              <w:jc w:val="center"/>
              <w:rPr>
                <w:rFonts w:ascii="Arial Narrow" w:hAnsi="Arial Narrow"/>
                <w:i/>
                <w:iCs/>
                <w:color w:val="333333"/>
                <w:sz w:val="20"/>
                <w:szCs w:val="20"/>
              </w:rPr>
            </w:pPr>
          </w:p>
        </w:tc>
        <w:tc>
          <w:tcPr>
            <w:tcW w:w="7795" w:type="dxa"/>
            <w:gridSpan w:val="12"/>
            <w:vAlign w:val="center"/>
          </w:tcPr>
          <w:p w14:paraId="6586EF45" w14:textId="77777777" w:rsidR="000A5C9B" w:rsidRPr="00C27A72" w:rsidRDefault="000A5C9B" w:rsidP="00370D8E">
            <w:pPr>
              <w:rPr>
                <w:rFonts w:ascii="Arial Narrow" w:hAnsi="Arial Narrow"/>
                <w:b/>
                <w:bCs/>
                <w:i/>
                <w:iCs/>
                <w:sz w:val="20"/>
                <w:szCs w:val="20"/>
              </w:rPr>
            </w:pPr>
            <w:r w:rsidRPr="00446E53">
              <w:rPr>
                <w:rFonts w:ascii="Arial Narrow" w:hAnsi="Arial Narrow"/>
                <w:b/>
                <w:bCs/>
                <w:color w:val="333333"/>
                <w:sz w:val="20"/>
                <w:szCs w:val="20"/>
              </w:rPr>
              <w:t xml:space="preserve">Condition: </w:t>
            </w:r>
            <w:r>
              <w:rPr>
                <w:rFonts w:ascii="Arial Narrow" w:hAnsi="Arial Narrow"/>
                <w:color w:val="333333"/>
                <w:sz w:val="20"/>
                <w:szCs w:val="20"/>
              </w:rPr>
              <w:t xml:space="preserve">Complement 3 glomerulopathy (C3G) </w:t>
            </w:r>
          </w:p>
        </w:tc>
      </w:tr>
      <w:tr w:rsidR="000A5C9B" w:rsidRPr="00C27A72" w14:paraId="467BCE6E"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0F67B02C" w14:textId="77777777" w:rsidR="000A5C9B" w:rsidRPr="00C27A72" w:rsidRDefault="000A5C9B" w:rsidP="00370D8E">
            <w:pPr>
              <w:jc w:val="center"/>
              <w:rPr>
                <w:rFonts w:ascii="Arial Narrow" w:hAnsi="Arial Narrow"/>
                <w:i/>
                <w:iCs/>
                <w:color w:val="333333"/>
                <w:sz w:val="20"/>
                <w:szCs w:val="20"/>
              </w:rPr>
            </w:pPr>
            <w:r w:rsidRPr="00446E53">
              <w:rPr>
                <w:rFonts w:ascii="Arial Narrow" w:hAnsi="Arial Narrow"/>
                <w:color w:val="333333"/>
                <w:sz w:val="20"/>
                <w:szCs w:val="20"/>
              </w:rPr>
              <w:t>New I1</w:t>
            </w:r>
          </w:p>
        </w:tc>
        <w:tc>
          <w:tcPr>
            <w:tcW w:w="7795" w:type="dxa"/>
            <w:gridSpan w:val="12"/>
            <w:vAlign w:val="center"/>
          </w:tcPr>
          <w:p w14:paraId="17DE4EA5" w14:textId="77777777" w:rsidR="000A5C9B" w:rsidRPr="00C27A72" w:rsidRDefault="000A5C9B" w:rsidP="00370D8E">
            <w:pPr>
              <w:rPr>
                <w:rFonts w:ascii="Arial Narrow" w:hAnsi="Arial Narrow"/>
                <w:b/>
                <w:bCs/>
                <w:i/>
                <w:iCs/>
                <w:sz w:val="20"/>
                <w:szCs w:val="20"/>
              </w:rPr>
            </w:pPr>
            <w:r w:rsidRPr="00CC3A3C">
              <w:rPr>
                <w:rFonts w:ascii="Arial Narrow" w:hAnsi="Arial Narrow"/>
                <w:b/>
                <w:bCs/>
                <w:sz w:val="20"/>
                <w:szCs w:val="20"/>
              </w:rPr>
              <w:t>Indication:</w:t>
            </w:r>
            <w:r w:rsidRPr="00CC3A3C">
              <w:rPr>
                <w:rFonts w:ascii="Arial Narrow" w:hAnsi="Arial Narrow"/>
                <w:sz w:val="20"/>
                <w:szCs w:val="20"/>
              </w:rPr>
              <w:t xml:space="preserve"> Complement 3 glomerulopathy (C3G)</w:t>
            </w:r>
          </w:p>
        </w:tc>
      </w:tr>
      <w:tr w:rsidR="000A5C9B" w:rsidRPr="00C27A72" w14:paraId="6146B27F"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16AB3E89" w14:textId="77777777" w:rsidR="000A5C9B" w:rsidRPr="00C27A72" w:rsidRDefault="000A5C9B" w:rsidP="00370D8E">
            <w:pPr>
              <w:jc w:val="center"/>
              <w:rPr>
                <w:rFonts w:ascii="Arial Narrow" w:hAnsi="Arial Narrow"/>
                <w:i/>
                <w:iCs/>
                <w:color w:val="333333"/>
                <w:sz w:val="20"/>
                <w:szCs w:val="20"/>
              </w:rPr>
            </w:pPr>
          </w:p>
        </w:tc>
        <w:tc>
          <w:tcPr>
            <w:tcW w:w="7795" w:type="dxa"/>
            <w:gridSpan w:val="12"/>
            <w:vAlign w:val="center"/>
          </w:tcPr>
          <w:p w14:paraId="428AC8D0" w14:textId="77777777" w:rsidR="000A5C9B" w:rsidRPr="00C27A72" w:rsidRDefault="000A5C9B" w:rsidP="00370D8E">
            <w:pPr>
              <w:rPr>
                <w:rFonts w:ascii="Arial Narrow" w:hAnsi="Arial Narrow"/>
                <w:b/>
                <w:bCs/>
                <w:i/>
                <w:iCs/>
                <w:sz w:val="20"/>
                <w:szCs w:val="20"/>
              </w:rPr>
            </w:pPr>
            <w:r w:rsidRPr="00CC3A3C">
              <w:rPr>
                <w:rFonts w:ascii="Arial Narrow" w:hAnsi="Arial Narrow"/>
                <w:b/>
                <w:bCs/>
                <w:sz w:val="20"/>
                <w:szCs w:val="20"/>
              </w:rPr>
              <w:t>Treatment Phase:</w:t>
            </w:r>
            <w:r w:rsidRPr="00CC3A3C">
              <w:rPr>
                <w:rFonts w:ascii="Arial Narrow" w:hAnsi="Arial Narrow"/>
                <w:sz w:val="20"/>
                <w:szCs w:val="20"/>
              </w:rPr>
              <w:t xml:space="preserve"> Initial treatment</w:t>
            </w:r>
            <w:r>
              <w:rPr>
                <w:rFonts w:ascii="Arial Narrow" w:hAnsi="Arial Narrow"/>
                <w:sz w:val="20"/>
                <w:szCs w:val="20"/>
              </w:rPr>
              <w:t xml:space="preserve"> </w:t>
            </w:r>
            <w:r w:rsidRPr="00FB0C09">
              <w:rPr>
                <w:rFonts w:ascii="Arial Narrow" w:hAnsi="Arial Narrow"/>
                <w:i/>
                <w:iCs/>
                <w:sz w:val="20"/>
                <w:szCs w:val="20"/>
              </w:rPr>
              <w:t>– post-transplant patients</w:t>
            </w:r>
            <w:r w:rsidRPr="00CC3A3C">
              <w:rPr>
                <w:rFonts w:ascii="Arial Narrow" w:hAnsi="Arial Narrow"/>
                <w:sz w:val="20"/>
                <w:szCs w:val="20"/>
              </w:rPr>
              <w:t xml:space="preserve"> </w:t>
            </w:r>
            <w:r w:rsidRPr="006845CB">
              <w:rPr>
                <w:rFonts w:ascii="Arial Narrow" w:hAnsi="Arial Narrow"/>
                <w:strike/>
                <w:sz w:val="20"/>
                <w:szCs w:val="20"/>
              </w:rPr>
              <w:t>(new patient)</w:t>
            </w:r>
          </w:p>
        </w:tc>
      </w:tr>
      <w:tr w:rsidR="000A5C9B" w:rsidRPr="00C27A72" w14:paraId="1431647A"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703A914B" w14:textId="77777777" w:rsidR="000A5C9B" w:rsidRPr="00C27A72" w:rsidRDefault="000A5C9B" w:rsidP="00370D8E">
            <w:pPr>
              <w:jc w:val="center"/>
              <w:rPr>
                <w:rFonts w:ascii="Arial Narrow" w:hAnsi="Arial Narrow"/>
                <w:i/>
                <w:iCs/>
                <w:color w:val="333333"/>
                <w:sz w:val="20"/>
                <w:szCs w:val="20"/>
              </w:rPr>
            </w:pPr>
            <w:r>
              <w:rPr>
                <w:rFonts w:ascii="Arial Narrow" w:hAnsi="Arial Narrow"/>
                <w:color w:val="333333"/>
                <w:sz w:val="20"/>
                <w:szCs w:val="20"/>
              </w:rPr>
              <w:t>New CC</w:t>
            </w:r>
          </w:p>
        </w:tc>
        <w:tc>
          <w:tcPr>
            <w:tcW w:w="7795" w:type="dxa"/>
            <w:gridSpan w:val="12"/>
            <w:vAlign w:val="center"/>
          </w:tcPr>
          <w:p w14:paraId="11E4DE50" w14:textId="77777777" w:rsidR="000A5C9B" w:rsidRPr="00C27A72" w:rsidRDefault="000A5C9B" w:rsidP="00370D8E">
            <w:pPr>
              <w:rPr>
                <w:rFonts w:ascii="Arial Narrow" w:hAnsi="Arial Narrow"/>
                <w:b/>
                <w:bCs/>
                <w:i/>
                <w:iCs/>
                <w:sz w:val="20"/>
                <w:szCs w:val="20"/>
              </w:rPr>
            </w:pPr>
            <w:r w:rsidRPr="00446E53">
              <w:rPr>
                <w:rFonts w:ascii="Arial Narrow" w:hAnsi="Arial Narrow"/>
                <w:b/>
                <w:bCs/>
                <w:color w:val="333333"/>
                <w:sz w:val="20"/>
                <w:szCs w:val="20"/>
              </w:rPr>
              <w:t xml:space="preserve">Clinical criteria: </w:t>
            </w:r>
          </w:p>
        </w:tc>
      </w:tr>
      <w:tr w:rsidR="000A5C9B" w:rsidRPr="00C27A72" w14:paraId="4D89F625"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45E865C0" w14:textId="77777777" w:rsidR="000A5C9B" w:rsidRPr="00C27A72" w:rsidRDefault="000A5C9B" w:rsidP="00370D8E">
            <w:pPr>
              <w:jc w:val="center"/>
              <w:rPr>
                <w:rFonts w:ascii="Arial Narrow" w:hAnsi="Arial Narrow"/>
                <w:i/>
                <w:iCs/>
                <w:color w:val="333333"/>
                <w:sz w:val="20"/>
                <w:szCs w:val="20"/>
              </w:rPr>
            </w:pPr>
            <w:r>
              <w:rPr>
                <w:rFonts w:ascii="Arial Narrow" w:hAnsi="Arial Narrow"/>
                <w:sz w:val="20"/>
                <w:szCs w:val="20"/>
              </w:rPr>
              <w:t>New CC</w:t>
            </w:r>
          </w:p>
        </w:tc>
        <w:tc>
          <w:tcPr>
            <w:tcW w:w="7795" w:type="dxa"/>
            <w:gridSpan w:val="12"/>
            <w:vAlign w:val="center"/>
          </w:tcPr>
          <w:p w14:paraId="7F9450E3" w14:textId="77777777" w:rsidR="000A5C9B" w:rsidRPr="00D221CD" w:rsidRDefault="000A5C9B" w:rsidP="00370D8E">
            <w:pPr>
              <w:rPr>
                <w:rFonts w:ascii="Arial Narrow" w:hAnsi="Arial Narrow"/>
                <w:strike/>
                <w:sz w:val="20"/>
                <w:szCs w:val="20"/>
              </w:rPr>
            </w:pPr>
            <w:r w:rsidRPr="00D221CD">
              <w:rPr>
                <w:rFonts w:ascii="Arial Narrow" w:hAnsi="Arial Narrow"/>
                <w:strike/>
                <w:sz w:val="20"/>
                <w:szCs w:val="20"/>
              </w:rPr>
              <w:t>Patient must have a diagnosis of recurrent C3G following a kidney transplant, confirmed by kidney biopsy, prior to initiating treatment with this drug</w:t>
            </w:r>
          </w:p>
          <w:p w14:paraId="77F00202" w14:textId="77777777" w:rsidR="000A5C9B" w:rsidRPr="00C27A72" w:rsidRDefault="000A5C9B" w:rsidP="00370D8E">
            <w:pPr>
              <w:rPr>
                <w:rFonts w:ascii="Arial Narrow" w:hAnsi="Arial Narrow"/>
                <w:b/>
                <w:bCs/>
                <w:i/>
                <w:iCs/>
                <w:sz w:val="20"/>
                <w:szCs w:val="20"/>
              </w:rPr>
            </w:pPr>
            <w:r>
              <w:rPr>
                <w:rFonts w:ascii="Arial Narrow" w:hAnsi="Arial Narrow"/>
                <w:i/>
                <w:iCs/>
                <w:sz w:val="20"/>
                <w:szCs w:val="20"/>
              </w:rPr>
              <w:t>Patient must have/have had a confirmed diagnosis of complement 3 glomerulopathy (C3G) evidenced by kidney biopsy prior to commencing treatment with this drug</w:t>
            </w:r>
          </w:p>
        </w:tc>
      </w:tr>
      <w:tr w:rsidR="000A5C9B" w:rsidRPr="00C27A72" w14:paraId="18F38AB9"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40B4C72D" w14:textId="77777777" w:rsidR="000A5C9B" w:rsidRPr="00C27A72" w:rsidRDefault="000A5C9B" w:rsidP="00370D8E">
            <w:pPr>
              <w:jc w:val="center"/>
              <w:rPr>
                <w:rFonts w:ascii="Arial Narrow" w:hAnsi="Arial Narrow"/>
                <w:i/>
                <w:iCs/>
                <w:color w:val="333333"/>
                <w:sz w:val="20"/>
                <w:szCs w:val="20"/>
              </w:rPr>
            </w:pPr>
          </w:p>
        </w:tc>
        <w:tc>
          <w:tcPr>
            <w:tcW w:w="7795" w:type="dxa"/>
            <w:gridSpan w:val="12"/>
            <w:vAlign w:val="center"/>
          </w:tcPr>
          <w:p w14:paraId="7249EC1A" w14:textId="77777777" w:rsidR="000A5C9B" w:rsidRPr="00C27A72" w:rsidRDefault="000A5C9B" w:rsidP="00370D8E">
            <w:pPr>
              <w:rPr>
                <w:rFonts w:ascii="Arial Narrow" w:hAnsi="Arial Narrow"/>
                <w:b/>
                <w:bCs/>
                <w:i/>
                <w:iCs/>
                <w:sz w:val="20"/>
                <w:szCs w:val="20"/>
              </w:rPr>
            </w:pPr>
            <w:r w:rsidRPr="00EF6EFA">
              <w:rPr>
                <w:rFonts w:ascii="Arial Narrow" w:hAnsi="Arial Narrow"/>
                <w:b/>
                <w:bCs/>
                <w:i/>
                <w:iCs/>
                <w:color w:val="333333"/>
                <w:sz w:val="20"/>
                <w:szCs w:val="20"/>
              </w:rPr>
              <w:t>AND</w:t>
            </w:r>
          </w:p>
        </w:tc>
      </w:tr>
      <w:tr w:rsidR="000A5C9B" w:rsidRPr="00C27A72" w14:paraId="2A199FB0"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521D96A0" w14:textId="77777777" w:rsidR="000A5C9B" w:rsidRPr="00C27A72" w:rsidRDefault="000A5C9B" w:rsidP="00370D8E">
            <w:pPr>
              <w:jc w:val="center"/>
              <w:rPr>
                <w:rFonts w:ascii="Arial Narrow" w:hAnsi="Arial Narrow"/>
                <w:i/>
                <w:iCs/>
                <w:color w:val="333333"/>
                <w:sz w:val="20"/>
                <w:szCs w:val="20"/>
              </w:rPr>
            </w:pPr>
            <w:r>
              <w:rPr>
                <w:rFonts w:ascii="Arial Narrow" w:hAnsi="Arial Narrow"/>
                <w:i/>
                <w:iCs/>
                <w:sz w:val="20"/>
                <w:szCs w:val="20"/>
              </w:rPr>
              <w:t>New CC</w:t>
            </w:r>
          </w:p>
        </w:tc>
        <w:tc>
          <w:tcPr>
            <w:tcW w:w="7795" w:type="dxa"/>
            <w:gridSpan w:val="12"/>
            <w:vAlign w:val="center"/>
          </w:tcPr>
          <w:p w14:paraId="54285389" w14:textId="77777777" w:rsidR="000A5C9B" w:rsidRPr="00C27A72" w:rsidRDefault="000A5C9B" w:rsidP="00370D8E">
            <w:pPr>
              <w:rPr>
                <w:rFonts w:ascii="Arial Narrow" w:hAnsi="Arial Narrow"/>
                <w:b/>
                <w:bCs/>
                <w:i/>
                <w:iCs/>
                <w:sz w:val="20"/>
                <w:szCs w:val="20"/>
              </w:rPr>
            </w:pPr>
            <w:r w:rsidRPr="00EF6EFA">
              <w:rPr>
                <w:rFonts w:ascii="Arial Narrow" w:hAnsi="Arial Narrow"/>
                <w:b/>
                <w:bCs/>
                <w:i/>
                <w:iCs/>
                <w:color w:val="333333"/>
                <w:sz w:val="20"/>
                <w:szCs w:val="20"/>
              </w:rPr>
              <w:t>Clinical criteria:</w:t>
            </w:r>
          </w:p>
        </w:tc>
      </w:tr>
      <w:tr w:rsidR="000A5C9B" w:rsidRPr="00C27A72" w14:paraId="7BCB4519"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340FF283" w14:textId="77777777" w:rsidR="000A5C9B" w:rsidRPr="00C27A72" w:rsidRDefault="000A5C9B" w:rsidP="00370D8E">
            <w:pPr>
              <w:jc w:val="center"/>
              <w:rPr>
                <w:rFonts w:ascii="Arial Narrow" w:hAnsi="Arial Narrow"/>
                <w:i/>
                <w:iCs/>
                <w:color w:val="333333"/>
                <w:sz w:val="20"/>
                <w:szCs w:val="20"/>
              </w:rPr>
            </w:pPr>
            <w:r>
              <w:rPr>
                <w:rFonts w:ascii="Arial Narrow" w:hAnsi="Arial Narrow"/>
                <w:i/>
                <w:iCs/>
                <w:sz w:val="20"/>
                <w:szCs w:val="20"/>
              </w:rPr>
              <w:t>New CC</w:t>
            </w:r>
          </w:p>
        </w:tc>
        <w:tc>
          <w:tcPr>
            <w:tcW w:w="7795" w:type="dxa"/>
            <w:gridSpan w:val="12"/>
            <w:vAlign w:val="center"/>
          </w:tcPr>
          <w:p w14:paraId="62D761AE" w14:textId="77777777" w:rsidR="000A5C9B" w:rsidRPr="00C27A72" w:rsidRDefault="000A5C9B" w:rsidP="00370D8E">
            <w:pPr>
              <w:rPr>
                <w:rFonts w:ascii="Arial Narrow" w:hAnsi="Arial Narrow"/>
                <w:b/>
                <w:bCs/>
                <w:i/>
                <w:iCs/>
                <w:sz w:val="20"/>
                <w:szCs w:val="20"/>
              </w:rPr>
            </w:pPr>
            <w:r>
              <w:rPr>
                <w:rFonts w:ascii="Arial Narrow" w:hAnsi="Arial Narrow"/>
                <w:i/>
                <w:iCs/>
                <w:sz w:val="20"/>
                <w:szCs w:val="20"/>
              </w:rPr>
              <w:t>The condition must be recurrent following a kidney transplant</w:t>
            </w:r>
          </w:p>
        </w:tc>
      </w:tr>
      <w:tr w:rsidR="000A5C9B" w:rsidRPr="00C27A72" w14:paraId="65562EEC"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4026B7B5" w14:textId="77777777" w:rsidR="000A5C9B" w:rsidRPr="00C27A72" w:rsidRDefault="000A5C9B" w:rsidP="00370D8E">
            <w:pPr>
              <w:jc w:val="center"/>
              <w:rPr>
                <w:rFonts w:ascii="Arial Narrow" w:hAnsi="Arial Narrow"/>
                <w:i/>
                <w:iCs/>
                <w:color w:val="333333"/>
                <w:sz w:val="20"/>
                <w:szCs w:val="20"/>
              </w:rPr>
            </w:pPr>
          </w:p>
        </w:tc>
        <w:tc>
          <w:tcPr>
            <w:tcW w:w="7795" w:type="dxa"/>
            <w:gridSpan w:val="12"/>
            <w:vAlign w:val="center"/>
          </w:tcPr>
          <w:p w14:paraId="28627CB0" w14:textId="77777777" w:rsidR="000A5C9B" w:rsidRPr="00C27A72" w:rsidRDefault="000A5C9B" w:rsidP="00370D8E">
            <w:pPr>
              <w:rPr>
                <w:rFonts w:ascii="Arial Narrow" w:hAnsi="Arial Narrow"/>
                <w:b/>
                <w:bCs/>
                <w:i/>
                <w:iCs/>
                <w:sz w:val="20"/>
                <w:szCs w:val="20"/>
              </w:rPr>
            </w:pPr>
            <w:r w:rsidRPr="00EF6EFA">
              <w:rPr>
                <w:rFonts w:ascii="Arial Narrow" w:hAnsi="Arial Narrow"/>
                <w:b/>
                <w:bCs/>
                <w:i/>
                <w:iCs/>
                <w:color w:val="333333"/>
                <w:sz w:val="20"/>
                <w:szCs w:val="20"/>
              </w:rPr>
              <w:t>AND</w:t>
            </w:r>
          </w:p>
        </w:tc>
      </w:tr>
      <w:tr w:rsidR="000A5C9B" w:rsidRPr="00C27A72" w14:paraId="207982A5"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3652FC69" w14:textId="77777777" w:rsidR="000A5C9B" w:rsidRPr="00C27A72" w:rsidRDefault="000A5C9B" w:rsidP="00370D8E">
            <w:pPr>
              <w:jc w:val="center"/>
              <w:rPr>
                <w:rFonts w:ascii="Arial Narrow" w:hAnsi="Arial Narrow"/>
                <w:i/>
                <w:iCs/>
                <w:color w:val="333333"/>
                <w:sz w:val="20"/>
                <w:szCs w:val="20"/>
              </w:rPr>
            </w:pPr>
            <w:r>
              <w:rPr>
                <w:rFonts w:ascii="Arial Narrow" w:hAnsi="Arial Narrow"/>
                <w:i/>
                <w:iCs/>
                <w:sz w:val="20"/>
                <w:szCs w:val="20"/>
              </w:rPr>
              <w:t>New CC</w:t>
            </w:r>
          </w:p>
        </w:tc>
        <w:tc>
          <w:tcPr>
            <w:tcW w:w="7795" w:type="dxa"/>
            <w:gridSpan w:val="12"/>
            <w:vAlign w:val="center"/>
          </w:tcPr>
          <w:p w14:paraId="28AA1878" w14:textId="77777777" w:rsidR="000A5C9B" w:rsidRPr="00C27A72" w:rsidRDefault="000A5C9B" w:rsidP="00370D8E">
            <w:pPr>
              <w:rPr>
                <w:rFonts w:ascii="Arial Narrow" w:hAnsi="Arial Narrow"/>
                <w:b/>
                <w:bCs/>
                <w:i/>
                <w:iCs/>
                <w:sz w:val="20"/>
                <w:szCs w:val="20"/>
              </w:rPr>
            </w:pPr>
            <w:r w:rsidRPr="00EF6EFA">
              <w:rPr>
                <w:rFonts w:ascii="Arial Narrow" w:hAnsi="Arial Narrow"/>
                <w:b/>
                <w:bCs/>
                <w:i/>
                <w:iCs/>
                <w:color w:val="333333"/>
                <w:sz w:val="20"/>
                <w:szCs w:val="20"/>
              </w:rPr>
              <w:t>Clinical criteria:</w:t>
            </w:r>
          </w:p>
        </w:tc>
      </w:tr>
      <w:tr w:rsidR="000A5C9B" w:rsidRPr="00C27A72" w14:paraId="5A9B99A5"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7095BF9E" w14:textId="77777777" w:rsidR="000A5C9B" w:rsidRPr="00C27A72" w:rsidRDefault="000A5C9B" w:rsidP="00370D8E">
            <w:pPr>
              <w:jc w:val="center"/>
              <w:rPr>
                <w:rFonts w:ascii="Arial Narrow" w:hAnsi="Arial Narrow"/>
                <w:i/>
                <w:iCs/>
                <w:color w:val="333333"/>
                <w:sz w:val="20"/>
                <w:szCs w:val="20"/>
              </w:rPr>
            </w:pPr>
            <w:r>
              <w:rPr>
                <w:rFonts w:ascii="Arial Narrow" w:hAnsi="Arial Narrow"/>
                <w:i/>
                <w:iCs/>
                <w:sz w:val="20"/>
                <w:szCs w:val="20"/>
              </w:rPr>
              <w:t>New CC</w:t>
            </w:r>
          </w:p>
        </w:tc>
        <w:tc>
          <w:tcPr>
            <w:tcW w:w="7795" w:type="dxa"/>
            <w:gridSpan w:val="12"/>
            <w:vAlign w:val="center"/>
          </w:tcPr>
          <w:p w14:paraId="3BE4FBC5" w14:textId="77777777" w:rsidR="000A5C9B" w:rsidRPr="00C27A72" w:rsidRDefault="000A5C9B" w:rsidP="00370D8E">
            <w:pPr>
              <w:rPr>
                <w:rFonts w:ascii="Arial Narrow" w:hAnsi="Arial Narrow"/>
                <w:b/>
                <w:bCs/>
                <w:i/>
                <w:iCs/>
                <w:sz w:val="20"/>
                <w:szCs w:val="20"/>
              </w:rPr>
            </w:pPr>
            <w:r>
              <w:rPr>
                <w:rFonts w:ascii="Arial Narrow" w:hAnsi="Arial Narrow"/>
                <w:i/>
                <w:iCs/>
                <w:sz w:val="20"/>
                <w:szCs w:val="20"/>
              </w:rPr>
              <w:t xml:space="preserve">Patient must have/have had an </w:t>
            </w:r>
            <w:r w:rsidRPr="0030696A">
              <w:rPr>
                <w:rFonts w:ascii="Arial Narrow" w:hAnsi="Arial Narrow"/>
                <w:i/>
                <w:iCs/>
                <w:sz w:val="20"/>
                <w:szCs w:val="20"/>
              </w:rPr>
              <w:t>estimated glomerular filtration rate (eGFR) of at least 30 mL/min/1.73 m</w:t>
            </w:r>
            <w:r w:rsidRPr="0030696A">
              <w:rPr>
                <w:rFonts w:ascii="Arial Narrow" w:hAnsi="Arial Narrow"/>
                <w:i/>
                <w:iCs/>
                <w:sz w:val="20"/>
                <w:szCs w:val="20"/>
                <w:vertAlign w:val="superscript"/>
              </w:rPr>
              <w:t>2</w:t>
            </w:r>
            <w:r>
              <w:rPr>
                <w:rFonts w:ascii="Arial Narrow" w:hAnsi="Arial Narrow"/>
                <w:i/>
                <w:iCs/>
                <w:sz w:val="20"/>
                <w:szCs w:val="20"/>
              </w:rPr>
              <w:t xml:space="preserve"> prior to commencing treatment with this drug</w:t>
            </w:r>
          </w:p>
        </w:tc>
      </w:tr>
      <w:tr w:rsidR="000A5C9B" w:rsidRPr="00C27A72" w14:paraId="50E7420C"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1E622A0E" w14:textId="77777777" w:rsidR="000A5C9B" w:rsidRPr="00C27A72" w:rsidRDefault="000A5C9B" w:rsidP="00370D8E">
            <w:pPr>
              <w:jc w:val="center"/>
              <w:rPr>
                <w:rFonts w:ascii="Arial Narrow" w:hAnsi="Arial Narrow"/>
                <w:i/>
                <w:iCs/>
                <w:color w:val="333333"/>
                <w:sz w:val="20"/>
                <w:szCs w:val="20"/>
              </w:rPr>
            </w:pPr>
          </w:p>
        </w:tc>
        <w:tc>
          <w:tcPr>
            <w:tcW w:w="7795" w:type="dxa"/>
            <w:gridSpan w:val="12"/>
            <w:vAlign w:val="center"/>
          </w:tcPr>
          <w:p w14:paraId="36F43021" w14:textId="77777777" w:rsidR="000A5C9B" w:rsidRPr="00C27A72" w:rsidRDefault="000A5C9B" w:rsidP="00370D8E">
            <w:pPr>
              <w:rPr>
                <w:rFonts w:ascii="Arial Narrow" w:hAnsi="Arial Narrow"/>
                <w:b/>
                <w:bCs/>
                <w:i/>
                <w:iCs/>
                <w:sz w:val="20"/>
                <w:szCs w:val="20"/>
              </w:rPr>
            </w:pPr>
            <w:r>
              <w:rPr>
                <w:rFonts w:ascii="Arial Narrow" w:hAnsi="Arial Narrow"/>
                <w:b/>
                <w:bCs/>
                <w:i/>
                <w:iCs/>
                <w:sz w:val="20"/>
                <w:szCs w:val="20"/>
              </w:rPr>
              <w:t>AND</w:t>
            </w:r>
          </w:p>
        </w:tc>
      </w:tr>
      <w:tr w:rsidR="000A5C9B" w:rsidRPr="00C27A72" w14:paraId="62E90792"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52DD9AF4" w14:textId="77777777" w:rsidR="000A5C9B" w:rsidRPr="00C27A72" w:rsidRDefault="000A5C9B" w:rsidP="00370D8E">
            <w:pPr>
              <w:jc w:val="center"/>
              <w:rPr>
                <w:rFonts w:ascii="Arial Narrow" w:hAnsi="Arial Narrow"/>
                <w:i/>
                <w:iCs/>
                <w:color w:val="333333"/>
                <w:sz w:val="20"/>
                <w:szCs w:val="20"/>
              </w:rPr>
            </w:pPr>
            <w:r>
              <w:rPr>
                <w:rFonts w:ascii="Arial Narrow" w:hAnsi="Arial Narrow"/>
                <w:i/>
                <w:iCs/>
                <w:sz w:val="20"/>
                <w:szCs w:val="20"/>
              </w:rPr>
              <w:t>New CC</w:t>
            </w:r>
          </w:p>
        </w:tc>
        <w:tc>
          <w:tcPr>
            <w:tcW w:w="7795" w:type="dxa"/>
            <w:gridSpan w:val="12"/>
            <w:vAlign w:val="center"/>
          </w:tcPr>
          <w:p w14:paraId="1A8E5F41" w14:textId="77777777" w:rsidR="000A5C9B" w:rsidRPr="00C27A72" w:rsidRDefault="000A5C9B" w:rsidP="00370D8E">
            <w:pPr>
              <w:rPr>
                <w:rFonts w:ascii="Arial Narrow" w:hAnsi="Arial Narrow"/>
                <w:b/>
                <w:bCs/>
                <w:i/>
                <w:iCs/>
                <w:sz w:val="20"/>
                <w:szCs w:val="20"/>
              </w:rPr>
            </w:pPr>
            <w:r>
              <w:rPr>
                <w:rFonts w:ascii="Arial Narrow" w:hAnsi="Arial Narrow"/>
                <w:b/>
                <w:bCs/>
                <w:i/>
                <w:iCs/>
                <w:sz w:val="20"/>
                <w:szCs w:val="20"/>
              </w:rPr>
              <w:t xml:space="preserve">Clinical criteria: </w:t>
            </w:r>
          </w:p>
        </w:tc>
      </w:tr>
      <w:tr w:rsidR="000A5C9B" w:rsidRPr="00C27A72" w14:paraId="5FE26CC4"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20D44668" w14:textId="77777777" w:rsidR="000A5C9B" w:rsidRPr="00C27A72" w:rsidRDefault="000A5C9B" w:rsidP="00370D8E">
            <w:pPr>
              <w:jc w:val="center"/>
              <w:rPr>
                <w:rFonts w:ascii="Arial Narrow" w:hAnsi="Arial Narrow"/>
                <w:i/>
                <w:iCs/>
                <w:color w:val="333333"/>
                <w:sz w:val="20"/>
                <w:szCs w:val="20"/>
              </w:rPr>
            </w:pPr>
            <w:r>
              <w:rPr>
                <w:rFonts w:ascii="Arial Narrow" w:hAnsi="Arial Narrow"/>
                <w:i/>
                <w:iCs/>
                <w:color w:val="333333"/>
                <w:sz w:val="20"/>
                <w:szCs w:val="20"/>
              </w:rPr>
              <w:t>New CC</w:t>
            </w:r>
          </w:p>
        </w:tc>
        <w:tc>
          <w:tcPr>
            <w:tcW w:w="7795" w:type="dxa"/>
            <w:gridSpan w:val="12"/>
            <w:vAlign w:val="center"/>
          </w:tcPr>
          <w:p w14:paraId="0A9DB982" w14:textId="77777777" w:rsidR="000A5C9B" w:rsidRPr="00C27A72" w:rsidRDefault="000A5C9B" w:rsidP="00370D8E">
            <w:pPr>
              <w:rPr>
                <w:rFonts w:ascii="Arial Narrow" w:hAnsi="Arial Narrow"/>
                <w:b/>
                <w:bCs/>
                <w:i/>
                <w:iCs/>
                <w:sz w:val="20"/>
                <w:szCs w:val="20"/>
              </w:rPr>
            </w:pPr>
            <w:r>
              <w:rPr>
                <w:rFonts w:ascii="Arial Narrow" w:hAnsi="Arial Narrow"/>
                <w:i/>
                <w:iCs/>
                <w:sz w:val="20"/>
                <w:szCs w:val="20"/>
              </w:rPr>
              <w:t>Patient must have/have had normal or elevated urinary protein excretion prior to commencing treatment with this drug.</w:t>
            </w:r>
          </w:p>
        </w:tc>
      </w:tr>
      <w:tr w:rsidR="000A5C9B" w:rsidRPr="00C27A72" w14:paraId="3FEBB6A7"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0C73926B" w14:textId="77777777" w:rsidR="000A5C9B" w:rsidRPr="00D27ACE" w:rsidRDefault="000A5C9B" w:rsidP="00370D8E">
            <w:pPr>
              <w:jc w:val="center"/>
              <w:rPr>
                <w:rFonts w:ascii="Arial Narrow" w:hAnsi="Arial Narrow"/>
                <w:color w:val="333333"/>
                <w:sz w:val="20"/>
                <w:szCs w:val="20"/>
              </w:rPr>
            </w:pPr>
            <w:r w:rsidRPr="00D27ACE">
              <w:rPr>
                <w:rFonts w:ascii="Arial Narrow" w:hAnsi="Arial Narrow"/>
                <w:color w:val="333333"/>
                <w:sz w:val="20"/>
                <w:szCs w:val="20"/>
              </w:rPr>
              <w:t>New TC</w:t>
            </w:r>
          </w:p>
        </w:tc>
        <w:tc>
          <w:tcPr>
            <w:tcW w:w="7795" w:type="dxa"/>
            <w:gridSpan w:val="12"/>
            <w:vAlign w:val="center"/>
          </w:tcPr>
          <w:p w14:paraId="48C4C5F9" w14:textId="77777777" w:rsidR="000A5C9B" w:rsidRPr="00C27A72" w:rsidRDefault="000A5C9B" w:rsidP="00370D8E">
            <w:pPr>
              <w:rPr>
                <w:rFonts w:ascii="Arial Narrow" w:hAnsi="Arial Narrow"/>
                <w:b/>
                <w:bCs/>
                <w:i/>
                <w:iCs/>
                <w:sz w:val="20"/>
                <w:szCs w:val="20"/>
              </w:rPr>
            </w:pPr>
            <w:r w:rsidRPr="00446E53">
              <w:rPr>
                <w:rFonts w:ascii="Arial Narrow" w:hAnsi="Arial Narrow"/>
                <w:b/>
                <w:bCs/>
                <w:color w:val="333333"/>
                <w:sz w:val="20"/>
                <w:szCs w:val="20"/>
              </w:rPr>
              <w:t>Treatment criteria:</w:t>
            </w:r>
          </w:p>
        </w:tc>
      </w:tr>
      <w:tr w:rsidR="000A5C9B" w:rsidRPr="00C27A72" w14:paraId="6343D783"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50CAEC4C" w14:textId="77777777" w:rsidR="000A5C9B" w:rsidRPr="00D27ACE" w:rsidRDefault="000A5C9B" w:rsidP="00370D8E">
            <w:pPr>
              <w:jc w:val="center"/>
              <w:rPr>
                <w:rFonts w:ascii="Arial Narrow" w:hAnsi="Arial Narrow"/>
                <w:color w:val="333333"/>
                <w:sz w:val="20"/>
                <w:szCs w:val="20"/>
              </w:rPr>
            </w:pPr>
            <w:r w:rsidRPr="00D27ACE">
              <w:rPr>
                <w:rFonts w:ascii="Arial Narrow" w:hAnsi="Arial Narrow"/>
                <w:color w:val="333333"/>
                <w:sz w:val="20"/>
                <w:szCs w:val="20"/>
              </w:rPr>
              <w:t>13590</w:t>
            </w:r>
          </w:p>
        </w:tc>
        <w:tc>
          <w:tcPr>
            <w:tcW w:w="7795" w:type="dxa"/>
            <w:gridSpan w:val="12"/>
            <w:vAlign w:val="center"/>
          </w:tcPr>
          <w:p w14:paraId="13D81254" w14:textId="77777777" w:rsidR="000A5C9B" w:rsidRPr="00C27A72" w:rsidRDefault="000A5C9B" w:rsidP="00370D8E">
            <w:pPr>
              <w:rPr>
                <w:rFonts w:ascii="Arial Narrow" w:hAnsi="Arial Narrow"/>
                <w:b/>
                <w:bCs/>
                <w:i/>
                <w:iCs/>
                <w:sz w:val="20"/>
                <w:szCs w:val="20"/>
              </w:rPr>
            </w:pPr>
            <w:r w:rsidRPr="00BC5E91">
              <w:rPr>
                <w:rFonts w:ascii="Arial Narrow" w:hAnsi="Arial Narrow"/>
                <w:sz w:val="20"/>
                <w:szCs w:val="20"/>
              </w:rPr>
              <w:t>Must be treated by a nephrologist; or</w:t>
            </w:r>
          </w:p>
        </w:tc>
      </w:tr>
      <w:tr w:rsidR="000A5C9B" w:rsidRPr="00C27A72" w14:paraId="017B8918"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3CAFA2DE" w14:textId="77777777" w:rsidR="000A5C9B" w:rsidRPr="00D27ACE" w:rsidRDefault="000A5C9B" w:rsidP="00370D8E">
            <w:pPr>
              <w:jc w:val="center"/>
              <w:rPr>
                <w:rFonts w:ascii="Arial Narrow" w:hAnsi="Arial Narrow"/>
                <w:color w:val="333333"/>
                <w:sz w:val="20"/>
                <w:szCs w:val="20"/>
              </w:rPr>
            </w:pPr>
            <w:r w:rsidRPr="00D27ACE">
              <w:rPr>
                <w:rFonts w:ascii="Arial Narrow" w:hAnsi="Arial Narrow"/>
                <w:color w:val="333333"/>
                <w:sz w:val="20"/>
                <w:szCs w:val="20"/>
              </w:rPr>
              <w:t>New TC</w:t>
            </w:r>
          </w:p>
        </w:tc>
        <w:tc>
          <w:tcPr>
            <w:tcW w:w="7795" w:type="dxa"/>
            <w:gridSpan w:val="12"/>
            <w:vAlign w:val="center"/>
          </w:tcPr>
          <w:p w14:paraId="3907F62A" w14:textId="77777777" w:rsidR="000A5C9B" w:rsidRPr="00C27A72" w:rsidRDefault="000A5C9B" w:rsidP="00370D8E">
            <w:pPr>
              <w:rPr>
                <w:rFonts w:ascii="Arial Narrow" w:hAnsi="Arial Narrow"/>
                <w:b/>
                <w:bCs/>
                <w:i/>
                <w:iCs/>
                <w:sz w:val="20"/>
                <w:szCs w:val="20"/>
              </w:rPr>
            </w:pPr>
            <w:r w:rsidRPr="00A84045">
              <w:rPr>
                <w:rFonts w:ascii="Arial Narrow" w:hAnsi="Arial Narrow"/>
                <w:sz w:val="20"/>
                <w:szCs w:val="20"/>
              </w:rPr>
              <w:t>Must be treated by a non-specialist medical physician or nurse practitioner who has consulted a nephrologist on the patient’s drug treatment details</w:t>
            </w:r>
          </w:p>
        </w:tc>
      </w:tr>
      <w:tr w:rsidR="000A5C9B" w:rsidRPr="00C27A72" w14:paraId="1D766EED"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7B471D68" w14:textId="77777777" w:rsidR="000A5C9B" w:rsidRPr="00C27A72" w:rsidRDefault="000A5C9B" w:rsidP="00370D8E">
            <w:pPr>
              <w:jc w:val="center"/>
              <w:rPr>
                <w:rFonts w:ascii="Arial Narrow" w:hAnsi="Arial Narrow"/>
                <w:i/>
                <w:iCs/>
                <w:color w:val="333333"/>
                <w:sz w:val="20"/>
                <w:szCs w:val="20"/>
              </w:rPr>
            </w:pPr>
            <w:r>
              <w:rPr>
                <w:rFonts w:ascii="Arial Narrow" w:hAnsi="Arial Narrow"/>
                <w:i/>
                <w:iCs/>
                <w:color w:val="333333"/>
                <w:sz w:val="20"/>
                <w:szCs w:val="20"/>
              </w:rPr>
              <w:t>27771</w:t>
            </w:r>
          </w:p>
        </w:tc>
        <w:tc>
          <w:tcPr>
            <w:tcW w:w="7795" w:type="dxa"/>
            <w:gridSpan w:val="12"/>
            <w:vAlign w:val="center"/>
          </w:tcPr>
          <w:p w14:paraId="724007C1" w14:textId="77777777" w:rsidR="000A5C9B" w:rsidRPr="00C27A72" w:rsidRDefault="000A5C9B" w:rsidP="00370D8E">
            <w:pPr>
              <w:rPr>
                <w:rFonts w:ascii="Arial Narrow" w:hAnsi="Arial Narrow"/>
                <w:b/>
                <w:bCs/>
                <w:i/>
                <w:iCs/>
                <w:sz w:val="20"/>
                <w:szCs w:val="20"/>
              </w:rPr>
            </w:pPr>
            <w:r w:rsidRPr="00446E53">
              <w:rPr>
                <w:rFonts w:ascii="Arial Narrow" w:hAnsi="Arial Narrow"/>
                <w:b/>
                <w:bCs/>
                <w:color w:val="333333"/>
                <w:sz w:val="20"/>
                <w:szCs w:val="20"/>
              </w:rPr>
              <w:t>Population criteria:</w:t>
            </w:r>
          </w:p>
        </w:tc>
      </w:tr>
      <w:tr w:rsidR="000A5C9B" w:rsidRPr="00C27A72" w14:paraId="1F9B65B4"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638A3EA8" w14:textId="77777777" w:rsidR="000A5C9B" w:rsidRPr="00C27A72" w:rsidRDefault="000A5C9B" w:rsidP="00370D8E">
            <w:pPr>
              <w:jc w:val="center"/>
              <w:rPr>
                <w:rFonts w:ascii="Arial Narrow" w:hAnsi="Arial Narrow"/>
                <w:i/>
                <w:iCs/>
                <w:color w:val="333333"/>
                <w:sz w:val="20"/>
                <w:szCs w:val="20"/>
              </w:rPr>
            </w:pPr>
            <w:r w:rsidRPr="009B4A1A">
              <w:rPr>
                <w:rFonts w:ascii="Arial Narrow" w:hAnsi="Arial Narrow"/>
                <w:i/>
                <w:iCs/>
                <w:color w:val="333333"/>
                <w:sz w:val="20"/>
                <w:szCs w:val="20"/>
              </w:rPr>
              <w:t>27770</w:t>
            </w:r>
          </w:p>
        </w:tc>
        <w:tc>
          <w:tcPr>
            <w:tcW w:w="7795" w:type="dxa"/>
            <w:gridSpan w:val="12"/>
            <w:vAlign w:val="center"/>
          </w:tcPr>
          <w:p w14:paraId="49929496" w14:textId="77777777" w:rsidR="000A5C9B" w:rsidRPr="009B4A1A" w:rsidRDefault="000A5C9B" w:rsidP="00370D8E">
            <w:pPr>
              <w:rPr>
                <w:rFonts w:ascii="Arial Narrow" w:hAnsi="Arial Narrow"/>
                <w:strike/>
                <w:sz w:val="20"/>
                <w:szCs w:val="20"/>
              </w:rPr>
            </w:pPr>
            <w:r w:rsidRPr="009B4A1A">
              <w:rPr>
                <w:rFonts w:ascii="Arial Narrow" w:hAnsi="Arial Narrow"/>
                <w:strike/>
                <w:sz w:val="20"/>
                <w:szCs w:val="20"/>
              </w:rPr>
              <w:t>Patient must be 18 years of age or older</w:t>
            </w:r>
          </w:p>
          <w:p w14:paraId="175B2B5E" w14:textId="77777777" w:rsidR="000A5C9B" w:rsidRPr="00C27A72" w:rsidRDefault="000A5C9B" w:rsidP="00370D8E">
            <w:pPr>
              <w:rPr>
                <w:rFonts w:ascii="Arial Narrow" w:hAnsi="Arial Narrow"/>
                <w:b/>
                <w:bCs/>
                <w:i/>
                <w:iCs/>
                <w:sz w:val="20"/>
                <w:szCs w:val="20"/>
              </w:rPr>
            </w:pPr>
            <w:r>
              <w:rPr>
                <w:rFonts w:ascii="Arial Narrow" w:hAnsi="Arial Narrow"/>
                <w:i/>
                <w:iCs/>
                <w:sz w:val="20"/>
                <w:szCs w:val="20"/>
              </w:rPr>
              <w:t xml:space="preserve">Patient must be at least 18 years of age. </w:t>
            </w:r>
          </w:p>
        </w:tc>
      </w:tr>
      <w:tr w:rsidR="000A5C9B" w:rsidRPr="00D27ACE" w14:paraId="21F8F9D9"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279978D8" w14:textId="77777777" w:rsidR="000A5C9B" w:rsidRPr="00C27A72" w:rsidRDefault="000A5C9B" w:rsidP="00370D8E">
            <w:pPr>
              <w:jc w:val="center"/>
              <w:rPr>
                <w:rFonts w:ascii="Arial Narrow" w:hAnsi="Arial Narrow"/>
                <w:i/>
                <w:iCs/>
                <w:color w:val="333333"/>
                <w:sz w:val="20"/>
                <w:szCs w:val="20"/>
              </w:rPr>
            </w:pPr>
            <w:r w:rsidRPr="001B4E7A">
              <w:rPr>
                <w:rFonts w:ascii="Arial Narrow" w:hAnsi="Arial Narrow"/>
                <w:i/>
                <w:iCs/>
                <w:color w:val="333333"/>
                <w:sz w:val="20"/>
                <w:szCs w:val="20"/>
              </w:rPr>
              <w:t xml:space="preserve">34070 </w:t>
            </w:r>
          </w:p>
        </w:tc>
        <w:tc>
          <w:tcPr>
            <w:tcW w:w="7795" w:type="dxa"/>
            <w:gridSpan w:val="12"/>
            <w:vAlign w:val="center"/>
          </w:tcPr>
          <w:p w14:paraId="45BDB0C3" w14:textId="77777777" w:rsidR="000A5C9B" w:rsidRPr="00C42087" w:rsidRDefault="000A5C9B" w:rsidP="00370D8E">
            <w:pPr>
              <w:rPr>
                <w:rFonts w:ascii="Arial Narrow" w:hAnsi="Arial Narrow"/>
                <w:b/>
                <w:bCs/>
                <w:sz w:val="20"/>
                <w:szCs w:val="20"/>
              </w:rPr>
            </w:pPr>
            <w:r w:rsidRPr="00C42087">
              <w:rPr>
                <w:rFonts w:ascii="Arial Narrow" w:hAnsi="Arial Narrow"/>
                <w:b/>
                <w:bCs/>
                <w:sz w:val="20"/>
                <w:szCs w:val="20"/>
              </w:rPr>
              <w:t xml:space="preserve">Prescribing Instructions: </w:t>
            </w:r>
          </w:p>
          <w:p w14:paraId="19330ED2" w14:textId="77777777" w:rsidR="000A5C9B" w:rsidRPr="00C42087" w:rsidRDefault="000A5C9B" w:rsidP="00370D8E">
            <w:pPr>
              <w:rPr>
                <w:rFonts w:ascii="Arial Narrow" w:hAnsi="Arial Narrow"/>
                <w:sz w:val="20"/>
                <w:szCs w:val="20"/>
              </w:rPr>
            </w:pPr>
            <w:r w:rsidRPr="00C42087">
              <w:rPr>
                <w:rFonts w:ascii="Arial Narrow" w:hAnsi="Arial Narrow"/>
                <w:sz w:val="20"/>
                <w:szCs w:val="20"/>
              </w:rPr>
              <w:t xml:space="preserve">The authority application must be made </w:t>
            </w:r>
            <w:r>
              <w:rPr>
                <w:rFonts w:ascii="Arial Narrow" w:hAnsi="Arial Narrow"/>
                <w:i/>
                <w:iCs/>
                <w:sz w:val="20"/>
                <w:szCs w:val="20"/>
              </w:rPr>
              <w:t xml:space="preserve">via the Online PBS Authorities System, or </w:t>
            </w:r>
            <w:r w:rsidRPr="00C42087">
              <w:rPr>
                <w:rFonts w:ascii="Arial Narrow" w:hAnsi="Arial Narrow"/>
                <w:sz w:val="20"/>
                <w:szCs w:val="20"/>
              </w:rPr>
              <w:t>in writing</w:t>
            </w:r>
            <w:r>
              <w:rPr>
                <w:rFonts w:ascii="Arial Narrow" w:hAnsi="Arial Narrow"/>
                <w:sz w:val="20"/>
                <w:szCs w:val="20"/>
              </w:rPr>
              <w:t xml:space="preserve"> </w:t>
            </w:r>
            <w:r>
              <w:rPr>
                <w:rFonts w:ascii="Arial Narrow" w:hAnsi="Arial Narrow"/>
                <w:i/>
                <w:iCs/>
                <w:sz w:val="20"/>
                <w:szCs w:val="20"/>
              </w:rPr>
              <w:t>via HPOS form upload or mail</w:t>
            </w:r>
            <w:r w:rsidRPr="00C42087">
              <w:rPr>
                <w:rFonts w:ascii="Arial Narrow" w:hAnsi="Arial Narrow"/>
                <w:sz w:val="20"/>
                <w:szCs w:val="20"/>
              </w:rPr>
              <w:t xml:space="preserve"> and must include:</w:t>
            </w:r>
          </w:p>
          <w:p w14:paraId="56CC49EE" w14:textId="77777777" w:rsidR="000A5C9B" w:rsidRPr="00C42087" w:rsidRDefault="000A5C9B" w:rsidP="00370D8E">
            <w:pPr>
              <w:rPr>
                <w:rFonts w:ascii="Arial Narrow" w:hAnsi="Arial Narrow"/>
                <w:sz w:val="20"/>
                <w:szCs w:val="20"/>
              </w:rPr>
            </w:pPr>
            <w:r w:rsidRPr="00C42087">
              <w:rPr>
                <w:rFonts w:ascii="Arial Narrow" w:hAnsi="Arial Narrow"/>
                <w:sz w:val="20"/>
                <w:szCs w:val="20"/>
              </w:rPr>
              <w:t>(1) details of the proposed prescription</w:t>
            </w:r>
            <w:r>
              <w:rPr>
                <w:rFonts w:ascii="Arial Narrow" w:hAnsi="Arial Narrow"/>
                <w:i/>
                <w:iCs/>
                <w:sz w:val="20"/>
                <w:szCs w:val="20"/>
              </w:rPr>
              <w:t>(s)</w:t>
            </w:r>
            <w:r w:rsidRPr="00C42087">
              <w:rPr>
                <w:rFonts w:ascii="Arial Narrow" w:hAnsi="Arial Narrow"/>
                <w:sz w:val="20"/>
                <w:szCs w:val="20"/>
              </w:rPr>
              <w:t>; and</w:t>
            </w:r>
          </w:p>
          <w:p w14:paraId="763D1FC7" w14:textId="77777777" w:rsidR="000A5C9B" w:rsidRPr="00D27ACE" w:rsidRDefault="000A5C9B" w:rsidP="00370D8E">
            <w:pPr>
              <w:rPr>
                <w:rFonts w:ascii="Arial Narrow" w:hAnsi="Arial Narrow"/>
                <w:sz w:val="20"/>
                <w:szCs w:val="20"/>
              </w:rPr>
            </w:pPr>
            <w:r w:rsidRPr="00C42087">
              <w:rPr>
                <w:rFonts w:ascii="Arial Narrow" w:hAnsi="Arial Narrow"/>
                <w:sz w:val="20"/>
                <w:szCs w:val="20"/>
              </w:rPr>
              <w:t>(2) a completed authority application form relevant to the indication and treatment phase (the latest version is located on the website specified in the Administrative Advice).</w:t>
            </w:r>
          </w:p>
        </w:tc>
      </w:tr>
      <w:tr w:rsidR="000A5C9B" w:rsidRPr="0002651F" w14:paraId="5F5EB1B5" w14:textId="77777777" w:rsidTr="00F92F4D">
        <w:tblPrEx>
          <w:tblCellMar>
            <w:top w:w="15" w:type="dxa"/>
            <w:bottom w:w="15" w:type="dxa"/>
          </w:tblCellMar>
          <w:tblLook w:val="04A0" w:firstRow="1" w:lastRow="0" w:firstColumn="1" w:lastColumn="0" w:noHBand="0" w:noVBand="1"/>
        </w:tblPrEx>
        <w:trPr>
          <w:trHeight w:val="20"/>
        </w:trPr>
        <w:tc>
          <w:tcPr>
            <w:tcW w:w="1222" w:type="dxa"/>
          </w:tcPr>
          <w:p w14:paraId="6795CAAD" w14:textId="77777777" w:rsidR="000A5C9B" w:rsidRPr="00C27A72" w:rsidRDefault="000A5C9B" w:rsidP="00370D8E">
            <w:pPr>
              <w:jc w:val="center"/>
              <w:rPr>
                <w:rFonts w:ascii="Arial Narrow" w:hAnsi="Arial Narrow"/>
                <w:i/>
                <w:iCs/>
                <w:color w:val="333333"/>
                <w:sz w:val="20"/>
                <w:szCs w:val="20"/>
              </w:rPr>
            </w:pPr>
            <w:r w:rsidRPr="00C27A72">
              <w:rPr>
                <w:rFonts w:ascii="Arial Narrow" w:hAnsi="Arial Narrow"/>
                <w:i/>
                <w:iCs/>
                <w:color w:val="333333"/>
                <w:sz w:val="20"/>
                <w:szCs w:val="20"/>
              </w:rPr>
              <w:t>New PI</w:t>
            </w:r>
          </w:p>
        </w:tc>
        <w:tc>
          <w:tcPr>
            <w:tcW w:w="7795" w:type="dxa"/>
            <w:gridSpan w:val="12"/>
            <w:vAlign w:val="center"/>
          </w:tcPr>
          <w:p w14:paraId="788D4EAC" w14:textId="77777777" w:rsidR="000A5C9B" w:rsidRPr="00C27A72" w:rsidRDefault="000A5C9B" w:rsidP="00370D8E">
            <w:pPr>
              <w:rPr>
                <w:rFonts w:ascii="Arial Narrow" w:hAnsi="Arial Narrow"/>
                <w:b/>
                <w:bCs/>
                <w:i/>
                <w:iCs/>
                <w:sz w:val="20"/>
                <w:szCs w:val="20"/>
              </w:rPr>
            </w:pPr>
            <w:r w:rsidRPr="00C27A72">
              <w:rPr>
                <w:rFonts w:ascii="Arial Narrow" w:hAnsi="Arial Narrow"/>
                <w:b/>
                <w:bCs/>
                <w:i/>
                <w:iCs/>
                <w:sz w:val="20"/>
                <w:szCs w:val="20"/>
              </w:rPr>
              <w:t xml:space="preserve">Prescribing Instructions: </w:t>
            </w:r>
          </w:p>
          <w:p w14:paraId="6010180A" w14:textId="77777777" w:rsidR="000A5C9B" w:rsidRDefault="000A5C9B" w:rsidP="00370D8E">
            <w:pPr>
              <w:rPr>
                <w:rFonts w:ascii="Arial Narrow" w:hAnsi="Arial Narrow"/>
                <w:i/>
                <w:iCs/>
                <w:sz w:val="20"/>
                <w:szCs w:val="20"/>
              </w:rPr>
            </w:pPr>
            <w:r>
              <w:rPr>
                <w:rFonts w:ascii="Arial Narrow" w:hAnsi="Arial Narrow"/>
                <w:i/>
                <w:iCs/>
                <w:sz w:val="20"/>
                <w:szCs w:val="20"/>
              </w:rPr>
              <w:t xml:space="preserve">At the time of authority application, details of the following must be provided: </w:t>
            </w:r>
          </w:p>
          <w:p w14:paraId="647725B3" w14:textId="77777777" w:rsidR="000A5C9B" w:rsidRDefault="000A5C9B" w:rsidP="00370D8E">
            <w:pPr>
              <w:pStyle w:val="ListParagraph"/>
              <w:numPr>
                <w:ilvl w:val="0"/>
                <w:numId w:val="22"/>
              </w:numPr>
              <w:spacing w:after="0"/>
              <w:contextualSpacing/>
              <w:jc w:val="both"/>
              <w:rPr>
                <w:rFonts w:ascii="Arial Narrow" w:hAnsi="Arial Narrow"/>
                <w:i/>
                <w:iCs/>
                <w:sz w:val="20"/>
                <w:szCs w:val="20"/>
              </w:rPr>
            </w:pPr>
            <w:r w:rsidRPr="00DC10D0">
              <w:rPr>
                <w:rFonts w:ascii="Arial Narrow" w:hAnsi="Arial Narrow"/>
                <w:i/>
                <w:iCs/>
                <w:sz w:val="20"/>
                <w:szCs w:val="20"/>
              </w:rPr>
              <w:t>eGFR and UPCR at baseline</w:t>
            </w:r>
          </w:p>
          <w:p w14:paraId="49EE3DB6" w14:textId="77777777" w:rsidR="000A5C9B" w:rsidRDefault="000A5C9B" w:rsidP="00370D8E">
            <w:pPr>
              <w:pStyle w:val="ListParagraph"/>
              <w:numPr>
                <w:ilvl w:val="0"/>
                <w:numId w:val="22"/>
              </w:numPr>
              <w:spacing w:after="0"/>
              <w:contextualSpacing/>
              <w:jc w:val="both"/>
              <w:rPr>
                <w:rFonts w:ascii="Arial Narrow" w:hAnsi="Arial Narrow"/>
                <w:i/>
                <w:iCs/>
                <w:sz w:val="20"/>
                <w:szCs w:val="20"/>
              </w:rPr>
            </w:pPr>
            <w:r>
              <w:rPr>
                <w:rFonts w:ascii="Arial Narrow" w:hAnsi="Arial Narrow"/>
                <w:i/>
                <w:iCs/>
                <w:sz w:val="20"/>
                <w:szCs w:val="20"/>
              </w:rPr>
              <w:t xml:space="preserve">Details </w:t>
            </w:r>
            <w:r w:rsidRPr="00D12958">
              <w:rPr>
                <w:rFonts w:ascii="Arial Narrow" w:hAnsi="Arial Narrow"/>
                <w:i/>
                <w:iCs/>
                <w:sz w:val="20"/>
                <w:szCs w:val="20"/>
              </w:rPr>
              <w:t xml:space="preserve">(date, unique identifying number/code or provider number) </w:t>
            </w:r>
            <w:r>
              <w:rPr>
                <w:rFonts w:ascii="Arial Narrow" w:hAnsi="Arial Narrow"/>
                <w:i/>
                <w:iCs/>
                <w:sz w:val="20"/>
                <w:szCs w:val="20"/>
              </w:rPr>
              <w:t>of the pathology report confirming C3G diagnosis via</w:t>
            </w:r>
            <w:r w:rsidRPr="00702C8F">
              <w:rPr>
                <w:rFonts w:ascii="Arial Narrow" w:hAnsi="Arial Narrow"/>
                <w:i/>
                <w:iCs/>
                <w:sz w:val="20"/>
                <w:szCs w:val="20"/>
              </w:rPr>
              <w:t xml:space="preserve"> kidney biopsy </w:t>
            </w:r>
          </w:p>
          <w:p w14:paraId="53C2485B" w14:textId="77777777" w:rsidR="000A5C9B" w:rsidRPr="0002651F" w:rsidRDefault="000A5C9B" w:rsidP="00370D8E">
            <w:pPr>
              <w:rPr>
                <w:rFonts w:ascii="Arial Narrow" w:hAnsi="Arial Narrow"/>
                <w:i/>
                <w:iCs/>
                <w:sz w:val="20"/>
                <w:szCs w:val="20"/>
              </w:rPr>
            </w:pPr>
            <w:r>
              <w:rPr>
                <w:rFonts w:ascii="Arial Narrow" w:hAnsi="Arial Narrow"/>
                <w:i/>
                <w:iCs/>
                <w:sz w:val="20"/>
                <w:szCs w:val="20"/>
              </w:rPr>
              <w:t>All results and reports must be documented in the patient’s medical records.</w:t>
            </w:r>
          </w:p>
        </w:tc>
      </w:tr>
      <w:tr w:rsidR="000A5C9B" w:rsidRPr="00446E53" w14:paraId="5B0CFDFD" w14:textId="77777777" w:rsidTr="00F92F4D">
        <w:trPr>
          <w:trHeight w:val="20"/>
        </w:trPr>
        <w:tc>
          <w:tcPr>
            <w:tcW w:w="3904" w:type="dxa"/>
            <w:gridSpan w:val="4"/>
            <w:vAlign w:val="center"/>
          </w:tcPr>
          <w:p w14:paraId="06063A3C" w14:textId="77777777" w:rsidR="000A5C9B" w:rsidRPr="00446E53" w:rsidRDefault="000A5C9B" w:rsidP="00370D8E">
            <w:pPr>
              <w:keepLines/>
              <w:rPr>
                <w:rFonts w:ascii="Arial Narrow" w:hAnsi="Arial Narrow"/>
                <w:b/>
                <w:bCs/>
                <w:sz w:val="20"/>
                <w:szCs w:val="20"/>
              </w:rPr>
            </w:pPr>
            <w:r w:rsidRPr="00446E53">
              <w:rPr>
                <w:rFonts w:ascii="Arial Narrow" w:hAnsi="Arial Narrow"/>
                <w:b/>
                <w:bCs/>
                <w:sz w:val="20"/>
                <w:szCs w:val="20"/>
              </w:rPr>
              <w:t>MEDICINAL PRODUCT</w:t>
            </w:r>
          </w:p>
          <w:p w14:paraId="37F4B6C3" w14:textId="77777777" w:rsidR="000A5C9B" w:rsidRPr="00446E53" w:rsidRDefault="000A5C9B" w:rsidP="00370D8E">
            <w:pPr>
              <w:keepLines/>
              <w:rPr>
                <w:rFonts w:ascii="Arial Narrow" w:hAnsi="Arial Narrow"/>
                <w:b/>
                <w:sz w:val="20"/>
                <w:szCs w:val="20"/>
              </w:rPr>
            </w:pPr>
            <w:r w:rsidRPr="00446E53">
              <w:rPr>
                <w:rFonts w:ascii="Arial Narrow" w:hAnsi="Arial Narrow"/>
                <w:b/>
                <w:bCs/>
                <w:sz w:val="20"/>
                <w:szCs w:val="20"/>
              </w:rPr>
              <w:t>medicinal product pack</w:t>
            </w:r>
          </w:p>
        </w:tc>
        <w:tc>
          <w:tcPr>
            <w:tcW w:w="811" w:type="dxa"/>
            <w:gridSpan w:val="2"/>
            <w:vAlign w:val="center"/>
          </w:tcPr>
          <w:p w14:paraId="42141BB3" w14:textId="77777777" w:rsidR="000A5C9B" w:rsidRPr="00446E53" w:rsidRDefault="000A5C9B" w:rsidP="00370D8E">
            <w:pPr>
              <w:keepLines/>
              <w:jc w:val="center"/>
              <w:rPr>
                <w:rFonts w:ascii="Arial Narrow" w:hAnsi="Arial Narrow"/>
                <w:b/>
                <w:sz w:val="20"/>
                <w:szCs w:val="20"/>
              </w:rPr>
            </w:pPr>
            <w:r w:rsidRPr="00446E53">
              <w:rPr>
                <w:rFonts w:ascii="Arial Narrow" w:hAnsi="Arial Narrow"/>
                <w:b/>
                <w:sz w:val="20"/>
                <w:szCs w:val="20"/>
              </w:rPr>
              <w:t>PBS item code</w:t>
            </w:r>
          </w:p>
        </w:tc>
        <w:tc>
          <w:tcPr>
            <w:tcW w:w="813" w:type="dxa"/>
            <w:gridSpan w:val="2"/>
            <w:vAlign w:val="center"/>
          </w:tcPr>
          <w:p w14:paraId="18777919" w14:textId="77777777" w:rsidR="000A5C9B" w:rsidRPr="00446E53" w:rsidRDefault="000A5C9B" w:rsidP="00370D8E">
            <w:pPr>
              <w:keepLines/>
              <w:jc w:val="center"/>
              <w:rPr>
                <w:rFonts w:ascii="Arial Narrow" w:hAnsi="Arial Narrow"/>
                <w:b/>
                <w:sz w:val="20"/>
                <w:szCs w:val="20"/>
              </w:rPr>
            </w:pPr>
            <w:r w:rsidRPr="00446E53">
              <w:rPr>
                <w:rFonts w:ascii="Arial Narrow" w:hAnsi="Arial Narrow"/>
                <w:b/>
                <w:sz w:val="20"/>
                <w:szCs w:val="20"/>
              </w:rPr>
              <w:t>Max. qty packs</w:t>
            </w:r>
          </w:p>
        </w:tc>
        <w:tc>
          <w:tcPr>
            <w:tcW w:w="811" w:type="dxa"/>
            <w:gridSpan w:val="2"/>
            <w:vAlign w:val="center"/>
          </w:tcPr>
          <w:p w14:paraId="3A6D6A1B" w14:textId="77777777" w:rsidR="000A5C9B" w:rsidRPr="00446E53" w:rsidRDefault="000A5C9B" w:rsidP="00370D8E">
            <w:pPr>
              <w:keepLines/>
              <w:jc w:val="center"/>
              <w:rPr>
                <w:rFonts w:ascii="Arial Narrow" w:hAnsi="Arial Narrow"/>
                <w:b/>
                <w:sz w:val="20"/>
                <w:szCs w:val="20"/>
              </w:rPr>
            </w:pPr>
            <w:r w:rsidRPr="00446E53">
              <w:rPr>
                <w:rFonts w:ascii="Arial Narrow" w:hAnsi="Arial Narrow"/>
                <w:b/>
                <w:sz w:val="20"/>
                <w:szCs w:val="20"/>
              </w:rPr>
              <w:t>Max. qty units</w:t>
            </w:r>
          </w:p>
        </w:tc>
        <w:tc>
          <w:tcPr>
            <w:tcW w:w="812" w:type="dxa"/>
            <w:gridSpan w:val="2"/>
            <w:vAlign w:val="center"/>
          </w:tcPr>
          <w:p w14:paraId="128C663A" w14:textId="77777777" w:rsidR="000A5C9B" w:rsidRPr="00446E53" w:rsidRDefault="000A5C9B" w:rsidP="00370D8E">
            <w:pPr>
              <w:keepLines/>
              <w:jc w:val="center"/>
              <w:rPr>
                <w:rFonts w:ascii="Arial Narrow" w:hAnsi="Arial Narrow"/>
                <w:b/>
                <w:sz w:val="20"/>
                <w:szCs w:val="20"/>
              </w:rPr>
            </w:pPr>
            <w:r w:rsidRPr="00446E53">
              <w:rPr>
                <w:rFonts w:ascii="Arial Narrow" w:hAnsi="Arial Narrow"/>
                <w:b/>
                <w:sz w:val="20"/>
                <w:szCs w:val="20"/>
              </w:rPr>
              <w:t>№.of</w:t>
            </w:r>
          </w:p>
          <w:p w14:paraId="2F3A7F6F" w14:textId="77777777" w:rsidR="000A5C9B" w:rsidRPr="00446E53" w:rsidRDefault="000A5C9B" w:rsidP="00370D8E">
            <w:pPr>
              <w:keepLines/>
              <w:jc w:val="center"/>
              <w:rPr>
                <w:rFonts w:ascii="Arial Narrow" w:hAnsi="Arial Narrow"/>
                <w:b/>
                <w:sz w:val="20"/>
                <w:szCs w:val="20"/>
              </w:rPr>
            </w:pPr>
            <w:r w:rsidRPr="00446E53">
              <w:rPr>
                <w:rFonts w:ascii="Arial Narrow" w:hAnsi="Arial Narrow"/>
                <w:b/>
                <w:sz w:val="20"/>
                <w:szCs w:val="20"/>
              </w:rPr>
              <w:t>Rpts</w:t>
            </w:r>
          </w:p>
        </w:tc>
        <w:tc>
          <w:tcPr>
            <w:tcW w:w="1866" w:type="dxa"/>
            <w:vAlign w:val="center"/>
          </w:tcPr>
          <w:p w14:paraId="7237A049" w14:textId="77777777" w:rsidR="000A5C9B" w:rsidRPr="00446E53" w:rsidRDefault="000A5C9B" w:rsidP="00370D8E">
            <w:pPr>
              <w:keepLines/>
              <w:rPr>
                <w:rFonts w:ascii="Arial Narrow" w:hAnsi="Arial Narrow"/>
                <w:b/>
                <w:sz w:val="20"/>
                <w:szCs w:val="20"/>
                <w:lang w:val="fr-FR"/>
              </w:rPr>
            </w:pPr>
            <w:r w:rsidRPr="00446E53">
              <w:rPr>
                <w:rFonts w:ascii="Arial Narrow" w:hAnsi="Arial Narrow"/>
                <w:b/>
                <w:sz w:val="20"/>
                <w:szCs w:val="20"/>
              </w:rPr>
              <w:t>Available brands</w:t>
            </w:r>
          </w:p>
        </w:tc>
      </w:tr>
      <w:tr w:rsidR="000A5C9B" w:rsidRPr="00446E53" w14:paraId="5EB5BA55" w14:textId="77777777" w:rsidTr="00F92F4D">
        <w:trPr>
          <w:trHeight w:val="20"/>
        </w:trPr>
        <w:tc>
          <w:tcPr>
            <w:tcW w:w="9017" w:type="dxa"/>
            <w:gridSpan w:val="13"/>
            <w:vAlign w:val="center"/>
          </w:tcPr>
          <w:p w14:paraId="1C78BB4A" w14:textId="77777777" w:rsidR="000A5C9B" w:rsidRPr="00446E53" w:rsidRDefault="000A5C9B" w:rsidP="00370D8E">
            <w:pPr>
              <w:keepLines/>
              <w:rPr>
                <w:rFonts w:ascii="Arial Narrow" w:hAnsi="Arial Narrow"/>
                <w:sz w:val="20"/>
                <w:szCs w:val="20"/>
              </w:rPr>
            </w:pPr>
            <w:r>
              <w:rPr>
                <w:rFonts w:ascii="Arial Narrow" w:hAnsi="Arial Narrow"/>
                <w:sz w:val="20"/>
                <w:szCs w:val="20"/>
              </w:rPr>
              <w:t>IPTACOPAN</w:t>
            </w:r>
          </w:p>
        </w:tc>
      </w:tr>
      <w:tr w:rsidR="000A5C9B" w:rsidRPr="00FD1C47" w14:paraId="7A193CB0" w14:textId="77777777" w:rsidTr="00F92F4D">
        <w:trPr>
          <w:trHeight w:val="20"/>
        </w:trPr>
        <w:tc>
          <w:tcPr>
            <w:tcW w:w="3904" w:type="dxa"/>
            <w:gridSpan w:val="4"/>
            <w:vAlign w:val="center"/>
          </w:tcPr>
          <w:p w14:paraId="7CBA2E69" w14:textId="77777777" w:rsidR="000A5C9B" w:rsidRPr="00446E53" w:rsidRDefault="000A5C9B" w:rsidP="00370D8E">
            <w:pPr>
              <w:keepLines/>
              <w:rPr>
                <w:rFonts w:ascii="Arial Narrow" w:hAnsi="Arial Narrow"/>
                <w:sz w:val="20"/>
                <w:szCs w:val="20"/>
              </w:rPr>
            </w:pPr>
            <w:r w:rsidRPr="00A569F9">
              <w:rPr>
                <w:rFonts w:ascii="Arial Narrow" w:hAnsi="Arial Narrow"/>
                <w:strike/>
                <w:sz w:val="20"/>
                <w:szCs w:val="20"/>
              </w:rPr>
              <w:t>I</w:t>
            </w:r>
            <w:r>
              <w:rPr>
                <w:rFonts w:ascii="Arial Narrow" w:hAnsi="Arial Narrow"/>
                <w:sz w:val="20"/>
                <w:szCs w:val="20"/>
              </w:rPr>
              <w:t xml:space="preserve"> </w:t>
            </w:r>
            <w:r>
              <w:rPr>
                <w:rFonts w:ascii="Arial Narrow" w:hAnsi="Arial Narrow"/>
                <w:i/>
                <w:iCs/>
                <w:sz w:val="20"/>
                <w:szCs w:val="20"/>
              </w:rPr>
              <w:t>i</w:t>
            </w:r>
            <w:r>
              <w:rPr>
                <w:rFonts w:ascii="Arial Narrow" w:hAnsi="Arial Narrow"/>
                <w:sz w:val="20"/>
                <w:szCs w:val="20"/>
              </w:rPr>
              <w:t>ptacopan 200 mg capsule, 56</w:t>
            </w:r>
          </w:p>
        </w:tc>
        <w:tc>
          <w:tcPr>
            <w:tcW w:w="811" w:type="dxa"/>
            <w:gridSpan w:val="2"/>
            <w:vAlign w:val="center"/>
          </w:tcPr>
          <w:p w14:paraId="0D9362B1" w14:textId="77777777" w:rsidR="000A5C9B" w:rsidRPr="00FD1C47" w:rsidRDefault="000A5C9B" w:rsidP="00370D8E">
            <w:pPr>
              <w:keepLines/>
              <w:jc w:val="center"/>
              <w:rPr>
                <w:rFonts w:ascii="Arial Narrow" w:hAnsi="Arial Narrow"/>
                <w:sz w:val="20"/>
                <w:szCs w:val="20"/>
              </w:rPr>
            </w:pPr>
            <w:r w:rsidRPr="00FD1C47">
              <w:rPr>
                <w:rFonts w:ascii="Arial Narrow" w:hAnsi="Arial Narrow"/>
                <w:sz w:val="20"/>
                <w:szCs w:val="20"/>
              </w:rPr>
              <w:t>NEW</w:t>
            </w:r>
          </w:p>
        </w:tc>
        <w:tc>
          <w:tcPr>
            <w:tcW w:w="813" w:type="dxa"/>
            <w:gridSpan w:val="2"/>
            <w:vAlign w:val="center"/>
          </w:tcPr>
          <w:p w14:paraId="6A3DCD2E" w14:textId="77777777" w:rsidR="000A5C9B" w:rsidRPr="00FD1C47" w:rsidRDefault="000A5C9B" w:rsidP="00370D8E">
            <w:pPr>
              <w:keepLines/>
              <w:jc w:val="center"/>
              <w:rPr>
                <w:rFonts w:ascii="Arial Narrow" w:hAnsi="Arial Narrow"/>
                <w:sz w:val="20"/>
                <w:szCs w:val="20"/>
              </w:rPr>
            </w:pPr>
            <w:r w:rsidRPr="00FD1C47">
              <w:rPr>
                <w:rFonts w:ascii="Arial Narrow" w:hAnsi="Arial Narrow"/>
                <w:sz w:val="20"/>
                <w:szCs w:val="20"/>
              </w:rPr>
              <w:t>1</w:t>
            </w:r>
          </w:p>
        </w:tc>
        <w:tc>
          <w:tcPr>
            <w:tcW w:w="811" w:type="dxa"/>
            <w:gridSpan w:val="2"/>
            <w:vAlign w:val="center"/>
          </w:tcPr>
          <w:p w14:paraId="5FF55658" w14:textId="77777777" w:rsidR="000A5C9B" w:rsidRPr="00FD1C47" w:rsidRDefault="000A5C9B" w:rsidP="00370D8E">
            <w:pPr>
              <w:keepLines/>
              <w:jc w:val="center"/>
              <w:rPr>
                <w:rFonts w:ascii="Arial Narrow" w:hAnsi="Arial Narrow"/>
                <w:sz w:val="20"/>
                <w:szCs w:val="20"/>
              </w:rPr>
            </w:pPr>
            <w:r w:rsidRPr="00FD1C47">
              <w:rPr>
                <w:rFonts w:ascii="Arial Narrow" w:hAnsi="Arial Narrow"/>
                <w:sz w:val="20"/>
                <w:szCs w:val="20"/>
              </w:rPr>
              <w:t>56</w:t>
            </w:r>
          </w:p>
        </w:tc>
        <w:tc>
          <w:tcPr>
            <w:tcW w:w="812" w:type="dxa"/>
            <w:gridSpan w:val="2"/>
            <w:vAlign w:val="center"/>
          </w:tcPr>
          <w:p w14:paraId="61FE58BD" w14:textId="77777777" w:rsidR="000A5C9B" w:rsidRPr="00FD1C47" w:rsidRDefault="000A5C9B" w:rsidP="00370D8E">
            <w:pPr>
              <w:keepLines/>
              <w:jc w:val="center"/>
              <w:rPr>
                <w:rFonts w:ascii="Arial Narrow" w:hAnsi="Arial Narrow"/>
                <w:sz w:val="20"/>
                <w:szCs w:val="20"/>
              </w:rPr>
            </w:pPr>
            <w:r w:rsidRPr="00FD1C47">
              <w:rPr>
                <w:rFonts w:ascii="Arial Narrow" w:hAnsi="Arial Narrow"/>
                <w:sz w:val="20"/>
                <w:szCs w:val="20"/>
              </w:rPr>
              <w:t>5</w:t>
            </w:r>
          </w:p>
        </w:tc>
        <w:tc>
          <w:tcPr>
            <w:tcW w:w="1866" w:type="dxa"/>
            <w:vAlign w:val="center"/>
          </w:tcPr>
          <w:p w14:paraId="759F44A4" w14:textId="77777777" w:rsidR="000A5C9B" w:rsidRPr="00FD1C47" w:rsidRDefault="000A5C9B" w:rsidP="00370D8E">
            <w:pPr>
              <w:keepLines/>
              <w:jc w:val="center"/>
              <w:rPr>
                <w:rFonts w:ascii="Arial Narrow" w:hAnsi="Arial Narrow"/>
                <w:sz w:val="20"/>
                <w:szCs w:val="20"/>
              </w:rPr>
            </w:pPr>
            <w:proofErr w:type="spellStart"/>
            <w:r w:rsidRPr="00FD1C47">
              <w:rPr>
                <w:rFonts w:ascii="Arial Narrow" w:hAnsi="Arial Narrow"/>
                <w:sz w:val="20"/>
                <w:szCs w:val="20"/>
              </w:rPr>
              <w:t>Fabhalta</w:t>
            </w:r>
            <w:proofErr w:type="spellEnd"/>
          </w:p>
        </w:tc>
      </w:tr>
      <w:tr w:rsidR="000A5C9B" w:rsidRPr="00446E53" w14:paraId="13323909" w14:textId="77777777" w:rsidTr="00F92F4D">
        <w:tblPrEx>
          <w:tblCellMar>
            <w:top w:w="15" w:type="dxa"/>
            <w:bottom w:w="15" w:type="dxa"/>
          </w:tblCellMar>
          <w:tblLook w:val="04A0" w:firstRow="1" w:lastRow="0" w:firstColumn="1" w:lastColumn="0" w:noHBand="0" w:noVBand="1"/>
        </w:tblPrEx>
        <w:trPr>
          <w:trHeight w:val="20"/>
        </w:trPr>
        <w:tc>
          <w:tcPr>
            <w:tcW w:w="9017" w:type="dxa"/>
            <w:gridSpan w:val="13"/>
            <w:tcBorders>
              <w:top w:val="single" w:sz="4" w:space="0" w:color="auto"/>
              <w:left w:val="single" w:sz="4" w:space="0" w:color="auto"/>
              <w:right w:val="single" w:sz="4" w:space="0" w:color="auto"/>
            </w:tcBorders>
            <w:vAlign w:val="center"/>
          </w:tcPr>
          <w:p w14:paraId="353A288B" w14:textId="77777777" w:rsidR="000A5C9B" w:rsidRPr="00446E53" w:rsidRDefault="000A5C9B" w:rsidP="00370D8E">
            <w:pPr>
              <w:rPr>
                <w:rFonts w:ascii="Arial Narrow" w:hAnsi="Arial Narrow"/>
                <w:sz w:val="20"/>
                <w:szCs w:val="20"/>
              </w:rPr>
            </w:pPr>
          </w:p>
        </w:tc>
      </w:tr>
      <w:tr w:rsidR="000A5C9B" w:rsidRPr="00A76D9D" w14:paraId="748D8E31"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vMerge w:val="restart"/>
            <w:tcBorders>
              <w:top w:val="single" w:sz="4" w:space="0" w:color="auto"/>
              <w:left w:val="single" w:sz="4" w:space="0" w:color="auto"/>
              <w:right w:val="single" w:sz="4" w:space="0" w:color="auto"/>
            </w:tcBorders>
          </w:tcPr>
          <w:p w14:paraId="08C2CE43" w14:textId="77777777" w:rsidR="000A5C9B" w:rsidRPr="00446E53" w:rsidRDefault="000A5C9B" w:rsidP="00370D8E">
            <w:pPr>
              <w:jc w:val="center"/>
              <w:rPr>
                <w:rFonts w:ascii="Arial Narrow" w:hAnsi="Arial Narrow"/>
                <w:sz w:val="20"/>
                <w:szCs w:val="20"/>
              </w:rPr>
            </w:pPr>
            <w:r w:rsidRPr="00446E53">
              <w:rPr>
                <w:rFonts w:ascii="Arial Narrow" w:hAnsi="Arial Narrow"/>
                <w:b/>
                <w:sz w:val="20"/>
                <w:szCs w:val="20"/>
              </w:rPr>
              <w:t>Concept ID</w:t>
            </w:r>
          </w:p>
          <w:p w14:paraId="346F9876" w14:textId="77777777" w:rsidR="000A5C9B" w:rsidRPr="00446E53" w:rsidRDefault="000A5C9B" w:rsidP="00370D8E">
            <w:pPr>
              <w:jc w:val="center"/>
              <w:rPr>
                <w:rFonts w:ascii="Arial Narrow" w:hAnsi="Arial Narrow"/>
                <w:b/>
                <w:sz w:val="20"/>
                <w:szCs w:val="20"/>
              </w:rPr>
            </w:pPr>
          </w:p>
        </w:tc>
        <w:tc>
          <w:tcPr>
            <w:tcW w:w="7751" w:type="dxa"/>
            <w:gridSpan w:val="11"/>
            <w:tcBorders>
              <w:top w:val="single" w:sz="4" w:space="0" w:color="auto"/>
              <w:left w:val="single" w:sz="4" w:space="0" w:color="auto"/>
              <w:bottom w:val="single" w:sz="4" w:space="0" w:color="auto"/>
              <w:right w:val="single" w:sz="4" w:space="0" w:color="auto"/>
            </w:tcBorders>
            <w:vAlign w:val="center"/>
          </w:tcPr>
          <w:p w14:paraId="3838C295" w14:textId="77777777" w:rsidR="000A5C9B" w:rsidRPr="00A76D9D" w:rsidRDefault="000A5C9B" w:rsidP="00370D8E">
            <w:pPr>
              <w:keepLines/>
              <w:rPr>
                <w:rFonts w:ascii="Arial Narrow" w:hAnsi="Arial Narrow"/>
                <w:sz w:val="20"/>
                <w:szCs w:val="20"/>
              </w:rPr>
            </w:pPr>
            <w:r w:rsidRPr="00A76D9D">
              <w:rPr>
                <w:rFonts w:ascii="Arial Narrow" w:hAnsi="Arial Narrow"/>
                <w:b/>
                <w:sz w:val="20"/>
                <w:szCs w:val="20"/>
              </w:rPr>
              <w:t>Category / Program:</w:t>
            </w:r>
            <w:r w:rsidRPr="00A76D9D">
              <w:rPr>
                <w:rFonts w:ascii="Arial Narrow" w:hAnsi="Arial Narrow"/>
                <w:sz w:val="20"/>
                <w:szCs w:val="20"/>
              </w:rPr>
              <w:t xml:space="preserve"> </w:t>
            </w:r>
            <w:r w:rsidRPr="00A76D9D">
              <w:rPr>
                <w:rFonts w:ascii="Arial Narrow" w:hAnsi="Arial Narrow"/>
                <w:sz w:val="20"/>
                <w:szCs w:val="20"/>
              </w:rPr>
              <w:fldChar w:fldCharType="begin">
                <w:ffData>
                  <w:name w:val=""/>
                  <w:enabled/>
                  <w:calcOnExit w:val="0"/>
                  <w:checkBox>
                    <w:sizeAuto/>
                    <w:default w:val="1"/>
                  </w:checkBox>
                </w:ffData>
              </w:fldChar>
            </w:r>
            <w:r w:rsidRPr="00A76D9D">
              <w:rPr>
                <w:rFonts w:ascii="Arial Narrow" w:hAnsi="Arial Narrow"/>
                <w:sz w:val="20"/>
                <w:szCs w:val="20"/>
              </w:rPr>
              <w:instrText xml:space="preserve"> FORMCHECKBOX </w:instrText>
            </w:r>
            <w:r w:rsidRPr="00A76D9D">
              <w:rPr>
                <w:rFonts w:ascii="Arial Narrow" w:hAnsi="Arial Narrow"/>
                <w:sz w:val="20"/>
                <w:szCs w:val="20"/>
              </w:rPr>
            </w:r>
            <w:r w:rsidRPr="00A76D9D">
              <w:rPr>
                <w:rFonts w:ascii="Arial Narrow" w:hAnsi="Arial Narrow"/>
                <w:sz w:val="20"/>
                <w:szCs w:val="20"/>
              </w:rPr>
              <w:fldChar w:fldCharType="separate"/>
            </w:r>
            <w:r w:rsidRPr="00A76D9D">
              <w:rPr>
                <w:rFonts w:ascii="Arial Narrow" w:hAnsi="Arial Narrow"/>
                <w:sz w:val="20"/>
                <w:szCs w:val="20"/>
              </w:rPr>
              <w:fldChar w:fldCharType="end"/>
            </w:r>
            <w:r w:rsidRPr="00A76D9D">
              <w:rPr>
                <w:rFonts w:ascii="Arial Narrow" w:hAnsi="Arial Narrow"/>
                <w:sz w:val="20"/>
                <w:szCs w:val="20"/>
              </w:rPr>
              <w:t xml:space="preserve"> </w:t>
            </w:r>
            <w:r w:rsidRPr="00A76D9D">
              <w:rPr>
                <w:rFonts w:ascii="Arial Narrow" w:eastAsia="Calibri" w:hAnsi="Arial Narrow"/>
                <w:sz w:val="20"/>
                <w:szCs w:val="20"/>
              </w:rPr>
              <w:t xml:space="preserve">GENERAL - General Schedule (Code GE) </w:t>
            </w:r>
          </w:p>
        </w:tc>
      </w:tr>
      <w:tr w:rsidR="000A5C9B" w:rsidRPr="00A76D9D" w14:paraId="6B0D3D82"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vMerge/>
            <w:tcBorders>
              <w:left w:val="single" w:sz="4" w:space="0" w:color="auto"/>
              <w:right w:val="single" w:sz="4" w:space="0" w:color="auto"/>
            </w:tcBorders>
          </w:tcPr>
          <w:p w14:paraId="7594D340" w14:textId="77777777" w:rsidR="000A5C9B" w:rsidRPr="00446E53" w:rsidRDefault="000A5C9B" w:rsidP="00370D8E">
            <w:pPr>
              <w:jc w:val="center"/>
              <w:rPr>
                <w:rFonts w:ascii="Arial Narrow" w:hAnsi="Arial Narrow"/>
                <w:sz w:val="20"/>
                <w:szCs w:val="20"/>
              </w:rPr>
            </w:pPr>
          </w:p>
        </w:tc>
        <w:tc>
          <w:tcPr>
            <w:tcW w:w="7751" w:type="dxa"/>
            <w:gridSpan w:val="11"/>
            <w:tcBorders>
              <w:top w:val="single" w:sz="4" w:space="0" w:color="auto"/>
              <w:left w:val="single" w:sz="4" w:space="0" w:color="auto"/>
              <w:bottom w:val="single" w:sz="4" w:space="0" w:color="auto"/>
              <w:right w:val="single" w:sz="4" w:space="0" w:color="auto"/>
            </w:tcBorders>
            <w:vAlign w:val="center"/>
          </w:tcPr>
          <w:p w14:paraId="69793C5A" w14:textId="77777777" w:rsidR="000A5C9B" w:rsidRPr="00A76D9D" w:rsidRDefault="000A5C9B" w:rsidP="00370D8E">
            <w:pPr>
              <w:keepLines/>
              <w:rPr>
                <w:rFonts w:ascii="Arial Narrow" w:hAnsi="Arial Narrow"/>
                <w:b/>
                <w:sz w:val="20"/>
                <w:szCs w:val="20"/>
              </w:rPr>
            </w:pPr>
            <w:r w:rsidRPr="00A76D9D">
              <w:rPr>
                <w:rFonts w:ascii="Arial Narrow" w:hAnsi="Arial Narrow"/>
                <w:b/>
                <w:sz w:val="20"/>
                <w:szCs w:val="20"/>
              </w:rPr>
              <w:t xml:space="preserve">Prescriber type: </w:t>
            </w:r>
            <w:r w:rsidRPr="00A76D9D">
              <w:rPr>
                <w:rFonts w:ascii="Arial Narrow" w:hAnsi="Arial Narrow"/>
                <w:sz w:val="20"/>
                <w:szCs w:val="20"/>
              </w:rPr>
              <w:fldChar w:fldCharType="begin">
                <w:ffData>
                  <w:name w:val=""/>
                  <w:enabled/>
                  <w:calcOnExit w:val="0"/>
                  <w:checkBox>
                    <w:sizeAuto/>
                    <w:default w:val="1"/>
                  </w:checkBox>
                </w:ffData>
              </w:fldChar>
            </w:r>
            <w:r w:rsidRPr="00A76D9D">
              <w:rPr>
                <w:rFonts w:ascii="Arial Narrow" w:hAnsi="Arial Narrow"/>
                <w:sz w:val="20"/>
                <w:szCs w:val="20"/>
              </w:rPr>
              <w:instrText xml:space="preserve"> FORMCHECKBOX </w:instrText>
            </w:r>
            <w:r w:rsidRPr="00A76D9D">
              <w:rPr>
                <w:rFonts w:ascii="Arial Narrow" w:hAnsi="Arial Narrow"/>
                <w:sz w:val="20"/>
                <w:szCs w:val="20"/>
              </w:rPr>
            </w:r>
            <w:r w:rsidRPr="00A76D9D">
              <w:rPr>
                <w:rFonts w:ascii="Arial Narrow" w:hAnsi="Arial Narrow"/>
                <w:sz w:val="20"/>
                <w:szCs w:val="20"/>
              </w:rPr>
              <w:fldChar w:fldCharType="separate"/>
            </w:r>
            <w:r w:rsidRPr="00A76D9D">
              <w:rPr>
                <w:rFonts w:ascii="Arial Narrow" w:hAnsi="Arial Narrow"/>
                <w:sz w:val="20"/>
                <w:szCs w:val="20"/>
              </w:rPr>
              <w:fldChar w:fldCharType="end"/>
            </w:r>
            <w:r w:rsidRPr="00A76D9D">
              <w:rPr>
                <w:rFonts w:ascii="Arial Narrow" w:hAnsi="Arial Narrow"/>
                <w:sz w:val="20"/>
                <w:szCs w:val="20"/>
              </w:rPr>
              <w:t xml:space="preserve"> Medical Practitioners </w:t>
            </w:r>
            <w:r w:rsidRPr="00A76D9D">
              <w:rPr>
                <w:rFonts w:ascii="Arial Narrow" w:hAnsi="Arial Narrow"/>
                <w:sz w:val="20"/>
                <w:szCs w:val="20"/>
              </w:rPr>
              <w:fldChar w:fldCharType="begin">
                <w:ffData>
                  <w:name w:val=""/>
                  <w:enabled/>
                  <w:calcOnExit w:val="0"/>
                  <w:checkBox>
                    <w:sizeAuto/>
                    <w:default w:val="1"/>
                  </w:checkBox>
                </w:ffData>
              </w:fldChar>
            </w:r>
            <w:r w:rsidRPr="00A76D9D">
              <w:rPr>
                <w:rFonts w:ascii="Arial Narrow" w:hAnsi="Arial Narrow"/>
                <w:sz w:val="20"/>
                <w:szCs w:val="20"/>
              </w:rPr>
              <w:instrText xml:space="preserve"> FORMCHECKBOX </w:instrText>
            </w:r>
            <w:r w:rsidRPr="00A76D9D">
              <w:rPr>
                <w:rFonts w:ascii="Arial Narrow" w:hAnsi="Arial Narrow"/>
                <w:sz w:val="20"/>
                <w:szCs w:val="20"/>
              </w:rPr>
            </w:r>
            <w:r w:rsidRPr="00A76D9D">
              <w:rPr>
                <w:rFonts w:ascii="Arial Narrow" w:hAnsi="Arial Narrow"/>
                <w:sz w:val="20"/>
                <w:szCs w:val="20"/>
              </w:rPr>
              <w:fldChar w:fldCharType="separate"/>
            </w:r>
            <w:r w:rsidRPr="00A76D9D">
              <w:rPr>
                <w:rFonts w:ascii="Arial Narrow" w:hAnsi="Arial Narrow"/>
                <w:sz w:val="20"/>
                <w:szCs w:val="20"/>
              </w:rPr>
              <w:fldChar w:fldCharType="end"/>
            </w:r>
            <w:r w:rsidRPr="00A76D9D">
              <w:rPr>
                <w:rFonts w:ascii="Arial Narrow" w:hAnsi="Arial Narrow"/>
                <w:sz w:val="20"/>
                <w:szCs w:val="20"/>
              </w:rPr>
              <w:t xml:space="preserve"> Nurse practitioners </w:t>
            </w:r>
          </w:p>
        </w:tc>
      </w:tr>
      <w:tr w:rsidR="000A5C9B" w:rsidRPr="00A76D9D" w14:paraId="36AB7917"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vMerge/>
            <w:tcBorders>
              <w:left w:val="single" w:sz="4" w:space="0" w:color="auto"/>
              <w:right w:val="single" w:sz="4" w:space="0" w:color="auto"/>
            </w:tcBorders>
          </w:tcPr>
          <w:p w14:paraId="75FD84E2" w14:textId="77777777" w:rsidR="000A5C9B" w:rsidRPr="00446E53" w:rsidRDefault="000A5C9B" w:rsidP="00370D8E">
            <w:pPr>
              <w:jc w:val="center"/>
              <w:rPr>
                <w:rFonts w:ascii="Arial Narrow" w:hAnsi="Arial Narrow"/>
                <w:sz w:val="20"/>
                <w:szCs w:val="20"/>
              </w:rPr>
            </w:pPr>
          </w:p>
        </w:tc>
        <w:tc>
          <w:tcPr>
            <w:tcW w:w="7751" w:type="dxa"/>
            <w:gridSpan w:val="11"/>
            <w:tcBorders>
              <w:top w:val="single" w:sz="4" w:space="0" w:color="auto"/>
              <w:left w:val="single" w:sz="4" w:space="0" w:color="auto"/>
              <w:bottom w:val="single" w:sz="4" w:space="0" w:color="auto"/>
              <w:right w:val="single" w:sz="4" w:space="0" w:color="auto"/>
            </w:tcBorders>
            <w:vAlign w:val="center"/>
          </w:tcPr>
          <w:p w14:paraId="19DFB83B" w14:textId="1C2668DD" w:rsidR="000A5C9B" w:rsidRPr="00A76D9D" w:rsidRDefault="000A5C9B" w:rsidP="00370D8E">
            <w:pPr>
              <w:keepLines/>
              <w:rPr>
                <w:rFonts w:ascii="Arial Narrow" w:hAnsi="Arial Narrow"/>
                <w:sz w:val="20"/>
                <w:szCs w:val="20"/>
              </w:rPr>
            </w:pPr>
            <w:r w:rsidRPr="00A76D9D">
              <w:rPr>
                <w:rFonts w:ascii="Arial Narrow" w:hAnsi="Arial Narrow"/>
                <w:b/>
                <w:sz w:val="20"/>
                <w:szCs w:val="20"/>
              </w:rPr>
              <w:t xml:space="preserve">Benefit type: </w:t>
            </w:r>
            <w:r w:rsidRPr="00A76D9D">
              <w:rPr>
                <w:rFonts w:ascii="Arial Narrow" w:hAnsi="Arial Narrow"/>
                <w:sz w:val="20"/>
                <w:szCs w:val="20"/>
              </w:rPr>
              <w:fldChar w:fldCharType="begin">
                <w:ffData>
                  <w:name w:val=""/>
                  <w:enabled/>
                  <w:calcOnExit w:val="0"/>
                  <w:checkBox>
                    <w:sizeAuto/>
                    <w:default w:val="1"/>
                  </w:checkBox>
                </w:ffData>
              </w:fldChar>
            </w:r>
            <w:r w:rsidRPr="00A76D9D">
              <w:rPr>
                <w:rFonts w:ascii="Arial Narrow" w:hAnsi="Arial Narrow"/>
                <w:sz w:val="20"/>
                <w:szCs w:val="20"/>
              </w:rPr>
              <w:instrText xml:space="preserve"> FORMCHECKBOX </w:instrText>
            </w:r>
            <w:r w:rsidRPr="00A76D9D">
              <w:rPr>
                <w:rFonts w:ascii="Arial Narrow" w:hAnsi="Arial Narrow"/>
                <w:sz w:val="20"/>
                <w:szCs w:val="20"/>
              </w:rPr>
            </w:r>
            <w:r w:rsidRPr="00A76D9D">
              <w:rPr>
                <w:rFonts w:ascii="Arial Narrow" w:hAnsi="Arial Narrow"/>
                <w:sz w:val="20"/>
                <w:szCs w:val="20"/>
              </w:rPr>
              <w:fldChar w:fldCharType="separate"/>
            </w:r>
            <w:r w:rsidRPr="00A76D9D">
              <w:rPr>
                <w:rFonts w:ascii="Arial Narrow" w:hAnsi="Arial Narrow"/>
                <w:sz w:val="20"/>
                <w:szCs w:val="20"/>
              </w:rPr>
              <w:fldChar w:fldCharType="end"/>
            </w:r>
            <w:r w:rsidRPr="00A76D9D">
              <w:rPr>
                <w:rFonts w:ascii="Arial Narrow" w:hAnsi="Arial Narrow"/>
                <w:sz w:val="20"/>
                <w:szCs w:val="20"/>
              </w:rPr>
              <w:t xml:space="preserve"> </w:t>
            </w:r>
            <w:r w:rsidRPr="00A76D9D">
              <w:rPr>
                <w:rFonts w:ascii="Arial Narrow" w:eastAsia="Calibri" w:hAnsi="Arial Narrow"/>
                <w:sz w:val="20"/>
                <w:szCs w:val="20"/>
              </w:rPr>
              <w:t>Authority Required (</w:t>
            </w:r>
            <w:r>
              <w:rPr>
                <w:rFonts w:ascii="Arial Narrow" w:eastAsia="Calibri" w:hAnsi="Arial Narrow"/>
                <w:sz w:val="20"/>
                <w:szCs w:val="20"/>
              </w:rPr>
              <w:t>Streamlined) [new code]</w:t>
            </w:r>
            <w:r w:rsidR="006B75F2">
              <w:rPr>
                <w:rFonts w:ascii="Arial Narrow" w:eastAsia="Calibri" w:hAnsi="Arial Narrow"/>
                <w:sz w:val="20"/>
                <w:szCs w:val="20"/>
              </w:rPr>
              <w:t xml:space="preserve"> </w:t>
            </w:r>
          </w:p>
        </w:tc>
      </w:tr>
      <w:tr w:rsidR="000A5C9B" w:rsidRPr="00446E53" w14:paraId="0F13EE3F" w14:textId="77777777" w:rsidTr="00F92F4D">
        <w:tblPrEx>
          <w:tblCellMar>
            <w:top w:w="15" w:type="dxa"/>
            <w:bottom w:w="15" w:type="dxa"/>
          </w:tblCellMar>
          <w:tblLook w:val="04A0" w:firstRow="1" w:lastRow="0" w:firstColumn="1" w:lastColumn="0" w:noHBand="0" w:noVBand="1"/>
        </w:tblPrEx>
        <w:trPr>
          <w:trHeight w:val="236"/>
        </w:trPr>
        <w:tc>
          <w:tcPr>
            <w:tcW w:w="1266" w:type="dxa"/>
            <w:gridSpan w:val="2"/>
            <w:tcBorders>
              <w:left w:val="single" w:sz="4" w:space="0" w:color="auto"/>
              <w:bottom w:val="single" w:sz="4" w:space="0" w:color="auto"/>
              <w:right w:val="single" w:sz="4" w:space="0" w:color="auto"/>
            </w:tcBorders>
          </w:tcPr>
          <w:p w14:paraId="6B513009" w14:textId="77777777" w:rsidR="000A5C9B" w:rsidRPr="00446E53" w:rsidRDefault="000A5C9B" w:rsidP="00370D8E">
            <w:pPr>
              <w:jc w:val="center"/>
              <w:rPr>
                <w:rFonts w:ascii="Arial Narrow" w:hAnsi="Arial Narrow"/>
                <w:sz w:val="20"/>
                <w:szCs w:val="20"/>
              </w:rPr>
            </w:pPr>
          </w:p>
        </w:tc>
        <w:tc>
          <w:tcPr>
            <w:tcW w:w="7751" w:type="dxa"/>
            <w:gridSpan w:val="11"/>
            <w:tcBorders>
              <w:top w:val="single" w:sz="4" w:space="0" w:color="auto"/>
              <w:left w:val="single" w:sz="4" w:space="0" w:color="auto"/>
              <w:bottom w:val="single" w:sz="4" w:space="0" w:color="auto"/>
              <w:right w:val="single" w:sz="4" w:space="0" w:color="auto"/>
            </w:tcBorders>
            <w:vAlign w:val="center"/>
          </w:tcPr>
          <w:p w14:paraId="24ACAA74" w14:textId="77777777" w:rsidR="000A5C9B" w:rsidRPr="00446E53" w:rsidRDefault="000A5C9B" w:rsidP="00370D8E">
            <w:pPr>
              <w:pStyle w:val="pf0"/>
              <w:spacing w:before="0" w:beforeAutospacing="0" w:after="0" w:afterAutospacing="0"/>
              <w:rPr>
                <w:rFonts w:ascii="Arial Narrow" w:hAnsi="Arial Narrow" w:cs="Arial"/>
                <w:b/>
                <w:sz w:val="20"/>
                <w:szCs w:val="20"/>
              </w:rPr>
            </w:pPr>
            <w:r w:rsidRPr="00446E53">
              <w:rPr>
                <w:rFonts w:ascii="Arial Narrow" w:hAnsi="Arial Narrow" w:cs="Arial"/>
                <w:b/>
                <w:sz w:val="20"/>
                <w:szCs w:val="20"/>
              </w:rPr>
              <w:t xml:space="preserve">Prescribing rule level: </w:t>
            </w:r>
          </w:p>
        </w:tc>
      </w:tr>
      <w:tr w:rsidR="000A5C9B" w:rsidRPr="00760CF3" w14:paraId="4FC5FA20"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Borders>
              <w:left w:val="single" w:sz="4" w:space="0" w:color="auto"/>
              <w:bottom w:val="single" w:sz="4" w:space="0" w:color="auto"/>
              <w:right w:val="single" w:sz="4" w:space="0" w:color="auto"/>
            </w:tcBorders>
          </w:tcPr>
          <w:p w14:paraId="0AA7B304" w14:textId="77777777" w:rsidR="000A5C9B" w:rsidRPr="00760CF3" w:rsidRDefault="000A5C9B" w:rsidP="00370D8E">
            <w:pPr>
              <w:jc w:val="center"/>
              <w:rPr>
                <w:rFonts w:ascii="Arial Narrow" w:hAnsi="Arial Narrow"/>
                <w:i/>
                <w:iCs/>
                <w:sz w:val="20"/>
                <w:szCs w:val="20"/>
              </w:rPr>
            </w:pPr>
            <w:r w:rsidRPr="00760CF3">
              <w:rPr>
                <w:rFonts w:ascii="Arial Narrow" w:hAnsi="Arial Narrow"/>
                <w:i/>
                <w:iCs/>
                <w:sz w:val="20"/>
                <w:szCs w:val="20"/>
              </w:rPr>
              <w:t>7606</w:t>
            </w:r>
          </w:p>
        </w:tc>
        <w:tc>
          <w:tcPr>
            <w:tcW w:w="7751" w:type="dxa"/>
            <w:gridSpan w:val="11"/>
            <w:tcBorders>
              <w:top w:val="single" w:sz="4" w:space="0" w:color="auto"/>
              <w:left w:val="single" w:sz="4" w:space="0" w:color="auto"/>
              <w:bottom w:val="single" w:sz="4" w:space="0" w:color="auto"/>
              <w:right w:val="single" w:sz="4" w:space="0" w:color="auto"/>
            </w:tcBorders>
            <w:vAlign w:val="center"/>
          </w:tcPr>
          <w:p w14:paraId="5E8B68E8" w14:textId="77777777" w:rsidR="000A5C9B" w:rsidRPr="00760CF3" w:rsidRDefault="000A5C9B" w:rsidP="00370D8E">
            <w:pPr>
              <w:rPr>
                <w:rFonts w:ascii="Arial Narrow" w:hAnsi="Arial Narrow"/>
                <w:b/>
                <w:bCs/>
                <w:i/>
                <w:iCs/>
                <w:color w:val="333333"/>
                <w:sz w:val="20"/>
                <w:szCs w:val="20"/>
              </w:rPr>
            </w:pPr>
            <w:r w:rsidRPr="00760CF3">
              <w:rPr>
                <w:rFonts w:ascii="Arial Narrow" w:hAnsi="Arial Narrow"/>
                <w:b/>
                <w:bCs/>
                <w:i/>
                <w:iCs/>
                <w:color w:val="333333"/>
                <w:sz w:val="20"/>
                <w:szCs w:val="20"/>
              </w:rPr>
              <w:t>Administrative Advice:</w:t>
            </w:r>
          </w:p>
          <w:p w14:paraId="25447EEC" w14:textId="77777777" w:rsidR="000A5C9B" w:rsidRPr="00760CF3" w:rsidRDefault="000A5C9B" w:rsidP="00370D8E">
            <w:pPr>
              <w:rPr>
                <w:rFonts w:ascii="Arial Narrow" w:hAnsi="Arial Narrow"/>
                <w:i/>
                <w:iCs/>
                <w:color w:val="333333"/>
                <w:sz w:val="20"/>
                <w:szCs w:val="20"/>
              </w:rPr>
            </w:pPr>
            <w:r w:rsidRPr="00760CF3">
              <w:rPr>
                <w:rFonts w:ascii="Arial Narrow" w:hAnsi="Arial Narrow"/>
                <w:i/>
                <w:iCs/>
                <w:color w:val="333333"/>
                <w:sz w:val="20"/>
                <w:szCs w:val="20"/>
              </w:rPr>
              <w:t>No increase in the maximum quantity or number of units may be authorised.</w:t>
            </w:r>
          </w:p>
        </w:tc>
      </w:tr>
      <w:tr w:rsidR="000A5C9B" w:rsidRPr="00760CF3" w14:paraId="7CFAA59A"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Borders>
              <w:left w:val="single" w:sz="4" w:space="0" w:color="auto"/>
              <w:bottom w:val="single" w:sz="4" w:space="0" w:color="auto"/>
              <w:right w:val="single" w:sz="4" w:space="0" w:color="auto"/>
            </w:tcBorders>
          </w:tcPr>
          <w:p w14:paraId="79198805" w14:textId="77777777" w:rsidR="000A5C9B" w:rsidRPr="00760CF3" w:rsidRDefault="000A5C9B" w:rsidP="00370D8E">
            <w:pPr>
              <w:jc w:val="center"/>
              <w:rPr>
                <w:rFonts w:ascii="Arial Narrow" w:hAnsi="Arial Narrow"/>
                <w:i/>
                <w:iCs/>
                <w:sz w:val="20"/>
                <w:szCs w:val="20"/>
              </w:rPr>
            </w:pPr>
            <w:r w:rsidRPr="00760CF3">
              <w:rPr>
                <w:rFonts w:ascii="Arial Narrow" w:hAnsi="Arial Narrow"/>
                <w:i/>
                <w:iCs/>
                <w:sz w:val="20"/>
                <w:szCs w:val="20"/>
              </w:rPr>
              <w:lastRenderedPageBreak/>
              <w:t>7607</w:t>
            </w:r>
          </w:p>
        </w:tc>
        <w:tc>
          <w:tcPr>
            <w:tcW w:w="7751" w:type="dxa"/>
            <w:gridSpan w:val="11"/>
            <w:tcBorders>
              <w:top w:val="single" w:sz="4" w:space="0" w:color="auto"/>
              <w:left w:val="single" w:sz="4" w:space="0" w:color="auto"/>
              <w:bottom w:val="single" w:sz="4" w:space="0" w:color="auto"/>
              <w:right w:val="single" w:sz="4" w:space="0" w:color="auto"/>
            </w:tcBorders>
            <w:vAlign w:val="center"/>
          </w:tcPr>
          <w:p w14:paraId="63842552" w14:textId="77777777" w:rsidR="000A5C9B" w:rsidRPr="00760CF3" w:rsidRDefault="000A5C9B" w:rsidP="00370D8E">
            <w:pPr>
              <w:keepLines/>
              <w:rPr>
                <w:rFonts w:ascii="Arial Narrow" w:hAnsi="Arial Narrow"/>
                <w:b/>
                <w:bCs/>
                <w:i/>
                <w:iCs/>
                <w:color w:val="333333"/>
                <w:sz w:val="20"/>
                <w:szCs w:val="20"/>
              </w:rPr>
            </w:pPr>
            <w:r w:rsidRPr="00760CF3">
              <w:rPr>
                <w:rFonts w:ascii="Arial Narrow" w:hAnsi="Arial Narrow"/>
                <w:b/>
                <w:bCs/>
                <w:i/>
                <w:iCs/>
                <w:color w:val="333333"/>
                <w:sz w:val="20"/>
                <w:szCs w:val="20"/>
              </w:rPr>
              <w:t>Administrative Advice:</w:t>
            </w:r>
          </w:p>
          <w:p w14:paraId="5F989E38" w14:textId="77777777" w:rsidR="000A5C9B" w:rsidRPr="00760CF3" w:rsidRDefault="000A5C9B" w:rsidP="00370D8E">
            <w:pPr>
              <w:keepLines/>
              <w:rPr>
                <w:rFonts w:ascii="Arial Narrow" w:hAnsi="Arial Narrow"/>
                <w:i/>
                <w:iCs/>
                <w:sz w:val="20"/>
                <w:szCs w:val="20"/>
              </w:rPr>
            </w:pPr>
            <w:r w:rsidRPr="00760CF3">
              <w:rPr>
                <w:rFonts w:ascii="Arial Narrow" w:hAnsi="Arial Narrow"/>
                <w:i/>
                <w:iCs/>
                <w:sz w:val="20"/>
                <w:szCs w:val="20"/>
              </w:rPr>
              <w:t>No increase in the maximum number of repeats may be authorised.</w:t>
            </w:r>
          </w:p>
        </w:tc>
      </w:tr>
      <w:tr w:rsidR="000A5C9B" w:rsidRPr="00760CF3" w14:paraId="0BCDBFF2"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Borders>
              <w:left w:val="single" w:sz="4" w:space="0" w:color="auto"/>
              <w:bottom w:val="single" w:sz="4" w:space="0" w:color="auto"/>
              <w:right w:val="single" w:sz="4" w:space="0" w:color="auto"/>
            </w:tcBorders>
          </w:tcPr>
          <w:p w14:paraId="36B00E4A" w14:textId="77777777" w:rsidR="000A5C9B" w:rsidRPr="0067431C" w:rsidRDefault="000A5C9B" w:rsidP="00370D8E">
            <w:pPr>
              <w:jc w:val="center"/>
              <w:rPr>
                <w:rFonts w:ascii="Arial Narrow" w:hAnsi="Arial Narrow"/>
                <w:i/>
                <w:iCs/>
                <w:sz w:val="20"/>
                <w:szCs w:val="20"/>
              </w:rPr>
            </w:pPr>
            <w:r w:rsidRPr="0067431C">
              <w:rPr>
                <w:rFonts w:ascii="Arial Narrow" w:hAnsi="Arial Narrow"/>
                <w:i/>
                <w:iCs/>
                <w:sz w:val="20"/>
                <w:szCs w:val="20"/>
              </w:rPr>
              <w:t>29959</w:t>
            </w:r>
          </w:p>
        </w:tc>
        <w:tc>
          <w:tcPr>
            <w:tcW w:w="7751" w:type="dxa"/>
            <w:gridSpan w:val="11"/>
            <w:tcBorders>
              <w:top w:val="single" w:sz="4" w:space="0" w:color="auto"/>
              <w:left w:val="single" w:sz="4" w:space="0" w:color="auto"/>
              <w:bottom w:val="single" w:sz="4" w:space="0" w:color="auto"/>
              <w:right w:val="single" w:sz="4" w:space="0" w:color="auto"/>
            </w:tcBorders>
            <w:vAlign w:val="center"/>
          </w:tcPr>
          <w:p w14:paraId="1B2104C7" w14:textId="77777777" w:rsidR="000A5C9B" w:rsidRPr="00760CF3" w:rsidRDefault="000A5C9B" w:rsidP="00370D8E">
            <w:pPr>
              <w:keepLines/>
              <w:rPr>
                <w:rFonts w:ascii="Arial Narrow" w:hAnsi="Arial Narrow"/>
                <w:i/>
                <w:iCs/>
                <w:color w:val="FF0000"/>
                <w:sz w:val="20"/>
                <w:szCs w:val="20"/>
              </w:rPr>
            </w:pPr>
            <w:r w:rsidRPr="00760CF3">
              <w:rPr>
                <w:rFonts w:ascii="Arial Narrow" w:hAnsi="Arial Narrow"/>
                <w:b/>
                <w:bCs/>
                <w:i/>
                <w:iCs/>
                <w:color w:val="333333"/>
                <w:sz w:val="20"/>
                <w:szCs w:val="20"/>
              </w:rPr>
              <w:t xml:space="preserve">Caution: </w:t>
            </w:r>
          </w:p>
          <w:p w14:paraId="5CC0FC3D" w14:textId="77777777" w:rsidR="000A5C9B" w:rsidRPr="00760CF3" w:rsidRDefault="000A5C9B" w:rsidP="00370D8E">
            <w:pPr>
              <w:rPr>
                <w:rFonts w:ascii="Arial Narrow" w:hAnsi="Arial Narrow"/>
                <w:i/>
                <w:iCs/>
                <w:sz w:val="20"/>
                <w:szCs w:val="20"/>
              </w:rPr>
            </w:pPr>
            <w:r w:rsidRPr="00760CF3">
              <w:rPr>
                <w:rFonts w:ascii="Arial Narrow" w:hAnsi="Arial Narrow"/>
                <w:i/>
                <w:iCs/>
                <w:sz w:val="20"/>
                <w:szCs w:val="20"/>
              </w:rPr>
              <w:t>This drug increases the risk of encapsulated bacterial infections.</w:t>
            </w:r>
          </w:p>
          <w:p w14:paraId="7299A7F8" w14:textId="77777777" w:rsidR="000A5C9B" w:rsidRPr="00760CF3" w:rsidRDefault="000A5C9B" w:rsidP="00370D8E">
            <w:pPr>
              <w:keepLines/>
              <w:rPr>
                <w:rFonts w:ascii="Arial Narrow" w:hAnsi="Arial Narrow"/>
                <w:b/>
                <w:i/>
                <w:iCs/>
                <w:sz w:val="20"/>
                <w:szCs w:val="20"/>
              </w:rPr>
            </w:pPr>
            <w:r w:rsidRPr="00760CF3">
              <w:rPr>
                <w:rFonts w:ascii="Arial Narrow" w:hAnsi="Arial Narrow"/>
                <w:i/>
                <w:iCs/>
                <w:sz w:val="20"/>
                <w:szCs w:val="20"/>
              </w:rPr>
              <w:t>Consult the approved Product Information for information about vaccination against meningococcal, pneumococcal and Haemophilus influenzae type B (Hib) infection.</w:t>
            </w:r>
          </w:p>
        </w:tc>
      </w:tr>
      <w:tr w:rsidR="000A5C9B" w:rsidRPr="00CC3A3C" w14:paraId="6E11503A"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Borders>
              <w:left w:val="single" w:sz="4" w:space="0" w:color="auto"/>
              <w:bottom w:val="single" w:sz="4" w:space="0" w:color="auto"/>
              <w:right w:val="single" w:sz="4" w:space="0" w:color="auto"/>
            </w:tcBorders>
            <w:shd w:val="clear" w:color="auto" w:fill="BFBFBF" w:themeFill="background1" w:themeFillShade="BF"/>
          </w:tcPr>
          <w:p w14:paraId="6F495B49" w14:textId="77777777" w:rsidR="000A5C9B" w:rsidRPr="00446E53" w:rsidRDefault="000A5C9B" w:rsidP="00370D8E">
            <w:pPr>
              <w:jc w:val="center"/>
              <w:rPr>
                <w:rFonts w:ascii="Arial Narrow" w:hAnsi="Arial Narrow"/>
                <w:color w:val="333333"/>
                <w:sz w:val="20"/>
                <w:szCs w:val="20"/>
              </w:rPr>
            </w:pPr>
          </w:p>
        </w:tc>
        <w:tc>
          <w:tcPr>
            <w:tcW w:w="7751"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3FFE72" w14:textId="77777777" w:rsidR="000A5C9B" w:rsidRPr="00CC3A3C" w:rsidRDefault="000A5C9B" w:rsidP="00370D8E">
            <w:pPr>
              <w:keepLines/>
              <w:rPr>
                <w:rFonts w:ascii="Arial Narrow" w:hAnsi="Arial Narrow"/>
                <w:b/>
                <w:bCs/>
                <w:sz w:val="20"/>
                <w:szCs w:val="20"/>
              </w:rPr>
            </w:pPr>
            <w:r w:rsidRPr="00CC3A3C">
              <w:rPr>
                <w:rFonts w:ascii="Arial Narrow" w:hAnsi="Arial Narrow"/>
                <w:b/>
                <w:sz w:val="20"/>
                <w:szCs w:val="20"/>
              </w:rPr>
              <w:t>Restriction Summary [new</w:t>
            </w:r>
            <w:r>
              <w:rPr>
                <w:rFonts w:ascii="Arial Narrow" w:hAnsi="Arial Narrow"/>
                <w:b/>
                <w:sz w:val="20"/>
                <w:szCs w:val="20"/>
              </w:rPr>
              <w:t>3</w:t>
            </w:r>
            <w:r w:rsidRPr="00CC3A3C">
              <w:rPr>
                <w:rFonts w:ascii="Arial Narrow" w:hAnsi="Arial Narrow"/>
                <w:b/>
                <w:sz w:val="20"/>
                <w:szCs w:val="20"/>
              </w:rPr>
              <w:t>] / Treatment of Concept: [new</w:t>
            </w:r>
            <w:r>
              <w:rPr>
                <w:rFonts w:ascii="Arial Narrow" w:hAnsi="Arial Narrow"/>
                <w:b/>
                <w:sz w:val="20"/>
                <w:szCs w:val="20"/>
              </w:rPr>
              <w:t>3</w:t>
            </w:r>
            <w:r w:rsidRPr="00CC3A3C">
              <w:rPr>
                <w:rFonts w:ascii="Arial Narrow" w:hAnsi="Arial Narrow"/>
                <w:b/>
                <w:sz w:val="20"/>
                <w:szCs w:val="20"/>
              </w:rPr>
              <w:t>A]</w:t>
            </w:r>
          </w:p>
        </w:tc>
      </w:tr>
      <w:tr w:rsidR="000A5C9B" w:rsidRPr="00446E53" w14:paraId="704B20A0"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vMerge w:val="restart"/>
          </w:tcPr>
          <w:p w14:paraId="293FA1CE" w14:textId="77777777" w:rsidR="000A5C9B" w:rsidRPr="00446E53" w:rsidRDefault="000A5C9B" w:rsidP="00370D8E">
            <w:pPr>
              <w:keepLines/>
              <w:jc w:val="center"/>
              <w:rPr>
                <w:rFonts w:ascii="Arial Narrow" w:hAnsi="Arial Narrow"/>
                <w:color w:val="333333"/>
                <w:sz w:val="20"/>
                <w:szCs w:val="20"/>
              </w:rPr>
            </w:pPr>
          </w:p>
        </w:tc>
        <w:tc>
          <w:tcPr>
            <w:tcW w:w="7751" w:type="dxa"/>
            <w:gridSpan w:val="11"/>
            <w:vAlign w:val="center"/>
          </w:tcPr>
          <w:p w14:paraId="092F227F" w14:textId="77777777" w:rsidR="000A5C9B" w:rsidRPr="00446E53" w:rsidRDefault="000A5C9B" w:rsidP="00370D8E">
            <w:pPr>
              <w:keepLines/>
              <w:rPr>
                <w:rFonts w:ascii="Arial Narrow" w:hAnsi="Arial Narrow"/>
                <w:bCs/>
                <w:color w:val="333333"/>
                <w:sz w:val="20"/>
                <w:szCs w:val="20"/>
              </w:rPr>
            </w:pPr>
            <w:r w:rsidRPr="00446E53">
              <w:rPr>
                <w:rFonts w:ascii="Arial Narrow" w:hAnsi="Arial Narrow"/>
                <w:b/>
                <w:bCs/>
                <w:color w:val="333333"/>
                <w:sz w:val="20"/>
                <w:szCs w:val="20"/>
              </w:rPr>
              <w:t xml:space="preserve">Episodicity: </w:t>
            </w:r>
            <w:r w:rsidRPr="00CC3A3C">
              <w:rPr>
                <w:rFonts w:ascii="Arial Narrow" w:hAnsi="Arial Narrow"/>
                <w:color w:val="333333"/>
                <w:sz w:val="20"/>
                <w:szCs w:val="20"/>
              </w:rPr>
              <w:t>[blank]</w:t>
            </w:r>
          </w:p>
        </w:tc>
      </w:tr>
      <w:tr w:rsidR="000A5C9B" w:rsidRPr="00446E53" w14:paraId="41C33D58"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vMerge/>
          </w:tcPr>
          <w:p w14:paraId="0D2F86B3" w14:textId="77777777" w:rsidR="000A5C9B" w:rsidRPr="00446E53" w:rsidRDefault="000A5C9B" w:rsidP="00370D8E">
            <w:pPr>
              <w:keepLines/>
              <w:jc w:val="center"/>
              <w:rPr>
                <w:rFonts w:ascii="Arial Narrow" w:hAnsi="Arial Narrow"/>
                <w:color w:val="333333"/>
                <w:sz w:val="20"/>
                <w:szCs w:val="20"/>
              </w:rPr>
            </w:pPr>
          </w:p>
        </w:tc>
        <w:tc>
          <w:tcPr>
            <w:tcW w:w="7751" w:type="dxa"/>
            <w:gridSpan w:val="11"/>
            <w:vAlign w:val="center"/>
          </w:tcPr>
          <w:p w14:paraId="734F3C25" w14:textId="77777777" w:rsidR="000A5C9B" w:rsidRPr="00446E53" w:rsidRDefault="000A5C9B" w:rsidP="00370D8E">
            <w:pPr>
              <w:keepLines/>
              <w:rPr>
                <w:rFonts w:ascii="Arial Narrow" w:hAnsi="Arial Narrow"/>
                <w:b/>
                <w:bCs/>
                <w:color w:val="333333"/>
                <w:sz w:val="20"/>
                <w:szCs w:val="20"/>
              </w:rPr>
            </w:pPr>
            <w:r w:rsidRPr="00446E53">
              <w:rPr>
                <w:rFonts w:ascii="Arial Narrow" w:hAnsi="Arial Narrow"/>
                <w:b/>
                <w:bCs/>
                <w:color w:val="333333"/>
                <w:sz w:val="20"/>
                <w:szCs w:val="20"/>
              </w:rPr>
              <w:t xml:space="preserve">Severity: </w:t>
            </w:r>
            <w:r w:rsidRPr="00CC3A3C">
              <w:rPr>
                <w:rFonts w:ascii="Arial Narrow" w:hAnsi="Arial Narrow"/>
                <w:color w:val="333333"/>
                <w:sz w:val="20"/>
                <w:szCs w:val="20"/>
              </w:rPr>
              <w:t>[blank]</w:t>
            </w:r>
          </w:p>
        </w:tc>
      </w:tr>
      <w:tr w:rsidR="000A5C9B" w:rsidRPr="00CC3A3C" w14:paraId="2ED3E2CE"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vMerge/>
          </w:tcPr>
          <w:p w14:paraId="7A153401" w14:textId="77777777" w:rsidR="000A5C9B" w:rsidRPr="00446E53" w:rsidRDefault="000A5C9B" w:rsidP="00370D8E">
            <w:pPr>
              <w:keepLines/>
              <w:jc w:val="center"/>
              <w:rPr>
                <w:rFonts w:ascii="Arial Narrow" w:hAnsi="Arial Narrow"/>
                <w:color w:val="333333"/>
                <w:sz w:val="20"/>
                <w:szCs w:val="20"/>
              </w:rPr>
            </w:pPr>
          </w:p>
        </w:tc>
        <w:tc>
          <w:tcPr>
            <w:tcW w:w="7751" w:type="dxa"/>
            <w:gridSpan w:val="11"/>
            <w:vAlign w:val="center"/>
          </w:tcPr>
          <w:p w14:paraId="1A78FECE" w14:textId="77777777" w:rsidR="000A5C9B" w:rsidRPr="00CC3A3C" w:rsidRDefault="000A5C9B" w:rsidP="00370D8E">
            <w:pPr>
              <w:keepLines/>
              <w:rPr>
                <w:rFonts w:ascii="Arial Narrow" w:hAnsi="Arial Narrow"/>
                <w:color w:val="333333"/>
                <w:sz w:val="20"/>
                <w:szCs w:val="20"/>
              </w:rPr>
            </w:pPr>
            <w:r w:rsidRPr="00446E53">
              <w:rPr>
                <w:rFonts w:ascii="Arial Narrow" w:hAnsi="Arial Narrow"/>
                <w:b/>
                <w:bCs/>
                <w:color w:val="333333"/>
                <w:sz w:val="20"/>
                <w:szCs w:val="20"/>
              </w:rPr>
              <w:t xml:space="preserve">Condition: </w:t>
            </w:r>
            <w:r>
              <w:rPr>
                <w:rFonts w:ascii="Arial Narrow" w:hAnsi="Arial Narrow"/>
                <w:color w:val="333333"/>
                <w:sz w:val="20"/>
                <w:szCs w:val="20"/>
              </w:rPr>
              <w:t xml:space="preserve">Complement 3 glomerulopathy (C3G) </w:t>
            </w:r>
          </w:p>
        </w:tc>
      </w:tr>
      <w:tr w:rsidR="000A5C9B" w:rsidRPr="00CC3A3C" w14:paraId="18FAD18D"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hideMark/>
          </w:tcPr>
          <w:p w14:paraId="11B0B4A2" w14:textId="77777777" w:rsidR="000A5C9B" w:rsidRPr="00446E53" w:rsidRDefault="000A5C9B" w:rsidP="00370D8E">
            <w:pPr>
              <w:keepLines/>
              <w:jc w:val="center"/>
              <w:rPr>
                <w:rFonts w:ascii="Arial Narrow" w:hAnsi="Arial Narrow"/>
                <w:color w:val="333333"/>
                <w:sz w:val="20"/>
                <w:szCs w:val="20"/>
              </w:rPr>
            </w:pPr>
            <w:r w:rsidRPr="00446E53">
              <w:rPr>
                <w:rFonts w:ascii="Arial Narrow" w:hAnsi="Arial Narrow"/>
                <w:color w:val="333333"/>
                <w:sz w:val="20"/>
                <w:szCs w:val="20"/>
              </w:rPr>
              <w:t>New I1</w:t>
            </w:r>
          </w:p>
        </w:tc>
        <w:tc>
          <w:tcPr>
            <w:tcW w:w="7751" w:type="dxa"/>
            <w:gridSpan w:val="11"/>
            <w:vAlign w:val="center"/>
            <w:hideMark/>
          </w:tcPr>
          <w:p w14:paraId="430E5C61" w14:textId="77777777" w:rsidR="000A5C9B" w:rsidRPr="00CC3A3C" w:rsidRDefault="000A5C9B" w:rsidP="00370D8E">
            <w:pPr>
              <w:keepLines/>
              <w:rPr>
                <w:rFonts w:ascii="Arial Narrow" w:hAnsi="Arial Narrow"/>
                <w:sz w:val="20"/>
                <w:szCs w:val="20"/>
              </w:rPr>
            </w:pPr>
            <w:r w:rsidRPr="00CC3A3C">
              <w:rPr>
                <w:rFonts w:ascii="Arial Narrow" w:hAnsi="Arial Narrow"/>
                <w:b/>
                <w:bCs/>
                <w:sz w:val="20"/>
                <w:szCs w:val="20"/>
              </w:rPr>
              <w:t>Indication:</w:t>
            </w:r>
            <w:r w:rsidRPr="00CC3A3C">
              <w:rPr>
                <w:rFonts w:ascii="Arial Narrow" w:hAnsi="Arial Narrow"/>
                <w:sz w:val="20"/>
                <w:szCs w:val="20"/>
              </w:rPr>
              <w:t xml:space="preserve"> Complement 3 glomerulopathy (C3G)</w:t>
            </w:r>
          </w:p>
        </w:tc>
      </w:tr>
      <w:tr w:rsidR="000A5C9B" w:rsidRPr="00CC3A3C" w14:paraId="4F2D3DAE"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hideMark/>
          </w:tcPr>
          <w:p w14:paraId="6945DFAB" w14:textId="77777777" w:rsidR="000A5C9B" w:rsidRPr="00446E53" w:rsidRDefault="000A5C9B" w:rsidP="00370D8E">
            <w:pPr>
              <w:jc w:val="center"/>
              <w:rPr>
                <w:rFonts w:ascii="Arial Narrow" w:hAnsi="Arial Narrow"/>
                <w:color w:val="333333"/>
                <w:sz w:val="20"/>
                <w:szCs w:val="20"/>
              </w:rPr>
            </w:pPr>
          </w:p>
        </w:tc>
        <w:tc>
          <w:tcPr>
            <w:tcW w:w="7751" w:type="dxa"/>
            <w:gridSpan w:val="11"/>
            <w:vAlign w:val="center"/>
            <w:hideMark/>
          </w:tcPr>
          <w:p w14:paraId="38A28DF8" w14:textId="77777777" w:rsidR="000A5C9B" w:rsidRPr="00CC3A3C" w:rsidRDefault="000A5C9B" w:rsidP="00370D8E">
            <w:pPr>
              <w:rPr>
                <w:rFonts w:ascii="Arial Narrow" w:hAnsi="Arial Narrow"/>
                <w:sz w:val="20"/>
                <w:szCs w:val="20"/>
              </w:rPr>
            </w:pPr>
            <w:r w:rsidRPr="00CC3A3C">
              <w:rPr>
                <w:rFonts w:ascii="Arial Narrow" w:hAnsi="Arial Narrow"/>
                <w:b/>
                <w:bCs/>
                <w:sz w:val="20"/>
                <w:szCs w:val="20"/>
              </w:rPr>
              <w:t>Treatment Phase:</w:t>
            </w:r>
            <w:r w:rsidRPr="00CC3A3C">
              <w:rPr>
                <w:rFonts w:ascii="Arial Narrow" w:hAnsi="Arial Narrow"/>
                <w:sz w:val="20"/>
                <w:szCs w:val="20"/>
              </w:rPr>
              <w:t xml:space="preserve"> </w:t>
            </w:r>
            <w:r>
              <w:rPr>
                <w:rFonts w:ascii="Arial Narrow" w:hAnsi="Arial Narrow"/>
                <w:sz w:val="20"/>
                <w:szCs w:val="20"/>
              </w:rPr>
              <w:t>Continuing</w:t>
            </w:r>
            <w:r w:rsidRPr="00CC3A3C">
              <w:rPr>
                <w:rFonts w:ascii="Arial Narrow" w:hAnsi="Arial Narrow"/>
                <w:sz w:val="20"/>
                <w:szCs w:val="20"/>
              </w:rPr>
              <w:t xml:space="preserve"> treatment </w:t>
            </w:r>
          </w:p>
        </w:tc>
      </w:tr>
      <w:tr w:rsidR="000A5C9B" w:rsidRPr="00446E53" w14:paraId="47A2464C"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15A42D35" w14:textId="77777777" w:rsidR="000A5C9B" w:rsidRPr="00F237E1" w:rsidRDefault="000A5C9B" w:rsidP="00370D8E">
            <w:pPr>
              <w:jc w:val="center"/>
              <w:rPr>
                <w:rFonts w:ascii="Arial Narrow" w:hAnsi="Arial Narrow"/>
                <w:color w:val="333333"/>
                <w:sz w:val="20"/>
                <w:szCs w:val="20"/>
              </w:rPr>
            </w:pPr>
            <w:r w:rsidRPr="00F237E1">
              <w:rPr>
                <w:rFonts w:ascii="Arial Narrow" w:hAnsi="Arial Narrow"/>
                <w:color w:val="333333"/>
                <w:sz w:val="20"/>
                <w:szCs w:val="20"/>
              </w:rPr>
              <w:t>24642</w:t>
            </w:r>
          </w:p>
        </w:tc>
        <w:tc>
          <w:tcPr>
            <w:tcW w:w="7751" w:type="dxa"/>
            <w:gridSpan w:val="11"/>
            <w:vAlign w:val="center"/>
            <w:hideMark/>
          </w:tcPr>
          <w:p w14:paraId="5666FA6F" w14:textId="77777777" w:rsidR="000A5C9B" w:rsidRPr="00446E53" w:rsidRDefault="000A5C9B" w:rsidP="00370D8E">
            <w:pPr>
              <w:rPr>
                <w:rFonts w:ascii="Arial Narrow" w:hAnsi="Arial Narrow"/>
                <w:sz w:val="20"/>
                <w:szCs w:val="20"/>
              </w:rPr>
            </w:pPr>
            <w:r w:rsidRPr="00446E53">
              <w:rPr>
                <w:rFonts w:ascii="Arial Narrow" w:hAnsi="Arial Narrow"/>
                <w:b/>
                <w:bCs/>
                <w:color w:val="333333"/>
                <w:sz w:val="20"/>
                <w:szCs w:val="20"/>
              </w:rPr>
              <w:t xml:space="preserve">Clinical criteria: </w:t>
            </w:r>
          </w:p>
        </w:tc>
      </w:tr>
      <w:tr w:rsidR="000A5C9B" w:rsidRPr="001470F0" w14:paraId="13BAAD22"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376FA082" w14:textId="77777777" w:rsidR="000A5C9B" w:rsidRPr="00F237E1" w:rsidRDefault="000A5C9B" w:rsidP="00370D8E">
            <w:pPr>
              <w:jc w:val="center"/>
              <w:rPr>
                <w:rFonts w:ascii="Arial Narrow" w:hAnsi="Arial Narrow"/>
                <w:sz w:val="20"/>
                <w:szCs w:val="20"/>
              </w:rPr>
            </w:pPr>
            <w:r w:rsidRPr="00F237E1">
              <w:rPr>
                <w:rFonts w:ascii="Arial Narrow" w:hAnsi="Arial Narrow"/>
                <w:sz w:val="20"/>
                <w:szCs w:val="20"/>
              </w:rPr>
              <w:t>24641</w:t>
            </w:r>
          </w:p>
        </w:tc>
        <w:tc>
          <w:tcPr>
            <w:tcW w:w="7751" w:type="dxa"/>
            <w:gridSpan w:val="11"/>
            <w:vAlign w:val="center"/>
            <w:hideMark/>
          </w:tcPr>
          <w:p w14:paraId="506D7F55" w14:textId="77777777" w:rsidR="000A5C9B" w:rsidRPr="001470F0" w:rsidRDefault="000A5C9B" w:rsidP="00370D8E">
            <w:pPr>
              <w:rPr>
                <w:rFonts w:ascii="Aptos Narrow" w:hAnsi="Aptos Narrow"/>
                <w:sz w:val="20"/>
              </w:rPr>
            </w:pPr>
            <w:r w:rsidRPr="00A7228E">
              <w:rPr>
                <w:rFonts w:ascii="Arial Narrow" w:hAnsi="Arial Narrow"/>
                <w:sz w:val="20"/>
                <w:szCs w:val="20"/>
              </w:rPr>
              <w:t>Patient must have</w:t>
            </w:r>
            <w:r>
              <w:rPr>
                <w:rFonts w:ascii="Arial Narrow" w:hAnsi="Arial Narrow"/>
                <w:i/>
                <w:iCs/>
                <w:sz w:val="20"/>
                <w:szCs w:val="20"/>
              </w:rPr>
              <w:t xml:space="preserve"> </w:t>
            </w:r>
            <w:r w:rsidRPr="00A7228E">
              <w:rPr>
                <w:rFonts w:ascii="Arial Narrow" w:hAnsi="Arial Narrow"/>
                <w:sz w:val="20"/>
                <w:szCs w:val="20"/>
              </w:rPr>
              <w:t>received PBS-subsidised treatment with this drug for this condition</w:t>
            </w:r>
            <w:r w:rsidRPr="5F1CDBB5">
              <w:rPr>
                <w:rFonts w:ascii="Aptos Narrow" w:hAnsi="Aptos Narrow"/>
                <w:sz w:val="20"/>
              </w:rPr>
              <w:t xml:space="preserve"> </w:t>
            </w:r>
          </w:p>
        </w:tc>
      </w:tr>
      <w:tr w:rsidR="000A5C9B" w:rsidRPr="00446E53" w14:paraId="227DFA35"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7B90AF3D" w14:textId="77777777" w:rsidR="000A5C9B" w:rsidRPr="00446E53" w:rsidRDefault="000A5C9B" w:rsidP="00370D8E">
            <w:pPr>
              <w:jc w:val="center"/>
              <w:rPr>
                <w:rFonts w:ascii="Arial Narrow" w:hAnsi="Arial Narrow"/>
                <w:color w:val="333333"/>
                <w:sz w:val="20"/>
                <w:szCs w:val="20"/>
              </w:rPr>
            </w:pPr>
          </w:p>
        </w:tc>
        <w:tc>
          <w:tcPr>
            <w:tcW w:w="7751" w:type="dxa"/>
            <w:gridSpan w:val="11"/>
            <w:vAlign w:val="center"/>
            <w:hideMark/>
          </w:tcPr>
          <w:p w14:paraId="789FB8B5" w14:textId="77777777" w:rsidR="000A5C9B" w:rsidRPr="00446E53" w:rsidRDefault="000A5C9B" w:rsidP="00370D8E">
            <w:pPr>
              <w:rPr>
                <w:rFonts w:ascii="Arial Narrow" w:hAnsi="Arial Narrow"/>
                <w:color w:val="333333"/>
                <w:sz w:val="20"/>
                <w:szCs w:val="20"/>
              </w:rPr>
            </w:pPr>
            <w:r w:rsidRPr="00446E53">
              <w:rPr>
                <w:rFonts w:ascii="Arial Narrow" w:hAnsi="Arial Narrow"/>
                <w:b/>
                <w:bCs/>
                <w:color w:val="333333"/>
                <w:sz w:val="20"/>
                <w:szCs w:val="20"/>
              </w:rPr>
              <w:t>AND</w:t>
            </w:r>
          </w:p>
        </w:tc>
      </w:tr>
      <w:tr w:rsidR="000A5C9B" w:rsidRPr="00446E53" w14:paraId="18814B5D"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55F47FDF" w14:textId="77777777" w:rsidR="000A5C9B" w:rsidRPr="00446E53" w:rsidRDefault="000A5C9B" w:rsidP="00370D8E">
            <w:pPr>
              <w:jc w:val="center"/>
              <w:rPr>
                <w:rFonts w:ascii="Arial Narrow" w:hAnsi="Arial Narrow"/>
                <w:color w:val="333333"/>
                <w:sz w:val="20"/>
                <w:szCs w:val="20"/>
              </w:rPr>
            </w:pPr>
            <w:r>
              <w:rPr>
                <w:rFonts w:ascii="Arial Narrow" w:hAnsi="Arial Narrow"/>
                <w:color w:val="333333"/>
                <w:sz w:val="20"/>
                <w:szCs w:val="20"/>
              </w:rPr>
              <w:t>29976</w:t>
            </w:r>
          </w:p>
        </w:tc>
        <w:tc>
          <w:tcPr>
            <w:tcW w:w="7751" w:type="dxa"/>
            <w:gridSpan w:val="11"/>
            <w:vAlign w:val="center"/>
            <w:hideMark/>
          </w:tcPr>
          <w:p w14:paraId="1FDA65D4" w14:textId="77777777" w:rsidR="000A5C9B" w:rsidRPr="00446E53" w:rsidRDefault="000A5C9B" w:rsidP="00370D8E">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0A5C9B" w:rsidRPr="00031917" w14:paraId="26B516B7"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3334DDFE" w14:textId="77777777" w:rsidR="000A5C9B" w:rsidRPr="00446E53" w:rsidRDefault="000A5C9B" w:rsidP="00370D8E">
            <w:pPr>
              <w:jc w:val="center"/>
              <w:rPr>
                <w:rFonts w:ascii="Arial Narrow" w:hAnsi="Arial Narrow"/>
                <w:color w:val="333333"/>
                <w:sz w:val="20"/>
                <w:szCs w:val="20"/>
              </w:rPr>
            </w:pPr>
            <w:r>
              <w:rPr>
                <w:rFonts w:ascii="Arial Narrow" w:hAnsi="Arial Narrow"/>
                <w:color w:val="333333"/>
                <w:sz w:val="20"/>
                <w:szCs w:val="20"/>
              </w:rPr>
              <w:t>29975</w:t>
            </w:r>
          </w:p>
        </w:tc>
        <w:tc>
          <w:tcPr>
            <w:tcW w:w="7751" w:type="dxa"/>
            <w:gridSpan w:val="11"/>
            <w:vAlign w:val="center"/>
          </w:tcPr>
          <w:p w14:paraId="0E351D63" w14:textId="77777777" w:rsidR="000A5C9B" w:rsidRPr="00031917" w:rsidRDefault="000A5C9B" w:rsidP="00370D8E">
            <w:pPr>
              <w:rPr>
                <w:rFonts w:ascii="Arial Narrow" w:hAnsi="Arial Narrow"/>
                <w:sz w:val="20"/>
                <w:szCs w:val="20"/>
              </w:rPr>
            </w:pPr>
            <w:r w:rsidRPr="00031917">
              <w:rPr>
                <w:rFonts w:ascii="Arial Narrow" w:hAnsi="Arial Narrow"/>
                <w:sz w:val="20"/>
                <w:szCs w:val="20"/>
              </w:rPr>
              <w:t xml:space="preserve">Patient must have experienced clinical improvement </w:t>
            </w:r>
            <w:proofErr w:type="gramStart"/>
            <w:r w:rsidRPr="00031917">
              <w:rPr>
                <w:rFonts w:ascii="Arial Narrow" w:hAnsi="Arial Narrow"/>
                <w:sz w:val="20"/>
                <w:szCs w:val="20"/>
              </w:rPr>
              <w:t>as a result of</w:t>
            </w:r>
            <w:proofErr w:type="gramEnd"/>
            <w:r w:rsidRPr="00031917">
              <w:rPr>
                <w:rFonts w:ascii="Arial Narrow" w:hAnsi="Arial Narrow"/>
                <w:sz w:val="20"/>
                <w:szCs w:val="20"/>
              </w:rPr>
              <w:t xml:space="preserve"> treatment with this drug; or</w:t>
            </w:r>
          </w:p>
        </w:tc>
      </w:tr>
      <w:tr w:rsidR="000A5C9B" w:rsidRPr="007953B9" w14:paraId="493FBB5D"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0C35235B" w14:textId="77777777" w:rsidR="000A5C9B" w:rsidRPr="00446E53" w:rsidRDefault="000A5C9B" w:rsidP="00370D8E">
            <w:pPr>
              <w:jc w:val="center"/>
              <w:rPr>
                <w:rFonts w:ascii="Arial Narrow" w:hAnsi="Arial Narrow"/>
                <w:color w:val="333333"/>
                <w:sz w:val="20"/>
                <w:szCs w:val="20"/>
              </w:rPr>
            </w:pPr>
            <w:r>
              <w:rPr>
                <w:rFonts w:ascii="Arial Narrow" w:hAnsi="Arial Narrow"/>
                <w:color w:val="333333"/>
                <w:sz w:val="20"/>
                <w:szCs w:val="20"/>
              </w:rPr>
              <w:t>30003</w:t>
            </w:r>
          </w:p>
        </w:tc>
        <w:tc>
          <w:tcPr>
            <w:tcW w:w="7751" w:type="dxa"/>
            <w:gridSpan w:val="11"/>
            <w:vAlign w:val="center"/>
          </w:tcPr>
          <w:p w14:paraId="6D9A085D" w14:textId="77777777" w:rsidR="000A5C9B" w:rsidRPr="007953B9" w:rsidRDefault="000A5C9B" w:rsidP="00370D8E">
            <w:pPr>
              <w:rPr>
                <w:rFonts w:ascii="Arial Narrow" w:hAnsi="Arial Narrow"/>
                <w:i/>
                <w:iCs/>
                <w:sz w:val="20"/>
                <w:szCs w:val="20"/>
              </w:rPr>
            </w:pPr>
            <w:r w:rsidRPr="00031917">
              <w:rPr>
                <w:rFonts w:ascii="Arial Narrow" w:hAnsi="Arial Narrow"/>
                <w:sz w:val="20"/>
                <w:szCs w:val="20"/>
              </w:rPr>
              <w:t xml:space="preserve">Patient must have experienced </w:t>
            </w:r>
            <w:r>
              <w:rPr>
                <w:rFonts w:ascii="Arial Narrow" w:hAnsi="Arial Narrow"/>
                <w:i/>
                <w:iCs/>
                <w:sz w:val="20"/>
                <w:szCs w:val="20"/>
              </w:rPr>
              <w:t xml:space="preserve">a </w:t>
            </w:r>
            <w:r w:rsidRPr="00031917">
              <w:rPr>
                <w:rFonts w:ascii="Arial Narrow" w:hAnsi="Arial Narrow"/>
                <w:sz w:val="20"/>
                <w:szCs w:val="20"/>
              </w:rPr>
              <w:t xml:space="preserve">stabilisation of the condition </w:t>
            </w:r>
            <w:proofErr w:type="gramStart"/>
            <w:r w:rsidRPr="00031917">
              <w:rPr>
                <w:rFonts w:ascii="Arial Narrow" w:hAnsi="Arial Narrow"/>
                <w:sz w:val="20"/>
                <w:szCs w:val="20"/>
              </w:rPr>
              <w:t>as a result of</w:t>
            </w:r>
            <w:proofErr w:type="gramEnd"/>
            <w:r w:rsidRPr="00031917">
              <w:rPr>
                <w:rFonts w:ascii="Arial Narrow" w:hAnsi="Arial Narrow"/>
                <w:sz w:val="20"/>
                <w:szCs w:val="20"/>
              </w:rPr>
              <w:t xml:space="preserve"> treatment with this drug</w:t>
            </w:r>
            <w:r>
              <w:rPr>
                <w:rFonts w:ascii="Arial Narrow" w:hAnsi="Arial Narrow"/>
                <w:i/>
                <w:iCs/>
                <w:sz w:val="20"/>
                <w:szCs w:val="20"/>
              </w:rPr>
              <w:t>.</w:t>
            </w:r>
          </w:p>
        </w:tc>
      </w:tr>
      <w:tr w:rsidR="000A5C9B" w:rsidRPr="00446E53" w14:paraId="0917D7FB"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2D03C810" w14:textId="77777777" w:rsidR="000A5C9B" w:rsidRPr="00446E53" w:rsidRDefault="000A5C9B" w:rsidP="00370D8E">
            <w:pPr>
              <w:jc w:val="center"/>
              <w:rPr>
                <w:rFonts w:ascii="Arial Narrow" w:hAnsi="Arial Narrow"/>
                <w:color w:val="333333"/>
                <w:sz w:val="20"/>
                <w:szCs w:val="20"/>
              </w:rPr>
            </w:pPr>
          </w:p>
        </w:tc>
        <w:tc>
          <w:tcPr>
            <w:tcW w:w="7751" w:type="dxa"/>
            <w:gridSpan w:val="11"/>
            <w:vAlign w:val="center"/>
            <w:hideMark/>
          </w:tcPr>
          <w:p w14:paraId="051EC929" w14:textId="77777777" w:rsidR="000A5C9B" w:rsidRPr="00446E53" w:rsidRDefault="000A5C9B" w:rsidP="00370D8E">
            <w:pPr>
              <w:rPr>
                <w:rFonts w:ascii="Arial Narrow" w:hAnsi="Arial Narrow"/>
                <w:color w:val="333333"/>
                <w:sz w:val="20"/>
                <w:szCs w:val="20"/>
              </w:rPr>
            </w:pPr>
            <w:r w:rsidRPr="00446E53">
              <w:rPr>
                <w:rFonts w:ascii="Arial Narrow" w:hAnsi="Arial Narrow"/>
                <w:b/>
                <w:bCs/>
                <w:color w:val="333333"/>
                <w:sz w:val="20"/>
                <w:szCs w:val="20"/>
              </w:rPr>
              <w:t>AND</w:t>
            </w:r>
          </w:p>
        </w:tc>
      </w:tr>
      <w:tr w:rsidR="000A5C9B" w:rsidRPr="00446E53" w14:paraId="246D37EF"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72C5607E" w14:textId="77777777" w:rsidR="000A5C9B" w:rsidRPr="00446E53" w:rsidRDefault="000A5C9B" w:rsidP="00370D8E">
            <w:pPr>
              <w:jc w:val="center"/>
              <w:rPr>
                <w:rFonts w:ascii="Arial Narrow" w:hAnsi="Arial Narrow"/>
                <w:color w:val="333333"/>
                <w:sz w:val="20"/>
                <w:szCs w:val="20"/>
              </w:rPr>
            </w:pPr>
            <w:r>
              <w:rPr>
                <w:rFonts w:ascii="Arial Narrow" w:hAnsi="Arial Narrow"/>
                <w:color w:val="333333"/>
                <w:sz w:val="20"/>
                <w:szCs w:val="20"/>
              </w:rPr>
              <w:t>29346</w:t>
            </w:r>
          </w:p>
        </w:tc>
        <w:tc>
          <w:tcPr>
            <w:tcW w:w="7751" w:type="dxa"/>
            <w:gridSpan w:val="11"/>
            <w:vAlign w:val="center"/>
            <w:hideMark/>
          </w:tcPr>
          <w:p w14:paraId="1913B757" w14:textId="77777777" w:rsidR="000A5C9B" w:rsidRPr="00446E53" w:rsidRDefault="000A5C9B" w:rsidP="00370D8E">
            <w:pPr>
              <w:rPr>
                <w:rFonts w:ascii="Arial Narrow" w:hAnsi="Arial Narrow"/>
                <w:color w:val="333333"/>
                <w:sz w:val="20"/>
                <w:szCs w:val="20"/>
              </w:rPr>
            </w:pPr>
            <w:r w:rsidRPr="00446E53">
              <w:rPr>
                <w:rFonts w:ascii="Arial Narrow" w:hAnsi="Arial Narrow"/>
                <w:b/>
                <w:bCs/>
                <w:color w:val="333333"/>
                <w:sz w:val="20"/>
                <w:szCs w:val="20"/>
              </w:rPr>
              <w:t>Clinical criteria:</w:t>
            </w:r>
          </w:p>
        </w:tc>
      </w:tr>
      <w:tr w:rsidR="000A5C9B" w:rsidRPr="00446E53" w14:paraId="0ED61B9C"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0D078F90" w14:textId="77777777" w:rsidR="000A5C9B" w:rsidRPr="00446E53" w:rsidRDefault="000A5C9B" w:rsidP="00370D8E">
            <w:pPr>
              <w:jc w:val="center"/>
              <w:rPr>
                <w:rFonts w:ascii="Arial Narrow" w:hAnsi="Arial Narrow"/>
                <w:sz w:val="20"/>
                <w:szCs w:val="20"/>
              </w:rPr>
            </w:pPr>
            <w:r>
              <w:rPr>
                <w:rFonts w:ascii="Arial Narrow" w:hAnsi="Arial Narrow"/>
                <w:sz w:val="20"/>
                <w:szCs w:val="20"/>
              </w:rPr>
              <w:t>29345</w:t>
            </w:r>
          </w:p>
        </w:tc>
        <w:tc>
          <w:tcPr>
            <w:tcW w:w="7751" w:type="dxa"/>
            <w:gridSpan w:val="11"/>
            <w:vAlign w:val="center"/>
            <w:hideMark/>
          </w:tcPr>
          <w:p w14:paraId="761B4294" w14:textId="77777777" w:rsidR="000A5C9B" w:rsidRPr="00446E53" w:rsidRDefault="000A5C9B" w:rsidP="00370D8E">
            <w:pPr>
              <w:rPr>
                <w:rFonts w:ascii="Arial Narrow" w:hAnsi="Arial Narrow"/>
                <w:color w:val="333333"/>
                <w:sz w:val="20"/>
                <w:szCs w:val="20"/>
              </w:rPr>
            </w:pPr>
            <w:r w:rsidRPr="00B41228">
              <w:rPr>
                <w:rFonts w:ascii="Arial Narrow" w:hAnsi="Arial Narrow"/>
                <w:sz w:val="20"/>
                <w:szCs w:val="20"/>
              </w:rPr>
              <w:t>Patient must discontinue treatment with this drug prior to initiating renal replacement therapy, defined as dialysis or kidney transplantation</w:t>
            </w:r>
          </w:p>
        </w:tc>
      </w:tr>
      <w:tr w:rsidR="000A5C9B" w:rsidRPr="00446E53" w14:paraId="3D5AE5C5"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46EDDC41" w14:textId="77777777" w:rsidR="000A5C9B" w:rsidRPr="00321CEE" w:rsidRDefault="000A5C9B" w:rsidP="00370D8E">
            <w:pPr>
              <w:keepNext/>
              <w:jc w:val="center"/>
              <w:rPr>
                <w:rFonts w:ascii="Arial Narrow" w:hAnsi="Arial Narrow"/>
                <w:color w:val="333333"/>
                <w:sz w:val="20"/>
                <w:szCs w:val="20"/>
              </w:rPr>
            </w:pPr>
            <w:r w:rsidRPr="00321CEE">
              <w:rPr>
                <w:rFonts w:ascii="Arial Narrow" w:hAnsi="Arial Narrow"/>
                <w:color w:val="333333"/>
                <w:sz w:val="20"/>
                <w:szCs w:val="20"/>
              </w:rPr>
              <w:t>New TC</w:t>
            </w:r>
          </w:p>
        </w:tc>
        <w:tc>
          <w:tcPr>
            <w:tcW w:w="7751" w:type="dxa"/>
            <w:gridSpan w:val="11"/>
            <w:vAlign w:val="center"/>
            <w:hideMark/>
          </w:tcPr>
          <w:p w14:paraId="2E278660" w14:textId="77777777" w:rsidR="000A5C9B" w:rsidRPr="00446E53" w:rsidRDefault="000A5C9B" w:rsidP="00370D8E">
            <w:pPr>
              <w:keepNext/>
              <w:rPr>
                <w:rFonts w:ascii="Arial Narrow" w:hAnsi="Arial Narrow"/>
                <w:color w:val="333333"/>
                <w:sz w:val="20"/>
                <w:szCs w:val="20"/>
              </w:rPr>
            </w:pPr>
            <w:r w:rsidRPr="00446E53">
              <w:rPr>
                <w:rFonts w:ascii="Arial Narrow" w:hAnsi="Arial Narrow"/>
                <w:b/>
                <w:bCs/>
                <w:color w:val="333333"/>
                <w:sz w:val="20"/>
                <w:szCs w:val="20"/>
              </w:rPr>
              <w:t>Treatment criteria:</w:t>
            </w:r>
          </w:p>
        </w:tc>
      </w:tr>
      <w:tr w:rsidR="000A5C9B" w:rsidRPr="00BC5E91" w14:paraId="3F7B1BCB"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632D88B0" w14:textId="77777777" w:rsidR="000A5C9B" w:rsidRPr="00321CEE" w:rsidRDefault="000A5C9B" w:rsidP="00370D8E">
            <w:pPr>
              <w:jc w:val="center"/>
              <w:rPr>
                <w:rFonts w:ascii="Arial Narrow" w:hAnsi="Arial Narrow"/>
                <w:color w:val="333333"/>
                <w:sz w:val="20"/>
                <w:szCs w:val="20"/>
              </w:rPr>
            </w:pPr>
            <w:r w:rsidRPr="00321CEE">
              <w:rPr>
                <w:rFonts w:ascii="Arial Narrow" w:hAnsi="Arial Narrow"/>
                <w:color w:val="333333"/>
                <w:sz w:val="20"/>
                <w:szCs w:val="20"/>
              </w:rPr>
              <w:t>13590</w:t>
            </w:r>
          </w:p>
        </w:tc>
        <w:tc>
          <w:tcPr>
            <w:tcW w:w="7751" w:type="dxa"/>
            <w:gridSpan w:val="11"/>
            <w:vAlign w:val="center"/>
            <w:hideMark/>
          </w:tcPr>
          <w:p w14:paraId="64E1A4C6" w14:textId="77777777" w:rsidR="000A5C9B" w:rsidRPr="00BC5E91" w:rsidRDefault="000A5C9B" w:rsidP="00370D8E">
            <w:pPr>
              <w:autoSpaceDE w:val="0"/>
              <w:autoSpaceDN w:val="0"/>
              <w:adjustRightInd w:val="0"/>
              <w:rPr>
                <w:rFonts w:ascii="Arial Narrow" w:hAnsi="Arial Narrow"/>
                <w:sz w:val="20"/>
                <w:szCs w:val="20"/>
              </w:rPr>
            </w:pPr>
            <w:r w:rsidRPr="00BC5E91">
              <w:rPr>
                <w:rFonts w:ascii="Arial Narrow" w:hAnsi="Arial Narrow"/>
                <w:sz w:val="20"/>
                <w:szCs w:val="20"/>
              </w:rPr>
              <w:t>Must be treated by a nephrologist; or</w:t>
            </w:r>
          </w:p>
        </w:tc>
      </w:tr>
      <w:tr w:rsidR="000A5C9B" w:rsidRPr="00A84045" w14:paraId="122219ED"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70E608BE" w14:textId="77777777" w:rsidR="000A5C9B" w:rsidRPr="00321CEE" w:rsidRDefault="000A5C9B" w:rsidP="00370D8E">
            <w:pPr>
              <w:jc w:val="center"/>
              <w:rPr>
                <w:rFonts w:ascii="Arial Narrow" w:hAnsi="Arial Narrow"/>
                <w:color w:val="333333"/>
                <w:sz w:val="20"/>
                <w:szCs w:val="20"/>
              </w:rPr>
            </w:pPr>
            <w:r w:rsidRPr="00321CEE">
              <w:rPr>
                <w:rFonts w:ascii="Arial Narrow" w:hAnsi="Arial Narrow"/>
                <w:color w:val="333333"/>
                <w:sz w:val="20"/>
                <w:szCs w:val="20"/>
              </w:rPr>
              <w:t>New TC</w:t>
            </w:r>
          </w:p>
        </w:tc>
        <w:tc>
          <w:tcPr>
            <w:tcW w:w="7751" w:type="dxa"/>
            <w:gridSpan w:val="11"/>
            <w:vAlign w:val="center"/>
          </w:tcPr>
          <w:p w14:paraId="43EA6499" w14:textId="77777777" w:rsidR="000A5C9B" w:rsidRPr="00A84045" w:rsidRDefault="000A5C9B" w:rsidP="00370D8E">
            <w:pPr>
              <w:autoSpaceDE w:val="0"/>
              <w:autoSpaceDN w:val="0"/>
              <w:adjustRightInd w:val="0"/>
              <w:rPr>
                <w:rFonts w:ascii="Arial Narrow" w:hAnsi="Arial Narrow"/>
                <w:sz w:val="20"/>
                <w:szCs w:val="20"/>
              </w:rPr>
            </w:pPr>
            <w:r w:rsidRPr="00A84045">
              <w:rPr>
                <w:rFonts w:ascii="Arial Narrow" w:hAnsi="Arial Narrow"/>
                <w:sz w:val="20"/>
                <w:szCs w:val="20"/>
              </w:rPr>
              <w:t>Must be treated by a non-specialist medical physician or nurse practitioner who has consulted a nephrologist on the patient’s drug treatment details</w:t>
            </w:r>
          </w:p>
        </w:tc>
      </w:tr>
      <w:tr w:rsidR="000A5C9B" w:rsidRPr="00B41228" w14:paraId="3E51E0A8"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4149527E" w14:textId="77777777" w:rsidR="000A5C9B" w:rsidRPr="00B41228" w:rsidRDefault="000A5C9B" w:rsidP="00370D8E">
            <w:pPr>
              <w:jc w:val="center"/>
              <w:rPr>
                <w:rFonts w:ascii="Arial Narrow" w:hAnsi="Arial Narrow"/>
                <w:strike/>
                <w:color w:val="333333"/>
                <w:sz w:val="20"/>
                <w:szCs w:val="20"/>
              </w:rPr>
            </w:pPr>
            <w:r>
              <w:rPr>
                <w:rFonts w:ascii="Arial Narrow" w:hAnsi="Arial Narrow"/>
                <w:i/>
                <w:iCs/>
                <w:color w:val="333333"/>
                <w:sz w:val="20"/>
                <w:szCs w:val="20"/>
              </w:rPr>
              <w:t>27771</w:t>
            </w:r>
          </w:p>
        </w:tc>
        <w:tc>
          <w:tcPr>
            <w:tcW w:w="7751" w:type="dxa"/>
            <w:gridSpan w:val="11"/>
            <w:vAlign w:val="center"/>
            <w:hideMark/>
          </w:tcPr>
          <w:p w14:paraId="34EE8ADC" w14:textId="77777777" w:rsidR="000A5C9B" w:rsidRPr="00B41228" w:rsidRDefault="000A5C9B" w:rsidP="00370D8E">
            <w:pPr>
              <w:rPr>
                <w:rFonts w:ascii="Arial Narrow" w:hAnsi="Arial Narrow"/>
                <w:strike/>
                <w:color w:val="333333"/>
                <w:sz w:val="20"/>
                <w:szCs w:val="20"/>
              </w:rPr>
            </w:pPr>
            <w:r w:rsidRPr="00446E53">
              <w:rPr>
                <w:rFonts w:ascii="Arial Narrow" w:hAnsi="Arial Narrow"/>
                <w:b/>
                <w:bCs/>
                <w:color w:val="333333"/>
                <w:sz w:val="20"/>
                <w:szCs w:val="20"/>
              </w:rPr>
              <w:t>Population criteria:</w:t>
            </w:r>
          </w:p>
        </w:tc>
      </w:tr>
      <w:tr w:rsidR="000A5C9B" w:rsidRPr="00B41228" w14:paraId="01F93ECF"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tcPr>
          <w:p w14:paraId="6624527D" w14:textId="77777777" w:rsidR="000A5C9B" w:rsidRPr="00B41228" w:rsidRDefault="000A5C9B" w:rsidP="00370D8E">
            <w:pPr>
              <w:jc w:val="center"/>
              <w:rPr>
                <w:rFonts w:ascii="Arial Narrow" w:hAnsi="Arial Narrow"/>
                <w:strike/>
                <w:color w:val="333333"/>
                <w:sz w:val="20"/>
                <w:szCs w:val="20"/>
              </w:rPr>
            </w:pPr>
            <w:r w:rsidRPr="009B4A1A">
              <w:rPr>
                <w:rFonts w:ascii="Arial Narrow" w:hAnsi="Arial Narrow"/>
                <w:i/>
                <w:iCs/>
                <w:color w:val="333333"/>
                <w:sz w:val="20"/>
                <w:szCs w:val="20"/>
              </w:rPr>
              <w:t>27770</w:t>
            </w:r>
          </w:p>
        </w:tc>
        <w:tc>
          <w:tcPr>
            <w:tcW w:w="7751" w:type="dxa"/>
            <w:gridSpan w:val="11"/>
            <w:vAlign w:val="center"/>
            <w:hideMark/>
          </w:tcPr>
          <w:p w14:paraId="1A7D6DDD" w14:textId="77777777" w:rsidR="000A5C9B" w:rsidRPr="009B4A1A" w:rsidRDefault="000A5C9B" w:rsidP="00370D8E">
            <w:pPr>
              <w:rPr>
                <w:rFonts w:ascii="Arial Narrow" w:hAnsi="Arial Narrow"/>
                <w:strike/>
                <w:sz w:val="20"/>
                <w:szCs w:val="20"/>
              </w:rPr>
            </w:pPr>
            <w:r w:rsidRPr="009B4A1A">
              <w:rPr>
                <w:rFonts w:ascii="Arial Narrow" w:hAnsi="Arial Narrow"/>
                <w:strike/>
                <w:sz w:val="20"/>
                <w:szCs w:val="20"/>
              </w:rPr>
              <w:t>Patient must be 18 years of age or older</w:t>
            </w:r>
          </w:p>
          <w:p w14:paraId="58EC72B4" w14:textId="77777777" w:rsidR="000A5C9B" w:rsidRPr="00B41228" w:rsidRDefault="000A5C9B" w:rsidP="00370D8E">
            <w:pPr>
              <w:rPr>
                <w:rFonts w:ascii="Arial Narrow" w:hAnsi="Arial Narrow"/>
                <w:strike/>
                <w:sz w:val="20"/>
                <w:szCs w:val="20"/>
              </w:rPr>
            </w:pPr>
            <w:r>
              <w:rPr>
                <w:rFonts w:ascii="Arial Narrow" w:hAnsi="Arial Narrow"/>
                <w:i/>
                <w:iCs/>
                <w:sz w:val="20"/>
                <w:szCs w:val="20"/>
              </w:rPr>
              <w:t xml:space="preserve">Patient must be at least 18 years of age. </w:t>
            </w:r>
          </w:p>
        </w:tc>
      </w:tr>
      <w:tr w:rsidR="000A5C9B" w:rsidRPr="00207CA3" w14:paraId="18F2DDEB" w14:textId="77777777" w:rsidTr="00F92F4D">
        <w:tblPrEx>
          <w:tblCellMar>
            <w:top w:w="15" w:type="dxa"/>
            <w:bottom w:w="15" w:type="dxa"/>
          </w:tblCellMar>
          <w:tblLook w:val="04A0" w:firstRow="1" w:lastRow="0" w:firstColumn="1" w:lastColumn="0" w:noHBand="0" w:noVBand="1"/>
        </w:tblPrEx>
        <w:trPr>
          <w:trHeight w:val="20"/>
        </w:trPr>
        <w:tc>
          <w:tcPr>
            <w:tcW w:w="1266" w:type="dxa"/>
            <w:gridSpan w:val="2"/>
            <w:hideMark/>
          </w:tcPr>
          <w:p w14:paraId="51EB2F64" w14:textId="77777777" w:rsidR="000A5C9B" w:rsidRPr="00207CA3" w:rsidRDefault="000A5C9B" w:rsidP="00370D8E">
            <w:pPr>
              <w:jc w:val="center"/>
              <w:rPr>
                <w:rFonts w:ascii="Arial Narrow" w:hAnsi="Arial Narrow"/>
                <w:strike/>
                <w:color w:val="333333"/>
                <w:sz w:val="20"/>
                <w:szCs w:val="20"/>
              </w:rPr>
            </w:pPr>
            <w:r>
              <w:rPr>
                <w:rFonts w:ascii="Arial Narrow" w:hAnsi="Arial Narrow"/>
                <w:strike/>
                <w:color w:val="333333"/>
                <w:sz w:val="20"/>
                <w:szCs w:val="20"/>
              </w:rPr>
              <w:t>New PI</w:t>
            </w:r>
          </w:p>
        </w:tc>
        <w:tc>
          <w:tcPr>
            <w:tcW w:w="7751" w:type="dxa"/>
            <w:gridSpan w:val="11"/>
            <w:vAlign w:val="center"/>
            <w:hideMark/>
          </w:tcPr>
          <w:p w14:paraId="4685DEE7" w14:textId="77777777" w:rsidR="000A5C9B" w:rsidRPr="00207CA3" w:rsidRDefault="000A5C9B" w:rsidP="00370D8E">
            <w:pPr>
              <w:rPr>
                <w:rFonts w:ascii="Arial Narrow" w:hAnsi="Arial Narrow"/>
                <w:b/>
                <w:bCs/>
                <w:strike/>
                <w:sz w:val="20"/>
                <w:szCs w:val="20"/>
              </w:rPr>
            </w:pPr>
            <w:r w:rsidRPr="00207CA3">
              <w:rPr>
                <w:rFonts w:ascii="Arial Narrow" w:hAnsi="Arial Narrow"/>
                <w:b/>
                <w:bCs/>
                <w:strike/>
                <w:sz w:val="20"/>
                <w:szCs w:val="20"/>
              </w:rPr>
              <w:t xml:space="preserve">Prescribing Instructions: </w:t>
            </w:r>
          </w:p>
          <w:p w14:paraId="18C53104" w14:textId="77777777" w:rsidR="000A5C9B" w:rsidRPr="00207CA3" w:rsidRDefault="000A5C9B" w:rsidP="00370D8E">
            <w:pPr>
              <w:rPr>
                <w:rFonts w:ascii="Arial Narrow" w:hAnsi="Arial Narrow"/>
                <w:strike/>
                <w:sz w:val="20"/>
                <w:szCs w:val="20"/>
              </w:rPr>
            </w:pPr>
            <w:r w:rsidRPr="00207CA3">
              <w:rPr>
                <w:rFonts w:ascii="Arial Narrow" w:hAnsi="Arial Narrow"/>
                <w:strike/>
                <w:sz w:val="20"/>
                <w:szCs w:val="20"/>
              </w:rPr>
              <w:t>The authority application must be made in writing and must include:</w:t>
            </w:r>
          </w:p>
          <w:p w14:paraId="5FF62BE9" w14:textId="77777777" w:rsidR="000A5C9B" w:rsidRPr="00207CA3" w:rsidRDefault="000A5C9B" w:rsidP="00370D8E">
            <w:pPr>
              <w:rPr>
                <w:rFonts w:ascii="Arial Narrow" w:hAnsi="Arial Narrow"/>
                <w:strike/>
                <w:sz w:val="20"/>
                <w:szCs w:val="20"/>
              </w:rPr>
            </w:pPr>
            <w:r w:rsidRPr="00207CA3">
              <w:rPr>
                <w:rFonts w:ascii="Arial Narrow" w:hAnsi="Arial Narrow"/>
                <w:strike/>
                <w:sz w:val="20"/>
                <w:szCs w:val="20"/>
              </w:rPr>
              <w:t>(1) details of the proposed prescription; and</w:t>
            </w:r>
          </w:p>
          <w:p w14:paraId="01FF7219" w14:textId="77777777" w:rsidR="000A5C9B" w:rsidRPr="00207CA3" w:rsidRDefault="000A5C9B" w:rsidP="00370D8E">
            <w:pPr>
              <w:rPr>
                <w:rFonts w:ascii="Arial Narrow" w:hAnsi="Arial Narrow"/>
                <w:strike/>
                <w:sz w:val="20"/>
                <w:szCs w:val="20"/>
              </w:rPr>
            </w:pPr>
            <w:r w:rsidRPr="00207CA3">
              <w:rPr>
                <w:rFonts w:ascii="Arial Narrow" w:hAnsi="Arial Narrow"/>
                <w:strike/>
                <w:sz w:val="20"/>
                <w:szCs w:val="20"/>
              </w:rPr>
              <w:t>(2) a completed authority application form relevant to the indication and treatment phase (the latest version is located on the website specified in the Administrative Advice).</w:t>
            </w:r>
          </w:p>
          <w:p w14:paraId="3FC8E480" w14:textId="77777777" w:rsidR="000A5C9B" w:rsidRPr="00207CA3" w:rsidRDefault="000A5C9B" w:rsidP="00370D8E">
            <w:pPr>
              <w:rPr>
                <w:rFonts w:ascii="Arial Narrow" w:hAnsi="Arial Narrow"/>
                <w:strike/>
                <w:sz w:val="20"/>
                <w:szCs w:val="20"/>
              </w:rPr>
            </w:pPr>
          </w:p>
        </w:tc>
      </w:tr>
    </w:tbl>
    <w:p w14:paraId="3F039F14" w14:textId="77777777" w:rsidR="00705917" w:rsidRDefault="00705917" w:rsidP="00370D8E">
      <w:pPr>
        <w:pStyle w:val="COMESnumberedpara"/>
        <w:numPr>
          <w:ilvl w:val="0"/>
          <w:numId w:val="0"/>
        </w:numPr>
        <w:ind w:left="720"/>
      </w:pPr>
    </w:p>
    <w:p w14:paraId="3F0CBB63" w14:textId="65DA85BA" w:rsidR="00820F49" w:rsidRPr="00565CF0" w:rsidRDefault="00820F49" w:rsidP="00370D8E">
      <w:pPr>
        <w:pStyle w:val="COMESnumberedpara"/>
      </w:pPr>
      <w:r w:rsidRPr="00820F49">
        <w:t>The essential elements and requested restrictions in the submission were based on 30-day dispensing. However, the submission requested consideration of 60-day dispensing for iptacopan given its ease of administration and simple storage requirements as an oral therapy. The submission claimed that 60-day dispensing would also improve treatment compliance and reduce logistical burden on patients and their caregivers</w:t>
      </w:r>
      <w:r w:rsidRPr="00565CF0">
        <w:t>. Treatment costs in the economic model and financial estimates were based on 30-day dispensing only.</w:t>
      </w:r>
    </w:p>
    <w:p w14:paraId="321A90FA" w14:textId="5C003FD0" w:rsidR="00A146D0" w:rsidRDefault="00A146D0" w:rsidP="00370D8E">
      <w:pPr>
        <w:pStyle w:val="COMESnumberedpara"/>
      </w:pPr>
      <w:r w:rsidRPr="00A146D0">
        <w:t>The sponsor proposed a special pricing arrangement for iptacopan</w:t>
      </w:r>
      <w:r w:rsidR="006E169A">
        <w:t xml:space="preserve">. </w:t>
      </w:r>
      <w:r w:rsidRPr="00A146D0">
        <w:t xml:space="preserve">The submission requested the same published prices for C3G </w:t>
      </w:r>
      <w:r w:rsidR="006A2DA4">
        <w:t>as</w:t>
      </w:r>
      <w:r w:rsidRPr="00A146D0">
        <w:t xml:space="preserve"> proposed for </w:t>
      </w:r>
      <w:r w:rsidR="0070157C" w:rsidRPr="00A146D0">
        <w:t>PNH but</w:t>
      </w:r>
      <w:r w:rsidRPr="00A146D0">
        <w:t xml:space="preserve"> </w:t>
      </w:r>
      <w:r w:rsidR="000453FC">
        <w:t xml:space="preserve">stated that </w:t>
      </w:r>
      <w:r w:rsidRPr="00A146D0">
        <w:t>different indication-specific effective prices</w:t>
      </w:r>
      <w:r w:rsidR="000453FC">
        <w:t xml:space="preserve"> were requested</w:t>
      </w:r>
      <w:r w:rsidRPr="00A146D0">
        <w:t>.</w:t>
      </w:r>
      <w:r w:rsidR="006A2DA4">
        <w:t xml:space="preserve"> </w:t>
      </w:r>
    </w:p>
    <w:p w14:paraId="356CFAA1" w14:textId="0CEB1A3F" w:rsidR="006C0461" w:rsidRPr="00565CF0" w:rsidRDefault="006C0461" w:rsidP="00370D8E">
      <w:pPr>
        <w:pStyle w:val="COMESnumberedpara"/>
      </w:pPr>
      <w:r w:rsidRPr="00565CF0">
        <w:t xml:space="preserve">The proposed restriction for patients with native kidneys </w:t>
      </w:r>
      <w:r w:rsidR="00093834">
        <w:t>was</w:t>
      </w:r>
      <w:r w:rsidRPr="00565CF0">
        <w:t xml:space="preserve"> narrower than the proposed TGA indication as it also requires a minimum level of kidney function, </w:t>
      </w:r>
      <w:r w:rsidR="0002298F" w:rsidRPr="00565CF0">
        <w:lastRenderedPageBreak/>
        <w:t>elevated proteinuria</w:t>
      </w:r>
      <w:r w:rsidRPr="00565CF0">
        <w:t>, and concomitant treatment with ACEI</w:t>
      </w:r>
      <w:r w:rsidR="0002298F" w:rsidRPr="00565CF0">
        <w:t>/ARB</w:t>
      </w:r>
      <w:r w:rsidRPr="00565CF0">
        <w:t xml:space="preserve"> unless intolerant or contraindicated.</w:t>
      </w:r>
    </w:p>
    <w:p w14:paraId="1FA869D6" w14:textId="593F8BE9" w:rsidR="006C0461" w:rsidRPr="00565CF0" w:rsidRDefault="006C0461" w:rsidP="00370D8E">
      <w:pPr>
        <w:pStyle w:val="COMESnumberedpara"/>
      </w:pPr>
      <w:r w:rsidRPr="006C0461">
        <w:t xml:space="preserve">The submission requested that the PBAC consider extending the restriction to include adolescents aged 12 to 17 years. The submission acknowledged, however, that the efficacy and safety of iptacopan in this population is currently being investigated in the ongoing APPEAR-C3G trial with expected completion in 2026. </w:t>
      </w:r>
      <w:r w:rsidRPr="00565CF0">
        <w:t xml:space="preserve">The requested expanded population would be broader than the </w:t>
      </w:r>
      <w:r w:rsidR="002470F2">
        <w:t xml:space="preserve">currently </w:t>
      </w:r>
      <w:r w:rsidR="00B264EC">
        <w:t>p</w:t>
      </w:r>
      <w:r w:rsidR="00F71978">
        <w:t>roposed TGA indication (adults)</w:t>
      </w:r>
      <w:r w:rsidRPr="00565CF0">
        <w:t>. The sponsor’s Australian advisory board claimed that the age criteri</w:t>
      </w:r>
      <w:r w:rsidR="001E72DF" w:rsidRPr="00565CF0">
        <w:t>on</w:t>
      </w:r>
      <w:r w:rsidRPr="00565CF0">
        <w:t xml:space="preserve"> would likely not exclude too many patients</w:t>
      </w:r>
      <w:r w:rsidR="00A865D5" w:rsidRPr="00565CF0">
        <w:t xml:space="preserve"> as only a</w:t>
      </w:r>
      <w:r w:rsidRPr="00565CF0">
        <w:t xml:space="preserve"> relatively small proportion of patients present in adolescence or earlier.</w:t>
      </w:r>
      <w:r w:rsidR="006B75F2">
        <w:t xml:space="preserve"> </w:t>
      </w:r>
    </w:p>
    <w:p w14:paraId="17FE86E5" w14:textId="7F6C98C9" w:rsidR="000271A7" w:rsidRPr="00565CF0" w:rsidRDefault="000271A7" w:rsidP="00370D8E">
      <w:pPr>
        <w:pStyle w:val="COMESnumberedpara"/>
      </w:pPr>
      <w:r w:rsidRPr="00565CF0">
        <w:t xml:space="preserve">The proposed restriction for patients with native kidneys was broader than the key trial population that excluded patients with rapidly progressive crescentic glomerulonephritis (RPGN), those with </w:t>
      </w:r>
      <w:r w:rsidR="00364110">
        <w:t xml:space="preserve">&gt; </w:t>
      </w:r>
      <w:r w:rsidRPr="00565CF0">
        <w:t xml:space="preserve">50% interstitial fibrosis/tubular atrophy (IF/TA), or presence of monoclonal gammopathy of undetermined significance (MGUS), a pre-malignant haematological condition. Patients with these conditions typically have worse prognosis and may follow different treatment pathways. It </w:t>
      </w:r>
      <w:r w:rsidR="000A597D">
        <w:t>wa</w:t>
      </w:r>
      <w:r w:rsidRPr="00565CF0">
        <w:t>s unclear whether treatment with iptacopan should be allowed in these patients given the lack of data.</w:t>
      </w:r>
    </w:p>
    <w:p w14:paraId="68602816" w14:textId="44CF9550" w:rsidR="00CE0A17" w:rsidRPr="00CE0A17" w:rsidRDefault="003C3399" w:rsidP="00370D8E">
      <w:pPr>
        <w:pStyle w:val="COMESnumberedpara"/>
      </w:pPr>
      <w:r w:rsidRPr="00A81BBC">
        <w:t xml:space="preserve">The submission proposed the PBS population should include post-transplant patients with disease recurrence, however the risk-benefit profile and cost-effectiveness of iptacopan for this indication is uncertain, with no comparative data in this group of patients. The </w:t>
      </w:r>
      <w:r w:rsidR="009C5378" w:rsidRPr="00293BFB">
        <w:t>Pre-Sub-Committee Response</w:t>
      </w:r>
      <w:r w:rsidR="009C5378" w:rsidRPr="00A81BBC">
        <w:t xml:space="preserve"> </w:t>
      </w:r>
      <w:r w:rsidR="009C5378">
        <w:t>(</w:t>
      </w:r>
      <w:r w:rsidRPr="00A81BBC">
        <w:t>PSCR</w:t>
      </w:r>
      <w:r w:rsidR="009C5378">
        <w:t>)</w:t>
      </w:r>
      <w:r w:rsidR="006B75F2">
        <w:t xml:space="preserve"> </w:t>
      </w:r>
      <w:r w:rsidRPr="00A81BBC">
        <w:t>noted that inclusion of post-transplant patients was based on the high unmet clinical need. The PSCR also noted C3G impacts native and transplanted kidneys in the same way, and iptacopan has the same mechanism of action in both patient groups.</w:t>
      </w:r>
      <w:r w:rsidRPr="003C3399">
        <w:rPr>
          <w:i/>
          <w:iCs/>
        </w:rPr>
        <w:t xml:space="preserve"> </w:t>
      </w:r>
      <w:r w:rsidR="00176C52" w:rsidRPr="00565CF0">
        <w:t>The proposed restriction for post-transplant patients was broad, with no clinical criteria other than confirmation of C3G recurrence by kidney biopsy. Supportive evidence provided in the submission was based on a narrower population who had a minimum eGFR of ≥30 mL/min/1.73 m</w:t>
      </w:r>
      <w:r w:rsidR="00176C52" w:rsidRPr="003C3399">
        <w:rPr>
          <w:vertAlign w:val="superscript"/>
        </w:rPr>
        <w:t>2</w:t>
      </w:r>
      <w:r w:rsidR="00176C52" w:rsidRPr="00565CF0">
        <w:t xml:space="preserve"> and had to be on a stable dose of immunosuppressants for at least 3 months prior</w:t>
      </w:r>
      <w:r w:rsidR="00F400D7">
        <w:t xml:space="preserve"> to treatment with iptacopan</w:t>
      </w:r>
      <w:r w:rsidR="00176C52" w:rsidRPr="00565CF0">
        <w:t>.</w:t>
      </w:r>
      <w:r w:rsidR="00352E93" w:rsidRPr="003C3399">
        <w:rPr>
          <w:i/>
          <w:iCs/>
        </w:rPr>
        <w:t xml:space="preserve"> </w:t>
      </w:r>
    </w:p>
    <w:p w14:paraId="4B3B1305" w14:textId="67ACB9C8" w:rsidR="00835F9D" w:rsidRPr="00565CF0" w:rsidRDefault="00835F9D" w:rsidP="00370D8E">
      <w:pPr>
        <w:pStyle w:val="COMESnumberedpara"/>
      </w:pPr>
      <w:r w:rsidRPr="00835F9D">
        <w:t xml:space="preserve">The proposed continuing restriction states that patients must have clinical improvement or stabilisation of the condition </w:t>
      </w:r>
      <w:proofErr w:type="gramStart"/>
      <w:r w:rsidRPr="00835F9D">
        <w:t>in order to</w:t>
      </w:r>
      <w:proofErr w:type="gramEnd"/>
      <w:r w:rsidRPr="00835F9D">
        <w:t xml:space="preserve"> continue treatment with iptacopan.</w:t>
      </w:r>
      <w:r w:rsidRPr="000C64B2">
        <w:rPr>
          <w:i/>
          <w:iCs/>
        </w:rPr>
        <w:t xml:space="preserve"> </w:t>
      </w:r>
      <w:r w:rsidRPr="00565CF0">
        <w:t xml:space="preserve">The sponsor’s advisory board indicated that reduction in proteinuria and improvements in eGFR would constitute clinical improvement but should have numerical values included if specified in the restriction. However, it was also noted that if the intent is to keep the criteria broad then the terminology could be left as written. </w:t>
      </w:r>
    </w:p>
    <w:p w14:paraId="5A91590B" w14:textId="5E63F850" w:rsidR="00EA455E" w:rsidRPr="00565CF0" w:rsidRDefault="00FD0038" w:rsidP="00370D8E">
      <w:pPr>
        <w:pStyle w:val="COMESnumberedpara"/>
      </w:pPr>
      <w:r w:rsidRPr="00FD0038">
        <w:t xml:space="preserve">The proposed restriction also requires discontinuation of treatment with iptacopan prior to patients commencing </w:t>
      </w:r>
      <w:r w:rsidR="009F693C">
        <w:t xml:space="preserve">kidney </w:t>
      </w:r>
      <w:r w:rsidRPr="00FD0038">
        <w:t>replacement therapy, defined as dialysis or kidney transplantation.</w:t>
      </w:r>
      <w:r w:rsidRPr="00FD0038">
        <w:rPr>
          <w:i/>
          <w:iCs/>
        </w:rPr>
        <w:t xml:space="preserve"> </w:t>
      </w:r>
      <w:r w:rsidRPr="00565CF0">
        <w:t xml:space="preserve">The draft product information notes that there are no data available in patients with severe </w:t>
      </w:r>
      <w:r w:rsidR="009F693C" w:rsidRPr="00565CF0">
        <w:t xml:space="preserve">kidney </w:t>
      </w:r>
      <w:r w:rsidRPr="00565CF0">
        <w:t>impairment or on dialysis and no dose recommendations were provided.</w:t>
      </w:r>
      <w:r w:rsidR="005F70EF">
        <w:t xml:space="preserve"> </w:t>
      </w:r>
    </w:p>
    <w:p w14:paraId="05599738" w14:textId="72AC1168" w:rsidR="00FD0038" w:rsidRPr="00565CF0" w:rsidRDefault="00FD0038" w:rsidP="00370D8E">
      <w:pPr>
        <w:pStyle w:val="COMESnumberedpara"/>
      </w:pPr>
      <w:r w:rsidRPr="00FD0038">
        <w:lastRenderedPageBreak/>
        <w:t>The treatment criteria allow for initial, continuing and grandfathering scripts to be prescribed by nephrologists and non-specialist medical physicians or nurse practitioners who have consulted with a nephrologist.</w:t>
      </w:r>
      <w:r w:rsidRPr="00FD0038">
        <w:rPr>
          <w:i/>
          <w:iCs/>
        </w:rPr>
        <w:t xml:space="preserve"> </w:t>
      </w:r>
      <w:r w:rsidRPr="00565CF0">
        <w:t>This was inconsistent with the sponsor’s advisory board that indicated that treatment initiation would require specialist nephrology care, both for accurate diagnosis and ongoing monitoring. It was unclear whether it is appropriate for iptacopan to be prescribed by non-specialist medical physicians or nurse practitioners given the rarity and complexity of this condition.</w:t>
      </w:r>
    </w:p>
    <w:p w14:paraId="2FB797D5" w14:textId="4AC04E36" w:rsidR="00FD0038" w:rsidRDefault="00FD0038" w:rsidP="00370D8E">
      <w:pPr>
        <w:pStyle w:val="COMESnumberedpara"/>
      </w:pPr>
      <w:r w:rsidRPr="00FD0038">
        <w:t xml:space="preserve">The submission requested grandfathering provisions for patients treated with iptacopan prior to PBS listing for C3G in patients with native kidneys and post-transplant patients. The submission stated there are currently </w:t>
      </w:r>
      <w:r w:rsidR="00364110">
        <w:t xml:space="preserve">&lt; </w:t>
      </w:r>
      <w:r w:rsidR="00B37FFD" w:rsidRPr="00B37FFD">
        <w:t>500</w:t>
      </w:r>
      <w:r w:rsidRPr="00FD0038">
        <w:t xml:space="preserve"> patients with C3G who are receiving treatment with iptacopan.</w:t>
      </w:r>
      <w:r w:rsidR="000D615C">
        <w:t xml:space="preserve"> However, with the amended wording in the initial restrictions</w:t>
      </w:r>
      <w:r w:rsidR="007B4966">
        <w:t xml:space="preserve">, separate grandfathering provisions </w:t>
      </w:r>
      <w:r w:rsidR="00EF13C8">
        <w:t>would not</w:t>
      </w:r>
      <w:r w:rsidR="007B4966">
        <w:t xml:space="preserve"> be necessary. </w:t>
      </w:r>
    </w:p>
    <w:p w14:paraId="6B76292B" w14:textId="754AD2DD" w:rsidR="000402B1" w:rsidRDefault="006D7B2F" w:rsidP="00370D8E">
      <w:pPr>
        <w:pStyle w:val="COMESnumberedpara"/>
      </w:pPr>
      <w:r>
        <w:t>T</w:t>
      </w:r>
      <w:r w:rsidR="000402B1" w:rsidRPr="000402B1">
        <w:t xml:space="preserve">he draft product information for </w:t>
      </w:r>
      <w:r w:rsidR="000402B1">
        <w:t>iptacop</w:t>
      </w:r>
      <w:r w:rsidR="0042416C">
        <w:t>a</w:t>
      </w:r>
      <w:r w:rsidR="000402B1">
        <w:t>n</w:t>
      </w:r>
      <w:r w:rsidR="000402B1" w:rsidRPr="000402B1">
        <w:t xml:space="preserve"> included a boxed warning regarding the risk of serious infections caused by encapsulated bacteria, such as </w:t>
      </w:r>
      <w:r w:rsidR="009459FE" w:rsidRPr="009459FE">
        <w:rPr>
          <w:i/>
          <w:iCs/>
        </w:rPr>
        <w:t>Streptococcus pneumoniae</w:t>
      </w:r>
      <w:r w:rsidR="009459FE" w:rsidRPr="009459FE">
        <w:t xml:space="preserve">, </w:t>
      </w:r>
      <w:r w:rsidR="009459FE" w:rsidRPr="009459FE">
        <w:rPr>
          <w:i/>
          <w:iCs/>
        </w:rPr>
        <w:t>Neisseria meningitidis</w:t>
      </w:r>
      <w:r w:rsidR="009459FE" w:rsidRPr="009459FE">
        <w:t xml:space="preserve">, and </w:t>
      </w:r>
      <w:r w:rsidR="009459FE" w:rsidRPr="009459FE">
        <w:rPr>
          <w:i/>
          <w:iCs/>
        </w:rPr>
        <w:t xml:space="preserve">Haemophilus influenzae </w:t>
      </w:r>
      <w:r w:rsidR="009459FE" w:rsidRPr="009459FE">
        <w:t>type B</w:t>
      </w:r>
      <w:r w:rsidR="000402B1" w:rsidRPr="009459FE">
        <w:t>, w</w:t>
      </w:r>
      <w:r w:rsidR="000402B1" w:rsidRPr="000402B1">
        <w:t xml:space="preserve">ith recommendations to vaccinate against these bacteria prior to initiation of </w:t>
      </w:r>
      <w:r w:rsidR="009459FE">
        <w:t>iptacopan</w:t>
      </w:r>
      <w:r w:rsidR="000402B1" w:rsidRPr="000402B1">
        <w:t xml:space="preserve"> treatment. </w:t>
      </w:r>
    </w:p>
    <w:p w14:paraId="69D3C0A7" w14:textId="77777777" w:rsidR="009A4A51" w:rsidRPr="00C33D30" w:rsidRDefault="009A4A51" w:rsidP="00370D8E">
      <w:pPr>
        <w:ind w:firstLine="720"/>
        <w:rPr>
          <w:rFonts w:asciiTheme="minorHAnsi" w:hAnsiTheme="minorHAnsi"/>
          <w:i/>
        </w:rPr>
      </w:pPr>
      <w:r w:rsidRPr="00C33D30">
        <w:rPr>
          <w:rFonts w:asciiTheme="minorHAnsi" w:hAnsiTheme="minorHAnsi"/>
          <w:i/>
        </w:rPr>
        <w:t>For more detail on PBAC’s view, see section 7 PBAC outcome.</w:t>
      </w:r>
    </w:p>
    <w:p w14:paraId="1E643DE1" w14:textId="77777777" w:rsidR="009A4A51" w:rsidRPr="00FD0038" w:rsidRDefault="009A4A51" w:rsidP="00370D8E">
      <w:pPr>
        <w:pStyle w:val="COMESnumberedpara"/>
        <w:numPr>
          <w:ilvl w:val="0"/>
          <w:numId w:val="0"/>
        </w:numPr>
        <w:ind w:left="720"/>
      </w:pPr>
    </w:p>
    <w:p w14:paraId="7075B85C" w14:textId="62A47B7B" w:rsidR="00B50DB8" w:rsidRPr="0098262F" w:rsidDel="00195452" w:rsidRDefault="00203181" w:rsidP="00370D8E">
      <w:pPr>
        <w:pStyle w:val="COMESH2"/>
      </w:pPr>
      <w:bookmarkStart w:id="8" w:name="_Toc209000653"/>
      <w:r w:rsidRPr="0098262F" w:rsidDel="00195452">
        <w:t xml:space="preserve">Population and </w:t>
      </w:r>
      <w:r w:rsidR="008E0D3C" w:rsidRPr="0098262F" w:rsidDel="00195452">
        <w:t>d</w:t>
      </w:r>
      <w:r w:rsidRPr="0098262F" w:rsidDel="00195452">
        <w:t>isease</w:t>
      </w:r>
      <w:bookmarkEnd w:id="8"/>
    </w:p>
    <w:p w14:paraId="21FDD135" w14:textId="7904F07D" w:rsidR="00894489" w:rsidRDefault="00587F8C" w:rsidP="00370D8E">
      <w:pPr>
        <w:pStyle w:val="COMESnumberedpara"/>
      </w:pPr>
      <w:r w:rsidRPr="00587F8C">
        <w:t>C3G is a rare form of glomerulonephritis, where there is inflammation in the kidney. The condition is characterised by dysregulation of the alternative complement pathway that is part of the immune system, resulting in a build-up of C3 proteins in the kidneys which lead to inflammation and structural damage.</w:t>
      </w:r>
    </w:p>
    <w:p w14:paraId="6AA0B626" w14:textId="58464A32" w:rsidR="00587F8C" w:rsidRPr="00587F8C" w:rsidDel="00195452" w:rsidRDefault="00D4585F" w:rsidP="00370D8E">
      <w:pPr>
        <w:pStyle w:val="COMESnumberedpara"/>
      </w:pPr>
      <w:r w:rsidRPr="00D4585F">
        <w:t>Clinical presentation varies between patients but typically includes proteinuria (protein in the urine), haematuria (blood in the urine) and other features associated with kidney disease such as hypertension (high blood pressure), fatigue, oedema (swelling in some areas of the body) and reduced urine output. Patients with C3G have variable degrees of kidney function impairment at presentation and variable rates of kidney function decline.</w:t>
      </w:r>
      <w:r w:rsidR="007E521C">
        <w:t xml:space="preserve"> </w:t>
      </w:r>
    </w:p>
    <w:p w14:paraId="34F9A011" w14:textId="02A19340" w:rsidR="002C2775" w:rsidRDefault="00D015B2" w:rsidP="00370D8E">
      <w:pPr>
        <w:pStyle w:val="COMESnumberedpara"/>
      </w:pPr>
      <w:r w:rsidRPr="0008616E">
        <w:t>The diagnosis of C3G is established by kidney biopsy based on characteristic findings on immunofluorescence microscopy. C3G is further divided into two subtypes, C3 glomerulonephritis (C3GN) and dense deposit disease (DDD) based on findings using electron microscopy. Additional testing for monoclonal gammopathy, serum complement proteins, autoantibodies and genetic testing are then used to identify the underlying cause of the glomerulopathy</w:t>
      </w:r>
      <w:r w:rsidR="0008616E" w:rsidRPr="0008616E">
        <w:t>.</w:t>
      </w:r>
    </w:p>
    <w:p w14:paraId="58424AF7" w14:textId="7925DA3F" w:rsidR="00E361D4" w:rsidRDefault="00E361D4" w:rsidP="00370D8E">
      <w:pPr>
        <w:pStyle w:val="COMESnumberedpara"/>
      </w:pPr>
      <w:r w:rsidRPr="00E361D4">
        <w:t xml:space="preserve">Rates of progression vary widely in reports of C3G, with some patients having persistently low-grade proteinuria but maintaining kidney function for a long time while other patients have severe nephrotic syndrome, and some can present with </w:t>
      </w:r>
      <w:r w:rsidRPr="00E361D4">
        <w:lastRenderedPageBreak/>
        <w:t>rapidly progressive glomerulonephritis and have a poor prognosis. There is no consensus between published studies as to whether the prognosis of C3GN and DDD are different or comparable (UpToDate – C3 glomerulopathies: DDD and C3G, July 2025). Patients with kidney failure usually require dialysis or kidney transplantation to stay alive. However, after transplantation, disease recurrence or graft loss is common due to the underlying condition.</w:t>
      </w:r>
      <w:r w:rsidR="006B75F2">
        <w:t xml:space="preserve"> </w:t>
      </w:r>
    </w:p>
    <w:p w14:paraId="534DD226" w14:textId="174326E1" w:rsidR="000B1D0F" w:rsidRDefault="00B90484" w:rsidP="00370D8E">
      <w:pPr>
        <w:pStyle w:val="COMESnumberedpara"/>
      </w:pPr>
      <w:r w:rsidRPr="00B90484">
        <w:t xml:space="preserve">There are limited epidemiological data available for C3G in Australia. </w:t>
      </w:r>
      <w:r w:rsidR="000B1D0F" w:rsidRPr="000B1D0F">
        <w:t>The sponsor’s advisory board stated that there was poor data capture due to the lack of standardised coding for C3G with no systematic approach for case identification and tracking. Anecdotally, patients tend to present young (in their 20s or 30s) and are often diagnosed late (or incidentally) due to misdiagnosis</w:t>
      </w:r>
      <w:r w:rsidR="00810AC4">
        <w:t>,</w:t>
      </w:r>
      <w:r w:rsidR="000B1D0F" w:rsidRPr="000B1D0F">
        <w:t xml:space="preserve"> with true diagnosis established only after multiple biopsies. The advisory board claimed that lack of awareness of the disease, lack of standardised pathways and limited access to resource-intensive diagnostic tests were barriers to timely referral and specialist care</w:t>
      </w:r>
      <w:r w:rsidR="000B1D0F">
        <w:t>.</w:t>
      </w:r>
    </w:p>
    <w:p w14:paraId="12CC7893" w14:textId="2041E914" w:rsidR="00B90484" w:rsidRDefault="006914B4" w:rsidP="00370D8E">
      <w:pPr>
        <w:pStyle w:val="COMESnumberedpara"/>
      </w:pPr>
      <w:r>
        <w:t xml:space="preserve">Global epidemiological </w:t>
      </w:r>
      <w:r w:rsidR="000718FB">
        <w:t>studies report an incidence</w:t>
      </w:r>
      <w:r w:rsidR="00B90484" w:rsidRPr="00B90484">
        <w:t xml:space="preserve"> of 1 to 3 cases per million and point prevalence of 14 to 140 cases per million (Smith 2019). Patients are typically diagnosed between 20 and 30 years of age, although the proportion of children and adolescents aged less than 18 years can vary from 24 to 61% (Caravaca-</w:t>
      </w:r>
      <w:proofErr w:type="spellStart"/>
      <w:r w:rsidR="00B90484" w:rsidRPr="00B90484">
        <w:t>Fontán</w:t>
      </w:r>
      <w:proofErr w:type="spellEnd"/>
      <w:r w:rsidR="00B90484" w:rsidRPr="00B90484">
        <w:t xml:space="preserve"> 2023, Masoud 2024 </w:t>
      </w:r>
      <w:r w:rsidR="00C33D92">
        <w:t>pre-print</w:t>
      </w:r>
      <w:r w:rsidR="00B90484" w:rsidRPr="00B90484">
        <w:t>).</w:t>
      </w:r>
    </w:p>
    <w:p w14:paraId="1F07AB27" w14:textId="77777777" w:rsidR="00005A9A" w:rsidRPr="0098262F" w:rsidRDefault="00005A9A" w:rsidP="00370D8E">
      <w:pPr>
        <w:pStyle w:val="COMESnumberedpara"/>
      </w:pPr>
      <w:r w:rsidRPr="00FD7AA2">
        <w:t xml:space="preserve">The submission claimed that there is a clinical need for effective, safe and tolerable treatments for C3G, as current treatment options are limited to supportive measures including </w:t>
      </w:r>
      <w:r>
        <w:t xml:space="preserve">renin-angiotensin inhibition with angiotensin converting enzyme inhibitors (ACEI) or angiotensin receptor blockers (ARB) with or without </w:t>
      </w:r>
      <w:r w:rsidRPr="00FD7AA2">
        <w:t xml:space="preserve">immunosuppressive therapies. </w:t>
      </w:r>
    </w:p>
    <w:p w14:paraId="0C66BB9A" w14:textId="5932CC59" w:rsidR="00E87EAD" w:rsidRDefault="00833815" w:rsidP="00370D8E">
      <w:pPr>
        <w:pStyle w:val="COMESnumberedpara"/>
      </w:pPr>
      <w:r>
        <w:t xml:space="preserve">There </w:t>
      </w:r>
      <w:r w:rsidR="00CB3640">
        <w:t>is no</w:t>
      </w:r>
      <w:r>
        <w:t xml:space="preserve"> formal </w:t>
      </w:r>
      <w:r w:rsidR="003F4565">
        <w:t>guid</w:t>
      </w:r>
      <w:r w:rsidR="00CB3640">
        <w:t>ance</w:t>
      </w:r>
      <w:r w:rsidR="00980B5A">
        <w:t xml:space="preserve"> for </w:t>
      </w:r>
      <w:r w:rsidR="003F4565">
        <w:t xml:space="preserve">the treatment of C3G. </w:t>
      </w:r>
      <w:r w:rsidR="0034422D">
        <w:t>The Kidney Disease Improving Global Outcomes (KDIGO) 2021 guidelines</w:t>
      </w:r>
      <w:r w:rsidR="003F4565">
        <w:t xml:space="preserve"> encourage the use of supportive measures to manage </w:t>
      </w:r>
      <w:r w:rsidR="003F4565" w:rsidRPr="003F4565">
        <w:t>complications associated with glomerular disease such as controlling oedema, reducing proteinuria and managing blood pressure. Treatments include renin-angiotensin inhibition with ACEI/ARB and/or diuretics. Additional conservative measures include statin therapy to control cholesterol and low-density lipoprotein levels.</w:t>
      </w:r>
      <w:r w:rsidR="003F4565">
        <w:t xml:space="preserve"> </w:t>
      </w:r>
      <w:r w:rsidR="0034422D">
        <w:t xml:space="preserve">The KDIGO 2021 guidelines </w:t>
      </w:r>
      <w:r w:rsidR="0034422D" w:rsidRPr="0034422D">
        <w:t>also recommend initial treatment with immunosuppressants (mycophenolate mofetil and glucocorticoids) in patients with moderate to severe disease (defined as proteinuria ≥1 g/day and haematuria or declining kidney function for at least 6 months).</w:t>
      </w:r>
      <w:r w:rsidR="009E7CE8">
        <w:t xml:space="preserve"> </w:t>
      </w:r>
    </w:p>
    <w:p w14:paraId="7DA309AD" w14:textId="77777777" w:rsidR="007C00F6" w:rsidRPr="00565CF0" w:rsidRDefault="00EA5A69" w:rsidP="00370D8E">
      <w:pPr>
        <w:pStyle w:val="COMESnumberedpara"/>
      </w:pPr>
      <w:r w:rsidRPr="00565CF0">
        <w:t>More recent guidelines for treatment of C3G were identified during the evaluation (UpToDate July 2025 – C3 glomerulopathies: Dense deposit disease and C3 glomerulonephritis). Treatment recommendations in UpToDate were largely consistent with the KDIGO 2021 guidelines. However, UpToDate uses a proteinuria threshold of 1.5 g/day to differentiate between mild and moderate to severe disease while the KDIGO guidelines used 1 g/day. The UpToDate authors noted that the nominated threshold was arbitrary and based on clinical experience, claiming there is no evidence to support a specific proteinuria threshold in patients with C3G.</w:t>
      </w:r>
      <w:r w:rsidR="00DE7B2D" w:rsidRPr="00565CF0">
        <w:t xml:space="preserve"> </w:t>
      </w:r>
    </w:p>
    <w:p w14:paraId="52EAB450" w14:textId="3166B564" w:rsidR="00A431ED" w:rsidRPr="00565CF0" w:rsidRDefault="00DE7B2D" w:rsidP="00370D8E">
      <w:pPr>
        <w:pStyle w:val="COMESnumberedpara"/>
      </w:pPr>
      <w:r w:rsidRPr="00565CF0">
        <w:lastRenderedPageBreak/>
        <w:t>The UpToDate guidelines</w:t>
      </w:r>
      <w:r w:rsidR="004D60E1" w:rsidRPr="00565CF0">
        <w:t xml:space="preserve"> also</w:t>
      </w:r>
      <w:r w:rsidRPr="00565CF0">
        <w:t xml:space="preserve"> suggest </w:t>
      </w:r>
      <w:r w:rsidR="00A431ED" w:rsidRPr="00565CF0">
        <w:t>different treatment options according to disease severity</w:t>
      </w:r>
      <w:r w:rsidR="003C399B" w:rsidRPr="00565CF0">
        <w:t>: supportive measures only in patients with mild disease and the addition of immunosuppressants in patients with moderate to severe disease and escalating measures of immunosuppression in patients with rapidly progressive disease (</w:t>
      </w:r>
      <w:r w:rsidR="004D60E1" w:rsidRPr="00565CF0">
        <w:t xml:space="preserve">intravenous pulse glucocorticoids, cyclophosphamide, mycophenolate mofetil). </w:t>
      </w:r>
    </w:p>
    <w:p w14:paraId="6C1AADAA" w14:textId="7C122D69" w:rsidR="000467E1" w:rsidRPr="00565CF0" w:rsidRDefault="000467E1" w:rsidP="00370D8E">
      <w:pPr>
        <w:pStyle w:val="COMESnumberedpara"/>
      </w:pPr>
      <w:r w:rsidRPr="00565CF0">
        <w:t>The KDIGO and UpToDate guidelines indicate that patients who fail immunosuppressant therapy should consider treatment with eculizumab. Eculizumab is neither TGA-approved nor PBS-listed for treatment of C3G.</w:t>
      </w:r>
      <w:r w:rsidR="006B75F2">
        <w:t xml:space="preserve"> </w:t>
      </w:r>
    </w:p>
    <w:p w14:paraId="53E0BB86" w14:textId="3F429C6B" w:rsidR="00DE7B2D" w:rsidRPr="00A81BBC" w:rsidRDefault="000D2F37" w:rsidP="00370D8E">
      <w:pPr>
        <w:pStyle w:val="COMESnumberedpara"/>
      </w:pPr>
      <w:r w:rsidRPr="000D2F37">
        <w:t>Patients who experience kidney failure should be considered for dialysis or kidney transplant. However, disease recurrence and graft loss are common in patients following a kidney transplant as standard immunosuppression may not correct the underlying abnormality</w:t>
      </w:r>
      <w:r w:rsidRPr="00565CF0">
        <w:t>. Limited guidance is available for the treatment of patients with disease recurrence following a kidney transplant.</w:t>
      </w:r>
      <w:r w:rsidR="00D22FE8">
        <w:t xml:space="preserve"> </w:t>
      </w:r>
      <w:r w:rsidR="00D22FE8" w:rsidRPr="00A81BBC">
        <w:t xml:space="preserve">The ESC noted that public consultation input from </w:t>
      </w:r>
      <w:r w:rsidR="00965F32" w:rsidRPr="00A81BBC">
        <w:t>consumers and consumer organisations</w:t>
      </w:r>
      <w:r w:rsidR="00D22FE8" w:rsidRPr="00A81BBC">
        <w:t xml:space="preserve"> indicated that the </w:t>
      </w:r>
      <w:r w:rsidR="00D73198" w:rsidRPr="00A81BBC">
        <w:t xml:space="preserve">delay or </w:t>
      </w:r>
      <w:r w:rsidR="00D22FE8" w:rsidRPr="00A81BBC">
        <w:t xml:space="preserve">avoidance of </w:t>
      </w:r>
      <w:r w:rsidR="00D73198" w:rsidRPr="00A81BBC">
        <w:t>dialysis and kidney transplant were important to patients</w:t>
      </w:r>
      <w:r w:rsidR="003204EF" w:rsidRPr="00A81BBC">
        <w:t xml:space="preserve"> and </w:t>
      </w:r>
      <w:r w:rsidR="006A6448" w:rsidRPr="00A81BBC">
        <w:t xml:space="preserve">that </w:t>
      </w:r>
      <w:r w:rsidR="003204EF" w:rsidRPr="00A81BBC">
        <w:t xml:space="preserve">access to these treatments were </w:t>
      </w:r>
      <w:r w:rsidR="006A6448" w:rsidRPr="00A81BBC">
        <w:t>a challenge to patients in regional areas</w:t>
      </w:r>
      <w:r w:rsidR="00D73198" w:rsidRPr="00A81BBC">
        <w:t>.</w:t>
      </w:r>
    </w:p>
    <w:p w14:paraId="4E2DA06E" w14:textId="23DD1E63" w:rsidR="00C83CB6" w:rsidRPr="00877640" w:rsidDel="00195452" w:rsidRDefault="008B2F3E" w:rsidP="00370D8E">
      <w:pPr>
        <w:pStyle w:val="COMESnumberedpara"/>
        <w:rPr>
          <w:i/>
          <w:iCs/>
        </w:rPr>
      </w:pPr>
      <w:r w:rsidRPr="008B2F3E">
        <w:t>Iptacopan is a proximal complement inhibitor that targets Factor B, to selectively inhibit the</w:t>
      </w:r>
      <w:r w:rsidR="003A08C2">
        <w:t xml:space="preserve"> alternative</w:t>
      </w:r>
      <w:r w:rsidR="0051443A">
        <w:t xml:space="preserve"> complement</w:t>
      </w:r>
      <w:r w:rsidRPr="008B2F3E">
        <w:t xml:space="preserve"> pathway</w:t>
      </w:r>
      <w:r w:rsidR="008F4A98">
        <w:t xml:space="preserve">. It is presumed that the therapeutic effects of iptacopan are due to prevention </w:t>
      </w:r>
      <w:r w:rsidR="00D75663">
        <w:t xml:space="preserve">of the downstream </w:t>
      </w:r>
      <w:r w:rsidR="003A08C2">
        <w:t xml:space="preserve">build-up of C3 protein in the kidneys. </w:t>
      </w:r>
      <w:r w:rsidR="004850FD" w:rsidRPr="00A81BBC">
        <w:t>The</w:t>
      </w:r>
      <w:r w:rsidR="00944671" w:rsidRPr="00A81BBC">
        <w:t xml:space="preserve"> ESC noted that public consultation input from healthcare providers and medical organisations </w:t>
      </w:r>
      <w:r w:rsidR="00C7634B" w:rsidRPr="00A81BBC">
        <w:t>indicated</w:t>
      </w:r>
      <w:r w:rsidR="00F61233" w:rsidRPr="00A81BBC">
        <w:t xml:space="preserve"> that </w:t>
      </w:r>
      <w:r w:rsidR="00C7634B" w:rsidRPr="00A81BBC">
        <w:t>a targeted therapy</w:t>
      </w:r>
      <w:r w:rsidR="001A1C5B" w:rsidRPr="00A81BBC">
        <w:t xml:space="preserve">, addressing the </w:t>
      </w:r>
      <w:r w:rsidR="00B2597E" w:rsidRPr="00A81BBC">
        <w:t xml:space="preserve">root cause of the disease (over-production of C3 and deposition in the glomeruli) </w:t>
      </w:r>
      <w:r w:rsidR="00E810AE" w:rsidRPr="00A81BBC">
        <w:t>w</w:t>
      </w:r>
      <w:r w:rsidR="0068769C" w:rsidRPr="00A81BBC">
        <w:t>ould be expected to</w:t>
      </w:r>
      <w:r w:rsidR="00E810AE" w:rsidRPr="00A81BBC">
        <w:t xml:space="preserve"> </w:t>
      </w:r>
      <w:r w:rsidR="00617F73" w:rsidRPr="00A81BBC">
        <w:t>benefit</w:t>
      </w:r>
      <w:r w:rsidR="00877640" w:rsidRPr="00A81BBC">
        <w:t xml:space="preserve"> patients</w:t>
      </w:r>
      <w:r w:rsidR="00617F73" w:rsidRPr="00A81BBC">
        <w:t xml:space="preserve"> significantly</w:t>
      </w:r>
      <w:r w:rsidR="00877640" w:rsidRPr="00A81BBC">
        <w:t>.</w:t>
      </w:r>
      <w:r w:rsidR="00C7634B" w:rsidRPr="00877640">
        <w:rPr>
          <w:i/>
          <w:iCs/>
        </w:rPr>
        <w:t xml:space="preserve"> </w:t>
      </w:r>
    </w:p>
    <w:p w14:paraId="11FCAAEE" w14:textId="5B3EA849" w:rsidR="007627BE" w:rsidRPr="00565CF0" w:rsidRDefault="009D397D" w:rsidP="00370D8E">
      <w:pPr>
        <w:pStyle w:val="COMESnumberedpara"/>
      </w:pPr>
      <w:r>
        <w:t>Iptacopan is intended</w:t>
      </w:r>
      <w:r w:rsidR="0085600F">
        <w:t xml:space="preserve"> as chronic treatment for C3G and discontinuation is not recommended unless clinically indicated. </w:t>
      </w:r>
      <w:r w:rsidR="0085600F" w:rsidRPr="00565CF0">
        <w:t>The sponsor’s advisory board noted that treatment would likely be long-term or until significant clinical progression. However, it was noted that there</w:t>
      </w:r>
      <w:r w:rsidR="002A7D5C" w:rsidRPr="00565CF0">
        <w:t xml:space="preserve"> is</w:t>
      </w:r>
      <w:r w:rsidR="0085600F" w:rsidRPr="00565CF0">
        <w:t xml:space="preserve"> a lack of data on optimal duration of therapy, safety monitoring and discontinuation in real-world practice.</w:t>
      </w:r>
    </w:p>
    <w:p w14:paraId="5501B940" w14:textId="28DB57D6" w:rsidR="00DE7B2D" w:rsidRDefault="006B22A3" w:rsidP="00370D8E">
      <w:pPr>
        <w:pStyle w:val="COMESnumberedpara"/>
      </w:pPr>
      <w:r w:rsidRPr="006B22A3">
        <w:t xml:space="preserve">In patients with native kidneys, the submission positioned iptacopan as </w:t>
      </w:r>
      <w:r w:rsidR="002176B2" w:rsidRPr="002176B2">
        <w:t>an add-on to background therapy with an ACEI/ARB, with or without corticosteroids and/or mycophenolate mofetil.</w:t>
      </w:r>
      <w:r w:rsidR="006D30C1">
        <w:t xml:space="preserve"> </w:t>
      </w:r>
    </w:p>
    <w:p w14:paraId="209AAABA" w14:textId="066BE5A5" w:rsidR="00F92EA5" w:rsidRDefault="00312016" w:rsidP="00370D8E">
      <w:pPr>
        <w:pStyle w:val="COMESnumberedpara"/>
      </w:pPr>
      <w:r>
        <w:t>In</w:t>
      </w:r>
      <w:r w:rsidR="00EF132E" w:rsidRPr="00EF132E">
        <w:t xml:space="preserve"> patients with disease recurrence following a kidney transplant,</w:t>
      </w:r>
      <w:r>
        <w:t xml:space="preserve"> the submission </w:t>
      </w:r>
      <w:r w:rsidR="00563CCC">
        <w:t>positioned iptacopan as an add-on</w:t>
      </w:r>
      <w:r w:rsidR="00EF132E" w:rsidRPr="00EF132E">
        <w:t xml:space="preserve"> to standard immunosuppressive regimens.</w:t>
      </w:r>
    </w:p>
    <w:p w14:paraId="3909B554" w14:textId="77777777" w:rsidR="009A4A51" w:rsidRPr="00C33D30" w:rsidRDefault="009A4A51" w:rsidP="00370D8E">
      <w:pPr>
        <w:ind w:firstLine="709"/>
        <w:rPr>
          <w:rFonts w:asciiTheme="minorHAnsi" w:hAnsiTheme="minorHAnsi"/>
          <w:i/>
        </w:rPr>
      </w:pPr>
      <w:r w:rsidRPr="00C33D30">
        <w:rPr>
          <w:rFonts w:asciiTheme="minorHAnsi" w:hAnsiTheme="minorHAnsi"/>
          <w:i/>
        </w:rPr>
        <w:t>For more detail on PBAC’s view, see section 7 PBAC outcome.</w:t>
      </w:r>
    </w:p>
    <w:p w14:paraId="539454FF" w14:textId="77777777" w:rsidR="009A4A51" w:rsidRPr="0098262F" w:rsidDel="00195452" w:rsidRDefault="009A4A51" w:rsidP="00370D8E">
      <w:pPr>
        <w:pStyle w:val="COMESnumberedpara"/>
        <w:numPr>
          <w:ilvl w:val="0"/>
          <w:numId w:val="0"/>
        </w:numPr>
        <w:ind w:left="720"/>
      </w:pPr>
    </w:p>
    <w:p w14:paraId="51E5AE96" w14:textId="136A63B1" w:rsidR="00B50DB8" w:rsidRPr="0098262F" w:rsidRDefault="00B50DB8" w:rsidP="00370D8E">
      <w:pPr>
        <w:pStyle w:val="COMESH2"/>
      </w:pPr>
      <w:bookmarkStart w:id="9" w:name="_Toc209000654"/>
      <w:r w:rsidRPr="0098262F">
        <w:t>Comparator</w:t>
      </w:r>
      <w:bookmarkEnd w:id="9"/>
    </w:p>
    <w:p w14:paraId="747A75CC" w14:textId="71867775" w:rsidR="00A05472" w:rsidRDefault="00555A91" w:rsidP="00370D8E">
      <w:pPr>
        <w:pStyle w:val="COMESnumberedpara"/>
      </w:pPr>
      <w:r w:rsidRPr="00555A91">
        <w:t>The submission nominated standard of care as the main comparator. The main argument provided in support of this nomination was that there are no therapies currently listed on the PBS for the treatment of C3G.</w:t>
      </w:r>
      <w:r w:rsidR="002476F8">
        <w:t xml:space="preserve"> </w:t>
      </w:r>
    </w:p>
    <w:p w14:paraId="5F3FDA49" w14:textId="5D4EA055" w:rsidR="00555A91" w:rsidRPr="00565CF0" w:rsidRDefault="00555A91" w:rsidP="00370D8E">
      <w:pPr>
        <w:pStyle w:val="COMESnumberedpara"/>
      </w:pPr>
      <w:r w:rsidRPr="00555A91">
        <w:lastRenderedPageBreak/>
        <w:t xml:space="preserve">In patients with native kidneys, standard of care was defined as supportive measures that include renin-angiotensin inhibition with </w:t>
      </w:r>
      <w:r>
        <w:t>ACEI/ARB</w:t>
      </w:r>
      <w:r w:rsidRPr="00555A91">
        <w:t xml:space="preserve">, in addition to immunosuppressants (mycophenolate mofetil and glucocorticoids) where clinically appropriate. In post-transplant patients with disease recurrence, standard of care includes adjustment of the post-transplant immunosuppression regimen. </w:t>
      </w:r>
      <w:r w:rsidR="00207838" w:rsidRPr="00D86F42">
        <w:t>The ESC agreed with the evaluation that</w:t>
      </w:r>
      <w:r w:rsidR="00207838" w:rsidRPr="00207838">
        <w:rPr>
          <w:i/>
          <w:iCs/>
        </w:rPr>
        <w:t xml:space="preserve"> </w:t>
      </w:r>
      <w:r w:rsidR="00207838">
        <w:t>s</w:t>
      </w:r>
      <w:r w:rsidRPr="00565CF0">
        <w:t>tandard of care is an appropriate main comparator.</w:t>
      </w:r>
    </w:p>
    <w:p w14:paraId="7EB0A363" w14:textId="57564622" w:rsidR="00773427" w:rsidRPr="00565CF0" w:rsidRDefault="00773427" w:rsidP="00370D8E">
      <w:pPr>
        <w:pStyle w:val="COMESnumberedpara"/>
      </w:pPr>
      <w:r w:rsidRPr="00773427">
        <w:t xml:space="preserve">The submission identified pegcetacoplan as a near-market comparator. </w:t>
      </w:r>
      <w:r w:rsidRPr="00565CF0">
        <w:t>Pegcetacoplan is a complement 3 inhibitor currently under TGA evaluation for treatment, in adults and adolescents (aged 12-17 years), of kidney diseases C3G and primary immune-complex membranoproliferative glomerulonephritis (IC-MPGN).</w:t>
      </w:r>
    </w:p>
    <w:p w14:paraId="41C874B5" w14:textId="563D1B40" w:rsidR="00773427" w:rsidRDefault="00773427" w:rsidP="00370D8E">
      <w:pPr>
        <w:pStyle w:val="COMESnumberedpara"/>
      </w:pPr>
      <w:r w:rsidRPr="00773427">
        <w:t>The submission noted that the key trial of pegcetacoplan, VALIANT (NCT05067127), was completed in June 2025. The submission claimed that limited published data were available at the time of submission and that further information would be required to determine the feasibility of an indirect comparison of iptacopan and pegcetacoplan in the requested populations.</w:t>
      </w:r>
      <w:r w:rsidR="00410970">
        <w:t xml:space="preserve"> VALIANT </w:t>
      </w:r>
      <w:r w:rsidR="00410970" w:rsidRPr="00773427">
        <w:t xml:space="preserve">was a </w:t>
      </w:r>
      <w:r w:rsidR="00410970">
        <w:t>p</w:t>
      </w:r>
      <w:r w:rsidR="00410970" w:rsidRPr="00773427">
        <w:t xml:space="preserve">hase </w:t>
      </w:r>
      <w:r w:rsidR="00410970">
        <w:t>3</w:t>
      </w:r>
      <w:r w:rsidR="00410970" w:rsidRPr="00773427">
        <w:t xml:space="preserve">, randomised, placebo-controlled trial in adults and adolescents with C3G or IC-MPGN. </w:t>
      </w:r>
      <w:r w:rsidR="00410970" w:rsidRPr="00565CF0">
        <w:t xml:space="preserve">A full </w:t>
      </w:r>
      <w:r w:rsidR="00FE5055" w:rsidRPr="00565CF0">
        <w:t xml:space="preserve">trial </w:t>
      </w:r>
      <w:r w:rsidR="00410970" w:rsidRPr="00565CF0">
        <w:t>publication was not available during the evaluation. Top-line results suggest</w:t>
      </w:r>
      <w:r w:rsidR="0021768F">
        <w:t>ed</w:t>
      </w:r>
      <w:r w:rsidR="00410970" w:rsidRPr="00565CF0">
        <w:t xml:space="preserve"> that pegcetacoplan was associated with a 68% reduction in proteinuria compared to placebo at Week 26, which was sustained at one year.</w:t>
      </w:r>
      <w:r w:rsidR="00573726">
        <w:t xml:space="preserve"> </w:t>
      </w:r>
      <w:r w:rsidR="00573726" w:rsidRPr="00A81BBC">
        <w:t xml:space="preserve">The ESC noted that this </w:t>
      </w:r>
      <w:r w:rsidR="00355F55" w:rsidRPr="00A81BBC">
        <w:t xml:space="preserve">outcome appeared to be more favourable </w:t>
      </w:r>
      <w:r w:rsidR="0017139A" w:rsidRPr="00A81BBC">
        <w:t xml:space="preserve">for pegcetacoplan </w:t>
      </w:r>
      <w:r w:rsidR="00355F55" w:rsidRPr="00A81BBC">
        <w:t xml:space="preserve">than </w:t>
      </w:r>
      <w:r w:rsidR="000079A0" w:rsidRPr="00A81BBC">
        <w:t xml:space="preserve">for </w:t>
      </w:r>
      <w:r w:rsidR="00355F55" w:rsidRPr="00A81BBC">
        <w:t>iptacopan (</w:t>
      </w:r>
      <w:r w:rsidR="005A4AA9" w:rsidRPr="00A81BBC">
        <w:t xml:space="preserve">68% versus </w:t>
      </w:r>
      <w:r w:rsidR="00E31B3D" w:rsidRPr="00A81BBC">
        <w:t xml:space="preserve">35% </w:t>
      </w:r>
      <w:r w:rsidR="0061159D" w:rsidRPr="00A81BBC">
        <w:t xml:space="preserve">reduction in proteinuria compared to placebo at Week 26, see </w:t>
      </w:r>
      <w:r w:rsidR="00671A2B" w:rsidRPr="00A81BBC">
        <w:fldChar w:fldCharType="begin"/>
      </w:r>
      <w:r w:rsidR="00671A2B" w:rsidRPr="00A81BBC">
        <w:instrText xml:space="preserve"> REF _Ref207960383 \h </w:instrText>
      </w:r>
      <w:r w:rsidR="000079A0" w:rsidRPr="00A81BBC">
        <w:instrText xml:space="preserve"> \* MERGEFORMAT </w:instrText>
      </w:r>
      <w:r w:rsidR="00671A2B" w:rsidRPr="00A81BBC">
        <w:fldChar w:fldCharType="separate"/>
      </w:r>
      <w:r w:rsidR="00CC1313">
        <w:t xml:space="preserve">Table </w:t>
      </w:r>
      <w:r w:rsidR="00CC1313">
        <w:rPr>
          <w:noProof/>
        </w:rPr>
        <w:t>4</w:t>
      </w:r>
      <w:r w:rsidR="00671A2B" w:rsidRPr="00A81BBC">
        <w:fldChar w:fldCharType="end"/>
      </w:r>
      <w:r w:rsidR="0061159D" w:rsidRPr="00A81BBC">
        <w:t>)</w:t>
      </w:r>
      <w:r w:rsidR="00671A2B" w:rsidRPr="00A81BBC">
        <w:t xml:space="preserve">. However, </w:t>
      </w:r>
      <w:r w:rsidR="000079A0" w:rsidRPr="00A81BBC">
        <w:t xml:space="preserve">potential </w:t>
      </w:r>
      <w:r w:rsidR="00671A2B" w:rsidRPr="00A81BBC">
        <w:t xml:space="preserve">differences in the trial and included populations </w:t>
      </w:r>
      <w:r w:rsidR="000079A0" w:rsidRPr="00A81BBC">
        <w:t>have not been assessed.</w:t>
      </w:r>
    </w:p>
    <w:p w14:paraId="098BCD9C" w14:textId="0AE95D4C" w:rsidR="009A4A51" w:rsidRPr="00A81BBC" w:rsidRDefault="009A4A51" w:rsidP="00370D8E">
      <w:pPr>
        <w:ind w:firstLine="709"/>
      </w:pPr>
      <w:r w:rsidRPr="00C33D30">
        <w:rPr>
          <w:rFonts w:asciiTheme="minorHAnsi" w:hAnsiTheme="minorHAnsi"/>
          <w:i/>
        </w:rPr>
        <w:t>For more detail on PBAC’s view, see section 7 PBAC outcome.</w:t>
      </w:r>
    </w:p>
    <w:p w14:paraId="7F9C27C8" w14:textId="77777777" w:rsidR="00223D5A" w:rsidRPr="0098262F" w:rsidRDefault="00223D5A" w:rsidP="00370D8E">
      <w:pPr>
        <w:pStyle w:val="COMESH2"/>
        <w:numPr>
          <w:ilvl w:val="0"/>
          <w:numId w:val="1"/>
        </w:numPr>
      </w:pPr>
      <w:bookmarkStart w:id="10" w:name="_Toc209000655"/>
      <w:bookmarkStart w:id="11" w:name="_Toc22897640"/>
      <w:r w:rsidRPr="0098262F">
        <w:t>Consideration of the evidence</w:t>
      </w:r>
      <w:bookmarkEnd w:id="10"/>
    </w:p>
    <w:p w14:paraId="49B870B5" w14:textId="77777777" w:rsidR="00411532" w:rsidRPr="006E1229" w:rsidRDefault="00411532" w:rsidP="00370D8E">
      <w:pPr>
        <w:pStyle w:val="COMESSubsectionheading"/>
      </w:pPr>
      <w:bookmarkStart w:id="12" w:name="_Hlk76375935"/>
      <w:bookmarkStart w:id="13" w:name="_Toc209000656"/>
      <w:r w:rsidRPr="006E1229">
        <w:t>Sponsor hearing</w:t>
      </w:r>
    </w:p>
    <w:p w14:paraId="0CF71B70" w14:textId="542122EA" w:rsidR="00CC30D0" w:rsidRDefault="00411532" w:rsidP="00370D8E">
      <w:pPr>
        <w:numPr>
          <w:ilvl w:val="1"/>
          <w:numId w:val="1"/>
        </w:numPr>
        <w:spacing w:after="120"/>
        <w:rPr>
          <w:rFonts w:asciiTheme="minorHAnsi" w:hAnsiTheme="minorHAnsi"/>
          <w:bCs/>
          <w:snapToGrid w:val="0"/>
        </w:rPr>
      </w:pPr>
      <w:bookmarkStart w:id="14" w:name="_Hlk76382586"/>
      <w:r w:rsidRPr="00836F75">
        <w:rPr>
          <w:rFonts w:asciiTheme="minorHAnsi" w:hAnsiTheme="minorHAnsi"/>
          <w:bCs/>
          <w:snapToGrid w:val="0"/>
        </w:rPr>
        <w:t xml:space="preserve">The sponsor requested a hearing for this item. </w:t>
      </w:r>
      <w:r w:rsidR="00485D30">
        <w:rPr>
          <w:rFonts w:asciiTheme="minorHAnsi" w:hAnsiTheme="minorHAnsi"/>
          <w:bCs/>
          <w:snapToGrid w:val="0"/>
        </w:rPr>
        <w:t xml:space="preserve">The clinician noted that in the past there have been no effective treatments </w:t>
      </w:r>
      <w:r w:rsidR="004A4B43">
        <w:rPr>
          <w:rFonts w:asciiTheme="minorHAnsi" w:hAnsiTheme="minorHAnsi"/>
          <w:bCs/>
          <w:snapToGrid w:val="0"/>
        </w:rPr>
        <w:t xml:space="preserve">and </w:t>
      </w:r>
      <w:r w:rsidR="00B03510">
        <w:rPr>
          <w:rFonts w:asciiTheme="minorHAnsi" w:hAnsiTheme="minorHAnsi"/>
          <w:bCs/>
          <w:snapToGrid w:val="0"/>
        </w:rPr>
        <w:t>discussed</w:t>
      </w:r>
      <w:r w:rsidR="004A4B43">
        <w:rPr>
          <w:rFonts w:asciiTheme="minorHAnsi" w:hAnsiTheme="minorHAnsi"/>
          <w:bCs/>
          <w:snapToGrid w:val="0"/>
        </w:rPr>
        <w:t xml:space="preserve"> the limitations of available treatments</w:t>
      </w:r>
      <w:r w:rsidR="00074825">
        <w:rPr>
          <w:rFonts w:asciiTheme="minorHAnsi" w:hAnsiTheme="minorHAnsi"/>
          <w:bCs/>
          <w:snapToGrid w:val="0"/>
        </w:rPr>
        <w:t xml:space="preserve">. The clinician noted that </w:t>
      </w:r>
      <w:r w:rsidR="000218C2">
        <w:rPr>
          <w:rFonts w:asciiTheme="minorHAnsi" w:hAnsiTheme="minorHAnsi"/>
          <w:bCs/>
          <w:snapToGrid w:val="0"/>
        </w:rPr>
        <w:t>C3G was associated with poor outcomes, with deterioration often over a short period of time</w:t>
      </w:r>
      <w:r w:rsidR="00803464">
        <w:rPr>
          <w:rFonts w:asciiTheme="minorHAnsi" w:hAnsiTheme="minorHAnsi"/>
          <w:bCs/>
          <w:snapToGrid w:val="0"/>
        </w:rPr>
        <w:t>, and that the p</w:t>
      </w:r>
      <w:r w:rsidR="001A2640">
        <w:rPr>
          <w:rFonts w:asciiTheme="minorHAnsi" w:hAnsiTheme="minorHAnsi"/>
          <w:bCs/>
          <w:snapToGrid w:val="0"/>
        </w:rPr>
        <w:t xml:space="preserve">atients likely to progress quickly to ESKD are those with </w:t>
      </w:r>
      <w:r w:rsidR="00755DD5">
        <w:rPr>
          <w:rFonts w:asciiTheme="minorHAnsi" w:hAnsiTheme="minorHAnsi"/>
          <w:bCs/>
          <w:snapToGrid w:val="0"/>
        </w:rPr>
        <w:t xml:space="preserve">high levels of protein in </w:t>
      </w:r>
      <w:r w:rsidR="00803464">
        <w:rPr>
          <w:rFonts w:asciiTheme="minorHAnsi" w:hAnsiTheme="minorHAnsi"/>
          <w:bCs/>
          <w:snapToGrid w:val="0"/>
        </w:rPr>
        <w:t xml:space="preserve">their </w:t>
      </w:r>
      <w:r w:rsidR="00755DD5">
        <w:rPr>
          <w:rFonts w:asciiTheme="minorHAnsi" w:hAnsiTheme="minorHAnsi"/>
          <w:bCs/>
          <w:snapToGrid w:val="0"/>
        </w:rPr>
        <w:t xml:space="preserve">urine. </w:t>
      </w:r>
      <w:r w:rsidR="00B05E6E">
        <w:rPr>
          <w:rFonts w:asciiTheme="minorHAnsi" w:hAnsiTheme="minorHAnsi"/>
          <w:bCs/>
          <w:snapToGrid w:val="0"/>
        </w:rPr>
        <w:t>The clinician noted that i</w:t>
      </w:r>
      <w:r w:rsidR="00635734">
        <w:rPr>
          <w:rFonts w:asciiTheme="minorHAnsi" w:hAnsiTheme="minorHAnsi"/>
          <w:bCs/>
          <w:snapToGrid w:val="0"/>
        </w:rPr>
        <w:t>ptacopan</w:t>
      </w:r>
      <w:r w:rsidR="00B05E6E">
        <w:rPr>
          <w:rFonts w:asciiTheme="minorHAnsi" w:hAnsiTheme="minorHAnsi"/>
          <w:bCs/>
          <w:snapToGrid w:val="0"/>
        </w:rPr>
        <w:t xml:space="preserve"> is well-tolerated </w:t>
      </w:r>
      <w:r w:rsidR="00635734">
        <w:rPr>
          <w:rFonts w:asciiTheme="minorHAnsi" w:hAnsiTheme="minorHAnsi"/>
          <w:bCs/>
          <w:snapToGrid w:val="0"/>
        </w:rPr>
        <w:t>and clinicians are comfortable managing safety aspects as it is used in other indications.</w:t>
      </w:r>
    </w:p>
    <w:p w14:paraId="1B786137" w14:textId="472A5C5F" w:rsidR="008428E3" w:rsidRDefault="00CC30D0" w:rsidP="00370D8E">
      <w:pPr>
        <w:numPr>
          <w:ilvl w:val="1"/>
          <w:numId w:val="1"/>
        </w:numPr>
        <w:spacing w:after="120"/>
        <w:rPr>
          <w:rFonts w:asciiTheme="minorHAnsi" w:hAnsiTheme="minorHAnsi"/>
          <w:bCs/>
          <w:snapToGrid w:val="0"/>
        </w:rPr>
      </w:pPr>
      <w:r>
        <w:rPr>
          <w:rFonts w:asciiTheme="minorHAnsi" w:hAnsiTheme="minorHAnsi"/>
          <w:bCs/>
          <w:snapToGrid w:val="0"/>
        </w:rPr>
        <w:t xml:space="preserve">The clinician commented on the outcome of proteinuria in the trial, as </w:t>
      </w:r>
      <w:r w:rsidR="00F76182">
        <w:rPr>
          <w:rFonts w:asciiTheme="minorHAnsi" w:hAnsiTheme="minorHAnsi"/>
          <w:bCs/>
          <w:snapToGrid w:val="0"/>
        </w:rPr>
        <w:t xml:space="preserve">being </w:t>
      </w:r>
      <w:r>
        <w:rPr>
          <w:rFonts w:asciiTheme="minorHAnsi" w:hAnsiTheme="minorHAnsi"/>
          <w:bCs/>
          <w:snapToGrid w:val="0"/>
        </w:rPr>
        <w:t xml:space="preserve">a key </w:t>
      </w:r>
      <w:r w:rsidR="00D96F7B">
        <w:rPr>
          <w:rFonts w:asciiTheme="minorHAnsi" w:hAnsiTheme="minorHAnsi"/>
          <w:bCs/>
          <w:snapToGrid w:val="0"/>
        </w:rPr>
        <w:t xml:space="preserve">marker for management </w:t>
      </w:r>
      <w:r w:rsidR="00F76182">
        <w:rPr>
          <w:rFonts w:asciiTheme="minorHAnsi" w:hAnsiTheme="minorHAnsi"/>
          <w:bCs/>
          <w:snapToGrid w:val="0"/>
        </w:rPr>
        <w:t xml:space="preserve">in kidney disease </w:t>
      </w:r>
      <w:r w:rsidR="00D96F7B">
        <w:rPr>
          <w:rFonts w:asciiTheme="minorHAnsi" w:hAnsiTheme="minorHAnsi"/>
          <w:bCs/>
          <w:snapToGrid w:val="0"/>
        </w:rPr>
        <w:t xml:space="preserve">and for determining who is likely to experience more rapid loss of kidney function. </w:t>
      </w:r>
      <w:r w:rsidR="00E25A83">
        <w:rPr>
          <w:rFonts w:asciiTheme="minorHAnsi" w:hAnsiTheme="minorHAnsi"/>
          <w:bCs/>
          <w:snapToGrid w:val="0"/>
        </w:rPr>
        <w:t xml:space="preserve">The clinician noted the potential impact of iptacopan on slowing the rate of progression to </w:t>
      </w:r>
      <w:r w:rsidR="00F76182">
        <w:rPr>
          <w:rFonts w:asciiTheme="minorHAnsi" w:hAnsiTheme="minorHAnsi"/>
          <w:bCs/>
          <w:snapToGrid w:val="0"/>
        </w:rPr>
        <w:t>ESKD</w:t>
      </w:r>
      <w:r w:rsidR="00903A52">
        <w:rPr>
          <w:rFonts w:asciiTheme="minorHAnsi" w:hAnsiTheme="minorHAnsi"/>
          <w:bCs/>
          <w:snapToGrid w:val="0"/>
        </w:rPr>
        <w:t xml:space="preserve"> and noted that in </w:t>
      </w:r>
      <w:r w:rsidR="00D96F7B">
        <w:rPr>
          <w:rFonts w:asciiTheme="minorHAnsi" w:hAnsiTheme="minorHAnsi"/>
          <w:bCs/>
          <w:snapToGrid w:val="0"/>
        </w:rPr>
        <w:t>other indications</w:t>
      </w:r>
      <w:r w:rsidR="00266D77">
        <w:rPr>
          <w:rFonts w:asciiTheme="minorHAnsi" w:hAnsiTheme="minorHAnsi"/>
          <w:bCs/>
          <w:snapToGrid w:val="0"/>
        </w:rPr>
        <w:t>, like I</w:t>
      </w:r>
      <w:r w:rsidR="007A0BFB">
        <w:rPr>
          <w:rFonts w:asciiTheme="minorHAnsi" w:hAnsiTheme="minorHAnsi"/>
          <w:bCs/>
          <w:snapToGrid w:val="0"/>
        </w:rPr>
        <w:t>g</w:t>
      </w:r>
      <w:r w:rsidR="00266D77">
        <w:rPr>
          <w:rFonts w:asciiTheme="minorHAnsi" w:hAnsiTheme="minorHAnsi"/>
          <w:bCs/>
          <w:snapToGrid w:val="0"/>
        </w:rPr>
        <w:t>A nephropathy</w:t>
      </w:r>
      <w:r w:rsidR="001604E4">
        <w:rPr>
          <w:rFonts w:asciiTheme="minorHAnsi" w:hAnsiTheme="minorHAnsi"/>
          <w:bCs/>
          <w:snapToGrid w:val="0"/>
        </w:rPr>
        <w:t xml:space="preserve">, reducing </w:t>
      </w:r>
      <w:r w:rsidR="00BA2B8D">
        <w:rPr>
          <w:rFonts w:asciiTheme="minorHAnsi" w:hAnsiTheme="minorHAnsi"/>
          <w:bCs/>
          <w:snapToGrid w:val="0"/>
        </w:rPr>
        <w:t>proteinuria</w:t>
      </w:r>
      <w:r w:rsidR="001604E4">
        <w:rPr>
          <w:rFonts w:asciiTheme="minorHAnsi" w:hAnsiTheme="minorHAnsi"/>
          <w:bCs/>
          <w:snapToGrid w:val="0"/>
        </w:rPr>
        <w:t xml:space="preserve"> results in better </w:t>
      </w:r>
      <w:r w:rsidR="00BA2B8D">
        <w:rPr>
          <w:rFonts w:asciiTheme="minorHAnsi" w:hAnsiTheme="minorHAnsi"/>
          <w:bCs/>
          <w:snapToGrid w:val="0"/>
        </w:rPr>
        <w:t>outcomes</w:t>
      </w:r>
      <w:r w:rsidR="001224DB">
        <w:rPr>
          <w:rFonts w:asciiTheme="minorHAnsi" w:hAnsiTheme="minorHAnsi"/>
          <w:bCs/>
          <w:snapToGrid w:val="0"/>
        </w:rPr>
        <w:t xml:space="preserve"> </w:t>
      </w:r>
      <w:r w:rsidR="007136BC">
        <w:rPr>
          <w:rFonts w:asciiTheme="minorHAnsi" w:hAnsiTheme="minorHAnsi"/>
          <w:bCs/>
          <w:snapToGrid w:val="0"/>
        </w:rPr>
        <w:t xml:space="preserve">, supporting its use as a </w:t>
      </w:r>
      <w:r w:rsidR="00EB643A">
        <w:rPr>
          <w:rFonts w:asciiTheme="minorHAnsi" w:hAnsiTheme="minorHAnsi"/>
          <w:bCs/>
          <w:snapToGrid w:val="0"/>
        </w:rPr>
        <w:t>surrogate endpoint</w:t>
      </w:r>
      <w:r w:rsidR="00D96F7B">
        <w:rPr>
          <w:rFonts w:asciiTheme="minorHAnsi" w:hAnsiTheme="minorHAnsi"/>
          <w:bCs/>
          <w:snapToGrid w:val="0"/>
        </w:rPr>
        <w:t xml:space="preserve">. </w:t>
      </w:r>
      <w:r w:rsidR="00EB643A">
        <w:rPr>
          <w:rFonts w:asciiTheme="minorHAnsi" w:hAnsiTheme="minorHAnsi"/>
          <w:bCs/>
          <w:snapToGrid w:val="0"/>
        </w:rPr>
        <w:t xml:space="preserve">The clinician noted that younger patients </w:t>
      </w:r>
      <w:proofErr w:type="gramStart"/>
      <w:r w:rsidR="007B1DBF">
        <w:rPr>
          <w:rFonts w:asciiTheme="minorHAnsi" w:hAnsiTheme="minorHAnsi"/>
          <w:bCs/>
          <w:snapToGrid w:val="0"/>
        </w:rPr>
        <w:t>h</w:t>
      </w:r>
      <w:r w:rsidR="00CC655B">
        <w:rPr>
          <w:rFonts w:asciiTheme="minorHAnsi" w:hAnsiTheme="minorHAnsi"/>
          <w:bCs/>
          <w:snapToGrid w:val="0"/>
        </w:rPr>
        <w:t>ave to</w:t>
      </w:r>
      <w:proofErr w:type="gramEnd"/>
      <w:r w:rsidR="00CC655B">
        <w:rPr>
          <w:rFonts w:asciiTheme="minorHAnsi" w:hAnsiTheme="minorHAnsi"/>
          <w:bCs/>
          <w:snapToGrid w:val="0"/>
        </w:rPr>
        <w:t xml:space="preserve"> lose a lot of kidney </w:t>
      </w:r>
      <w:r w:rsidR="00B03510">
        <w:rPr>
          <w:rFonts w:asciiTheme="minorHAnsi" w:hAnsiTheme="minorHAnsi"/>
          <w:bCs/>
          <w:snapToGrid w:val="0"/>
        </w:rPr>
        <w:t>function</w:t>
      </w:r>
      <w:r w:rsidR="00CC655B">
        <w:rPr>
          <w:rFonts w:asciiTheme="minorHAnsi" w:hAnsiTheme="minorHAnsi"/>
          <w:bCs/>
          <w:snapToGrid w:val="0"/>
        </w:rPr>
        <w:t xml:space="preserve"> for there to be a </w:t>
      </w:r>
      <w:r w:rsidR="007B1DBF">
        <w:rPr>
          <w:rFonts w:asciiTheme="minorHAnsi" w:hAnsiTheme="minorHAnsi"/>
          <w:bCs/>
          <w:snapToGrid w:val="0"/>
        </w:rPr>
        <w:t xml:space="preserve">demonstrable </w:t>
      </w:r>
      <w:r w:rsidR="00CC655B">
        <w:rPr>
          <w:rFonts w:asciiTheme="minorHAnsi" w:hAnsiTheme="minorHAnsi"/>
          <w:bCs/>
          <w:snapToGrid w:val="0"/>
        </w:rPr>
        <w:t xml:space="preserve">change in eGFR </w:t>
      </w:r>
      <w:r w:rsidR="00CC655B">
        <w:rPr>
          <w:rFonts w:asciiTheme="minorHAnsi" w:hAnsiTheme="minorHAnsi"/>
          <w:bCs/>
          <w:snapToGrid w:val="0"/>
        </w:rPr>
        <w:lastRenderedPageBreak/>
        <w:t xml:space="preserve">though </w:t>
      </w:r>
      <w:r w:rsidR="00B1394E">
        <w:rPr>
          <w:rFonts w:asciiTheme="minorHAnsi" w:hAnsiTheme="minorHAnsi"/>
          <w:bCs/>
          <w:snapToGrid w:val="0"/>
        </w:rPr>
        <w:t>histological changes are occurring</w:t>
      </w:r>
      <w:r w:rsidR="00E0574C">
        <w:rPr>
          <w:rFonts w:asciiTheme="minorHAnsi" w:hAnsiTheme="minorHAnsi"/>
          <w:bCs/>
          <w:snapToGrid w:val="0"/>
        </w:rPr>
        <w:t xml:space="preserve"> in terms of scarring</w:t>
      </w:r>
      <w:r w:rsidR="008428E3">
        <w:rPr>
          <w:rFonts w:asciiTheme="minorHAnsi" w:hAnsiTheme="minorHAnsi"/>
          <w:bCs/>
          <w:snapToGrid w:val="0"/>
        </w:rPr>
        <w:t>,</w:t>
      </w:r>
      <w:r w:rsidR="00245CEA">
        <w:rPr>
          <w:rFonts w:asciiTheme="minorHAnsi" w:hAnsiTheme="minorHAnsi"/>
          <w:bCs/>
          <w:snapToGrid w:val="0"/>
        </w:rPr>
        <w:t xml:space="preserve"> and predictors of scarring include proteinuria</w:t>
      </w:r>
      <w:r w:rsidR="00B1394E">
        <w:rPr>
          <w:rFonts w:asciiTheme="minorHAnsi" w:hAnsiTheme="minorHAnsi"/>
          <w:bCs/>
          <w:snapToGrid w:val="0"/>
        </w:rPr>
        <w:t xml:space="preserve">. </w:t>
      </w:r>
    </w:p>
    <w:p w14:paraId="43C8BBBA" w14:textId="1E0E0A65" w:rsidR="00411532" w:rsidRDefault="00D1311F" w:rsidP="00370D8E">
      <w:pPr>
        <w:numPr>
          <w:ilvl w:val="1"/>
          <w:numId w:val="1"/>
        </w:numPr>
        <w:spacing w:after="120"/>
        <w:rPr>
          <w:rFonts w:asciiTheme="minorHAnsi" w:hAnsiTheme="minorHAnsi"/>
          <w:bCs/>
          <w:snapToGrid w:val="0"/>
        </w:rPr>
      </w:pPr>
      <w:r>
        <w:rPr>
          <w:rFonts w:asciiTheme="minorHAnsi" w:hAnsiTheme="minorHAnsi"/>
          <w:bCs/>
          <w:snapToGrid w:val="0"/>
        </w:rPr>
        <w:t>The clinician noted that patients who receive transplants often recur and sometimes are not considered for another transplant and so remain on dialysis</w:t>
      </w:r>
      <w:r w:rsidR="00C07C27">
        <w:rPr>
          <w:rFonts w:asciiTheme="minorHAnsi" w:hAnsiTheme="minorHAnsi"/>
          <w:bCs/>
          <w:snapToGrid w:val="0"/>
        </w:rPr>
        <w:t xml:space="preserve">. The clinician noted that </w:t>
      </w:r>
      <w:r>
        <w:rPr>
          <w:rFonts w:asciiTheme="minorHAnsi" w:hAnsiTheme="minorHAnsi"/>
          <w:bCs/>
          <w:snapToGrid w:val="0"/>
        </w:rPr>
        <w:t>the hope that access to therapy can change the outcome for patients</w:t>
      </w:r>
      <w:r w:rsidR="00C07C27">
        <w:rPr>
          <w:rFonts w:asciiTheme="minorHAnsi" w:hAnsiTheme="minorHAnsi"/>
          <w:bCs/>
          <w:snapToGrid w:val="0"/>
        </w:rPr>
        <w:t xml:space="preserve"> who receive transplants</w:t>
      </w:r>
      <w:r w:rsidR="00A45286">
        <w:rPr>
          <w:rFonts w:asciiTheme="minorHAnsi" w:hAnsiTheme="minorHAnsi"/>
          <w:bCs/>
          <w:snapToGrid w:val="0"/>
        </w:rPr>
        <w:t xml:space="preserve"> and would otherwise recur</w:t>
      </w:r>
      <w:r>
        <w:rPr>
          <w:rFonts w:asciiTheme="minorHAnsi" w:hAnsiTheme="minorHAnsi"/>
          <w:bCs/>
          <w:snapToGrid w:val="0"/>
        </w:rPr>
        <w:t xml:space="preserve">. </w:t>
      </w:r>
      <w:r w:rsidR="00666C93">
        <w:rPr>
          <w:rFonts w:asciiTheme="minorHAnsi" w:hAnsiTheme="minorHAnsi"/>
          <w:bCs/>
          <w:snapToGrid w:val="0"/>
        </w:rPr>
        <w:t>The clinician n</w:t>
      </w:r>
      <w:r w:rsidR="00B03510">
        <w:rPr>
          <w:rFonts w:asciiTheme="minorHAnsi" w:hAnsiTheme="minorHAnsi"/>
          <w:bCs/>
          <w:snapToGrid w:val="0"/>
        </w:rPr>
        <w:t>oted</w:t>
      </w:r>
      <w:r w:rsidR="00666C93">
        <w:rPr>
          <w:rFonts w:asciiTheme="minorHAnsi" w:hAnsiTheme="minorHAnsi"/>
          <w:bCs/>
          <w:snapToGrid w:val="0"/>
        </w:rPr>
        <w:t xml:space="preserve"> there were</w:t>
      </w:r>
      <w:r w:rsidR="00B03510">
        <w:rPr>
          <w:rFonts w:asciiTheme="minorHAnsi" w:hAnsiTheme="minorHAnsi"/>
          <w:bCs/>
          <w:snapToGrid w:val="0"/>
        </w:rPr>
        <w:t xml:space="preserve"> small numbers in patients with kidney transplant </w:t>
      </w:r>
      <w:r w:rsidR="00666C93">
        <w:rPr>
          <w:rFonts w:asciiTheme="minorHAnsi" w:hAnsiTheme="minorHAnsi"/>
          <w:bCs/>
          <w:snapToGrid w:val="0"/>
        </w:rPr>
        <w:t xml:space="preserve">in the clinical trials </w:t>
      </w:r>
      <w:r w:rsidR="00B03510">
        <w:rPr>
          <w:rFonts w:asciiTheme="minorHAnsi" w:hAnsiTheme="minorHAnsi"/>
          <w:bCs/>
          <w:snapToGrid w:val="0"/>
        </w:rPr>
        <w:t>but consider</w:t>
      </w:r>
      <w:r>
        <w:rPr>
          <w:rFonts w:asciiTheme="minorHAnsi" w:hAnsiTheme="minorHAnsi"/>
          <w:bCs/>
          <w:snapToGrid w:val="0"/>
        </w:rPr>
        <w:t>ed that they are likely to benefit from iptacopan</w:t>
      </w:r>
      <w:r w:rsidR="00B03510">
        <w:rPr>
          <w:rFonts w:asciiTheme="minorHAnsi" w:hAnsiTheme="minorHAnsi"/>
          <w:bCs/>
          <w:snapToGrid w:val="0"/>
        </w:rPr>
        <w:t>.</w:t>
      </w:r>
      <w:r w:rsidR="006B75F2">
        <w:rPr>
          <w:rFonts w:asciiTheme="minorHAnsi" w:hAnsiTheme="minorHAnsi"/>
          <w:bCs/>
          <w:snapToGrid w:val="0"/>
        </w:rPr>
        <w:t xml:space="preserve"> </w:t>
      </w:r>
    </w:p>
    <w:p w14:paraId="1B24DC4F" w14:textId="164E15FC" w:rsidR="00BA2B8D" w:rsidRPr="00836F75" w:rsidRDefault="00BA2B8D" w:rsidP="00370D8E">
      <w:pPr>
        <w:numPr>
          <w:ilvl w:val="1"/>
          <w:numId w:val="1"/>
        </w:numPr>
        <w:spacing w:after="120"/>
        <w:rPr>
          <w:rFonts w:asciiTheme="minorHAnsi" w:hAnsiTheme="minorHAnsi"/>
          <w:bCs/>
          <w:snapToGrid w:val="0"/>
        </w:rPr>
      </w:pPr>
      <w:r>
        <w:rPr>
          <w:rFonts w:asciiTheme="minorHAnsi" w:hAnsiTheme="minorHAnsi"/>
          <w:bCs/>
          <w:snapToGrid w:val="0"/>
        </w:rPr>
        <w:t>The PBA</w:t>
      </w:r>
      <w:r w:rsidR="00B42BFD">
        <w:rPr>
          <w:rFonts w:asciiTheme="minorHAnsi" w:hAnsiTheme="minorHAnsi"/>
          <w:bCs/>
          <w:snapToGrid w:val="0"/>
        </w:rPr>
        <w:t>C</w:t>
      </w:r>
      <w:r>
        <w:rPr>
          <w:rFonts w:asciiTheme="minorHAnsi" w:hAnsiTheme="minorHAnsi"/>
          <w:bCs/>
          <w:snapToGrid w:val="0"/>
        </w:rPr>
        <w:t xml:space="preserve"> </w:t>
      </w:r>
      <w:r w:rsidR="00F572CB">
        <w:rPr>
          <w:rFonts w:asciiTheme="minorHAnsi" w:hAnsiTheme="minorHAnsi"/>
          <w:bCs/>
          <w:snapToGrid w:val="0"/>
        </w:rPr>
        <w:t>consider</w:t>
      </w:r>
      <w:r>
        <w:rPr>
          <w:rFonts w:asciiTheme="minorHAnsi" w:hAnsiTheme="minorHAnsi"/>
          <w:bCs/>
          <w:snapToGrid w:val="0"/>
        </w:rPr>
        <w:t xml:space="preserve">ed the clinician statements were </w:t>
      </w:r>
      <w:r w:rsidR="00B42BFD">
        <w:rPr>
          <w:rFonts w:asciiTheme="minorHAnsi" w:hAnsiTheme="minorHAnsi"/>
          <w:bCs/>
          <w:snapToGrid w:val="0"/>
        </w:rPr>
        <w:t>informative</w:t>
      </w:r>
      <w:r w:rsidR="00296FE0">
        <w:rPr>
          <w:rFonts w:asciiTheme="minorHAnsi" w:hAnsiTheme="minorHAnsi"/>
          <w:bCs/>
          <w:snapToGrid w:val="0"/>
        </w:rPr>
        <w:t xml:space="preserve">, however, </w:t>
      </w:r>
      <w:r w:rsidR="003C03E6">
        <w:rPr>
          <w:rFonts w:asciiTheme="minorHAnsi" w:hAnsiTheme="minorHAnsi"/>
          <w:bCs/>
          <w:snapToGrid w:val="0"/>
        </w:rPr>
        <w:t xml:space="preserve">the Committee did not </w:t>
      </w:r>
      <w:r w:rsidR="00B42BFD">
        <w:rPr>
          <w:rFonts w:asciiTheme="minorHAnsi" w:hAnsiTheme="minorHAnsi"/>
          <w:bCs/>
          <w:snapToGrid w:val="0"/>
        </w:rPr>
        <w:t>consider the submission had ad</w:t>
      </w:r>
      <w:r w:rsidR="0058787C">
        <w:rPr>
          <w:rFonts w:asciiTheme="minorHAnsi" w:hAnsiTheme="minorHAnsi"/>
          <w:bCs/>
          <w:snapToGrid w:val="0"/>
        </w:rPr>
        <w:t>equately supported</w:t>
      </w:r>
      <w:r w:rsidR="003C03E6">
        <w:rPr>
          <w:rFonts w:asciiTheme="minorHAnsi" w:hAnsiTheme="minorHAnsi"/>
          <w:bCs/>
          <w:snapToGrid w:val="0"/>
        </w:rPr>
        <w:t xml:space="preserve"> </w:t>
      </w:r>
      <w:r w:rsidR="009A2B08">
        <w:rPr>
          <w:rFonts w:asciiTheme="minorHAnsi" w:hAnsiTheme="minorHAnsi"/>
          <w:bCs/>
          <w:snapToGrid w:val="0"/>
        </w:rPr>
        <w:t>red</w:t>
      </w:r>
      <w:r w:rsidR="000213CC">
        <w:rPr>
          <w:rFonts w:asciiTheme="minorHAnsi" w:hAnsiTheme="minorHAnsi"/>
          <w:bCs/>
          <w:snapToGrid w:val="0"/>
        </w:rPr>
        <w:t>uction in</w:t>
      </w:r>
      <w:r w:rsidR="008175CF">
        <w:rPr>
          <w:rFonts w:asciiTheme="minorHAnsi" w:hAnsiTheme="minorHAnsi"/>
          <w:bCs/>
          <w:snapToGrid w:val="0"/>
        </w:rPr>
        <w:t xml:space="preserve"> proteinuria </w:t>
      </w:r>
      <w:r w:rsidR="000213CC">
        <w:rPr>
          <w:rFonts w:asciiTheme="minorHAnsi" w:hAnsiTheme="minorHAnsi"/>
          <w:bCs/>
          <w:snapToGrid w:val="0"/>
        </w:rPr>
        <w:t>as a</w:t>
      </w:r>
      <w:r w:rsidR="008175CF">
        <w:rPr>
          <w:rFonts w:asciiTheme="minorHAnsi" w:hAnsiTheme="minorHAnsi"/>
          <w:bCs/>
          <w:snapToGrid w:val="0"/>
        </w:rPr>
        <w:t xml:space="preserve"> surrogate</w:t>
      </w:r>
      <w:r w:rsidR="0008104D">
        <w:rPr>
          <w:rFonts w:asciiTheme="minorHAnsi" w:hAnsiTheme="minorHAnsi"/>
          <w:bCs/>
          <w:snapToGrid w:val="0"/>
        </w:rPr>
        <w:t xml:space="preserve"> marker of l</w:t>
      </w:r>
      <w:r w:rsidR="000213CC">
        <w:rPr>
          <w:rFonts w:asciiTheme="minorHAnsi" w:hAnsiTheme="minorHAnsi"/>
          <w:bCs/>
          <w:snapToGrid w:val="0"/>
        </w:rPr>
        <w:t>o</w:t>
      </w:r>
      <w:r w:rsidR="0008104D">
        <w:rPr>
          <w:rFonts w:asciiTheme="minorHAnsi" w:hAnsiTheme="minorHAnsi"/>
          <w:bCs/>
          <w:snapToGrid w:val="0"/>
        </w:rPr>
        <w:t>ng</w:t>
      </w:r>
      <w:r w:rsidR="000213CC">
        <w:rPr>
          <w:rFonts w:asciiTheme="minorHAnsi" w:hAnsiTheme="minorHAnsi"/>
          <w:bCs/>
          <w:snapToGrid w:val="0"/>
        </w:rPr>
        <w:t>er</w:t>
      </w:r>
      <w:r w:rsidR="0008104D">
        <w:rPr>
          <w:rFonts w:asciiTheme="minorHAnsi" w:hAnsiTheme="minorHAnsi"/>
          <w:bCs/>
          <w:snapToGrid w:val="0"/>
        </w:rPr>
        <w:t>-term</w:t>
      </w:r>
      <w:r w:rsidR="00B42BFD">
        <w:rPr>
          <w:rFonts w:asciiTheme="minorHAnsi" w:hAnsiTheme="minorHAnsi"/>
          <w:bCs/>
          <w:snapToGrid w:val="0"/>
        </w:rPr>
        <w:t xml:space="preserve"> kidney function</w:t>
      </w:r>
      <w:r w:rsidR="00640F7F">
        <w:rPr>
          <w:rFonts w:asciiTheme="minorHAnsi" w:hAnsiTheme="minorHAnsi"/>
          <w:bCs/>
          <w:snapToGrid w:val="0"/>
        </w:rPr>
        <w:t>.</w:t>
      </w:r>
    </w:p>
    <w:bookmarkEnd w:id="14"/>
    <w:p w14:paraId="74031CA3" w14:textId="77777777" w:rsidR="00411532" w:rsidRPr="006E1229" w:rsidRDefault="00411532" w:rsidP="00370D8E">
      <w:pPr>
        <w:pStyle w:val="COMESSubsectionheading"/>
      </w:pPr>
      <w:r w:rsidRPr="006E1229">
        <w:t>Consumer comments</w:t>
      </w:r>
    </w:p>
    <w:p w14:paraId="03CF7D60" w14:textId="021F7E03" w:rsidR="001F1F26" w:rsidRPr="00666739" w:rsidRDefault="00CD51FC" w:rsidP="00370D8E">
      <w:pPr>
        <w:pStyle w:val="COMESnumberedpara"/>
        <w:rPr>
          <w:snapToGrid w:val="0"/>
        </w:rPr>
      </w:pPr>
      <w:bookmarkStart w:id="15" w:name="_Hlk97141415"/>
      <w:bookmarkStart w:id="16" w:name="_Hlk76382618"/>
      <w:r w:rsidRPr="00666739">
        <w:rPr>
          <w:snapToGrid w:val="0"/>
        </w:rPr>
        <w:t>The PBAC noted and welcomed the input from individuals (</w:t>
      </w:r>
      <w:r w:rsidR="00113037" w:rsidRPr="00666739">
        <w:rPr>
          <w:snapToGrid w:val="0"/>
        </w:rPr>
        <w:t>2</w:t>
      </w:r>
      <w:r w:rsidRPr="00666739">
        <w:rPr>
          <w:snapToGrid w:val="0"/>
        </w:rPr>
        <w:t>), health care professionals (1</w:t>
      </w:r>
      <w:r w:rsidR="00113037" w:rsidRPr="00666739">
        <w:rPr>
          <w:snapToGrid w:val="0"/>
        </w:rPr>
        <w:t>4</w:t>
      </w:r>
      <w:r w:rsidRPr="00666739">
        <w:rPr>
          <w:snapToGrid w:val="0"/>
        </w:rPr>
        <w:t>) and organisations (</w:t>
      </w:r>
      <w:r w:rsidR="00CD1EB1" w:rsidRPr="00666739">
        <w:rPr>
          <w:snapToGrid w:val="0"/>
        </w:rPr>
        <w:t>4</w:t>
      </w:r>
      <w:r w:rsidRPr="00666739">
        <w:rPr>
          <w:snapToGrid w:val="0"/>
        </w:rPr>
        <w:t xml:space="preserve">) </w:t>
      </w:r>
      <w:bookmarkStart w:id="17" w:name="_Hlk215818676"/>
      <w:r w:rsidRPr="00666739">
        <w:rPr>
          <w:snapToGrid w:val="0"/>
        </w:rPr>
        <w:t>via the Office of Health Technology Assessment Consultation Hub</w:t>
      </w:r>
      <w:bookmarkEnd w:id="17"/>
      <w:r w:rsidRPr="00666739">
        <w:rPr>
          <w:snapToGrid w:val="0"/>
        </w:rPr>
        <w:t>.</w:t>
      </w:r>
      <w:r w:rsidR="006B75F2">
        <w:rPr>
          <w:snapToGrid w:val="0"/>
        </w:rPr>
        <w:t xml:space="preserve"> </w:t>
      </w:r>
      <w:r w:rsidRPr="00666739">
        <w:rPr>
          <w:snapToGrid w:val="0"/>
        </w:rPr>
        <w:t xml:space="preserve">The inputs </w:t>
      </w:r>
      <w:r w:rsidR="005273F0" w:rsidRPr="00666739">
        <w:rPr>
          <w:snapToGrid w:val="0"/>
        </w:rPr>
        <w:t xml:space="preserve">from health professionals </w:t>
      </w:r>
      <w:r w:rsidRPr="00666739">
        <w:rPr>
          <w:snapToGrid w:val="0"/>
        </w:rPr>
        <w:t xml:space="preserve">described </w:t>
      </w:r>
      <w:r w:rsidR="005273F0" w:rsidRPr="00666739">
        <w:rPr>
          <w:snapToGrid w:val="0"/>
        </w:rPr>
        <w:t xml:space="preserve">C3G as </w:t>
      </w:r>
      <w:r w:rsidR="00AA5A06" w:rsidRPr="00666739">
        <w:rPr>
          <w:snapToGrid w:val="0"/>
        </w:rPr>
        <w:t xml:space="preserve">rare and complex to diagnose, with most individuals (50%) experiencing progression to </w:t>
      </w:r>
      <w:r w:rsidR="00860D79">
        <w:rPr>
          <w:snapToGrid w:val="0"/>
        </w:rPr>
        <w:t>ESKF</w:t>
      </w:r>
      <w:r w:rsidR="007D4B61" w:rsidRPr="00666739">
        <w:rPr>
          <w:snapToGrid w:val="0"/>
        </w:rPr>
        <w:t xml:space="preserve"> within 10 years of diagnosis, and high rates of recurrence </w:t>
      </w:r>
      <w:r w:rsidR="00A60F61" w:rsidRPr="00666739">
        <w:rPr>
          <w:snapToGrid w:val="0"/>
        </w:rPr>
        <w:t xml:space="preserve">after kidney transplant </w:t>
      </w:r>
      <w:r w:rsidR="007D4B61" w:rsidRPr="00666739">
        <w:rPr>
          <w:snapToGrid w:val="0"/>
        </w:rPr>
        <w:t xml:space="preserve">(60-90%). </w:t>
      </w:r>
      <w:r w:rsidR="00C12869" w:rsidRPr="00666739">
        <w:rPr>
          <w:rFonts w:eastAsia="Times New Roman" w:cs="Arial"/>
          <w:bCs/>
          <w:snapToGrid w:val="0"/>
          <w:szCs w:val="24"/>
        </w:rPr>
        <w:t xml:space="preserve">Input highlighted </w:t>
      </w:r>
      <w:r w:rsidR="00105CAB">
        <w:rPr>
          <w:rFonts w:eastAsia="Times New Roman" w:cs="Arial"/>
          <w:bCs/>
          <w:snapToGrid w:val="0"/>
          <w:szCs w:val="24"/>
        </w:rPr>
        <w:t>the</w:t>
      </w:r>
      <w:r w:rsidR="00C12869" w:rsidRPr="00666739">
        <w:rPr>
          <w:rFonts w:eastAsia="Times New Roman" w:cs="Arial"/>
          <w:bCs/>
          <w:snapToGrid w:val="0"/>
          <w:szCs w:val="24"/>
        </w:rPr>
        <w:t xml:space="preserve"> unmet need for effective therapies to treat the underlying pathophysiology</w:t>
      </w:r>
      <w:r w:rsidR="00F81153" w:rsidRPr="00666739">
        <w:rPr>
          <w:rFonts w:eastAsia="Times New Roman" w:cs="Arial"/>
          <w:bCs/>
          <w:snapToGrid w:val="0"/>
          <w:szCs w:val="24"/>
        </w:rPr>
        <w:t xml:space="preserve"> </w:t>
      </w:r>
      <w:r w:rsidR="00105CAB">
        <w:rPr>
          <w:rFonts w:eastAsia="Times New Roman" w:cs="Arial"/>
          <w:bCs/>
          <w:snapToGrid w:val="0"/>
          <w:szCs w:val="24"/>
        </w:rPr>
        <w:t xml:space="preserve">of C3G </w:t>
      </w:r>
      <w:r w:rsidR="00F81153" w:rsidRPr="00666739">
        <w:rPr>
          <w:rFonts w:eastAsia="Times New Roman" w:cs="Arial"/>
          <w:bCs/>
          <w:snapToGrid w:val="0"/>
          <w:szCs w:val="24"/>
        </w:rPr>
        <w:t xml:space="preserve">and described iptacopan’s </w:t>
      </w:r>
      <w:r w:rsidR="00A513E0">
        <w:rPr>
          <w:rFonts w:eastAsia="Times New Roman" w:cs="Arial"/>
          <w:bCs/>
          <w:snapToGrid w:val="0"/>
          <w:szCs w:val="24"/>
        </w:rPr>
        <w:t xml:space="preserve">benefits as: </w:t>
      </w:r>
      <w:r w:rsidR="00F81153" w:rsidRPr="00666739">
        <w:rPr>
          <w:rFonts w:eastAsia="Times New Roman" w:cs="Arial"/>
          <w:bCs/>
          <w:snapToGrid w:val="0"/>
          <w:szCs w:val="24"/>
        </w:rPr>
        <w:t>potential increased effectiveness compared to current treatments; reduced immunosuppressive side-effects; reduced morbidity and excess mortality associated with dialysis; reduced healthcare costs associated with dialysis; reduced</w:t>
      </w:r>
      <w:r w:rsidR="00B56D54" w:rsidRPr="00666739">
        <w:rPr>
          <w:rFonts w:eastAsia="Times New Roman" w:cs="Arial"/>
          <w:bCs/>
          <w:snapToGrid w:val="0"/>
          <w:szCs w:val="24"/>
        </w:rPr>
        <w:t xml:space="preserve"> </w:t>
      </w:r>
      <w:r w:rsidR="00F81153" w:rsidRPr="00666739">
        <w:rPr>
          <w:rFonts w:eastAsia="Times New Roman" w:cs="Arial"/>
          <w:bCs/>
          <w:snapToGrid w:val="0"/>
          <w:szCs w:val="24"/>
        </w:rPr>
        <w:t>demand for donor organs for transplant; and extending transplant survival in patients with recurrent C3G.</w:t>
      </w:r>
      <w:r w:rsidR="00C12869" w:rsidRPr="00666739">
        <w:rPr>
          <w:rFonts w:eastAsia="Times New Roman" w:cs="Arial"/>
          <w:bCs/>
          <w:snapToGrid w:val="0"/>
          <w:szCs w:val="24"/>
        </w:rPr>
        <w:t xml:space="preserve"> </w:t>
      </w:r>
      <w:r w:rsidR="009054A1" w:rsidRPr="00666739">
        <w:rPr>
          <w:rFonts w:eastAsia="Times New Roman" w:cs="Arial"/>
          <w:bCs/>
          <w:snapToGrid w:val="0"/>
          <w:szCs w:val="24"/>
        </w:rPr>
        <w:t xml:space="preserve">Input </w:t>
      </w:r>
      <w:r w:rsidR="008A2BDC" w:rsidRPr="00666739">
        <w:rPr>
          <w:rFonts w:eastAsia="Times New Roman" w:cs="Arial"/>
          <w:bCs/>
          <w:snapToGrid w:val="0"/>
          <w:szCs w:val="24"/>
        </w:rPr>
        <w:t>noted</w:t>
      </w:r>
      <w:r w:rsidR="009054A1" w:rsidRPr="00666739">
        <w:rPr>
          <w:rFonts w:eastAsia="Times New Roman" w:cs="Arial"/>
          <w:bCs/>
          <w:snapToGrid w:val="0"/>
          <w:szCs w:val="24"/>
        </w:rPr>
        <w:t xml:space="preserve"> clinical trial evidence suggests iptacopan is well tolerated, </w:t>
      </w:r>
      <w:r w:rsidR="006F2954">
        <w:rPr>
          <w:rFonts w:eastAsia="Times New Roman" w:cs="Arial"/>
          <w:bCs/>
          <w:snapToGrid w:val="0"/>
          <w:szCs w:val="24"/>
        </w:rPr>
        <w:t xml:space="preserve">noting the </w:t>
      </w:r>
      <w:r w:rsidR="009054A1" w:rsidRPr="00666739">
        <w:rPr>
          <w:rFonts w:eastAsia="Times New Roman" w:cs="Arial"/>
          <w:bCs/>
          <w:snapToGrid w:val="0"/>
          <w:szCs w:val="24"/>
        </w:rPr>
        <w:t>need to manage increased risk of infection</w:t>
      </w:r>
      <w:r w:rsidR="008A2BDC" w:rsidRPr="00666739">
        <w:rPr>
          <w:rFonts w:eastAsia="Times New Roman" w:cs="Arial"/>
          <w:bCs/>
          <w:snapToGrid w:val="0"/>
          <w:szCs w:val="24"/>
        </w:rPr>
        <w:t xml:space="preserve"> but</w:t>
      </w:r>
      <w:r w:rsidR="009054A1" w:rsidRPr="00666739">
        <w:rPr>
          <w:rFonts w:eastAsia="Times New Roman" w:cs="Arial"/>
          <w:bCs/>
          <w:snapToGrid w:val="0"/>
          <w:szCs w:val="24"/>
        </w:rPr>
        <w:t xml:space="preserve"> </w:t>
      </w:r>
      <w:r w:rsidR="006F2954">
        <w:rPr>
          <w:rFonts w:eastAsia="Times New Roman" w:cs="Arial"/>
          <w:bCs/>
          <w:snapToGrid w:val="0"/>
          <w:szCs w:val="24"/>
        </w:rPr>
        <w:t>that</w:t>
      </w:r>
      <w:r w:rsidR="009054A1" w:rsidRPr="00666739">
        <w:rPr>
          <w:rFonts w:eastAsia="Times New Roman" w:cs="Arial"/>
          <w:bCs/>
          <w:snapToGrid w:val="0"/>
          <w:szCs w:val="24"/>
        </w:rPr>
        <w:t xml:space="preserve"> this is a well-known and manageable risk.</w:t>
      </w:r>
      <w:r w:rsidR="00666380" w:rsidRPr="00666739">
        <w:rPr>
          <w:rFonts w:eastAsia="Times New Roman" w:cs="Arial"/>
          <w:bCs/>
          <w:snapToGrid w:val="0"/>
          <w:szCs w:val="24"/>
        </w:rPr>
        <w:t xml:space="preserve"> Input describe</w:t>
      </w:r>
      <w:r w:rsidR="008A2BDC" w:rsidRPr="00666739">
        <w:rPr>
          <w:rFonts w:eastAsia="Times New Roman" w:cs="Arial"/>
          <w:bCs/>
          <w:snapToGrid w:val="0"/>
          <w:szCs w:val="24"/>
        </w:rPr>
        <w:t>d</w:t>
      </w:r>
      <w:r w:rsidR="00666380" w:rsidRPr="00666739">
        <w:rPr>
          <w:rFonts w:eastAsia="Times New Roman" w:cs="Arial"/>
          <w:bCs/>
          <w:snapToGrid w:val="0"/>
          <w:szCs w:val="24"/>
        </w:rPr>
        <w:t xml:space="preserve"> the impact of symptom burden on individuals who are often children or young adults, working, and raising or starting families. Input highlight</w:t>
      </w:r>
      <w:r w:rsidR="007C3A3B" w:rsidRPr="00666739">
        <w:rPr>
          <w:rFonts w:eastAsia="Times New Roman" w:cs="Arial"/>
          <w:bCs/>
          <w:snapToGrid w:val="0"/>
          <w:szCs w:val="24"/>
        </w:rPr>
        <w:t>ed</w:t>
      </w:r>
      <w:r w:rsidR="00666380" w:rsidRPr="00666739">
        <w:rPr>
          <w:rFonts w:eastAsia="Times New Roman" w:cs="Arial"/>
          <w:bCs/>
          <w:snapToGrid w:val="0"/>
          <w:szCs w:val="24"/>
        </w:rPr>
        <w:t xml:space="preserve"> symptoms of </w:t>
      </w:r>
      <w:r w:rsidR="00B04D4C">
        <w:rPr>
          <w:rFonts w:eastAsia="Times New Roman" w:cs="Arial"/>
          <w:bCs/>
          <w:snapToGrid w:val="0"/>
          <w:szCs w:val="24"/>
        </w:rPr>
        <w:t xml:space="preserve">end-stage kidney </w:t>
      </w:r>
      <w:r w:rsidR="00FD553D">
        <w:rPr>
          <w:rFonts w:eastAsia="Times New Roman" w:cs="Arial"/>
          <w:bCs/>
          <w:snapToGrid w:val="0"/>
          <w:szCs w:val="24"/>
        </w:rPr>
        <w:t>disease</w:t>
      </w:r>
      <w:r w:rsidR="00B04D4C" w:rsidRPr="00666739">
        <w:rPr>
          <w:rFonts w:eastAsia="Times New Roman" w:cs="Arial"/>
          <w:bCs/>
          <w:snapToGrid w:val="0"/>
          <w:szCs w:val="24"/>
        </w:rPr>
        <w:t xml:space="preserve"> </w:t>
      </w:r>
      <w:r w:rsidR="00666380" w:rsidRPr="00666739">
        <w:rPr>
          <w:rFonts w:eastAsia="Times New Roman" w:cs="Arial"/>
          <w:bCs/>
          <w:snapToGrid w:val="0"/>
          <w:szCs w:val="24"/>
        </w:rPr>
        <w:t>including fatigue, itch, poor appetite</w:t>
      </w:r>
      <w:r w:rsidR="007C3A3B" w:rsidRPr="00666739">
        <w:rPr>
          <w:rFonts w:eastAsia="Times New Roman" w:cs="Arial"/>
          <w:bCs/>
          <w:snapToGrid w:val="0"/>
          <w:szCs w:val="24"/>
        </w:rPr>
        <w:t xml:space="preserve"> </w:t>
      </w:r>
      <w:r w:rsidR="00666380" w:rsidRPr="00666739">
        <w:rPr>
          <w:rFonts w:eastAsia="Times New Roman" w:cs="Arial"/>
          <w:bCs/>
          <w:snapToGrid w:val="0"/>
          <w:szCs w:val="24"/>
        </w:rPr>
        <w:t xml:space="preserve">and oedema, requiring individuals to frequently interact with the healthcare system, impacting their ability to attend school and work and causing significant carer burden. </w:t>
      </w:r>
      <w:r w:rsidR="00D24ACA" w:rsidRPr="00666739">
        <w:rPr>
          <w:rFonts w:eastAsia="Times New Roman" w:cs="Arial"/>
          <w:bCs/>
          <w:snapToGrid w:val="0"/>
          <w:szCs w:val="24"/>
        </w:rPr>
        <w:t xml:space="preserve">The input from individuals with C3G noted </w:t>
      </w:r>
      <w:r w:rsidR="00666739" w:rsidRPr="00666739">
        <w:rPr>
          <w:rFonts w:eastAsia="Times New Roman" w:cs="Arial"/>
          <w:bCs/>
          <w:snapToGrid w:val="0"/>
          <w:szCs w:val="24"/>
        </w:rPr>
        <w:t xml:space="preserve">the impact of chronic kidney disease, relapses and treatment burden on their ability to participate in daily activities and </w:t>
      </w:r>
      <w:r w:rsidR="003272E1">
        <w:rPr>
          <w:rFonts w:eastAsia="Times New Roman" w:cs="Arial"/>
          <w:bCs/>
          <w:snapToGrid w:val="0"/>
          <w:szCs w:val="24"/>
        </w:rPr>
        <w:t xml:space="preserve">their </w:t>
      </w:r>
      <w:r w:rsidR="00666739" w:rsidRPr="00666739">
        <w:rPr>
          <w:rFonts w:eastAsia="Times New Roman" w:cs="Arial"/>
          <w:bCs/>
          <w:snapToGrid w:val="0"/>
          <w:szCs w:val="24"/>
        </w:rPr>
        <w:t>mental health</w:t>
      </w:r>
      <w:r w:rsidR="00666739">
        <w:rPr>
          <w:rFonts w:eastAsia="Times New Roman" w:cs="Arial"/>
          <w:bCs/>
          <w:snapToGrid w:val="0"/>
          <w:szCs w:val="24"/>
        </w:rPr>
        <w:t xml:space="preserve">. </w:t>
      </w:r>
    </w:p>
    <w:bookmarkEnd w:id="15"/>
    <w:p w14:paraId="5F681020" w14:textId="7B808220" w:rsidR="00FB5D49" w:rsidRPr="00FB5D49" w:rsidRDefault="00411532" w:rsidP="00370D8E">
      <w:pPr>
        <w:pStyle w:val="COMESnumberedpara"/>
        <w:numPr>
          <w:ilvl w:val="1"/>
          <w:numId w:val="1"/>
        </w:numPr>
        <w:spacing w:after="120"/>
        <w:rPr>
          <w:bCs/>
          <w:snapToGrid w:val="0"/>
        </w:rPr>
      </w:pPr>
      <w:r w:rsidRPr="00FB5D49">
        <w:rPr>
          <w:snapToGrid w:val="0"/>
        </w:rPr>
        <w:t xml:space="preserve">The PBAC noted </w:t>
      </w:r>
      <w:r w:rsidR="00896A29" w:rsidRPr="00FB5D49">
        <w:rPr>
          <w:snapToGrid w:val="0"/>
        </w:rPr>
        <w:t xml:space="preserve">and welcomed </w:t>
      </w:r>
      <w:r w:rsidRPr="00FB5D49">
        <w:rPr>
          <w:snapToGrid w:val="0"/>
        </w:rPr>
        <w:t>the advice received from</w:t>
      </w:r>
      <w:r w:rsidR="00460165" w:rsidRPr="00FB5D49">
        <w:rPr>
          <w:snapToGrid w:val="0"/>
        </w:rPr>
        <w:t xml:space="preserve"> specialist organisations (</w:t>
      </w:r>
      <w:r w:rsidR="00AB59F8" w:rsidRPr="00FB5D49">
        <w:rPr>
          <w:snapToGrid w:val="0"/>
        </w:rPr>
        <w:t xml:space="preserve">the Transplantation Society of Australia and New Zealand Ltd (TSANZ), </w:t>
      </w:r>
      <w:r w:rsidR="00D208D9" w:rsidRPr="00FB5D49">
        <w:rPr>
          <w:snapToGrid w:val="0"/>
        </w:rPr>
        <w:t>Australian and New Zealand Society of Nephrology</w:t>
      </w:r>
      <w:r w:rsidR="00896A29" w:rsidRPr="00FB5D49">
        <w:rPr>
          <w:snapToGrid w:val="0"/>
        </w:rPr>
        <w:t>)</w:t>
      </w:r>
      <w:r w:rsidR="00D208D9" w:rsidRPr="00FB5D49">
        <w:rPr>
          <w:snapToGrid w:val="0"/>
        </w:rPr>
        <w:t xml:space="preserve">, </w:t>
      </w:r>
      <w:r w:rsidR="00460165" w:rsidRPr="00FB5D49">
        <w:rPr>
          <w:snapToGrid w:val="0"/>
        </w:rPr>
        <w:t xml:space="preserve">and consumer </w:t>
      </w:r>
      <w:r w:rsidR="00896A29" w:rsidRPr="00FB5D49">
        <w:rPr>
          <w:snapToGrid w:val="0"/>
        </w:rPr>
        <w:t>representative groups (</w:t>
      </w:r>
      <w:r w:rsidR="006D6A13" w:rsidRPr="00FB5D49">
        <w:rPr>
          <w:snapToGrid w:val="0"/>
        </w:rPr>
        <w:t>Kidney Health Australia</w:t>
      </w:r>
      <w:r w:rsidR="00176FBF" w:rsidRPr="00FB5D49">
        <w:rPr>
          <w:snapToGrid w:val="0"/>
        </w:rPr>
        <w:t xml:space="preserve"> and Transplant Australia Ltd</w:t>
      </w:r>
      <w:r w:rsidR="00896A29" w:rsidRPr="00FB5D49">
        <w:rPr>
          <w:snapToGrid w:val="0"/>
        </w:rPr>
        <w:t>)</w:t>
      </w:r>
      <w:r w:rsidRPr="00FB5D49">
        <w:rPr>
          <w:snapToGrid w:val="0"/>
        </w:rPr>
        <w:t xml:space="preserve"> </w:t>
      </w:r>
      <w:r w:rsidR="00896A29" w:rsidRPr="00FB5D49">
        <w:rPr>
          <w:snapToGrid w:val="0"/>
        </w:rPr>
        <w:t>in support of PBS listing of iptacopan</w:t>
      </w:r>
      <w:r w:rsidRPr="00FB5D49">
        <w:rPr>
          <w:snapToGrid w:val="0"/>
        </w:rPr>
        <w:t xml:space="preserve">. </w:t>
      </w:r>
      <w:r w:rsidR="00DE145A" w:rsidRPr="00FB5D49">
        <w:rPr>
          <w:snapToGrid w:val="0"/>
        </w:rPr>
        <w:t xml:space="preserve">Input from </w:t>
      </w:r>
      <w:r w:rsidR="00DC7DB4" w:rsidRPr="00FB5D49">
        <w:rPr>
          <w:snapToGrid w:val="0"/>
        </w:rPr>
        <w:t xml:space="preserve">specialist organisations indicated </w:t>
      </w:r>
      <w:r w:rsidR="007748E5" w:rsidRPr="00FB5D49">
        <w:rPr>
          <w:snapToGrid w:val="0"/>
        </w:rPr>
        <w:t>patients often experience significant delays in diagnosis (which requires specialist nephrology services</w:t>
      </w:r>
      <w:r w:rsidR="00993008" w:rsidRPr="00FB5D49">
        <w:rPr>
          <w:snapToGrid w:val="0"/>
        </w:rPr>
        <w:t xml:space="preserve"> and diagnostic procedures)</w:t>
      </w:r>
      <w:r w:rsidR="00226EA4" w:rsidRPr="00FB5D49">
        <w:rPr>
          <w:snapToGrid w:val="0"/>
        </w:rPr>
        <w:t xml:space="preserve">. In addition, </w:t>
      </w:r>
      <w:r w:rsidR="00EA4456" w:rsidRPr="00FB5D49">
        <w:rPr>
          <w:snapToGrid w:val="0"/>
        </w:rPr>
        <w:t xml:space="preserve">input noted that optimal treatment strategies for C3G using currently available therapies have not been established, but </w:t>
      </w:r>
      <w:r w:rsidR="00DC7DB4" w:rsidRPr="00FB5D49">
        <w:rPr>
          <w:snapToGrid w:val="0"/>
        </w:rPr>
        <w:t>that</w:t>
      </w:r>
      <w:r w:rsidR="00583C8E" w:rsidRPr="00FB5D49">
        <w:rPr>
          <w:snapToGrid w:val="0"/>
        </w:rPr>
        <w:t xml:space="preserve"> an</w:t>
      </w:r>
      <w:r w:rsidR="00DC7DB4" w:rsidRPr="00FB5D49">
        <w:rPr>
          <w:snapToGrid w:val="0"/>
        </w:rPr>
        <w:t xml:space="preserve"> international </w:t>
      </w:r>
      <w:r w:rsidR="00583C8E" w:rsidRPr="00FB5D49">
        <w:rPr>
          <w:snapToGrid w:val="0"/>
        </w:rPr>
        <w:t>consensus</w:t>
      </w:r>
      <w:r w:rsidR="00DC7DB4" w:rsidRPr="00FB5D49">
        <w:rPr>
          <w:snapToGrid w:val="0"/>
        </w:rPr>
        <w:t xml:space="preserve"> </w:t>
      </w:r>
      <w:r w:rsidR="00DC7DB4" w:rsidRPr="00FB5D49">
        <w:rPr>
          <w:snapToGrid w:val="0"/>
        </w:rPr>
        <w:lastRenderedPageBreak/>
        <w:t>statement will shortly recommend complement inhibition as firs</w:t>
      </w:r>
      <w:r w:rsidR="00EA4456" w:rsidRPr="00FB5D49">
        <w:rPr>
          <w:snapToGrid w:val="0"/>
        </w:rPr>
        <w:t>t</w:t>
      </w:r>
      <w:r w:rsidR="00DC7DB4" w:rsidRPr="00FB5D49">
        <w:rPr>
          <w:snapToGrid w:val="0"/>
        </w:rPr>
        <w:t xml:space="preserve">-line therapy for C3G. </w:t>
      </w:r>
      <w:r w:rsidR="006806BF" w:rsidRPr="00FB5D49">
        <w:rPr>
          <w:snapToGrid w:val="0"/>
        </w:rPr>
        <w:t>Input from consumer groups highlighted the toll of d</w:t>
      </w:r>
      <w:r w:rsidR="006806BF" w:rsidRPr="00FB5D49">
        <w:rPr>
          <w:rFonts w:eastAsia="Times New Roman" w:cs="Arial"/>
          <w:bCs/>
          <w:snapToGrid w:val="0"/>
          <w:szCs w:val="24"/>
        </w:rPr>
        <w:t>ialysis and transplantation on patients, families and their support systems, and on the healthcare system</w:t>
      </w:r>
      <w:r w:rsidR="00940B34">
        <w:rPr>
          <w:rFonts w:eastAsia="Times New Roman" w:cs="Arial"/>
          <w:bCs/>
          <w:snapToGrid w:val="0"/>
          <w:szCs w:val="24"/>
        </w:rPr>
        <w:t>,</w:t>
      </w:r>
      <w:r w:rsidR="0085153B" w:rsidRPr="00FB5D49">
        <w:rPr>
          <w:rFonts w:eastAsia="Times New Roman" w:cs="Arial"/>
          <w:bCs/>
          <w:snapToGrid w:val="0"/>
          <w:szCs w:val="24"/>
        </w:rPr>
        <w:t xml:space="preserve"> and the difficulty of accessing dialysis for patients </w:t>
      </w:r>
      <w:r w:rsidR="00716FB7" w:rsidRPr="00FB5D49">
        <w:rPr>
          <w:rFonts w:eastAsia="Times New Roman" w:cs="Arial"/>
          <w:bCs/>
          <w:snapToGrid w:val="0"/>
          <w:szCs w:val="24"/>
        </w:rPr>
        <w:t>in rural and remote areas.</w:t>
      </w:r>
      <w:r w:rsidR="00590F01" w:rsidRPr="00FB5D49">
        <w:rPr>
          <w:rFonts w:eastAsia="Times New Roman" w:cs="Arial"/>
          <w:bCs/>
          <w:snapToGrid w:val="0"/>
          <w:szCs w:val="24"/>
        </w:rPr>
        <w:t xml:space="preserve"> </w:t>
      </w:r>
      <w:r w:rsidR="00FB5D49" w:rsidRPr="00FB5D49">
        <w:rPr>
          <w:rFonts w:eastAsia="Times New Roman" w:cs="Arial"/>
          <w:bCs/>
          <w:snapToGrid w:val="0"/>
          <w:szCs w:val="24"/>
        </w:rPr>
        <w:t>Input also noted the loss of graft function due to recurrent C3G can have a profound emotional impact on donors and their and families</w:t>
      </w:r>
      <w:r w:rsidR="006806BF" w:rsidRPr="00FB5D49">
        <w:rPr>
          <w:rFonts w:eastAsia="Times New Roman" w:cs="Arial"/>
          <w:bCs/>
          <w:snapToGrid w:val="0"/>
          <w:szCs w:val="24"/>
        </w:rPr>
        <w:t xml:space="preserve">. </w:t>
      </w:r>
    </w:p>
    <w:bookmarkEnd w:id="12"/>
    <w:bookmarkEnd w:id="16"/>
    <w:p w14:paraId="609C0765" w14:textId="505A0AE0" w:rsidR="00B60939" w:rsidRPr="0098262F" w:rsidRDefault="00B60939" w:rsidP="00370D8E">
      <w:pPr>
        <w:pStyle w:val="COMESSubsectionheading"/>
      </w:pPr>
      <w:r w:rsidRPr="0098262F">
        <w:t xml:space="preserve">Clinical </w:t>
      </w:r>
      <w:r w:rsidR="00D5243B" w:rsidRPr="0098262F">
        <w:t>studies</w:t>
      </w:r>
      <w:bookmarkEnd w:id="11"/>
      <w:bookmarkEnd w:id="13"/>
    </w:p>
    <w:p w14:paraId="17DE34DC" w14:textId="5C0827D0" w:rsidR="007F1017" w:rsidRDefault="00980B5A" w:rsidP="00370D8E">
      <w:pPr>
        <w:pStyle w:val="COMESnumberedpara"/>
      </w:pPr>
      <w:r w:rsidRPr="00980B5A">
        <w:t xml:space="preserve">The submission was based on a head-to-head randomised trial of iptacopan versus placebo in patients with C3G who have native kidneys (APPEAR-C3G). Outcomes were based on the May 2024 data cut for the completed adult cohort. The trial </w:t>
      </w:r>
      <w:r w:rsidR="00FE4159">
        <w:t>wa</w:t>
      </w:r>
      <w:r w:rsidRPr="00980B5A">
        <w:t>s ongoing for the adolescent cohort with expected completion in July 2026.</w:t>
      </w:r>
    </w:p>
    <w:p w14:paraId="73F15DA0" w14:textId="151C7EAD" w:rsidR="00980B5A" w:rsidRPr="00980B5A" w:rsidRDefault="00980B5A" w:rsidP="00370D8E">
      <w:pPr>
        <w:pStyle w:val="COMESnumberedpara"/>
      </w:pPr>
      <w:r w:rsidRPr="00980B5A">
        <w:t xml:space="preserve">The following studies were included as supportive evidence: a phase 2, non-randomised study of iptacopan in adult patients with C3G who have native kidneys or recurrent C3G following a kidney transplant (X2202); and a long-term extension study of iptacopan (B12001B) in the subset of patients who rolled over from the APPEAR-C3G trial and the X2202 phase </w:t>
      </w:r>
      <w:r w:rsidR="001C7FAF">
        <w:t xml:space="preserve">2 </w:t>
      </w:r>
      <w:r w:rsidRPr="00980B5A">
        <w:t>study.</w:t>
      </w:r>
    </w:p>
    <w:p w14:paraId="3EC8ED3F" w14:textId="426106A9" w:rsidR="00994C8B" w:rsidRDefault="00A73134" w:rsidP="00370D8E">
      <w:pPr>
        <w:pStyle w:val="COMESnumberedpara"/>
      </w:pPr>
      <w:r w:rsidRPr="0098262F">
        <w:t xml:space="preserve">Details of the </w:t>
      </w:r>
      <w:r w:rsidR="008475A7">
        <w:t>included studies are provided in</w:t>
      </w:r>
      <w:r w:rsidRPr="0098262F">
        <w:t xml:space="preserve"> </w:t>
      </w:r>
      <w:r w:rsidR="00696EF9" w:rsidRPr="0098262F">
        <w:fldChar w:fldCharType="begin"/>
      </w:r>
      <w:r w:rsidR="00696EF9" w:rsidRPr="0098262F">
        <w:instrText xml:space="preserve"> REF _Ref104803956 \h </w:instrText>
      </w:r>
      <w:r w:rsidR="00696EF9" w:rsidRPr="0098262F">
        <w:fldChar w:fldCharType="separate"/>
      </w:r>
      <w:r w:rsidR="00CC1313" w:rsidRPr="0098262F">
        <w:t xml:space="preserve">Table </w:t>
      </w:r>
      <w:r w:rsidR="00CC1313">
        <w:rPr>
          <w:noProof/>
        </w:rPr>
        <w:t>2</w:t>
      </w:r>
      <w:r w:rsidR="00696EF9" w:rsidRPr="0098262F">
        <w:fldChar w:fldCharType="end"/>
      </w:r>
      <w:r w:rsidRPr="0098262F">
        <w:t>.</w:t>
      </w:r>
      <w:r w:rsidR="00BC591F" w:rsidRPr="0098262F">
        <w:t xml:space="preserve"> </w:t>
      </w:r>
      <w:r w:rsidR="00E710B7" w:rsidRPr="00A81BBC">
        <w:t xml:space="preserve">The ESC noted that </w:t>
      </w:r>
      <w:r w:rsidR="001D5AD8" w:rsidRPr="00A81BBC">
        <w:t xml:space="preserve">an additional publication </w:t>
      </w:r>
      <w:r w:rsidR="00F0135D" w:rsidRPr="00A81BBC">
        <w:t>reporting on</w:t>
      </w:r>
      <w:r w:rsidR="00E710B7" w:rsidRPr="00A81BBC">
        <w:t xml:space="preserve"> the APPEAR C3G study </w:t>
      </w:r>
      <w:r w:rsidR="00F0135D" w:rsidRPr="00A81BBC">
        <w:t>was available</w:t>
      </w:r>
      <w:r w:rsidR="00E710B7" w:rsidRPr="00A81BBC">
        <w:t xml:space="preserve"> at the time of ESC consideration (Kavanagh </w:t>
      </w:r>
      <w:r w:rsidR="001D5AD8" w:rsidRPr="00A81BBC">
        <w:t>(</w:t>
      </w:r>
      <w:r w:rsidR="00E710B7" w:rsidRPr="00A81BBC">
        <w:t>2025</w:t>
      </w:r>
      <w:r w:rsidR="001D5AD8" w:rsidRPr="00A81BBC">
        <w:t>))</w:t>
      </w:r>
      <w:r w:rsidR="00E710B7" w:rsidRPr="00A81BBC">
        <w:t>.</w:t>
      </w:r>
    </w:p>
    <w:p w14:paraId="1DCCAD94" w14:textId="77777777" w:rsidR="00994C8B" w:rsidRDefault="00994C8B" w:rsidP="00370D8E">
      <w:pPr>
        <w:jc w:val="left"/>
        <w:rPr>
          <w:rFonts w:asciiTheme="minorHAnsi" w:eastAsiaTheme="minorHAnsi" w:hAnsiTheme="minorHAnsi" w:cstheme="minorBidi"/>
          <w:szCs w:val="22"/>
        </w:rPr>
      </w:pPr>
      <w:r>
        <w:br w:type="page"/>
      </w:r>
    </w:p>
    <w:p w14:paraId="7DE3A286" w14:textId="3128812D" w:rsidR="008E0D3C" w:rsidRPr="0098262F" w:rsidRDefault="00696EF9" w:rsidP="00370D8E">
      <w:pPr>
        <w:pStyle w:val="COMTableFigurecaption"/>
        <w:rPr>
          <w:b w:val="0"/>
        </w:rPr>
      </w:pPr>
      <w:bookmarkStart w:id="18" w:name="_Ref104803956"/>
      <w:r w:rsidRPr="0098262F">
        <w:lastRenderedPageBreak/>
        <w:t xml:space="preserve">Table </w:t>
      </w:r>
      <w:r w:rsidR="00DA4682">
        <w:fldChar w:fldCharType="begin"/>
      </w:r>
      <w:r w:rsidR="00DA4682">
        <w:instrText xml:space="preserve"> SEQ Table \* ARABIC </w:instrText>
      </w:r>
      <w:r w:rsidR="00DA4682">
        <w:fldChar w:fldCharType="separate"/>
      </w:r>
      <w:r w:rsidR="00CC1313">
        <w:rPr>
          <w:noProof/>
        </w:rPr>
        <w:t>2</w:t>
      </w:r>
      <w:r w:rsidR="00DA4682">
        <w:rPr>
          <w:noProof/>
        </w:rPr>
        <w:fldChar w:fldCharType="end"/>
      </w:r>
      <w:bookmarkEnd w:id="18"/>
      <w:r w:rsidRPr="0098262F">
        <w:t>:</w:t>
      </w:r>
      <w:r w:rsidR="00BC591F" w:rsidRPr="0098262F">
        <w:t xml:space="preserve"> </w:t>
      </w:r>
      <w:r w:rsidR="008475A7">
        <w:t>S</w:t>
      </w:r>
      <w:r w:rsidR="00D5243B" w:rsidRPr="0098262F">
        <w:t>tudies</w:t>
      </w:r>
      <w:r w:rsidR="008475A7">
        <w:t xml:space="preserve"> </w:t>
      </w:r>
      <w:r w:rsidR="008E0D3C" w:rsidRPr="0098262F">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ies and associated reports presented in the submission"/>
      </w:tblPr>
      <w:tblGrid>
        <w:gridCol w:w="1551"/>
        <w:gridCol w:w="5709"/>
        <w:gridCol w:w="1757"/>
      </w:tblGrid>
      <w:tr w:rsidR="008E0D3C" w:rsidRPr="0098262F" w14:paraId="6ACD35C4" w14:textId="77777777" w:rsidTr="000A1F85">
        <w:trPr>
          <w:cantSplit/>
          <w:tblHeader/>
        </w:trPr>
        <w:tc>
          <w:tcPr>
            <w:tcW w:w="860" w:type="pct"/>
            <w:vAlign w:val="center"/>
          </w:tcPr>
          <w:p w14:paraId="20DEEB23" w14:textId="77777777" w:rsidR="008E0D3C" w:rsidRPr="0098262F" w:rsidRDefault="008E0D3C" w:rsidP="00370D8E">
            <w:pPr>
              <w:pStyle w:val="COMTableheadingrow"/>
            </w:pPr>
            <w:r w:rsidRPr="0098262F">
              <w:t>Trial ID</w:t>
            </w:r>
          </w:p>
        </w:tc>
        <w:tc>
          <w:tcPr>
            <w:tcW w:w="3166" w:type="pct"/>
            <w:tcBorders>
              <w:bottom w:val="single" w:sz="4" w:space="0" w:color="auto"/>
            </w:tcBorders>
            <w:vAlign w:val="center"/>
          </w:tcPr>
          <w:p w14:paraId="22EF6C51" w14:textId="77777777" w:rsidR="008E0D3C" w:rsidRPr="0098262F" w:rsidRDefault="008E0D3C" w:rsidP="00370D8E">
            <w:pPr>
              <w:pStyle w:val="COMTableheadingrow"/>
            </w:pPr>
            <w:r w:rsidRPr="0098262F">
              <w:t>Protocol title/ Publication title</w:t>
            </w:r>
          </w:p>
        </w:tc>
        <w:tc>
          <w:tcPr>
            <w:tcW w:w="974" w:type="pct"/>
            <w:tcBorders>
              <w:bottom w:val="single" w:sz="4" w:space="0" w:color="auto"/>
            </w:tcBorders>
            <w:vAlign w:val="center"/>
          </w:tcPr>
          <w:p w14:paraId="561B27A8" w14:textId="77777777" w:rsidR="008E0D3C" w:rsidRPr="0098262F" w:rsidRDefault="008E0D3C" w:rsidP="00370D8E">
            <w:pPr>
              <w:pStyle w:val="COMTableheadingrow"/>
            </w:pPr>
            <w:r w:rsidRPr="0098262F">
              <w:t>Publication citation</w:t>
            </w:r>
          </w:p>
        </w:tc>
      </w:tr>
      <w:tr w:rsidR="00705649" w:rsidRPr="0098262F" w14:paraId="298351BA" w14:textId="77777777" w:rsidTr="00F256D0">
        <w:trPr>
          <w:cantSplit/>
        </w:trPr>
        <w:tc>
          <w:tcPr>
            <w:tcW w:w="860" w:type="pct"/>
            <w:vMerge w:val="restart"/>
            <w:vAlign w:val="center"/>
          </w:tcPr>
          <w:p w14:paraId="248CD587" w14:textId="77777777" w:rsidR="00705649" w:rsidRDefault="00705649" w:rsidP="00370D8E">
            <w:pPr>
              <w:pStyle w:val="COMTabletext"/>
              <w:keepNext w:val="0"/>
              <w:keepLines w:val="0"/>
            </w:pPr>
            <w:r>
              <w:t>APPEAR-C3G</w:t>
            </w:r>
          </w:p>
          <w:p w14:paraId="5D9482F5" w14:textId="49E85969" w:rsidR="00705649" w:rsidRPr="0098262F" w:rsidRDefault="00705649" w:rsidP="00370D8E">
            <w:pPr>
              <w:pStyle w:val="COMTabletext"/>
              <w:rPr>
                <w:szCs w:val="20"/>
              </w:rPr>
            </w:pPr>
            <w:r>
              <w:t>(CLNP023B12301)</w:t>
            </w:r>
          </w:p>
        </w:tc>
        <w:tc>
          <w:tcPr>
            <w:tcW w:w="3166" w:type="pct"/>
            <w:tcBorders>
              <w:bottom w:val="nil"/>
            </w:tcBorders>
          </w:tcPr>
          <w:p w14:paraId="2570DA6E" w14:textId="71BAE1EA" w:rsidR="00705649" w:rsidRPr="0098262F" w:rsidRDefault="00705649" w:rsidP="00370D8E">
            <w:pPr>
              <w:pStyle w:val="COMTabletext"/>
              <w:spacing w:after="60"/>
            </w:pPr>
            <w:r>
              <w:rPr>
                <w:szCs w:val="18"/>
              </w:rPr>
              <w:t xml:space="preserve">Novartis (2024). </w:t>
            </w:r>
            <w:r w:rsidRPr="00E40BDD">
              <w:rPr>
                <w:szCs w:val="18"/>
              </w:rPr>
              <w:t>A multicenter, randomized, double-blind, parallel group, placebo-controlled study to evaluate the efficacy and safety of iptacopan (LNP023) in complement 3 glomerulopathy</w:t>
            </w:r>
          </w:p>
        </w:tc>
        <w:tc>
          <w:tcPr>
            <w:tcW w:w="974" w:type="pct"/>
            <w:tcBorders>
              <w:bottom w:val="nil"/>
            </w:tcBorders>
          </w:tcPr>
          <w:p w14:paraId="7578773D" w14:textId="2979C6DE" w:rsidR="00705649" w:rsidRPr="0098262F" w:rsidRDefault="00705649" w:rsidP="00370D8E">
            <w:pPr>
              <w:pStyle w:val="COMTabletext"/>
              <w:spacing w:after="60"/>
              <w:rPr>
                <w:rFonts w:ascii="Times" w:hAnsi="Times"/>
              </w:rPr>
            </w:pPr>
            <w:r>
              <w:t>Internal study report</w:t>
            </w:r>
          </w:p>
        </w:tc>
      </w:tr>
      <w:tr w:rsidR="00705649" w:rsidRPr="0098262F" w14:paraId="7F06C7BE" w14:textId="77777777" w:rsidTr="00F256D0">
        <w:trPr>
          <w:cantSplit/>
        </w:trPr>
        <w:tc>
          <w:tcPr>
            <w:tcW w:w="860" w:type="pct"/>
            <w:vMerge/>
            <w:vAlign w:val="center"/>
          </w:tcPr>
          <w:p w14:paraId="2DE31C12" w14:textId="7BFA1DAD" w:rsidR="00705649" w:rsidRPr="0098262F" w:rsidRDefault="00705649" w:rsidP="00370D8E">
            <w:pPr>
              <w:pStyle w:val="COMTabletext"/>
              <w:jc w:val="center"/>
            </w:pPr>
          </w:p>
        </w:tc>
        <w:tc>
          <w:tcPr>
            <w:tcW w:w="3166" w:type="pct"/>
            <w:tcBorders>
              <w:top w:val="nil"/>
              <w:bottom w:val="nil"/>
            </w:tcBorders>
          </w:tcPr>
          <w:p w14:paraId="7CB8ADA9" w14:textId="3FCF0C0A" w:rsidR="00705649" w:rsidRPr="0098262F" w:rsidRDefault="00705649" w:rsidP="00370D8E">
            <w:pPr>
              <w:pStyle w:val="COMTabletext"/>
              <w:spacing w:after="60"/>
            </w:pPr>
            <w:r>
              <w:rPr>
                <w:szCs w:val="18"/>
              </w:rPr>
              <w:t xml:space="preserve">Nester et al (2025). </w:t>
            </w:r>
            <w:r w:rsidRPr="0016272B">
              <w:rPr>
                <w:szCs w:val="18"/>
              </w:rPr>
              <w:t xml:space="preserve">Efficacy and safety of </w:t>
            </w:r>
            <w:r>
              <w:rPr>
                <w:szCs w:val="18"/>
              </w:rPr>
              <w:t>i</w:t>
            </w:r>
            <w:r w:rsidRPr="0016272B">
              <w:rPr>
                <w:szCs w:val="18"/>
              </w:rPr>
              <w:t xml:space="preserve">ptacopan in patients with C3 </w:t>
            </w:r>
            <w:r>
              <w:rPr>
                <w:szCs w:val="18"/>
              </w:rPr>
              <w:t>g</w:t>
            </w:r>
            <w:r w:rsidRPr="0016272B">
              <w:rPr>
                <w:szCs w:val="18"/>
              </w:rPr>
              <w:t xml:space="preserve">lomerulopathy: 12-month results from the phase 3 </w:t>
            </w:r>
            <w:r>
              <w:rPr>
                <w:szCs w:val="18"/>
              </w:rPr>
              <w:t>APPEAR</w:t>
            </w:r>
            <w:r w:rsidRPr="0016272B">
              <w:rPr>
                <w:szCs w:val="18"/>
              </w:rPr>
              <w:t>-C3G study</w:t>
            </w:r>
          </w:p>
        </w:tc>
        <w:tc>
          <w:tcPr>
            <w:tcW w:w="974" w:type="pct"/>
            <w:tcBorders>
              <w:top w:val="nil"/>
              <w:bottom w:val="nil"/>
            </w:tcBorders>
          </w:tcPr>
          <w:p w14:paraId="53EB2567" w14:textId="580A2A22" w:rsidR="00705649" w:rsidRPr="0098262F" w:rsidRDefault="00705649" w:rsidP="00370D8E">
            <w:pPr>
              <w:pStyle w:val="COMTabletext"/>
              <w:spacing w:after="60"/>
            </w:pPr>
            <w:r w:rsidRPr="00BE5436">
              <w:rPr>
                <w:i/>
                <w:iCs/>
                <w:szCs w:val="18"/>
              </w:rPr>
              <w:t>Kidney International Reports</w:t>
            </w:r>
            <w:r>
              <w:rPr>
                <w:szCs w:val="18"/>
              </w:rPr>
              <w:t xml:space="preserve"> 10(2): S136-S137</w:t>
            </w:r>
          </w:p>
        </w:tc>
      </w:tr>
      <w:tr w:rsidR="00705649" w:rsidRPr="0098262F" w14:paraId="28A72EC8" w14:textId="77777777" w:rsidTr="00F256D0">
        <w:trPr>
          <w:cantSplit/>
        </w:trPr>
        <w:tc>
          <w:tcPr>
            <w:tcW w:w="860" w:type="pct"/>
            <w:vMerge/>
            <w:tcBorders>
              <w:bottom w:val="nil"/>
            </w:tcBorders>
            <w:vAlign w:val="center"/>
          </w:tcPr>
          <w:p w14:paraId="4229B05F" w14:textId="77777777" w:rsidR="00705649" w:rsidRPr="0098262F" w:rsidRDefault="00705649" w:rsidP="00370D8E">
            <w:pPr>
              <w:pStyle w:val="COMTabletext"/>
              <w:jc w:val="center"/>
            </w:pPr>
          </w:p>
        </w:tc>
        <w:tc>
          <w:tcPr>
            <w:tcW w:w="3166" w:type="pct"/>
            <w:tcBorders>
              <w:top w:val="nil"/>
              <w:bottom w:val="single" w:sz="4" w:space="0" w:color="auto"/>
            </w:tcBorders>
          </w:tcPr>
          <w:p w14:paraId="7343E2D4" w14:textId="77777777" w:rsidR="00705649" w:rsidRDefault="00705649" w:rsidP="00370D8E">
            <w:pPr>
              <w:pStyle w:val="COMTabletext"/>
              <w:rPr>
                <w:szCs w:val="18"/>
              </w:rPr>
            </w:pPr>
            <w:r>
              <w:rPr>
                <w:szCs w:val="18"/>
              </w:rPr>
              <w:t xml:space="preserve">Novartis (2024). </w:t>
            </w:r>
            <w:r w:rsidRPr="00141EC2">
              <w:rPr>
                <w:szCs w:val="18"/>
              </w:rPr>
              <w:t>SCE Appendix 2:</w:t>
            </w:r>
            <w:r>
              <w:rPr>
                <w:szCs w:val="18"/>
              </w:rPr>
              <w:t xml:space="preserve"> </w:t>
            </w:r>
            <w:r w:rsidRPr="00141EC2">
              <w:rPr>
                <w:szCs w:val="18"/>
              </w:rPr>
              <w:t>C3 glomerulopathy</w:t>
            </w:r>
            <w:r>
              <w:rPr>
                <w:szCs w:val="18"/>
              </w:rPr>
              <w:t xml:space="preserve">, </w:t>
            </w:r>
            <w:r w:rsidRPr="00141EC2">
              <w:rPr>
                <w:szCs w:val="18"/>
              </w:rPr>
              <w:t>High-level efficacy summary for adult patients who</w:t>
            </w:r>
            <w:r>
              <w:rPr>
                <w:szCs w:val="18"/>
              </w:rPr>
              <w:t xml:space="preserve"> </w:t>
            </w:r>
            <w:r w:rsidRPr="00141EC2">
              <w:rPr>
                <w:szCs w:val="18"/>
              </w:rPr>
              <w:t>completed APPEAR-C3G and rolled over into Study</w:t>
            </w:r>
            <w:r>
              <w:rPr>
                <w:szCs w:val="18"/>
              </w:rPr>
              <w:t xml:space="preserve"> </w:t>
            </w:r>
            <w:r w:rsidRPr="00141EC2">
              <w:rPr>
                <w:szCs w:val="18"/>
              </w:rPr>
              <w:t>B12001B</w:t>
            </w:r>
          </w:p>
          <w:p w14:paraId="4840E7D8" w14:textId="77777777" w:rsidR="005768EE" w:rsidRDefault="005768EE" w:rsidP="00370D8E">
            <w:pPr>
              <w:pStyle w:val="COMTabletext"/>
              <w:rPr>
                <w:szCs w:val="18"/>
              </w:rPr>
            </w:pPr>
          </w:p>
          <w:p w14:paraId="545FF92A" w14:textId="1BE37E1D" w:rsidR="005768EE" w:rsidRPr="0035506D" w:rsidRDefault="008A05CA" w:rsidP="00370D8E">
            <w:pPr>
              <w:pStyle w:val="COMTabletext"/>
            </w:pPr>
            <w:r w:rsidRPr="0035506D">
              <w:rPr>
                <w:szCs w:val="18"/>
              </w:rPr>
              <w:t xml:space="preserve">Kavanagh (2025) </w:t>
            </w:r>
            <w:r w:rsidR="00DF496F" w:rsidRPr="0035506D">
              <w:rPr>
                <w:szCs w:val="18"/>
              </w:rPr>
              <w:t xml:space="preserve">Oral iptacopan therapy in patients with C3 </w:t>
            </w:r>
            <w:r w:rsidR="00E52910" w:rsidRPr="0035506D">
              <w:rPr>
                <w:szCs w:val="18"/>
              </w:rPr>
              <w:t>g</w:t>
            </w:r>
            <w:r w:rsidR="00DF496F" w:rsidRPr="0035506D">
              <w:rPr>
                <w:szCs w:val="18"/>
              </w:rPr>
              <w:t>lomerulopathy:</w:t>
            </w:r>
            <w:r w:rsidR="00E52910" w:rsidRPr="0035506D">
              <w:rPr>
                <w:szCs w:val="18"/>
              </w:rPr>
              <w:t xml:space="preserve"> </w:t>
            </w:r>
            <w:r w:rsidR="00DF496F" w:rsidRPr="0035506D">
              <w:rPr>
                <w:szCs w:val="18"/>
              </w:rPr>
              <w:t>a randomised, double-blind, parallel group, multicentre,</w:t>
            </w:r>
            <w:r w:rsidR="00E52910" w:rsidRPr="0035506D">
              <w:rPr>
                <w:szCs w:val="18"/>
              </w:rPr>
              <w:t xml:space="preserve"> </w:t>
            </w:r>
            <w:r w:rsidR="00DF496F" w:rsidRPr="0035506D">
              <w:rPr>
                <w:szCs w:val="18"/>
              </w:rPr>
              <w:t>placebo-controlled, phase 3 study</w:t>
            </w:r>
            <w:r w:rsidR="006D6F1B" w:rsidRPr="0035506D">
              <w:rPr>
                <w:szCs w:val="18"/>
              </w:rPr>
              <w:t>.</w:t>
            </w:r>
          </w:p>
        </w:tc>
        <w:tc>
          <w:tcPr>
            <w:tcW w:w="974" w:type="pct"/>
            <w:tcBorders>
              <w:top w:val="nil"/>
              <w:bottom w:val="single" w:sz="4" w:space="0" w:color="auto"/>
            </w:tcBorders>
          </w:tcPr>
          <w:p w14:paraId="275AE4CA" w14:textId="77777777" w:rsidR="00705649" w:rsidRDefault="00705649" w:rsidP="00370D8E">
            <w:pPr>
              <w:pStyle w:val="COMTabletext"/>
            </w:pPr>
            <w:r>
              <w:t>Internal study report</w:t>
            </w:r>
          </w:p>
          <w:p w14:paraId="4982795F" w14:textId="77777777" w:rsidR="006D6F1B" w:rsidRDefault="006D6F1B" w:rsidP="00370D8E">
            <w:pPr>
              <w:pStyle w:val="COMTabletext"/>
              <w:rPr>
                <w:i/>
              </w:rPr>
            </w:pPr>
          </w:p>
          <w:p w14:paraId="3F10892D" w14:textId="77777777" w:rsidR="006D6F1B" w:rsidRDefault="006D6F1B" w:rsidP="00370D8E">
            <w:pPr>
              <w:pStyle w:val="COMTabletext"/>
              <w:rPr>
                <w:i/>
              </w:rPr>
            </w:pPr>
          </w:p>
          <w:p w14:paraId="405CA499" w14:textId="77777777" w:rsidR="006D6F1B" w:rsidRDefault="006D6F1B" w:rsidP="00370D8E">
            <w:pPr>
              <w:pStyle w:val="COMTabletext"/>
              <w:rPr>
                <w:i/>
              </w:rPr>
            </w:pPr>
          </w:p>
          <w:p w14:paraId="00E69322" w14:textId="269C67E9" w:rsidR="006D6F1B" w:rsidRPr="0098262F" w:rsidRDefault="007C171E" w:rsidP="00370D8E">
            <w:pPr>
              <w:pStyle w:val="COMTabletext"/>
              <w:rPr>
                <w:i/>
              </w:rPr>
            </w:pPr>
            <w:r>
              <w:rPr>
                <w:i/>
              </w:rPr>
              <w:t>The Lancet</w:t>
            </w:r>
            <w:r w:rsidR="00E33B21">
              <w:rPr>
                <w:i/>
              </w:rPr>
              <w:t>. September 25, 2025</w:t>
            </w:r>
          </w:p>
        </w:tc>
      </w:tr>
      <w:tr w:rsidR="00705649" w:rsidRPr="0098262F" w14:paraId="74132A1A" w14:textId="77777777" w:rsidTr="00F256D0">
        <w:trPr>
          <w:cantSplit/>
        </w:trPr>
        <w:tc>
          <w:tcPr>
            <w:tcW w:w="860" w:type="pct"/>
            <w:vMerge w:val="restart"/>
            <w:vAlign w:val="center"/>
          </w:tcPr>
          <w:p w14:paraId="64BEBFAF" w14:textId="77777777" w:rsidR="00705649" w:rsidRDefault="00705649" w:rsidP="00370D8E">
            <w:pPr>
              <w:pStyle w:val="COMTabletext"/>
              <w:keepNext w:val="0"/>
              <w:keepLines w:val="0"/>
            </w:pPr>
            <w:r>
              <w:t>X2202</w:t>
            </w:r>
          </w:p>
          <w:p w14:paraId="30BA87AC" w14:textId="04CC7F09" w:rsidR="00705649" w:rsidRPr="0098262F" w:rsidRDefault="00705649" w:rsidP="00370D8E">
            <w:pPr>
              <w:pStyle w:val="COMTabletext"/>
              <w:rPr>
                <w:rFonts w:ascii="Times" w:hAnsi="Times"/>
              </w:rPr>
            </w:pPr>
            <w:r>
              <w:t>(CLNP023X2202)</w:t>
            </w:r>
          </w:p>
        </w:tc>
        <w:tc>
          <w:tcPr>
            <w:tcW w:w="3166" w:type="pct"/>
            <w:tcBorders>
              <w:bottom w:val="nil"/>
            </w:tcBorders>
          </w:tcPr>
          <w:p w14:paraId="7EF3AEBB" w14:textId="7AA50362" w:rsidR="00705649" w:rsidRPr="00F256D0" w:rsidRDefault="00705649" w:rsidP="00370D8E">
            <w:pPr>
              <w:pStyle w:val="COMTabletext"/>
              <w:keepNext w:val="0"/>
              <w:keepLines w:val="0"/>
              <w:spacing w:after="60"/>
            </w:pPr>
            <w:r>
              <w:t>Novartis (2022). An open-label, non-randomized study on efficacy,</w:t>
            </w:r>
            <w:r w:rsidR="00F256D0">
              <w:t xml:space="preserve"> </w:t>
            </w:r>
            <w:r>
              <w:t>pharmacokinetics, pharmacodynamics, safety and tolerability of LNP023 in two patient populations with C3 glomerulopathy</w:t>
            </w:r>
          </w:p>
        </w:tc>
        <w:tc>
          <w:tcPr>
            <w:tcW w:w="974" w:type="pct"/>
            <w:tcBorders>
              <w:bottom w:val="nil"/>
            </w:tcBorders>
          </w:tcPr>
          <w:p w14:paraId="65832AF0" w14:textId="375462FD" w:rsidR="00705649" w:rsidRPr="0098262F" w:rsidRDefault="00705649" w:rsidP="00370D8E">
            <w:pPr>
              <w:pStyle w:val="COMTabletext"/>
              <w:spacing w:after="60"/>
            </w:pPr>
            <w:r>
              <w:t>Internal study report</w:t>
            </w:r>
          </w:p>
        </w:tc>
      </w:tr>
      <w:tr w:rsidR="00705649" w:rsidRPr="0098262F" w14:paraId="72FE99D8" w14:textId="77777777" w:rsidTr="00F256D0">
        <w:trPr>
          <w:cantSplit/>
        </w:trPr>
        <w:tc>
          <w:tcPr>
            <w:tcW w:w="860" w:type="pct"/>
            <w:vMerge/>
            <w:vAlign w:val="center"/>
          </w:tcPr>
          <w:p w14:paraId="1E431D63" w14:textId="177A5F18" w:rsidR="00705649" w:rsidRPr="0098262F" w:rsidRDefault="00705649" w:rsidP="00370D8E">
            <w:pPr>
              <w:pStyle w:val="COMTabletext"/>
              <w:jc w:val="center"/>
            </w:pPr>
          </w:p>
        </w:tc>
        <w:tc>
          <w:tcPr>
            <w:tcW w:w="3166" w:type="pct"/>
            <w:tcBorders>
              <w:top w:val="nil"/>
              <w:bottom w:val="nil"/>
            </w:tcBorders>
          </w:tcPr>
          <w:p w14:paraId="0FCB0ED9" w14:textId="3DFC917D" w:rsidR="00705649" w:rsidRPr="00F256D0" w:rsidRDefault="00705649" w:rsidP="00370D8E">
            <w:pPr>
              <w:pStyle w:val="COMTabletext"/>
              <w:keepNext w:val="0"/>
              <w:keepLines w:val="0"/>
              <w:spacing w:after="60"/>
              <w:rPr>
                <w:szCs w:val="18"/>
              </w:rPr>
            </w:pPr>
            <w:r>
              <w:rPr>
                <w:szCs w:val="18"/>
              </w:rPr>
              <w:t xml:space="preserve">Wong et al (2023). </w:t>
            </w:r>
            <w:r w:rsidRPr="00F806EE">
              <w:rPr>
                <w:szCs w:val="18"/>
              </w:rPr>
              <w:t xml:space="preserve">Efficacy and </w:t>
            </w:r>
            <w:r>
              <w:rPr>
                <w:szCs w:val="18"/>
              </w:rPr>
              <w:t>s</w:t>
            </w:r>
            <w:r w:rsidRPr="00F806EE">
              <w:rPr>
                <w:szCs w:val="18"/>
              </w:rPr>
              <w:t xml:space="preserve">afety of </w:t>
            </w:r>
            <w:r>
              <w:rPr>
                <w:szCs w:val="18"/>
              </w:rPr>
              <w:t>i</w:t>
            </w:r>
            <w:r w:rsidRPr="00F806EE">
              <w:rPr>
                <w:szCs w:val="18"/>
              </w:rPr>
              <w:t xml:space="preserve">ptacopan in </w:t>
            </w:r>
            <w:r>
              <w:rPr>
                <w:szCs w:val="18"/>
              </w:rPr>
              <w:t>p</w:t>
            </w:r>
            <w:r w:rsidRPr="00F806EE">
              <w:rPr>
                <w:szCs w:val="18"/>
              </w:rPr>
              <w:t>atients</w:t>
            </w:r>
            <w:r w:rsidR="00F256D0">
              <w:rPr>
                <w:szCs w:val="18"/>
              </w:rPr>
              <w:t xml:space="preserve"> </w:t>
            </w:r>
            <w:r>
              <w:rPr>
                <w:szCs w:val="18"/>
              </w:rPr>
              <w:t>w</w:t>
            </w:r>
            <w:r w:rsidRPr="00F806EE">
              <w:rPr>
                <w:szCs w:val="18"/>
              </w:rPr>
              <w:t xml:space="preserve">ith C3 </w:t>
            </w:r>
            <w:r>
              <w:rPr>
                <w:szCs w:val="18"/>
              </w:rPr>
              <w:t>g</w:t>
            </w:r>
            <w:r w:rsidRPr="00F806EE">
              <w:rPr>
                <w:szCs w:val="18"/>
              </w:rPr>
              <w:t>lomerulopathy</w:t>
            </w:r>
          </w:p>
        </w:tc>
        <w:tc>
          <w:tcPr>
            <w:tcW w:w="974" w:type="pct"/>
            <w:tcBorders>
              <w:top w:val="nil"/>
              <w:bottom w:val="nil"/>
            </w:tcBorders>
          </w:tcPr>
          <w:p w14:paraId="7C0550ED" w14:textId="0ED782A9" w:rsidR="00705649" w:rsidRPr="0098262F" w:rsidRDefault="00705649" w:rsidP="00370D8E">
            <w:pPr>
              <w:pStyle w:val="COMTabletext"/>
              <w:spacing w:after="60"/>
              <w:rPr>
                <w:i/>
              </w:rPr>
            </w:pPr>
            <w:r w:rsidRPr="00BE5436">
              <w:rPr>
                <w:i/>
              </w:rPr>
              <w:t>Kidney International Reports</w:t>
            </w:r>
            <w:r>
              <w:rPr>
                <w:iCs/>
              </w:rPr>
              <w:t xml:space="preserve"> 8:2754-2764</w:t>
            </w:r>
          </w:p>
        </w:tc>
      </w:tr>
      <w:tr w:rsidR="00705649" w:rsidRPr="0098262F" w14:paraId="340757F6" w14:textId="77777777" w:rsidTr="00F256D0">
        <w:trPr>
          <w:cantSplit/>
        </w:trPr>
        <w:tc>
          <w:tcPr>
            <w:tcW w:w="860" w:type="pct"/>
            <w:vMerge/>
            <w:tcBorders>
              <w:bottom w:val="nil"/>
            </w:tcBorders>
            <w:vAlign w:val="center"/>
          </w:tcPr>
          <w:p w14:paraId="2C60D627" w14:textId="77777777" w:rsidR="00705649" w:rsidRPr="0098262F" w:rsidRDefault="00705649" w:rsidP="00370D8E">
            <w:pPr>
              <w:pStyle w:val="COMTabletext"/>
              <w:jc w:val="center"/>
            </w:pPr>
          </w:p>
        </w:tc>
        <w:tc>
          <w:tcPr>
            <w:tcW w:w="3166" w:type="pct"/>
            <w:tcBorders>
              <w:top w:val="nil"/>
              <w:bottom w:val="single" w:sz="4" w:space="0" w:color="auto"/>
            </w:tcBorders>
          </w:tcPr>
          <w:p w14:paraId="1A045230" w14:textId="7CBC44B0" w:rsidR="00705649" w:rsidRPr="0098262F" w:rsidRDefault="00705649" w:rsidP="00370D8E">
            <w:pPr>
              <w:pStyle w:val="COMTabletext"/>
            </w:pPr>
            <w:r>
              <w:rPr>
                <w:szCs w:val="18"/>
              </w:rPr>
              <w:t xml:space="preserve">Nester et al (2025). </w:t>
            </w:r>
            <w:r w:rsidRPr="00D5128F">
              <w:rPr>
                <w:szCs w:val="18"/>
              </w:rPr>
              <w:t xml:space="preserve">Iptacopan </w:t>
            </w:r>
            <w:r>
              <w:rPr>
                <w:szCs w:val="18"/>
              </w:rPr>
              <w:t>r</w:t>
            </w:r>
            <w:r w:rsidRPr="00D5128F">
              <w:rPr>
                <w:szCs w:val="18"/>
              </w:rPr>
              <w:t xml:space="preserve">educes </w:t>
            </w:r>
            <w:r>
              <w:rPr>
                <w:szCs w:val="18"/>
              </w:rPr>
              <w:t>p</w:t>
            </w:r>
            <w:r w:rsidRPr="00D5128F">
              <w:rPr>
                <w:szCs w:val="18"/>
              </w:rPr>
              <w:t>roteinuria</w:t>
            </w:r>
            <w:r>
              <w:rPr>
                <w:szCs w:val="18"/>
              </w:rPr>
              <w:t xml:space="preserve"> </w:t>
            </w:r>
            <w:r w:rsidRPr="00D5128F">
              <w:rPr>
                <w:szCs w:val="18"/>
              </w:rPr>
              <w:t xml:space="preserve">and </w:t>
            </w:r>
            <w:r>
              <w:rPr>
                <w:szCs w:val="18"/>
              </w:rPr>
              <w:t>s</w:t>
            </w:r>
            <w:r w:rsidRPr="00D5128F">
              <w:rPr>
                <w:szCs w:val="18"/>
              </w:rPr>
              <w:t xml:space="preserve">tabilizes </w:t>
            </w:r>
            <w:r>
              <w:rPr>
                <w:szCs w:val="18"/>
              </w:rPr>
              <w:t>k</w:t>
            </w:r>
            <w:r w:rsidRPr="00D5128F">
              <w:rPr>
                <w:szCs w:val="18"/>
              </w:rPr>
              <w:t xml:space="preserve">idney </w:t>
            </w:r>
            <w:r>
              <w:rPr>
                <w:szCs w:val="18"/>
              </w:rPr>
              <w:t>f</w:t>
            </w:r>
            <w:r w:rsidRPr="00D5128F">
              <w:rPr>
                <w:szCs w:val="18"/>
              </w:rPr>
              <w:t>unction</w:t>
            </w:r>
            <w:r>
              <w:rPr>
                <w:szCs w:val="18"/>
              </w:rPr>
              <w:t xml:space="preserve"> </w:t>
            </w:r>
            <w:r w:rsidRPr="00D5128F">
              <w:rPr>
                <w:szCs w:val="18"/>
              </w:rPr>
              <w:t xml:space="preserve">in C3 </w:t>
            </w:r>
            <w:r>
              <w:rPr>
                <w:szCs w:val="18"/>
              </w:rPr>
              <w:t>g</w:t>
            </w:r>
            <w:r w:rsidRPr="00D5128F">
              <w:rPr>
                <w:szCs w:val="18"/>
              </w:rPr>
              <w:t>lomerulopathy</w:t>
            </w:r>
          </w:p>
        </w:tc>
        <w:tc>
          <w:tcPr>
            <w:tcW w:w="974" w:type="pct"/>
            <w:tcBorders>
              <w:top w:val="nil"/>
              <w:bottom w:val="single" w:sz="4" w:space="0" w:color="auto"/>
            </w:tcBorders>
          </w:tcPr>
          <w:p w14:paraId="32D1C1DF" w14:textId="5DA41616" w:rsidR="00705649" w:rsidRPr="0098262F" w:rsidRDefault="00705649" w:rsidP="00370D8E">
            <w:pPr>
              <w:pStyle w:val="COMTabletext"/>
              <w:rPr>
                <w:rFonts w:ascii="Times" w:hAnsi="Times"/>
              </w:rPr>
            </w:pPr>
            <w:r w:rsidRPr="00BE5436">
              <w:rPr>
                <w:i/>
              </w:rPr>
              <w:t>Kidney International Reports</w:t>
            </w:r>
            <w:r>
              <w:rPr>
                <w:iCs/>
              </w:rPr>
              <w:t xml:space="preserve"> 10:432-446</w:t>
            </w:r>
          </w:p>
        </w:tc>
      </w:tr>
      <w:tr w:rsidR="00611156" w:rsidRPr="0098262F" w14:paraId="6D19ADB3" w14:textId="77777777" w:rsidTr="00F256D0">
        <w:trPr>
          <w:cantSplit/>
        </w:trPr>
        <w:tc>
          <w:tcPr>
            <w:tcW w:w="860" w:type="pct"/>
            <w:tcBorders>
              <w:bottom w:val="single" w:sz="4" w:space="0" w:color="auto"/>
            </w:tcBorders>
            <w:vAlign w:val="center"/>
          </w:tcPr>
          <w:p w14:paraId="2AD69FE8" w14:textId="77777777" w:rsidR="00611156" w:rsidRPr="0098262F" w:rsidRDefault="00611156" w:rsidP="00370D8E">
            <w:pPr>
              <w:pStyle w:val="COMTabletext"/>
              <w:keepNext w:val="0"/>
              <w:keepLines w:val="0"/>
            </w:pPr>
            <w:r>
              <w:t>B12001B</w:t>
            </w:r>
          </w:p>
          <w:p w14:paraId="40CE4520" w14:textId="2E2EE8A7" w:rsidR="00611156" w:rsidRPr="0098262F" w:rsidRDefault="00611156" w:rsidP="00370D8E">
            <w:pPr>
              <w:pStyle w:val="COMTabletext"/>
              <w:jc w:val="center"/>
            </w:pPr>
            <w:r>
              <w:t>(CLNP023B12001B)</w:t>
            </w:r>
          </w:p>
        </w:tc>
        <w:tc>
          <w:tcPr>
            <w:tcW w:w="3166" w:type="pct"/>
            <w:tcBorders>
              <w:top w:val="single" w:sz="4" w:space="0" w:color="auto"/>
              <w:bottom w:val="single" w:sz="4" w:space="0" w:color="auto"/>
            </w:tcBorders>
          </w:tcPr>
          <w:p w14:paraId="443EA1A2" w14:textId="1E043E4E" w:rsidR="00611156" w:rsidRPr="00E5395C" w:rsidRDefault="00611156" w:rsidP="00370D8E">
            <w:pPr>
              <w:pStyle w:val="COMTabletext"/>
              <w:keepNext w:val="0"/>
              <w:keepLines w:val="0"/>
            </w:pPr>
            <w:r>
              <w:t>Novartis (2024). An open-label, non-randomized extension study to evaluate the long-term efficacy, safety and tolerability of iptacopan</w:t>
            </w:r>
            <w:r w:rsidR="00E5395C">
              <w:t xml:space="preserve"> </w:t>
            </w:r>
            <w:r>
              <w:t>(LNP023) in C3 glomerulopathy or idiopathic immune-complex</w:t>
            </w:r>
            <w:r w:rsidR="00E5395C">
              <w:t xml:space="preserve"> </w:t>
            </w:r>
            <w:r>
              <w:t>membranoproliferative glomerulonephritis (36-months interim analysis of participants from Study CLNP023X2202)</w:t>
            </w:r>
          </w:p>
        </w:tc>
        <w:tc>
          <w:tcPr>
            <w:tcW w:w="974" w:type="pct"/>
            <w:tcBorders>
              <w:top w:val="single" w:sz="4" w:space="0" w:color="auto"/>
              <w:bottom w:val="single" w:sz="4" w:space="0" w:color="auto"/>
            </w:tcBorders>
          </w:tcPr>
          <w:p w14:paraId="31CBA8DB" w14:textId="4B859DC0" w:rsidR="00611156" w:rsidRPr="00611156" w:rsidRDefault="00611156" w:rsidP="00370D8E">
            <w:pPr>
              <w:pStyle w:val="COMTabletext"/>
              <w:rPr>
                <w:iCs/>
              </w:rPr>
            </w:pPr>
            <w:r>
              <w:t>Internal study report</w:t>
            </w:r>
          </w:p>
        </w:tc>
      </w:tr>
      <w:tr w:rsidR="00611156" w:rsidRPr="0098262F" w14:paraId="36C106A0" w14:textId="77777777" w:rsidTr="00F256D0">
        <w:trPr>
          <w:cantSplit/>
          <w:trHeight w:val="88"/>
        </w:trPr>
        <w:tc>
          <w:tcPr>
            <w:tcW w:w="860" w:type="pct"/>
            <w:vMerge w:val="restart"/>
            <w:vAlign w:val="center"/>
          </w:tcPr>
          <w:p w14:paraId="0E0A973B" w14:textId="3A8943C7" w:rsidR="00611156" w:rsidRDefault="00611156" w:rsidP="00370D8E">
            <w:pPr>
              <w:pStyle w:val="COMTabletext"/>
              <w:keepNext w:val="0"/>
              <w:keepLines w:val="0"/>
            </w:pPr>
            <w:r>
              <w:t>Pooled analys</w:t>
            </w:r>
            <w:r w:rsidR="006E49FE">
              <w:t>i</w:t>
            </w:r>
            <w:r>
              <w:t>s (APPEAR-C3G, X2202</w:t>
            </w:r>
            <w:r w:rsidR="00423F9C">
              <w:t xml:space="preserve">, </w:t>
            </w:r>
            <w:r>
              <w:t>B12001B)</w:t>
            </w:r>
          </w:p>
        </w:tc>
        <w:tc>
          <w:tcPr>
            <w:tcW w:w="3166" w:type="pct"/>
            <w:tcBorders>
              <w:top w:val="single" w:sz="4" w:space="0" w:color="auto"/>
              <w:bottom w:val="nil"/>
            </w:tcBorders>
          </w:tcPr>
          <w:p w14:paraId="475879EA" w14:textId="3CF713EA" w:rsidR="00611156" w:rsidRDefault="00611156" w:rsidP="00370D8E">
            <w:pPr>
              <w:pStyle w:val="COMTabletext"/>
              <w:keepNext w:val="0"/>
              <w:keepLines w:val="0"/>
              <w:spacing w:after="60"/>
            </w:pPr>
            <w:r>
              <w:rPr>
                <w:szCs w:val="18"/>
              </w:rPr>
              <w:t>Novartis (2025). CTD 2.5 Clinical overview in C3 glomerulopathy</w:t>
            </w:r>
          </w:p>
        </w:tc>
        <w:tc>
          <w:tcPr>
            <w:tcW w:w="974" w:type="pct"/>
            <w:tcBorders>
              <w:top w:val="single" w:sz="4" w:space="0" w:color="auto"/>
              <w:bottom w:val="nil"/>
            </w:tcBorders>
          </w:tcPr>
          <w:p w14:paraId="2849EACA" w14:textId="6DC3D8BD" w:rsidR="00611156" w:rsidRPr="00BE5436" w:rsidRDefault="00611156" w:rsidP="00370D8E">
            <w:pPr>
              <w:pStyle w:val="COMTabletext"/>
              <w:spacing w:after="60"/>
              <w:rPr>
                <w:i/>
              </w:rPr>
            </w:pPr>
            <w:r>
              <w:t>Internal study report</w:t>
            </w:r>
          </w:p>
        </w:tc>
      </w:tr>
      <w:tr w:rsidR="00611156" w:rsidRPr="0098262F" w14:paraId="00B105F3" w14:textId="77777777" w:rsidTr="00F256D0">
        <w:trPr>
          <w:cantSplit/>
          <w:trHeight w:val="58"/>
        </w:trPr>
        <w:tc>
          <w:tcPr>
            <w:tcW w:w="860" w:type="pct"/>
            <w:vMerge/>
            <w:vAlign w:val="center"/>
          </w:tcPr>
          <w:p w14:paraId="449B2996" w14:textId="77777777" w:rsidR="00611156" w:rsidRDefault="00611156" w:rsidP="00370D8E">
            <w:pPr>
              <w:pStyle w:val="COMTabletext"/>
              <w:keepNext w:val="0"/>
              <w:keepLines w:val="0"/>
            </w:pPr>
          </w:p>
        </w:tc>
        <w:tc>
          <w:tcPr>
            <w:tcW w:w="3166" w:type="pct"/>
            <w:tcBorders>
              <w:top w:val="nil"/>
              <w:bottom w:val="nil"/>
            </w:tcBorders>
          </w:tcPr>
          <w:p w14:paraId="0F9742B3" w14:textId="223DEB9C" w:rsidR="00611156" w:rsidRDefault="00611156" w:rsidP="00370D8E">
            <w:pPr>
              <w:pStyle w:val="COMTabletext"/>
              <w:keepNext w:val="0"/>
              <w:keepLines w:val="0"/>
              <w:spacing w:after="60"/>
              <w:rPr>
                <w:szCs w:val="18"/>
              </w:rPr>
            </w:pPr>
            <w:r>
              <w:rPr>
                <w:szCs w:val="18"/>
              </w:rPr>
              <w:t xml:space="preserve">Novartis (2025). </w:t>
            </w:r>
            <w:r w:rsidRPr="00B60A44">
              <w:rPr>
                <w:szCs w:val="18"/>
              </w:rPr>
              <w:t xml:space="preserve">CTD 2.7.3 Summary of </w:t>
            </w:r>
            <w:r>
              <w:rPr>
                <w:szCs w:val="18"/>
              </w:rPr>
              <w:t>c</w:t>
            </w:r>
            <w:r w:rsidRPr="00B60A44">
              <w:rPr>
                <w:szCs w:val="18"/>
              </w:rPr>
              <w:t xml:space="preserve">linical </w:t>
            </w:r>
            <w:r>
              <w:rPr>
                <w:szCs w:val="18"/>
              </w:rPr>
              <w:t>e</w:t>
            </w:r>
            <w:r w:rsidRPr="00B60A44">
              <w:rPr>
                <w:szCs w:val="18"/>
              </w:rPr>
              <w:t>fficacy</w:t>
            </w:r>
            <w:r>
              <w:rPr>
                <w:szCs w:val="18"/>
              </w:rPr>
              <w:t xml:space="preserve"> </w:t>
            </w:r>
            <w:r w:rsidRPr="00B60A44">
              <w:rPr>
                <w:szCs w:val="18"/>
              </w:rPr>
              <w:t xml:space="preserve">in C3 </w:t>
            </w:r>
            <w:r>
              <w:rPr>
                <w:szCs w:val="18"/>
              </w:rPr>
              <w:t>g</w:t>
            </w:r>
            <w:r w:rsidRPr="00B60A44">
              <w:rPr>
                <w:szCs w:val="18"/>
              </w:rPr>
              <w:t>lomerulopathy</w:t>
            </w:r>
          </w:p>
        </w:tc>
        <w:tc>
          <w:tcPr>
            <w:tcW w:w="974" w:type="pct"/>
            <w:tcBorders>
              <w:top w:val="nil"/>
              <w:bottom w:val="nil"/>
            </w:tcBorders>
          </w:tcPr>
          <w:p w14:paraId="38E69363" w14:textId="3C847938" w:rsidR="00611156" w:rsidRDefault="00611156" w:rsidP="00370D8E">
            <w:pPr>
              <w:pStyle w:val="COMTabletext"/>
              <w:spacing w:after="60"/>
            </w:pPr>
            <w:r>
              <w:t>Internal study report</w:t>
            </w:r>
          </w:p>
        </w:tc>
      </w:tr>
      <w:tr w:rsidR="00611156" w:rsidRPr="0098262F" w14:paraId="0A706976" w14:textId="77777777" w:rsidTr="00F256D0">
        <w:trPr>
          <w:cantSplit/>
          <w:trHeight w:val="58"/>
        </w:trPr>
        <w:tc>
          <w:tcPr>
            <w:tcW w:w="860" w:type="pct"/>
            <w:vMerge/>
            <w:tcBorders>
              <w:bottom w:val="single" w:sz="4" w:space="0" w:color="auto"/>
            </w:tcBorders>
            <w:vAlign w:val="center"/>
          </w:tcPr>
          <w:p w14:paraId="64D40BAE" w14:textId="77777777" w:rsidR="00611156" w:rsidRDefault="00611156" w:rsidP="00370D8E">
            <w:pPr>
              <w:pStyle w:val="COMTabletext"/>
              <w:keepNext w:val="0"/>
              <w:keepLines w:val="0"/>
            </w:pPr>
          </w:p>
        </w:tc>
        <w:tc>
          <w:tcPr>
            <w:tcW w:w="3166" w:type="pct"/>
            <w:tcBorders>
              <w:top w:val="nil"/>
              <w:bottom w:val="single" w:sz="4" w:space="0" w:color="auto"/>
            </w:tcBorders>
          </w:tcPr>
          <w:p w14:paraId="35D0EDD9" w14:textId="158A84B9" w:rsidR="00611156" w:rsidRDefault="00611156" w:rsidP="00370D8E">
            <w:pPr>
              <w:pStyle w:val="COMTabletext"/>
              <w:keepNext w:val="0"/>
              <w:keepLines w:val="0"/>
              <w:rPr>
                <w:szCs w:val="18"/>
              </w:rPr>
            </w:pPr>
            <w:r>
              <w:rPr>
                <w:szCs w:val="18"/>
              </w:rPr>
              <w:t xml:space="preserve">Novartis (2025). </w:t>
            </w:r>
            <w:r w:rsidRPr="00F60F3D">
              <w:rPr>
                <w:szCs w:val="18"/>
              </w:rPr>
              <w:t xml:space="preserve">2.7.4 Summary of </w:t>
            </w:r>
            <w:r>
              <w:rPr>
                <w:szCs w:val="18"/>
              </w:rPr>
              <w:t>c</w:t>
            </w:r>
            <w:r w:rsidRPr="00F60F3D">
              <w:rPr>
                <w:szCs w:val="18"/>
              </w:rPr>
              <w:t xml:space="preserve">linical </w:t>
            </w:r>
            <w:r>
              <w:rPr>
                <w:szCs w:val="18"/>
              </w:rPr>
              <w:t>s</w:t>
            </w:r>
            <w:r w:rsidRPr="00F60F3D">
              <w:rPr>
                <w:szCs w:val="18"/>
              </w:rPr>
              <w:t>afety</w:t>
            </w:r>
            <w:r>
              <w:rPr>
                <w:szCs w:val="18"/>
              </w:rPr>
              <w:t xml:space="preserve"> </w:t>
            </w:r>
            <w:r w:rsidRPr="00F60F3D">
              <w:rPr>
                <w:szCs w:val="18"/>
              </w:rPr>
              <w:t>in C3 glomerulopathy</w:t>
            </w:r>
          </w:p>
        </w:tc>
        <w:tc>
          <w:tcPr>
            <w:tcW w:w="974" w:type="pct"/>
            <w:tcBorders>
              <w:top w:val="nil"/>
              <w:bottom w:val="single" w:sz="4" w:space="0" w:color="auto"/>
            </w:tcBorders>
          </w:tcPr>
          <w:p w14:paraId="2B417D4B" w14:textId="7E12712A" w:rsidR="00611156" w:rsidRDefault="00611156" w:rsidP="00370D8E">
            <w:pPr>
              <w:pStyle w:val="COMTabletext"/>
            </w:pPr>
            <w:r>
              <w:t>Internal study report</w:t>
            </w:r>
          </w:p>
        </w:tc>
      </w:tr>
    </w:tbl>
    <w:p w14:paraId="51D8173A" w14:textId="125C2DCF" w:rsidR="008E0D3C" w:rsidRPr="0098262F" w:rsidRDefault="008E0D3C" w:rsidP="00370D8E">
      <w:pPr>
        <w:pStyle w:val="COMTablefooter"/>
        <w:rPr>
          <w:sz w:val="20"/>
        </w:rPr>
      </w:pPr>
      <w:r w:rsidRPr="0098262F">
        <w:t xml:space="preserve">Source: </w:t>
      </w:r>
      <w:r w:rsidR="00423F9C" w:rsidRPr="00423F9C">
        <w:t>Table 2.5, p57 of the submission</w:t>
      </w:r>
    </w:p>
    <w:p w14:paraId="1DD06D7D" w14:textId="69D41EBC" w:rsidR="007F1017" w:rsidRPr="0098262F" w:rsidRDefault="008F120A" w:rsidP="00370D8E">
      <w:pPr>
        <w:pStyle w:val="COMESnumberedpara"/>
        <w:rPr>
          <w:color w:val="0066FF"/>
        </w:rPr>
      </w:pPr>
      <w:r w:rsidRPr="0098262F">
        <w:t xml:space="preserve">The key features of the </w:t>
      </w:r>
      <w:r w:rsidR="00224DC9">
        <w:t>included studies</w:t>
      </w:r>
      <w:r w:rsidRPr="0098262F">
        <w:t xml:space="preserve"> are summarised in</w:t>
      </w:r>
      <w:r w:rsidR="00D6076E" w:rsidRPr="0098262F">
        <w:t xml:space="preserve"> </w:t>
      </w:r>
      <w:r w:rsidR="00D6076E" w:rsidRPr="0098262F">
        <w:fldChar w:fldCharType="begin"/>
      </w:r>
      <w:r w:rsidR="00D6076E" w:rsidRPr="0098262F">
        <w:instrText xml:space="preserve"> REF _Ref104804098 \h  \* MERGEFORMAT </w:instrText>
      </w:r>
      <w:r w:rsidR="00D6076E" w:rsidRPr="0098262F">
        <w:fldChar w:fldCharType="separate"/>
      </w:r>
      <w:r w:rsidR="00CC1313" w:rsidRPr="0098262F">
        <w:t xml:space="preserve">Table </w:t>
      </w:r>
      <w:r w:rsidR="00CC1313">
        <w:t>3</w:t>
      </w:r>
      <w:r w:rsidR="00D6076E" w:rsidRPr="0098262F">
        <w:fldChar w:fldCharType="end"/>
      </w:r>
      <w:r w:rsidRPr="0098262F">
        <w:t>.</w:t>
      </w:r>
    </w:p>
    <w:p w14:paraId="355E2F15" w14:textId="7D33A7C9" w:rsidR="007F1017" w:rsidRPr="0098262F" w:rsidRDefault="00696EF9" w:rsidP="00370D8E">
      <w:pPr>
        <w:pStyle w:val="COMTableFigurecaption"/>
      </w:pPr>
      <w:bookmarkStart w:id="19" w:name="_Ref104804098"/>
      <w:r w:rsidRPr="0098262F">
        <w:t xml:space="preserve">Table </w:t>
      </w:r>
      <w:r w:rsidR="00DA4682">
        <w:fldChar w:fldCharType="begin"/>
      </w:r>
      <w:r w:rsidR="00DA4682">
        <w:instrText xml:space="preserve"> SEQ Table \* ARABIC </w:instrText>
      </w:r>
      <w:r w:rsidR="00DA4682">
        <w:fldChar w:fldCharType="separate"/>
      </w:r>
      <w:r w:rsidR="00CC1313">
        <w:rPr>
          <w:noProof/>
        </w:rPr>
        <w:t>3</w:t>
      </w:r>
      <w:r w:rsidR="00DA4682">
        <w:rPr>
          <w:noProof/>
        </w:rPr>
        <w:fldChar w:fldCharType="end"/>
      </w:r>
      <w:bookmarkEnd w:id="19"/>
      <w:r w:rsidR="00D6076E" w:rsidRPr="0098262F">
        <w:t xml:space="preserve">: </w:t>
      </w:r>
      <w:r w:rsidR="007F1017" w:rsidRPr="0098262F">
        <w:t xml:space="preserve">Key features of the included </w:t>
      </w:r>
      <w:r w:rsidR="007E355C">
        <w:t>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studies"/>
      </w:tblPr>
      <w:tblGrid>
        <w:gridCol w:w="776"/>
        <w:gridCol w:w="877"/>
        <w:gridCol w:w="1320"/>
        <w:gridCol w:w="613"/>
        <w:gridCol w:w="2544"/>
        <w:gridCol w:w="1747"/>
        <w:gridCol w:w="1140"/>
      </w:tblGrid>
      <w:tr w:rsidR="0084169B" w:rsidRPr="0098262F" w14:paraId="53DD7CC6" w14:textId="77777777" w:rsidTr="0084169B">
        <w:trPr>
          <w:cantSplit/>
          <w:tblHeader/>
        </w:trPr>
        <w:tc>
          <w:tcPr>
            <w:tcW w:w="430" w:type="pct"/>
            <w:vAlign w:val="center"/>
          </w:tcPr>
          <w:p w14:paraId="794116BC" w14:textId="1D682D85" w:rsidR="007F1017" w:rsidRPr="0098262F" w:rsidRDefault="00475359" w:rsidP="00370D8E">
            <w:pPr>
              <w:pStyle w:val="COMTableheadingrow"/>
              <w:keepLines w:val="0"/>
            </w:pPr>
            <w:r>
              <w:t>Study</w:t>
            </w:r>
          </w:p>
        </w:tc>
        <w:tc>
          <w:tcPr>
            <w:tcW w:w="456" w:type="pct"/>
            <w:vAlign w:val="center"/>
          </w:tcPr>
          <w:p w14:paraId="51122FE5" w14:textId="77777777" w:rsidR="007F1017" w:rsidRPr="0098262F" w:rsidRDefault="007F1017" w:rsidP="00370D8E">
            <w:pPr>
              <w:pStyle w:val="COMTableheadingrow"/>
              <w:keepLines w:val="0"/>
              <w:jc w:val="center"/>
            </w:pPr>
            <w:r w:rsidRPr="0098262F">
              <w:t>N</w:t>
            </w:r>
          </w:p>
        </w:tc>
        <w:tc>
          <w:tcPr>
            <w:tcW w:w="738" w:type="pct"/>
            <w:vAlign w:val="center"/>
          </w:tcPr>
          <w:p w14:paraId="41C438EF" w14:textId="1B9B924D" w:rsidR="007F1017" w:rsidRPr="0098262F" w:rsidRDefault="007F1017" w:rsidP="00370D8E">
            <w:pPr>
              <w:pStyle w:val="COMTableheadingrow"/>
              <w:keepLines w:val="0"/>
            </w:pPr>
            <w:r w:rsidRPr="0098262F">
              <w:t>Design/duration</w:t>
            </w:r>
          </w:p>
        </w:tc>
        <w:tc>
          <w:tcPr>
            <w:tcW w:w="346" w:type="pct"/>
            <w:vAlign w:val="center"/>
          </w:tcPr>
          <w:p w14:paraId="1FC91360" w14:textId="77777777" w:rsidR="007F1017" w:rsidRPr="00565CF0" w:rsidRDefault="007F1017" w:rsidP="00370D8E">
            <w:pPr>
              <w:pStyle w:val="COMTableheadingrow"/>
              <w:keepLines w:val="0"/>
              <w:jc w:val="center"/>
            </w:pPr>
            <w:r w:rsidRPr="00565CF0">
              <w:t>Risk of bias</w:t>
            </w:r>
          </w:p>
        </w:tc>
        <w:tc>
          <w:tcPr>
            <w:tcW w:w="1417" w:type="pct"/>
            <w:vAlign w:val="center"/>
          </w:tcPr>
          <w:p w14:paraId="7FF90896" w14:textId="77777777" w:rsidR="007F1017" w:rsidRPr="0098262F" w:rsidRDefault="007F1017" w:rsidP="00370D8E">
            <w:pPr>
              <w:pStyle w:val="COMTableheadingrow"/>
              <w:keepLines w:val="0"/>
              <w:jc w:val="center"/>
            </w:pPr>
            <w:r w:rsidRPr="0098262F">
              <w:t>Patient population</w:t>
            </w:r>
          </w:p>
        </w:tc>
        <w:tc>
          <w:tcPr>
            <w:tcW w:w="975" w:type="pct"/>
            <w:vAlign w:val="center"/>
          </w:tcPr>
          <w:p w14:paraId="0FCB63F9" w14:textId="1CF45C65" w:rsidR="007F1017" w:rsidRPr="0098262F" w:rsidRDefault="007F1017" w:rsidP="00370D8E">
            <w:pPr>
              <w:pStyle w:val="COMTableheadingrow"/>
              <w:keepLines w:val="0"/>
              <w:jc w:val="center"/>
            </w:pPr>
            <w:r w:rsidRPr="0098262F">
              <w:t>Outcomes</w:t>
            </w:r>
          </w:p>
        </w:tc>
        <w:tc>
          <w:tcPr>
            <w:tcW w:w="638" w:type="pct"/>
            <w:vAlign w:val="center"/>
          </w:tcPr>
          <w:p w14:paraId="08C6F624" w14:textId="77777777" w:rsidR="007F1017" w:rsidRPr="0098262F" w:rsidRDefault="007F1017" w:rsidP="00370D8E">
            <w:pPr>
              <w:pStyle w:val="COMTableheadingrow"/>
              <w:keepLines w:val="0"/>
              <w:jc w:val="center"/>
            </w:pPr>
            <w:r w:rsidRPr="0098262F">
              <w:t>Use in modelled evaluation</w:t>
            </w:r>
          </w:p>
        </w:tc>
      </w:tr>
      <w:tr w:rsidR="007F1017" w:rsidRPr="0098262F" w14:paraId="2A03CD4B" w14:textId="77777777" w:rsidTr="00682BA6">
        <w:trPr>
          <w:cantSplit/>
        </w:trPr>
        <w:tc>
          <w:tcPr>
            <w:tcW w:w="5000" w:type="pct"/>
            <w:gridSpan w:val="7"/>
            <w:vAlign w:val="center"/>
          </w:tcPr>
          <w:p w14:paraId="73088C85" w14:textId="6E40EE81" w:rsidR="007F1017" w:rsidRPr="00565CF0" w:rsidRDefault="004D08CB" w:rsidP="00370D8E">
            <w:pPr>
              <w:pStyle w:val="COMTableheadingrow"/>
              <w:keepLines w:val="0"/>
            </w:pPr>
            <w:r w:rsidRPr="00565CF0">
              <w:t>Iptacopan versus placebo</w:t>
            </w:r>
          </w:p>
        </w:tc>
      </w:tr>
      <w:tr w:rsidR="0084169B" w:rsidRPr="0098262F" w14:paraId="4EE88DCB" w14:textId="77777777" w:rsidTr="0084169B">
        <w:trPr>
          <w:cantSplit/>
        </w:trPr>
        <w:tc>
          <w:tcPr>
            <w:tcW w:w="430" w:type="pct"/>
            <w:vAlign w:val="center"/>
          </w:tcPr>
          <w:p w14:paraId="6EE77D33" w14:textId="67191FF8" w:rsidR="007F1017" w:rsidRPr="0098262F" w:rsidRDefault="00475359" w:rsidP="00370D8E">
            <w:pPr>
              <w:pStyle w:val="COMTabletext"/>
              <w:keepNext w:val="0"/>
              <w:keepLines w:val="0"/>
            </w:pPr>
            <w:r>
              <w:t>APPEAR-C3G</w:t>
            </w:r>
          </w:p>
        </w:tc>
        <w:tc>
          <w:tcPr>
            <w:tcW w:w="456" w:type="pct"/>
            <w:vAlign w:val="center"/>
          </w:tcPr>
          <w:p w14:paraId="41BB0E41" w14:textId="7471B51C" w:rsidR="007F1017" w:rsidRPr="0098262F" w:rsidRDefault="00475359" w:rsidP="00370D8E">
            <w:pPr>
              <w:pStyle w:val="COMTabletext"/>
              <w:keepNext w:val="0"/>
              <w:keepLines w:val="0"/>
              <w:jc w:val="center"/>
            </w:pPr>
            <w:r>
              <w:t>74</w:t>
            </w:r>
          </w:p>
        </w:tc>
        <w:tc>
          <w:tcPr>
            <w:tcW w:w="738" w:type="pct"/>
            <w:vAlign w:val="center"/>
          </w:tcPr>
          <w:p w14:paraId="33C9D75F" w14:textId="77777777" w:rsidR="001E0213" w:rsidRDefault="00C01CBC" w:rsidP="00370D8E">
            <w:pPr>
              <w:pStyle w:val="COMTabletext"/>
              <w:keepNext w:val="0"/>
              <w:keepLines w:val="0"/>
            </w:pPr>
            <w:r>
              <w:t>Phase 3, randomised, double-blind, placebo-controlled trial</w:t>
            </w:r>
            <w:r w:rsidR="001E0213">
              <w:t xml:space="preserve"> </w:t>
            </w:r>
          </w:p>
          <w:p w14:paraId="744D08AC" w14:textId="6072EBB8" w:rsidR="007F1017" w:rsidRPr="0098262F" w:rsidRDefault="001E0213" w:rsidP="00370D8E">
            <w:pPr>
              <w:pStyle w:val="COMTabletext"/>
              <w:keepNext w:val="0"/>
              <w:keepLines w:val="0"/>
            </w:pPr>
            <w:r>
              <w:t>(3-month run-in, 6-month double-blind and 6-month open label extension periods)</w:t>
            </w:r>
          </w:p>
        </w:tc>
        <w:tc>
          <w:tcPr>
            <w:tcW w:w="346" w:type="pct"/>
            <w:vAlign w:val="center"/>
          </w:tcPr>
          <w:p w14:paraId="4A529D74" w14:textId="1C560CAA" w:rsidR="007F1017" w:rsidRPr="00565CF0" w:rsidRDefault="001213C7" w:rsidP="00370D8E">
            <w:pPr>
              <w:pStyle w:val="COMTabletext"/>
              <w:keepNext w:val="0"/>
              <w:keepLines w:val="0"/>
              <w:jc w:val="center"/>
            </w:pPr>
            <w:r w:rsidRPr="00565CF0">
              <w:t>High</w:t>
            </w:r>
          </w:p>
        </w:tc>
        <w:tc>
          <w:tcPr>
            <w:tcW w:w="1417" w:type="pct"/>
            <w:vAlign w:val="center"/>
          </w:tcPr>
          <w:p w14:paraId="5E6F456D" w14:textId="43A67DFF" w:rsidR="007F1017" w:rsidRPr="00FD040D" w:rsidRDefault="00C365CA" w:rsidP="00370D8E">
            <w:pPr>
              <w:pStyle w:val="COMTabletext"/>
              <w:keepNext w:val="0"/>
              <w:keepLines w:val="0"/>
              <w:rPr>
                <w:vertAlign w:val="superscript"/>
              </w:rPr>
            </w:pPr>
            <w:r w:rsidRPr="00C365CA">
              <w:t>Adults with biopsy-proven C3G who have native kidneys, eGFR ≥30 mL/min/1.73 m</w:t>
            </w:r>
            <w:r w:rsidRPr="00A90E41">
              <w:rPr>
                <w:vertAlign w:val="superscript"/>
              </w:rPr>
              <w:t>2</w:t>
            </w:r>
            <w:r w:rsidRPr="00C365CA">
              <w:t>, UPCR ≥1.0</w:t>
            </w:r>
            <w:r w:rsidR="00497A87">
              <w:t> </w:t>
            </w:r>
            <w:r w:rsidRPr="00C365CA">
              <w:t>g/g and reduced serum C3 (</w:t>
            </w:r>
            <w:r w:rsidR="00364110">
              <w:t xml:space="preserve">&lt; </w:t>
            </w:r>
            <w:r w:rsidRPr="00C365CA">
              <w:t xml:space="preserve">0.85 </w:t>
            </w:r>
            <w:r w:rsidR="007538F2">
              <w:t>LLN</w:t>
            </w:r>
            <w:r w:rsidRPr="00C365CA">
              <w:t xml:space="preserve">). </w:t>
            </w:r>
            <w:r w:rsidR="000F450F">
              <w:t>On</w:t>
            </w:r>
            <w:r w:rsidR="00B33A65">
              <w:t xml:space="preserve"> maximally</w:t>
            </w:r>
            <w:r w:rsidRPr="00C365CA">
              <w:t xml:space="preserve"> recommended</w:t>
            </w:r>
            <w:r w:rsidR="004B29B0">
              <w:t>/</w:t>
            </w:r>
            <w:r w:rsidRPr="00C365CA">
              <w:t>tolerated dose of ACEI/ARB and stable doses of other antiproteinuric medications</w:t>
            </w:r>
            <w:r w:rsidR="00FD040D">
              <w:t xml:space="preserve"> </w:t>
            </w:r>
            <w:r w:rsidR="00674D18">
              <w:rPr>
                <w:vertAlign w:val="superscript"/>
              </w:rPr>
              <w:t>a</w:t>
            </w:r>
          </w:p>
        </w:tc>
        <w:tc>
          <w:tcPr>
            <w:tcW w:w="975" w:type="pct"/>
            <w:vAlign w:val="center"/>
          </w:tcPr>
          <w:p w14:paraId="27DC9592" w14:textId="77777777" w:rsidR="007F1017" w:rsidRDefault="0040534F" w:rsidP="00370D8E">
            <w:pPr>
              <w:pStyle w:val="COMTabletext"/>
              <w:keepNext w:val="0"/>
              <w:keepLines w:val="0"/>
              <w:spacing w:after="40"/>
            </w:pPr>
            <w:r>
              <w:t xml:space="preserve">Primary: </w:t>
            </w:r>
            <w:r w:rsidR="00662491">
              <w:t>change in UPCR</w:t>
            </w:r>
          </w:p>
          <w:p w14:paraId="6DC76214" w14:textId="632FB34B" w:rsidR="00662491" w:rsidRPr="0098262F" w:rsidRDefault="00662491" w:rsidP="00370D8E">
            <w:pPr>
              <w:pStyle w:val="COMTabletext"/>
              <w:keepNext w:val="0"/>
              <w:keepLines w:val="0"/>
            </w:pPr>
            <w:r>
              <w:t xml:space="preserve">Other: eGFR, </w:t>
            </w:r>
            <w:r w:rsidR="00865C4F">
              <w:t xml:space="preserve">achievement of </w:t>
            </w:r>
            <w:r w:rsidR="000024DC">
              <w:t xml:space="preserve">a </w:t>
            </w:r>
            <w:r>
              <w:t xml:space="preserve">composite renal endpoint </w:t>
            </w:r>
            <w:r w:rsidR="00B33A65">
              <w:t>(</w:t>
            </w:r>
            <w:r>
              <w:t>proteinuria reduction</w:t>
            </w:r>
            <w:r w:rsidR="00B33A65">
              <w:t xml:space="preserve"> ≥50% and</w:t>
            </w:r>
            <w:r>
              <w:t xml:space="preserve"> eGFR change ≤15%)</w:t>
            </w:r>
            <w:r w:rsidR="00615A40">
              <w:t xml:space="preserve">, </w:t>
            </w:r>
            <w:r w:rsidR="00F2196E">
              <w:t>disease activity score, quality of life (FACIT-Fatigue, SF-36, EQ-5D-5L)</w:t>
            </w:r>
            <w:r w:rsidR="00615A40">
              <w:t xml:space="preserve"> </w:t>
            </w:r>
          </w:p>
        </w:tc>
        <w:tc>
          <w:tcPr>
            <w:tcW w:w="638" w:type="pct"/>
            <w:vAlign w:val="center"/>
          </w:tcPr>
          <w:p w14:paraId="150A804C" w14:textId="0160E01E" w:rsidR="007F1017" w:rsidRPr="0098262F" w:rsidRDefault="00793A3D" w:rsidP="00370D8E">
            <w:pPr>
              <w:pStyle w:val="COMTabletext"/>
              <w:keepNext w:val="0"/>
              <w:keepLines w:val="0"/>
              <w:jc w:val="center"/>
            </w:pPr>
            <w:r>
              <w:t>Baseline characteristics</w:t>
            </w:r>
          </w:p>
        </w:tc>
      </w:tr>
      <w:tr w:rsidR="004D08CB" w:rsidRPr="004D08CB" w14:paraId="1CAE9D48" w14:textId="77777777" w:rsidTr="004D08CB">
        <w:trPr>
          <w:cantSplit/>
        </w:trPr>
        <w:tc>
          <w:tcPr>
            <w:tcW w:w="5000" w:type="pct"/>
            <w:gridSpan w:val="7"/>
            <w:vAlign w:val="center"/>
          </w:tcPr>
          <w:p w14:paraId="048C7D46" w14:textId="1805DDAB" w:rsidR="004D08CB" w:rsidRPr="00565CF0" w:rsidRDefault="004D08CB" w:rsidP="00370D8E">
            <w:pPr>
              <w:pStyle w:val="COMTableheadingrow"/>
              <w:keepLines w:val="0"/>
            </w:pPr>
            <w:r w:rsidRPr="00565CF0">
              <w:lastRenderedPageBreak/>
              <w:t>Iptacopan single-arm</w:t>
            </w:r>
            <w:r w:rsidR="00F54BAE" w:rsidRPr="00565CF0">
              <w:t xml:space="preserve"> </w:t>
            </w:r>
            <w:r w:rsidRPr="00565CF0">
              <w:t>studies</w:t>
            </w:r>
          </w:p>
        </w:tc>
      </w:tr>
      <w:tr w:rsidR="0084169B" w:rsidRPr="0098262F" w14:paraId="13A6895C" w14:textId="77777777" w:rsidTr="0084169B">
        <w:trPr>
          <w:cantSplit/>
        </w:trPr>
        <w:tc>
          <w:tcPr>
            <w:tcW w:w="430" w:type="pct"/>
            <w:vAlign w:val="center"/>
          </w:tcPr>
          <w:p w14:paraId="4A9488B3" w14:textId="1FA1B2E6" w:rsidR="007F1017" w:rsidRPr="0098262F" w:rsidRDefault="00475359" w:rsidP="00370D8E">
            <w:pPr>
              <w:pStyle w:val="COMTabletext"/>
              <w:keepNext w:val="0"/>
              <w:keepLines w:val="0"/>
            </w:pPr>
            <w:r>
              <w:t>X2202</w:t>
            </w:r>
          </w:p>
        </w:tc>
        <w:tc>
          <w:tcPr>
            <w:tcW w:w="456" w:type="pct"/>
            <w:vAlign w:val="center"/>
          </w:tcPr>
          <w:p w14:paraId="5E40970B" w14:textId="093627F0" w:rsidR="001A4867" w:rsidRPr="00CF50CD" w:rsidRDefault="00AA6840" w:rsidP="00370D8E">
            <w:pPr>
              <w:pStyle w:val="COMTabletext"/>
              <w:keepNext w:val="0"/>
              <w:keepLines w:val="0"/>
              <w:spacing w:after="120"/>
              <w:jc w:val="center"/>
            </w:pPr>
            <w:r>
              <w:t>Cohort A (n</w:t>
            </w:r>
            <w:r w:rsidR="001A4867">
              <w:t>ative kidneys</w:t>
            </w:r>
            <w:r>
              <w:t>)</w:t>
            </w:r>
            <w:r w:rsidR="001A4867">
              <w:t>, N=16</w:t>
            </w:r>
          </w:p>
          <w:p w14:paraId="3F4D20B5" w14:textId="384E8A1E" w:rsidR="001A4867" w:rsidRPr="0098262F" w:rsidRDefault="00AA6840" w:rsidP="00370D8E">
            <w:pPr>
              <w:pStyle w:val="COMTabletext"/>
              <w:keepNext w:val="0"/>
              <w:keepLines w:val="0"/>
              <w:jc w:val="center"/>
            </w:pPr>
            <w:r>
              <w:t>Cohort B (p</w:t>
            </w:r>
            <w:r w:rsidR="00061991">
              <w:t>ost-transplant</w:t>
            </w:r>
            <w:r>
              <w:t>)</w:t>
            </w:r>
            <w:r w:rsidR="00061991">
              <w:t>, N=11</w:t>
            </w:r>
          </w:p>
        </w:tc>
        <w:tc>
          <w:tcPr>
            <w:tcW w:w="738" w:type="pct"/>
            <w:vAlign w:val="center"/>
          </w:tcPr>
          <w:p w14:paraId="68D92FE7" w14:textId="697A35FD" w:rsidR="007F1017" w:rsidRPr="0098262F" w:rsidRDefault="001E0213" w:rsidP="00370D8E">
            <w:pPr>
              <w:pStyle w:val="COMTabletext"/>
              <w:keepNext w:val="0"/>
              <w:keepLines w:val="0"/>
            </w:pPr>
            <w:r>
              <w:t xml:space="preserve">Phase 2, </w:t>
            </w:r>
            <w:r w:rsidR="005B713E">
              <w:t>open-label, two cohort, single-arm study (3-month run-in, 12</w:t>
            </w:r>
            <w:r w:rsidR="00AD1A1D">
              <w:t>-week treatment period and optional 12-week extension)</w:t>
            </w:r>
          </w:p>
        </w:tc>
        <w:tc>
          <w:tcPr>
            <w:tcW w:w="346" w:type="pct"/>
            <w:vAlign w:val="center"/>
          </w:tcPr>
          <w:p w14:paraId="6F0F93F8" w14:textId="628A79B7" w:rsidR="007F1017" w:rsidRPr="00565CF0" w:rsidRDefault="001213C7" w:rsidP="00370D8E">
            <w:pPr>
              <w:pStyle w:val="COMTabletext"/>
              <w:keepNext w:val="0"/>
              <w:keepLines w:val="0"/>
              <w:jc w:val="center"/>
            </w:pPr>
            <w:r w:rsidRPr="00565CF0">
              <w:t>High</w:t>
            </w:r>
          </w:p>
        </w:tc>
        <w:tc>
          <w:tcPr>
            <w:tcW w:w="1417" w:type="pct"/>
            <w:vAlign w:val="center"/>
          </w:tcPr>
          <w:p w14:paraId="7A3B7139" w14:textId="7F9B899A" w:rsidR="00D31096" w:rsidRPr="00D31096" w:rsidRDefault="00AA6840" w:rsidP="00370D8E">
            <w:pPr>
              <w:pStyle w:val="COMTabletext"/>
              <w:keepNext w:val="0"/>
              <w:keepLines w:val="0"/>
              <w:rPr>
                <w:u w:val="single"/>
              </w:rPr>
            </w:pPr>
            <w:r>
              <w:rPr>
                <w:u w:val="single"/>
              </w:rPr>
              <w:t>Cohort A</w:t>
            </w:r>
          </w:p>
          <w:p w14:paraId="142CBA95" w14:textId="5E155795" w:rsidR="007F1017" w:rsidRDefault="00FD040D" w:rsidP="00370D8E">
            <w:pPr>
              <w:pStyle w:val="COMTabletext"/>
              <w:keepNext w:val="0"/>
              <w:keepLines w:val="0"/>
              <w:spacing w:after="40"/>
              <w:rPr>
                <w:vertAlign w:val="superscript"/>
              </w:rPr>
            </w:pPr>
            <w:r w:rsidRPr="00FD040D">
              <w:t>Adults with biopsy-proven C3G who have native kidneys, eGFR ≥30 mL/min/1.73 m</w:t>
            </w:r>
            <w:r w:rsidRPr="000D7E48">
              <w:rPr>
                <w:vertAlign w:val="superscript"/>
              </w:rPr>
              <w:t>2</w:t>
            </w:r>
            <w:r w:rsidRPr="00FD040D">
              <w:t>, FMV UPCR ≥100 mg/mmol (or ≥1 g/24h total urinary protein excretion) and reduced serum C3 (</w:t>
            </w:r>
            <w:r w:rsidR="00364110">
              <w:t xml:space="preserve">&lt; </w:t>
            </w:r>
            <w:r w:rsidRPr="00FD040D">
              <w:t xml:space="preserve">0.90 </w:t>
            </w:r>
            <w:r w:rsidR="007538F2">
              <w:t>LLN)</w:t>
            </w:r>
            <w:r w:rsidRPr="00FD040D">
              <w:t xml:space="preserve">. </w:t>
            </w:r>
            <w:r w:rsidR="000F450F">
              <w:t>On</w:t>
            </w:r>
            <w:r w:rsidRPr="00FD040D">
              <w:t xml:space="preserve"> maximally recommended</w:t>
            </w:r>
            <w:r w:rsidR="004B29B0">
              <w:t>/</w:t>
            </w:r>
            <w:r w:rsidR="000D7E48">
              <w:t xml:space="preserve"> </w:t>
            </w:r>
            <w:r w:rsidR="004B29B0">
              <w:t>t</w:t>
            </w:r>
            <w:r w:rsidRPr="00FD040D">
              <w:t xml:space="preserve">olerated dose </w:t>
            </w:r>
            <w:r w:rsidR="004B29B0">
              <w:t>of</w:t>
            </w:r>
            <w:r w:rsidRPr="00FD040D">
              <w:t xml:space="preserve"> ACEI/ARB and stable doses of other antiproteinuric medications</w:t>
            </w:r>
            <w:r w:rsidR="00674D18">
              <w:t xml:space="preserve"> </w:t>
            </w:r>
            <w:r w:rsidR="00674D18">
              <w:rPr>
                <w:vertAlign w:val="superscript"/>
              </w:rPr>
              <w:t>a</w:t>
            </w:r>
          </w:p>
          <w:p w14:paraId="10046400" w14:textId="1EB87EBE" w:rsidR="00D31096" w:rsidRPr="00D31096" w:rsidRDefault="00AA6840" w:rsidP="00370D8E">
            <w:pPr>
              <w:pStyle w:val="COMTabletext"/>
              <w:keepNext w:val="0"/>
              <w:keepLines w:val="0"/>
              <w:rPr>
                <w:u w:val="single"/>
              </w:rPr>
            </w:pPr>
            <w:r>
              <w:rPr>
                <w:u w:val="single"/>
              </w:rPr>
              <w:t>Cohort B</w:t>
            </w:r>
          </w:p>
          <w:p w14:paraId="43AC963E" w14:textId="4EC69A05" w:rsidR="00727243" w:rsidRPr="00727243" w:rsidRDefault="00727243" w:rsidP="00370D8E">
            <w:pPr>
              <w:pStyle w:val="COMTabletext"/>
              <w:keepNext w:val="0"/>
              <w:keepLines w:val="0"/>
            </w:pPr>
            <w:r w:rsidRPr="00727243">
              <w:t>Adults with biopsy-proven C3G recurrence after kidney transplantation, eGFR ≥30 mL/min/1.73</w:t>
            </w:r>
            <w:r w:rsidR="008A4739">
              <w:t> </w:t>
            </w:r>
            <w:r w:rsidRPr="00727243">
              <w:t>m</w:t>
            </w:r>
            <w:r w:rsidRPr="008A4739">
              <w:rPr>
                <w:vertAlign w:val="superscript"/>
              </w:rPr>
              <w:t>2</w:t>
            </w:r>
            <w:r w:rsidRPr="00727243">
              <w:t xml:space="preserve"> and</w:t>
            </w:r>
            <w:r w:rsidR="00387F68">
              <w:t xml:space="preserve"> </w:t>
            </w:r>
            <w:r w:rsidRPr="00727243">
              <w:t>normal</w:t>
            </w:r>
            <w:r w:rsidR="003F7E24">
              <w:t>/</w:t>
            </w:r>
            <w:r w:rsidRPr="00727243">
              <w:t xml:space="preserve">elevated urinary protein excretion. </w:t>
            </w:r>
            <w:r w:rsidR="000F450F">
              <w:t>On</w:t>
            </w:r>
            <w:r w:rsidRPr="00727243">
              <w:t xml:space="preserve"> stable doses of immunosuppression with no evidence of allograft rejection</w:t>
            </w:r>
          </w:p>
        </w:tc>
        <w:tc>
          <w:tcPr>
            <w:tcW w:w="975" w:type="pct"/>
            <w:vAlign w:val="center"/>
          </w:tcPr>
          <w:p w14:paraId="71FCECDA" w14:textId="63562AA9" w:rsidR="004278CD" w:rsidRPr="00D31096" w:rsidRDefault="00AA6840" w:rsidP="00370D8E">
            <w:pPr>
              <w:pStyle w:val="COMTabletext"/>
              <w:keepNext w:val="0"/>
              <w:keepLines w:val="0"/>
              <w:rPr>
                <w:u w:val="single"/>
              </w:rPr>
            </w:pPr>
            <w:r>
              <w:rPr>
                <w:u w:val="single"/>
              </w:rPr>
              <w:t>Cohort A</w:t>
            </w:r>
          </w:p>
          <w:p w14:paraId="4E0D111E" w14:textId="77777777" w:rsidR="007F1017" w:rsidRDefault="00FA4628" w:rsidP="00370D8E">
            <w:pPr>
              <w:pStyle w:val="COMTabletext"/>
              <w:keepNext w:val="0"/>
              <w:keepLines w:val="0"/>
              <w:spacing w:after="40"/>
            </w:pPr>
            <w:r>
              <w:t xml:space="preserve">Primary: </w:t>
            </w:r>
            <w:r w:rsidR="00D333A2">
              <w:t>change in UPCR</w:t>
            </w:r>
          </w:p>
          <w:p w14:paraId="668ACC1F" w14:textId="77777777" w:rsidR="00D333A2" w:rsidRDefault="00D333A2" w:rsidP="00370D8E">
            <w:pPr>
              <w:pStyle w:val="COMTabletext"/>
              <w:keepNext w:val="0"/>
              <w:keepLines w:val="0"/>
              <w:spacing w:after="40"/>
            </w:pPr>
            <w:r>
              <w:t xml:space="preserve">Other: </w:t>
            </w:r>
            <w:r w:rsidR="00FA1D81">
              <w:t>change in other biomarkers of kidney function including eGFR</w:t>
            </w:r>
          </w:p>
          <w:p w14:paraId="76EE6EF8" w14:textId="5218626B" w:rsidR="00FA1D81" w:rsidRDefault="00AA6840" w:rsidP="00370D8E">
            <w:pPr>
              <w:pStyle w:val="COMTabletext"/>
              <w:keepNext w:val="0"/>
              <w:keepLines w:val="0"/>
            </w:pPr>
            <w:r>
              <w:rPr>
                <w:u w:val="single"/>
              </w:rPr>
              <w:t>Cohort B</w:t>
            </w:r>
          </w:p>
          <w:p w14:paraId="2EFE5194" w14:textId="77777777" w:rsidR="00FA1D81" w:rsidRDefault="00FA1D81" w:rsidP="00370D8E">
            <w:pPr>
              <w:pStyle w:val="COMTabletext"/>
              <w:keepNext w:val="0"/>
              <w:keepLines w:val="0"/>
              <w:spacing w:after="40"/>
            </w:pPr>
            <w:r>
              <w:t>Primary: change in C3 Deposit Score</w:t>
            </w:r>
          </w:p>
          <w:p w14:paraId="4F0C99D2" w14:textId="71091E3D" w:rsidR="00187FBF" w:rsidRPr="00FA1D81" w:rsidRDefault="00187FBF" w:rsidP="00370D8E">
            <w:pPr>
              <w:pStyle w:val="COMTabletext"/>
              <w:keepNext w:val="0"/>
              <w:keepLines w:val="0"/>
            </w:pPr>
            <w:r>
              <w:t xml:space="preserve">Other: change in other biomarkers of kidney function including eGFR </w:t>
            </w:r>
          </w:p>
        </w:tc>
        <w:tc>
          <w:tcPr>
            <w:tcW w:w="638" w:type="pct"/>
            <w:vAlign w:val="center"/>
          </w:tcPr>
          <w:p w14:paraId="3175EA34" w14:textId="706A69DB" w:rsidR="007F1017" w:rsidRPr="0098262F" w:rsidRDefault="00E66949" w:rsidP="00370D8E">
            <w:pPr>
              <w:pStyle w:val="COMTabletext"/>
              <w:keepNext w:val="0"/>
              <w:keepLines w:val="0"/>
              <w:jc w:val="center"/>
            </w:pPr>
            <w:r>
              <w:t>Not used</w:t>
            </w:r>
          </w:p>
        </w:tc>
      </w:tr>
      <w:tr w:rsidR="0084169B" w:rsidRPr="0098262F" w14:paraId="6DAFAEAF" w14:textId="77777777" w:rsidTr="0084169B">
        <w:trPr>
          <w:cantSplit/>
        </w:trPr>
        <w:tc>
          <w:tcPr>
            <w:tcW w:w="430" w:type="pct"/>
            <w:vAlign w:val="center"/>
          </w:tcPr>
          <w:p w14:paraId="76F0584C" w14:textId="5A1270BC" w:rsidR="007F1017" w:rsidRPr="0098262F" w:rsidRDefault="00475359" w:rsidP="00370D8E">
            <w:pPr>
              <w:pStyle w:val="COMTabletext"/>
              <w:keepNext w:val="0"/>
              <w:keepLines w:val="0"/>
            </w:pPr>
            <w:r>
              <w:t>B12001B</w:t>
            </w:r>
          </w:p>
        </w:tc>
        <w:tc>
          <w:tcPr>
            <w:tcW w:w="456" w:type="pct"/>
            <w:vAlign w:val="center"/>
          </w:tcPr>
          <w:p w14:paraId="3E2AE435" w14:textId="77777777" w:rsidR="007F1017" w:rsidRDefault="00CF50CD" w:rsidP="00370D8E">
            <w:pPr>
              <w:pStyle w:val="COMTabletext"/>
              <w:keepNext w:val="0"/>
              <w:keepLines w:val="0"/>
              <w:spacing w:after="120"/>
              <w:jc w:val="center"/>
            </w:pPr>
            <w:r>
              <w:t>Rollover from X2202, N=26</w:t>
            </w:r>
          </w:p>
          <w:p w14:paraId="7D785F8E" w14:textId="6F3ECC8B" w:rsidR="00CF50CD" w:rsidRPr="0098262F" w:rsidRDefault="00CF50CD" w:rsidP="00370D8E">
            <w:pPr>
              <w:pStyle w:val="COMTabletext"/>
              <w:keepNext w:val="0"/>
              <w:keepLines w:val="0"/>
              <w:jc w:val="center"/>
            </w:pPr>
            <w:r>
              <w:t>Rollover from APPEAR-C3G, N=66</w:t>
            </w:r>
          </w:p>
        </w:tc>
        <w:tc>
          <w:tcPr>
            <w:tcW w:w="738" w:type="pct"/>
            <w:vAlign w:val="center"/>
          </w:tcPr>
          <w:p w14:paraId="4F10C1AA" w14:textId="2BC90957" w:rsidR="007F1017" w:rsidRPr="007B5C78" w:rsidRDefault="00393D96" w:rsidP="00370D8E">
            <w:pPr>
              <w:pStyle w:val="COMTabletext"/>
              <w:keepNext w:val="0"/>
              <w:keepLines w:val="0"/>
              <w:rPr>
                <w:vertAlign w:val="superscript"/>
              </w:rPr>
            </w:pPr>
            <w:r>
              <w:t xml:space="preserve">Open-label, non-randomised extension </w:t>
            </w:r>
            <w:r w:rsidR="00F54BAE">
              <w:t>study</w:t>
            </w:r>
            <w:r w:rsidR="007B5C78">
              <w:t xml:space="preserve"> (planned data collection up to 66 months for patients from X2202) </w:t>
            </w:r>
            <w:r w:rsidR="00674D18">
              <w:rPr>
                <w:vertAlign w:val="superscript"/>
              </w:rPr>
              <w:t>b</w:t>
            </w:r>
          </w:p>
        </w:tc>
        <w:tc>
          <w:tcPr>
            <w:tcW w:w="346" w:type="pct"/>
            <w:vAlign w:val="center"/>
          </w:tcPr>
          <w:p w14:paraId="50E27A90" w14:textId="0AD98B64" w:rsidR="007F1017" w:rsidRPr="00565CF0" w:rsidRDefault="00727243" w:rsidP="00370D8E">
            <w:pPr>
              <w:pStyle w:val="COMTabletext"/>
              <w:keepNext w:val="0"/>
              <w:keepLines w:val="0"/>
              <w:jc w:val="center"/>
            </w:pPr>
            <w:r w:rsidRPr="00565CF0">
              <w:t>High</w:t>
            </w:r>
          </w:p>
        </w:tc>
        <w:tc>
          <w:tcPr>
            <w:tcW w:w="1417" w:type="pct"/>
            <w:vAlign w:val="center"/>
          </w:tcPr>
          <w:p w14:paraId="1B84BE0E" w14:textId="59CD5A80" w:rsidR="007F1017" w:rsidRPr="0098262F" w:rsidRDefault="00387F68" w:rsidP="00370D8E">
            <w:pPr>
              <w:pStyle w:val="COMTabletext"/>
              <w:keepNext w:val="0"/>
              <w:keepLines w:val="0"/>
            </w:pPr>
            <w:r>
              <w:t>Patients who completed study X2202 or the APPEAR-C3G trial</w:t>
            </w:r>
          </w:p>
        </w:tc>
        <w:tc>
          <w:tcPr>
            <w:tcW w:w="975" w:type="pct"/>
            <w:vAlign w:val="center"/>
          </w:tcPr>
          <w:p w14:paraId="4E7BED76" w14:textId="72D55C7B" w:rsidR="00077B90" w:rsidRPr="0031536F" w:rsidRDefault="00865C4F" w:rsidP="00370D8E">
            <w:pPr>
              <w:pStyle w:val="COMTabletext"/>
              <w:keepNext w:val="0"/>
              <w:keepLines w:val="0"/>
            </w:pPr>
            <w:r>
              <w:t>Achievement of composite renal endpoints</w:t>
            </w:r>
            <w:r w:rsidR="0031536F">
              <w:t xml:space="preserve"> </w:t>
            </w:r>
            <w:r w:rsidR="0031536F">
              <w:rPr>
                <w:vertAlign w:val="superscript"/>
              </w:rPr>
              <w:t>c</w:t>
            </w:r>
            <w:r w:rsidR="0031536F">
              <w:t xml:space="preserve">, change in kidney function biomarkers </w:t>
            </w:r>
            <w:r w:rsidR="00A3104B">
              <w:t>(UPCR, eGFR)</w:t>
            </w:r>
          </w:p>
        </w:tc>
        <w:tc>
          <w:tcPr>
            <w:tcW w:w="638" w:type="pct"/>
            <w:vAlign w:val="center"/>
          </w:tcPr>
          <w:p w14:paraId="0351A18F" w14:textId="13C9A617" w:rsidR="007F1017" w:rsidRPr="0098262F" w:rsidRDefault="00E66949" w:rsidP="00370D8E">
            <w:pPr>
              <w:pStyle w:val="COMTabletext"/>
              <w:keepNext w:val="0"/>
              <w:keepLines w:val="0"/>
              <w:jc w:val="center"/>
            </w:pPr>
            <w:r>
              <w:t>Not used</w:t>
            </w:r>
          </w:p>
        </w:tc>
      </w:tr>
      <w:tr w:rsidR="006E49FE" w:rsidRPr="006E49FE" w14:paraId="5333FA16" w14:textId="77777777" w:rsidTr="006E49FE">
        <w:trPr>
          <w:cantSplit/>
        </w:trPr>
        <w:tc>
          <w:tcPr>
            <w:tcW w:w="5000" w:type="pct"/>
            <w:gridSpan w:val="7"/>
            <w:vAlign w:val="center"/>
          </w:tcPr>
          <w:p w14:paraId="1A01D423" w14:textId="035E9641" w:rsidR="006E49FE" w:rsidRPr="00565CF0" w:rsidRDefault="006E49FE" w:rsidP="00370D8E">
            <w:pPr>
              <w:pStyle w:val="COMTableheadingrow"/>
              <w:keepLines w:val="0"/>
            </w:pPr>
            <w:r w:rsidRPr="00565CF0">
              <w:t>Pooled analysis</w:t>
            </w:r>
          </w:p>
        </w:tc>
      </w:tr>
      <w:tr w:rsidR="0084169B" w:rsidRPr="0098262F" w14:paraId="7641C7FC" w14:textId="77777777" w:rsidTr="0084169B">
        <w:trPr>
          <w:cantSplit/>
        </w:trPr>
        <w:tc>
          <w:tcPr>
            <w:tcW w:w="430" w:type="pct"/>
            <w:vAlign w:val="center"/>
          </w:tcPr>
          <w:p w14:paraId="15A5EF02" w14:textId="7D299E57" w:rsidR="0084169B" w:rsidRDefault="006E49FE" w:rsidP="00370D8E">
            <w:pPr>
              <w:pStyle w:val="COMTabletext"/>
              <w:keepNext w:val="0"/>
              <w:keepLines w:val="0"/>
            </w:pPr>
            <w:r>
              <w:t>APPEAR-C3G, X2202, B12001B</w:t>
            </w:r>
          </w:p>
        </w:tc>
        <w:tc>
          <w:tcPr>
            <w:tcW w:w="456" w:type="pct"/>
            <w:vAlign w:val="center"/>
          </w:tcPr>
          <w:p w14:paraId="19CEE291" w14:textId="55C545D8" w:rsidR="0084169B" w:rsidRDefault="006E49FE" w:rsidP="00370D8E">
            <w:pPr>
              <w:pStyle w:val="COMTabletext"/>
              <w:keepNext w:val="0"/>
              <w:keepLines w:val="0"/>
              <w:spacing w:after="120"/>
              <w:jc w:val="center"/>
            </w:pPr>
            <w:r>
              <w:t>90</w:t>
            </w:r>
          </w:p>
        </w:tc>
        <w:tc>
          <w:tcPr>
            <w:tcW w:w="738" w:type="pct"/>
            <w:vAlign w:val="center"/>
          </w:tcPr>
          <w:p w14:paraId="30D6890D" w14:textId="573AE066" w:rsidR="0084169B" w:rsidRDefault="001C3EAB" w:rsidP="00370D8E">
            <w:pPr>
              <w:pStyle w:val="COMTabletext"/>
              <w:keepNext w:val="0"/>
              <w:keepLines w:val="0"/>
            </w:pPr>
            <w:r>
              <w:t>Exploratory analysis including historical data</w:t>
            </w:r>
          </w:p>
        </w:tc>
        <w:tc>
          <w:tcPr>
            <w:tcW w:w="346" w:type="pct"/>
            <w:vAlign w:val="center"/>
          </w:tcPr>
          <w:p w14:paraId="3154904A" w14:textId="7CF8BB10" w:rsidR="0084169B" w:rsidRPr="00565CF0" w:rsidRDefault="008C5889" w:rsidP="00370D8E">
            <w:pPr>
              <w:pStyle w:val="COMTabletext"/>
              <w:keepNext w:val="0"/>
              <w:keepLines w:val="0"/>
              <w:jc w:val="center"/>
            </w:pPr>
            <w:r w:rsidRPr="00565CF0">
              <w:t>High</w:t>
            </w:r>
          </w:p>
        </w:tc>
        <w:tc>
          <w:tcPr>
            <w:tcW w:w="1417" w:type="pct"/>
            <w:vAlign w:val="center"/>
          </w:tcPr>
          <w:p w14:paraId="14303530" w14:textId="503FB9D5" w:rsidR="0084169B" w:rsidRDefault="0012100A" w:rsidP="00370D8E">
            <w:pPr>
              <w:pStyle w:val="COMTabletext"/>
              <w:keepNext w:val="0"/>
              <w:keepLines w:val="0"/>
            </w:pPr>
            <w:r>
              <w:t xml:space="preserve">Patients </w:t>
            </w:r>
            <w:r w:rsidR="005A59A7">
              <w:t xml:space="preserve">in the APPEAR-C3G trial, X2202 study (native kidneys cohort) </w:t>
            </w:r>
            <w:r w:rsidR="00C23C56">
              <w:t>and B12001B extension study</w:t>
            </w:r>
          </w:p>
        </w:tc>
        <w:tc>
          <w:tcPr>
            <w:tcW w:w="975" w:type="pct"/>
            <w:vAlign w:val="center"/>
          </w:tcPr>
          <w:p w14:paraId="18751ECC" w14:textId="05284A56" w:rsidR="0084169B" w:rsidRPr="00983F2E" w:rsidRDefault="00233924" w:rsidP="00370D8E">
            <w:pPr>
              <w:pStyle w:val="COMTabletext"/>
              <w:keepNext w:val="0"/>
              <w:keepLines w:val="0"/>
            </w:pPr>
            <w:r>
              <w:t>Annualised eGFR slope (mL/</w:t>
            </w:r>
            <w:r w:rsidR="00983F2E">
              <w:t>min/1.73 m</w:t>
            </w:r>
            <w:r w:rsidR="00983F2E">
              <w:rPr>
                <w:vertAlign w:val="superscript"/>
              </w:rPr>
              <w:t>2</w:t>
            </w:r>
            <w:r w:rsidR="00983F2E">
              <w:t xml:space="preserve"> per year)</w:t>
            </w:r>
          </w:p>
        </w:tc>
        <w:tc>
          <w:tcPr>
            <w:tcW w:w="638" w:type="pct"/>
            <w:vAlign w:val="center"/>
          </w:tcPr>
          <w:p w14:paraId="602B3FF7" w14:textId="5BFDCAAB" w:rsidR="0084169B" w:rsidRPr="0098262F" w:rsidRDefault="008C5889" w:rsidP="00370D8E">
            <w:pPr>
              <w:pStyle w:val="COMTabletext"/>
              <w:keepNext w:val="0"/>
              <w:keepLines w:val="0"/>
              <w:jc w:val="center"/>
            </w:pPr>
            <w:r>
              <w:t>Rate of eGFR decline in the placebo arm</w:t>
            </w:r>
          </w:p>
        </w:tc>
      </w:tr>
    </w:tbl>
    <w:p w14:paraId="1FBFC2D4" w14:textId="464EE42D" w:rsidR="00E853D4" w:rsidRDefault="00045017" w:rsidP="00370D8E">
      <w:pPr>
        <w:pStyle w:val="COMTablefooter"/>
      </w:pPr>
      <w:r w:rsidRPr="0098262F">
        <w:t xml:space="preserve">Source: </w:t>
      </w:r>
      <w:r w:rsidR="00E853D4">
        <w:t>Section 2.3, pp59-71; Section 2.4, pp72-99 of the submission</w:t>
      </w:r>
    </w:p>
    <w:p w14:paraId="0E0FD163" w14:textId="56C3A90E" w:rsidR="00E853D4" w:rsidRDefault="00E853D4" w:rsidP="00370D8E">
      <w:pPr>
        <w:pStyle w:val="COMTablefooter"/>
      </w:pPr>
      <w:r>
        <w:t xml:space="preserve">Abbreviations: </w:t>
      </w:r>
      <w:r w:rsidR="00814E12">
        <w:t xml:space="preserve">ACEI, angiotensin converting enzyme inhibitor; ARB, angiotensin receptor blocker; </w:t>
      </w:r>
      <w:r w:rsidR="00387F68">
        <w:t xml:space="preserve">eGFR, estimated glomerular filtration rate; </w:t>
      </w:r>
      <w:r w:rsidR="00814E12">
        <w:t xml:space="preserve">FMV, first morning void; </w:t>
      </w:r>
      <w:r w:rsidR="00387F68">
        <w:t>LLN, lower limit of normal; UPCR, urine protein-creatinine ratio</w:t>
      </w:r>
    </w:p>
    <w:p w14:paraId="48FAA3BC" w14:textId="025ED4E8" w:rsidR="00674D18" w:rsidRDefault="007B5C78" w:rsidP="00370D8E">
      <w:pPr>
        <w:pStyle w:val="COMTablefooter"/>
      </w:pPr>
      <w:r>
        <w:rPr>
          <w:vertAlign w:val="superscript"/>
        </w:rPr>
        <w:t>a</w:t>
      </w:r>
      <w:r>
        <w:t xml:space="preserve"> </w:t>
      </w:r>
      <w:r w:rsidR="00727243">
        <w:t>Including mycophenolate mofetil/sodium, corticosteroids (up to 7.5 mg per day), SGLT2 inhibitors and mineralocorticoid receptor antagonists</w:t>
      </w:r>
    </w:p>
    <w:p w14:paraId="0605C505" w14:textId="0437B6CE" w:rsidR="007B5C78" w:rsidRDefault="00674D18" w:rsidP="00370D8E">
      <w:pPr>
        <w:pStyle w:val="COMTablefooter"/>
      </w:pPr>
      <w:r w:rsidRPr="00674D18">
        <w:rPr>
          <w:vertAlign w:val="superscript"/>
        </w:rPr>
        <w:t>b</w:t>
      </w:r>
      <w:r>
        <w:t xml:space="preserve"> </w:t>
      </w:r>
      <w:r w:rsidR="007B5C78" w:rsidRPr="00674D18">
        <w:t>Primarily</w:t>
      </w:r>
      <w:r w:rsidR="007B5C78" w:rsidRPr="007B5C78">
        <w:t xml:space="preserve"> designed as an extension to study X2202 but also allows for optional transition of patients completing two </w:t>
      </w:r>
      <w:r w:rsidR="001213C7">
        <w:t xml:space="preserve">other </w:t>
      </w:r>
      <w:r w:rsidR="007B5C78" w:rsidRPr="007B5C78">
        <w:t>trials of iptacopan for C3G (APPEAR-C3G) and IC-MPGN (APPARENT)</w:t>
      </w:r>
    </w:p>
    <w:p w14:paraId="17D04DF9" w14:textId="3BC59FAF" w:rsidR="00A3104B" w:rsidRPr="008D48BD" w:rsidRDefault="00A3104B" w:rsidP="00370D8E">
      <w:pPr>
        <w:pStyle w:val="COMTablefooter"/>
      </w:pPr>
      <w:r>
        <w:rPr>
          <w:vertAlign w:val="superscript"/>
        </w:rPr>
        <w:t>c</w:t>
      </w:r>
      <w:r>
        <w:t xml:space="preserve"> </w:t>
      </w:r>
      <w:r w:rsidR="0046478E">
        <w:t xml:space="preserve">Assessed in the X2202 rollover population only: </w:t>
      </w:r>
      <w:r>
        <w:t xml:space="preserve">2-component renal endpoint </w:t>
      </w:r>
      <w:r w:rsidR="00904ED6">
        <w:t>(</w:t>
      </w:r>
      <w:r w:rsidR="00904ED6" w:rsidRPr="00904ED6">
        <w:t>≤15% reduction in eGFR</w:t>
      </w:r>
      <w:r w:rsidR="00DC096D">
        <w:t xml:space="preserve"> </w:t>
      </w:r>
      <w:r w:rsidR="00DC096D" w:rsidRPr="004C1601">
        <w:rPr>
          <w:u w:val="single"/>
        </w:rPr>
        <w:t>and</w:t>
      </w:r>
      <w:r w:rsidR="00DC096D">
        <w:t xml:space="preserve"> </w:t>
      </w:r>
      <w:r w:rsidR="00DC096D" w:rsidRPr="00DC096D">
        <w:t>≥50% reduction in UPCR</w:t>
      </w:r>
      <w:r w:rsidR="00DC096D">
        <w:t>) and 3-component renal endpoint (</w:t>
      </w:r>
      <w:r w:rsidR="00DC096D" w:rsidRPr="00DC096D">
        <w:t>≤10% reduction in eGFR</w:t>
      </w:r>
      <w:r w:rsidR="00DC096D">
        <w:t xml:space="preserve"> </w:t>
      </w:r>
      <w:r w:rsidR="00DC096D" w:rsidRPr="00DC096D">
        <w:rPr>
          <w:u w:val="single"/>
        </w:rPr>
        <w:t>and</w:t>
      </w:r>
      <w:r w:rsidR="00DC096D">
        <w:rPr>
          <w:u w:val="single"/>
        </w:rPr>
        <w:t xml:space="preserve"> either </w:t>
      </w:r>
      <w:r w:rsidR="00DC096D" w:rsidRPr="0046478E">
        <w:t xml:space="preserve">a </w:t>
      </w:r>
      <w:r w:rsidR="00DC096D" w:rsidRPr="00DC096D">
        <w:t>50% reduction in UPCR</w:t>
      </w:r>
      <w:r w:rsidR="008D48BD">
        <w:t xml:space="preserve"> </w:t>
      </w:r>
      <w:r w:rsidR="008D48BD">
        <w:rPr>
          <w:u w:val="single"/>
        </w:rPr>
        <w:t>or</w:t>
      </w:r>
      <w:r w:rsidR="008D48BD">
        <w:t xml:space="preserve"> a </w:t>
      </w:r>
      <w:r w:rsidR="008D48BD" w:rsidRPr="0021576D">
        <w:t xml:space="preserve">reduction to UPCR </w:t>
      </w:r>
      <w:r w:rsidR="00364110">
        <w:t xml:space="preserve">&lt; </w:t>
      </w:r>
      <w:r w:rsidR="008D48BD" w:rsidRPr="0021576D">
        <w:t>300 mg/g</w:t>
      </w:r>
    </w:p>
    <w:p w14:paraId="4B83BBF3" w14:textId="79FBC7D0" w:rsidR="00045017" w:rsidRPr="00565CF0" w:rsidRDefault="002A0B3F" w:rsidP="00370D8E">
      <w:pPr>
        <w:pStyle w:val="COMESnumberedpara"/>
      </w:pPr>
      <w:r w:rsidRPr="00565CF0">
        <w:t xml:space="preserve">The risk of bias in the APPEAR-C3G trial was minimised by the randomised controlled study design and blinding. However, there were notable imbalances between treatment arms at baseline in terms of key parameters of disease severity (age at diagnosis, proteinuria level, eGFR level) and subtype (C3GN versus DDD). The study report noted that these imbalances were consistent with patients randomised to </w:t>
      </w:r>
      <w:r w:rsidRPr="00565CF0">
        <w:lastRenderedPageBreak/>
        <w:t>iptacopan presenting with a more severe disease phenotype. These differences introduce a potentially high risk of bias in terms of study results.</w:t>
      </w:r>
    </w:p>
    <w:p w14:paraId="4B9EC545" w14:textId="77455A72" w:rsidR="00E6307A" w:rsidRPr="00565CF0" w:rsidRDefault="00037130" w:rsidP="00370D8E">
      <w:pPr>
        <w:pStyle w:val="COMESnumberedpara"/>
      </w:pPr>
      <w:r w:rsidRPr="00565CF0">
        <w:t xml:space="preserve">The applicability of the APPEAR-C3G population to the proposed PBS population is uncertain given the lack of Australian patient characteristics. During the evaluation, patient characteristics based on medical history at diagnosis from the APPEAR-C3G trial were compared </w:t>
      </w:r>
      <w:r w:rsidR="00A428E7" w:rsidRPr="00565CF0">
        <w:t xml:space="preserve">with </w:t>
      </w:r>
      <w:r w:rsidRPr="00565CF0">
        <w:t xml:space="preserve">data from the </w:t>
      </w:r>
      <w:r w:rsidR="00A428E7" w:rsidRPr="00565CF0">
        <w:t>UK National Registry of Rare Kidney Diseases (</w:t>
      </w:r>
      <w:proofErr w:type="spellStart"/>
      <w:r w:rsidR="00A428E7" w:rsidRPr="00565CF0">
        <w:t>RaDaR</w:t>
      </w:r>
      <w:proofErr w:type="spellEnd"/>
      <w:r w:rsidR="00A428E7" w:rsidRPr="00565CF0">
        <w:t>) registry</w:t>
      </w:r>
      <w:r w:rsidRPr="00565CF0">
        <w:t xml:space="preserve"> and the Spanish Group for the Study of Glomerular Disease (GLOSEN) regist</w:t>
      </w:r>
      <w:r w:rsidR="00A428E7" w:rsidRPr="00565CF0">
        <w:t>ry</w:t>
      </w:r>
      <w:r w:rsidRPr="00565CF0">
        <w:t>, used to inform alternative inputs in the economic model</w:t>
      </w:r>
      <w:r w:rsidR="00FB5BE7" w:rsidRPr="00565CF0">
        <w:t>.</w:t>
      </w:r>
    </w:p>
    <w:p w14:paraId="671957FB" w14:textId="73ADCC72" w:rsidR="00FB5BE7" w:rsidRPr="00A81BBC" w:rsidRDefault="00FB5BE7" w:rsidP="00370D8E">
      <w:pPr>
        <w:pStyle w:val="COMESnumberedpara"/>
      </w:pPr>
      <w:r w:rsidRPr="00565CF0">
        <w:t>The APPEAR-C3G trial and observational study cohorts differed in terms of patient demographics</w:t>
      </w:r>
      <w:r w:rsidR="00BE1CD1" w:rsidRPr="00565CF0">
        <w:t xml:space="preserve">, disease phenotype, clinical presentation and kidney function at diagnosis. </w:t>
      </w:r>
      <w:r w:rsidR="00A37679" w:rsidRPr="00565CF0">
        <w:t xml:space="preserve">At diagnosis, more than half the APPEAR-C3G population were adults while the </w:t>
      </w:r>
      <w:proofErr w:type="spellStart"/>
      <w:r w:rsidR="00A37679" w:rsidRPr="00565CF0">
        <w:t>RaDaR</w:t>
      </w:r>
      <w:proofErr w:type="spellEnd"/>
      <w:r w:rsidR="00A37679" w:rsidRPr="00565CF0">
        <w:t xml:space="preserve"> population were predominantly paediatric and</w:t>
      </w:r>
      <w:r w:rsidR="000D7E48" w:rsidRPr="00565CF0">
        <w:t xml:space="preserve"> </w:t>
      </w:r>
      <w:proofErr w:type="gramStart"/>
      <w:r w:rsidR="000D7E48" w:rsidRPr="00565CF0">
        <w:t xml:space="preserve">the </w:t>
      </w:r>
      <w:r w:rsidR="00A37679" w:rsidRPr="00565CF0">
        <w:t>majority of</w:t>
      </w:r>
      <w:proofErr w:type="gramEnd"/>
      <w:r w:rsidR="00A37679" w:rsidRPr="00565CF0">
        <w:t xml:space="preserve"> patients in the GLOSEN registry were adults. The registry cohorts had substantially lower eGFR levels and worse clinical presentation at diagnosis compared to the key trial, therefore representing different baseline risks of disease progression.</w:t>
      </w:r>
      <w:r w:rsidR="009D3A01" w:rsidRPr="00565CF0">
        <w:t xml:space="preserve"> The </w:t>
      </w:r>
      <w:r w:rsidR="008B5FF0" w:rsidRPr="006006B5">
        <w:t xml:space="preserve">evaluation considered the </w:t>
      </w:r>
      <w:r w:rsidR="009D3A01" w:rsidRPr="00565CF0">
        <w:t>risk profile of the APPEAR-C3G trial population was not well-characterised in the submission</w:t>
      </w:r>
      <w:r w:rsidR="009D3A01" w:rsidRPr="007844F3">
        <w:rPr>
          <w:i/>
          <w:iCs/>
        </w:rPr>
        <w:t xml:space="preserve">. </w:t>
      </w:r>
      <w:r w:rsidR="00FA67BB" w:rsidRPr="00A81BBC">
        <w:t>The PSCR</w:t>
      </w:r>
      <w:r w:rsidR="005E242A" w:rsidRPr="00A81BBC">
        <w:t xml:space="preserve"> noted that the </w:t>
      </w:r>
      <w:r w:rsidR="00B17A9C" w:rsidRPr="00A81BBC">
        <w:t>criteria in the proposed PBS restriction</w:t>
      </w:r>
      <w:r w:rsidR="00DB7F98" w:rsidRPr="00A81BBC">
        <w:t xml:space="preserve"> </w:t>
      </w:r>
      <w:r w:rsidR="00337327" w:rsidRPr="00A81BBC">
        <w:t>(</w:t>
      </w:r>
      <w:r w:rsidR="00366734" w:rsidRPr="00A81BBC">
        <w:t>biopsy-confirmed C3G, proteinuria ≥1 g/g, and eGFR ≥30 mL/min/1.73m</w:t>
      </w:r>
      <w:r w:rsidR="00366734" w:rsidRPr="00A81BBC">
        <w:rPr>
          <w:vertAlign w:val="superscript"/>
        </w:rPr>
        <w:t>2</w:t>
      </w:r>
      <w:r w:rsidR="00366734" w:rsidRPr="00A81BBC">
        <w:t>)</w:t>
      </w:r>
      <w:r w:rsidR="00366734" w:rsidRPr="00A81BBC">
        <w:rPr>
          <w:vertAlign w:val="superscript"/>
        </w:rPr>
        <w:t xml:space="preserve"> </w:t>
      </w:r>
      <w:r w:rsidR="00DB7F98" w:rsidRPr="00A81BBC">
        <w:t xml:space="preserve">are consistent with </w:t>
      </w:r>
      <w:r w:rsidR="00337327" w:rsidRPr="00A81BBC">
        <w:t xml:space="preserve">the </w:t>
      </w:r>
      <w:r w:rsidR="00DB7F98" w:rsidRPr="00A81BBC">
        <w:t xml:space="preserve">population </w:t>
      </w:r>
      <w:r w:rsidR="00337327" w:rsidRPr="00A81BBC">
        <w:t xml:space="preserve">enrolled in </w:t>
      </w:r>
      <w:r w:rsidR="00DB7F98" w:rsidRPr="00A81BBC">
        <w:t>the APPEAR-C3G trial</w:t>
      </w:r>
      <w:r w:rsidR="00B17A9C" w:rsidRPr="00A81BBC">
        <w:t>,</w:t>
      </w:r>
      <w:r w:rsidR="00654025" w:rsidRPr="00A81BBC">
        <w:t xml:space="preserve"> and background therapies were consistent with Australian clinical practice. The PSCR also</w:t>
      </w:r>
      <w:r w:rsidR="00B17A9C" w:rsidRPr="00A81BBC">
        <w:t xml:space="preserve"> argued that </w:t>
      </w:r>
      <w:r w:rsidR="00061D30" w:rsidRPr="00A81BBC">
        <w:t xml:space="preserve">subgroup analyses from APPEAR-C3G showed consistent efficacy across age, sex, race, and baseline disease severity, supporting generalisability </w:t>
      </w:r>
      <w:r w:rsidR="007844F3" w:rsidRPr="00A81BBC">
        <w:t>of the trial data to the Australian context.</w:t>
      </w:r>
      <w:r w:rsidR="00061D30" w:rsidRPr="00A81BBC">
        <w:t xml:space="preserve"> </w:t>
      </w:r>
      <w:r w:rsidR="00AE310A" w:rsidRPr="00A81BBC">
        <w:t xml:space="preserve">The ESC noted that there was a high level of </w:t>
      </w:r>
      <w:r w:rsidR="00012188" w:rsidRPr="00A81BBC">
        <w:t xml:space="preserve">variation </w:t>
      </w:r>
      <w:r w:rsidR="009D3D5C" w:rsidRPr="00A81BBC">
        <w:t xml:space="preserve">in characteristics across the three </w:t>
      </w:r>
      <w:r w:rsidR="00EF6488" w:rsidRPr="00A81BBC">
        <w:t xml:space="preserve">cohorts (APPEAR-C3G, </w:t>
      </w:r>
      <w:proofErr w:type="spellStart"/>
      <w:r w:rsidR="00EF6488" w:rsidRPr="00A81BBC">
        <w:t>RaDaR</w:t>
      </w:r>
      <w:proofErr w:type="spellEnd"/>
      <w:r w:rsidR="00EF6488" w:rsidRPr="00A81BBC">
        <w:t xml:space="preserve"> and GLOSEN</w:t>
      </w:r>
      <w:r w:rsidR="00F85254" w:rsidRPr="00A81BBC">
        <w:t xml:space="preserve">) and considered </w:t>
      </w:r>
      <w:r w:rsidR="00176470" w:rsidRPr="00A81BBC">
        <w:t>the</w:t>
      </w:r>
      <w:r w:rsidR="00F85254" w:rsidRPr="00A81BBC">
        <w:t xml:space="preserve"> APPEAR</w:t>
      </w:r>
      <w:r w:rsidR="00F778A9" w:rsidRPr="00A81BBC">
        <w:t xml:space="preserve">-C3G population is likely to be </w:t>
      </w:r>
      <w:r w:rsidR="00176470" w:rsidRPr="00A81BBC">
        <w:t xml:space="preserve">reasonably </w:t>
      </w:r>
      <w:r w:rsidR="009665C9" w:rsidRPr="00A81BBC">
        <w:t>representative of</w:t>
      </w:r>
      <w:r w:rsidR="00F778A9" w:rsidRPr="00A81BBC">
        <w:t xml:space="preserve"> the Australian </w:t>
      </w:r>
      <w:r w:rsidR="00863E70" w:rsidRPr="00A81BBC">
        <w:t xml:space="preserve">PBS </w:t>
      </w:r>
      <w:r w:rsidR="00F778A9" w:rsidRPr="00A81BBC">
        <w:t>population</w:t>
      </w:r>
      <w:r w:rsidR="00863E70" w:rsidRPr="00A81BBC">
        <w:t>.</w:t>
      </w:r>
    </w:p>
    <w:p w14:paraId="40B292B8" w14:textId="4B4B2078" w:rsidR="002A0B3F" w:rsidRDefault="002A0B3F" w:rsidP="00370D8E">
      <w:pPr>
        <w:pStyle w:val="COMESnumberedpara"/>
      </w:pPr>
      <w:r w:rsidRPr="002A0B3F">
        <w:t>The submission noted that X2202 and B12001B were non-randomised, open-label studies which inherently carry a high risk of bias due to potential confounding, lack of blinding and potential selection bias.</w:t>
      </w:r>
    </w:p>
    <w:p w14:paraId="5ED28634" w14:textId="3A68C645" w:rsidR="00BF55B0" w:rsidRDefault="006C11CB" w:rsidP="00370D8E">
      <w:pPr>
        <w:pStyle w:val="COMESnumberedpara"/>
      </w:pPr>
      <w:bookmarkStart w:id="20" w:name="_Ref208899514"/>
      <w:r>
        <w:t>A</w:t>
      </w:r>
      <w:r w:rsidR="00BF55B0" w:rsidRPr="00BF55B0">
        <w:t xml:space="preserve">n exploratory analysis </w:t>
      </w:r>
      <w:r w:rsidR="00C87B7D">
        <w:t xml:space="preserve">of </w:t>
      </w:r>
      <w:r w:rsidR="00854DA3">
        <w:t xml:space="preserve">the </w:t>
      </w:r>
      <w:r w:rsidR="00C87B7D">
        <w:t>rate of change in eGFR</w:t>
      </w:r>
      <w:r w:rsidR="00B20742">
        <w:t xml:space="preserve"> (slope per year)</w:t>
      </w:r>
      <w:r w:rsidR="00C87B7D">
        <w:t xml:space="preserve"> </w:t>
      </w:r>
      <w:r w:rsidR="00BF55B0" w:rsidRPr="00BF55B0">
        <w:t xml:space="preserve">was conducted </w:t>
      </w:r>
      <w:r w:rsidR="000E5422">
        <w:t xml:space="preserve">by pooling data from </w:t>
      </w:r>
      <w:r w:rsidR="00BB63E7">
        <w:t xml:space="preserve">the APPEAR-C3G, X2202 and B12001B </w:t>
      </w:r>
      <w:r w:rsidR="000E5422">
        <w:t>studies (</w:t>
      </w:r>
      <w:r w:rsidR="00034B10">
        <w:t xml:space="preserve">but </w:t>
      </w:r>
      <w:r w:rsidR="000E5422">
        <w:t>using the native kidney cohort of X2202 only)</w:t>
      </w:r>
      <w:r w:rsidR="007554FE" w:rsidRPr="007554FE">
        <w:t xml:space="preserve"> including historical estimates</w:t>
      </w:r>
      <w:r w:rsidR="00034B10">
        <w:t xml:space="preserve"> collected for approximately 2 years prior to entry into APPEAR-C3G and X2202. </w:t>
      </w:r>
      <w:r w:rsidR="00C87B7D">
        <w:t xml:space="preserve">The historical data were combined with </w:t>
      </w:r>
      <w:r w:rsidR="00C87B7D" w:rsidRPr="00C87B7D">
        <w:t>screening/run-in values to calculate the rate of change in eGFR (slope) prior to treatment initiation. Data from the placebo arm during the 6-month double-blind period of APPEAR-C3G were also included in the historical, pre-treatment period.</w:t>
      </w:r>
      <w:r w:rsidR="00D523D7">
        <w:t xml:space="preserve"> </w:t>
      </w:r>
      <w:r w:rsidR="00BF55B0" w:rsidRPr="00BF55B0">
        <w:t>The post-</w:t>
      </w:r>
      <w:r w:rsidR="00D523D7">
        <w:t xml:space="preserve">iptacopan </w:t>
      </w:r>
      <w:r w:rsidR="00BF55B0" w:rsidRPr="00BF55B0">
        <w:t>treatment period include</w:t>
      </w:r>
      <w:r w:rsidR="00D523D7">
        <w:t>d</w:t>
      </w:r>
      <w:r w:rsidR="00BF55B0" w:rsidRPr="00BF55B0">
        <w:t xml:space="preserve"> data from the 6-month double-blind and 6-month open-label period in APPEAR-C3G (patients randomised to iptacopan and patients randomised to placebo who switched to iptacopan during the open-label period), patients treated with iptacopan for 3 months in the X2202 phase </w:t>
      </w:r>
      <w:r w:rsidR="002D2E11">
        <w:t>2</w:t>
      </w:r>
      <w:r w:rsidR="00BF55B0" w:rsidRPr="00BF55B0">
        <w:t xml:space="preserve"> study and patients who rolled over to the B12001B extension study, with total exposure to iptacopan </w:t>
      </w:r>
      <w:r w:rsidR="002460DC">
        <w:t xml:space="preserve">of </w:t>
      </w:r>
      <w:r w:rsidR="00BF55B0" w:rsidRPr="00BF55B0">
        <w:t>up to 4.75 years.</w:t>
      </w:r>
      <w:bookmarkEnd w:id="20"/>
    </w:p>
    <w:p w14:paraId="7AAA4CD4" w14:textId="33D749D2" w:rsidR="00556502" w:rsidRPr="00A81BBC" w:rsidRDefault="006C11CB" w:rsidP="00370D8E">
      <w:pPr>
        <w:pStyle w:val="COMESnumberedpara"/>
      </w:pPr>
      <w:r>
        <w:lastRenderedPageBreak/>
        <w:t xml:space="preserve">The clinical overview in the C3G </w:t>
      </w:r>
      <w:r w:rsidRPr="00BF55B0">
        <w:t xml:space="preserve">study report noted heterogeneity in terms of study populations and study designs including study duration and primary endpoints </w:t>
      </w:r>
      <w:r>
        <w:t>across the included studies</w:t>
      </w:r>
      <w:r w:rsidRPr="00BF55B0">
        <w:t xml:space="preserve"> (APPEAR-C3G, X2202 and B12001B</w:t>
      </w:r>
      <w:r>
        <w:t xml:space="preserve">). </w:t>
      </w:r>
      <w:r w:rsidR="00556502" w:rsidRPr="00565CF0">
        <w:t xml:space="preserve">The </w:t>
      </w:r>
      <w:r w:rsidR="00022793" w:rsidRPr="00565CF0">
        <w:t xml:space="preserve">risk of bias </w:t>
      </w:r>
      <w:r w:rsidR="00490D9F" w:rsidRPr="00565CF0">
        <w:t xml:space="preserve">for the pooled analysis is high due to the uncontrolled nature of the exploratory analysis that </w:t>
      </w:r>
      <w:r w:rsidR="00E74FC4" w:rsidRPr="00565CF0">
        <w:t xml:space="preserve">did not account for </w:t>
      </w:r>
      <w:r w:rsidR="00556502" w:rsidRPr="00565CF0">
        <w:t>heterogeneity across the included studies</w:t>
      </w:r>
      <w:r w:rsidR="00E74FC4" w:rsidRPr="00565CF0">
        <w:t xml:space="preserve">. </w:t>
      </w:r>
      <w:r w:rsidR="00B73359" w:rsidRPr="00565CF0">
        <w:t xml:space="preserve">There is </w:t>
      </w:r>
      <w:r w:rsidR="00B163BA" w:rsidRPr="00565CF0">
        <w:t xml:space="preserve">also </w:t>
      </w:r>
      <w:r w:rsidR="00B73359" w:rsidRPr="00565CF0">
        <w:t xml:space="preserve">potential for confounding, with substantial differences in the use of supportive treatments </w:t>
      </w:r>
      <w:r w:rsidR="0020279D" w:rsidRPr="00565CF0">
        <w:t>in the key trial population (</w:t>
      </w:r>
      <w:r w:rsidR="00D722FA" w:rsidRPr="00565CF0">
        <w:t>26%</w:t>
      </w:r>
      <w:r w:rsidR="00244B48" w:rsidRPr="00565CF0">
        <w:t xml:space="preserve"> versus 99%</w:t>
      </w:r>
      <w:r w:rsidR="00D722FA" w:rsidRPr="00565CF0">
        <w:t xml:space="preserve"> on ACEI/ARB</w:t>
      </w:r>
      <w:r w:rsidR="00244B48" w:rsidRPr="00565CF0">
        <w:t xml:space="preserve"> in the pre- and post-randomisation periods, respectively)</w:t>
      </w:r>
      <w:r w:rsidR="00556502" w:rsidRPr="00565CF0">
        <w:t xml:space="preserve"> and methodological limitations such as pooling of data from non-parallel observation periods which would </w:t>
      </w:r>
      <w:r w:rsidR="00FD7B0A" w:rsidRPr="00565CF0">
        <w:t>affect the reliability</w:t>
      </w:r>
      <w:r w:rsidR="00556502" w:rsidRPr="00565CF0">
        <w:t xml:space="preserve"> of results from the analysis.</w:t>
      </w:r>
      <w:r w:rsidR="00E13BFE">
        <w:t xml:space="preserve"> </w:t>
      </w:r>
      <w:r w:rsidR="00E13BFE" w:rsidRPr="00A81BBC">
        <w:t xml:space="preserve">The ESC noted that Kavanagh (2025) also presented </w:t>
      </w:r>
      <w:r w:rsidR="001769E2" w:rsidRPr="00A81BBC">
        <w:t>an exploratory analysis of the rate of change in eGFR for the APPEAR-C3G trial only</w:t>
      </w:r>
      <w:r w:rsidR="00E7615C" w:rsidRPr="00A81BBC">
        <w:t xml:space="preserve">, </w:t>
      </w:r>
      <w:r w:rsidR="00454D22" w:rsidRPr="00A81BBC">
        <w:t>which would address the heterogeneity across studies</w:t>
      </w:r>
      <w:r w:rsidR="0059298B" w:rsidRPr="00A81BBC">
        <w:t>, but not the potential for confounding</w:t>
      </w:r>
      <w:r w:rsidR="001F652E" w:rsidRPr="00A81BBC">
        <w:t xml:space="preserve"> or methodological limitation</w:t>
      </w:r>
      <w:r w:rsidR="0025464E" w:rsidRPr="00A81BBC">
        <w:t>s</w:t>
      </w:r>
      <w:r w:rsidR="00EB79F0" w:rsidRPr="00A81BBC">
        <w:t xml:space="preserve"> </w:t>
      </w:r>
      <w:r w:rsidR="00547D18" w:rsidRPr="00A81BBC">
        <w:t xml:space="preserve">as in the </w:t>
      </w:r>
      <w:r w:rsidR="00822966" w:rsidRPr="00A81BBC">
        <w:t xml:space="preserve">analysis </w:t>
      </w:r>
      <w:r w:rsidR="00BA0F24" w:rsidRPr="00A81BBC">
        <w:t xml:space="preserve">that included all three studies </w:t>
      </w:r>
      <w:r w:rsidR="00F80E31" w:rsidRPr="00A81BBC">
        <w:t>(</w:t>
      </w:r>
      <w:r w:rsidR="009F73C3" w:rsidRPr="00A81BBC">
        <w:t>e.g.</w:t>
      </w:r>
      <w:r w:rsidR="00F80E31" w:rsidRPr="00A81BBC">
        <w:t xml:space="preserve"> pooling</w:t>
      </w:r>
      <w:r w:rsidR="006F2BA0" w:rsidRPr="00A81BBC">
        <w:t xml:space="preserve"> of</w:t>
      </w:r>
      <w:r w:rsidR="00F80E31" w:rsidRPr="00A81BBC">
        <w:t xml:space="preserve"> historical data </w:t>
      </w:r>
      <w:r w:rsidR="00F80E31" w:rsidRPr="00B25D69">
        <w:t xml:space="preserve">and </w:t>
      </w:r>
      <w:r w:rsidR="006F2BA0" w:rsidRPr="00B25D69">
        <w:t xml:space="preserve">the </w:t>
      </w:r>
      <w:r w:rsidR="00F80E31" w:rsidRPr="00B25D69">
        <w:t>double</w:t>
      </w:r>
      <w:r w:rsidR="00F80E31" w:rsidRPr="00A81BBC">
        <w:t xml:space="preserve">-blind period of placebo arm in the pre-iptacopan phase; </w:t>
      </w:r>
      <w:r w:rsidR="00B265F1" w:rsidRPr="00A81BBC">
        <w:t xml:space="preserve">pooling of </w:t>
      </w:r>
      <w:r w:rsidR="00F80E31" w:rsidRPr="00A81BBC">
        <w:t xml:space="preserve">data from the double-blind and open-label periods of the iptacopan arm, </w:t>
      </w:r>
      <w:r w:rsidR="00F80E31" w:rsidRPr="006B1CB8">
        <w:t xml:space="preserve">and </w:t>
      </w:r>
      <w:r w:rsidR="00F80E31" w:rsidRPr="00A81BBC">
        <w:t>open-label crossover period of the placebo arm in the post-iptacopan phase)</w:t>
      </w:r>
      <w:r w:rsidR="001769E2" w:rsidRPr="00A81BBC">
        <w:t xml:space="preserve">. </w:t>
      </w:r>
    </w:p>
    <w:p w14:paraId="6CF95864" w14:textId="7D4AE83E" w:rsidR="00111D03" w:rsidRDefault="006739A2" w:rsidP="00370D8E">
      <w:pPr>
        <w:pStyle w:val="COMESnumberedpara"/>
        <w:rPr>
          <w:i/>
          <w:iCs/>
        </w:rPr>
      </w:pPr>
      <w:r>
        <w:t xml:space="preserve">Outcomes in the key trial and supportive studies were </w:t>
      </w:r>
      <w:r w:rsidR="0034130F">
        <w:t xml:space="preserve">primarily based on short-term changes in proteinuria and eGFR. </w:t>
      </w:r>
      <w:r w:rsidR="0015614A">
        <w:t>The submission presented</w:t>
      </w:r>
      <w:r w:rsidR="005C3306">
        <w:t xml:space="preserve"> epidemiological</w:t>
      </w:r>
      <w:r w:rsidR="0015614A">
        <w:t xml:space="preserve"> evidence supporting the use of reduction in proteinuria and stabilisation in eGFR as surrogate measures </w:t>
      </w:r>
      <w:r w:rsidR="00E360C7">
        <w:t xml:space="preserve">for the </w:t>
      </w:r>
      <w:r w:rsidR="00533EF2" w:rsidRPr="00533EF2">
        <w:t>target clinical outcome of end stage kidney disease</w:t>
      </w:r>
      <w:r w:rsidR="001B2615">
        <w:t xml:space="preserve">. </w:t>
      </w:r>
    </w:p>
    <w:p w14:paraId="5334C69B" w14:textId="78BB8CC7" w:rsidR="00E360C7" w:rsidRPr="00565CF0" w:rsidRDefault="00272EB7" w:rsidP="00370D8E">
      <w:pPr>
        <w:pStyle w:val="COMESnumberedpara"/>
      </w:pPr>
      <w:r w:rsidRPr="00565CF0">
        <w:t>T</w:t>
      </w:r>
      <w:r w:rsidR="00F743F3" w:rsidRPr="00565CF0">
        <w:t xml:space="preserve">here is a biologically plausible link between proteinuria and eGFR with kidney disease progression and the epidemiological evidence generally supports the use of these biomarkers as prognostic variables. However, the data were mainly derived from observational or retrospective studies that are prone to incorrect or incomplete diagnosis classification, data collection and capture of outcomes. The sponsor’s C3G natural history report also noted considerable heterogeneity in treatment approaches and analytic methods across the observational studies and potential risk of misclassification of diagnosis due to the relatively recent introduction of C3G specific diagnostic codes </w:t>
      </w:r>
      <w:r w:rsidR="00543D75" w:rsidRPr="00565CF0">
        <w:t>(</w:t>
      </w:r>
      <w:r w:rsidR="00F743F3" w:rsidRPr="00565CF0">
        <w:t>from 2019 onwards).</w:t>
      </w:r>
    </w:p>
    <w:p w14:paraId="1A4D1BDB" w14:textId="06563C05" w:rsidR="00B7633B" w:rsidRPr="00565CF0" w:rsidRDefault="00272EB7" w:rsidP="00370D8E">
      <w:pPr>
        <w:pStyle w:val="COMESnumberedpara"/>
      </w:pPr>
      <w:r w:rsidRPr="00565CF0">
        <w:t xml:space="preserve">Overall, </w:t>
      </w:r>
      <w:r w:rsidR="00824FA6" w:rsidRPr="006B1CB8">
        <w:t>the evaluation considered</w:t>
      </w:r>
      <w:r w:rsidR="00824FA6">
        <w:t xml:space="preserve"> </w:t>
      </w:r>
      <w:r w:rsidR="00BB419E" w:rsidRPr="00565CF0">
        <w:t>it</w:t>
      </w:r>
      <w:r w:rsidR="00B7633B" w:rsidRPr="00565CF0">
        <w:t xml:space="preserve"> is unclear whether proteinuria reduction or stabilisation in eGFR are surrogate measures for the target clinical outcome of delay or avoidance of end-stage kidney disease as there</w:t>
      </w:r>
      <w:r w:rsidR="002460DC" w:rsidRPr="00565CF0">
        <w:t xml:space="preserve"> are </w:t>
      </w:r>
      <w:r w:rsidR="00B7633B" w:rsidRPr="00565CF0">
        <w:t>no data demonstrating that treatment-related changes in proteinuria or eGFR would result in a quantifiable change in the risk of kidney failure</w:t>
      </w:r>
      <w:r w:rsidR="006B1CB8">
        <w:t xml:space="preserve"> specificall</w:t>
      </w:r>
      <w:r w:rsidR="00B55770">
        <w:t>y</w:t>
      </w:r>
      <w:r w:rsidR="00B7633B" w:rsidRPr="00565CF0">
        <w:t xml:space="preserve"> in patients with C3G.</w:t>
      </w:r>
    </w:p>
    <w:p w14:paraId="45882E1A" w14:textId="2405462A" w:rsidR="00B7633B" w:rsidRDefault="00354068" w:rsidP="00370D8E">
      <w:pPr>
        <w:pStyle w:val="COMESnumberedpara"/>
      </w:pPr>
      <w:r w:rsidRPr="00565CF0">
        <w:t xml:space="preserve">A review of </w:t>
      </w:r>
      <w:r w:rsidR="00DC73D3" w:rsidRPr="00565CF0">
        <w:t>C3G trial</w:t>
      </w:r>
      <w:r w:rsidR="008279BD" w:rsidRPr="00565CF0">
        <w:t xml:space="preserve"> endpoints</w:t>
      </w:r>
      <w:r w:rsidR="006C10CE" w:rsidRPr="00565CF0">
        <w:t xml:space="preserve"> by an expert panel was identified during the evaluation (</w:t>
      </w:r>
      <w:r w:rsidR="0006632C" w:rsidRPr="00565CF0">
        <w:t>Developing therapies for C3G, Report of the Kidney Health Initiative C3G Trial Endpoints Work Group; Nester 2024)</w:t>
      </w:r>
      <w:r w:rsidR="00024D18" w:rsidRPr="00565CF0">
        <w:t>. The panel</w:t>
      </w:r>
      <w:r w:rsidR="008279BD" w:rsidRPr="00565CF0">
        <w:t xml:space="preserve"> </w:t>
      </w:r>
      <w:r w:rsidR="00DC73D3" w:rsidRPr="00565CF0">
        <w:t>not</w:t>
      </w:r>
      <w:r w:rsidR="00024D18" w:rsidRPr="00565CF0">
        <w:t>ed</w:t>
      </w:r>
      <w:r w:rsidR="00DC73D3" w:rsidRPr="00565CF0">
        <w:t xml:space="preserve"> that favourable treatment effects on proteinuria, eGFR and histopathology would provide convincing evidence of treatment efficacy that targeted the complement pathway; and that a therapy might be considered effective in the absence of complete alignment of all </w:t>
      </w:r>
      <w:r w:rsidR="002460DC" w:rsidRPr="00565CF0">
        <w:t xml:space="preserve">3 </w:t>
      </w:r>
      <w:r w:rsidR="00DC73D3" w:rsidRPr="00565CF0">
        <w:t xml:space="preserve">endpoints if there was meaningful lowering of proteinuria and stabilisation or improvement in </w:t>
      </w:r>
      <w:r w:rsidR="00DC73D3" w:rsidRPr="00565CF0">
        <w:lastRenderedPageBreak/>
        <w:t xml:space="preserve">eGFR. However, the </w:t>
      </w:r>
      <w:r w:rsidR="00024D18" w:rsidRPr="00565CF0">
        <w:t>panel</w:t>
      </w:r>
      <w:r w:rsidR="00DC73D3" w:rsidRPr="00565CF0">
        <w:t xml:space="preserve"> was unable to define a minimum threshold for change in any of the endpoints that might be considered clinically meaningful.</w:t>
      </w:r>
    </w:p>
    <w:p w14:paraId="4C65B7D9" w14:textId="77777777" w:rsidR="00E87A73" w:rsidRPr="00A81BBC" w:rsidRDefault="008D599F" w:rsidP="00370D8E">
      <w:pPr>
        <w:pStyle w:val="COMESnumberedpara"/>
      </w:pPr>
      <w:r w:rsidRPr="00A81BBC">
        <w:t xml:space="preserve">The ESC </w:t>
      </w:r>
      <w:r w:rsidR="00D21BB4" w:rsidRPr="00A81BBC">
        <w:t xml:space="preserve">noted that Nester (2024) </w:t>
      </w:r>
      <w:r w:rsidR="000A3699" w:rsidRPr="00A81BBC">
        <w:t xml:space="preserve">showed that registry data </w:t>
      </w:r>
      <w:r w:rsidR="00D21BB4" w:rsidRPr="00A81BBC">
        <w:t>suggested that</w:t>
      </w:r>
      <w:r w:rsidR="00E87A73" w:rsidRPr="00A81BBC">
        <w:t>:</w:t>
      </w:r>
    </w:p>
    <w:p w14:paraId="71B3BFCB" w14:textId="01FFEA02" w:rsidR="00BF7F7D" w:rsidRPr="00A81BBC" w:rsidRDefault="003B4BCE" w:rsidP="00370D8E">
      <w:pPr>
        <w:pStyle w:val="COMBodybulletlist"/>
        <w:tabs>
          <w:tab w:val="clear" w:pos="360"/>
        </w:tabs>
        <w:ind w:left="1080"/>
      </w:pPr>
      <w:r w:rsidRPr="00A81BBC">
        <w:t xml:space="preserve">Reductions in proteinuria of </w:t>
      </w:r>
      <w:r w:rsidR="00364110">
        <w:t xml:space="preserve">&gt; </w:t>
      </w:r>
      <w:r w:rsidRPr="00A81BBC">
        <w:t xml:space="preserve">50% or to very low levels was associated with </w:t>
      </w:r>
      <w:r w:rsidR="008B7D2C" w:rsidRPr="00A81BBC">
        <w:t xml:space="preserve">a </w:t>
      </w:r>
      <w:r w:rsidRPr="00A81BBC">
        <w:t xml:space="preserve">lower hazard of </w:t>
      </w:r>
      <w:r w:rsidR="008B7D2C" w:rsidRPr="00A81BBC">
        <w:t>kidney failure, however this was base</w:t>
      </w:r>
      <w:r w:rsidR="00BF7F7D" w:rsidRPr="00A81BBC">
        <w:t xml:space="preserve">d </w:t>
      </w:r>
      <w:r w:rsidR="008B7D2C" w:rsidRPr="00A81BBC">
        <w:t xml:space="preserve">on retrospective and observational data and </w:t>
      </w:r>
      <w:r w:rsidR="00BF7F7D" w:rsidRPr="00A81BBC">
        <w:t>findings were inconsistent across cohorts.</w:t>
      </w:r>
    </w:p>
    <w:p w14:paraId="44613CED" w14:textId="0871CE03" w:rsidR="008D599F" w:rsidRPr="00A81BBC" w:rsidRDefault="001A0E09" w:rsidP="00370D8E">
      <w:pPr>
        <w:pStyle w:val="COMBodybulletlist"/>
        <w:tabs>
          <w:tab w:val="clear" w:pos="360"/>
        </w:tabs>
        <w:ind w:left="1080"/>
      </w:pPr>
      <w:r w:rsidRPr="00A81BBC">
        <w:t>eGFR decline was a robust predictor of kidney failure, with a</w:t>
      </w:r>
      <w:r w:rsidR="00CA6B29" w:rsidRPr="00A81BBC">
        <w:t xml:space="preserve"> slower </w:t>
      </w:r>
      <w:r w:rsidR="00D21BB4" w:rsidRPr="00A81BBC">
        <w:t xml:space="preserve">eGFR decline over 24 months </w:t>
      </w:r>
      <w:r w:rsidR="000A3699" w:rsidRPr="00A81BBC">
        <w:t>associated with a lower hazard of kidney failure</w:t>
      </w:r>
      <w:r w:rsidRPr="00A81BBC">
        <w:t xml:space="preserve">. </w:t>
      </w:r>
      <w:r w:rsidR="009F73C3" w:rsidRPr="00A81BBC">
        <w:t>However,</w:t>
      </w:r>
      <w:r w:rsidR="00DB45C8" w:rsidRPr="00A81BBC">
        <w:t xml:space="preserve"> the ESC</w:t>
      </w:r>
      <w:r w:rsidR="00E03D2E" w:rsidRPr="00A81BBC">
        <w:t xml:space="preserve"> noted that the APPEAR-C3G trial only captured 6 months of comparative data and </w:t>
      </w:r>
      <w:r w:rsidR="00E2696B" w:rsidRPr="00A81BBC">
        <w:t>outcomes can be confounded by drug-related haemodynamic effects or changes in serum creatinine</w:t>
      </w:r>
      <w:r w:rsidR="00F82069" w:rsidRPr="00A81BBC">
        <w:t>.</w:t>
      </w:r>
      <w:r w:rsidR="006B75F2">
        <w:t xml:space="preserve"> </w:t>
      </w:r>
    </w:p>
    <w:p w14:paraId="0E73099D" w14:textId="3BC18F8E" w:rsidR="000C16B1" w:rsidRPr="000C16B1" w:rsidRDefault="009F73C3" w:rsidP="00370D8E">
      <w:pPr>
        <w:pStyle w:val="COMESnumberedpara"/>
      </w:pPr>
      <w:r w:rsidRPr="00A81BBC">
        <w:t>Overall,</w:t>
      </w:r>
      <w:r w:rsidR="0031327F" w:rsidRPr="00A81BBC">
        <w:t xml:space="preserve"> the ESC considered t</w:t>
      </w:r>
      <w:r w:rsidR="00C507D4" w:rsidRPr="00A81BBC">
        <w:t>here is biological plausibility and epidemiological evidence supporting proteinuria and eGFR levels as prognostic variables for kidney disease progression. However, the magnitude by which proteinuria reduction or eGFR stabilisation mitigates progression to ESKD and its associated sequelae remains uncertain</w:t>
      </w:r>
      <w:r w:rsidR="0031327F" w:rsidRPr="00A81BBC">
        <w:t>.</w:t>
      </w:r>
      <w:r w:rsidR="004A2550">
        <w:t xml:space="preserve"> The pre-PBAC response</w:t>
      </w:r>
      <w:r w:rsidR="006B75F2">
        <w:t xml:space="preserve"> </w:t>
      </w:r>
      <w:r w:rsidR="001E6CFF">
        <w:rPr>
          <w:lang w:val="en-US"/>
        </w:rPr>
        <w:t>reiterated that p</w:t>
      </w:r>
      <w:r w:rsidR="001E6CFF" w:rsidRPr="00E82522">
        <w:rPr>
          <w:lang w:val="en-US"/>
        </w:rPr>
        <w:t>roteinuria is a validated surrogate marker in glomerular diseases and strongly predictive of long-term renal outcomes</w:t>
      </w:r>
      <w:r w:rsidR="001E6CFF">
        <w:rPr>
          <w:lang w:val="en-US"/>
        </w:rPr>
        <w:t>.</w:t>
      </w:r>
      <w:r w:rsidR="000821D5">
        <w:rPr>
          <w:lang w:val="en-US"/>
        </w:rPr>
        <w:t xml:space="preserve"> The sponsor </w:t>
      </w:r>
      <w:r w:rsidR="00B0512F">
        <w:rPr>
          <w:lang w:val="en-US"/>
        </w:rPr>
        <w:t>referred to</w:t>
      </w:r>
      <w:r w:rsidR="000C16B1">
        <w:rPr>
          <w:lang w:val="en-US"/>
        </w:rPr>
        <w:t>:</w:t>
      </w:r>
    </w:p>
    <w:p w14:paraId="4DFE0253" w14:textId="172BF66B" w:rsidR="00C507D4" w:rsidRPr="000C16B1" w:rsidRDefault="007D7DB1" w:rsidP="00370D8E">
      <w:pPr>
        <w:pStyle w:val="COMexecsummbulletlist"/>
      </w:pPr>
      <w:r w:rsidRPr="009D638D">
        <w:rPr>
          <w:lang w:val="en-US"/>
        </w:rPr>
        <w:t xml:space="preserve">a retrospective cohort analysis of patients with C3G using longitudinal registry </w:t>
      </w:r>
      <w:r>
        <w:rPr>
          <w:lang w:val="en-US"/>
        </w:rPr>
        <w:t xml:space="preserve">UK </w:t>
      </w:r>
      <w:r w:rsidRPr="009D638D">
        <w:rPr>
          <w:lang w:val="en-US"/>
        </w:rPr>
        <w:t xml:space="preserve">data </w:t>
      </w:r>
      <w:r>
        <w:rPr>
          <w:lang w:val="en-US"/>
        </w:rPr>
        <w:t>(</w:t>
      </w:r>
      <w:proofErr w:type="spellStart"/>
      <w:r>
        <w:rPr>
          <w:lang w:val="en-US"/>
        </w:rPr>
        <w:t>RaDaR</w:t>
      </w:r>
      <w:proofErr w:type="spellEnd"/>
      <w:r>
        <w:rPr>
          <w:lang w:val="en-US"/>
        </w:rPr>
        <w:t>, N=203), Masoud et al (2025), which demonstrated that decline in UPCR</w:t>
      </w:r>
      <w:r w:rsidRPr="009A52D7">
        <w:rPr>
          <w:lang w:val="en-US"/>
        </w:rPr>
        <w:t xml:space="preserve"> </w:t>
      </w:r>
      <w:r>
        <w:rPr>
          <w:lang w:val="en-US"/>
        </w:rPr>
        <w:t xml:space="preserve">is </w:t>
      </w:r>
      <w:r w:rsidRPr="009A52D7">
        <w:rPr>
          <w:lang w:val="en-US"/>
        </w:rPr>
        <w:t xml:space="preserve">significantly associated with </w:t>
      </w:r>
      <w:r>
        <w:rPr>
          <w:lang w:val="en-US"/>
        </w:rPr>
        <w:t>reduced</w:t>
      </w:r>
      <w:r w:rsidRPr="009A52D7">
        <w:rPr>
          <w:lang w:val="en-US"/>
        </w:rPr>
        <w:t xml:space="preserve"> risk of kidney failure</w:t>
      </w:r>
      <w:r>
        <w:rPr>
          <w:lang w:val="en-US"/>
        </w:rPr>
        <w:t xml:space="preserve">. </w:t>
      </w:r>
    </w:p>
    <w:p w14:paraId="10284624" w14:textId="3A32A6F2" w:rsidR="000C16B1" w:rsidRPr="00A81BBC" w:rsidRDefault="009847ED" w:rsidP="00370D8E">
      <w:pPr>
        <w:pStyle w:val="COMexecsummbulletlist"/>
      </w:pPr>
      <w:r w:rsidRPr="5718A9DE">
        <w:rPr>
          <w:lang w:val="en-US"/>
        </w:rPr>
        <w:t xml:space="preserve">a </w:t>
      </w:r>
      <w:proofErr w:type="spellStart"/>
      <w:r w:rsidRPr="5718A9DE">
        <w:rPr>
          <w:lang w:val="en-US"/>
        </w:rPr>
        <w:t>multicentre</w:t>
      </w:r>
      <w:proofErr w:type="spellEnd"/>
      <w:r w:rsidRPr="5718A9DE">
        <w:rPr>
          <w:lang w:val="en-US"/>
        </w:rPr>
        <w:t>, retrospective study of 149 patients with C3G (N=98) or IC-MPGN (N=51)</w:t>
      </w:r>
      <w:r w:rsidR="00FD7127">
        <w:rPr>
          <w:lang w:val="en-US"/>
        </w:rPr>
        <w:t xml:space="preserve">, </w:t>
      </w:r>
      <w:r w:rsidR="00FD7127" w:rsidRPr="5718A9DE">
        <w:rPr>
          <w:lang w:val="en-US"/>
        </w:rPr>
        <w:t>Caravaca-</w:t>
      </w:r>
      <w:proofErr w:type="spellStart"/>
      <w:r w:rsidR="00FD7127" w:rsidRPr="5718A9DE">
        <w:rPr>
          <w:lang w:val="en-US"/>
        </w:rPr>
        <w:t>Fontán</w:t>
      </w:r>
      <w:proofErr w:type="spellEnd"/>
      <w:r w:rsidR="00FD7127" w:rsidRPr="5718A9DE">
        <w:rPr>
          <w:lang w:val="en-US"/>
        </w:rPr>
        <w:t xml:space="preserve"> et al. </w:t>
      </w:r>
      <w:r w:rsidR="00FD7127">
        <w:rPr>
          <w:lang w:val="en-US"/>
        </w:rPr>
        <w:t>(</w:t>
      </w:r>
      <w:r w:rsidR="00FD7127" w:rsidRPr="5718A9DE">
        <w:rPr>
          <w:lang w:val="en-US"/>
        </w:rPr>
        <w:t>2025</w:t>
      </w:r>
      <w:r w:rsidR="00FD7127">
        <w:rPr>
          <w:lang w:val="en-US"/>
        </w:rPr>
        <w:t>) which</w:t>
      </w:r>
      <w:r w:rsidRPr="5718A9DE">
        <w:rPr>
          <w:lang w:val="en-US"/>
        </w:rPr>
        <w:t xml:space="preserve"> determined that a 30% reduction in proteinuria at 6 months was associated with a significantly slower decline in eGFR</w:t>
      </w:r>
      <w:r>
        <w:rPr>
          <w:lang w:val="en-US"/>
        </w:rPr>
        <w:t xml:space="preserve">, </w:t>
      </w:r>
      <w:proofErr w:type="gramStart"/>
      <w:r w:rsidRPr="007A48EC">
        <w:rPr>
          <w:lang w:val="en-US"/>
        </w:rPr>
        <w:t>similar to</w:t>
      </w:r>
      <w:proofErr w:type="gramEnd"/>
      <w:r w:rsidRPr="007A48EC">
        <w:rPr>
          <w:lang w:val="en-US"/>
        </w:rPr>
        <w:t xml:space="preserve"> those seen in healthy individual</w:t>
      </w:r>
      <w:r w:rsidR="00015DA8">
        <w:rPr>
          <w:lang w:val="en-US"/>
        </w:rPr>
        <w:t xml:space="preserve">, </w:t>
      </w:r>
      <w:r w:rsidR="00015DA8" w:rsidRPr="5718A9DE">
        <w:rPr>
          <w:lang w:val="en-US"/>
        </w:rPr>
        <w:t xml:space="preserve">and </w:t>
      </w:r>
      <w:r w:rsidR="00015DA8">
        <w:rPr>
          <w:lang w:val="en-US"/>
        </w:rPr>
        <w:t>a</w:t>
      </w:r>
      <w:r w:rsidR="00015DA8" w:rsidRPr="5718A9DE">
        <w:rPr>
          <w:lang w:val="en-US"/>
        </w:rPr>
        <w:t xml:space="preserve"> lower risk of kidney failure</w:t>
      </w:r>
      <w:r w:rsidR="00015DA8">
        <w:rPr>
          <w:lang w:val="en-US"/>
        </w:rPr>
        <w:t>.</w:t>
      </w:r>
    </w:p>
    <w:p w14:paraId="4A4FE085" w14:textId="1C5613CC" w:rsidR="00B60939" w:rsidRPr="0098262F" w:rsidRDefault="00B60939" w:rsidP="00370D8E">
      <w:pPr>
        <w:pStyle w:val="COMESSubsectionheading"/>
      </w:pPr>
      <w:bookmarkStart w:id="21" w:name="_Toc22897641"/>
      <w:bookmarkStart w:id="22" w:name="_Toc209000657"/>
      <w:r w:rsidRPr="0098262F">
        <w:t>Comparative effectiveness</w:t>
      </w:r>
      <w:bookmarkEnd w:id="21"/>
      <w:bookmarkEnd w:id="22"/>
    </w:p>
    <w:p w14:paraId="337710C2" w14:textId="77777777" w:rsidR="00481366" w:rsidRPr="002460DC" w:rsidRDefault="00481366" w:rsidP="00370D8E">
      <w:pPr>
        <w:pStyle w:val="COMBodyH4"/>
        <w:rPr>
          <w:i w:val="0"/>
          <w:iCs/>
        </w:rPr>
      </w:pPr>
      <w:r w:rsidRPr="002460DC">
        <w:rPr>
          <w:i w:val="0"/>
          <w:iCs/>
        </w:rPr>
        <w:t xml:space="preserve">APPEAR-C3G trial </w:t>
      </w:r>
    </w:p>
    <w:p w14:paraId="28593FB8" w14:textId="7FAD7C73" w:rsidR="002C2775" w:rsidRDefault="004C1601" w:rsidP="00370D8E">
      <w:pPr>
        <w:pStyle w:val="COMESnumberedpara"/>
      </w:pPr>
      <w:r>
        <w:fldChar w:fldCharType="begin"/>
      </w:r>
      <w:r>
        <w:instrText xml:space="preserve"> REF _Ref207960383 \h </w:instrText>
      </w:r>
      <w:r>
        <w:fldChar w:fldCharType="separate"/>
      </w:r>
      <w:r w:rsidR="00CC1313">
        <w:t xml:space="preserve">Table </w:t>
      </w:r>
      <w:r w:rsidR="00CC1313">
        <w:rPr>
          <w:noProof/>
        </w:rPr>
        <w:t>4</w:t>
      </w:r>
      <w:r>
        <w:fldChar w:fldCharType="end"/>
      </w:r>
      <w:r>
        <w:t xml:space="preserve"> </w:t>
      </w:r>
      <w:r w:rsidR="004B1B6C" w:rsidRPr="004B1B6C">
        <w:t>presents results for the primary endpoint of change in urinary protein-creatinine ratio (UPCR) at 6 months in the APPEAR-C3G trial.</w:t>
      </w:r>
    </w:p>
    <w:p w14:paraId="57429378" w14:textId="26CC16D0" w:rsidR="004B1B6C" w:rsidRDefault="007E355C" w:rsidP="00370D8E">
      <w:pPr>
        <w:pStyle w:val="COMTableFigurecaption"/>
      </w:pPr>
      <w:bookmarkStart w:id="23" w:name="_Ref207960383"/>
      <w:bookmarkStart w:id="24" w:name="_Ref211347800"/>
      <w:r>
        <w:t xml:space="preserve">Table </w:t>
      </w:r>
      <w:r w:rsidR="00DA4682">
        <w:fldChar w:fldCharType="begin"/>
      </w:r>
      <w:r w:rsidR="00DA4682">
        <w:instrText xml:space="preserve"> SEQ Table \* ARABIC </w:instrText>
      </w:r>
      <w:r w:rsidR="00DA4682">
        <w:fldChar w:fldCharType="separate"/>
      </w:r>
      <w:r w:rsidR="00CC1313">
        <w:rPr>
          <w:noProof/>
        </w:rPr>
        <w:t>4</w:t>
      </w:r>
      <w:r w:rsidR="00DA4682">
        <w:rPr>
          <w:noProof/>
        </w:rPr>
        <w:fldChar w:fldCharType="end"/>
      </w:r>
      <w:bookmarkEnd w:id="23"/>
      <w:r w:rsidR="004C1601">
        <w:t>:</w:t>
      </w:r>
      <w:r w:rsidR="004C1601" w:rsidRPr="004C1601">
        <w:t xml:space="preserve"> </w:t>
      </w:r>
      <w:r w:rsidR="004C1601">
        <w:t>Change in 24-hour urinary protein-creatinine ratio (UPCR, g/g) at 6 months</w:t>
      </w:r>
      <w:bookmarkEnd w:id="24"/>
      <w:r w:rsidR="004C1601">
        <w:t xml:space="preserve"> </w:t>
      </w:r>
    </w:p>
    <w:tbl>
      <w:tblPr>
        <w:tblStyle w:val="TableGrid"/>
        <w:tblW w:w="0" w:type="auto"/>
        <w:tblLook w:val="04A0" w:firstRow="1" w:lastRow="0" w:firstColumn="1" w:lastColumn="0" w:noHBand="0" w:noVBand="1"/>
        <w:tblCaption w:val="Table 4: Change in 24-hour urinary protein-creatinine ratio (UPCR, g/g) at 6 months "/>
      </w:tblPr>
      <w:tblGrid>
        <w:gridCol w:w="1549"/>
        <w:gridCol w:w="1805"/>
        <w:gridCol w:w="1806"/>
        <w:gridCol w:w="1806"/>
        <w:gridCol w:w="2051"/>
      </w:tblGrid>
      <w:tr w:rsidR="004B1B6C" w14:paraId="424E59AD" w14:textId="77777777">
        <w:tc>
          <w:tcPr>
            <w:tcW w:w="1549" w:type="dxa"/>
            <w:vAlign w:val="center"/>
          </w:tcPr>
          <w:p w14:paraId="3020559C" w14:textId="77777777" w:rsidR="004B1B6C" w:rsidRDefault="004B1B6C" w:rsidP="00370D8E">
            <w:pPr>
              <w:pStyle w:val="COMTableheadingrow"/>
            </w:pPr>
            <w:r>
              <w:t>Treatment arm</w:t>
            </w:r>
          </w:p>
        </w:tc>
        <w:tc>
          <w:tcPr>
            <w:tcW w:w="1805" w:type="dxa"/>
            <w:vAlign w:val="center"/>
          </w:tcPr>
          <w:p w14:paraId="6381148A" w14:textId="77777777" w:rsidR="004B1B6C" w:rsidRDefault="004B1B6C" w:rsidP="00370D8E">
            <w:pPr>
              <w:pStyle w:val="COMTableheadingrow"/>
              <w:jc w:val="center"/>
            </w:pPr>
            <w:r>
              <w:t>Baseline,</w:t>
            </w:r>
          </w:p>
          <w:p w14:paraId="69FDEE49" w14:textId="77777777" w:rsidR="004B1B6C" w:rsidRDefault="004B1B6C" w:rsidP="00370D8E">
            <w:pPr>
              <w:pStyle w:val="COMTableheadingrow"/>
              <w:jc w:val="center"/>
            </w:pPr>
            <w:r>
              <w:t>Geo-mean (95% CI)</w:t>
            </w:r>
          </w:p>
        </w:tc>
        <w:tc>
          <w:tcPr>
            <w:tcW w:w="1806" w:type="dxa"/>
            <w:vAlign w:val="center"/>
          </w:tcPr>
          <w:p w14:paraId="4DAB65E6" w14:textId="77777777" w:rsidR="004B1B6C" w:rsidRDefault="004B1B6C" w:rsidP="00370D8E">
            <w:pPr>
              <w:pStyle w:val="COMTableheadingrow"/>
              <w:jc w:val="center"/>
            </w:pPr>
            <w:r>
              <w:t xml:space="preserve">Month 6, </w:t>
            </w:r>
          </w:p>
          <w:p w14:paraId="4370FA4D" w14:textId="77777777" w:rsidR="004B1B6C" w:rsidRDefault="004B1B6C" w:rsidP="00370D8E">
            <w:pPr>
              <w:pStyle w:val="COMTableheadingrow"/>
              <w:jc w:val="center"/>
            </w:pPr>
            <w:r>
              <w:t>Geo-mean (95% CI)</w:t>
            </w:r>
          </w:p>
        </w:tc>
        <w:tc>
          <w:tcPr>
            <w:tcW w:w="1806" w:type="dxa"/>
            <w:vAlign w:val="center"/>
          </w:tcPr>
          <w:p w14:paraId="603F3C54" w14:textId="77777777" w:rsidR="004B1B6C" w:rsidRPr="003816E4" w:rsidRDefault="004B1B6C" w:rsidP="00370D8E">
            <w:pPr>
              <w:pStyle w:val="COMTableheadingrow"/>
              <w:jc w:val="center"/>
              <w:rPr>
                <w:vertAlign w:val="superscript"/>
              </w:rPr>
            </w:pPr>
            <w:r>
              <w:t xml:space="preserve">Ratio to baseline (95% CI) </w:t>
            </w:r>
            <w:r>
              <w:rPr>
                <w:vertAlign w:val="superscript"/>
              </w:rPr>
              <w:t>a</w:t>
            </w:r>
          </w:p>
        </w:tc>
        <w:tc>
          <w:tcPr>
            <w:tcW w:w="2051" w:type="dxa"/>
            <w:vAlign w:val="center"/>
          </w:tcPr>
          <w:p w14:paraId="74FA52FB" w14:textId="77777777" w:rsidR="004B1B6C" w:rsidRPr="003816E4" w:rsidRDefault="004B1B6C" w:rsidP="00370D8E">
            <w:pPr>
              <w:pStyle w:val="COMTableheadingrow"/>
              <w:jc w:val="center"/>
              <w:rPr>
                <w:vertAlign w:val="superscript"/>
              </w:rPr>
            </w:pPr>
            <w:r>
              <w:t xml:space="preserve">Treatment difference, % reduction (95% CI) </w:t>
            </w:r>
            <w:r>
              <w:rPr>
                <w:vertAlign w:val="superscript"/>
              </w:rPr>
              <w:t>a</w:t>
            </w:r>
          </w:p>
        </w:tc>
      </w:tr>
      <w:tr w:rsidR="004B1B6C" w14:paraId="781534B8" w14:textId="77777777">
        <w:tc>
          <w:tcPr>
            <w:tcW w:w="1549" w:type="dxa"/>
          </w:tcPr>
          <w:p w14:paraId="52D30A4D" w14:textId="77777777" w:rsidR="004B1B6C" w:rsidRDefault="004B1B6C" w:rsidP="00370D8E">
            <w:pPr>
              <w:pStyle w:val="COMTabletext"/>
            </w:pPr>
            <w:r>
              <w:t>Iptacopan N = 38</w:t>
            </w:r>
          </w:p>
        </w:tc>
        <w:tc>
          <w:tcPr>
            <w:tcW w:w="1805" w:type="dxa"/>
            <w:vAlign w:val="center"/>
          </w:tcPr>
          <w:p w14:paraId="053F1E9E" w14:textId="77777777" w:rsidR="004B1B6C" w:rsidRDefault="004B1B6C" w:rsidP="00370D8E">
            <w:pPr>
              <w:pStyle w:val="COMTabletext"/>
              <w:jc w:val="center"/>
            </w:pPr>
            <w:r>
              <w:t>3.33 (2.79, 3.97)</w:t>
            </w:r>
          </w:p>
        </w:tc>
        <w:tc>
          <w:tcPr>
            <w:tcW w:w="1806" w:type="dxa"/>
            <w:vAlign w:val="center"/>
          </w:tcPr>
          <w:p w14:paraId="6186436D" w14:textId="77777777" w:rsidR="004B1B6C" w:rsidRDefault="004B1B6C" w:rsidP="00370D8E">
            <w:pPr>
              <w:pStyle w:val="COMTabletext"/>
              <w:jc w:val="center"/>
            </w:pPr>
            <w:r>
              <w:t>2.17 (1.62, 2.91)</w:t>
            </w:r>
          </w:p>
        </w:tc>
        <w:tc>
          <w:tcPr>
            <w:tcW w:w="1806" w:type="dxa"/>
            <w:vAlign w:val="center"/>
          </w:tcPr>
          <w:p w14:paraId="76D596FE" w14:textId="77777777" w:rsidR="004B1B6C" w:rsidRDefault="004B1B6C" w:rsidP="00370D8E">
            <w:pPr>
              <w:pStyle w:val="COMTabletext"/>
              <w:jc w:val="center"/>
            </w:pPr>
            <w:r>
              <w:t>0.70 (0.57, 0.85)</w:t>
            </w:r>
          </w:p>
        </w:tc>
        <w:tc>
          <w:tcPr>
            <w:tcW w:w="2051" w:type="dxa"/>
            <w:vMerge w:val="restart"/>
            <w:vAlign w:val="center"/>
          </w:tcPr>
          <w:p w14:paraId="7B0E8BC6" w14:textId="77777777" w:rsidR="004B1B6C" w:rsidRPr="00AD363C" w:rsidRDefault="004B1B6C" w:rsidP="00370D8E">
            <w:pPr>
              <w:pStyle w:val="COMTabletext"/>
              <w:jc w:val="center"/>
              <w:rPr>
                <w:b/>
                <w:bCs w:val="0"/>
              </w:rPr>
            </w:pPr>
            <w:r w:rsidRPr="00AD363C">
              <w:rPr>
                <w:b/>
                <w:bCs w:val="0"/>
              </w:rPr>
              <w:t>35.1 (13.8, 51.1)</w:t>
            </w:r>
          </w:p>
        </w:tc>
      </w:tr>
      <w:tr w:rsidR="004B1B6C" w14:paraId="7303EC7B" w14:textId="77777777">
        <w:tc>
          <w:tcPr>
            <w:tcW w:w="1549" w:type="dxa"/>
          </w:tcPr>
          <w:p w14:paraId="6094788B" w14:textId="77777777" w:rsidR="004B1B6C" w:rsidRDefault="004B1B6C" w:rsidP="00370D8E">
            <w:pPr>
              <w:pStyle w:val="COMTabletext"/>
            </w:pPr>
            <w:r>
              <w:t>Placebo N = 36</w:t>
            </w:r>
          </w:p>
        </w:tc>
        <w:tc>
          <w:tcPr>
            <w:tcW w:w="1805" w:type="dxa"/>
            <w:vAlign w:val="center"/>
          </w:tcPr>
          <w:p w14:paraId="3AE15685" w14:textId="77777777" w:rsidR="004B1B6C" w:rsidRDefault="004B1B6C" w:rsidP="00370D8E">
            <w:pPr>
              <w:pStyle w:val="COMTabletext"/>
              <w:jc w:val="center"/>
            </w:pPr>
            <w:r>
              <w:t>2.58 (2.18, 3.05)</w:t>
            </w:r>
          </w:p>
        </w:tc>
        <w:tc>
          <w:tcPr>
            <w:tcW w:w="1806" w:type="dxa"/>
            <w:vAlign w:val="center"/>
          </w:tcPr>
          <w:p w14:paraId="71C106FA" w14:textId="77777777" w:rsidR="004B1B6C" w:rsidRDefault="004B1B6C" w:rsidP="00370D8E">
            <w:pPr>
              <w:pStyle w:val="COMTabletext"/>
              <w:jc w:val="center"/>
            </w:pPr>
            <w:r>
              <w:t>2.80 (2.37, 3.30)</w:t>
            </w:r>
          </w:p>
        </w:tc>
        <w:tc>
          <w:tcPr>
            <w:tcW w:w="1806" w:type="dxa"/>
            <w:vAlign w:val="center"/>
          </w:tcPr>
          <w:p w14:paraId="15359CC9" w14:textId="77777777" w:rsidR="004B1B6C" w:rsidRDefault="004B1B6C" w:rsidP="00370D8E">
            <w:pPr>
              <w:pStyle w:val="COMTabletext"/>
              <w:jc w:val="center"/>
            </w:pPr>
            <w:r>
              <w:t>1.08 (0.88, 1.31)</w:t>
            </w:r>
          </w:p>
        </w:tc>
        <w:tc>
          <w:tcPr>
            <w:tcW w:w="2051" w:type="dxa"/>
            <w:vMerge/>
          </w:tcPr>
          <w:p w14:paraId="44CC7727" w14:textId="77777777" w:rsidR="004B1B6C" w:rsidRDefault="004B1B6C" w:rsidP="00370D8E">
            <w:pPr>
              <w:pStyle w:val="COMTabletext"/>
            </w:pPr>
          </w:p>
        </w:tc>
      </w:tr>
    </w:tbl>
    <w:p w14:paraId="7894184D" w14:textId="77777777" w:rsidR="004B1B6C" w:rsidRDefault="004B1B6C" w:rsidP="00370D8E">
      <w:pPr>
        <w:pStyle w:val="COMTablefooter"/>
        <w:keepNext/>
      </w:pPr>
      <w:r>
        <w:t>Source: Table 2.27, p99 of the resubmission; Table 14.2-1.3a, p310 of the APPEAR-C3G trial report</w:t>
      </w:r>
    </w:p>
    <w:p w14:paraId="64753848" w14:textId="77777777" w:rsidR="004B1B6C" w:rsidRDefault="004B1B6C" w:rsidP="00370D8E">
      <w:pPr>
        <w:pStyle w:val="COMTablefooter"/>
        <w:keepNext/>
      </w:pPr>
      <w:r>
        <w:t>Abbreviations: CI, confidence interval; Geo-mean, geometric mean</w:t>
      </w:r>
    </w:p>
    <w:p w14:paraId="7FFD1B29" w14:textId="77777777" w:rsidR="004B1B6C" w:rsidRDefault="004B1B6C" w:rsidP="00370D8E">
      <w:pPr>
        <w:pStyle w:val="COMTablefooter"/>
        <w:keepNext/>
      </w:pPr>
      <w:r>
        <w:rPr>
          <w:vertAlign w:val="superscript"/>
        </w:rPr>
        <w:t>a</w:t>
      </w:r>
      <w:r>
        <w:t xml:space="preserve"> Based on a mixed model with repeated measures analysis of log-transformed geometric mean UPCR ratio to baseline</w:t>
      </w:r>
    </w:p>
    <w:p w14:paraId="6529ABF5" w14:textId="1C7C42FD" w:rsidR="00DF6341" w:rsidRDefault="00A52706" w:rsidP="00370D8E">
      <w:pPr>
        <w:pStyle w:val="COMESnumberedpara"/>
      </w:pPr>
      <w:r w:rsidRPr="00A52706">
        <w:t xml:space="preserve">Treatment with iptacopan was associated with a statistically significant reduction in 24-hour UPCR compared to placebo at 6 months from baseline. Sensitivity analyses using alternative imputation approaches following intercurrent events (changes to therapy that can affect proteinuria levels) produced results that were consistent with the primary analysis. </w:t>
      </w:r>
      <w:r w:rsidRPr="00A52706">
        <w:rPr>
          <w:i/>
          <w:iCs/>
        </w:rPr>
        <w:t>Post hoc</w:t>
      </w:r>
      <w:r w:rsidRPr="00A52706">
        <w:t xml:space="preserve"> sensitivity analyses were also performed, adjusting for </w:t>
      </w:r>
      <w:r w:rsidRPr="00A52706">
        <w:lastRenderedPageBreak/>
        <w:t>imbalances in several baseline characteristics between arms including eGFR, age and C3G subtype. The results were consistent with the primary analysis.</w:t>
      </w:r>
      <w:r w:rsidR="007226D1">
        <w:t xml:space="preserve"> </w:t>
      </w:r>
    </w:p>
    <w:p w14:paraId="5A5B2883" w14:textId="7E63B73F" w:rsidR="001330CE" w:rsidRPr="001330CE" w:rsidRDefault="001330CE" w:rsidP="00370D8E">
      <w:pPr>
        <w:pStyle w:val="COMESnumberedpara"/>
        <w:rPr>
          <w:i/>
          <w:iCs/>
        </w:rPr>
      </w:pPr>
      <w:r w:rsidRPr="007226D1">
        <w:t>Treatment effects on proteinuria were sustained at 12 months during the open-label extension period and up to 24 months in the B12001B long-term extension study</w:t>
      </w:r>
      <w:r w:rsidR="00CF0AB2">
        <w:t>.</w:t>
      </w:r>
    </w:p>
    <w:p w14:paraId="07E43B02" w14:textId="6569328A" w:rsidR="00A52706" w:rsidRDefault="005B02B4" w:rsidP="00370D8E">
      <w:pPr>
        <w:pStyle w:val="COMESnumberedpara"/>
      </w:pPr>
      <w:r w:rsidRPr="005B02B4">
        <w:t xml:space="preserve">A </w:t>
      </w:r>
      <w:r w:rsidRPr="005B02B4">
        <w:rPr>
          <w:i/>
          <w:iCs/>
        </w:rPr>
        <w:t>post hoc</w:t>
      </w:r>
      <w:r w:rsidRPr="005B02B4">
        <w:t xml:space="preserve"> analysis was conducted to evaluate the proportion of patients with different levels of proteinuria during the trial. In the iptacopan arm, the proportion of patients with nephrotic range proteinuria (defined as UPCR ≥3 g/g) reduced from 55.3% at baseline to 31.6% and 36.8% at 6 and 12 months, respectively. The proportion of patients in the placebo arm with nephrotic range proteinuria increased from 30.6% at baseline to 41.7% at 6 months; and decreased to 27.8% after switching to open-label iptacopan treatment for 6 months.</w:t>
      </w:r>
    </w:p>
    <w:p w14:paraId="46A803DE" w14:textId="65D2AB83" w:rsidR="005B02B4" w:rsidRDefault="004C1601" w:rsidP="00370D8E">
      <w:pPr>
        <w:pStyle w:val="COMESnumberedpara"/>
      </w:pPr>
      <w:r>
        <w:fldChar w:fldCharType="begin"/>
      </w:r>
      <w:r>
        <w:instrText xml:space="preserve"> REF _Ref207960433 \h </w:instrText>
      </w:r>
      <w:r>
        <w:fldChar w:fldCharType="separate"/>
      </w:r>
      <w:r w:rsidR="00CC1313">
        <w:t xml:space="preserve">Table </w:t>
      </w:r>
      <w:r w:rsidR="00CC1313">
        <w:rPr>
          <w:noProof/>
        </w:rPr>
        <w:t>5</w:t>
      </w:r>
      <w:r>
        <w:fldChar w:fldCharType="end"/>
      </w:r>
      <w:r>
        <w:t xml:space="preserve"> </w:t>
      </w:r>
      <w:r w:rsidR="005B02B4" w:rsidRPr="005B02B4">
        <w:t>presents results for the secondary endpoint of change in eGFR at 6 months in the APPEAR-C3G trial</w:t>
      </w:r>
      <w:r w:rsidR="007D580A">
        <w:t xml:space="preserve"> and</w:t>
      </w:r>
      <w:r w:rsidR="00226B71">
        <w:t xml:space="preserve"> </w:t>
      </w:r>
      <w:r w:rsidR="00812A4B" w:rsidRPr="00EE0092">
        <w:fldChar w:fldCharType="begin"/>
      </w:r>
      <w:r w:rsidR="00812A4B" w:rsidRPr="00EE0092">
        <w:instrText xml:space="preserve"> REF _Ref211502964 \h </w:instrText>
      </w:r>
      <w:r w:rsidR="00EE0092" w:rsidRPr="00EE0092">
        <w:instrText xml:space="preserve"> \* MERGEFORMAT </w:instrText>
      </w:r>
      <w:r w:rsidR="00812A4B" w:rsidRPr="00EE0092">
        <w:fldChar w:fldCharType="separate"/>
      </w:r>
      <w:r w:rsidR="00CC1313" w:rsidRPr="00C52DAE">
        <w:t xml:space="preserve">Figure </w:t>
      </w:r>
      <w:r w:rsidR="00CC1313">
        <w:rPr>
          <w:noProof/>
        </w:rPr>
        <w:t>1</w:t>
      </w:r>
      <w:r w:rsidR="00812A4B" w:rsidRPr="00EE0092">
        <w:fldChar w:fldCharType="end"/>
      </w:r>
      <w:r w:rsidR="00226B71" w:rsidRPr="00EE0092">
        <w:t xml:space="preserve"> </w:t>
      </w:r>
      <w:r w:rsidR="007D580A" w:rsidRPr="00EE0092">
        <w:t>p</w:t>
      </w:r>
      <w:r w:rsidR="007D580A">
        <w:t xml:space="preserve">resents </w:t>
      </w:r>
      <w:r w:rsidR="00B64D60">
        <w:t xml:space="preserve">changes in eGFR </w:t>
      </w:r>
      <w:r w:rsidR="00CD717A">
        <w:t>in the APPEAR-C3Gtrial and B12002B extension study</w:t>
      </w:r>
      <w:r w:rsidR="00226B71">
        <w:t>.</w:t>
      </w:r>
    </w:p>
    <w:p w14:paraId="0A7D1387" w14:textId="62F2EEE2" w:rsidR="004C1601" w:rsidRDefault="004C1601" w:rsidP="00370D8E">
      <w:pPr>
        <w:pStyle w:val="COMTableFigurecaption"/>
      </w:pPr>
      <w:bookmarkStart w:id="25" w:name="_Ref207960433"/>
      <w:r>
        <w:t xml:space="preserve">Table </w:t>
      </w:r>
      <w:r w:rsidR="00DA4682">
        <w:fldChar w:fldCharType="begin"/>
      </w:r>
      <w:r w:rsidR="00DA4682">
        <w:instrText xml:space="preserve"> SEQ Table \* ARABIC </w:instrText>
      </w:r>
      <w:r w:rsidR="00DA4682">
        <w:fldChar w:fldCharType="separate"/>
      </w:r>
      <w:r w:rsidR="00CC1313">
        <w:rPr>
          <w:noProof/>
        </w:rPr>
        <w:t>5</w:t>
      </w:r>
      <w:r w:rsidR="00DA4682">
        <w:rPr>
          <w:noProof/>
        </w:rPr>
        <w:fldChar w:fldCharType="end"/>
      </w:r>
      <w:bookmarkEnd w:id="25"/>
      <w:r>
        <w:t>: Change in eGFR (mL/min/1.73 m</w:t>
      </w:r>
      <w:r w:rsidRPr="004C1601">
        <w:rPr>
          <w:vertAlign w:val="superscript"/>
        </w:rPr>
        <w:t>2</w:t>
      </w:r>
      <w:r>
        <w:t xml:space="preserve">) at 6 months </w:t>
      </w:r>
    </w:p>
    <w:tbl>
      <w:tblPr>
        <w:tblStyle w:val="TableGrid"/>
        <w:tblW w:w="0" w:type="auto"/>
        <w:tblLook w:val="04A0" w:firstRow="1" w:lastRow="0" w:firstColumn="1" w:lastColumn="0" w:noHBand="0" w:noVBand="1"/>
        <w:tblCaption w:val="Table 5: Change in eGFR (mL/min/1.73 m2) at 6 months "/>
      </w:tblPr>
      <w:tblGrid>
        <w:gridCol w:w="1549"/>
        <w:gridCol w:w="1805"/>
        <w:gridCol w:w="1806"/>
        <w:gridCol w:w="1806"/>
        <w:gridCol w:w="2051"/>
      </w:tblGrid>
      <w:tr w:rsidR="005B02B4" w14:paraId="6822BF21" w14:textId="77777777">
        <w:tc>
          <w:tcPr>
            <w:tcW w:w="1549" w:type="dxa"/>
            <w:vAlign w:val="center"/>
          </w:tcPr>
          <w:p w14:paraId="07CF7A08" w14:textId="77777777" w:rsidR="005B02B4" w:rsidRDefault="005B02B4" w:rsidP="00370D8E">
            <w:pPr>
              <w:pStyle w:val="COMTableheadingrow"/>
            </w:pPr>
            <w:r>
              <w:t>Treatment arm</w:t>
            </w:r>
          </w:p>
        </w:tc>
        <w:tc>
          <w:tcPr>
            <w:tcW w:w="1805" w:type="dxa"/>
            <w:vAlign w:val="center"/>
          </w:tcPr>
          <w:p w14:paraId="3D8942B9" w14:textId="77777777" w:rsidR="005B02B4" w:rsidRDefault="005B02B4" w:rsidP="00370D8E">
            <w:pPr>
              <w:pStyle w:val="COMTableheadingrow"/>
              <w:jc w:val="center"/>
            </w:pPr>
            <w:r>
              <w:t xml:space="preserve">Baseline, </w:t>
            </w:r>
          </w:p>
          <w:p w14:paraId="55D1876D" w14:textId="77777777" w:rsidR="005B02B4" w:rsidRDefault="005B02B4" w:rsidP="00370D8E">
            <w:pPr>
              <w:pStyle w:val="COMTableheadingrow"/>
              <w:jc w:val="center"/>
            </w:pPr>
            <w:r>
              <w:t>Mean (SD)</w:t>
            </w:r>
          </w:p>
        </w:tc>
        <w:tc>
          <w:tcPr>
            <w:tcW w:w="1806" w:type="dxa"/>
            <w:vAlign w:val="center"/>
          </w:tcPr>
          <w:p w14:paraId="624540BB" w14:textId="77777777" w:rsidR="005B02B4" w:rsidRDefault="005B02B4" w:rsidP="00370D8E">
            <w:pPr>
              <w:pStyle w:val="COMTableheadingrow"/>
              <w:jc w:val="center"/>
            </w:pPr>
            <w:r>
              <w:t xml:space="preserve">Month 6, </w:t>
            </w:r>
          </w:p>
          <w:p w14:paraId="15D12180" w14:textId="77777777" w:rsidR="005B02B4" w:rsidRDefault="005B02B4" w:rsidP="00370D8E">
            <w:pPr>
              <w:pStyle w:val="COMTableheadingrow"/>
              <w:jc w:val="center"/>
            </w:pPr>
            <w:r>
              <w:t>Mean (SD)</w:t>
            </w:r>
          </w:p>
        </w:tc>
        <w:tc>
          <w:tcPr>
            <w:tcW w:w="1806" w:type="dxa"/>
            <w:vAlign w:val="center"/>
          </w:tcPr>
          <w:p w14:paraId="12FEDDA1" w14:textId="77777777" w:rsidR="005B02B4" w:rsidRPr="007730AB" w:rsidRDefault="005B02B4" w:rsidP="00370D8E">
            <w:pPr>
              <w:pStyle w:val="COMTableheadingrow"/>
              <w:jc w:val="center"/>
              <w:rPr>
                <w:vertAlign w:val="superscript"/>
              </w:rPr>
            </w:pPr>
            <w:r w:rsidRPr="00E15BCC">
              <w:t>Adjusted</w:t>
            </w:r>
            <w:r>
              <w:t xml:space="preserve"> mean change (95% CI) </w:t>
            </w:r>
            <w:r>
              <w:rPr>
                <w:vertAlign w:val="superscript"/>
              </w:rPr>
              <w:t>a</w:t>
            </w:r>
          </w:p>
        </w:tc>
        <w:tc>
          <w:tcPr>
            <w:tcW w:w="2051" w:type="dxa"/>
            <w:vAlign w:val="center"/>
          </w:tcPr>
          <w:p w14:paraId="568930D2" w14:textId="77777777" w:rsidR="005B02B4" w:rsidRPr="007730AB" w:rsidRDefault="005B02B4" w:rsidP="00370D8E">
            <w:pPr>
              <w:pStyle w:val="COMTableheadingrow"/>
              <w:jc w:val="center"/>
              <w:rPr>
                <w:vertAlign w:val="superscript"/>
              </w:rPr>
            </w:pPr>
            <w:r>
              <w:t xml:space="preserve">Treatment difference (95% CI) </w:t>
            </w:r>
            <w:r>
              <w:rPr>
                <w:vertAlign w:val="superscript"/>
              </w:rPr>
              <w:t>a</w:t>
            </w:r>
          </w:p>
        </w:tc>
      </w:tr>
      <w:tr w:rsidR="005B02B4" w14:paraId="044C3F97" w14:textId="77777777">
        <w:tc>
          <w:tcPr>
            <w:tcW w:w="1549" w:type="dxa"/>
          </w:tcPr>
          <w:p w14:paraId="180B42D6" w14:textId="77777777" w:rsidR="005B02B4" w:rsidRDefault="005B02B4" w:rsidP="00370D8E">
            <w:pPr>
              <w:pStyle w:val="COMTabletext"/>
            </w:pPr>
            <w:r>
              <w:t>Iptacopan N = 38</w:t>
            </w:r>
          </w:p>
        </w:tc>
        <w:tc>
          <w:tcPr>
            <w:tcW w:w="1805" w:type="dxa"/>
            <w:vAlign w:val="center"/>
          </w:tcPr>
          <w:p w14:paraId="030FCA29" w14:textId="77777777" w:rsidR="005B02B4" w:rsidRDefault="005B02B4" w:rsidP="00370D8E">
            <w:pPr>
              <w:pStyle w:val="COMTabletext"/>
              <w:jc w:val="center"/>
            </w:pPr>
            <w:r>
              <w:t>89.3 (35.2)</w:t>
            </w:r>
          </w:p>
        </w:tc>
        <w:tc>
          <w:tcPr>
            <w:tcW w:w="1806" w:type="dxa"/>
            <w:vAlign w:val="center"/>
          </w:tcPr>
          <w:p w14:paraId="0FCB4623" w14:textId="77777777" w:rsidR="005B02B4" w:rsidRDefault="005B02B4" w:rsidP="00370D8E">
            <w:pPr>
              <w:pStyle w:val="COMTabletext"/>
              <w:jc w:val="center"/>
            </w:pPr>
            <w:r>
              <w:t>90.5 (38.2)</w:t>
            </w:r>
          </w:p>
        </w:tc>
        <w:tc>
          <w:tcPr>
            <w:tcW w:w="1806" w:type="dxa"/>
            <w:vAlign w:val="center"/>
          </w:tcPr>
          <w:p w14:paraId="044E6BE3" w14:textId="77777777" w:rsidR="005B02B4" w:rsidRDefault="005B02B4" w:rsidP="00370D8E">
            <w:pPr>
              <w:pStyle w:val="COMTabletext"/>
              <w:jc w:val="center"/>
            </w:pPr>
            <w:r>
              <w:t>1.30 (-2.14, 4.73)</w:t>
            </w:r>
          </w:p>
        </w:tc>
        <w:tc>
          <w:tcPr>
            <w:tcW w:w="2051" w:type="dxa"/>
            <w:vMerge w:val="restart"/>
            <w:vAlign w:val="center"/>
          </w:tcPr>
          <w:p w14:paraId="4F8D8C4D" w14:textId="77777777" w:rsidR="005B02B4" w:rsidRPr="00142F48" w:rsidRDefault="005B02B4" w:rsidP="00370D8E">
            <w:pPr>
              <w:pStyle w:val="COMTabletext"/>
              <w:jc w:val="center"/>
            </w:pPr>
            <w:r w:rsidRPr="00142F48">
              <w:t>2.16 (</w:t>
            </w:r>
            <w:r>
              <w:t>-2.75, 7.06)</w:t>
            </w:r>
          </w:p>
        </w:tc>
      </w:tr>
      <w:tr w:rsidR="005B02B4" w14:paraId="0788A381" w14:textId="77777777">
        <w:tc>
          <w:tcPr>
            <w:tcW w:w="1549" w:type="dxa"/>
          </w:tcPr>
          <w:p w14:paraId="7C30409E" w14:textId="77777777" w:rsidR="005B02B4" w:rsidRDefault="005B02B4" w:rsidP="00370D8E">
            <w:pPr>
              <w:pStyle w:val="COMTabletext"/>
            </w:pPr>
            <w:r>
              <w:t>Placebo N = 36</w:t>
            </w:r>
          </w:p>
        </w:tc>
        <w:tc>
          <w:tcPr>
            <w:tcW w:w="1805" w:type="dxa"/>
            <w:vAlign w:val="center"/>
          </w:tcPr>
          <w:p w14:paraId="622BF983" w14:textId="77777777" w:rsidR="005B02B4" w:rsidRDefault="005B02B4" w:rsidP="00370D8E">
            <w:pPr>
              <w:pStyle w:val="COMTabletext"/>
              <w:jc w:val="center"/>
            </w:pPr>
            <w:r>
              <w:t>99.2 (26.9)</w:t>
            </w:r>
          </w:p>
        </w:tc>
        <w:tc>
          <w:tcPr>
            <w:tcW w:w="1806" w:type="dxa"/>
            <w:vAlign w:val="center"/>
          </w:tcPr>
          <w:p w14:paraId="4C100A34" w14:textId="77777777" w:rsidR="005B02B4" w:rsidRDefault="005B02B4" w:rsidP="00370D8E">
            <w:pPr>
              <w:pStyle w:val="COMTabletext"/>
              <w:jc w:val="center"/>
            </w:pPr>
            <w:r>
              <w:t>98.5 (27.6)</w:t>
            </w:r>
          </w:p>
        </w:tc>
        <w:tc>
          <w:tcPr>
            <w:tcW w:w="1806" w:type="dxa"/>
            <w:vAlign w:val="center"/>
          </w:tcPr>
          <w:p w14:paraId="1E645126" w14:textId="77777777" w:rsidR="005B02B4" w:rsidRDefault="005B02B4" w:rsidP="00370D8E">
            <w:pPr>
              <w:pStyle w:val="COMTabletext"/>
              <w:jc w:val="center"/>
            </w:pPr>
            <w:r>
              <w:t>-0.86 (-4.36, 2.64)</w:t>
            </w:r>
          </w:p>
        </w:tc>
        <w:tc>
          <w:tcPr>
            <w:tcW w:w="2051" w:type="dxa"/>
            <w:vMerge/>
          </w:tcPr>
          <w:p w14:paraId="0989D3A2" w14:textId="77777777" w:rsidR="005B02B4" w:rsidRDefault="005B02B4" w:rsidP="00370D8E">
            <w:pPr>
              <w:pStyle w:val="COMTabletext"/>
            </w:pPr>
          </w:p>
        </w:tc>
      </w:tr>
    </w:tbl>
    <w:p w14:paraId="1FF54170" w14:textId="77777777" w:rsidR="005B02B4" w:rsidRDefault="005B02B4" w:rsidP="00370D8E">
      <w:pPr>
        <w:pStyle w:val="COMTablefooter"/>
      </w:pPr>
      <w:r>
        <w:t>Source: Table 2.30, p105 of the submission; Table 14.2-3.4, p386 of the APPEAR-C3G trial report</w:t>
      </w:r>
    </w:p>
    <w:p w14:paraId="1EDC3AA9" w14:textId="77777777" w:rsidR="005B02B4" w:rsidRDefault="005B02B4" w:rsidP="00370D8E">
      <w:pPr>
        <w:pStyle w:val="COMTablefooter"/>
      </w:pPr>
      <w:r>
        <w:t>Abbreviations: CI, confidence interval; SD, standard deviation</w:t>
      </w:r>
    </w:p>
    <w:p w14:paraId="27F685A8" w14:textId="78DA09D7" w:rsidR="005B02B4" w:rsidRDefault="005B02B4" w:rsidP="00370D8E">
      <w:pPr>
        <w:pStyle w:val="COMTablefooter"/>
      </w:pPr>
      <w:r>
        <w:rPr>
          <w:vertAlign w:val="superscript"/>
        </w:rPr>
        <w:t>a</w:t>
      </w:r>
      <w:r>
        <w:t xml:space="preserve"> Based on a mixed model of repeated measures analysis which included treatment, visit, and stratification variable as fixed effects, </w:t>
      </w:r>
      <w:proofErr w:type="spellStart"/>
      <w:r>
        <w:t>treatment×visits</w:t>
      </w:r>
      <w:proofErr w:type="spellEnd"/>
      <w:r>
        <w:t xml:space="preserve"> as interaction term and baseline eGFR as covariate</w:t>
      </w:r>
    </w:p>
    <w:p w14:paraId="2CE4764A" w14:textId="77777777" w:rsidR="00226B71" w:rsidRDefault="00226B71" w:rsidP="00370D8E">
      <w:pPr>
        <w:pStyle w:val="COMTablefooter"/>
      </w:pPr>
    </w:p>
    <w:p w14:paraId="0BC6974F" w14:textId="511A59D6" w:rsidR="00226B71" w:rsidRPr="00C52DAE" w:rsidRDefault="00226B71" w:rsidP="00370D8E">
      <w:pPr>
        <w:pStyle w:val="COMTableFigurecaption"/>
        <w:jc w:val="both"/>
      </w:pPr>
      <w:bookmarkStart w:id="26" w:name="_Ref211502964"/>
      <w:r w:rsidRPr="00C52DAE">
        <w:t xml:space="preserve">Figure </w:t>
      </w:r>
      <w:r w:rsidR="00DA4682">
        <w:fldChar w:fldCharType="begin"/>
      </w:r>
      <w:r w:rsidR="00DA4682">
        <w:instrText xml:space="preserve"> SEQ Figure \* ARABIC </w:instrText>
      </w:r>
      <w:r w:rsidR="00DA4682">
        <w:fldChar w:fldCharType="separate"/>
      </w:r>
      <w:r w:rsidR="00CC1313">
        <w:rPr>
          <w:noProof/>
        </w:rPr>
        <w:t>1</w:t>
      </w:r>
      <w:r w:rsidR="00DA4682">
        <w:rPr>
          <w:noProof/>
        </w:rPr>
        <w:fldChar w:fldCharType="end"/>
      </w:r>
      <w:bookmarkEnd w:id="26"/>
      <w:r w:rsidRPr="00C52DAE">
        <w:t xml:space="preserve">: </w:t>
      </w:r>
      <w:r w:rsidR="008013F1" w:rsidRPr="00C52DAE">
        <w:t>Plot of mean change in eGFR over time in the APPEAR-C3G trial and B12001B long term extension study</w:t>
      </w:r>
    </w:p>
    <w:p w14:paraId="044BC019" w14:textId="7A472390" w:rsidR="00226B71" w:rsidRDefault="00F150B8" w:rsidP="00370D8E">
      <w:pPr>
        <w:pStyle w:val="COMTablefooter"/>
      </w:pPr>
      <w:r>
        <w:rPr>
          <w:noProof/>
        </w:rPr>
        <w:drawing>
          <wp:inline distT="0" distB="0" distL="0" distR="0" wp14:anchorId="429F57AA" wp14:editId="49083244">
            <wp:extent cx="5742940" cy="2048510"/>
            <wp:effectExtent l="0" t="0" r="0" b="8890"/>
            <wp:docPr id="902792128" name="Picture 1" descr="Figure 1: Plot of mean change in eGFR over time in the APPEAR-C3G trial and B12001B long term extension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92128" name="Picture 1" descr="Figure 1: Plot of mean change in eGFR over time in the APPEAR-C3G trial and B12001B long term extension stud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2940" cy="2048510"/>
                    </a:xfrm>
                    <a:prstGeom prst="rect">
                      <a:avLst/>
                    </a:prstGeom>
                    <a:noFill/>
                  </pic:spPr>
                </pic:pic>
              </a:graphicData>
            </a:graphic>
          </wp:inline>
        </w:drawing>
      </w:r>
    </w:p>
    <w:p w14:paraId="0AB3205F" w14:textId="77777777" w:rsidR="000D3D5A" w:rsidRDefault="000D3D5A" w:rsidP="00370D8E">
      <w:pPr>
        <w:pStyle w:val="COMTablefooter"/>
      </w:pPr>
      <w:r>
        <w:t>Source: Figure 3-2, p10 of the 2.7.3 Appendix 2 - summary of clinical efficacy report of the submission</w:t>
      </w:r>
    </w:p>
    <w:p w14:paraId="14ED9636" w14:textId="77777777" w:rsidR="000D3D5A" w:rsidRDefault="000D3D5A" w:rsidP="00370D8E">
      <w:pPr>
        <w:pStyle w:val="COMTablefooter"/>
      </w:pPr>
      <w:r>
        <w:t>Abbreviations: b.i.d., twice a day; eGFR, estimated glomerular filtration rate; LNP023, iptacopan; REP, rollover extension program; SE, standard error</w:t>
      </w:r>
    </w:p>
    <w:p w14:paraId="79A843D8" w14:textId="77777777" w:rsidR="000D3D5A" w:rsidRDefault="000D3D5A" w:rsidP="00370D8E">
      <w:pPr>
        <w:pStyle w:val="COMTablefooter"/>
      </w:pPr>
      <w:r>
        <w:t xml:space="preserve">Note: Analysed using a mixed model repeated measures analysis which included treatment, visit, stratification variable as fixed effects, </w:t>
      </w:r>
      <w:proofErr w:type="spellStart"/>
      <w:r>
        <w:t>treatment×visit</w:t>
      </w:r>
      <w:proofErr w:type="spellEnd"/>
      <w:r>
        <w:t xml:space="preserve"> as an interaction term and baseline eGFR as a covariate. </w:t>
      </w:r>
      <w:r w:rsidRPr="00515BD1">
        <w:t>Correlations between visits within patients were modelled using an autoregressive covariance matrix</w:t>
      </w:r>
    </w:p>
    <w:p w14:paraId="57160657" w14:textId="77777777" w:rsidR="000D3D5A" w:rsidRDefault="000D3D5A" w:rsidP="00370D8E">
      <w:pPr>
        <w:pStyle w:val="COMTablefooter"/>
      </w:pPr>
    </w:p>
    <w:p w14:paraId="2DA832AA" w14:textId="01003224" w:rsidR="00D12DD3" w:rsidRDefault="005B02B4" w:rsidP="00370D8E">
      <w:pPr>
        <w:pStyle w:val="COMESnumberedpara"/>
      </w:pPr>
      <w:r w:rsidRPr="005B02B4">
        <w:t xml:space="preserve">Treatment with iptacopan was associated with a numerical improvement in eGFR compared to placebo at 6 months, however, the result did not achieve statistical significance. </w:t>
      </w:r>
      <w:r w:rsidR="00B62D67">
        <w:t>The eGFR slope (mL/min/1.73 m</w:t>
      </w:r>
      <w:r w:rsidR="00B62D67" w:rsidRPr="00641CA4">
        <w:rPr>
          <w:vertAlign w:val="superscript"/>
        </w:rPr>
        <w:t>2</w:t>
      </w:r>
      <w:r w:rsidR="00B62D67">
        <w:t xml:space="preserve"> per year) was estimated as -0.03 </w:t>
      </w:r>
      <w:r w:rsidR="00B62D67">
        <w:lastRenderedPageBreak/>
        <w:t>(95% CI -6.93, 6.88) in the iptacopan arm and -3.08 (95% CI -10.13, 3.98) in the placebo arm with a non-statistically significant difference of 3.05 (95% -6.82, 12.92) between arms.</w:t>
      </w:r>
      <w:r w:rsidR="00641CA4">
        <w:t xml:space="preserve"> </w:t>
      </w:r>
      <w:r w:rsidR="00D12DD3">
        <w:t xml:space="preserve">Longer-term follow-up showed </w:t>
      </w:r>
      <w:r w:rsidR="00D12DD3" w:rsidRPr="001D70DF">
        <w:t>a decline</w:t>
      </w:r>
      <w:r w:rsidR="00D12DD3">
        <w:t xml:space="preserve"> in eGFR </w:t>
      </w:r>
      <w:r w:rsidR="00D12DD3" w:rsidRPr="001D70DF">
        <w:t>at 21 months in patients originally randomised to the iptacopan arm of the trial (-5.2 mL/min/1.73 m</w:t>
      </w:r>
      <w:r w:rsidR="00D12DD3" w:rsidRPr="00641CA4">
        <w:rPr>
          <w:vertAlign w:val="superscript"/>
        </w:rPr>
        <w:t>2</w:t>
      </w:r>
      <w:r w:rsidR="00D12DD3" w:rsidRPr="001D70DF">
        <w:t xml:space="preserve"> from baseline). The study report stated that it was likely a transient effect due to variability in eGFR, with the result reflecting a combination of the small number of observations at that timepoint (n=15) and the impact of outlier values. In patients originally randomised to placebo and subsequently switched to iptacopan, eGFR remained </w:t>
      </w:r>
      <w:proofErr w:type="gramStart"/>
      <w:r w:rsidR="00D12DD3" w:rsidRPr="001D70DF">
        <w:t>fairly stable</w:t>
      </w:r>
      <w:proofErr w:type="gramEnd"/>
      <w:r w:rsidR="00D12DD3" w:rsidRPr="001D70DF">
        <w:t xml:space="preserve"> throughout the trial and extension period.</w:t>
      </w:r>
    </w:p>
    <w:p w14:paraId="44B5A080" w14:textId="0823C039" w:rsidR="00436DB8" w:rsidRDefault="00436DB8" w:rsidP="00370D8E">
      <w:pPr>
        <w:pStyle w:val="COMESnumberedpara"/>
      </w:pPr>
      <w:r w:rsidRPr="00436DB8">
        <w:t>The trial report noted significant variability in change in eGFR between arms across subgroups</w:t>
      </w:r>
      <w:r w:rsidR="00D70F38">
        <w:t xml:space="preserve"> in the pre-specified</w:t>
      </w:r>
      <w:r w:rsidR="00D04554">
        <w:t xml:space="preserve"> subgroup analysis</w:t>
      </w:r>
      <w:r w:rsidRPr="00436DB8">
        <w:t xml:space="preserve">, with point estimates favouring the placebo arm compared to iptacopan depending on region, corticosteroid and/or mycophenolate mofetil use at baseline, baseline eGFR and age at diagnosis. The report noted that interpretation of the results was difficult and there was additional uncertainty given the small sample size of the study. </w:t>
      </w:r>
      <w:r w:rsidRPr="00565CF0">
        <w:t>It was unclear whether there are any potential treatment effect modifiers in terms of change in eGFR.</w:t>
      </w:r>
      <w:r w:rsidR="006B75F2">
        <w:t xml:space="preserve"> </w:t>
      </w:r>
    </w:p>
    <w:p w14:paraId="78B59CDD" w14:textId="6A23E6B5" w:rsidR="00142F36" w:rsidRPr="00DA25BD" w:rsidRDefault="00F30D57" w:rsidP="00370D8E">
      <w:pPr>
        <w:pStyle w:val="COMESnumberedpara"/>
        <w:rPr>
          <w:i/>
          <w:iCs/>
        </w:rPr>
      </w:pPr>
      <w:r w:rsidRPr="00A81BBC">
        <w:t xml:space="preserve">The ESC noted that </w:t>
      </w:r>
      <w:r w:rsidR="00142F36" w:rsidRPr="00A81BBC">
        <w:t>the Kavanagh (2025) publication presented results of a post hoc analysis of change in eGFR slope by individual treatment arms. The results of this analysis are presented in</w:t>
      </w:r>
      <w:r w:rsidR="00DA25BD" w:rsidRPr="00A81BBC">
        <w:t xml:space="preserve"> </w:t>
      </w:r>
      <w:r w:rsidR="00E80D96" w:rsidRPr="00A81BBC">
        <w:fldChar w:fldCharType="begin"/>
      </w:r>
      <w:r w:rsidR="00E80D96" w:rsidRPr="00A81BBC">
        <w:instrText xml:space="preserve"> REF _Ref211504235 \h </w:instrText>
      </w:r>
      <w:r w:rsidR="00A81BBC">
        <w:instrText xml:space="preserve"> \* MERGEFORMAT </w:instrText>
      </w:r>
      <w:r w:rsidR="00E80D96" w:rsidRPr="00A81BBC">
        <w:fldChar w:fldCharType="separate"/>
      </w:r>
      <w:r w:rsidR="00CC1313" w:rsidRPr="00A81BBC">
        <w:t xml:space="preserve">Figure </w:t>
      </w:r>
      <w:r w:rsidR="00CC1313">
        <w:rPr>
          <w:noProof/>
        </w:rPr>
        <w:t>2</w:t>
      </w:r>
      <w:r w:rsidR="00E80D96" w:rsidRPr="00A81BBC">
        <w:fldChar w:fldCharType="end"/>
      </w:r>
      <w:r w:rsidR="00142F36" w:rsidRPr="00DA25BD">
        <w:rPr>
          <w:i/>
          <w:iCs/>
        </w:rPr>
        <w:t>.</w:t>
      </w:r>
    </w:p>
    <w:p w14:paraId="6A4FD354" w14:textId="77777777" w:rsidR="00142F36" w:rsidRDefault="00142F36" w:rsidP="00370D8E">
      <w:pPr>
        <w:pStyle w:val="COMBodytext"/>
      </w:pPr>
    </w:p>
    <w:p w14:paraId="136B1FE6" w14:textId="7E2E188D" w:rsidR="00142F36" w:rsidRPr="00A81BBC" w:rsidRDefault="00B2741F" w:rsidP="00370D8E">
      <w:pPr>
        <w:pStyle w:val="COMTableFigurecaption"/>
        <w:jc w:val="both"/>
      </w:pPr>
      <w:bookmarkStart w:id="27" w:name="_Ref211504235"/>
      <w:r w:rsidRPr="00A81BBC">
        <w:lastRenderedPageBreak/>
        <w:t xml:space="preserve">Figure </w:t>
      </w:r>
      <w:r w:rsidR="00DA4682">
        <w:fldChar w:fldCharType="begin"/>
      </w:r>
      <w:r w:rsidR="00DA4682">
        <w:instrText xml:space="preserve"> SEQ Figure \* ARABIC </w:instrText>
      </w:r>
      <w:r w:rsidR="00DA4682">
        <w:fldChar w:fldCharType="separate"/>
      </w:r>
      <w:r w:rsidR="00CC1313">
        <w:rPr>
          <w:noProof/>
        </w:rPr>
        <w:t>2</w:t>
      </w:r>
      <w:r w:rsidR="00DA4682">
        <w:rPr>
          <w:noProof/>
        </w:rPr>
        <w:fldChar w:fldCharType="end"/>
      </w:r>
      <w:bookmarkEnd w:id="27"/>
      <w:r w:rsidR="00142F36" w:rsidRPr="00A81BBC">
        <w:t xml:space="preserve"> Post hoc analysis of change in eGFR slope by individual treatment arm in APPEAR-C3G</w:t>
      </w:r>
    </w:p>
    <w:p w14:paraId="0FB380FE" w14:textId="77777777" w:rsidR="00142F36" w:rsidRDefault="00142F36" w:rsidP="00370D8E">
      <w:pPr>
        <w:pStyle w:val="COMBodytext"/>
      </w:pPr>
      <w:r w:rsidRPr="00A4758F">
        <w:rPr>
          <w:noProof/>
        </w:rPr>
        <w:drawing>
          <wp:inline distT="0" distB="0" distL="0" distR="0" wp14:anchorId="5D807F7E" wp14:editId="212E4066">
            <wp:extent cx="5731510" cy="4456430"/>
            <wp:effectExtent l="0" t="0" r="2540" b="1270"/>
            <wp:docPr id="436578475" name="Picture 1" descr="Figure 2 Post hoc analysis of change in eGFR slope by individual treatment arm in APPEAR-C3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78475" name="Picture 1" descr="Figure 2 Post hoc analysis of change in eGFR slope by individual treatment arm in APPEAR-C3G"/>
                    <pic:cNvPicPr/>
                  </pic:nvPicPr>
                  <pic:blipFill>
                    <a:blip r:embed="rId15"/>
                    <a:stretch>
                      <a:fillRect/>
                    </a:stretch>
                  </pic:blipFill>
                  <pic:spPr>
                    <a:xfrm>
                      <a:off x="0" y="0"/>
                      <a:ext cx="5731510" cy="4456430"/>
                    </a:xfrm>
                    <a:prstGeom prst="rect">
                      <a:avLst/>
                    </a:prstGeom>
                  </pic:spPr>
                </pic:pic>
              </a:graphicData>
            </a:graphic>
          </wp:inline>
        </w:drawing>
      </w:r>
    </w:p>
    <w:p w14:paraId="1B7E3A10" w14:textId="77777777" w:rsidR="00E11A35" w:rsidRPr="00A81BBC" w:rsidRDefault="00E11A35" w:rsidP="00370D8E">
      <w:pPr>
        <w:pStyle w:val="COMTablefooter"/>
      </w:pPr>
      <w:r w:rsidRPr="00A81BBC">
        <w:t>Source: Figure S9, p31 of the Kavanagh 2025 appendix</w:t>
      </w:r>
    </w:p>
    <w:p w14:paraId="5486370D" w14:textId="77777777" w:rsidR="00E11A35" w:rsidRPr="00A81BBC" w:rsidRDefault="00E11A35" w:rsidP="00370D8E">
      <w:pPr>
        <w:pStyle w:val="COMTablefooter"/>
      </w:pPr>
      <w:r w:rsidRPr="00A81BBC">
        <w:t>Abbreviation: eGFR, estimated glomerular filtration rate</w:t>
      </w:r>
    </w:p>
    <w:p w14:paraId="3BFAD340" w14:textId="77777777" w:rsidR="00E11A35" w:rsidRPr="00A81BBC" w:rsidRDefault="00E11A35" w:rsidP="00370D8E">
      <w:pPr>
        <w:pStyle w:val="COMTablefooter"/>
      </w:pPr>
      <w:r w:rsidRPr="00A81BBC">
        <w:t>Note: Generalised linear mixed model was used to predict change in eGFR over time, with an intercept, treatment group effect, a pre-treatment slope, a change in the slope at visit Day 1 as fixed effects, random effects on intercept, the pre-treatment slope and change in slope, interaction between treatment group and pre-treatment slope and interaction between treatment group and a change in the slope. Intercurrent events handled with a treatment policy strategy</w:t>
      </w:r>
    </w:p>
    <w:p w14:paraId="1DACD295" w14:textId="484F2A52" w:rsidR="002170C2" w:rsidRPr="00A81BBC" w:rsidRDefault="002170C2" w:rsidP="00370D8E">
      <w:pPr>
        <w:pStyle w:val="COMESnumberedpara"/>
      </w:pPr>
      <w:r w:rsidRPr="00A81BBC">
        <w:t>The analysis showed that the annualised eGFR slope during the historical period was worse in the iptacopan arm (</w:t>
      </w:r>
      <w:r w:rsidRPr="00A81BBC">
        <w:noBreakHyphen/>
        <w:t>10.75 mL/min/1.73 m2 per year) compared to the placebo arm (</w:t>
      </w:r>
      <w:r w:rsidRPr="00A81BBC">
        <w:noBreakHyphen/>
        <w:t>7.64 mL/min/1.73 m2 per year). However, both arms showed stabilisation/slowed decline in eGFR slope during the double-blind period of the trial. The difference in change in eGFR slope between treatment arms was in favour of iptacopan although it was not statistically significant (6.17 mL/min/1.73 m2 per year, 95% CI -4.41, 16.74).</w:t>
      </w:r>
    </w:p>
    <w:p w14:paraId="3A0D95EC" w14:textId="241008E2" w:rsidR="00F30D57" w:rsidRPr="00A81BBC" w:rsidRDefault="002170C2" w:rsidP="00370D8E">
      <w:pPr>
        <w:pStyle w:val="COMESnumberedpara"/>
      </w:pPr>
      <w:r w:rsidRPr="00A81BBC">
        <w:t xml:space="preserve">The Kavanagh </w:t>
      </w:r>
      <w:r w:rsidR="00BF22FF" w:rsidRPr="00A81BBC">
        <w:t>(</w:t>
      </w:r>
      <w:r w:rsidRPr="00A81BBC">
        <w:t>2025</w:t>
      </w:r>
      <w:r w:rsidR="00BF22FF" w:rsidRPr="00A81BBC">
        <w:t>)</w:t>
      </w:r>
      <w:r w:rsidRPr="00A81BBC">
        <w:t xml:space="preserve"> study authors noted that the stabilisation/slowed decline of eGFR slope during the double-blind period could be a result of more frequent monitoring and better adherence to supportive treatment including RAAS inhibitors and background immunosuppression within the structured trial environment. This suggests that observed differences during the double-blind period are a more robust representation of treatment effects associated with iptacopan rather than observational comparisons of ‘before and after’ iptacopan treatment.</w:t>
      </w:r>
      <w:r w:rsidR="006B75F2">
        <w:t xml:space="preserve"> </w:t>
      </w:r>
      <w:r w:rsidRPr="00A81BBC">
        <w:t xml:space="preserve"> </w:t>
      </w:r>
    </w:p>
    <w:p w14:paraId="6CBC960B" w14:textId="09798AFF" w:rsidR="001D70DF" w:rsidRDefault="00927A06" w:rsidP="00370D8E">
      <w:pPr>
        <w:pStyle w:val="COMESnumberedpara"/>
      </w:pPr>
      <w:r>
        <w:lastRenderedPageBreak/>
        <w:fldChar w:fldCharType="begin"/>
      </w:r>
      <w:r>
        <w:instrText xml:space="preserve"> REF _Ref207960534 \h </w:instrText>
      </w:r>
      <w:r>
        <w:fldChar w:fldCharType="separate"/>
      </w:r>
      <w:r w:rsidR="00CC1313">
        <w:t xml:space="preserve">Table </w:t>
      </w:r>
      <w:r w:rsidR="00CC1313">
        <w:rPr>
          <w:noProof/>
        </w:rPr>
        <w:t>6</w:t>
      </w:r>
      <w:r>
        <w:fldChar w:fldCharType="end"/>
      </w:r>
      <w:r>
        <w:t xml:space="preserve"> </w:t>
      </w:r>
      <w:r w:rsidR="001D70DF" w:rsidRPr="001D70DF">
        <w:t xml:space="preserve">presents results based on the secondary composite renal endpoint consisting of a ≤15% decrease in eGFR </w:t>
      </w:r>
      <w:r w:rsidR="001D70DF" w:rsidRPr="00DA5E97">
        <w:rPr>
          <w:u w:val="single"/>
        </w:rPr>
        <w:t>and</w:t>
      </w:r>
      <w:r w:rsidR="001D70DF" w:rsidRPr="001D70DF">
        <w:t xml:space="preserve"> a ≥50% reduction in UPCR at 6 months compared to baseline. </w:t>
      </w:r>
    </w:p>
    <w:p w14:paraId="44769042" w14:textId="1F7F36D0" w:rsidR="001D70DF" w:rsidRDefault="004C1601" w:rsidP="00370D8E">
      <w:pPr>
        <w:pStyle w:val="COMTableFigurecaption"/>
        <w:jc w:val="both"/>
      </w:pPr>
      <w:bookmarkStart w:id="28" w:name="_Ref207960534"/>
      <w:r>
        <w:t xml:space="preserve">Table </w:t>
      </w:r>
      <w:r w:rsidR="00DA4682">
        <w:fldChar w:fldCharType="begin"/>
      </w:r>
      <w:r w:rsidR="00DA4682">
        <w:instrText xml:space="preserve"> SEQ Table \* ARABIC </w:instrText>
      </w:r>
      <w:r w:rsidR="00DA4682">
        <w:fldChar w:fldCharType="separate"/>
      </w:r>
      <w:r w:rsidR="00CC1313">
        <w:rPr>
          <w:noProof/>
        </w:rPr>
        <w:t>6</w:t>
      </w:r>
      <w:r w:rsidR="00DA4682">
        <w:rPr>
          <w:noProof/>
        </w:rPr>
        <w:fldChar w:fldCharType="end"/>
      </w:r>
      <w:bookmarkEnd w:id="28"/>
      <w:r>
        <w:t>: Composite renal endpoint (</w:t>
      </w:r>
      <w:r w:rsidRPr="00A73775">
        <w:t xml:space="preserve">≤15% decrease in eGFR </w:t>
      </w:r>
      <w:r w:rsidRPr="004C1601">
        <w:t>and</w:t>
      </w:r>
      <w:r w:rsidRPr="00A73775">
        <w:t xml:space="preserve"> a ≥50% reduction in </w:t>
      </w:r>
      <w:r>
        <w:t xml:space="preserve">24-hour </w:t>
      </w:r>
      <w:r w:rsidRPr="00A73775">
        <w:t>UPCR</w:t>
      </w:r>
      <w:r>
        <w:t>) at 6 months</w:t>
      </w:r>
    </w:p>
    <w:tbl>
      <w:tblPr>
        <w:tblStyle w:val="TableGrid"/>
        <w:tblW w:w="0" w:type="auto"/>
        <w:tblLook w:val="04A0" w:firstRow="1" w:lastRow="0" w:firstColumn="1" w:lastColumn="0" w:noHBand="0" w:noVBand="1"/>
        <w:tblCaption w:val="Table 6: Composite renal endpoint (≤15% decrease in eGFR and a ≥50% reduction in 24-hour UPCR) at 6 months"/>
      </w:tblPr>
      <w:tblGrid>
        <w:gridCol w:w="2961"/>
        <w:gridCol w:w="2017"/>
        <w:gridCol w:w="2017"/>
        <w:gridCol w:w="2022"/>
      </w:tblGrid>
      <w:tr w:rsidR="001D70DF" w14:paraId="226CC980" w14:textId="77777777">
        <w:tc>
          <w:tcPr>
            <w:tcW w:w="2961" w:type="dxa"/>
          </w:tcPr>
          <w:p w14:paraId="13890893" w14:textId="77777777" w:rsidR="001D70DF" w:rsidRDefault="001D70DF" w:rsidP="00370D8E">
            <w:pPr>
              <w:pStyle w:val="COMTableheadingrow"/>
            </w:pPr>
            <w:r>
              <w:t>Outcome</w:t>
            </w:r>
          </w:p>
        </w:tc>
        <w:tc>
          <w:tcPr>
            <w:tcW w:w="2018" w:type="dxa"/>
            <w:vAlign w:val="center"/>
          </w:tcPr>
          <w:p w14:paraId="0B1AA5A7" w14:textId="77777777" w:rsidR="001D70DF" w:rsidRDefault="001D70DF" w:rsidP="00370D8E">
            <w:pPr>
              <w:pStyle w:val="COMTableheadingrow"/>
              <w:jc w:val="center"/>
            </w:pPr>
            <w:r>
              <w:t>Iptacopan N = 38</w:t>
            </w:r>
          </w:p>
        </w:tc>
        <w:tc>
          <w:tcPr>
            <w:tcW w:w="2018" w:type="dxa"/>
            <w:vAlign w:val="center"/>
          </w:tcPr>
          <w:p w14:paraId="1851BEA1" w14:textId="77777777" w:rsidR="001D70DF" w:rsidRDefault="001D70DF" w:rsidP="00370D8E">
            <w:pPr>
              <w:pStyle w:val="COMTableheadingrow"/>
              <w:jc w:val="center"/>
            </w:pPr>
            <w:r>
              <w:t>Placebo N = 36</w:t>
            </w:r>
          </w:p>
        </w:tc>
        <w:tc>
          <w:tcPr>
            <w:tcW w:w="2020" w:type="dxa"/>
            <w:vAlign w:val="center"/>
          </w:tcPr>
          <w:p w14:paraId="130ADA7E" w14:textId="028FF7B3" w:rsidR="001D70DF" w:rsidRDefault="001D70DF" w:rsidP="00370D8E">
            <w:pPr>
              <w:pStyle w:val="COMTableheadingrow"/>
              <w:jc w:val="center"/>
            </w:pPr>
            <w:r>
              <w:t xml:space="preserve">Odds </w:t>
            </w:r>
            <w:r w:rsidR="00D04554">
              <w:t>r</w:t>
            </w:r>
            <w:r>
              <w:t>atio (95% CI)</w:t>
            </w:r>
          </w:p>
        </w:tc>
      </w:tr>
      <w:tr w:rsidR="001D70DF" w14:paraId="47DF4DF3" w14:textId="77777777">
        <w:tc>
          <w:tcPr>
            <w:tcW w:w="2961" w:type="dxa"/>
          </w:tcPr>
          <w:p w14:paraId="427AF00B" w14:textId="77777777" w:rsidR="001D70DF" w:rsidRDefault="001D70DF" w:rsidP="00370D8E">
            <w:pPr>
              <w:pStyle w:val="COMTabletext"/>
            </w:pPr>
            <w:r>
              <w:t>Composite renal endpoint, n/N (%)</w:t>
            </w:r>
          </w:p>
        </w:tc>
        <w:tc>
          <w:tcPr>
            <w:tcW w:w="2018" w:type="dxa"/>
            <w:vAlign w:val="center"/>
          </w:tcPr>
          <w:p w14:paraId="0157A6D9" w14:textId="77777777" w:rsidR="001D70DF" w:rsidRDefault="001D70DF" w:rsidP="00370D8E">
            <w:pPr>
              <w:pStyle w:val="COMTabletext"/>
              <w:jc w:val="center"/>
            </w:pPr>
            <w:r>
              <w:t>11/37 (29.7)</w:t>
            </w:r>
          </w:p>
        </w:tc>
        <w:tc>
          <w:tcPr>
            <w:tcW w:w="2015" w:type="dxa"/>
            <w:vAlign w:val="center"/>
          </w:tcPr>
          <w:p w14:paraId="1AA885F0" w14:textId="77777777" w:rsidR="001D70DF" w:rsidRDefault="001D70DF" w:rsidP="00370D8E">
            <w:pPr>
              <w:pStyle w:val="COMTabletext"/>
              <w:jc w:val="center"/>
            </w:pPr>
            <w:r>
              <w:t>2/36 (5.6)</w:t>
            </w:r>
          </w:p>
        </w:tc>
        <w:tc>
          <w:tcPr>
            <w:tcW w:w="2023" w:type="dxa"/>
            <w:vMerge w:val="restart"/>
            <w:vAlign w:val="center"/>
          </w:tcPr>
          <w:p w14:paraId="4E26F705" w14:textId="77777777" w:rsidR="001D70DF" w:rsidRPr="00F72B0B" w:rsidRDefault="001D70DF" w:rsidP="00370D8E">
            <w:pPr>
              <w:pStyle w:val="COMTabletext"/>
              <w:jc w:val="center"/>
              <w:rPr>
                <w:b/>
                <w:bCs w:val="0"/>
              </w:rPr>
            </w:pPr>
            <w:r w:rsidRPr="00F72B0B">
              <w:rPr>
                <w:b/>
                <w:bCs w:val="0"/>
              </w:rPr>
              <w:t>7.15 (1.43, 35.72)</w:t>
            </w:r>
          </w:p>
        </w:tc>
      </w:tr>
      <w:tr w:rsidR="001D70DF" w14:paraId="4867E4BA" w14:textId="77777777">
        <w:tc>
          <w:tcPr>
            <w:tcW w:w="2961" w:type="dxa"/>
          </w:tcPr>
          <w:p w14:paraId="5CBE3E3D" w14:textId="77777777" w:rsidR="001D70DF" w:rsidRDefault="001D70DF" w:rsidP="00370D8E">
            <w:pPr>
              <w:pStyle w:val="COMTabletext"/>
            </w:pPr>
            <w:r>
              <w:t>- ≤15% decrease in eGFR</w:t>
            </w:r>
          </w:p>
        </w:tc>
        <w:tc>
          <w:tcPr>
            <w:tcW w:w="2018" w:type="dxa"/>
            <w:vAlign w:val="center"/>
          </w:tcPr>
          <w:p w14:paraId="096697A2" w14:textId="77777777" w:rsidR="001D70DF" w:rsidRDefault="001D70DF" w:rsidP="00370D8E">
            <w:pPr>
              <w:pStyle w:val="COMTabletext"/>
              <w:jc w:val="center"/>
            </w:pPr>
            <w:r>
              <w:t>34/38 (89.5)</w:t>
            </w:r>
          </w:p>
        </w:tc>
        <w:tc>
          <w:tcPr>
            <w:tcW w:w="2015" w:type="dxa"/>
            <w:vAlign w:val="center"/>
          </w:tcPr>
          <w:p w14:paraId="3FD3E3CA" w14:textId="77777777" w:rsidR="001D70DF" w:rsidRDefault="001D70DF" w:rsidP="00370D8E">
            <w:pPr>
              <w:pStyle w:val="COMTabletext"/>
              <w:jc w:val="center"/>
            </w:pPr>
            <w:r>
              <w:t>32/36 (88.9)</w:t>
            </w:r>
          </w:p>
        </w:tc>
        <w:tc>
          <w:tcPr>
            <w:tcW w:w="2023" w:type="dxa"/>
            <w:vMerge/>
          </w:tcPr>
          <w:p w14:paraId="3ED6903A" w14:textId="77777777" w:rsidR="001D70DF" w:rsidRDefault="001D70DF" w:rsidP="00370D8E">
            <w:pPr>
              <w:pStyle w:val="COMTabletext"/>
            </w:pPr>
          </w:p>
        </w:tc>
      </w:tr>
      <w:tr w:rsidR="001D70DF" w14:paraId="29F6F79B" w14:textId="77777777">
        <w:tc>
          <w:tcPr>
            <w:tcW w:w="2961" w:type="dxa"/>
          </w:tcPr>
          <w:p w14:paraId="54BE7D60" w14:textId="77777777" w:rsidR="001D70DF" w:rsidRDefault="001D70DF" w:rsidP="00370D8E">
            <w:pPr>
              <w:pStyle w:val="COMTabletext"/>
            </w:pPr>
            <w:r>
              <w:t>- ≥50% reduction in UPCR</w:t>
            </w:r>
          </w:p>
        </w:tc>
        <w:tc>
          <w:tcPr>
            <w:tcW w:w="2018" w:type="dxa"/>
            <w:vAlign w:val="center"/>
          </w:tcPr>
          <w:p w14:paraId="2ADCA27E" w14:textId="77777777" w:rsidR="001D70DF" w:rsidRDefault="001D70DF" w:rsidP="00370D8E">
            <w:pPr>
              <w:pStyle w:val="COMTabletext"/>
              <w:jc w:val="center"/>
            </w:pPr>
            <w:r>
              <w:t>11/37 (29.7)</w:t>
            </w:r>
          </w:p>
        </w:tc>
        <w:tc>
          <w:tcPr>
            <w:tcW w:w="2015" w:type="dxa"/>
            <w:vAlign w:val="center"/>
          </w:tcPr>
          <w:p w14:paraId="6D5294B6" w14:textId="77777777" w:rsidR="001D70DF" w:rsidRDefault="001D70DF" w:rsidP="00370D8E">
            <w:pPr>
              <w:pStyle w:val="COMTabletext"/>
              <w:jc w:val="center"/>
            </w:pPr>
            <w:r>
              <w:t>2/36 (5.6)</w:t>
            </w:r>
          </w:p>
        </w:tc>
        <w:tc>
          <w:tcPr>
            <w:tcW w:w="2023" w:type="dxa"/>
            <w:vMerge/>
          </w:tcPr>
          <w:p w14:paraId="141FFB43" w14:textId="77777777" w:rsidR="001D70DF" w:rsidRDefault="001D70DF" w:rsidP="00370D8E">
            <w:pPr>
              <w:pStyle w:val="COMTabletext"/>
            </w:pPr>
          </w:p>
        </w:tc>
      </w:tr>
    </w:tbl>
    <w:p w14:paraId="0285CCFB" w14:textId="77777777" w:rsidR="001D70DF" w:rsidRDefault="001D70DF" w:rsidP="00370D8E">
      <w:pPr>
        <w:pStyle w:val="COMTablefooter"/>
        <w:keepNext/>
      </w:pPr>
      <w:r>
        <w:t>Source: Table 2.40, p115 of the resubmission</w:t>
      </w:r>
    </w:p>
    <w:p w14:paraId="62155A3A" w14:textId="77777777" w:rsidR="001D70DF" w:rsidRDefault="001D70DF" w:rsidP="00370D8E">
      <w:pPr>
        <w:pStyle w:val="COMTablefooter"/>
        <w:keepNext/>
      </w:pPr>
      <w:r>
        <w:t>Abbreviations: CI, confidence interval; eGFR, estimated glomerular filtration rate; UPCR, urine protein-creatine ratio</w:t>
      </w:r>
    </w:p>
    <w:p w14:paraId="46EEAA98" w14:textId="01D5A4A1" w:rsidR="00DA5E97" w:rsidRDefault="00DA5E97" w:rsidP="00370D8E">
      <w:pPr>
        <w:pStyle w:val="COMTablefooter"/>
        <w:keepNext/>
      </w:pPr>
      <w:r>
        <w:t xml:space="preserve">Note: </w:t>
      </w:r>
      <w:r w:rsidRPr="00DA5E97">
        <w:t>Initiation of any complement pathway modifying agent or initiation/intensification of corticosteroid or immunosuppressant therapy, or renal replacement therapy was designated as the patient not having met the endpoint</w:t>
      </w:r>
    </w:p>
    <w:p w14:paraId="6A03455C" w14:textId="5FEEFF64" w:rsidR="001D70DF" w:rsidRDefault="001D70DF" w:rsidP="00370D8E">
      <w:pPr>
        <w:pStyle w:val="COMESnumberedpara"/>
      </w:pPr>
      <w:r w:rsidRPr="001D70DF">
        <w:t xml:space="preserve">Results for the composite renal endpoint were statistically significant based on the multiple testing procedure, in favour of iptacopan compared to placebo. The difference between arms was driven by the proportion of patients achieving ≥50% reduction in 24-hour UPCR at 6 months. Results at 12 months during the open-label extension period were supportive of sustained treatment effects </w:t>
      </w:r>
      <w:r w:rsidR="003F345E">
        <w:t xml:space="preserve">with iptacopan. </w:t>
      </w:r>
    </w:p>
    <w:p w14:paraId="254B057D" w14:textId="7D52538F" w:rsidR="001D70DF" w:rsidRDefault="00BB5222" w:rsidP="00370D8E">
      <w:pPr>
        <w:pStyle w:val="COMESnumberedpara"/>
      </w:pPr>
      <w:r w:rsidRPr="00BB5222">
        <w:t>Supplementary analyses based on a lower threshold of change in eGFR (≤10% reduction) produced results that were consistent with the primary analysis (</w:t>
      </w:r>
      <w:r w:rsidR="00777821">
        <w:t>o</w:t>
      </w:r>
      <w:r w:rsidRPr="00BB5222">
        <w:t xml:space="preserve">dds </w:t>
      </w:r>
      <w:r w:rsidR="00777821">
        <w:t>r</w:t>
      </w:r>
      <w:r w:rsidRPr="00BB5222">
        <w:t>atio 6.18, 95% CI 1.23, 31.0). Change in UPCR was also evaluated using lower percentage reduction thresholds. In the iptacopan arm, 67.6%, 45.9% and 43.2% of patients had UPCR decreases of ≥20%, ≥30% and ≥40%, respectively, whereas these thresholds were achieved by only 19.4%, 11.1% and 11.1% of patients, respectively, in the placebo arm.</w:t>
      </w:r>
    </w:p>
    <w:p w14:paraId="638DB659" w14:textId="05F79313" w:rsidR="00BB5222" w:rsidRDefault="00BB5222" w:rsidP="00370D8E">
      <w:pPr>
        <w:pStyle w:val="COMESnumberedpara"/>
      </w:pPr>
      <w:r w:rsidRPr="00BB5222">
        <w:t>Change in the histology total activity score (range</w:t>
      </w:r>
      <w:r w:rsidR="003F345E">
        <w:t>s</w:t>
      </w:r>
      <w:r w:rsidRPr="00BB5222">
        <w:t xml:space="preserve"> from 0 to 18, higher scores indicative of greater disease activity) was also assessed as a secondary endpoint based on renal biopsy findings. There was no apparent difference in terms of change in total activity score between arms at 6 months. Both arms showed marginal decreases in the total score, primarily due to reductions in endocapillary proliferation and leukocyte infiltration (markers of inflammation).</w:t>
      </w:r>
      <w:r w:rsidR="006B75F2">
        <w:t xml:space="preserve"> </w:t>
      </w:r>
    </w:p>
    <w:p w14:paraId="0821F7B0" w14:textId="0650C451" w:rsidR="00BB5222" w:rsidRDefault="00BB5222" w:rsidP="00370D8E">
      <w:pPr>
        <w:pStyle w:val="COMESnumberedpara"/>
      </w:pPr>
      <w:r w:rsidRPr="00BB5222">
        <w:t>The trial also assessed disease-specific and health-related quality of life measures based on Functional Assessment of Chronic Illness Therapy-Fatigue (FACIT-Fatigue), SF-36v2, EQ-5D-5L and Patient Global Impression of Severity (PGI-S) questionnaires</w:t>
      </w:r>
      <w:r w:rsidR="00563F43">
        <w:t xml:space="preserve">. </w:t>
      </w:r>
      <w:r w:rsidR="00563F43" w:rsidRPr="00563F43">
        <w:t>The trial report noted that baseline scores for all quality of life measures reflected general population norm values and did not show any significant changes throughout the study. The results did not show any improvements in these measures in patients receiving iptacopan compared to placebo.</w:t>
      </w:r>
    </w:p>
    <w:p w14:paraId="124985FA" w14:textId="77777777" w:rsidR="00D563A2" w:rsidRDefault="00D563A2" w:rsidP="00370D8E">
      <w:pPr>
        <w:jc w:val="left"/>
        <w:rPr>
          <w:b/>
          <w:iCs/>
        </w:rPr>
      </w:pPr>
      <w:bookmarkStart w:id="29" w:name="_Hlk207895506"/>
      <w:r>
        <w:rPr>
          <w:i/>
          <w:iCs/>
        </w:rPr>
        <w:br w:type="page"/>
      </w:r>
    </w:p>
    <w:p w14:paraId="05413728" w14:textId="5E2D7E0C" w:rsidR="00563F43" w:rsidRPr="002460DC" w:rsidRDefault="00563F43" w:rsidP="00370D8E">
      <w:pPr>
        <w:pStyle w:val="COMBodyH4"/>
        <w:rPr>
          <w:i w:val="0"/>
          <w:iCs/>
        </w:rPr>
      </w:pPr>
      <w:r w:rsidRPr="002460DC">
        <w:rPr>
          <w:i w:val="0"/>
          <w:iCs/>
        </w:rPr>
        <w:lastRenderedPageBreak/>
        <w:t>Study X2202</w:t>
      </w:r>
    </w:p>
    <w:bookmarkEnd w:id="29"/>
    <w:p w14:paraId="01EE620C" w14:textId="5D7745B5" w:rsidR="00746240" w:rsidRDefault="00AA4DB1" w:rsidP="00370D8E">
      <w:pPr>
        <w:pStyle w:val="COMESnumberedpara"/>
      </w:pPr>
      <w:r>
        <w:t>In patients with native kidneys, t</w:t>
      </w:r>
      <w:r w:rsidR="007923DC">
        <w:t>here was a statistically significant reduction in</w:t>
      </w:r>
      <w:r w:rsidR="00320E29" w:rsidRPr="00320E29">
        <w:t xml:space="preserve"> </w:t>
      </w:r>
      <w:r w:rsidR="00416B04">
        <w:t xml:space="preserve">24-hour </w:t>
      </w:r>
      <w:r w:rsidR="002E21C6">
        <w:t xml:space="preserve">UPCR </w:t>
      </w:r>
      <w:r w:rsidR="00416B04">
        <w:t>after</w:t>
      </w:r>
      <w:r w:rsidR="00746240" w:rsidRPr="00746240">
        <w:t xml:space="preserve"> 12 weeks</w:t>
      </w:r>
      <w:r w:rsidR="00416B04">
        <w:t xml:space="preserve"> of treatment with iptacopan</w:t>
      </w:r>
      <w:r w:rsidR="003F0A71">
        <w:t xml:space="preserve"> (adjusted geometric mean ratio to baseline 0.55 (80% CI 0.46, 0.65))</w:t>
      </w:r>
      <w:r w:rsidR="00746240" w:rsidRPr="00746240">
        <w:t>. Results from the long-term extension study B12001B suggest that treatment effects were sustained for up to 3 years.</w:t>
      </w:r>
    </w:p>
    <w:p w14:paraId="555D220F" w14:textId="64050FCD" w:rsidR="00AA4DB1" w:rsidRDefault="00354487" w:rsidP="00370D8E">
      <w:pPr>
        <w:pStyle w:val="COMESnumberedpara"/>
      </w:pPr>
      <w:r>
        <w:t>The native kidney cohort had a</w:t>
      </w:r>
      <w:r w:rsidR="00AA4DB1" w:rsidRPr="004B5854">
        <w:t xml:space="preserve"> mean eGFR at baseline </w:t>
      </w:r>
      <w:r>
        <w:t>of</w:t>
      </w:r>
      <w:r w:rsidR="00AA4DB1" w:rsidRPr="004B5854">
        <w:t xml:space="preserve"> 70.1 mL/min/1.73 m</w:t>
      </w:r>
      <w:r w:rsidR="00AA4DB1" w:rsidRPr="004B5854">
        <w:rPr>
          <w:vertAlign w:val="superscript"/>
        </w:rPr>
        <w:t>2</w:t>
      </w:r>
      <w:r w:rsidR="00AA4DB1" w:rsidRPr="004B5854">
        <w:t xml:space="preserve"> (SD 35.1). There was a nominal increase in eGFR of 2.6 mL/min/1.73 m</w:t>
      </w:r>
      <w:r w:rsidR="00AA4DB1" w:rsidRPr="004B5854">
        <w:rPr>
          <w:vertAlign w:val="superscript"/>
        </w:rPr>
        <w:t>2</w:t>
      </w:r>
      <w:r w:rsidR="00AA4DB1" w:rsidRPr="004B5854">
        <w:t xml:space="preserve"> at Week 12. Treatment with iptacopan was associated with improved or stable eGFR for up to 2 years, after which there was a decreasing trend over time with a noticeable decline at around 3 years compared to baseline (-11.1 mL/min/1.73 m</w:t>
      </w:r>
      <w:r w:rsidR="00AA4DB1" w:rsidRPr="00893AA3">
        <w:rPr>
          <w:vertAlign w:val="superscript"/>
        </w:rPr>
        <w:t>2</w:t>
      </w:r>
      <w:r w:rsidR="00AA4DB1" w:rsidRPr="004B5854">
        <w:t>). The study report stated that the decline was driven by 4 patients who experienced eGFR declines of more than 20 mL/min/1.73 m</w:t>
      </w:r>
      <w:r w:rsidR="00AA4DB1" w:rsidRPr="00893AA3">
        <w:rPr>
          <w:vertAlign w:val="superscript"/>
        </w:rPr>
        <w:t>2</w:t>
      </w:r>
      <w:r w:rsidR="00AA4DB1" w:rsidRPr="004B5854">
        <w:t>, one of whom commenced dialysis following a urinary tract infection. All other patients had marginal changes in eGFR.</w:t>
      </w:r>
      <w:r w:rsidR="006B75F2">
        <w:t xml:space="preserve"> </w:t>
      </w:r>
    </w:p>
    <w:p w14:paraId="01C68100" w14:textId="6C19A0E1" w:rsidR="005161C6" w:rsidRDefault="005161C6" w:rsidP="00370D8E">
      <w:pPr>
        <w:pStyle w:val="COMESnumberedpara"/>
      </w:pPr>
      <w:r>
        <w:t xml:space="preserve">In post-transplant patients with recurrent C3G, </w:t>
      </w:r>
      <w:r w:rsidR="003C1E33">
        <w:t xml:space="preserve">treatment with </w:t>
      </w:r>
      <w:r w:rsidR="003C1E33" w:rsidRPr="003C1E33">
        <w:t>iptacopan was associated with a statistically significant reduction in C3 Deposit Score at 12 weeks from baseline. Results from the long-term extension study suggest that treatment effects were sustained for up to 1 year.</w:t>
      </w:r>
      <w:r w:rsidR="006B75F2">
        <w:t xml:space="preserve"> </w:t>
      </w:r>
      <w:r w:rsidR="003C1E33" w:rsidRPr="003C1E33">
        <w:t xml:space="preserve"> </w:t>
      </w:r>
    </w:p>
    <w:p w14:paraId="50D86B53" w14:textId="3ACA30E3" w:rsidR="00746240" w:rsidRDefault="00875331" w:rsidP="00370D8E">
      <w:pPr>
        <w:pStyle w:val="COMESnumberedpara"/>
      </w:pPr>
      <w:r w:rsidRPr="00875331">
        <w:t>Most patients in the post-transplant cohort had baseline proteinuria values that were within the normal range (</w:t>
      </w:r>
      <w:r w:rsidR="00BD7720">
        <w:t>first morning void</w:t>
      </w:r>
      <w:r w:rsidRPr="00875331">
        <w:t xml:space="preserve"> UPCR </w:t>
      </w:r>
      <w:r w:rsidR="00364110">
        <w:t xml:space="preserve">&lt; </w:t>
      </w:r>
      <w:r w:rsidRPr="00875331">
        <w:t>0.2 g/g), with a nominal reduction of 21% in UPCR observed at 12 weeks from baseline. The study report noted that the results should be interpreted with caution due to the small sample size and that further reductions in UPCR were unlikely given the cohort had relatively low levels of proteinuria at baseline. During the long-term extension study of up to 3 years, one patient had a UPCR just above the normal range while the remaining patients had values of 0.3 g/g or less.</w:t>
      </w:r>
    </w:p>
    <w:p w14:paraId="06C44FC7" w14:textId="145018C9" w:rsidR="004B5854" w:rsidRDefault="00FF2FBF" w:rsidP="00370D8E">
      <w:pPr>
        <w:pStyle w:val="COMESnumberedpara"/>
      </w:pPr>
      <w:r>
        <w:t xml:space="preserve">Mean baseline </w:t>
      </w:r>
      <w:r w:rsidR="00893AA3" w:rsidRPr="00893AA3">
        <w:t xml:space="preserve">eGFR </w:t>
      </w:r>
      <w:r>
        <w:t>in the post-transplant cohort</w:t>
      </w:r>
      <w:r w:rsidR="00893AA3" w:rsidRPr="00893AA3">
        <w:t xml:space="preserve"> was 52.6 mL/min/1.73 m</w:t>
      </w:r>
      <w:r w:rsidR="00893AA3" w:rsidRPr="00893AA3">
        <w:rPr>
          <w:vertAlign w:val="superscript"/>
        </w:rPr>
        <w:t>2</w:t>
      </w:r>
      <w:r w:rsidR="00893AA3" w:rsidRPr="00893AA3">
        <w:t xml:space="preserve"> (SD 15.9). There was a slight decrease in eGFR at Week 12 which was not statistically significant (</w:t>
      </w:r>
      <w:r w:rsidR="00893AA3">
        <w:t>-</w:t>
      </w:r>
      <w:r w:rsidR="00893AA3" w:rsidRPr="00893AA3">
        <w:t>0.61 mL/min/1.73 m</w:t>
      </w:r>
      <w:r w:rsidR="00893AA3" w:rsidRPr="00893AA3">
        <w:rPr>
          <w:vertAlign w:val="superscript"/>
        </w:rPr>
        <w:t>2</w:t>
      </w:r>
      <w:r w:rsidR="00893AA3" w:rsidRPr="00893AA3">
        <w:t>, p = 0.78). Change in eGFR fluctuated throughout the study, ranging from -0.1 to -8.2 mL/min/1.73 m</w:t>
      </w:r>
      <w:r w:rsidR="00893AA3" w:rsidRPr="00893AA3">
        <w:rPr>
          <w:vertAlign w:val="superscript"/>
        </w:rPr>
        <w:t>2</w:t>
      </w:r>
      <w:r w:rsidR="00893AA3" w:rsidRPr="00893AA3">
        <w:t>. The study report noted that 3 patients had reductions in eGFR of more than 20 mL/min/1.73 m</w:t>
      </w:r>
      <w:r w:rsidR="00893AA3" w:rsidRPr="00893AA3">
        <w:rPr>
          <w:vertAlign w:val="superscript"/>
        </w:rPr>
        <w:t>2</w:t>
      </w:r>
      <w:r w:rsidR="00893AA3" w:rsidRPr="00893AA3">
        <w:t xml:space="preserve"> at any time, </w:t>
      </w:r>
      <w:r w:rsidR="00726936">
        <w:t xml:space="preserve">2 </w:t>
      </w:r>
      <w:r w:rsidR="00893AA3" w:rsidRPr="00893AA3">
        <w:t>of whom discontinued prematurely from the study. The remaining 7 patients had minimal changes in eGFR compared to baseline.</w:t>
      </w:r>
      <w:r w:rsidR="006B75F2">
        <w:t xml:space="preserve"> </w:t>
      </w:r>
    </w:p>
    <w:p w14:paraId="781A28A8" w14:textId="198A5084" w:rsidR="00893AA3" w:rsidRPr="00726936" w:rsidRDefault="00893AA3" w:rsidP="00370D8E">
      <w:pPr>
        <w:pStyle w:val="COMBodyH4"/>
        <w:rPr>
          <w:i w:val="0"/>
          <w:iCs/>
        </w:rPr>
      </w:pPr>
      <w:r w:rsidRPr="00726936">
        <w:rPr>
          <w:i w:val="0"/>
          <w:iCs/>
        </w:rPr>
        <w:t>Pooled analysis</w:t>
      </w:r>
    </w:p>
    <w:p w14:paraId="27C2E5D0" w14:textId="4C3D4C66" w:rsidR="00893AA3" w:rsidRDefault="00B173FC" w:rsidP="00370D8E">
      <w:pPr>
        <w:pStyle w:val="COMESnumberedpara"/>
      </w:pPr>
      <w:r>
        <w:fldChar w:fldCharType="begin"/>
      </w:r>
      <w:r>
        <w:instrText xml:space="preserve"> REF _Ref207960660 \h </w:instrText>
      </w:r>
      <w:r>
        <w:fldChar w:fldCharType="separate"/>
      </w:r>
      <w:r w:rsidR="00CC1313">
        <w:t xml:space="preserve">Figure </w:t>
      </w:r>
      <w:r w:rsidR="00CC1313">
        <w:rPr>
          <w:noProof/>
        </w:rPr>
        <w:t>3</w:t>
      </w:r>
      <w:r>
        <w:fldChar w:fldCharType="end"/>
      </w:r>
      <w:r>
        <w:t xml:space="preserve"> </w:t>
      </w:r>
      <w:r w:rsidR="000021F7" w:rsidRPr="000021F7">
        <w:t>is a plot of annualised change in eGFR (pre- and post-treatment with iptacopan) based on the pooled analysis</w:t>
      </w:r>
      <w:r w:rsidR="000021F7">
        <w:t xml:space="preserve"> using </w:t>
      </w:r>
      <w:r w:rsidR="00DA56EE" w:rsidRPr="00DA56EE">
        <w:t>available data from APPEAR-C3G, X2202 (native kidney cohort only) and B12001B including historical estimates</w:t>
      </w:r>
      <w:r w:rsidR="00AA3603">
        <w:t xml:space="preserve"> collected prior to study entry</w:t>
      </w:r>
      <w:r w:rsidR="003703CA">
        <w:t xml:space="preserve"> (see </w:t>
      </w:r>
      <w:r w:rsidR="00BA0E9C">
        <w:t xml:space="preserve">also </w:t>
      </w:r>
      <w:r w:rsidR="003703CA">
        <w:t xml:space="preserve">paragraph </w:t>
      </w:r>
      <w:r w:rsidR="003703CA">
        <w:fldChar w:fldCharType="begin"/>
      </w:r>
      <w:r w:rsidR="003703CA">
        <w:instrText xml:space="preserve"> REF _Ref208899514 \r \h </w:instrText>
      </w:r>
      <w:r w:rsidR="003703CA">
        <w:fldChar w:fldCharType="separate"/>
      </w:r>
      <w:r w:rsidR="00CC1313">
        <w:t>6.15</w:t>
      </w:r>
      <w:r w:rsidR="003703CA">
        <w:fldChar w:fldCharType="end"/>
      </w:r>
      <w:r w:rsidR="003703CA">
        <w:t>)</w:t>
      </w:r>
      <w:r w:rsidR="00DA56EE">
        <w:t>.</w:t>
      </w:r>
    </w:p>
    <w:p w14:paraId="045F409A" w14:textId="228C7BBF" w:rsidR="00B173FC" w:rsidRDefault="00B173FC" w:rsidP="00370D8E">
      <w:pPr>
        <w:pStyle w:val="COMTableFigurecaption"/>
        <w:jc w:val="both"/>
      </w:pPr>
      <w:bookmarkStart w:id="30" w:name="_Ref207960660"/>
      <w:r>
        <w:lastRenderedPageBreak/>
        <w:t xml:space="preserve">Figure </w:t>
      </w:r>
      <w:r w:rsidR="00DA4682">
        <w:fldChar w:fldCharType="begin"/>
      </w:r>
      <w:r w:rsidR="00DA4682">
        <w:instrText xml:space="preserve"> SEQ Figure \* ARABIC </w:instrText>
      </w:r>
      <w:r w:rsidR="00DA4682">
        <w:fldChar w:fldCharType="separate"/>
      </w:r>
      <w:r w:rsidR="00CC1313">
        <w:rPr>
          <w:noProof/>
        </w:rPr>
        <w:t>3</w:t>
      </w:r>
      <w:r w:rsidR="00DA4682">
        <w:rPr>
          <w:noProof/>
        </w:rPr>
        <w:fldChar w:fldCharType="end"/>
      </w:r>
      <w:bookmarkEnd w:id="30"/>
      <w:r>
        <w:t>: Pooled eGFR slope analysis based on the APPEAR-C3G trial, X2202 phase 2 study, B12001B extension study and historical data</w:t>
      </w:r>
    </w:p>
    <w:p w14:paraId="328D8360" w14:textId="77777777" w:rsidR="00DA56EE" w:rsidRDefault="00DA56EE" w:rsidP="00370D8E">
      <w:pPr>
        <w:rPr>
          <w:color w:val="3366FF"/>
        </w:rPr>
      </w:pPr>
      <w:r>
        <w:rPr>
          <w:noProof/>
          <w:color w:val="3366FF"/>
        </w:rPr>
        <w:drawing>
          <wp:inline distT="0" distB="0" distL="0" distR="0" wp14:anchorId="2F8795C6" wp14:editId="6F5405C6">
            <wp:extent cx="4676140" cy="3249295"/>
            <wp:effectExtent l="0" t="0" r="0" b="8255"/>
            <wp:docPr id="810016341" name="Picture 1" descr="Figure 3: Pooled eGFR slope analysis based on the APPEAR-C3G trial, X2202 phase 2 study, B12001B extension study and historical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16341" name="Picture 1" descr="Figure 3: Pooled eGFR slope analysis based on the APPEAR-C3G trial, X2202 phase 2 study, B12001B extension study and historical dat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76140" cy="3249295"/>
                    </a:xfrm>
                    <a:prstGeom prst="rect">
                      <a:avLst/>
                    </a:prstGeom>
                    <a:noFill/>
                  </pic:spPr>
                </pic:pic>
              </a:graphicData>
            </a:graphic>
          </wp:inline>
        </w:drawing>
      </w:r>
    </w:p>
    <w:p w14:paraId="79F5CEC4" w14:textId="77777777" w:rsidR="00DA56EE" w:rsidRDefault="00DA56EE" w:rsidP="00370D8E">
      <w:pPr>
        <w:pStyle w:val="COMTablefooter"/>
      </w:pPr>
      <w:r>
        <w:t>Source: Figure 2.27, p135 of the submission</w:t>
      </w:r>
    </w:p>
    <w:p w14:paraId="660A2DB0" w14:textId="77777777" w:rsidR="00DA56EE" w:rsidRDefault="00DA56EE" w:rsidP="00370D8E">
      <w:pPr>
        <w:pStyle w:val="COMTablefooter"/>
      </w:pPr>
      <w:r>
        <w:t>Abbreviations: b.i.d., twice a day; eGFR, estimated glomerular filtration rate; LNP023, iptacopan</w:t>
      </w:r>
    </w:p>
    <w:p w14:paraId="39DE0346" w14:textId="23CE55EF" w:rsidR="00DA56EE" w:rsidRDefault="00013361" w:rsidP="00370D8E">
      <w:pPr>
        <w:pStyle w:val="COMESnumberedpara"/>
      </w:pPr>
      <w:r w:rsidRPr="00013361">
        <w:t>The pre-treatment eGFR slope showed that patients were experiencing a rapid decline in kidney function (-8.32 mL/min/1.73 m</w:t>
      </w:r>
      <w:r w:rsidRPr="00013361">
        <w:rPr>
          <w:vertAlign w:val="superscript"/>
        </w:rPr>
        <w:t>2</w:t>
      </w:r>
      <w:r w:rsidRPr="00013361">
        <w:t xml:space="preserve"> per year). In the post-treatment period, the slope was -0.70 mL/min/1.73 m</w:t>
      </w:r>
      <w:r w:rsidRPr="00255D02">
        <w:rPr>
          <w:vertAlign w:val="superscript"/>
        </w:rPr>
        <w:t>2</w:t>
      </w:r>
      <w:r w:rsidRPr="00013361">
        <w:t xml:space="preserve"> per year, resulting in a change in slope of 7.62</w:t>
      </w:r>
      <w:r w:rsidR="00001FAF">
        <w:t> </w:t>
      </w:r>
      <w:r w:rsidRPr="00013361">
        <w:t>mL/min/1.73 m</w:t>
      </w:r>
      <w:r w:rsidRPr="00F85E40">
        <w:rPr>
          <w:vertAlign w:val="superscript"/>
        </w:rPr>
        <w:t>2</w:t>
      </w:r>
      <w:r w:rsidRPr="00013361">
        <w:t xml:space="preserve"> per year that was of nominal statistical significance (95% CI 4.62, 10.62).</w:t>
      </w:r>
    </w:p>
    <w:p w14:paraId="24EBAC70" w14:textId="3DD3E2FE" w:rsidR="00013361" w:rsidRPr="00565CF0" w:rsidRDefault="00013361" w:rsidP="00370D8E">
      <w:pPr>
        <w:pStyle w:val="COMESnumberedpara"/>
      </w:pPr>
      <w:r w:rsidRPr="00013361">
        <w:t>The submission claimed that the longer term eGFR slope analysis was more robust and clinically meaningful compared to shorter-term eGFR analyses in the key trial given the significant improvement in eGFR slope following initiation of treatment with iptacopan, thus supporting the potential for a delay in C3G disease progression</w:t>
      </w:r>
      <w:r w:rsidRPr="00565CF0">
        <w:t>. This claim appears optimistic given the attribution of a larger magnitude of benefit to iptacopan than observed during the randomised period of the trial (annualised eGFR slope difference between arms of 3.05 (95% CI -6.82, 12.92) mL/min/1.73 m</w:t>
      </w:r>
      <w:r w:rsidRPr="00565CF0">
        <w:rPr>
          <w:vertAlign w:val="superscript"/>
        </w:rPr>
        <w:t>2</w:t>
      </w:r>
      <w:r w:rsidRPr="00565CF0">
        <w:t>/year).</w:t>
      </w:r>
    </w:p>
    <w:p w14:paraId="2EEA04A5" w14:textId="4FC8FCB5" w:rsidR="002A235A" w:rsidRPr="00565CF0" w:rsidRDefault="002A235A" w:rsidP="00370D8E">
      <w:pPr>
        <w:pStyle w:val="COMESnumberedpara"/>
      </w:pPr>
      <w:r w:rsidRPr="00565CF0">
        <w:t xml:space="preserve">The </w:t>
      </w:r>
      <w:r w:rsidR="00ED0AEB">
        <w:t xml:space="preserve">evaluation considered the </w:t>
      </w:r>
      <w:r w:rsidRPr="00565CF0">
        <w:t xml:space="preserve">results of the exploratory analysis should </w:t>
      </w:r>
      <w:r w:rsidR="00D0723D" w:rsidRPr="00565CF0">
        <w:t>not be considered reliabl</w:t>
      </w:r>
      <w:r w:rsidR="00562326" w:rsidRPr="00565CF0">
        <w:t xml:space="preserve">e </w:t>
      </w:r>
      <w:r w:rsidR="007E295B" w:rsidRPr="00565CF0">
        <w:t>due to heterogeneity across the included studies in terms of study design, duration and population characteristics</w:t>
      </w:r>
      <w:r w:rsidR="005B7287" w:rsidRPr="00565CF0">
        <w:t>,</w:t>
      </w:r>
      <w:r w:rsidRPr="00565CF0">
        <w:t xml:space="preserve"> potential confoun</w:t>
      </w:r>
      <w:r w:rsidR="005B7287" w:rsidRPr="00565CF0">
        <w:t>ding due to</w:t>
      </w:r>
      <w:r w:rsidRPr="00565CF0">
        <w:t xml:space="preserve"> differential use of supportive therapies and overall disease management between the pre- and post-treatment periods</w:t>
      </w:r>
      <w:r w:rsidR="005B7287" w:rsidRPr="00565CF0">
        <w:t>,</w:t>
      </w:r>
      <w:r w:rsidRPr="00565CF0">
        <w:t xml:space="preserve"> and methodological limitations such as pooling of data from non-parallel observation periods</w:t>
      </w:r>
      <w:r w:rsidR="005B7287" w:rsidRPr="00565CF0">
        <w:t xml:space="preserve">. </w:t>
      </w:r>
      <w:r w:rsidRPr="00565CF0">
        <w:t>Overall, these limitations preclude any meaningful conclusions regarding long-term treatment effects with iptacopan compared to standard of care.</w:t>
      </w:r>
    </w:p>
    <w:p w14:paraId="1452C351" w14:textId="0D19F1B0" w:rsidR="00B60939" w:rsidRPr="0098262F" w:rsidRDefault="00B60939" w:rsidP="00370D8E">
      <w:pPr>
        <w:pStyle w:val="COMESSubsectionheading"/>
      </w:pPr>
      <w:bookmarkStart w:id="31" w:name="_Toc22897642"/>
      <w:bookmarkStart w:id="32" w:name="_Toc209000658"/>
      <w:r w:rsidRPr="0098262F">
        <w:lastRenderedPageBreak/>
        <w:t>Comparative harms</w:t>
      </w:r>
      <w:bookmarkEnd w:id="31"/>
      <w:bookmarkEnd w:id="32"/>
    </w:p>
    <w:p w14:paraId="2DAF16D1" w14:textId="7F67DCFB" w:rsidR="00B60939" w:rsidRDefault="00FE7656" w:rsidP="00370D8E">
      <w:pPr>
        <w:pStyle w:val="COMESnumberedpara"/>
      </w:pPr>
      <w:r w:rsidRPr="00FE7656">
        <w:t xml:space="preserve">All patients in the included studies received mandatory vaccination against </w:t>
      </w:r>
      <w:r w:rsidRPr="00FE7656">
        <w:rPr>
          <w:i/>
          <w:iCs/>
        </w:rPr>
        <w:t>Neisseria meningitidis</w:t>
      </w:r>
      <w:r w:rsidRPr="00FE7656">
        <w:t xml:space="preserve">, </w:t>
      </w:r>
      <w:r w:rsidRPr="00FE7656">
        <w:rPr>
          <w:i/>
          <w:iCs/>
        </w:rPr>
        <w:t>Streptococcus pneumoniae</w:t>
      </w:r>
      <w:r w:rsidRPr="00FE7656">
        <w:t xml:space="preserve"> and </w:t>
      </w:r>
      <w:r w:rsidRPr="00FE7656">
        <w:rPr>
          <w:i/>
          <w:iCs/>
        </w:rPr>
        <w:t>Haemophilus influenzae</w:t>
      </w:r>
      <w:r w:rsidR="00A340EB">
        <w:rPr>
          <w:i/>
          <w:iCs/>
        </w:rPr>
        <w:t xml:space="preserve"> type b</w:t>
      </w:r>
      <w:r w:rsidRPr="00FE7656">
        <w:t>. Antibiotic prophylaxis could also be initiated if clinically appropriate.</w:t>
      </w:r>
    </w:p>
    <w:p w14:paraId="4F041900" w14:textId="26DF8A80" w:rsidR="00FE7656" w:rsidRPr="00FE7656" w:rsidRDefault="005F4324" w:rsidP="00370D8E">
      <w:pPr>
        <w:pStyle w:val="COMESnumberedpara"/>
      </w:pPr>
      <w:r>
        <w:fldChar w:fldCharType="begin"/>
      </w:r>
      <w:r>
        <w:instrText xml:space="preserve"> REF _Ref207960864 \h </w:instrText>
      </w:r>
      <w:r>
        <w:fldChar w:fldCharType="separate"/>
      </w:r>
      <w:r w:rsidR="00CC1313" w:rsidRPr="0098262F">
        <w:t xml:space="preserve">Table </w:t>
      </w:r>
      <w:r w:rsidR="00CC1313">
        <w:rPr>
          <w:noProof/>
        </w:rPr>
        <w:t>7</w:t>
      </w:r>
      <w:r>
        <w:fldChar w:fldCharType="end"/>
      </w:r>
      <w:r>
        <w:t xml:space="preserve"> </w:t>
      </w:r>
      <w:r w:rsidR="00511EBD" w:rsidRPr="00511EBD">
        <w:t xml:space="preserve">presents a summary of adverse events during the </w:t>
      </w:r>
      <w:r w:rsidR="00E023B1">
        <w:t xml:space="preserve">6-month, double-blind </w:t>
      </w:r>
      <w:r w:rsidR="00511EBD" w:rsidRPr="00511EBD">
        <w:t>period of the APPEAR-C3G trial.</w:t>
      </w:r>
    </w:p>
    <w:p w14:paraId="310B2246" w14:textId="6F5A1DAD" w:rsidR="00B60939" w:rsidRDefault="00D6076E" w:rsidP="00370D8E">
      <w:pPr>
        <w:pStyle w:val="COMTableFigurecaption"/>
      </w:pPr>
      <w:bookmarkStart w:id="33" w:name="_Ref207960864"/>
      <w:r w:rsidRPr="0098262F">
        <w:t xml:space="preserve">Table </w:t>
      </w:r>
      <w:r w:rsidR="00DA4682">
        <w:fldChar w:fldCharType="begin"/>
      </w:r>
      <w:r w:rsidR="00DA4682">
        <w:instrText xml:space="preserve"> SEQ Table \* ARABIC </w:instrText>
      </w:r>
      <w:r w:rsidR="00DA4682">
        <w:fldChar w:fldCharType="separate"/>
      </w:r>
      <w:r w:rsidR="00CC1313">
        <w:rPr>
          <w:noProof/>
        </w:rPr>
        <w:t>7</w:t>
      </w:r>
      <w:r w:rsidR="00DA4682">
        <w:rPr>
          <w:noProof/>
        </w:rPr>
        <w:fldChar w:fldCharType="end"/>
      </w:r>
      <w:bookmarkEnd w:id="33"/>
      <w:r w:rsidRPr="0098262F">
        <w:t xml:space="preserve">: </w:t>
      </w:r>
      <w:r w:rsidR="005D26B4" w:rsidRPr="0098262F">
        <w:t xml:space="preserve">Summary of key adverse events in the </w:t>
      </w:r>
      <w:r w:rsidR="00511EBD">
        <w:t>APPEAR-C3G trial (6 months)</w:t>
      </w:r>
    </w:p>
    <w:tbl>
      <w:tblPr>
        <w:tblStyle w:val="TableGrid"/>
        <w:tblW w:w="0" w:type="auto"/>
        <w:tblCellMar>
          <w:left w:w="28" w:type="dxa"/>
          <w:right w:w="28" w:type="dxa"/>
        </w:tblCellMar>
        <w:tblLook w:val="04A0" w:firstRow="1" w:lastRow="0" w:firstColumn="1" w:lastColumn="0" w:noHBand="0" w:noVBand="1"/>
        <w:tblCaption w:val="Table 7: Summary of key adverse events in the APPEAR-C3G trial (6 months)"/>
      </w:tblPr>
      <w:tblGrid>
        <w:gridCol w:w="2977"/>
        <w:gridCol w:w="1510"/>
        <w:gridCol w:w="1510"/>
        <w:gridCol w:w="1510"/>
        <w:gridCol w:w="1510"/>
      </w:tblGrid>
      <w:tr w:rsidR="00511EBD" w14:paraId="6AB675AE" w14:textId="77777777">
        <w:tc>
          <w:tcPr>
            <w:tcW w:w="2977" w:type="dxa"/>
            <w:vMerge w:val="restart"/>
          </w:tcPr>
          <w:p w14:paraId="46112CB1" w14:textId="77777777" w:rsidR="00511EBD" w:rsidRDefault="00511EBD" w:rsidP="00370D8E">
            <w:pPr>
              <w:pStyle w:val="COMTableheadingrow"/>
            </w:pPr>
          </w:p>
        </w:tc>
        <w:tc>
          <w:tcPr>
            <w:tcW w:w="3020" w:type="dxa"/>
            <w:gridSpan w:val="2"/>
            <w:vAlign w:val="center"/>
          </w:tcPr>
          <w:p w14:paraId="1BEC522D" w14:textId="77777777" w:rsidR="00511EBD" w:rsidRDefault="00511EBD" w:rsidP="00370D8E">
            <w:pPr>
              <w:pStyle w:val="COMTableheadingrow"/>
              <w:jc w:val="center"/>
            </w:pPr>
            <w:r>
              <w:t>Iptacopan N=38</w:t>
            </w:r>
          </w:p>
        </w:tc>
        <w:tc>
          <w:tcPr>
            <w:tcW w:w="3020" w:type="dxa"/>
            <w:gridSpan w:val="2"/>
            <w:vAlign w:val="center"/>
          </w:tcPr>
          <w:p w14:paraId="541953F3" w14:textId="77777777" w:rsidR="00511EBD" w:rsidRDefault="00511EBD" w:rsidP="00370D8E">
            <w:pPr>
              <w:pStyle w:val="COMTableheadingrow"/>
              <w:jc w:val="center"/>
            </w:pPr>
            <w:r>
              <w:t>Placebo N=36</w:t>
            </w:r>
          </w:p>
        </w:tc>
      </w:tr>
      <w:tr w:rsidR="00511EBD" w14:paraId="57232A01" w14:textId="77777777">
        <w:tc>
          <w:tcPr>
            <w:tcW w:w="2977" w:type="dxa"/>
            <w:vMerge/>
          </w:tcPr>
          <w:p w14:paraId="74CD7D55" w14:textId="77777777" w:rsidR="00511EBD" w:rsidRDefault="00511EBD" w:rsidP="00370D8E">
            <w:pPr>
              <w:pStyle w:val="COMTableheadingrow"/>
            </w:pPr>
          </w:p>
        </w:tc>
        <w:tc>
          <w:tcPr>
            <w:tcW w:w="1510" w:type="dxa"/>
            <w:vAlign w:val="center"/>
          </w:tcPr>
          <w:p w14:paraId="0A4E2004" w14:textId="77777777" w:rsidR="00511EBD" w:rsidRDefault="00511EBD" w:rsidP="00370D8E">
            <w:pPr>
              <w:pStyle w:val="COMTableheadingrow"/>
              <w:jc w:val="center"/>
            </w:pPr>
            <w:r>
              <w:t>Incidence, n (%)</w:t>
            </w:r>
          </w:p>
        </w:tc>
        <w:tc>
          <w:tcPr>
            <w:tcW w:w="1510" w:type="dxa"/>
          </w:tcPr>
          <w:p w14:paraId="722EEFEC" w14:textId="77777777" w:rsidR="00511EBD" w:rsidRDefault="00511EBD" w:rsidP="00370D8E">
            <w:pPr>
              <w:pStyle w:val="COMTableheadingrow"/>
              <w:jc w:val="center"/>
            </w:pPr>
            <w:r>
              <w:t xml:space="preserve">Events, n </w:t>
            </w:r>
          </w:p>
          <w:p w14:paraId="0DB732F7" w14:textId="77777777" w:rsidR="00511EBD" w:rsidRPr="00E84F84" w:rsidRDefault="00511EBD" w:rsidP="00370D8E">
            <w:pPr>
              <w:pStyle w:val="COMTableheadingrow"/>
              <w:jc w:val="center"/>
              <w:rPr>
                <w:vertAlign w:val="superscript"/>
              </w:rPr>
            </w:pPr>
            <w:r>
              <w:t xml:space="preserve">(rate/100 pt-yrs) </w:t>
            </w:r>
            <w:r>
              <w:rPr>
                <w:vertAlign w:val="superscript"/>
              </w:rPr>
              <w:t>a</w:t>
            </w:r>
          </w:p>
        </w:tc>
        <w:tc>
          <w:tcPr>
            <w:tcW w:w="1510" w:type="dxa"/>
            <w:vAlign w:val="center"/>
          </w:tcPr>
          <w:p w14:paraId="482AD584" w14:textId="77777777" w:rsidR="00511EBD" w:rsidRDefault="00511EBD" w:rsidP="00370D8E">
            <w:pPr>
              <w:pStyle w:val="COMTableheadingrow"/>
              <w:jc w:val="center"/>
            </w:pPr>
            <w:r>
              <w:t>Incidence, n (%)</w:t>
            </w:r>
          </w:p>
        </w:tc>
        <w:tc>
          <w:tcPr>
            <w:tcW w:w="1510" w:type="dxa"/>
          </w:tcPr>
          <w:p w14:paraId="2E4E141A" w14:textId="77777777" w:rsidR="00511EBD" w:rsidRDefault="00511EBD" w:rsidP="00370D8E">
            <w:pPr>
              <w:pStyle w:val="COMTableheadingrow"/>
              <w:jc w:val="center"/>
            </w:pPr>
            <w:r>
              <w:t xml:space="preserve">Events, n </w:t>
            </w:r>
          </w:p>
          <w:p w14:paraId="0465F98C" w14:textId="77777777" w:rsidR="00511EBD" w:rsidRPr="00E84F84" w:rsidRDefault="00511EBD" w:rsidP="00370D8E">
            <w:pPr>
              <w:pStyle w:val="COMTableheadingrow"/>
              <w:jc w:val="center"/>
            </w:pPr>
            <w:r>
              <w:t xml:space="preserve">(rate/100 pt-yrs) </w:t>
            </w:r>
            <w:r>
              <w:rPr>
                <w:vertAlign w:val="superscript"/>
              </w:rPr>
              <w:t>a</w:t>
            </w:r>
          </w:p>
        </w:tc>
      </w:tr>
      <w:tr w:rsidR="00511EBD" w14:paraId="6F74C9CB" w14:textId="77777777">
        <w:tc>
          <w:tcPr>
            <w:tcW w:w="2977" w:type="dxa"/>
          </w:tcPr>
          <w:p w14:paraId="7B0F4067" w14:textId="77777777" w:rsidR="00511EBD" w:rsidRDefault="00511EBD" w:rsidP="00370D8E">
            <w:pPr>
              <w:pStyle w:val="COMTabletext"/>
            </w:pPr>
            <w:r>
              <w:t>Any AE</w:t>
            </w:r>
          </w:p>
        </w:tc>
        <w:tc>
          <w:tcPr>
            <w:tcW w:w="1510" w:type="dxa"/>
            <w:vAlign w:val="center"/>
          </w:tcPr>
          <w:p w14:paraId="132699AB" w14:textId="77777777" w:rsidR="00511EBD" w:rsidRDefault="00511EBD" w:rsidP="00370D8E">
            <w:pPr>
              <w:pStyle w:val="COMTabletext"/>
              <w:jc w:val="center"/>
            </w:pPr>
            <w:r>
              <w:t>30 (78.9)</w:t>
            </w:r>
          </w:p>
        </w:tc>
        <w:tc>
          <w:tcPr>
            <w:tcW w:w="1510" w:type="dxa"/>
            <w:vAlign w:val="center"/>
          </w:tcPr>
          <w:p w14:paraId="4AE1FE7A" w14:textId="77777777" w:rsidR="00511EBD" w:rsidRDefault="00511EBD" w:rsidP="00370D8E">
            <w:pPr>
              <w:pStyle w:val="COMTabletext"/>
              <w:jc w:val="center"/>
            </w:pPr>
            <w:r>
              <w:t>79 (431.8)</w:t>
            </w:r>
          </w:p>
        </w:tc>
        <w:tc>
          <w:tcPr>
            <w:tcW w:w="1510" w:type="dxa"/>
            <w:vAlign w:val="center"/>
          </w:tcPr>
          <w:p w14:paraId="5AEC617D" w14:textId="77777777" w:rsidR="00511EBD" w:rsidRDefault="00511EBD" w:rsidP="00370D8E">
            <w:pPr>
              <w:pStyle w:val="COMTabletext"/>
              <w:jc w:val="center"/>
            </w:pPr>
            <w:r>
              <w:t>24 (66.7)</w:t>
            </w:r>
          </w:p>
        </w:tc>
        <w:tc>
          <w:tcPr>
            <w:tcW w:w="1510" w:type="dxa"/>
            <w:vAlign w:val="center"/>
          </w:tcPr>
          <w:p w14:paraId="3964EA14" w14:textId="77777777" w:rsidR="00511EBD" w:rsidRDefault="00511EBD" w:rsidP="00370D8E">
            <w:pPr>
              <w:pStyle w:val="COMTabletext"/>
              <w:jc w:val="center"/>
            </w:pPr>
            <w:r>
              <w:t>59 (331.3)</w:t>
            </w:r>
          </w:p>
        </w:tc>
      </w:tr>
      <w:tr w:rsidR="00511EBD" w14:paraId="537D21C6" w14:textId="77777777">
        <w:tc>
          <w:tcPr>
            <w:tcW w:w="2977" w:type="dxa"/>
          </w:tcPr>
          <w:p w14:paraId="6E6E6A5A" w14:textId="77777777" w:rsidR="00511EBD" w:rsidRDefault="00511EBD" w:rsidP="00370D8E">
            <w:pPr>
              <w:pStyle w:val="COMTabletext"/>
            </w:pPr>
            <w:r>
              <w:t>Severe AE</w:t>
            </w:r>
          </w:p>
        </w:tc>
        <w:tc>
          <w:tcPr>
            <w:tcW w:w="1510" w:type="dxa"/>
            <w:vAlign w:val="center"/>
          </w:tcPr>
          <w:p w14:paraId="1CF2F768" w14:textId="77777777" w:rsidR="00511EBD" w:rsidRDefault="00511EBD" w:rsidP="00370D8E">
            <w:pPr>
              <w:pStyle w:val="COMTabletext"/>
              <w:jc w:val="center"/>
            </w:pPr>
            <w:r>
              <w:t>2 (5.3)</w:t>
            </w:r>
          </w:p>
        </w:tc>
        <w:tc>
          <w:tcPr>
            <w:tcW w:w="1510" w:type="dxa"/>
            <w:vAlign w:val="center"/>
          </w:tcPr>
          <w:p w14:paraId="300A1C3C" w14:textId="77777777" w:rsidR="00511EBD" w:rsidRDefault="00511EBD" w:rsidP="00370D8E">
            <w:pPr>
              <w:pStyle w:val="COMTabletext"/>
              <w:jc w:val="center"/>
            </w:pPr>
            <w:r>
              <w:t>2 (10.9)</w:t>
            </w:r>
          </w:p>
        </w:tc>
        <w:tc>
          <w:tcPr>
            <w:tcW w:w="1510" w:type="dxa"/>
            <w:vAlign w:val="center"/>
          </w:tcPr>
          <w:p w14:paraId="0EEA0044" w14:textId="77777777" w:rsidR="00511EBD" w:rsidRDefault="00511EBD" w:rsidP="00370D8E">
            <w:pPr>
              <w:pStyle w:val="COMTabletext"/>
              <w:jc w:val="center"/>
            </w:pPr>
            <w:r>
              <w:t>1 (2.8)</w:t>
            </w:r>
          </w:p>
        </w:tc>
        <w:tc>
          <w:tcPr>
            <w:tcW w:w="1510" w:type="dxa"/>
            <w:vAlign w:val="center"/>
          </w:tcPr>
          <w:p w14:paraId="4218FBB5" w14:textId="77777777" w:rsidR="00511EBD" w:rsidRDefault="00511EBD" w:rsidP="00370D8E">
            <w:pPr>
              <w:pStyle w:val="COMTabletext"/>
              <w:jc w:val="center"/>
            </w:pPr>
            <w:r>
              <w:t>1 (5.6)</w:t>
            </w:r>
          </w:p>
        </w:tc>
      </w:tr>
      <w:tr w:rsidR="00511EBD" w14:paraId="39102D78" w14:textId="77777777">
        <w:tc>
          <w:tcPr>
            <w:tcW w:w="2977" w:type="dxa"/>
          </w:tcPr>
          <w:p w14:paraId="02858CAA" w14:textId="77777777" w:rsidR="00511EBD" w:rsidRDefault="00511EBD" w:rsidP="00370D8E">
            <w:pPr>
              <w:pStyle w:val="COMTabletext"/>
            </w:pPr>
            <w:r>
              <w:t>Serious AE</w:t>
            </w:r>
          </w:p>
        </w:tc>
        <w:tc>
          <w:tcPr>
            <w:tcW w:w="1510" w:type="dxa"/>
            <w:vAlign w:val="center"/>
          </w:tcPr>
          <w:p w14:paraId="5872002B" w14:textId="77777777" w:rsidR="00511EBD" w:rsidRDefault="00511EBD" w:rsidP="00370D8E">
            <w:pPr>
              <w:pStyle w:val="COMTabletext"/>
              <w:jc w:val="center"/>
            </w:pPr>
            <w:r>
              <w:t>3 (7.9)</w:t>
            </w:r>
          </w:p>
        </w:tc>
        <w:tc>
          <w:tcPr>
            <w:tcW w:w="1510" w:type="dxa"/>
            <w:vAlign w:val="center"/>
          </w:tcPr>
          <w:p w14:paraId="287D441F" w14:textId="77777777" w:rsidR="00511EBD" w:rsidRDefault="00511EBD" w:rsidP="00370D8E">
            <w:pPr>
              <w:pStyle w:val="COMTabletext"/>
              <w:jc w:val="center"/>
            </w:pPr>
            <w:r>
              <w:t>3 (16.4)</w:t>
            </w:r>
          </w:p>
        </w:tc>
        <w:tc>
          <w:tcPr>
            <w:tcW w:w="1510" w:type="dxa"/>
            <w:vAlign w:val="center"/>
          </w:tcPr>
          <w:p w14:paraId="68AB2337" w14:textId="77777777" w:rsidR="00511EBD" w:rsidRDefault="00511EBD" w:rsidP="00370D8E">
            <w:pPr>
              <w:pStyle w:val="COMTabletext"/>
              <w:jc w:val="center"/>
            </w:pPr>
            <w:r>
              <w:t>1 (2.8)</w:t>
            </w:r>
          </w:p>
        </w:tc>
        <w:tc>
          <w:tcPr>
            <w:tcW w:w="1510" w:type="dxa"/>
            <w:vAlign w:val="center"/>
          </w:tcPr>
          <w:p w14:paraId="0872D98A" w14:textId="77777777" w:rsidR="00511EBD" w:rsidRDefault="00511EBD" w:rsidP="00370D8E">
            <w:pPr>
              <w:pStyle w:val="COMTabletext"/>
              <w:jc w:val="center"/>
            </w:pPr>
            <w:r>
              <w:t>2 (11.2)</w:t>
            </w:r>
          </w:p>
        </w:tc>
      </w:tr>
      <w:tr w:rsidR="00511EBD" w14:paraId="71EF8AA2" w14:textId="77777777">
        <w:tc>
          <w:tcPr>
            <w:tcW w:w="2977" w:type="dxa"/>
          </w:tcPr>
          <w:p w14:paraId="3CAD201F" w14:textId="77777777" w:rsidR="00511EBD" w:rsidRDefault="00511EBD" w:rsidP="00370D8E">
            <w:pPr>
              <w:pStyle w:val="COMTabletext"/>
            </w:pPr>
            <w:r>
              <w:t>Fatal AE</w:t>
            </w:r>
          </w:p>
        </w:tc>
        <w:tc>
          <w:tcPr>
            <w:tcW w:w="1510" w:type="dxa"/>
            <w:vAlign w:val="center"/>
          </w:tcPr>
          <w:p w14:paraId="58B622B2" w14:textId="77777777" w:rsidR="00511EBD" w:rsidRDefault="00511EBD" w:rsidP="00370D8E">
            <w:pPr>
              <w:pStyle w:val="COMTabletext"/>
              <w:jc w:val="center"/>
            </w:pPr>
            <w:r w:rsidRPr="00476AB8">
              <w:t>0</w:t>
            </w:r>
          </w:p>
        </w:tc>
        <w:tc>
          <w:tcPr>
            <w:tcW w:w="1510" w:type="dxa"/>
            <w:vAlign w:val="center"/>
          </w:tcPr>
          <w:p w14:paraId="5E5DF3E8" w14:textId="77777777" w:rsidR="00511EBD" w:rsidRPr="00FB34A5" w:rsidRDefault="00511EBD" w:rsidP="00370D8E">
            <w:pPr>
              <w:pStyle w:val="COMTabletext"/>
              <w:jc w:val="center"/>
            </w:pPr>
            <w:r>
              <w:t>0</w:t>
            </w:r>
          </w:p>
        </w:tc>
        <w:tc>
          <w:tcPr>
            <w:tcW w:w="1510" w:type="dxa"/>
            <w:vAlign w:val="center"/>
          </w:tcPr>
          <w:p w14:paraId="5563050A" w14:textId="77777777" w:rsidR="00511EBD" w:rsidRDefault="00511EBD" w:rsidP="00370D8E">
            <w:pPr>
              <w:pStyle w:val="COMTabletext"/>
              <w:jc w:val="center"/>
            </w:pPr>
            <w:r w:rsidRPr="00FB34A5">
              <w:t>0</w:t>
            </w:r>
          </w:p>
        </w:tc>
        <w:tc>
          <w:tcPr>
            <w:tcW w:w="1510" w:type="dxa"/>
            <w:vAlign w:val="center"/>
          </w:tcPr>
          <w:p w14:paraId="52C530D7" w14:textId="77777777" w:rsidR="00511EBD" w:rsidRPr="00FB34A5" w:rsidRDefault="00511EBD" w:rsidP="00370D8E">
            <w:pPr>
              <w:pStyle w:val="COMTabletext"/>
              <w:jc w:val="center"/>
            </w:pPr>
            <w:r>
              <w:t>0</w:t>
            </w:r>
          </w:p>
        </w:tc>
      </w:tr>
      <w:tr w:rsidR="00511EBD" w14:paraId="132E1989" w14:textId="77777777">
        <w:tc>
          <w:tcPr>
            <w:tcW w:w="2977" w:type="dxa"/>
          </w:tcPr>
          <w:p w14:paraId="0DA66396" w14:textId="77777777" w:rsidR="00511EBD" w:rsidRDefault="00511EBD" w:rsidP="00370D8E">
            <w:pPr>
              <w:pStyle w:val="COMTabletext"/>
            </w:pPr>
            <w:r>
              <w:t>AE leading to treatment discontinuation</w:t>
            </w:r>
          </w:p>
        </w:tc>
        <w:tc>
          <w:tcPr>
            <w:tcW w:w="1510" w:type="dxa"/>
            <w:vAlign w:val="center"/>
          </w:tcPr>
          <w:p w14:paraId="43473959" w14:textId="77777777" w:rsidR="00511EBD" w:rsidRDefault="00511EBD" w:rsidP="00370D8E">
            <w:pPr>
              <w:pStyle w:val="COMTabletext"/>
              <w:jc w:val="center"/>
            </w:pPr>
            <w:r w:rsidRPr="00476AB8">
              <w:t>0</w:t>
            </w:r>
          </w:p>
        </w:tc>
        <w:tc>
          <w:tcPr>
            <w:tcW w:w="1510" w:type="dxa"/>
            <w:vAlign w:val="center"/>
          </w:tcPr>
          <w:p w14:paraId="1E6FEC97" w14:textId="77777777" w:rsidR="00511EBD" w:rsidRPr="00FB34A5" w:rsidRDefault="00511EBD" w:rsidP="00370D8E">
            <w:pPr>
              <w:pStyle w:val="COMTabletext"/>
              <w:jc w:val="center"/>
            </w:pPr>
            <w:r>
              <w:t>0</w:t>
            </w:r>
          </w:p>
        </w:tc>
        <w:tc>
          <w:tcPr>
            <w:tcW w:w="1510" w:type="dxa"/>
            <w:vAlign w:val="center"/>
          </w:tcPr>
          <w:p w14:paraId="46D42DDA" w14:textId="77777777" w:rsidR="00511EBD" w:rsidRDefault="00511EBD" w:rsidP="00370D8E">
            <w:pPr>
              <w:pStyle w:val="COMTabletext"/>
              <w:jc w:val="center"/>
            </w:pPr>
            <w:r w:rsidRPr="00FB34A5">
              <w:t>0</w:t>
            </w:r>
          </w:p>
        </w:tc>
        <w:tc>
          <w:tcPr>
            <w:tcW w:w="1510" w:type="dxa"/>
            <w:vAlign w:val="center"/>
          </w:tcPr>
          <w:p w14:paraId="54EFEB98" w14:textId="77777777" w:rsidR="00511EBD" w:rsidRPr="00FB34A5" w:rsidRDefault="00511EBD" w:rsidP="00370D8E">
            <w:pPr>
              <w:pStyle w:val="COMTabletext"/>
              <w:jc w:val="center"/>
            </w:pPr>
            <w:r>
              <w:t>0</w:t>
            </w:r>
          </w:p>
        </w:tc>
      </w:tr>
      <w:tr w:rsidR="00511EBD" w14:paraId="5EB76E39" w14:textId="77777777">
        <w:tc>
          <w:tcPr>
            <w:tcW w:w="2977" w:type="dxa"/>
          </w:tcPr>
          <w:p w14:paraId="6A966526" w14:textId="77777777" w:rsidR="00511EBD" w:rsidRDefault="00511EBD" w:rsidP="00370D8E">
            <w:pPr>
              <w:pStyle w:val="COMTabletext"/>
            </w:pPr>
            <w:r>
              <w:t>AE leading to study drug interruption</w:t>
            </w:r>
          </w:p>
        </w:tc>
        <w:tc>
          <w:tcPr>
            <w:tcW w:w="1510" w:type="dxa"/>
            <w:vAlign w:val="center"/>
          </w:tcPr>
          <w:p w14:paraId="26B34E7A" w14:textId="77777777" w:rsidR="00511EBD" w:rsidRDefault="00511EBD" w:rsidP="00370D8E">
            <w:pPr>
              <w:pStyle w:val="COMTabletext"/>
              <w:jc w:val="center"/>
            </w:pPr>
            <w:r>
              <w:t>4 (10.5)</w:t>
            </w:r>
          </w:p>
        </w:tc>
        <w:tc>
          <w:tcPr>
            <w:tcW w:w="1510" w:type="dxa"/>
            <w:vAlign w:val="center"/>
          </w:tcPr>
          <w:p w14:paraId="47D678D5" w14:textId="77777777" w:rsidR="00511EBD" w:rsidRDefault="00511EBD" w:rsidP="00370D8E">
            <w:pPr>
              <w:pStyle w:val="COMTabletext"/>
              <w:jc w:val="center"/>
            </w:pPr>
            <w:r>
              <w:t>6 (32.8)</w:t>
            </w:r>
          </w:p>
        </w:tc>
        <w:tc>
          <w:tcPr>
            <w:tcW w:w="1510" w:type="dxa"/>
            <w:vAlign w:val="center"/>
          </w:tcPr>
          <w:p w14:paraId="09E66D68" w14:textId="77777777" w:rsidR="00511EBD" w:rsidRDefault="00511EBD" w:rsidP="00370D8E">
            <w:pPr>
              <w:pStyle w:val="COMTabletext"/>
              <w:jc w:val="center"/>
            </w:pPr>
            <w:r>
              <w:t>4 (11.1)</w:t>
            </w:r>
          </w:p>
        </w:tc>
        <w:tc>
          <w:tcPr>
            <w:tcW w:w="1510" w:type="dxa"/>
            <w:vAlign w:val="center"/>
          </w:tcPr>
          <w:p w14:paraId="67FFE314" w14:textId="77777777" w:rsidR="00511EBD" w:rsidRDefault="00511EBD" w:rsidP="00370D8E">
            <w:pPr>
              <w:pStyle w:val="COMTabletext"/>
              <w:jc w:val="center"/>
            </w:pPr>
            <w:r>
              <w:t>4 (22.5)</w:t>
            </w:r>
          </w:p>
        </w:tc>
      </w:tr>
      <w:tr w:rsidR="00511EBD" w14:paraId="21F95CC2" w14:textId="77777777">
        <w:tc>
          <w:tcPr>
            <w:tcW w:w="2977" w:type="dxa"/>
          </w:tcPr>
          <w:p w14:paraId="3E0C797E" w14:textId="77777777" w:rsidR="00511EBD" w:rsidRDefault="00511EBD" w:rsidP="00370D8E">
            <w:pPr>
              <w:pStyle w:val="COMTabletext"/>
            </w:pPr>
            <w:r>
              <w:t>AE requiring additional therapy</w:t>
            </w:r>
          </w:p>
        </w:tc>
        <w:tc>
          <w:tcPr>
            <w:tcW w:w="1510" w:type="dxa"/>
            <w:vAlign w:val="center"/>
          </w:tcPr>
          <w:p w14:paraId="7F9DA91E" w14:textId="77777777" w:rsidR="00511EBD" w:rsidRDefault="00511EBD" w:rsidP="00370D8E">
            <w:pPr>
              <w:pStyle w:val="COMTabletext"/>
              <w:jc w:val="center"/>
            </w:pPr>
            <w:r>
              <w:t>21 (55.3)</w:t>
            </w:r>
          </w:p>
        </w:tc>
        <w:tc>
          <w:tcPr>
            <w:tcW w:w="1510" w:type="dxa"/>
            <w:vAlign w:val="center"/>
          </w:tcPr>
          <w:p w14:paraId="5E6DD5A3" w14:textId="77777777" w:rsidR="00511EBD" w:rsidRDefault="00511EBD" w:rsidP="00370D8E">
            <w:pPr>
              <w:pStyle w:val="COMTabletext"/>
              <w:jc w:val="center"/>
            </w:pPr>
            <w:r>
              <w:t>-</w:t>
            </w:r>
          </w:p>
        </w:tc>
        <w:tc>
          <w:tcPr>
            <w:tcW w:w="1510" w:type="dxa"/>
            <w:vAlign w:val="center"/>
          </w:tcPr>
          <w:p w14:paraId="36A9C43A" w14:textId="77777777" w:rsidR="00511EBD" w:rsidRDefault="00511EBD" w:rsidP="00370D8E">
            <w:pPr>
              <w:pStyle w:val="COMTabletext"/>
              <w:jc w:val="center"/>
            </w:pPr>
            <w:r>
              <w:t>11 (30.6)</w:t>
            </w:r>
          </w:p>
        </w:tc>
        <w:tc>
          <w:tcPr>
            <w:tcW w:w="1510" w:type="dxa"/>
            <w:vAlign w:val="center"/>
          </w:tcPr>
          <w:p w14:paraId="29D9C222" w14:textId="77777777" w:rsidR="00511EBD" w:rsidRDefault="00511EBD" w:rsidP="00370D8E">
            <w:pPr>
              <w:pStyle w:val="COMTabletext"/>
              <w:jc w:val="center"/>
            </w:pPr>
            <w:r>
              <w:t>-</w:t>
            </w:r>
          </w:p>
        </w:tc>
      </w:tr>
      <w:tr w:rsidR="00511EBD" w14:paraId="5F25196A" w14:textId="77777777">
        <w:tc>
          <w:tcPr>
            <w:tcW w:w="2977" w:type="dxa"/>
          </w:tcPr>
          <w:p w14:paraId="7668401C" w14:textId="77777777" w:rsidR="00511EBD" w:rsidRDefault="00511EBD" w:rsidP="00370D8E">
            <w:pPr>
              <w:pStyle w:val="COMTabletext"/>
            </w:pPr>
            <w:r>
              <w:t>AE of special interest</w:t>
            </w:r>
          </w:p>
        </w:tc>
        <w:tc>
          <w:tcPr>
            <w:tcW w:w="1510" w:type="dxa"/>
            <w:vAlign w:val="center"/>
          </w:tcPr>
          <w:p w14:paraId="187076DF" w14:textId="77777777" w:rsidR="00511EBD" w:rsidRDefault="00511EBD" w:rsidP="00370D8E">
            <w:pPr>
              <w:pStyle w:val="COMTabletext"/>
              <w:jc w:val="center"/>
            </w:pPr>
            <w:r>
              <w:t>4 (10.5)</w:t>
            </w:r>
          </w:p>
        </w:tc>
        <w:tc>
          <w:tcPr>
            <w:tcW w:w="1510" w:type="dxa"/>
            <w:vAlign w:val="center"/>
          </w:tcPr>
          <w:p w14:paraId="2D8D16DD" w14:textId="77777777" w:rsidR="00511EBD" w:rsidRDefault="00511EBD" w:rsidP="00370D8E">
            <w:pPr>
              <w:pStyle w:val="COMTabletext"/>
              <w:jc w:val="center"/>
            </w:pPr>
            <w:r>
              <w:t>-</w:t>
            </w:r>
          </w:p>
        </w:tc>
        <w:tc>
          <w:tcPr>
            <w:tcW w:w="1510" w:type="dxa"/>
            <w:vAlign w:val="center"/>
          </w:tcPr>
          <w:p w14:paraId="18B2EB90" w14:textId="77777777" w:rsidR="00511EBD" w:rsidRDefault="00511EBD" w:rsidP="00370D8E">
            <w:pPr>
              <w:pStyle w:val="COMTabletext"/>
              <w:jc w:val="center"/>
            </w:pPr>
            <w:r>
              <w:t>2 (5.6)</w:t>
            </w:r>
          </w:p>
        </w:tc>
        <w:tc>
          <w:tcPr>
            <w:tcW w:w="1510" w:type="dxa"/>
            <w:vAlign w:val="center"/>
          </w:tcPr>
          <w:p w14:paraId="2303AD89" w14:textId="77777777" w:rsidR="00511EBD" w:rsidRDefault="00511EBD" w:rsidP="00370D8E">
            <w:pPr>
              <w:pStyle w:val="COMTabletext"/>
              <w:jc w:val="center"/>
            </w:pPr>
            <w:r>
              <w:t>-</w:t>
            </w:r>
          </w:p>
        </w:tc>
      </w:tr>
      <w:tr w:rsidR="00511EBD" w14:paraId="6A7E66F2" w14:textId="77777777">
        <w:tc>
          <w:tcPr>
            <w:tcW w:w="2977" w:type="dxa"/>
          </w:tcPr>
          <w:p w14:paraId="2D4CDDA3" w14:textId="77777777" w:rsidR="00511EBD" w:rsidRDefault="00511EBD" w:rsidP="00370D8E">
            <w:pPr>
              <w:pStyle w:val="COMTabletext"/>
            </w:pPr>
            <w:r>
              <w:t>Infections caused by encapsulated bacteria</w:t>
            </w:r>
          </w:p>
        </w:tc>
        <w:tc>
          <w:tcPr>
            <w:tcW w:w="1510" w:type="dxa"/>
            <w:vAlign w:val="center"/>
          </w:tcPr>
          <w:p w14:paraId="78DF7FCB" w14:textId="77777777" w:rsidR="00511EBD" w:rsidRDefault="00511EBD" w:rsidP="00370D8E">
            <w:pPr>
              <w:pStyle w:val="COMTabletext"/>
              <w:jc w:val="center"/>
            </w:pPr>
            <w:r>
              <w:t>2 (5.3)</w:t>
            </w:r>
          </w:p>
        </w:tc>
        <w:tc>
          <w:tcPr>
            <w:tcW w:w="1510" w:type="dxa"/>
            <w:vAlign w:val="center"/>
          </w:tcPr>
          <w:p w14:paraId="313676D3" w14:textId="77777777" w:rsidR="00511EBD" w:rsidRDefault="00511EBD" w:rsidP="00370D8E">
            <w:pPr>
              <w:pStyle w:val="COMTabletext"/>
              <w:jc w:val="center"/>
            </w:pPr>
            <w:r>
              <w:t>3 (16.4)</w:t>
            </w:r>
          </w:p>
        </w:tc>
        <w:tc>
          <w:tcPr>
            <w:tcW w:w="1510" w:type="dxa"/>
            <w:vAlign w:val="center"/>
          </w:tcPr>
          <w:p w14:paraId="11793BAC" w14:textId="77777777" w:rsidR="00511EBD" w:rsidRDefault="00511EBD" w:rsidP="00370D8E">
            <w:pPr>
              <w:pStyle w:val="COMTabletext"/>
              <w:jc w:val="center"/>
            </w:pPr>
            <w:r>
              <w:t>1 (2.8)</w:t>
            </w:r>
          </w:p>
        </w:tc>
        <w:tc>
          <w:tcPr>
            <w:tcW w:w="1510" w:type="dxa"/>
            <w:vAlign w:val="center"/>
          </w:tcPr>
          <w:p w14:paraId="72F2DFBE" w14:textId="77777777" w:rsidR="00511EBD" w:rsidRDefault="00511EBD" w:rsidP="00370D8E">
            <w:pPr>
              <w:pStyle w:val="COMTabletext"/>
              <w:jc w:val="center"/>
            </w:pPr>
            <w:r>
              <w:t>1 (5.6)</w:t>
            </w:r>
          </w:p>
        </w:tc>
      </w:tr>
      <w:tr w:rsidR="00511EBD" w14:paraId="569F60F3" w14:textId="77777777">
        <w:tc>
          <w:tcPr>
            <w:tcW w:w="2977" w:type="dxa"/>
          </w:tcPr>
          <w:p w14:paraId="0E40338D" w14:textId="77777777" w:rsidR="00511EBD" w:rsidRDefault="00511EBD" w:rsidP="00370D8E">
            <w:pPr>
              <w:pStyle w:val="COMTabletext"/>
            </w:pPr>
            <w:r>
              <w:t>- Otitis media</w:t>
            </w:r>
          </w:p>
        </w:tc>
        <w:tc>
          <w:tcPr>
            <w:tcW w:w="1510" w:type="dxa"/>
            <w:vAlign w:val="center"/>
          </w:tcPr>
          <w:p w14:paraId="50064F56" w14:textId="77777777" w:rsidR="00511EBD" w:rsidRDefault="00511EBD" w:rsidP="00370D8E">
            <w:pPr>
              <w:pStyle w:val="COMTabletext"/>
              <w:jc w:val="center"/>
            </w:pPr>
            <w:r>
              <w:t>2 (5.3)</w:t>
            </w:r>
          </w:p>
        </w:tc>
        <w:tc>
          <w:tcPr>
            <w:tcW w:w="1510" w:type="dxa"/>
            <w:vAlign w:val="center"/>
          </w:tcPr>
          <w:p w14:paraId="1D1E690A" w14:textId="77777777" w:rsidR="00511EBD" w:rsidRPr="00992CE9" w:rsidRDefault="00511EBD" w:rsidP="00370D8E">
            <w:pPr>
              <w:pStyle w:val="COMTabletext"/>
              <w:jc w:val="center"/>
            </w:pPr>
            <w:r>
              <w:t>3 (16.4)</w:t>
            </w:r>
          </w:p>
        </w:tc>
        <w:tc>
          <w:tcPr>
            <w:tcW w:w="1510" w:type="dxa"/>
            <w:vAlign w:val="center"/>
          </w:tcPr>
          <w:p w14:paraId="32B07375" w14:textId="77777777" w:rsidR="00511EBD" w:rsidRDefault="00511EBD" w:rsidP="00370D8E">
            <w:pPr>
              <w:pStyle w:val="COMTabletext"/>
              <w:jc w:val="center"/>
            </w:pPr>
            <w:r w:rsidRPr="00992CE9">
              <w:t>0</w:t>
            </w:r>
          </w:p>
        </w:tc>
        <w:tc>
          <w:tcPr>
            <w:tcW w:w="1510" w:type="dxa"/>
            <w:vAlign w:val="center"/>
          </w:tcPr>
          <w:p w14:paraId="364A2CA4" w14:textId="77777777" w:rsidR="00511EBD" w:rsidRPr="00992CE9" w:rsidRDefault="00511EBD" w:rsidP="00370D8E">
            <w:pPr>
              <w:pStyle w:val="COMTabletext"/>
              <w:jc w:val="center"/>
            </w:pPr>
            <w:r>
              <w:t>0</w:t>
            </w:r>
          </w:p>
        </w:tc>
      </w:tr>
      <w:tr w:rsidR="00511EBD" w14:paraId="5B797251" w14:textId="77777777">
        <w:tc>
          <w:tcPr>
            <w:tcW w:w="2977" w:type="dxa"/>
          </w:tcPr>
          <w:p w14:paraId="3B572E28" w14:textId="77777777" w:rsidR="00511EBD" w:rsidRDefault="00511EBD" w:rsidP="00370D8E">
            <w:pPr>
              <w:pStyle w:val="COMTabletext"/>
            </w:pPr>
            <w:r>
              <w:t>- Urethritis gonococcal</w:t>
            </w:r>
          </w:p>
        </w:tc>
        <w:tc>
          <w:tcPr>
            <w:tcW w:w="1510" w:type="dxa"/>
            <w:vAlign w:val="center"/>
          </w:tcPr>
          <w:p w14:paraId="1A92933E" w14:textId="77777777" w:rsidR="00511EBD" w:rsidRDefault="00511EBD" w:rsidP="00370D8E">
            <w:pPr>
              <w:pStyle w:val="COMTabletext"/>
              <w:jc w:val="center"/>
            </w:pPr>
            <w:r w:rsidRPr="00992CE9">
              <w:t>0</w:t>
            </w:r>
          </w:p>
        </w:tc>
        <w:tc>
          <w:tcPr>
            <w:tcW w:w="1510" w:type="dxa"/>
            <w:vAlign w:val="center"/>
          </w:tcPr>
          <w:p w14:paraId="04277BC8" w14:textId="77777777" w:rsidR="00511EBD" w:rsidRDefault="00511EBD" w:rsidP="00370D8E">
            <w:pPr>
              <w:pStyle w:val="COMTabletext"/>
              <w:jc w:val="center"/>
            </w:pPr>
            <w:r>
              <w:t>0</w:t>
            </w:r>
          </w:p>
        </w:tc>
        <w:tc>
          <w:tcPr>
            <w:tcW w:w="1510" w:type="dxa"/>
            <w:vAlign w:val="center"/>
          </w:tcPr>
          <w:p w14:paraId="79C45B5B" w14:textId="77777777" w:rsidR="00511EBD" w:rsidRDefault="00511EBD" w:rsidP="00370D8E">
            <w:pPr>
              <w:pStyle w:val="COMTabletext"/>
              <w:jc w:val="center"/>
            </w:pPr>
            <w:r>
              <w:t>1 (2.8)</w:t>
            </w:r>
          </w:p>
        </w:tc>
        <w:tc>
          <w:tcPr>
            <w:tcW w:w="1510" w:type="dxa"/>
            <w:vAlign w:val="center"/>
          </w:tcPr>
          <w:p w14:paraId="7CF198A2" w14:textId="77777777" w:rsidR="00511EBD" w:rsidRDefault="00511EBD" w:rsidP="00370D8E">
            <w:pPr>
              <w:pStyle w:val="COMTabletext"/>
              <w:jc w:val="center"/>
            </w:pPr>
            <w:r>
              <w:t>1 (5.6)</w:t>
            </w:r>
          </w:p>
        </w:tc>
      </w:tr>
      <w:tr w:rsidR="00511EBD" w14:paraId="08D07944" w14:textId="77777777">
        <w:tc>
          <w:tcPr>
            <w:tcW w:w="2977" w:type="dxa"/>
          </w:tcPr>
          <w:p w14:paraId="5D2363D1" w14:textId="77777777" w:rsidR="00511EBD" w:rsidRDefault="00511EBD" w:rsidP="00370D8E">
            <w:pPr>
              <w:pStyle w:val="COMTabletext"/>
            </w:pPr>
            <w:r>
              <w:t xml:space="preserve">Serious or severe infections </w:t>
            </w:r>
          </w:p>
        </w:tc>
        <w:tc>
          <w:tcPr>
            <w:tcW w:w="1510" w:type="dxa"/>
            <w:vAlign w:val="center"/>
          </w:tcPr>
          <w:p w14:paraId="31B93353" w14:textId="77777777" w:rsidR="00511EBD" w:rsidRDefault="00511EBD" w:rsidP="00370D8E">
            <w:pPr>
              <w:pStyle w:val="COMTabletext"/>
              <w:jc w:val="center"/>
            </w:pPr>
            <w:r>
              <w:t>2 (5.3)</w:t>
            </w:r>
          </w:p>
        </w:tc>
        <w:tc>
          <w:tcPr>
            <w:tcW w:w="1510" w:type="dxa"/>
            <w:vAlign w:val="center"/>
          </w:tcPr>
          <w:p w14:paraId="28F2CE4C" w14:textId="77777777" w:rsidR="00511EBD" w:rsidRPr="00992CE9" w:rsidRDefault="00511EBD" w:rsidP="00370D8E">
            <w:pPr>
              <w:pStyle w:val="COMTabletext"/>
              <w:jc w:val="center"/>
            </w:pPr>
            <w:r>
              <w:t>2 (10.9)</w:t>
            </w:r>
          </w:p>
        </w:tc>
        <w:tc>
          <w:tcPr>
            <w:tcW w:w="1510" w:type="dxa"/>
            <w:vAlign w:val="center"/>
          </w:tcPr>
          <w:p w14:paraId="05E0F69B" w14:textId="77777777" w:rsidR="00511EBD" w:rsidRDefault="00511EBD" w:rsidP="00370D8E">
            <w:pPr>
              <w:pStyle w:val="COMTabletext"/>
              <w:jc w:val="center"/>
            </w:pPr>
            <w:r w:rsidRPr="00992CE9">
              <w:t>0</w:t>
            </w:r>
          </w:p>
        </w:tc>
        <w:tc>
          <w:tcPr>
            <w:tcW w:w="1510" w:type="dxa"/>
            <w:vAlign w:val="center"/>
          </w:tcPr>
          <w:p w14:paraId="2261463E" w14:textId="77777777" w:rsidR="00511EBD" w:rsidRPr="00992CE9" w:rsidRDefault="00511EBD" w:rsidP="00370D8E">
            <w:pPr>
              <w:pStyle w:val="COMTabletext"/>
              <w:jc w:val="center"/>
            </w:pPr>
            <w:r>
              <w:t>0</w:t>
            </w:r>
          </w:p>
        </w:tc>
      </w:tr>
      <w:tr w:rsidR="00511EBD" w14:paraId="038CD97B" w14:textId="77777777">
        <w:tc>
          <w:tcPr>
            <w:tcW w:w="2977" w:type="dxa"/>
          </w:tcPr>
          <w:p w14:paraId="40C8D6C8" w14:textId="77777777" w:rsidR="00511EBD" w:rsidRDefault="00511EBD" w:rsidP="00370D8E">
            <w:pPr>
              <w:pStyle w:val="COMTabletext"/>
            </w:pPr>
            <w:r>
              <w:t>- Blood culture positive</w:t>
            </w:r>
          </w:p>
        </w:tc>
        <w:tc>
          <w:tcPr>
            <w:tcW w:w="1510" w:type="dxa"/>
            <w:vAlign w:val="center"/>
          </w:tcPr>
          <w:p w14:paraId="73E48F85" w14:textId="77777777" w:rsidR="00511EBD" w:rsidRDefault="00511EBD" w:rsidP="00370D8E">
            <w:pPr>
              <w:pStyle w:val="COMTabletext"/>
              <w:jc w:val="center"/>
            </w:pPr>
            <w:r>
              <w:t>1 (2.6)</w:t>
            </w:r>
          </w:p>
        </w:tc>
        <w:tc>
          <w:tcPr>
            <w:tcW w:w="1510" w:type="dxa"/>
            <w:vAlign w:val="center"/>
          </w:tcPr>
          <w:p w14:paraId="2262CB7E" w14:textId="77777777" w:rsidR="00511EBD" w:rsidRPr="00992CE9" w:rsidRDefault="00511EBD" w:rsidP="00370D8E">
            <w:pPr>
              <w:pStyle w:val="COMTabletext"/>
              <w:jc w:val="center"/>
            </w:pPr>
            <w:r>
              <w:t>1 (5.5)</w:t>
            </w:r>
          </w:p>
        </w:tc>
        <w:tc>
          <w:tcPr>
            <w:tcW w:w="1510" w:type="dxa"/>
            <w:vAlign w:val="center"/>
          </w:tcPr>
          <w:p w14:paraId="43256316" w14:textId="77777777" w:rsidR="00511EBD" w:rsidRDefault="00511EBD" w:rsidP="00370D8E">
            <w:pPr>
              <w:pStyle w:val="COMTabletext"/>
              <w:jc w:val="center"/>
            </w:pPr>
            <w:r w:rsidRPr="00992CE9">
              <w:t>0</w:t>
            </w:r>
          </w:p>
        </w:tc>
        <w:tc>
          <w:tcPr>
            <w:tcW w:w="1510" w:type="dxa"/>
            <w:vAlign w:val="center"/>
          </w:tcPr>
          <w:p w14:paraId="0C571352" w14:textId="77777777" w:rsidR="00511EBD" w:rsidRPr="00992CE9" w:rsidRDefault="00511EBD" w:rsidP="00370D8E">
            <w:pPr>
              <w:pStyle w:val="COMTabletext"/>
              <w:jc w:val="center"/>
            </w:pPr>
            <w:r>
              <w:t>0</w:t>
            </w:r>
          </w:p>
        </w:tc>
      </w:tr>
      <w:tr w:rsidR="00511EBD" w14:paraId="09B75C85" w14:textId="77777777">
        <w:tc>
          <w:tcPr>
            <w:tcW w:w="2977" w:type="dxa"/>
          </w:tcPr>
          <w:p w14:paraId="4D7FE8FF" w14:textId="77777777" w:rsidR="00511EBD" w:rsidRDefault="00511EBD" w:rsidP="00370D8E">
            <w:pPr>
              <w:pStyle w:val="COMTabletext"/>
            </w:pPr>
            <w:r>
              <w:t>- Infected bite</w:t>
            </w:r>
          </w:p>
        </w:tc>
        <w:tc>
          <w:tcPr>
            <w:tcW w:w="1510" w:type="dxa"/>
            <w:vAlign w:val="center"/>
          </w:tcPr>
          <w:p w14:paraId="3F1A6A02" w14:textId="77777777" w:rsidR="00511EBD" w:rsidRDefault="00511EBD" w:rsidP="00370D8E">
            <w:pPr>
              <w:pStyle w:val="COMTabletext"/>
              <w:jc w:val="center"/>
            </w:pPr>
            <w:r>
              <w:t>1 (2.6)</w:t>
            </w:r>
          </w:p>
        </w:tc>
        <w:tc>
          <w:tcPr>
            <w:tcW w:w="1510" w:type="dxa"/>
            <w:vAlign w:val="center"/>
          </w:tcPr>
          <w:p w14:paraId="7361B3BA" w14:textId="77777777" w:rsidR="00511EBD" w:rsidRPr="00992CE9" w:rsidRDefault="00511EBD" w:rsidP="00370D8E">
            <w:pPr>
              <w:pStyle w:val="COMTabletext"/>
              <w:jc w:val="center"/>
            </w:pPr>
            <w:r>
              <w:t>1 (5.5)</w:t>
            </w:r>
          </w:p>
        </w:tc>
        <w:tc>
          <w:tcPr>
            <w:tcW w:w="1510" w:type="dxa"/>
            <w:vAlign w:val="center"/>
          </w:tcPr>
          <w:p w14:paraId="0638E115" w14:textId="77777777" w:rsidR="00511EBD" w:rsidRDefault="00511EBD" w:rsidP="00370D8E">
            <w:pPr>
              <w:pStyle w:val="COMTabletext"/>
              <w:jc w:val="center"/>
            </w:pPr>
            <w:r w:rsidRPr="00992CE9">
              <w:t>0</w:t>
            </w:r>
          </w:p>
        </w:tc>
        <w:tc>
          <w:tcPr>
            <w:tcW w:w="1510" w:type="dxa"/>
            <w:vAlign w:val="center"/>
          </w:tcPr>
          <w:p w14:paraId="4F1F9581" w14:textId="77777777" w:rsidR="00511EBD" w:rsidRPr="00992CE9" w:rsidRDefault="00511EBD" w:rsidP="00370D8E">
            <w:pPr>
              <w:pStyle w:val="COMTabletext"/>
              <w:jc w:val="center"/>
            </w:pPr>
            <w:r>
              <w:t>0</w:t>
            </w:r>
          </w:p>
        </w:tc>
      </w:tr>
      <w:tr w:rsidR="00511EBD" w14:paraId="0D22D548" w14:textId="77777777">
        <w:tc>
          <w:tcPr>
            <w:tcW w:w="2977" w:type="dxa"/>
          </w:tcPr>
          <w:p w14:paraId="5A6507F2" w14:textId="77777777" w:rsidR="00511EBD" w:rsidRDefault="00511EBD" w:rsidP="00370D8E">
            <w:pPr>
              <w:pStyle w:val="COMTabletext"/>
            </w:pPr>
            <w:r>
              <w:t>Thyroid changes</w:t>
            </w:r>
          </w:p>
        </w:tc>
        <w:tc>
          <w:tcPr>
            <w:tcW w:w="1510" w:type="dxa"/>
            <w:vAlign w:val="center"/>
          </w:tcPr>
          <w:p w14:paraId="70EEC081" w14:textId="77777777" w:rsidR="00511EBD" w:rsidRDefault="00511EBD" w:rsidP="00370D8E">
            <w:pPr>
              <w:pStyle w:val="COMTabletext"/>
              <w:jc w:val="center"/>
            </w:pPr>
            <w:r w:rsidRPr="00992CE9">
              <w:t>0</w:t>
            </w:r>
          </w:p>
        </w:tc>
        <w:tc>
          <w:tcPr>
            <w:tcW w:w="1510" w:type="dxa"/>
            <w:vAlign w:val="center"/>
          </w:tcPr>
          <w:p w14:paraId="125BFCCB" w14:textId="77777777" w:rsidR="00511EBD" w:rsidRDefault="00511EBD" w:rsidP="00370D8E">
            <w:pPr>
              <w:pStyle w:val="COMTabletext"/>
              <w:jc w:val="center"/>
            </w:pPr>
            <w:r>
              <w:t>0</w:t>
            </w:r>
          </w:p>
        </w:tc>
        <w:tc>
          <w:tcPr>
            <w:tcW w:w="1510" w:type="dxa"/>
            <w:vAlign w:val="center"/>
          </w:tcPr>
          <w:p w14:paraId="6DFDA8D2" w14:textId="77777777" w:rsidR="00511EBD" w:rsidRDefault="00511EBD" w:rsidP="00370D8E">
            <w:pPr>
              <w:pStyle w:val="COMTabletext"/>
              <w:jc w:val="center"/>
            </w:pPr>
            <w:r>
              <w:t>1 (2.8)</w:t>
            </w:r>
          </w:p>
        </w:tc>
        <w:tc>
          <w:tcPr>
            <w:tcW w:w="1510" w:type="dxa"/>
            <w:vAlign w:val="center"/>
          </w:tcPr>
          <w:p w14:paraId="37427F85" w14:textId="77777777" w:rsidR="00511EBD" w:rsidRDefault="00511EBD" w:rsidP="00370D8E">
            <w:pPr>
              <w:pStyle w:val="COMTabletext"/>
              <w:jc w:val="center"/>
            </w:pPr>
            <w:r>
              <w:t>1 (5.6)</w:t>
            </w:r>
          </w:p>
        </w:tc>
      </w:tr>
      <w:tr w:rsidR="00511EBD" w14:paraId="7B69520C" w14:textId="77777777">
        <w:tc>
          <w:tcPr>
            <w:tcW w:w="2977" w:type="dxa"/>
          </w:tcPr>
          <w:p w14:paraId="0C5CD4F8" w14:textId="77777777" w:rsidR="00511EBD" w:rsidRDefault="00511EBD" w:rsidP="00370D8E">
            <w:pPr>
              <w:pStyle w:val="COMTabletext"/>
            </w:pPr>
            <w:r>
              <w:t>- Blood thyroid stimulating hormone increased</w:t>
            </w:r>
          </w:p>
        </w:tc>
        <w:tc>
          <w:tcPr>
            <w:tcW w:w="1510" w:type="dxa"/>
            <w:vAlign w:val="center"/>
          </w:tcPr>
          <w:p w14:paraId="6062EF34" w14:textId="77777777" w:rsidR="00511EBD" w:rsidRDefault="00511EBD" w:rsidP="00370D8E">
            <w:pPr>
              <w:pStyle w:val="COMTabletext"/>
              <w:jc w:val="center"/>
            </w:pPr>
            <w:r w:rsidRPr="00992CE9">
              <w:t>0</w:t>
            </w:r>
          </w:p>
        </w:tc>
        <w:tc>
          <w:tcPr>
            <w:tcW w:w="1510" w:type="dxa"/>
            <w:vAlign w:val="center"/>
          </w:tcPr>
          <w:p w14:paraId="4E7F982C" w14:textId="77777777" w:rsidR="00511EBD" w:rsidRDefault="00511EBD" w:rsidP="00370D8E">
            <w:pPr>
              <w:pStyle w:val="COMTabletext"/>
              <w:jc w:val="center"/>
            </w:pPr>
            <w:r>
              <w:t>0</w:t>
            </w:r>
          </w:p>
        </w:tc>
        <w:tc>
          <w:tcPr>
            <w:tcW w:w="1510" w:type="dxa"/>
            <w:vAlign w:val="center"/>
          </w:tcPr>
          <w:p w14:paraId="0FFDBA9C" w14:textId="77777777" w:rsidR="00511EBD" w:rsidRDefault="00511EBD" w:rsidP="00370D8E">
            <w:pPr>
              <w:pStyle w:val="COMTabletext"/>
              <w:jc w:val="center"/>
            </w:pPr>
            <w:r>
              <w:t>1 (2.8)</w:t>
            </w:r>
          </w:p>
        </w:tc>
        <w:tc>
          <w:tcPr>
            <w:tcW w:w="1510" w:type="dxa"/>
            <w:vAlign w:val="center"/>
          </w:tcPr>
          <w:p w14:paraId="13ECB85C" w14:textId="77777777" w:rsidR="00511EBD" w:rsidRDefault="00511EBD" w:rsidP="00370D8E">
            <w:pPr>
              <w:pStyle w:val="COMTabletext"/>
              <w:jc w:val="center"/>
            </w:pPr>
            <w:r>
              <w:t>1 (5.6)</w:t>
            </w:r>
          </w:p>
        </w:tc>
      </w:tr>
      <w:tr w:rsidR="00511EBD" w14:paraId="490D809E" w14:textId="77777777">
        <w:tc>
          <w:tcPr>
            <w:tcW w:w="2977" w:type="dxa"/>
          </w:tcPr>
          <w:p w14:paraId="127D9225" w14:textId="77777777" w:rsidR="00511EBD" w:rsidRDefault="00511EBD" w:rsidP="00370D8E">
            <w:pPr>
              <w:pStyle w:val="COMTabletext"/>
            </w:pPr>
            <w:r>
              <w:t>Hypersensitivity</w:t>
            </w:r>
          </w:p>
        </w:tc>
        <w:tc>
          <w:tcPr>
            <w:tcW w:w="1510" w:type="dxa"/>
            <w:vAlign w:val="center"/>
          </w:tcPr>
          <w:p w14:paraId="765C4B9D" w14:textId="77777777" w:rsidR="00511EBD" w:rsidRDefault="00511EBD" w:rsidP="00370D8E">
            <w:pPr>
              <w:pStyle w:val="COMTabletext"/>
              <w:jc w:val="center"/>
            </w:pPr>
            <w:r w:rsidRPr="00992CE9">
              <w:t>0</w:t>
            </w:r>
          </w:p>
        </w:tc>
        <w:tc>
          <w:tcPr>
            <w:tcW w:w="1510" w:type="dxa"/>
            <w:vAlign w:val="center"/>
          </w:tcPr>
          <w:p w14:paraId="4DCDAC63" w14:textId="77777777" w:rsidR="00511EBD" w:rsidRPr="00992CE9" w:rsidRDefault="00511EBD" w:rsidP="00370D8E">
            <w:pPr>
              <w:pStyle w:val="COMTabletext"/>
              <w:jc w:val="center"/>
            </w:pPr>
            <w:r>
              <w:t>0</w:t>
            </w:r>
          </w:p>
        </w:tc>
        <w:tc>
          <w:tcPr>
            <w:tcW w:w="1510" w:type="dxa"/>
            <w:vAlign w:val="center"/>
          </w:tcPr>
          <w:p w14:paraId="665B3099" w14:textId="77777777" w:rsidR="00511EBD" w:rsidRDefault="00511EBD" w:rsidP="00370D8E">
            <w:pPr>
              <w:pStyle w:val="COMTabletext"/>
              <w:jc w:val="center"/>
            </w:pPr>
            <w:r w:rsidRPr="00992CE9">
              <w:t>0</w:t>
            </w:r>
          </w:p>
        </w:tc>
        <w:tc>
          <w:tcPr>
            <w:tcW w:w="1510" w:type="dxa"/>
            <w:vAlign w:val="center"/>
          </w:tcPr>
          <w:p w14:paraId="5364473B" w14:textId="77777777" w:rsidR="00511EBD" w:rsidRPr="00992CE9" w:rsidRDefault="00511EBD" w:rsidP="00370D8E">
            <w:pPr>
              <w:pStyle w:val="COMTabletext"/>
              <w:jc w:val="center"/>
            </w:pPr>
            <w:r>
              <w:t>0</w:t>
            </w:r>
          </w:p>
        </w:tc>
      </w:tr>
      <w:tr w:rsidR="00511EBD" w14:paraId="7E2E9409" w14:textId="77777777">
        <w:tc>
          <w:tcPr>
            <w:tcW w:w="2977" w:type="dxa"/>
          </w:tcPr>
          <w:p w14:paraId="260C139A" w14:textId="77777777" w:rsidR="00511EBD" w:rsidRDefault="00511EBD" w:rsidP="00370D8E">
            <w:pPr>
              <w:pStyle w:val="COMTabletext"/>
            </w:pPr>
            <w:r>
              <w:t>Testicular effects</w:t>
            </w:r>
          </w:p>
        </w:tc>
        <w:tc>
          <w:tcPr>
            <w:tcW w:w="1510" w:type="dxa"/>
            <w:vAlign w:val="center"/>
          </w:tcPr>
          <w:p w14:paraId="3858CB7E" w14:textId="77777777" w:rsidR="00511EBD" w:rsidRDefault="00511EBD" w:rsidP="00370D8E">
            <w:pPr>
              <w:pStyle w:val="COMTabletext"/>
              <w:jc w:val="center"/>
            </w:pPr>
            <w:r w:rsidRPr="00992CE9">
              <w:t>0</w:t>
            </w:r>
          </w:p>
        </w:tc>
        <w:tc>
          <w:tcPr>
            <w:tcW w:w="1510" w:type="dxa"/>
            <w:vAlign w:val="center"/>
          </w:tcPr>
          <w:p w14:paraId="418384BA" w14:textId="77777777" w:rsidR="00511EBD" w:rsidRPr="00992CE9" w:rsidRDefault="00511EBD" w:rsidP="00370D8E">
            <w:pPr>
              <w:pStyle w:val="COMTabletext"/>
              <w:jc w:val="center"/>
            </w:pPr>
            <w:r>
              <w:t>0</w:t>
            </w:r>
          </w:p>
        </w:tc>
        <w:tc>
          <w:tcPr>
            <w:tcW w:w="1510" w:type="dxa"/>
            <w:vAlign w:val="center"/>
          </w:tcPr>
          <w:p w14:paraId="6D87B93F" w14:textId="77777777" w:rsidR="00511EBD" w:rsidRDefault="00511EBD" w:rsidP="00370D8E">
            <w:pPr>
              <w:pStyle w:val="COMTabletext"/>
              <w:jc w:val="center"/>
            </w:pPr>
            <w:r w:rsidRPr="00992CE9">
              <w:t>0</w:t>
            </w:r>
          </w:p>
        </w:tc>
        <w:tc>
          <w:tcPr>
            <w:tcW w:w="1510" w:type="dxa"/>
            <w:vAlign w:val="center"/>
          </w:tcPr>
          <w:p w14:paraId="0ADA9263" w14:textId="77777777" w:rsidR="00511EBD" w:rsidRPr="00992CE9" w:rsidRDefault="00511EBD" w:rsidP="00370D8E">
            <w:pPr>
              <w:pStyle w:val="COMTabletext"/>
              <w:jc w:val="center"/>
            </w:pPr>
            <w:r>
              <w:t>0</w:t>
            </w:r>
          </w:p>
        </w:tc>
      </w:tr>
      <w:tr w:rsidR="00511EBD" w14:paraId="3E54C209" w14:textId="77777777">
        <w:tc>
          <w:tcPr>
            <w:tcW w:w="2977" w:type="dxa"/>
          </w:tcPr>
          <w:p w14:paraId="5BF226B0" w14:textId="77777777" w:rsidR="00511EBD" w:rsidRDefault="00511EBD" w:rsidP="00370D8E">
            <w:pPr>
              <w:pStyle w:val="COMTabletext"/>
            </w:pPr>
            <w:r>
              <w:t>Malignancy</w:t>
            </w:r>
          </w:p>
        </w:tc>
        <w:tc>
          <w:tcPr>
            <w:tcW w:w="1510" w:type="dxa"/>
            <w:vAlign w:val="center"/>
          </w:tcPr>
          <w:p w14:paraId="73C30CDE" w14:textId="77777777" w:rsidR="00511EBD" w:rsidRDefault="00511EBD" w:rsidP="00370D8E">
            <w:pPr>
              <w:pStyle w:val="COMTabletext"/>
              <w:jc w:val="center"/>
            </w:pPr>
            <w:r w:rsidRPr="00992CE9">
              <w:t>0</w:t>
            </w:r>
          </w:p>
        </w:tc>
        <w:tc>
          <w:tcPr>
            <w:tcW w:w="1510" w:type="dxa"/>
            <w:vAlign w:val="center"/>
          </w:tcPr>
          <w:p w14:paraId="1CD1A62C" w14:textId="77777777" w:rsidR="00511EBD" w:rsidRPr="00992CE9" w:rsidRDefault="00511EBD" w:rsidP="00370D8E">
            <w:pPr>
              <w:pStyle w:val="COMTabletext"/>
              <w:jc w:val="center"/>
            </w:pPr>
            <w:r>
              <w:t>0</w:t>
            </w:r>
          </w:p>
        </w:tc>
        <w:tc>
          <w:tcPr>
            <w:tcW w:w="1510" w:type="dxa"/>
            <w:vAlign w:val="center"/>
          </w:tcPr>
          <w:p w14:paraId="31E0B3D6" w14:textId="77777777" w:rsidR="00511EBD" w:rsidRDefault="00511EBD" w:rsidP="00370D8E">
            <w:pPr>
              <w:pStyle w:val="COMTabletext"/>
              <w:jc w:val="center"/>
            </w:pPr>
            <w:r w:rsidRPr="00992CE9">
              <w:t>0</w:t>
            </w:r>
          </w:p>
        </w:tc>
        <w:tc>
          <w:tcPr>
            <w:tcW w:w="1510" w:type="dxa"/>
            <w:vAlign w:val="center"/>
          </w:tcPr>
          <w:p w14:paraId="145FE805" w14:textId="77777777" w:rsidR="00511EBD" w:rsidRPr="00992CE9" w:rsidRDefault="00511EBD" w:rsidP="00370D8E">
            <w:pPr>
              <w:pStyle w:val="COMTabletext"/>
              <w:jc w:val="center"/>
            </w:pPr>
            <w:r>
              <w:t>0</w:t>
            </w:r>
          </w:p>
        </w:tc>
      </w:tr>
      <w:tr w:rsidR="00511EBD" w14:paraId="7188D078" w14:textId="77777777">
        <w:tc>
          <w:tcPr>
            <w:tcW w:w="2977" w:type="dxa"/>
          </w:tcPr>
          <w:p w14:paraId="54A4B247" w14:textId="77777777" w:rsidR="00511EBD" w:rsidRDefault="00511EBD" w:rsidP="00370D8E">
            <w:pPr>
              <w:pStyle w:val="COMTabletext"/>
            </w:pPr>
            <w:r>
              <w:t>Decreased platelets</w:t>
            </w:r>
          </w:p>
        </w:tc>
        <w:tc>
          <w:tcPr>
            <w:tcW w:w="1510" w:type="dxa"/>
            <w:vAlign w:val="center"/>
          </w:tcPr>
          <w:p w14:paraId="4D5833EB" w14:textId="77777777" w:rsidR="00511EBD" w:rsidRDefault="00511EBD" w:rsidP="00370D8E">
            <w:pPr>
              <w:pStyle w:val="COMTabletext"/>
              <w:jc w:val="center"/>
            </w:pPr>
            <w:r w:rsidRPr="00992CE9">
              <w:t>0</w:t>
            </w:r>
          </w:p>
        </w:tc>
        <w:tc>
          <w:tcPr>
            <w:tcW w:w="1510" w:type="dxa"/>
            <w:vAlign w:val="center"/>
          </w:tcPr>
          <w:p w14:paraId="4BCCAE50" w14:textId="77777777" w:rsidR="00511EBD" w:rsidRPr="00992CE9" w:rsidRDefault="00511EBD" w:rsidP="00370D8E">
            <w:pPr>
              <w:pStyle w:val="COMTabletext"/>
              <w:jc w:val="center"/>
            </w:pPr>
            <w:r>
              <w:t>0</w:t>
            </w:r>
          </w:p>
        </w:tc>
        <w:tc>
          <w:tcPr>
            <w:tcW w:w="1510" w:type="dxa"/>
            <w:vAlign w:val="center"/>
          </w:tcPr>
          <w:p w14:paraId="06481B24" w14:textId="77777777" w:rsidR="00511EBD" w:rsidRDefault="00511EBD" w:rsidP="00370D8E">
            <w:pPr>
              <w:pStyle w:val="COMTabletext"/>
              <w:jc w:val="center"/>
            </w:pPr>
            <w:r w:rsidRPr="00992CE9">
              <w:t>0</w:t>
            </w:r>
          </w:p>
        </w:tc>
        <w:tc>
          <w:tcPr>
            <w:tcW w:w="1510" w:type="dxa"/>
            <w:vAlign w:val="center"/>
          </w:tcPr>
          <w:p w14:paraId="1745F305" w14:textId="77777777" w:rsidR="00511EBD" w:rsidRPr="00992CE9" w:rsidRDefault="00511EBD" w:rsidP="00370D8E">
            <w:pPr>
              <w:pStyle w:val="COMTabletext"/>
              <w:jc w:val="center"/>
            </w:pPr>
            <w:r>
              <w:t>0</w:t>
            </w:r>
          </w:p>
        </w:tc>
      </w:tr>
    </w:tbl>
    <w:p w14:paraId="48C0414B" w14:textId="77777777" w:rsidR="00511EBD" w:rsidRDefault="00511EBD" w:rsidP="00370D8E">
      <w:pPr>
        <w:pStyle w:val="COMTablefooter"/>
      </w:pPr>
      <w:r>
        <w:t>Source: Table 2.42, p126; Table 2.46, p129 of the submission; Table 2-1, p37 of the CTD 2.7.4 summary of clinical safety v1.0 report; Table 14.3.1-1.10.3, p2008 of the APPEAR-C3G trial report</w:t>
      </w:r>
    </w:p>
    <w:p w14:paraId="1295BE34" w14:textId="77777777" w:rsidR="00511EBD" w:rsidRDefault="00511EBD" w:rsidP="00370D8E">
      <w:pPr>
        <w:pStyle w:val="COMTablefooter"/>
      </w:pPr>
      <w:r>
        <w:t>Abbreviations: AE, adverse event; pt-yrs, patient-years</w:t>
      </w:r>
    </w:p>
    <w:p w14:paraId="15AE9035" w14:textId="77777777" w:rsidR="00511EBD" w:rsidRPr="0097556E" w:rsidRDefault="00511EBD" w:rsidP="00370D8E">
      <w:pPr>
        <w:pStyle w:val="COMTablefooter"/>
      </w:pPr>
      <w:r>
        <w:rPr>
          <w:vertAlign w:val="superscript"/>
        </w:rPr>
        <w:t>a</w:t>
      </w:r>
      <w:r>
        <w:t xml:space="preserve"> Exposure-adjusted event rates were only available for specific analyses (e.g. adverse events of special interest) in the trial report </w:t>
      </w:r>
    </w:p>
    <w:p w14:paraId="70120C5B" w14:textId="747B76B1" w:rsidR="00C835BC" w:rsidRPr="00C835BC" w:rsidRDefault="00C3713D" w:rsidP="00370D8E">
      <w:pPr>
        <w:pStyle w:val="COMESnumberedpara"/>
        <w:rPr>
          <w:i/>
          <w:iCs/>
        </w:rPr>
      </w:pPr>
      <w:r>
        <w:t>Treatment with iptacopan was associated with a higher rate of adverse events</w:t>
      </w:r>
      <w:r w:rsidR="00C835BC" w:rsidRPr="00C835BC">
        <w:t xml:space="preserve"> compared to placebo. The most commonly occurring events (incidence </w:t>
      </w:r>
      <w:r w:rsidR="00364110">
        <w:t xml:space="preserve">&gt; </w:t>
      </w:r>
      <w:r w:rsidR="00C835BC" w:rsidRPr="00C835BC">
        <w:t xml:space="preserve">10% in either treatment arm) were COVID-19 (21.1% versus 16.7% in the iptacopan and placebo arms, respectively), blood creatine phosphokinase increased (13.2% versus 2.8%) and nasopharyngitis (10.5% versus 2.8%). </w:t>
      </w:r>
    </w:p>
    <w:p w14:paraId="4B467BAF" w14:textId="5CFF490E" w:rsidR="00C835BC" w:rsidRPr="00C835BC" w:rsidRDefault="00BC0009" w:rsidP="00370D8E">
      <w:pPr>
        <w:pStyle w:val="COMESnumberedpara"/>
        <w:rPr>
          <w:i/>
          <w:iCs/>
        </w:rPr>
      </w:pPr>
      <w:r>
        <w:t>Treatment with iptacopan was associated with an increased risk of s</w:t>
      </w:r>
      <w:r w:rsidR="00C835BC">
        <w:t xml:space="preserve">erious adverse events </w:t>
      </w:r>
      <w:r>
        <w:t>compared to</w:t>
      </w:r>
      <w:r w:rsidR="00C835BC">
        <w:t xml:space="preserve"> placebo</w:t>
      </w:r>
      <w:r>
        <w:t>.</w:t>
      </w:r>
      <w:r w:rsidR="00C835BC">
        <w:t xml:space="preserve"> Serious adverse events of blood culture positive (for </w:t>
      </w:r>
      <w:r w:rsidR="00C835BC" w:rsidRPr="00C835BC">
        <w:rPr>
          <w:i/>
          <w:iCs/>
        </w:rPr>
        <w:t>Streptococcus pneumoniae</w:t>
      </w:r>
      <w:r w:rsidR="00C835BC">
        <w:t xml:space="preserve">), chest discomfort and infected bite (organism not identified) were reported in 3 individual patients in the iptacopan arm, and acute kidney injury and ascites were reported in the same patient the placebo arm. There were no deaths reported </w:t>
      </w:r>
      <w:r w:rsidR="006A0DC1">
        <w:t>during the double-blind period.</w:t>
      </w:r>
      <w:r w:rsidR="00C835BC">
        <w:t xml:space="preserve"> </w:t>
      </w:r>
    </w:p>
    <w:p w14:paraId="1997306E" w14:textId="25F74719" w:rsidR="00C835BC" w:rsidRDefault="00B62F95" w:rsidP="00370D8E">
      <w:pPr>
        <w:pStyle w:val="COMESnumberedpara"/>
      </w:pPr>
      <w:r>
        <w:lastRenderedPageBreak/>
        <w:t>In terms of adverse events of special interest, t</w:t>
      </w:r>
      <w:r w:rsidR="00C835BC">
        <w:t>reatment with iptacopan was associated with a higher incidence of infections (serious/severe or caused by encapsulated bacteria) compared to placebo</w:t>
      </w:r>
      <w:r>
        <w:t>.</w:t>
      </w:r>
    </w:p>
    <w:p w14:paraId="5422217D" w14:textId="35F2DA77" w:rsidR="00C835BC" w:rsidRDefault="00C835BC" w:rsidP="00370D8E">
      <w:pPr>
        <w:pStyle w:val="COMESnumberedpara"/>
      </w:pPr>
      <w:r w:rsidRPr="00C835BC">
        <w:t>The frequency of any adverse event for patients on iptacopan for up to 12 months</w:t>
      </w:r>
      <w:r>
        <w:t xml:space="preserve"> (</w:t>
      </w:r>
      <w:r w:rsidR="002A77F5">
        <w:t>6 months double-blind and 6-months open-label extension</w:t>
      </w:r>
      <w:r w:rsidR="00A73902">
        <w:t xml:space="preserve">) was </w:t>
      </w:r>
      <w:proofErr w:type="gramStart"/>
      <w:r w:rsidR="00A73902">
        <w:t>similar to</w:t>
      </w:r>
      <w:proofErr w:type="gramEnd"/>
      <w:r w:rsidR="00A73902">
        <w:t xml:space="preserve"> that </w:t>
      </w:r>
      <w:r w:rsidR="00D959AC">
        <w:t xml:space="preserve">reported during the double-blind period. </w:t>
      </w:r>
    </w:p>
    <w:p w14:paraId="6B81F021" w14:textId="18A6CE0A" w:rsidR="00D959AC" w:rsidRDefault="00E121AF" w:rsidP="00370D8E">
      <w:pPr>
        <w:pStyle w:val="COMESnumberedpara"/>
      </w:pPr>
      <w:r>
        <w:t>During the overall 12-month trial period</w:t>
      </w:r>
      <w:r w:rsidR="00D959AC" w:rsidRPr="00D959AC">
        <w:t xml:space="preserve">, 6 participants (8.1%) who received iptacopan experienced serious adverse events: 4 patients who were on 12 months of iptacopan and 2 patients who switched from placebo to iptacopan in the open-label period. Additional serious adverse events reported in patients on 12 months of iptacopan were acute left ventricular failure, pneumococcal sepsis, pneumococcal pneumonia and streptococcal bacteraemia (evolved to septic shock) in the same patient; and retroperitoneal haematoma in one patient. Drug abuse (methamphetamine) and pneumonia (organism not identified) in one patient each were reported in patients who switched from placebo to iptacopan in the open-label period. There were no deaths </w:t>
      </w:r>
      <w:r w:rsidR="00904A7E">
        <w:t>throughout the trial period.</w:t>
      </w:r>
      <w:r w:rsidR="00994420">
        <w:t xml:space="preserve"> </w:t>
      </w:r>
    </w:p>
    <w:p w14:paraId="3090FEF2" w14:textId="6D04E115" w:rsidR="00CB63AB" w:rsidRPr="00565CF0" w:rsidRDefault="00CB63AB" w:rsidP="00370D8E">
      <w:pPr>
        <w:pStyle w:val="COMESnumberedpara"/>
      </w:pPr>
      <w:r w:rsidRPr="00565CF0">
        <w:t>There are no comparative safety data for iptacopan in post-transplant patients with C3G recurrence. Data from non-randomised studies suggest treatment with iptacopan is associated with higher rates of serious adverse events in these patients compared to those with native kidneys.</w:t>
      </w:r>
    </w:p>
    <w:p w14:paraId="040BCCAC" w14:textId="206AA00C" w:rsidR="00D959AC" w:rsidRDefault="00D959AC" w:rsidP="00370D8E">
      <w:pPr>
        <w:pStyle w:val="COMESnumberedpara"/>
      </w:pPr>
      <w:r w:rsidRPr="00D959AC">
        <w:t xml:space="preserve">The submission presented </w:t>
      </w:r>
      <w:r w:rsidR="006E7E97">
        <w:t>additional</w:t>
      </w:r>
      <w:r w:rsidRPr="00D959AC">
        <w:t xml:space="preserve"> safety data from the X2202 phase 2 study</w:t>
      </w:r>
      <w:r w:rsidR="00D67D0C">
        <w:t>, the</w:t>
      </w:r>
      <w:r w:rsidRPr="00D959AC">
        <w:t xml:space="preserve"> B12001B extension study</w:t>
      </w:r>
      <w:r w:rsidR="00D67D0C">
        <w:t xml:space="preserve"> and the Periodic Safety Update Report</w:t>
      </w:r>
      <w:r w:rsidR="00CB63AB">
        <w:t xml:space="preserve"> (PSUR)</w:t>
      </w:r>
      <w:r w:rsidR="00D67D0C">
        <w:t xml:space="preserve"> for the 5 June 2024 to 4 December 2024 reporting period</w:t>
      </w:r>
      <w:r>
        <w:t>.</w:t>
      </w:r>
      <w:r w:rsidR="00CB63AB">
        <w:t xml:space="preserve"> </w:t>
      </w:r>
    </w:p>
    <w:p w14:paraId="6AB862F5" w14:textId="529D0E7D" w:rsidR="00CB63AB" w:rsidRDefault="00CB63AB" w:rsidP="00370D8E">
      <w:pPr>
        <w:pStyle w:val="COMESnumberedpara"/>
      </w:pPr>
      <w:r>
        <w:t xml:space="preserve">No new safety signals were identified during the reporting period. Infections caused by encapsulated bacteria (including </w:t>
      </w:r>
      <w:r w:rsidRPr="00112DE3">
        <w:rPr>
          <w:i/>
          <w:iCs/>
        </w:rPr>
        <w:t>Streptococcus pneumoniae</w:t>
      </w:r>
      <w:r w:rsidRPr="000A123D">
        <w:t xml:space="preserve">, </w:t>
      </w:r>
      <w:r w:rsidRPr="00112DE3">
        <w:rPr>
          <w:i/>
          <w:iCs/>
        </w:rPr>
        <w:t>Neisseria meningitidis</w:t>
      </w:r>
      <w:r w:rsidRPr="000A123D">
        <w:t xml:space="preserve"> and </w:t>
      </w:r>
      <w:r w:rsidRPr="00112DE3">
        <w:rPr>
          <w:i/>
          <w:iCs/>
        </w:rPr>
        <w:t xml:space="preserve">Haemophilus influenzae type </w:t>
      </w:r>
      <w:r w:rsidR="00112DE3">
        <w:rPr>
          <w:i/>
          <w:iCs/>
        </w:rPr>
        <w:t>b</w:t>
      </w:r>
      <w:r w:rsidRPr="000A123D">
        <w:t>)</w:t>
      </w:r>
      <w:r>
        <w:t xml:space="preserve"> is an important identified risk. Important potential risks include serious haemolysis following discontinuation of iptacopan (specific to patients with PNH) and malignancies. Missing information includes use in pregnancy and long-term safety (exposure </w:t>
      </w:r>
      <w:r w:rsidR="00364110">
        <w:t xml:space="preserve">&gt; </w:t>
      </w:r>
      <w:r>
        <w:t>2 years).</w:t>
      </w:r>
      <w:r w:rsidR="006B75F2">
        <w:t xml:space="preserve"> </w:t>
      </w:r>
    </w:p>
    <w:p w14:paraId="30559C07" w14:textId="67E36CF7" w:rsidR="00CB63AB" w:rsidRPr="00CB63AB" w:rsidRDefault="00CB63AB" w:rsidP="00370D8E">
      <w:pPr>
        <w:pStyle w:val="COMESnumberedpara"/>
      </w:pPr>
      <w:r w:rsidRPr="00CB63AB">
        <w:t>The PSUR stated that the safety and efficacy of iptacopan in patients aged less than 18 years have not been established. A paediatric clinical development program is in place and there is one ongoing clinical trial enrolling paediatric patients with C3G (APPEAR-C3G).</w:t>
      </w:r>
      <w:r w:rsidR="006B75F2">
        <w:t xml:space="preserve"> </w:t>
      </w:r>
    </w:p>
    <w:p w14:paraId="04908C7F" w14:textId="415B9B7D" w:rsidR="007F1017" w:rsidRPr="0098262F" w:rsidRDefault="007F1017" w:rsidP="00370D8E">
      <w:pPr>
        <w:pStyle w:val="COMESSubsectionheading"/>
      </w:pPr>
      <w:bookmarkStart w:id="34" w:name="_Toc22897643"/>
      <w:bookmarkStart w:id="35" w:name="_Toc209000659"/>
      <w:r w:rsidRPr="0098262F">
        <w:t>Benefits/harms</w:t>
      </w:r>
      <w:bookmarkEnd w:id="34"/>
      <w:bookmarkEnd w:id="35"/>
    </w:p>
    <w:p w14:paraId="56A22B9E" w14:textId="681D2CC8" w:rsidR="002441D2" w:rsidRPr="0098262F" w:rsidRDefault="002441D2" w:rsidP="00370D8E">
      <w:pPr>
        <w:pStyle w:val="COMESnumberedpara"/>
      </w:pPr>
      <w:proofErr w:type="gramStart"/>
      <w:r w:rsidRPr="0098262F">
        <w:t>On the basis of</w:t>
      </w:r>
      <w:proofErr w:type="gramEnd"/>
      <w:r w:rsidRPr="0098262F">
        <w:t xml:space="preserve"> direct</w:t>
      </w:r>
      <w:r w:rsidR="00A905E3">
        <w:t xml:space="preserve"> </w:t>
      </w:r>
      <w:r w:rsidRPr="0098262F">
        <w:t xml:space="preserve">evidence presented </w:t>
      </w:r>
      <w:r w:rsidR="00A905E3">
        <w:t>in</w:t>
      </w:r>
      <w:r w:rsidRPr="0098262F">
        <w:t xml:space="preserve"> the submission,</w:t>
      </w:r>
      <w:r w:rsidR="00D40918">
        <w:t xml:space="preserve"> in patients with </w:t>
      </w:r>
      <w:r w:rsidR="003E3A71">
        <w:t xml:space="preserve">C3G who have </w:t>
      </w:r>
      <w:r w:rsidR="00D40918">
        <w:t>native kidneys,</w:t>
      </w:r>
      <w:r w:rsidRPr="0098262F">
        <w:t xml:space="preserve"> for every 100 patients treated with </w:t>
      </w:r>
      <w:r w:rsidR="00A905E3">
        <w:t xml:space="preserve">iptacopan </w:t>
      </w:r>
      <w:r w:rsidRPr="0098262F">
        <w:t xml:space="preserve">in comparison </w:t>
      </w:r>
      <w:r w:rsidR="006D68FB" w:rsidRPr="0098262F">
        <w:t>with</w:t>
      </w:r>
      <w:r w:rsidRPr="0098262F">
        <w:t xml:space="preserve"> </w:t>
      </w:r>
      <w:r w:rsidR="00A905E3">
        <w:t>placebo</w:t>
      </w:r>
      <w:r w:rsidRPr="0098262F">
        <w:t>:</w:t>
      </w:r>
    </w:p>
    <w:p w14:paraId="3DC754A2" w14:textId="2458867C" w:rsidR="00184B0E" w:rsidRDefault="00112DE3" w:rsidP="00370D8E">
      <w:pPr>
        <w:pStyle w:val="COMESbulletlist"/>
        <w:spacing w:after="0"/>
        <w:jc w:val="both"/>
      </w:pPr>
      <w:r>
        <w:t>A</w:t>
      </w:r>
      <w:r w:rsidR="002441D2" w:rsidRPr="0098262F">
        <w:t xml:space="preserve">pproximately </w:t>
      </w:r>
      <w:r w:rsidR="004876C3">
        <w:t>24</w:t>
      </w:r>
      <w:r w:rsidR="002441D2" w:rsidRPr="0098262F">
        <w:t xml:space="preserve"> </w:t>
      </w:r>
      <w:r w:rsidR="00C41768" w:rsidRPr="0098262F">
        <w:t>additional</w:t>
      </w:r>
      <w:r w:rsidR="002441D2" w:rsidRPr="0098262F">
        <w:t xml:space="preserve"> patients</w:t>
      </w:r>
      <w:r w:rsidR="004876C3">
        <w:t xml:space="preserve"> would have </w:t>
      </w:r>
      <w:r w:rsidR="0086765B">
        <w:t>at least 50% reduction in proteinuria</w:t>
      </w:r>
      <w:r w:rsidR="008D3967">
        <w:t xml:space="preserve"> </w:t>
      </w:r>
      <w:r w:rsidR="002934B7">
        <w:t xml:space="preserve">(a marker of kidney injury) </w:t>
      </w:r>
      <w:r w:rsidR="008D3967">
        <w:t>at 6 months.</w:t>
      </w:r>
    </w:p>
    <w:p w14:paraId="4E806960" w14:textId="1D59809E" w:rsidR="0086765B" w:rsidRDefault="003E3A71" w:rsidP="00370D8E">
      <w:pPr>
        <w:pStyle w:val="COMESbulletlist"/>
        <w:spacing w:after="0"/>
        <w:jc w:val="both"/>
      </w:pPr>
      <w:r>
        <w:t>There would be n</w:t>
      </w:r>
      <w:r w:rsidR="008D3967">
        <w:t xml:space="preserve">o apparent difference in renal function based on eGFR </w:t>
      </w:r>
      <w:r w:rsidR="009C6A1A">
        <w:t>at 6 months.</w:t>
      </w:r>
    </w:p>
    <w:p w14:paraId="11FC06E8" w14:textId="77870EAA" w:rsidR="009C6A1A" w:rsidRDefault="003E3A71" w:rsidP="00370D8E">
      <w:pPr>
        <w:pStyle w:val="COMESbulletlist"/>
        <w:spacing w:after="0"/>
        <w:jc w:val="both"/>
      </w:pPr>
      <w:r>
        <w:lastRenderedPageBreak/>
        <w:t xml:space="preserve">There </w:t>
      </w:r>
      <w:r w:rsidR="00CB1B08">
        <w:t>would be n</w:t>
      </w:r>
      <w:r w:rsidR="00156B57">
        <w:t>o apparent difference in quality of life measures at 6 months.</w:t>
      </w:r>
    </w:p>
    <w:p w14:paraId="024B087B" w14:textId="7F64B368" w:rsidR="00156B57" w:rsidRPr="0098262F" w:rsidRDefault="00CB1B08" w:rsidP="00370D8E">
      <w:pPr>
        <w:pStyle w:val="COMESbulletlist"/>
        <w:spacing w:after="0"/>
        <w:jc w:val="both"/>
      </w:pPr>
      <w:r>
        <w:t xml:space="preserve">There would be </w:t>
      </w:r>
      <w:r w:rsidR="00953D83">
        <w:t xml:space="preserve">approximately </w:t>
      </w:r>
      <w:r w:rsidR="003A6012">
        <w:t>5</w:t>
      </w:r>
      <w:r w:rsidR="00A67E2A">
        <w:t xml:space="preserve"> </w:t>
      </w:r>
      <w:r w:rsidR="00034E2B">
        <w:t xml:space="preserve">additional </w:t>
      </w:r>
      <w:r w:rsidR="00A67E2A">
        <w:t xml:space="preserve">patients with </w:t>
      </w:r>
      <w:r w:rsidR="00034E2B">
        <w:t>serious or severe infe</w:t>
      </w:r>
      <w:r w:rsidR="00380E9B">
        <w:t>ctions</w:t>
      </w:r>
      <w:r w:rsidR="00A67E2A">
        <w:t xml:space="preserve"> at 6 months.</w:t>
      </w:r>
    </w:p>
    <w:p w14:paraId="3B653B96" w14:textId="3458B9BC" w:rsidR="00FC1884" w:rsidRPr="00565CF0" w:rsidRDefault="00E91981" w:rsidP="00370D8E">
      <w:pPr>
        <w:pStyle w:val="COMESnumberedpara"/>
      </w:pPr>
      <w:r w:rsidRPr="00565CF0">
        <w:t xml:space="preserve">A benefits/harms comparison was not presented for post-transplant patients with C3G recurrence due to a lack of comparative efficacy and safety data. </w:t>
      </w:r>
    </w:p>
    <w:p w14:paraId="7A1772B6" w14:textId="23BB3145" w:rsidR="00B60939" w:rsidRPr="0098262F" w:rsidRDefault="00B60939" w:rsidP="00370D8E">
      <w:pPr>
        <w:pStyle w:val="COMESSubsectionheading"/>
      </w:pPr>
      <w:bookmarkStart w:id="36" w:name="_Toc22897644"/>
      <w:bookmarkStart w:id="37" w:name="_Toc209000660"/>
      <w:r w:rsidRPr="0098262F">
        <w:t>Clinical claim</w:t>
      </w:r>
      <w:bookmarkEnd w:id="36"/>
      <w:bookmarkEnd w:id="37"/>
    </w:p>
    <w:p w14:paraId="0298E2D1" w14:textId="3BAD2593" w:rsidR="00E73E8E" w:rsidRPr="00565CF0" w:rsidRDefault="00E73E8E" w:rsidP="00370D8E">
      <w:pPr>
        <w:pStyle w:val="COMESnumberedpara"/>
      </w:pPr>
      <w:r w:rsidRPr="00E73E8E">
        <w:t>The submission described iptacopan as superior in terms of efficacy compared to standard of care in patients with C3G who have native kidneys</w:t>
      </w:r>
      <w:r w:rsidRPr="008E77B3">
        <w:t>. Th</w:t>
      </w:r>
      <w:r w:rsidR="00D272AD" w:rsidRPr="008E77B3">
        <w:t>e evaluation considered</w:t>
      </w:r>
      <w:r w:rsidR="00D272AD">
        <w:t xml:space="preserve"> th</w:t>
      </w:r>
      <w:r w:rsidRPr="00565CF0">
        <w:t xml:space="preserve">is claim may be reasonable in terms of short-term reductions in proteinuria but was inadequately supported in terms of changes in eGFR and longer-term reductions in the risk of progression to end-stage kidney disease. </w:t>
      </w:r>
      <w:r w:rsidR="000843A0" w:rsidRPr="00A81BBC">
        <w:t xml:space="preserve">The ESC considered that it was plausible that </w:t>
      </w:r>
      <w:r w:rsidR="0082743F" w:rsidRPr="00A81BBC">
        <w:t>the improvement in proteinuria</w:t>
      </w:r>
      <w:r w:rsidR="000843A0" w:rsidRPr="00A81BBC">
        <w:t xml:space="preserve"> should result in improved kidney function and reduced risk of end-stage kidney </w:t>
      </w:r>
      <w:r w:rsidR="00CA5E6E" w:rsidRPr="00A81BBC">
        <w:t>disease,</w:t>
      </w:r>
      <w:r w:rsidR="000843A0" w:rsidRPr="00A81BBC">
        <w:t xml:space="preserve"> but the magnitude of the effect</w:t>
      </w:r>
      <w:r w:rsidR="0082743F" w:rsidRPr="00A81BBC">
        <w:t xml:space="preserve"> is</w:t>
      </w:r>
      <w:r w:rsidR="000843A0" w:rsidRPr="00A81BBC">
        <w:t xml:space="preserve"> unknown.</w:t>
      </w:r>
    </w:p>
    <w:p w14:paraId="64A7A703" w14:textId="70623BCF" w:rsidR="00E73E8E" w:rsidRPr="00A81BBC" w:rsidRDefault="00E73E8E" w:rsidP="00370D8E">
      <w:pPr>
        <w:pStyle w:val="COMESnumberedpara"/>
      </w:pPr>
      <w:r w:rsidRPr="00A17A85">
        <w:t>The submission described iptacopan as inferior in terms of safety compared to standard of care in patients with C3G who have native kidneys</w:t>
      </w:r>
      <w:r w:rsidRPr="00A81BBC">
        <w:t>. Th</w:t>
      </w:r>
      <w:r w:rsidR="000A6465" w:rsidRPr="00A81BBC">
        <w:t>e ESC agreed with the evaluation that th</w:t>
      </w:r>
      <w:r w:rsidRPr="00A81BBC">
        <w:t>is claim was reasonable.</w:t>
      </w:r>
      <w:r w:rsidR="006B75F2">
        <w:t xml:space="preserve"> </w:t>
      </w:r>
    </w:p>
    <w:p w14:paraId="66AE15D7" w14:textId="4B229E2E" w:rsidR="00E73E8E" w:rsidRPr="00565CF0" w:rsidRDefault="00E73E8E" w:rsidP="00370D8E">
      <w:pPr>
        <w:pStyle w:val="COMESnumberedpara"/>
      </w:pPr>
      <w:r w:rsidRPr="00E73E8E">
        <w:t>The submission described iptacopan as superior in terms of efficacy but inferior in terms of safety compared to standard of care in patients with C3G disease recurrence following kidney transplantation.</w:t>
      </w:r>
      <w:r w:rsidRPr="00E73E8E">
        <w:rPr>
          <w:i/>
          <w:iCs/>
        </w:rPr>
        <w:t xml:space="preserve"> </w:t>
      </w:r>
      <w:r w:rsidRPr="00A81BBC">
        <w:t>Th</w:t>
      </w:r>
      <w:r w:rsidR="005C2A9F" w:rsidRPr="00A81BBC">
        <w:t>e ESC agreed with the evaluation that</w:t>
      </w:r>
      <w:r w:rsidR="005C2A9F">
        <w:t xml:space="preserve"> th</w:t>
      </w:r>
      <w:r w:rsidRPr="00565CF0">
        <w:t>is claim was inadequately supported as there are no comparative data in this group of patients.</w:t>
      </w:r>
      <w:r w:rsidR="006B75F2">
        <w:t xml:space="preserve"> </w:t>
      </w:r>
    </w:p>
    <w:p w14:paraId="7F613CD1" w14:textId="5E4009EF" w:rsidR="005F7588" w:rsidRPr="00565CF0" w:rsidRDefault="00E73E8E" w:rsidP="00370D8E">
      <w:pPr>
        <w:pStyle w:val="COMESnumberedpara"/>
      </w:pPr>
      <w:r w:rsidRPr="00565CF0">
        <w:t>The following issues should be considered</w:t>
      </w:r>
      <w:r w:rsidR="00A17A85" w:rsidRPr="00565CF0">
        <w:t xml:space="preserve"> regarding the submission claims</w:t>
      </w:r>
      <w:r w:rsidRPr="00565CF0">
        <w:t xml:space="preserve">: </w:t>
      </w:r>
    </w:p>
    <w:p w14:paraId="48C76415" w14:textId="453957F2" w:rsidR="00E73E8E" w:rsidRPr="00565CF0" w:rsidRDefault="005A4940" w:rsidP="00370D8E">
      <w:pPr>
        <w:pStyle w:val="COMESbulletlist"/>
        <w:jc w:val="both"/>
        <w:rPr>
          <w:rFonts w:eastAsia="Calibri"/>
        </w:rPr>
      </w:pPr>
      <w:r>
        <w:rPr>
          <w:rFonts w:eastAsia="Calibri"/>
        </w:rPr>
        <w:t>T</w:t>
      </w:r>
      <w:r w:rsidR="00E73E8E" w:rsidRPr="00565CF0">
        <w:rPr>
          <w:rFonts w:eastAsia="Calibri"/>
        </w:rPr>
        <w:t xml:space="preserve">he clinical claim of superiority </w:t>
      </w:r>
      <w:r>
        <w:rPr>
          <w:rFonts w:eastAsia="Calibri"/>
        </w:rPr>
        <w:t>is</w:t>
      </w:r>
      <w:r w:rsidR="00E73E8E" w:rsidRPr="00565CF0">
        <w:rPr>
          <w:rFonts w:eastAsia="Calibri"/>
        </w:rPr>
        <w:t xml:space="preserve"> based on short-term biomarkers of proteinuria reduction but no apparent difference in terms of change in eGFR </w:t>
      </w:r>
      <w:r w:rsidR="00EA791E" w:rsidRPr="00565CF0">
        <w:rPr>
          <w:rFonts w:eastAsia="Calibri"/>
        </w:rPr>
        <w:t xml:space="preserve">compared with placebo </w:t>
      </w:r>
      <w:r w:rsidR="00E73E8E" w:rsidRPr="00565CF0">
        <w:rPr>
          <w:rFonts w:eastAsia="Calibri"/>
        </w:rPr>
        <w:t xml:space="preserve">in the key trial. The pooled eGFR slope analysis should not be considered robust given heterogeneity between the included studies in terms of study design, duration and populations, methodological limitations (pooling of data from non-parallel observation periods) as well as potential confounding with substantial differences in terms of use of supportive therapies during the pre- and post-randomisation periods of the analysis. </w:t>
      </w:r>
    </w:p>
    <w:p w14:paraId="05FB4AE8" w14:textId="4DEDA7B4" w:rsidR="002E1422" w:rsidRPr="00A81BBC" w:rsidRDefault="002E1422" w:rsidP="00370D8E">
      <w:pPr>
        <w:pStyle w:val="COMESbulletlist"/>
        <w:jc w:val="both"/>
      </w:pPr>
      <w:r w:rsidRPr="00565CF0">
        <w:t>There are no data supporting long-term outcomes with iptacopan treatment such as delay or avoidance of end-stage kidney disease (and treatment modalities such as dialysis and transplant) and associated survival benefits. There is</w:t>
      </w:r>
      <w:r w:rsidR="00112DE3" w:rsidRPr="00565CF0">
        <w:t xml:space="preserve"> a </w:t>
      </w:r>
      <w:r w:rsidRPr="00565CF0">
        <w:t>biological rationale and epidemiological evidence supporting proteinuria and eGFR levels as prognostic variables for kidney disease progression.</w:t>
      </w:r>
      <w:r w:rsidR="000961AB">
        <w:t xml:space="preserve"> </w:t>
      </w:r>
      <w:r w:rsidR="000961AB" w:rsidRPr="00A81BBC">
        <w:t>However, the magnitude by which proteinuria reduction or eGFR stabilisation mitigates progression to ESKD and its associated s</w:t>
      </w:r>
      <w:r w:rsidR="00896924" w:rsidRPr="00A81BBC">
        <w:t>equelae remains uncertain</w:t>
      </w:r>
      <w:r w:rsidRPr="00A81BBC">
        <w:t>.</w:t>
      </w:r>
    </w:p>
    <w:p w14:paraId="147556D6" w14:textId="367E27CE" w:rsidR="002E1422" w:rsidRPr="00565CF0" w:rsidRDefault="002E1422" w:rsidP="00370D8E">
      <w:pPr>
        <w:pStyle w:val="COMESbulletlist"/>
        <w:jc w:val="both"/>
      </w:pPr>
      <w:r w:rsidRPr="00565CF0">
        <w:t xml:space="preserve">The applicability of the APPEAR-C3G trial to the Australian setting is uncertain given the lack of Australian data on patients with C3G. There were differences in </w:t>
      </w:r>
      <w:r w:rsidRPr="00565CF0">
        <w:lastRenderedPageBreak/>
        <w:t>terms of demographics and markers of disease severity when comparing the trial population with data from UK (</w:t>
      </w:r>
      <w:proofErr w:type="spellStart"/>
      <w:r w:rsidRPr="00565CF0">
        <w:t>RaDaR</w:t>
      </w:r>
      <w:proofErr w:type="spellEnd"/>
      <w:r w:rsidRPr="00565CF0">
        <w:t>) and Spanish (GLOSEN) disease registries. There were limited subgroup data available, and it was unclear whether there are any potential treatment effect modifiers in terms of baseline characteristics</w:t>
      </w:r>
      <w:r w:rsidRPr="00A81BBC">
        <w:t>.</w:t>
      </w:r>
      <w:r w:rsidR="002738A3" w:rsidRPr="00A81BBC">
        <w:t xml:space="preserve"> The ESC noted that there was a high level of variation in characteristics across the three cohorts (APPEAR-C3G, </w:t>
      </w:r>
      <w:proofErr w:type="spellStart"/>
      <w:r w:rsidR="002738A3" w:rsidRPr="00A81BBC">
        <w:t>RaDaR</w:t>
      </w:r>
      <w:proofErr w:type="spellEnd"/>
      <w:r w:rsidR="002738A3" w:rsidRPr="00A81BBC">
        <w:t xml:space="preserve"> and GLOSEN) and considered the APPEAR-C3G population is likely to be reasonably representative of the Australian PBS population</w:t>
      </w:r>
      <w:r w:rsidR="00D43BAA" w:rsidRPr="00A81BBC">
        <w:t>.</w:t>
      </w:r>
    </w:p>
    <w:p w14:paraId="567EC712" w14:textId="2E826DEA" w:rsidR="00E73E8E" w:rsidRPr="00571542" w:rsidRDefault="002E1422" w:rsidP="00370D8E">
      <w:pPr>
        <w:pStyle w:val="COMESbulletlist"/>
        <w:jc w:val="both"/>
      </w:pPr>
      <w:r w:rsidRPr="00565CF0">
        <w:t xml:space="preserve">The risk-benefit profile of iptacopan in post-transplant patients with disease recurrence is uncertain, with no comparative efficacy or safety data in this group </w:t>
      </w:r>
      <w:r w:rsidRPr="00571542">
        <w:t xml:space="preserve">of patients. </w:t>
      </w:r>
    </w:p>
    <w:p w14:paraId="3DFFE5C9" w14:textId="26D2BE5B" w:rsidR="001C2A51" w:rsidRPr="00571542" w:rsidRDefault="001C2A51" w:rsidP="00370D8E">
      <w:pPr>
        <w:pStyle w:val="COMESnumberedpara"/>
        <w:rPr>
          <w:snapToGrid w:val="0"/>
        </w:rPr>
      </w:pPr>
      <w:bookmarkStart w:id="38" w:name="_Hlk76376200"/>
      <w:r w:rsidRPr="00571542">
        <w:rPr>
          <w:iCs/>
          <w:snapToGrid w:val="0"/>
        </w:rPr>
        <w:t>The</w:t>
      </w:r>
      <w:r w:rsidRPr="00571542">
        <w:rPr>
          <w:snapToGrid w:val="0"/>
        </w:rPr>
        <w:t xml:space="preserve"> PBAC considered that the claim of superior comparative effectiveness was not adequately supported by the data</w:t>
      </w:r>
      <w:r w:rsidR="00777D33" w:rsidRPr="00571542">
        <w:rPr>
          <w:snapToGrid w:val="0"/>
        </w:rPr>
        <w:t xml:space="preserve"> as it was based on short-term bio</w:t>
      </w:r>
      <w:r w:rsidR="00D85CC1" w:rsidRPr="00571542">
        <w:rPr>
          <w:snapToGrid w:val="0"/>
        </w:rPr>
        <w:t xml:space="preserve">markers </w:t>
      </w:r>
      <w:r w:rsidR="00C27407" w:rsidRPr="00571542">
        <w:rPr>
          <w:snapToGrid w:val="0"/>
        </w:rPr>
        <w:t>(proteinuria reduction), with no demonstrated difference in terms of change in eG</w:t>
      </w:r>
      <w:r w:rsidR="00571542" w:rsidRPr="00571542">
        <w:rPr>
          <w:snapToGrid w:val="0"/>
        </w:rPr>
        <w:t>FR</w:t>
      </w:r>
      <w:r w:rsidR="00C27407" w:rsidRPr="00571542">
        <w:rPr>
          <w:snapToGrid w:val="0"/>
        </w:rPr>
        <w:t xml:space="preserve"> compared to placebo</w:t>
      </w:r>
      <w:r w:rsidRPr="00571542">
        <w:rPr>
          <w:snapToGrid w:val="0"/>
        </w:rPr>
        <w:t>.</w:t>
      </w:r>
    </w:p>
    <w:p w14:paraId="1D1F2C42" w14:textId="368A8FA0" w:rsidR="001C2A51" w:rsidRPr="00571542" w:rsidRDefault="001C2A51" w:rsidP="00370D8E">
      <w:pPr>
        <w:pStyle w:val="COMESnumberedpara"/>
        <w:rPr>
          <w:snapToGrid w:val="0"/>
        </w:rPr>
      </w:pPr>
      <w:r w:rsidRPr="00571542">
        <w:rPr>
          <w:snapToGrid w:val="0"/>
        </w:rPr>
        <w:t>The PBAC considered that the claim of inferior comparative safety was reasonable.</w:t>
      </w:r>
    </w:p>
    <w:bookmarkEnd w:id="38"/>
    <w:p w14:paraId="0D03E688" w14:textId="77777777" w:rsidR="001C2A51" w:rsidRPr="00565CF0" w:rsidRDefault="001C2A51" w:rsidP="00370D8E">
      <w:pPr>
        <w:pStyle w:val="COMESbulletlist"/>
        <w:numPr>
          <w:ilvl w:val="0"/>
          <w:numId w:val="0"/>
        </w:numPr>
        <w:ind w:left="709"/>
        <w:jc w:val="both"/>
      </w:pPr>
    </w:p>
    <w:p w14:paraId="74A1172E" w14:textId="128C170E" w:rsidR="00B60939" w:rsidRPr="0098262F" w:rsidRDefault="00B60939" w:rsidP="00370D8E">
      <w:pPr>
        <w:pStyle w:val="COMESSubsectionheading"/>
      </w:pPr>
      <w:bookmarkStart w:id="39" w:name="_Toc22897645"/>
      <w:bookmarkStart w:id="40" w:name="_Toc209000661"/>
      <w:r w:rsidRPr="0098262F">
        <w:t>Economic analysis</w:t>
      </w:r>
      <w:bookmarkEnd w:id="39"/>
      <w:bookmarkEnd w:id="40"/>
      <w:r w:rsidR="00491B3A" w:rsidRPr="0098262F">
        <w:t xml:space="preserve"> </w:t>
      </w:r>
    </w:p>
    <w:p w14:paraId="226527D5" w14:textId="491D3A9E" w:rsidR="007709AA" w:rsidRPr="000A64A2" w:rsidRDefault="007709AA" w:rsidP="00370D8E">
      <w:pPr>
        <w:pStyle w:val="COMESnumberedpara"/>
      </w:pPr>
      <w:r w:rsidRPr="000A64A2">
        <w:t xml:space="preserve">The submission presented a stepped economic evaluation of iptacopan compared to placebo for the treatment of C3G in adult patients with native kidneys. The economic evaluation was based on the APPEAR-C3G trial, X2202 </w:t>
      </w:r>
      <w:r w:rsidR="009157AF">
        <w:t>p</w:t>
      </w:r>
      <w:r w:rsidRPr="000A64A2">
        <w:t>hase 2 study and the B12001B extension study</w:t>
      </w:r>
      <w:r>
        <w:t>,</w:t>
      </w:r>
      <w:r w:rsidRPr="000A64A2">
        <w:t xml:space="preserve"> with additional modelled data. The economic evaluation was presented as a cost-effectiveness/cost-utility analysis.</w:t>
      </w:r>
    </w:p>
    <w:p w14:paraId="1DB5EAE7" w14:textId="77777777" w:rsidR="007709AA" w:rsidRDefault="007709AA" w:rsidP="00370D8E">
      <w:pPr>
        <w:pStyle w:val="COMESnumberedpara"/>
      </w:pPr>
      <w:r w:rsidRPr="000A64A2">
        <w:t>The submission also presented a scenario analysis assessing the cost effectiveness of iptacopan compared to placebo in post-transplant patients who experience disease recurrence.</w:t>
      </w:r>
    </w:p>
    <w:p w14:paraId="67014F32" w14:textId="513B0B2D" w:rsidR="007709AA" w:rsidRPr="008D0F9A" w:rsidRDefault="007709AA" w:rsidP="00370D8E">
      <w:pPr>
        <w:pStyle w:val="COMESnumberedpara"/>
      </w:pPr>
      <w:r w:rsidRPr="000A64A2">
        <w:t xml:space="preserve">Key components of the economic evaluation are summarised in </w:t>
      </w:r>
      <w:r w:rsidR="00580C93">
        <w:fldChar w:fldCharType="begin"/>
      </w:r>
      <w:r w:rsidR="00580C93">
        <w:instrText xml:space="preserve"> REF _Ref208237922 \h </w:instrText>
      </w:r>
      <w:r w:rsidR="00580C93">
        <w:fldChar w:fldCharType="separate"/>
      </w:r>
      <w:r w:rsidR="00CC1313">
        <w:t xml:space="preserve">Table </w:t>
      </w:r>
      <w:r w:rsidR="00CC1313">
        <w:rPr>
          <w:noProof/>
        </w:rPr>
        <w:t>8</w:t>
      </w:r>
      <w:r w:rsidR="00580C93">
        <w:fldChar w:fldCharType="end"/>
      </w:r>
      <w:r>
        <w:t>.</w:t>
      </w:r>
    </w:p>
    <w:p w14:paraId="3848229B" w14:textId="46C9CA79" w:rsidR="007709AA" w:rsidRPr="006117F6" w:rsidRDefault="00580C93" w:rsidP="00370D8E">
      <w:pPr>
        <w:pStyle w:val="COMTableFigurecaption"/>
      </w:pPr>
      <w:bookmarkStart w:id="41" w:name="_Ref208237922"/>
      <w:r>
        <w:t xml:space="preserve">Table </w:t>
      </w:r>
      <w:r w:rsidR="00DA4682">
        <w:fldChar w:fldCharType="begin"/>
      </w:r>
      <w:r w:rsidR="00DA4682">
        <w:instrText xml:space="preserve"> SEQ Table \* ARABIC </w:instrText>
      </w:r>
      <w:r w:rsidR="00DA4682">
        <w:fldChar w:fldCharType="separate"/>
      </w:r>
      <w:r w:rsidR="00CC1313">
        <w:rPr>
          <w:noProof/>
        </w:rPr>
        <w:t>8</w:t>
      </w:r>
      <w:r w:rsidR="00DA4682">
        <w:rPr>
          <w:noProof/>
        </w:rPr>
        <w:fldChar w:fldCharType="end"/>
      </w:r>
      <w:bookmarkEnd w:id="41"/>
      <w:r>
        <w:t>:</w:t>
      </w:r>
      <w:r w:rsidRPr="00580C93">
        <w:t xml:space="preserve"> </w:t>
      </w:r>
      <w:r w:rsidRPr="006117F6">
        <w:t>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8: Key components of the economic evaluation"/>
      </w:tblPr>
      <w:tblGrid>
        <w:gridCol w:w="1545"/>
        <w:gridCol w:w="7470"/>
      </w:tblGrid>
      <w:tr w:rsidR="007709AA" w:rsidRPr="006117F6" w14:paraId="64E7EA7D" w14:textId="77777777" w:rsidTr="004B70C2">
        <w:trPr>
          <w:cantSplit/>
          <w:tblHeader/>
        </w:trPr>
        <w:tc>
          <w:tcPr>
            <w:tcW w:w="857" w:type="pct"/>
          </w:tcPr>
          <w:p w14:paraId="42646E4C" w14:textId="77777777" w:rsidR="007709AA" w:rsidRPr="006117F6" w:rsidRDefault="007709AA" w:rsidP="00370D8E">
            <w:pPr>
              <w:pStyle w:val="TableText"/>
              <w:keepNext w:val="0"/>
              <w:rPr>
                <w:b/>
              </w:rPr>
            </w:pPr>
            <w:r w:rsidRPr="006117F6">
              <w:rPr>
                <w:b/>
              </w:rPr>
              <w:t xml:space="preserve">Component </w:t>
            </w:r>
          </w:p>
        </w:tc>
        <w:tc>
          <w:tcPr>
            <w:tcW w:w="4143" w:type="pct"/>
          </w:tcPr>
          <w:p w14:paraId="21E83938" w14:textId="77777777" w:rsidR="007709AA" w:rsidRPr="006117F6" w:rsidRDefault="007709AA" w:rsidP="00370D8E">
            <w:pPr>
              <w:pStyle w:val="TableText"/>
              <w:keepNext w:val="0"/>
              <w:rPr>
                <w:b/>
              </w:rPr>
            </w:pPr>
            <w:r w:rsidRPr="006117F6">
              <w:rPr>
                <w:b/>
              </w:rPr>
              <w:t>Description</w:t>
            </w:r>
          </w:p>
        </w:tc>
      </w:tr>
      <w:tr w:rsidR="007709AA" w:rsidRPr="006117F6" w14:paraId="29DA5C00" w14:textId="77777777" w:rsidTr="004B70C2">
        <w:trPr>
          <w:cantSplit/>
        </w:trPr>
        <w:tc>
          <w:tcPr>
            <w:tcW w:w="857" w:type="pct"/>
            <w:vAlign w:val="center"/>
          </w:tcPr>
          <w:p w14:paraId="301BB2C0" w14:textId="77777777" w:rsidR="007709AA" w:rsidRPr="006117F6" w:rsidRDefault="007709AA" w:rsidP="00370D8E">
            <w:pPr>
              <w:pStyle w:val="TableText"/>
              <w:keepNext w:val="0"/>
            </w:pPr>
            <w:r w:rsidRPr="006117F6">
              <w:t xml:space="preserve">Type of analysis </w:t>
            </w:r>
          </w:p>
        </w:tc>
        <w:tc>
          <w:tcPr>
            <w:tcW w:w="4143" w:type="pct"/>
            <w:vAlign w:val="center"/>
          </w:tcPr>
          <w:p w14:paraId="31A53476" w14:textId="77777777" w:rsidR="007709AA" w:rsidRPr="006117F6" w:rsidRDefault="007709AA" w:rsidP="00370D8E">
            <w:pPr>
              <w:pStyle w:val="TableText"/>
              <w:keepNext w:val="0"/>
              <w:rPr>
                <w:rFonts w:ascii="Times" w:eastAsia="Times New Roman" w:hAnsi="Times" w:cs="Times New Roman"/>
                <w:szCs w:val="20"/>
              </w:rPr>
            </w:pPr>
            <w:r>
              <w:t>Cost effectiveness/c</w:t>
            </w:r>
            <w:r w:rsidRPr="006117F6">
              <w:t>ost</w:t>
            </w:r>
            <w:r>
              <w:t xml:space="preserve"> </w:t>
            </w:r>
            <w:r w:rsidRPr="006117F6">
              <w:t>utility analysis</w:t>
            </w:r>
          </w:p>
        </w:tc>
      </w:tr>
      <w:tr w:rsidR="007709AA" w:rsidRPr="006117F6" w14:paraId="0213E5EC" w14:textId="77777777" w:rsidTr="004B70C2">
        <w:trPr>
          <w:cantSplit/>
        </w:trPr>
        <w:tc>
          <w:tcPr>
            <w:tcW w:w="857" w:type="pct"/>
            <w:vAlign w:val="center"/>
          </w:tcPr>
          <w:p w14:paraId="39082A44" w14:textId="77777777" w:rsidR="007709AA" w:rsidRPr="006117F6" w:rsidRDefault="007709AA" w:rsidP="00370D8E">
            <w:pPr>
              <w:pStyle w:val="TableText"/>
              <w:keepNext w:val="0"/>
              <w:rPr>
                <w:rFonts w:ascii="Times" w:eastAsia="Times New Roman" w:hAnsi="Times" w:cs="Times New Roman"/>
                <w:szCs w:val="20"/>
              </w:rPr>
            </w:pPr>
            <w:r w:rsidRPr="006117F6">
              <w:t>Outcomes</w:t>
            </w:r>
          </w:p>
        </w:tc>
        <w:tc>
          <w:tcPr>
            <w:tcW w:w="4143" w:type="pct"/>
            <w:vAlign w:val="center"/>
          </w:tcPr>
          <w:p w14:paraId="094A4A5F" w14:textId="77777777" w:rsidR="007709AA" w:rsidRPr="006117F6" w:rsidRDefault="007709AA" w:rsidP="00370D8E">
            <w:pPr>
              <w:pStyle w:val="TableText"/>
              <w:keepNext w:val="0"/>
            </w:pPr>
            <w:r>
              <w:t>Proportion of patients with proteinuria reduction, change in eGFR over time, life years, q</w:t>
            </w:r>
            <w:r w:rsidRPr="006117F6">
              <w:t xml:space="preserve">uality adjusted life years </w:t>
            </w:r>
          </w:p>
        </w:tc>
      </w:tr>
      <w:tr w:rsidR="007709AA" w:rsidRPr="006117F6" w14:paraId="39706A7B" w14:textId="77777777" w:rsidTr="004B70C2">
        <w:trPr>
          <w:cantSplit/>
        </w:trPr>
        <w:tc>
          <w:tcPr>
            <w:tcW w:w="857" w:type="pct"/>
            <w:vAlign w:val="center"/>
          </w:tcPr>
          <w:p w14:paraId="5068462E" w14:textId="77777777" w:rsidR="007709AA" w:rsidRPr="006117F6" w:rsidRDefault="007709AA" w:rsidP="00370D8E">
            <w:pPr>
              <w:pStyle w:val="TableText"/>
              <w:keepNext w:val="0"/>
              <w:rPr>
                <w:rFonts w:ascii="Times" w:eastAsia="Times New Roman" w:hAnsi="Times" w:cs="Times New Roman"/>
                <w:szCs w:val="20"/>
              </w:rPr>
            </w:pPr>
            <w:r w:rsidRPr="006117F6">
              <w:t>Time horizon</w:t>
            </w:r>
          </w:p>
        </w:tc>
        <w:tc>
          <w:tcPr>
            <w:tcW w:w="4143" w:type="pct"/>
            <w:vAlign w:val="center"/>
          </w:tcPr>
          <w:p w14:paraId="4B593C70" w14:textId="77777777" w:rsidR="007709AA" w:rsidRPr="006117F6" w:rsidRDefault="007709AA" w:rsidP="00370D8E">
            <w:pPr>
              <w:pStyle w:val="TableText"/>
              <w:keepNext w:val="0"/>
              <w:rPr>
                <w:rFonts w:ascii="Times" w:eastAsia="Times New Roman" w:hAnsi="Times" w:cs="Times New Roman"/>
                <w:szCs w:val="20"/>
              </w:rPr>
            </w:pPr>
            <w:r>
              <w:t>70</w:t>
            </w:r>
            <w:r w:rsidRPr="006117F6">
              <w:t xml:space="preserve"> years</w:t>
            </w:r>
            <w:r>
              <w:t xml:space="preserve"> (lifetime)</w:t>
            </w:r>
          </w:p>
        </w:tc>
      </w:tr>
      <w:tr w:rsidR="007709AA" w:rsidRPr="006117F6" w14:paraId="06E4F14B" w14:textId="77777777" w:rsidTr="004B70C2">
        <w:trPr>
          <w:cantSplit/>
        </w:trPr>
        <w:tc>
          <w:tcPr>
            <w:tcW w:w="857" w:type="pct"/>
            <w:vAlign w:val="center"/>
          </w:tcPr>
          <w:p w14:paraId="28B1C9B3" w14:textId="77777777" w:rsidR="007709AA" w:rsidRPr="006117F6" w:rsidRDefault="007709AA" w:rsidP="00370D8E">
            <w:pPr>
              <w:pStyle w:val="TableText"/>
              <w:keepNext w:val="0"/>
              <w:rPr>
                <w:rFonts w:ascii="Times" w:eastAsia="Times New Roman" w:hAnsi="Times" w:cs="Times New Roman"/>
                <w:szCs w:val="20"/>
              </w:rPr>
            </w:pPr>
            <w:r w:rsidRPr="006117F6">
              <w:t>Methods used to generate results</w:t>
            </w:r>
          </w:p>
        </w:tc>
        <w:tc>
          <w:tcPr>
            <w:tcW w:w="4143" w:type="pct"/>
            <w:vAlign w:val="center"/>
          </w:tcPr>
          <w:p w14:paraId="4793A9C6" w14:textId="77777777" w:rsidR="007709AA" w:rsidRPr="006117F6" w:rsidRDefault="007709AA" w:rsidP="00370D8E">
            <w:pPr>
              <w:pStyle w:val="TableText"/>
              <w:keepNext w:val="0"/>
            </w:pPr>
            <w:r w:rsidRPr="006117F6">
              <w:t>Markov cohort analysis</w:t>
            </w:r>
          </w:p>
        </w:tc>
      </w:tr>
      <w:tr w:rsidR="007709AA" w:rsidRPr="006117F6" w14:paraId="2B5DFB17" w14:textId="77777777" w:rsidTr="004B70C2">
        <w:trPr>
          <w:cantSplit/>
        </w:trPr>
        <w:tc>
          <w:tcPr>
            <w:tcW w:w="857" w:type="pct"/>
            <w:vAlign w:val="center"/>
          </w:tcPr>
          <w:p w14:paraId="18096DFD" w14:textId="77777777" w:rsidR="007709AA" w:rsidRPr="006117F6" w:rsidRDefault="007709AA" w:rsidP="00370D8E">
            <w:pPr>
              <w:pStyle w:val="TableText"/>
              <w:keepNext w:val="0"/>
            </w:pPr>
            <w:r>
              <w:t>Perspective</w:t>
            </w:r>
          </w:p>
        </w:tc>
        <w:tc>
          <w:tcPr>
            <w:tcW w:w="4143" w:type="pct"/>
            <w:vAlign w:val="center"/>
          </w:tcPr>
          <w:p w14:paraId="3CCD4F0A" w14:textId="77777777" w:rsidR="007709AA" w:rsidRPr="006117F6" w:rsidRDefault="007709AA" w:rsidP="00370D8E">
            <w:pPr>
              <w:pStyle w:val="TableText"/>
              <w:keepNext w:val="0"/>
            </w:pPr>
            <w:r>
              <w:t>Societal (inclusion of productivity losses)</w:t>
            </w:r>
          </w:p>
        </w:tc>
      </w:tr>
      <w:tr w:rsidR="007709AA" w:rsidRPr="006117F6" w14:paraId="1F5452ED" w14:textId="77777777" w:rsidTr="004B70C2">
        <w:trPr>
          <w:cantSplit/>
        </w:trPr>
        <w:tc>
          <w:tcPr>
            <w:tcW w:w="857" w:type="pct"/>
            <w:vAlign w:val="center"/>
          </w:tcPr>
          <w:p w14:paraId="4F766DA2" w14:textId="77777777" w:rsidR="007709AA" w:rsidRPr="006117F6" w:rsidRDefault="007709AA" w:rsidP="00370D8E">
            <w:pPr>
              <w:pStyle w:val="TableText"/>
              <w:keepNext w:val="0"/>
            </w:pPr>
            <w:r w:rsidRPr="006117F6">
              <w:t>Treatments</w:t>
            </w:r>
          </w:p>
        </w:tc>
        <w:tc>
          <w:tcPr>
            <w:tcW w:w="4143" w:type="pct"/>
            <w:vAlign w:val="center"/>
          </w:tcPr>
          <w:p w14:paraId="0D58B63F" w14:textId="77777777" w:rsidR="007709AA" w:rsidRPr="006117F6" w:rsidRDefault="007709AA" w:rsidP="00370D8E">
            <w:pPr>
              <w:pStyle w:val="TableText"/>
              <w:keepNext w:val="0"/>
            </w:pPr>
            <w:r>
              <w:t>Iptacopan</w:t>
            </w:r>
            <w:r w:rsidRPr="006117F6">
              <w:t xml:space="preserve"> or placebo </w:t>
            </w:r>
            <w:r>
              <w:t>(in combination with standard of care therapies)</w:t>
            </w:r>
            <w:r w:rsidRPr="006117F6">
              <w:t xml:space="preserve"> </w:t>
            </w:r>
          </w:p>
        </w:tc>
      </w:tr>
      <w:tr w:rsidR="007709AA" w:rsidRPr="006117F6" w14:paraId="2E336C3B" w14:textId="77777777" w:rsidTr="004B70C2">
        <w:trPr>
          <w:cantSplit/>
        </w:trPr>
        <w:tc>
          <w:tcPr>
            <w:tcW w:w="857" w:type="pct"/>
            <w:vAlign w:val="center"/>
          </w:tcPr>
          <w:p w14:paraId="00FDFEE1" w14:textId="77777777" w:rsidR="007709AA" w:rsidRPr="006117F6" w:rsidRDefault="007709AA" w:rsidP="00370D8E">
            <w:pPr>
              <w:pStyle w:val="TableText"/>
              <w:keepNext w:val="0"/>
              <w:rPr>
                <w:rFonts w:ascii="Times" w:eastAsia="Times New Roman" w:hAnsi="Times" w:cs="Times New Roman"/>
                <w:szCs w:val="20"/>
              </w:rPr>
            </w:pPr>
            <w:r w:rsidRPr="006117F6">
              <w:t>Model structure</w:t>
            </w:r>
          </w:p>
        </w:tc>
        <w:tc>
          <w:tcPr>
            <w:tcW w:w="4143" w:type="pct"/>
            <w:vAlign w:val="center"/>
          </w:tcPr>
          <w:p w14:paraId="2B27BABB" w14:textId="77777777" w:rsidR="007709AA" w:rsidRPr="006117F6" w:rsidRDefault="007709AA" w:rsidP="00370D8E">
            <w:pPr>
              <w:pStyle w:val="TableText"/>
              <w:keepNext w:val="0"/>
            </w:pPr>
            <w:r>
              <w:t>9 health states including CKD Stage 1, 2, 3a, 3b, 4, 5, dialysis, post-transplant (successful graft) and post-transplant (graft failure) as well as death.</w:t>
            </w:r>
          </w:p>
        </w:tc>
      </w:tr>
      <w:tr w:rsidR="007709AA" w:rsidRPr="006117F6" w14:paraId="276C73AE" w14:textId="77777777" w:rsidTr="004B70C2">
        <w:trPr>
          <w:cantSplit/>
        </w:trPr>
        <w:tc>
          <w:tcPr>
            <w:tcW w:w="857" w:type="pct"/>
            <w:vAlign w:val="center"/>
          </w:tcPr>
          <w:p w14:paraId="05CBDFAD" w14:textId="77777777" w:rsidR="007709AA" w:rsidRPr="006117F6" w:rsidRDefault="007709AA" w:rsidP="00370D8E">
            <w:pPr>
              <w:pStyle w:val="TableText"/>
              <w:keepNext w:val="0"/>
              <w:rPr>
                <w:rFonts w:ascii="Times" w:eastAsia="Times New Roman" w:hAnsi="Times" w:cs="Times New Roman"/>
                <w:szCs w:val="20"/>
              </w:rPr>
            </w:pPr>
            <w:r w:rsidRPr="006117F6">
              <w:t>Cycle length</w:t>
            </w:r>
          </w:p>
        </w:tc>
        <w:tc>
          <w:tcPr>
            <w:tcW w:w="4143" w:type="pct"/>
            <w:vAlign w:val="center"/>
          </w:tcPr>
          <w:p w14:paraId="7950AF92" w14:textId="77777777" w:rsidR="007709AA" w:rsidRPr="006117F6" w:rsidRDefault="007709AA" w:rsidP="00370D8E">
            <w:pPr>
              <w:pStyle w:val="TableText"/>
              <w:keepNext w:val="0"/>
            </w:pPr>
            <w:r>
              <w:t>13 weeks</w:t>
            </w:r>
            <w:r w:rsidRPr="006117F6">
              <w:t xml:space="preserve"> (half cycle correction)</w:t>
            </w:r>
          </w:p>
        </w:tc>
      </w:tr>
      <w:tr w:rsidR="007709AA" w:rsidRPr="006117F6" w14:paraId="6B9CCC3C" w14:textId="77777777" w:rsidTr="004B70C2">
        <w:trPr>
          <w:cantSplit/>
        </w:trPr>
        <w:tc>
          <w:tcPr>
            <w:tcW w:w="857" w:type="pct"/>
            <w:vAlign w:val="center"/>
          </w:tcPr>
          <w:p w14:paraId="069EB135" w14:textId="77777777" w:rsidR="007709AA" w:rsidRPr="006117F6" w:rsidRDefault="007709AA" w:rsidP="00370D8E">
            <w:pPr>
              <w:pStyle w:val="TableText"/>
              <w:keepNext w:val="0"/>
            </w:pPr>
            <w:r w:rsidRPr="006117F6">
              <w:t>Patient characteristics</w:t>
            </w:r>
          </w:p>
        </w:tc>
        <w:tc>
          <w:tcPr>
            <w:tcW w:w="4143" w:type="pct"/>
            <w:vAlign w:val="center"/>
          </w:tcPr>
          <w:p w14:paraId="1100ED50" w14:textId="42715F2E" w:rsidR="007709AA" w:rsidRDefault="007709AA" w:rsidP="00370D8E">
            <w:pPr>
              <w:pStyle w:val="TableText"/>
              <w:keepNext w:val="0"/>
            </w:pPr>
            <w:r>
              <w:t xml:space="preserve">Baseline age, sex and initial distribution of patients across CKD stages were based on reported baseline values from the combined treatment arms of the </w:t>
            </w:r>
            <w:r w:rsidR="001A4D68">
              <w:t>APPEAR-C3G</w:t>
            </w:r>
            <w:r>
              <w:t xml:space="preserve"> trial.</w:t>
            </w:r>
          </w:p>
        </w:tc>
      </w:tr>
      <w:tr w:rsidR="007709AA" w:rsidRPr="006117F6" w14:paraId="712CCDEB" w14:textId="77777777" w:rsidTr="004B70C2">
        <w:trPr>
          <w:cantSplit/>
        </w:trPr>
        <w:tc>
          <w:tcPr>
            <w:tcW w:w="857" w:type="pct"/>
            <w:vAlign w:val="center"/>
          </w:tcPr>
          <w:p w14:paraId="79540025" w14:textId="77777777" w:rsidR="007709AA" w:rsidRPr="006117F6" w:rsidRDefault="007709AA" w:rsidP="00370D8E">
            <w:pPr>
              <w:pStyle w:val="TableText"/>
              <w:keepNext w:val="0"/>
            </w:pPr>
            <w:r w:rsidRPr="006117F6">
              <w:lastRenderedPageBreak/>
              <w:t xml:space="preserve">Transition probabilities </w:t>
            </w:r>
          </w:p>
        </w:tc>
        <w:tc>
          <w:tcPr>
            <w:tcW w:w="4143" w:type="pct"/>
            <w:vAlign w:val="center"/>
          </w:tcPr>
          <w:p w14:paraId="26969071" w14:textId="0F291D59" w:rsidR="007709AA" w:rsidRDefault="007709AA" w:rsidP="00370D8E">
            <w:pPr>
              <w:pStyle w:val="TableText"/>
              <w:keepNext w:val="0"/>
              <w:spacing w:after="120"/>
            </w:pPr>
            <w:r>
              <w:t xml:space="preserve">The </w:t>
            </w:r>
            <w:r w:rsidRPr="00071184">
              <w:t xml:space="preserve">risk of </w:t>
            </w:r>
            <w:r>
              <w:t xml:space="preserve">treatment </w:t>
            </w:r>
            <w:r w:rsidRPr="00071184">
              <w:t xml:space="preserve">discontinuation in the </w:t>
            </w:r>
            <w:r>
              <w:t>iptacopan</w:t>
            </w:r>
            <w:r w:rsidRPr="00071184">
              <w:t xml:space="preserve"> arm </w:t>
            </w:r>
            <w:r>
              <w:t>was based on the APPEAR-</w:t>
            </w:r>
            <w:r w:rsidR="001A4D68">
              <w:t>C</w:t>
            </w:r>
            <w:r>
              <w:t xml:space="preserve">3G trial and B12001B extension study for the first 1.5 years of the model </w:t>
            </w:r>
            <w:r w:rsidR="000D104A" w:rsidRPr="007A428A">
              <w:t>(</w:t>
            </w:r>
            <w:r w:rsidR="00C4572B" w:rsidRPr="007A428A">
              <w:t xml:space="preserve">5.3% </w:t>
            </w:r>
            <w:r w:rsidR="006A2A1D" w:rsidRPr="007A428A">
              <w:t xml:space="preserve">annual probability </w:t>
            </w:r>
            <w:r w:rsidR="000D104A" w:rsidRPr="007A428A">
              <w:t>based on 3/38</w:t>
            </w:r>
            <w:r w:rsidR="007863D1" w:rsidRPr="007A428A">
              <w:t xml:space="preserve"> patients who discontinued during APPEAR-C3G and B12001B)</w:t>
            </w:r>
            <w:r w:rsidR="007863D1">
              <w:t xml:space="preserve"> </w:t>
            </w:r>
            <w:r>
              <w:t>while discontinuation rates over the longer term were assumed</w:t>
            </w:r>
            <w:r w:rsidR="007863D1">
              <w:t xml:space="preserve"> (1%)</w:t>
            </w:r>
            <w:r>
              <w:t xml:space="preserve">. </w:t>
            </w:r>
          </w:p>
          <w:p w14:paraId="79300268" w14:textId="2DC45DB3" w:rsidR="007709AA" w:rsidRDefault="007709AA" w:rsidP="00370D8E">
            <w:pPr>
              <w:pStyle w:val="TableText"/>
              <w:keepNext w:val="0"/>
              <w:spacing w:after="120"/>
            </w:pPr>
            <w:r w:rsidRPr="00071184">
              <w:t xml:space="preserve">The risk of </w:t>
            </w:r>
            <w:r>
              <w:t>CKD</w:t>
            </w:r>
            <w:r w:rsidRPr="00071184">
              <w:t xml:space="preserve"> progression</w:t>
            </w:r>
            <w:r>
              <w:t xml:space="preserve"> and dialysis were</w:t>
            </w:r>
            <w:r w:rsidRPr="00071184">
              <w:t xml:space="preserve"> based on the mean change in </w:t>
            </w:r>
            <w:r>
              <w:t>eGFR</w:t>
            </w:r>
            <w:r w:rsidRPr="00071184">
              <w:t xml:space="preserve"> per year</w:t>
            </w:r>
            <w:r>
              <w:t xml:space="preserve"> in each treatment arm, which were converted to transition probabilities by </w:t>
            </w:r>
            <w:r w:rsidRPr="00416AFF">
              <w:t>estimating the total time it would take to transition from the midpoint of each CKD stage to the midpoint of the next CKD stage</w:t>
            </w:r>
            <w:r>
              <w:t xml:space="preserve">. It was assumed that </w:t>
            </w:r>
            <w:r w:rsidRPr="00967A40">
              <w:t xml:space="preserve">all patients with an eGFR </w:t>
            </w:r>
            <w:r w:rsidR="00364110">
              <w:t xml:space="preserve">&lt; </w:t>
            </w:r>
            <w:r w:rsidRPr="00967A40">
              <w:t>7 mL/min/1.73</w:t>
            </w:r>
            <w:r w:rsidR="00C75672">
              <w:t xml:space="preserve"> </w:t>
            </w:r>
            <w:r w:rsidRPr="00967A40">
              <w:t>m</w:t>
            </w:r>
            <w:r w:rsidRPr="00967A40">
              <w:rPr>
                <w:vertAlign w:val="superscript"/>
              </w:rPr>
              <w:t>2</w:t>
            </w:r>
            <w:r w:rsidRPr="00967A40">
              <w:t xml:space="preserve"> </w:t>
            </w:r>
            <w:r>
              <w:t>would initiate dialysis.</w:t>
            </w:r>
          </w:p>
          <w:p w14:paraId="41D95B4C" w14:textId="61F3614D" w:rsidR="007709AA" w:rsidRDefault="007709AA" w:rsidP="00370D8E">
            <w:pPr>
              <w:pStyle w:val="TableText"/>
              <w:keepNext w:val="0"/>
              <w:spacing w:after="120"/>
            </w:pPr>
            <w:r>
              <w:t>Treatment with iptacopan was</w:t>
            </w:r>
            <w:r w:rsidRPr="00DA6979">
              <w:t xml:space="preserve"> </w:t>
            </w:r>
            <w:r>
              <w:t>assumed to</w:t>
            </w:r>
            <w:r w:rsidRPr="00DA6979">
              <w:t xml:space="preserve"> prevent all </w:t>
            </w:r>
            <w:r>
              <w:t>C3G</w:t>
            </w:r>
            <w:r w:rsidRPr="00DA6979">
              <w:t>-mediated changes in kidney function</w:t>
            </w:r>
            <w:r>
              <w:t>,</w:t>
            </w:r>
            <w:r w:rsidRPr="00DA6979">
              <w:t xml:space="preserve"> with treated patients adopting the same eGFR decline over time as prospective living kidney donors registered at UK renal treatment centres between 2003-2015 (Fenton 2018).</w:t>
            </w:r>
            <w:r>
              <w:t xml:space="preserve"> The change in eGFR in the placebo arm was based on the </w:t>
            </w:r>
            <w:r w:rsidRPr="00D8673F">
              <w:t xml:space="preserve">mean change in eGFR per year reported in the pre-iptacopan period </w:t>
            </w:r>
            <w:r>
              <w:t>in</w:t>
            </w:r>
            <w:r w:rsidRPr="00D8673F">
              <w:t xml:space="preserve"> the pooled analysis of APPEAR-C3G, X2202, B12001B studies</w:t>
            </w:r>
            <w:r>
              <w:t xml:space="preserve">. The change in eGFR in the placebo arm was extrapolated over time assuming a constant linear decline in </w:t>
            </w:r>
            <w:r w:rsidR="00C474F8">
              <w:t>kidney</w:t>
            </w:r>
            <w:r>
              <w:t xml:space="preserve"> function.</w:t>
            </w:r>
          </w:p>
          <w:p w14:paraId="4A9054D7" w14:textId="746C842F" w:rsidR="007709AA" w:rsidRDefault="007709AA" w:rsidP="00370D8E">
            <w:pPr>
              <w:pStyle w:val="TableText"/>
              <w:keepNext w:val="0"/>
              <w:spacing w:after="120"/>
            </w:pPr>
            <w:r>
              <w:t xml:space="preserve">The probability of transplantation in CKD </w:t>
            </w:r>
            <w:r w:rsidR="00F93CAA">
              <w:t>S</w:t>
            </w:r>
            <w:r w:rsidR="009F3EA5">
              <w:t xml:space="preserve">tage </w:t>
            </w:r>
            <w:r>
              <w:t xml:space="preserve">5 patients, the probability of transplantation in dialysis patients and the probability of transplant graft rejection were based </w:t>
            </w:r>
            <w:r w:rsidRPr="00381C8E">
              <w:t>Australia and New Zealand Dialysis and Transplant Registry</w:t>
            </w:r>
            <w:r>
              <w:t xml:space="preserve"> (</w:t>
            </w:r>
            <w:r w:rsidRPr="00381C8E">
              <w:t xml:space="preserve">47th Annual </w:t>
            </w:r>
            <w:r>
              <w:t>R</w:t>
            </w:r>
            <w:r w:rsidRPr="00381C8E">
              <w:t>eport</w:t>
            </w:r>
            <w:r>
              <w:t xml:space="preserve"> 2024).</w:t>
            </w:r>
          </w:p>
          <w:p w14:paraId="1E139AF8" w14:textId="77777777" w:rsidR="007709AA" w:rsidRPr="006117F6" w:rsidRDefault="007709AA" w:rsidP="00370D8E">
            <w:pPr>
              <w:pStyle w:val="TableText"/>
              <w:keepNext w:val="0"/>
            </w:pPr>
            <w:r>
              <w:t>T</w:t>
            </w:r>
            <w:r w:rsidRPr="00D22DE2">
              <w:t xml:space="preserve">he </w:t>
            </w:r>
            <w:r>
              <w:t>risk of death was estimated</w:t>
            </w:r>
            <w:r w:rsidRPr="00D22DE2">
              <w:t xml:space="preserve"> based on Australian life tables (ABS 2021-2023) with additional risk multipliers for different health states </w:t>
            </w:r>
            <w:r>
              <w:t>based on standardised mortality rates for patients with and without kidney failure reported</w:t>
            </w:r>
            <w:r w:rsidRPr="00D22DE2">
              <w:t xml:space="preserve"> </w:t>
            </w:r>
            <w:r>
              <w:t>in</w:t>
            </w:r>
            <w:r w:rsidRPr="00D22DE2">
              <w:t xml:space="preserve"> a retrospective cohort study of rare kidney diseases in the United Kingdom (Wong 2024; </w:t>
            </w:r>
            <w:proofErr w:type="spellStart"/>
            <w:r>
              <w:t>RaDaR</w:t>
            </w:r>
            <w:proofErr w:type="spellEnd"/>
            <w:r w:rsidRPr="00D22DE2">
              <w:t xml:space="preserve"> registry).</w:t>
            </w:r>
          </w:p>
        </w:tc>
      </w:tr>
      <w:tr w:rsidR="007709AA" w:rsidRPr="006117F6" w14:paraId="66DB00C6" w14:textId="77777777" w:rsidTr="004B70C2">
        <w:trPr>
          <w:cantSplit/>
        </w:trPr>
        <w:tc>
          <w:tcPr>
            <w:tcW w:w="857" w:type="pct"/>
            <w:vAlign w:val="center"/>
          </w:tcPr>
          <w:p w14:paraId="5EE4A88E" w14:textId="77777777" w:rsidR="007709AA" w:rsidRPr="006117F6" w:rsidRDefault="007709AA" w:rsidP="00370D8E">
            <w:pPr>
              <w:pStyle w:val="TableText"/>
              <w:keepNext w:val="0"/>
            </w:pPr>
            <w:r w:rsidRPr="006117F6">
              <w:t>Utility values</w:t>
            </w:r>
          </w:p>
        </w:tc>
        <w:tc>
          <w:tcPr>
            <w:tcW w:w="4143" w:type="pct"/>
            <w:vAlign w:val="center"/>
          </w:tcPr>
          <w:p w14:paraId="052336EA" w14:textId="77777777" w:rsidR="007709AA" w:rsidRDefault="007709AA" w:rsidP="00370D8E">
            <w:pPr>
              <w:pStyle w:val="COMTabletext"/>
              <w:keepNext w:val="0"/>
              <w:keepLines w:val="0"/>
              <w:spacing w:after="120"/>
              <w:rPr>
                <w:rFonts w:eastAsia="Calibri"/>
              </w:rPr>
            </w:pPr>
            <w:r>
              <w:rPr>
                <w:rFonts w:eastAsia="Calibri"/>
              </w:rPr>
              <w:t xml:space="preserve">Health state utility values were estimated based on EQ-5D-5L index scores (UK value set) reported in a vignette study describing health states for </w:t>
            </w:r>
            <w:r w:rsidRPr="0079340A">
              <w:rPr>
                <w:rFonts w:eastAsia="Calibri"/>
              </w:rPr>
              <w:t>primary hyperoxaluria type 1</w:t>
            </w:r>
            <w:r>
              <w:rPr>
                <w:rFonts w:eastAsia="Calibri"/>
              </w:rPr>
              <w:t xml:space="preserve"> in the UK general population</w:t>
            </w:r>
            <w:r w:rsidRPr="0079340A">
              <w:rPr>
                <w:rFonts w:eastAsia="Calibri"/>
              </w:rPr>
              <w:t xml:space="preserve"> </w:t>
            </w:r>
            <w:r>
              <w:rPr>
                <w:rFonts w:eastAsia="Calibri"/>
              </w:rPr>
              <w:t xml:space="preserve">(de Freitas 2023). </w:t>
            </w:r>
          </w:p>
          <w:p w14:paraId="5880AE77" w14:textId="77777777" w:rsidR="007709AA" w:rsidRDefault="007709AA" w:rsidP="00370D8E">
            <w:pPr>
              <w:pStyle w:val="TableText"/>
              <w:keepNext w:val="0"/>
            </w:pPr>
            <w:r>
              <w:t>The health state utility for post-transplantation (successful graft) was assumed to be the same as CKD Stage 1/2. The health state utility for post-transplantation (graft failure) was assumed to be the same as dialysis.</w:t>
            </w:r>
          </w:p>
          <w:p w14:paraId="72821FC9" w14:textId="77777777" w:rsidR="00E959F4" w:rsidRPr="00154610" w:rsidRDefault="00E959F4" w:rsidP="00370D8E">
            <w:pPr>
              <w:pStyle w:val="TableText"/>
              <w:keepNext w:val="0"/>
              <w:rPr>
                <w:i/>
                <w:iCs/>
              </w:rPr>
            </w:pPr>
          </w:p>
          <w:p w14:paraId="0AFC6351" w14:textId="77777777" w:rsidR="00E959F4" w:rsidRPr="00A81BBC" w:rsidRDefault="00154610" w:rsidP="00370D8E">
            <w:pPr>
              <w:pStyle w:val="TableText"/>
              <w:keepNext w:val="0"/>
            </w:pPr>
            <w:r w:rsidRPr="00A81BBC">
              <w:t>The submission also provided alternative utility values based on estimates reported in an Australian cost of illness study for chronic kidney disease (Deloitte 2023).</w:t>
            </w:r>
          </w:p>
          <w:p w14:paraId="0FF58DCB" w14:textId="77777777" w:rsidR="00154610" w:rsidRDefault="00154610" w:rsidP="00370D8E">
            <w:pPr>
              <w:pStyle w:val="TableText"/>
              <w:keepNext w:val="0"/>
            </w:pPr>
          </w:p>
          <w:p w14:paraId="467B5EF1" w14:textId="77777777" w:rsidR="005F0579" w:rsidRPr="00A81BBC" w:rsidRDefault="005F0579" w:rsidP="00370D8E">
            <w:pPr>
              <w:keepNext/>
              <w:jc w:val="left"/>
              <w:rPr>
                <w:rFonts w:ascii="Arial Narrow" w:eastAsiaTheme="majorEastAsia" w:hAnsi="Arial Narrow" w:cstheme="majorBidi"/>
                <w:b/>
                <w:bCs/>
                <w:sz w:val="18"/>
                <w:szCs w:val="18"/>
              </w:rPr>
            </w:pPr>
            <w:r w:rsidRPr="00A81BBC">
              <w:rPr>
                <w:rFonts w:ascii="Arial Narrow" w:eastAsiaTheme="majorEastAsia" w:hAnsi="Arial Narrow" w:cstheme="majorBidi"/>
                <w:b/>
                <w:bCs/>
                <w:sz w:val="18"/>
                <w:szCs w:val="18"/>
              </w:rPr>
              <w:t>Health state utility values used in the economic evaluation and in Deloitte 2023</w:t>
            </w:r>
          </w:p>
          <w:tbl>
            <w:tblPr>
              <w:tblStyle w:val="TableGrid"/>
              <w:tblW w:w="0" w:type="auto"/>
              <w:jc w:val="center"/>
              <w:tblLook w:val="04A0" w:firstRow="1" w:lastRow="0" w:firstColumn="1" w:lastColumn="0" w:noHBand="0" w:noVBand="1"/>
            </w:tblPr>
            <w:tblGrid>
              <w:gridCol w:w="2592"/>
              <w:gridCol w:w="1719"/>
              <w:gridCol w:w="1674"/>
              <w:gridCol w:w="1419"/>
            </w:tblGrid>
            <w:tr w:rsidR="005F0579" w:rsidRPr="00A81BBC" w14:paraId="5DAFB1D1" w14:textId="77777777" w:rsidTr="00A8333A">
              <w:trPr>
                <w:trHeight w:val="63"/>
                <w:jc w:val="center"/>
              </w:trPr>
              <w:tc>
                <w:tcPr>
                  <w:tcW w:w="3119" w:type="dxa"/>
                  <w:vMerge w:val="restart"/>
                  <w:vAlign w:val="center"/>
                </w:tcPr>
                <w:p w14:paraId="05F62483" w14:textId="77777777" w:rsidR="005F0579" w:rsidRPr="00A81BBC" w:rsidRDefault="005F0579" w:rsidP="00370D8E">
                  <w:pPr>
                    <w:jc w:val="left"/>
                    <w:rPr>
                      <w:rFonts w:ascii="Arial Narrow" w:eastAsia="SimSun" w:hAnsi="Arial Narrow" w:cs="Times New Roman"/>
                      <w:b/>
                      <w:sz w:val="18"/>
                      <w:szCs w:val="18"/>
                      <w:lang w:eastAsia="zh-CN"/>
                    </w:rPr>
                  </w:pPr>
                  <w:r w:rsidRPr="00A81BBC">
                    <w:rPr>
                      <w:rFonts w:ascii="Arial Narrow" w:eastAsia="SimSun" w:hAnsi="Arial Narrow" w:cs="Times New Roman" w:hint="eastAsia"/>
                      <w:b/>
                      <w:sz w:val="18"/>
                      <w:szCs w:val="18"/>
                      <w:lang w:eastAsia="zh-CN"/>
                    </w:rPr>
                    <w:t>Health states</w:t>
                  </w:r>
                </w:p>
              </w:tc>
              <w:tc>
                <w:tcPr>
                  <w:tcW w:w="4191" w:type="dxa"/>
                  <w:gridSpan w:val="2"/>
                </w:tcPr>
                <w:p w14:paraId="4EE36AB7" w14:textId="77777777" w:rsidR="005F0579" w:rsidRPr="00A81BBC" w:rsidRDefault="005F0579" w:rsidP="00370D8E">
                  <w:pPr>
                    <w:jc w:val="center"/>
                    <w:rPr>
                      <w:rFonts w:ascii="Arial Narrow" w:hAnsi="Arial Narrow" w:cs="Times New Roman"/>
                      <w:b/>
                      <w:sz w:val="18"/>
                      <w:szCs w:val="18"/>
                      <w:lang w:eastAsia="en-US"/>
                    </w:rPr>
                  </w:pPr>
                  <w:r w:rsidRPr="00A81BBC">
                    <w:rPr>
                      <w:rFonts w:ascii="Arial Narrow" w:hAnsi="Arial Narrow" w:cs="Times New Roman"/>
                      <w:b/>
                      <w:sz w:val="18"/>
                      <w:szCs w:val="18"/>
                      <w:lang w:eastAsia="en-US"/>
                    </w:rPr>
                    <w:t>De Freitas (2023)</w:t>
                  </w:r>
                </w:p>
              </w:tc>
              <w:tc>
                <w:tcPr>
                  <w:tcW w:w="1651" w:type="dxa"/>
                  <w:vMerge w:val="restart"/>
                  <w:vAlign w:val="center"/>
                </w:tcPr>
                <w:p w14:paraId="0581C002" w14:textId="77777777" w:rsidR="005F0579" w:rsidRPr="00A81BBC" w:rsidRDefault="005F0579" w:rsidP="00370D8E">
                  <w:pPr>
                    <w:jc w:val="center"/>
                    <w:rPr>
                      <w:rFonts w:ascii="Arial Narrow" w:hAnsi="Arial Narrow" w:cs="Times New Roman"/>
                      <w:b/>
                      <w:bCs/>
                      <w:sz w:val="18"/>
                      <w:szCs w:val="18"/>
                      <w:lang w:eastAsia="en-US"/>
                    </w:rPr>
                  </w:pPr>
                  <w:r w:rsidRPr="00A81BBC">
                    <w:rPr>
                      <w:rFonts w:ascii="Arial Narrow" w:hAnsi="Arial Narrow" w:cs="Times New Roman"/>
                      <w:b/>
                      <w:bCs/>
                      <w:sz w:val="18"/>
                      <w:szCs w:val="18"/>
                      <w:lang w:eastAsia="en-US"/>
                    </w:rPr>
                    <w:t>Deloitte 2023</w:t>
                  </w:r>
                </w:p>
              </w:tc>
            </w:tr>
            <w:tr w:rsidR="005F0579" w:rsidRPr="00A81BBC" w14:paraId="34DCE71C" w14:textId="77777777" w:rsidTr="00A8333A">
              <w:trPr>
                <w:trHeight w:val="60"/>
                <w:jc w:val="center"/>
              </w:trPr>
              <w:tc>
                <w:tcPr>
                  <w:tcW w:w="3119" w:type="dxa"/>
                  <w:vMerge/>
                </w:tcPr>
                <w:p w14:paraId="38457565" w14:textId="77777777" w:rsidR="005F0579" w:rsidRPr="00A81BBC" w:rsidRDefault="005F0579" w:rsidP="00370D8E">
                  <w:pPr>
                    <w:jc w:val="left"/>
                    <w:rPr>
                      <w:rFonts w:ascii="Arial Narrow" w:eastAsia="SimSun" w:hAnsi="Arial Narrow" w:cs="Times New Roman"/>
                      <w:bCs/>
                      <w:sz w:val="18"/>
                      <w:szCs w:val="18"/>
                      <w:lang w:eastAsia="zh-CN"/>
                    </w:rPr>
                  </w:pPr>
                </w:p>
              </w:tc>
              <w:tc>
                <w:tcPr>
                  <w:tcW w:w="2126" w:type="dxa"/>
                </w:tcPr>
                <w:p w14:paraId="5BB56EB1" w14:textId="77777777" w:rsidR="005F0579" w:rsidRPr="00A81BBC" w:rsidRDefault="005F0579" w:rsidP="00370D8E">
                  <w:pPr>
                    <w:jc w:val="center"/>
                    <w:rPr>
                      <w:rFonts w:ascii="Arial Narrow" w:hAnsi="Arial Narrow" w:cs="Times New Roman"/>
                      <w:b/>
                      <w:sz w:val="18"/>
                      <w:szCs w:val="18"/>
                      <w:lang w:eastAsia="en-US"/>
                    </w:rPr>
                  </w:pPr>
                  <w:r w:rsidRPr="00A81BBC">
                    <w:rPr>
                      <w:rFonts w:ascii="Arial Narrow" w:hAnsi="Arial Narrow" w:cs="Times New Roman"/>
                      <w:b/>
                      <w:sz w:val="18"/>
                      <w:szCs w:val="18"/>
                      <w:lang w:eastAsia="en-US"/>
                    </w:rPr>
                    <w:t>EQ-5D-5L</w:t>
                  </w:r>
                </w:p>
              </w:tc>
              <w:tc>
                <w:tcPr>
                  <w:tcW w:w="2065" w:type="dxa"/>
                </w:tcPr>
                <w:p w14:paraId="5A6475AF" w14:textId="77777777" w:rsidR="005F0579" w:rsidRPr="00A81BBC" w:rsidRDefault="005F0579" w:rsidP="00370D8E">
                  <w:pPr>
                    <w:jc w:val="center"/>
                    <w:rPr>
                      <w:rFonts w:ascii="Arial Narrow" w:hAnsi="Arial Narrow" w:cs="Times New Roman"/>
                      <w:b/>
                      <w:sz w:val="18"/>
                      <w:szCs w:val="18"/>
                      <w:lang w:eastAsia="en-US"/>
                    </w:rPr>
                  </w:pPr>
                  <w:r w:rsidRPr="00A81BBC">
                    <w:rPr>
                      <w:rFonts w:ascii="Arial Narrow" w:hAnsi="Arial Narrow" w:cs="Times New Roman"/>
                      <w:b/>
                      <w:sz w:val="18"/>
                      <w:szCs w:val="18"/>
                      <w:lang w:eastAsia="en-US"/>
                    </w:rPr>
                    <w:t>TTO</w:t>
                  </w:r>
                </w:p>
              </w:tc>
              <w:tc>
                <w:tcPr>
                  <w:tcW w:w="1651" w:type="dxa"/>
                  <w:vMerge/>
                  <w:vAlign w:val="center"/>
                </w:tcPr>
                <w:p w14:paraId="5B039E4D" w14:textId="77777777" w:rsidR="005F0579" w:rsidRPr="00A81BBC" w:rsidRDefault="005F0579" w:rsidP="00370D8E">
                  <w:pPr>
                    <w:jc w:val="center"/>
                    <w:rPr>
                      <w:rFonts w:ascii="Arial Narrow" w:hAnsi="Arial Narrow" w:cs="Times New Roman"/>
                      <w:bCs/>
                      <w:sz w:val="18"/>
                      <w:szCs w:val="18"/>
                      <w:lang w:eastAsia="en-US"/>
                    </w:rPr>
                  </w:pPr>
                </w:p>
              </w:tc>
            </w:tr>
            <w:tr w:rsidR="005F0579" w:rsidRPr="00A81BBC" w14:paraId="0187BB24" w14:textId="77777777" w:rsidTr="00A8333A">
              <w:trPr>
                <w:trHeight w:val="63"/>
                <w:jc w:val="center"/>
              </w:trPr>
              <w:tc>
                <w:tcPr>
                  <w:tcW w:w="3119" w:type="dxa"/>
                </w:tcPr>
                <w:p w14:paraId="199AEFAC" w14:textId="77777777" w:rsidR="005F0579" w:rsidRPr="00A81BBC" w:rsidRDefault="005F0579" w:rsidP="00370D8E">
                  <w:pPr>
                    <w:jc w:val="left"/>
                    <w:rPr>
                      <w:rFonts w:ascii="Arial Narrow" w:eastAsia="SimSun" w:hAnsi="Arial Narrow" w:cs="Times New Roman"/>
                      <w:bCs/>
                      <w:sz w:val="18"/>
                      <w:szCs w:val="18"/>
                      <w:lang w:eastAsia="zh-CN"/>
                    </w:rPr>
                  </w:pPr>
                  <w:r w:rsidRPr="00A81BBC">
                    <w:rPr>
                      <w:rFonts w:ascii="Arial Narrow" w:hAnsi="Arial Narrow" w:cs="Times New Roman"/>
                      <w:bCs/>
                      <w:sz w:val="18"/>
                      <w:szCs w:val="18"/>
                      <w:lang w:eastAsia="en-US"/>
                    </w:rPr>
                    <w:t>CKD 1-2</w:t>
                  </w:r>
                </w:p>
              </w:tc>
              <w:tc>
                <w:tcPr>
                  <w:tcW w:w="2126" w:type="dxa"/>
                </w:tcPr>
                <w:p w14:paraId="67E94C6F"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 xml:space="preserve">0.68 </w:t>
                  </w:r>
                </w:p>
              </w:tc>
              <w:tc>
                <w:tcPr>
                  <w:tcW w:w="2065" w:type="dxa"/>
                  <w:vAlign w:val="center"/>
                </w:tcPr>
                <w:p w14:paraId="7C262BF1"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 xml:space="preserve">0.88 </w:t>
                  </w:r>
                </w:p>
              </w:tc>
              <w:tc>
                <w:tcPr>
                  <w:tcW w:w="1651" w:type="dxa"/>
                  <w:vAlign w:val="center"/>
                </w:tcPr>
                <w:p w14:paraId="5F70B2C9"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0.85</w:t>
                  </w:r>
                </w:p>
              </w:tc>
            </w:tr>
            <w:tr w:rsidR="005F0579" w:rsidRPr="00A81BBC" w14:paraId="7A9141A2" w14:textId="77777777" w:rsidTr="00A8333A">
              <w:trPr>
                <w:trHeight w:val="63"/>
                <w:jc w:val="center"/>
              </w:trPr>
              <w:tc>
                <w:tcPr>
                  <w:tcW w:w="3119" w:type="dxa"/>
                </w:tcPr>
                <w:p w14:paraId="4F22F9B1" w14:textId="77777777" w:rsidR="005F0579" w:rsidRPr="00A81BBC" w:rsidRDefault="005F0579" w:rsidP="00370D8E">
                  <w:pPr>
                    <w:jc w:val="left"/>
                    <w:rPr>
                      <w:rFonts w:ascii="Arial Narrow" w:eastAsia="SimSun" w:hAnsi="Arial Narrow" w:cs="Times New Roman"/>
                      <w:bCs/>
                      <w:sz w:val="18"/>
                      <w:szCs w:val="18"/>
                      <w:lang w:eastAsia="zh-CN"/>
                    </w:rPr>
                  </w:pPr>
                  <w:r w:rsidRPr="00A81BBC">
                    <w:rPr>
                      <w:rFonts w:ascii="Arial Narrow" w:hAnsi="Arial Narrow" w:cs="Times New Roman"/>
                      <w:bCs/>
                      <w:sz w:val="18"/>
                      <w:szCs w:val="18"/>
                      <w:lang w:eastAsia="en-US"/>
                    </w:rPr>
                    <w:t>CKD 3a</w:t>
                  </w:r>
                </w:p>
              </w:tc>
              <w:tc>
                <w:tcPr>
                  <w:tcW w:w="2126" w:type="dxa"/>
                </w:tcPr>
                <w:p w14:paraId="0BD1DC30"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 xml:space="preserve">0.63 </w:t>
                  </w:r>
                </w:p>
              </w:tc>
              <w:tc>
                <w:tcPr>
                  <w:tcW w:w="2065" w:type="dxa"/>
                </w:tcPr>
                <w:p w14:paraId="0CF8D710"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 xml:space="preserve">0.86 </w:t>
                  </w:r>
                </w:p>
              </w:tc>
              <w:tc>
                <w:tcPr>
                  <w:tcW w:w="1651" w:type="dxa"/>
                  <w:vAlign w:val="center"/>
                </w:tcPr>
                <w:p w14:paraId="415F2813"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0.80</w:t>
                  </w:r>
                </w:p>
              </w:tc>
            </w:tr>
            <w:tr w:rsidR="005F0579" w:rsidRPr="00A81BBC" w14:paraId="33754A72" w14:textId="77777777" w:rsidTr="00A8333A">
              <w:trPr>
                <w:trHeight w:val="63"/>
                <w:jc w:val="center"/>
              </w:trPr>
              <w:tc>
                <w:tcPr>
                  <w:tcW w:w="3119" w:type="dxa"/>
                </w:tcPr>
                <w:p w14:paraId="318FD0CC" w14:textId="77777777" w:rsidR="005F0579" w:rsidRPr="00A81BBC" w:rsidRDefault="005F0579" w:rsidP="00370D8E">
                  <w:pPr>
                    <w:jc w:val="left"/>
                    <w:rPr>
                      <w:rFonts w:ascii="Arial Narrow" w:eastAsia="SimSun" w:hAnsi="Arial Narrow" w:cs="Times New Roman"/>
                      <w:bCs/>
                      <w:sz w:val="18"/>
                      <w:szCs w:val="18"/>
                      <w:lang w:eastAsia="zh-CN"/>
                    </w:rPr>
                  </w:pPr>
                  <w:r w:rsidRPr="00A81BBC">
                    <w:rPr>
                      <w:rFonts w:ascii="Arial Narrow" w:hAnsi="Arial Narrow" w:cs="Times New Roman"/>
                      <w:bCs/>
                      <w:sz w:val="18"/>
                      <w:szCs w:val="18"/>
                      <w:lang w:eastAsia="en-US"/>
                    </w:rPr>
                    <w:t>CKD 3b</w:t>
                  </w:r>
                </w:p>
              </w:tc>
              <w:tc>
                <w:tcPr>
                  <w:tcW w:w="2126" w:type="dxa"/>
                </w:tcPr>
                <w:p w14:paraId="754A0024"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 xml:space="preserve">0.57 </w:t>
                  </w:r>
                </w:p>
              </w:tc>
              <w:tc>
                <w:tcPr>
                  <w:tcW w:w="2065" w:type="dxa"/>
                </w:tcPr>
                <w:p w14:paraId="32F463B5"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 xml:space="preserve">0.80 </w:t>
                  </w:r>
                </w:p>
              </w:tc>
              <w:tc>
                <w:tcPr>
                  <w:tcW w:w="1651" w:type="dxa"/>
                  <w:vAlign w:val="center"/>
                </w:tcPr>
                <w:p w14:paraId="64A1EFB1"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0.80</w:t>
                  </w:r>
                </w:p>
              </w:tc>
            </w:tr>
            <w:tr w:rsidR="005F0579" w:rsidRPr="00A81BBC" w14:paraId="6D1E053C" w14:textId="77777777" w:rsidTr="00A8333A">
              <w:trPr>
                <w:trHeight w:val="63"/>
                <w:jc w:val="center"/>
              </w:trPr>
              <w:tc>
                <w:tcPr>
                  <w:tcW w:w="3119" w:type="dxa"/>
                </w:tcPr>
                <w:p w14:paraId="35B5B588" w14:textId="77777777" w:rsidR="005F0579" w:rsidRPr="00A81BBC" w:rsidRDefault="005F0579" w:rsidP="00370D8E">
                  <w:pPr>
                    <w:jc w:val="left"/>
                    <w:rPr>
                      <w:rFonts w:ascii="Arial Narrow" w:eastAsia="SimSun" w:hAnsi="Arial Narrow" w:cs="Times New Roman"/>
                      <w:bCs/>
                      <w:sz w:val="18"/>
                      <w:szCs w:val="18"/>
                      <w:lang w:eastAsia="zh-CN"/>
                    </w:rPr>
                  </w:pPr>
                  <w:r w:rsidRPr="00A81BBC">
                    <w:rPr>
                      <w:rFonts w:ascii="Arial Narrow" w:hAnsi="Arial Narrow" w:cs="Times New Roman"/>
                      <w:bCs/>
                      <w:sz w:val="18"/>
                      <w:szCs w:val="18"/>
                      <w:lang w:eastAsia="en-US"/>
                    </w:rPr>
                    <w:t>CKD 4</w:t>
                  </w:r>
                </w:p>
              </w:tc>
              <w:tc>
                <w:tcPr>
                  <w:tcW w:w="2126" w:type="dxa"/>
                </w:tcPr>
                <w:p w14:paraId="1701EC23"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 xml:space="preserve">0.33 </w:t>
                  </w:r>
                </w:p>
              </w:tc>
              <w:tc>
                <w:tcPr>
                  <w:tcW w:w="2065" w:type="dxa"/>
                </w:tcPr>
                <w:p w14:paraId="3FCCCA5D"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 xml:space="preserve">0.51 </w:t>
                  </w:r>
                </w:p>
              </w:tc>
              <w:tc>
                <w:tcPr>
                  <w:tcW w:w="1651" w:type="dxa"/>
                  <w:vAlign w:val="center"/>
                </w:tcPr>
                <w:p w14:paraId="2E7C2ED9"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0.74</w:t>
                  </w:r>
                </w:p>
              </w:tc>
            </w:tr>
            <w:tr w:rsidR="005F0579" w:rsidRPr="00A81BBC" w14:paraId="70019182" w14:textId="77777777" w:rsidTr="00A8333A">
              <w:trPr>
                <w:trHeight w:val="63"/>
                <w:jc w:val="center"/>
              </w:trPr>
              <w:tc>
                <w:tcPr>
                  <w:tcW w:w="3119" w:type="dxa"/>
                </w:tcPr>
                <w:p w14:paraId="33BBB6CC" w14:textId="77777777" w:rsidR="005F0579" w:rsidRPr="00A81BBC" w:rsidRDefault="005F0579" w:rsidP="00370D8E">
                  <w:pPr>
                    <w:jc w:val="left"/>
                    <w:rPr>
                      <w:rFonts w:ascii="Arial Narrow" w:eastAsia="SimSun" w:hAnsi="Arial Narrow" w:cs="Times New Roman"/>
                      <w:bCs/>
                      <w:sz w:val="18"/>
                      <w:szCs w:val="18"/>
                      <w:lang w:eastAsia="zh-CN"/>
                    </w:rPr>
                  </w:pPr>
                  <w:r w:rsidRPr="00A81BBC">
                    <w:rPr>
                      <w:rFonts w:ascii="Arial Narrow" w:hAnsi="Arial Narrow" w:cs="Times New Roman"/>
                      <w:bCs/>
                      <w:sz w:val="18"/>
                      <w:szCs w:val="18"/>
                      <w:lang w:eastAsia="en-US"/>
                    </w:rPr>
                    <w:t xml:space="preserve">CKD 5 </w:t>
                  </w:r>
                  <w:r w:rsidRPr="00A81BBC">
                    <w:rPr>
                      <w:rFonts w:ascii="Arial Narrow" w:eastAsia="SimSun" w:hAnsi="Arial Narrow" w:cs="Times New Roman" w:hint="eastAsia"/>
                      <w:bCs/>
                      <w:sz w:val="18"/>
                      <w:szCs w:val="18"/>
                      <w:lang w:eastAsia="zh-CN"/>
                    </w:rPr>
                    <w:t>(</w:t>
                  </w:r>
                  <w:r w:rsidRPr="00A81BBC">
                    <w:rPr>
                      <w:rFonts w:ascii="Arial Narrow" w:eastAsia="SimSun" w:hAnsi="Arial Narrow" w:cs="Times New Roman"/>
                      <w:bCs/>
                      <w:sz w:val="18"/>
                      <w:szCs w:val="18"/>
                      <w:lang w:eastAsia="zh-CN"/>
                    </w:rPr>
                    <w:t>conservative care</w:t>
                  </w:r>
                  <w:r w:rsidRPr="00A81BBC">
                    <w:rPr>
                      <w:rFonts w:ascii="Arial Narrow" w:eastAsia="SimSun" w:hAnsi="Arial Narrow" w:cs="Times New Roman" w:hint="eastAsia"/>
                      <w:bCs/>
                      <w:sz w:val="18"/>
                      <w:szCs w:val="18"/>
                      <w:lang w:eastAsia="zh-CN"/>
                    </w:rPr>
                    <w:t>)</w:t>
                  </w:r>
                </w:p>
              </w:tc>
              <w:tc>
                <w:tcPr>
                  <w:tcW w:w="2126" w:type="dxa"/>
                </w:tcPr>
                <w:p w14:paraId="43608E72"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0.02</w:t>
                  </w:r>
                  <w:r w:rsidRPr="00A81BBC">
                    <w:rPr>
                      <w:rFonts w:ascii="Arial Narrow" w:hAnsi="Arial Narrow" w:cs="Times New Roman"/>
                      <w:sz w:val="18"/>
                      <w:szCs w:val="18"/>
                      <w:vertAlign w:val="superscript"/>
                      <w:lang w:eastAsia="en-US"/>
                    </w:rPr>
                    <w:t>a</w:t>
                  </w:r>
                  <w:r w:rsidRPr="00A81BBC">
                    <w:rPr>
                      <w:rFonts w:ascii="Arial Narrow" w:hAnsi="Arial Narrow" w:cs="Times New Roman"/>
                      <w:sz w:val="18"/>
                      <w:szCs w:val="18"/>
                      <w:lang w:eastAsia="en-US"/>
                    </w:rPr>
                    <w:t xml:space="preserve"> </w:t>
                  </w:r>
                </w:p>
              </w:tc>
              <w:tc>
                <w:tcPr>
                  <w:tcW w:w="2065" w:type="dxa"/>
                </w:tcPr>
                <w:p w14:paraId="6A457930" w14:textId="77777777" w:rsidR="005F0579" w:rsidRPr="00A81BBC" w:rsidRDefault="005F0579" w:rsidP="00370D8E">
                  <w:pPr>
                    <w:jc w:val="center"/>
                    <w:rPr>
                      <w:rFonts w:ascii="Arial Narrow" w:hAnsi="Arial Narrow" w:cs="Times New Roman"/>
                      <w:bCs/>
                      <w:sz w:val="18"/>
                      <w:szCs w:val="18"/>
                      <w:vertAlign w:val="superscript"/>
                      <w:lang w:eastAsia="en-US"/>
                    </w:rPr>
                  </w:pPr>
                  <w:r w:rsidRPr="00A81BBC">
                    <w:rPr>
                      <w:rFonts w:ascii="Arial Narrow" w:hAnsi="Arial Narrow" w:cs="Times New Roman"/>
                      <w:sz w:val="18"/>
                      <w:szCs w:val="18"/>
                      <w:lang w:eastAsia="en-US"/>
                    </w:rPr>
                    <w:t>0.39</w:t>
                  </w:r>
                  <w:r w:rsidRPr="00A81BBC">
                    <w:rPr>
                      <w:rFonts w:ascii="Arial Narrow" w:hAnsi="Arial Narrow" w:cs="Times New Roman"/>
                      <w:sz w:val="18"/>
                      <w:szCs w:val="18"/>
                      <w:vertAlign w:val="superscript"/>
                      <w:lang w:eastAsia="en-US"/>
                    </w:rPr>
                    <w:t>a</w:t>
                  </w:r>
                </w:p>
              </w:tc>
              <w:tc>
                <w:tcPr>
                  <w:tcW w:w="1651" w:type="dxa"/>
                  <w:vAlign w:val="center"/>
                </w:tcPr>
                <w:p w14:paraId="0647151C"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0.73</w:t>
                  </w:r>
                </w:p>
              </w:tc>
            </w:tr>
            <w:tr w:rsidR="005F0579" w:rsidRPr="00A81BBC" w14:paraId="5DB3BA52" w14:textId="77777777" w:rsidTr="00A8333A">
              <w:trPr>
                <w:trHeight w:val="63"/>
                <w:jc w:val="center"/>
              </w:trPr>
              <w:tc>
                <w:tcPr>
                  <w:tcW w:w="3119" w:type="dxa"/>
                </w:tcPr>
                <w:p w14:paraId="07382D3A" w14:textId="77777777" w:rsidR="005F0579" w:rsidRPr="00A81BBC" w:rsidRDefault="005F0579" w:rsidP="00370D8E">
                  <w:pPr>
                    <w:jc w:val="left"/>
                    <w:rPr>
                      <w:rFonts w:ascii="Arial Narrow" w:eastAsia="SimSun" w:hAnsi="Arial Narrow" w:cs="Times New Roman"/>
                      <w:bCs/>
                      <w:sz w:val="18"/>
                      <w:szCs w:val="18"/>
                      <w:lang w:eastAsia="zh-CN"/>
                    </w:rPr>
                  </w:pPr>
                  <w:r w:rsidRPr="00A81BBC">
                    <w:rPr>
                      <w:rFonts w:ascii="Arial Narrow" w:hAnsi="Arial Narrow" w:cs="Times New Roman"/>
                      <w:sz w:val="18"/>
                      <w:szCs w:val="18"/>
                      <w:lang w:eastAsia="en-US"/>
                    </w:rPr>
                    <w:t>Dialysis</w:t>
                  </w:r>
                </w:p>
              </w:tc>
              <w:tc>
                <w:tcPr>
                  <w:tcW w:w="2126" w:type="dxa"/>
                  <w:vAlign w:val="center"/>
                </w:tcPr>
                <w:p w14:paraId="112BCD6F"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0.</w:t>
                  </w:r>
                  <w:r w:rsidRPr="00A81BBC">
                    <w:rPr>
                      <w:rFonts w:ascii="Arial Narrow" w:eastAsia="SimSun" w:hAnsi="Arial Narrow" w:cs="Times New Roman" w:hint="eastAsia"/>
                      <w:sz w:val="18"/>
                      <w:szCs w:val="18"/>
                      <w:lang w:eastAsia="zh-CN"/>
                    </w:rPr>
                    <w:t>02</w:t>
                  </w:r>
                  <w:r w:rsidRPr="00A81BBC">
                    <w:rPr>
                      <w:rFonts w:ascii="Arial Narrow" w:eastAsia="SimSun" w:hAnsi="Arial Narrow" w:cs="Times New Roman"/>
                      <w:sz w:val="18"/>
                      <w:szCs w:val="18"/>
                      <w:vertAlign w:val="superscript"/>
                      <w:lang w:eastAsia="zh-CN"/>
                    </w:rPr>
                    <w:t>a</w:t>
                  </w:r>
                  <w:r w:rsidRPr="00A81BBC">
                    <w:rPr>
                      <w:rFonts w:ascii="Arial Narrow" w:eastAsia="SimSun" w:hAnsi="Arial Narrow" w:cs="Times New Roman"/>
                      <w:sz w:val="18"/>
                      <w:szCs w:val="18"/>
                      <w:lang w:eastAsia="zh-CN"/>
                    </w:rPr>
                    <w:t xml:space="preserve"> </w:t>
                  </w:r>
                </w:p>
              </w:tc>
              <w:tc>
                <w:tcPr>
                  <w:tcW w:w="2065" w:type="dxa"/>
                  <w:vAlign w:val="center"/>
                </w:tcPr>
                <w:p w14:paraId="5874DA1D" w14:textId="77777777" w:rsidR="005F0579" w:rsidRPr="00A81BBC" w:rsidRDefault="005F0579" w:rsidP="00370D8E">
                  <w:pPr>
                    <w:jc w:val="center"/>
                    <w:rPr>
                      <w:rFonts w:ascii="Arial Narrow" w:hAnsi="Arial Narrow" w:cs="Times New Roman"/>
                      <w:bCs/>
                      <w:sz w:val="18"/>
                      <w:szCs w:val="18"/>
                      <w:vertAlign w:val="superscript"/>
                      <w:lang w:eastAsia="en-US"/>
                    </w:rPr>
                  </w:pPr>
                  <w:r w:rsidRPr="00A81BBC">
                    <w:rPr>
                      <w:rFonts w:ascii="Arial Narrow" w:hAnsi="Arial Narrow" w:cs="Times New Roman"/>
                      <w:sz w:val="18"/>
                      <w:szCs w:val="18"/>
                      <w:lang w:eastAsia="en-US"/>
                    </w:rPr>
                    <w:t>0.39</w:t>
                  </w:r>
                  <w:r w:rsidRPr="00A81BBC">
                    <w:rPr>
                      <w:rFonts w:ascii="Arial Narrow" w:hAnsi="Arial Narrow" w:cs="Times New Roman"/>
                      <w:sz w:val="18"/>
                      <w:szCs w:val="18"/>
                      <w:vertAlign w:val="superscript"/>
                      <w:lang w:eastAsia="en-US"/>
                    </w:rPr>
                    <w:t>a</w:t>
                  </w:r>
                </w:p>
              </w:tc>
              <w:tc>
                <w:tcPr>
                  <w:tcW w:w="1651" w:type="dxa"/>
                  <w:vAlign w:val="center"/>
                </w:tcPr>
                <w:p w14:paraId="15E06C9F"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0.67</w:t>
                  </w:r>
                </w:p>
              </w:tc>
            </w:tr>
            <w:tr w:rsidR="005F0579" w:rsidRPr="00A81BBC" w14:paraId="2915669D" w14:textId="77777777" w:rsidTr="00A8333A">
              <w:trPr>
                <w:trHeight w:val="63"/>
                <w:jc w:val="center"/>
              </w:trPr>
              <w:tc>
                <w:tcPr>
                  <w:tcW w:w="3119" w:type="dxa"/>
                </w:tcPr>
                <w:p w14:paraId="52FFBC39" w14:textId="77777777" w:rsidR="005F0579" w:rsidRPr="00A81BBC" w:rsidRDefault="005F0579" w:rsidP="00370D8E">
                  <w:pPr>
                    <w:jc w:val="left"/>
                    <w:rPr>
                      <w:rFonts w:ascii="Arial Narrow" w:hAnsi="Arial Narrow" w:cs="Times New Roman"/>
                      <w:sz w:val="18"/>
                      <w:szCs w:val="18"/>
                      <w:lang w:eastAsia="en-US"/>
                    </w:rPr>
                  </w:pPr>
                  <w:r w:rsidRPr="00A81BBC">
                    <w:rPr>
                      <w:rFonts w:ascii="Arial Narrow" w:hAnsi="Arial Narrow" w:cs="Times New Roman"/>
                      <w:sz w:val="18"/>
                      <w:szCs w:val="18"/>
                      <w:lang w:eastAsia="en-US"/>
                    </w:rPr>
                    <w:t>Post-transplant (functioning kidney)</w:t>
                  </w:r>
                </w:p>
              </w:tc>
              <w:tc>
                <w:tcPr>
                  <w:tcW w:w="2126" w:type="dxa"/>
                </w:tcPr>
                <w:p w14:paraId="37E4A7C8"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bCs/>
                      <w:sz w:val="18"/>
                      <w:szCs w:val="18"/>
                      <w:lang w:eastAsia="en-US"/>
                    </w:rPr>
                    <w:t>0.68</w:t>
                  </w:r>
                </w:p>
              </w:tc>
              <w:tc>
                <w:tcPr>
                  <w:tcW w:w="2065" w:type="dxa"/>
                  <w:vAlign w:val="center"/>
                </w:tcPr>
                <w:p w14:paraId="5A056BA9"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0.77</w:t>
                  </w:r>
                </w:p>
              </w:tc>
              <w:tc>
                <w:tcPr>
                  <w:tcW w:w="1651" w:type="dxa"/>
                  <w:vAlign w:val="center"/>
                </w:tcPr>
                <w:p w14:paraId="1D002197"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0.83</w:t>
                  </w:r>
                </w:p>
              </w:tc>
            </w:tr>
            <w:tr w:rsidR="005F0579" w:rsidRPr="00A81BBC" w14:paraId="3C0AFD21" w14:textId="77777777" w:rsidTr="00A8333A">
              <w:trPr>
                <w:trHeight w:val="63"/>
                <w:jc w:val="center"/>
              </w:trPr>
              <w:tc>
                <w:tcPr>
                  <w:tcW w:w="3119" w:type="dxa"/>
                  <w:tcBorders>
                    <w:bottom w:val="single" w:sz="4" w:space="0" w:color="auto"/>
                  </w:tcBorders>
                  <w:vAlign w:val="center"/>
                </w:tcPr>
                <w:p w14:paraId="350E56D3" w14:textId="77777777" w:rsidR="005F0579" w:rsidRPr="00A81BBC" w:rsidRDefault="005F0579" w:rsidP="00370D8E">
                  <w:pPr>
                    <w:jc w:val="left"/>
                    <w:rPr>
                      <w:rFonts w:ascii="Arial Narrow" w:hAnsi="Arial Narrow" w:cs="Times New Roman"/>
                      <w:sz w:val="18"/>
                      <w:szCs w:val="18"/>
                      <w:lang w:eastAsia="en-US"/>
                    </w:rPr>
                  </w:pPr>
                  <w:r w:rsidRPr="00A81BBC">
                    <w:rPr>
                      <w:rFonts w:ascii="Arial Narrow" w:hAnsi="Arial Narrow" w:cs="Times New Roman"/>
                      <w:sz w:val="18"/>
                      <w:szCs w:val="18"/>
                      <w:lang w:eastAsia="en-US"/>
                    </w:rPr>
                    <w:t>Post-transplant (graft failure)</w:t>
                  </w:r>
                </w:p>
              </w:tc>
              <w:tc>
                <w:tcPr>
                  <w:tcW w:w="2126" w:type="dxa"/>
                  <w:tcBorders>
                    <w:bottom w:val="single" w:sz="4" w:space="0" w:color="auto"/>
                  </w:tcBorders>
                  <w:vAlign w:val="center"/>
                </w:tcPr>
                <w:p w14:paraId="0225A291" w14:textId="77777777" w:rsidR="005F0579" w:rsidRPr="00A81BBC" w:rsidRDefault="005F0579" w:rsidP="00370D8E">
                  <w:pPr>
                    <w:jc w:val="center"/>
                    <w:rPr>
                      <w:rFonts w:ascii="Arial Narrow" w:hAnsi="Arial Narrow" w:cs="Times New Roman"/>
                      <w:bCs/>
                      <w:sz w:val="18"/>
                      <w:szCs w:val="18"/>
                      <w:vertAlign w:val="superscript"/>
                      <w:lang w:eastAsia="en-US"/>
                    </w:rPr>
                  </w:pPr>
                  <w:r w:rsidRPr="00A81BBC">
                    <w:rPr>
                      <w:rFonts w:ascii="Arial Narrow" w:hAnsi="Arial Narrow" w:cs="Times New Roman"/>
                      <w:sz w:val="18"/>
                      <w:szCs w:val="18"/>
                      <w:lang w:eastAsia="en-US"/>
                    </w:rPr>
                    <w:t>0.</w:t>
                  </w:r>
                  <w:r w:rsidRPr="00A81BBC">
                    <w:rPr>
                      <w:rFonts w:ascii="Arial Narrow" w:eastAsia="SimSun" w:hAnsi="Arial Narrow" w:cs="Times New Roman" w:hint="eastAsia"/>
                      <w:sz w:val="18"/>
                      <w:szCs w:val="18"/>
                      <w:lang w:eastAsia="zh-CN"/>
                    </w:rPr>
                    <w:t>02</w:t>
                  </w:r>
                  <w:r w:rsidRPr="00A81BBC">
                    <w:rPr>
                      <w:rFonts w:ascii="Arial Narrow" w:eastAsia="SimSun" w:hAnsi="Arial Narrow" w:cs="Times New Roman"/>
                      <w:sz w:val="18"/>
                      <w:szCs w:val="18"/>
                      <w:vertAlign w:val="superscript"/>
                      <w:lang w:eastAsia="zh-CN"/>
                    </w:rPr>
                    <w:t>b</w:t>
                  </w:r>
                </w:p>
              </w:tc>
              <w:tc>
                <w:tcPr>
                  <w:tcW w:w="2065" w:type="dxa"/>
                  <w:tcBorders>
                    <w:bottom w:val="single" w:sz="4" w:space="0" w:color="auto"/>
                  </w:tcBorders>
                  <w:vAlign w:val="center"/>
                </w:tcPr>
                <w:p w14:paraId="78DA33D8" w14:textId="77777777" w:rsidR="005F0579" w:rsidRPr="00A81BBC" w:rsidRDefault="005F0579" w:rsidP="00370D8E">
                  <w:pPr>
                    <w:jc w:val="center"/>
                    <w:rPr>
                      <w:rFonts w:ascii="Arial Narrow" w:hAnsi="Arial Narrow" w:cs="Times New Roman"/>
                      <w:bCs/>
                      <w:sz w:val="18"/>
                      <w:szCs w:val="18"/>
                      <w:vertAlign w:val="superscript"/>
                      <w:lang w:eastAsia="en-US"/>
                    </w:rPr>
                  </w:pPr>
                  <w:r w:rsidRPr="00A81BBC">
                    <w:rPr>
                      <w:rFonts w:ascii="Arial Narrow" w:hAnsi="Arial Narrow" w:cs="Times New Roman"/>
                      <w:sz w:val="18"/>
                      <w:szCs w:val="18"/>
                      <w:lang w:eastAsia="en-US"/>
                    </w:rPr>
                    <w:t>0.</w:t>
                  </w:r>
                  <w:r w:rsidRPr="00A81BBC">
                    <w:rPr>
                      <w:rFonts w:ascii="Arial Narrow" w:eastAsia="SimSun" w:hAnsi="Arial Narrow" w:cs="Times New Roman"/>
                      <w:sz w:val="18"/>
                      <w:szCs w:val="18"/>
                      <w:lang w:eastAsia="zh-CN"/>
                    </w:rPr>
                    <w:t>39</w:t>
                  </w:r>
                  <w:r w:rsidRPr="00A81BBC">
                    <w:rPr>
                      <w:rFonts w:ascii="Arial Narrow" w:eastAsia="SimSun" w:hAnsi="Arial Narrow" w:cs="Times New Roman"/>
                      <w:sz w:val="18"/>
                      <w:szCs w:val="18"/>
                      <w:vertAlign w:val="superscript"/>
                      <w:lang w:eastAsia="zh-CN"/>
                    </w:rPr>
                    <w:t>b</w:t>
                  </w:r>
                </w:p>
              </w:tc>
              <w:tc>
                <w:tcPr>
                  <w:tcW w:w="1651" w:type="dxa"/>
                  <w:tcBorders>
                    <w:bottom w:val="single" w:sz="4" w:space="0" w:color="auto"/>
                  </w:tcBorders>
                  <w:vAlign w:val="center"/>
                </w:tcPr>
                <w:p w14:paraId="6603D4E3" w14:textId="77777777" w:rsidR="005F0579" w:rsidRPr="00A81BBC" w:rsidRDefault="005F0579" w:rsidP="00370D8E">
                  <w:pPr>
                    <w:jc w:val="center"/>
                    <w:rPr>
                      <w:rFonts w:ascii="Arial Narrow" w:hAnsi="Arial Narrow" w:cs="Times New Roman"/>
                      <w:bCs/>
                      <w:sz w:val="18"/>
                      <w:szCs w:val="18"/>
                      <w:lang w:eastAsia="en-US"/>
                    </w:rPr>
                  </w:pPr>
                  <w:r w:rsidRPr="00A81BBC">
                    <w:rPr>
                      <w:rFonts w:ascii="Arial Narrow" w:hAnsi="Arial Narrow" w:cs="Times New Roman"/>
                      <w:sz w:val="18"/>
                      <w:szCs w:val="18"/>
                      <w:lang w:eastAsia="en-US"/>
                    </w:rPr>
                    <w:t>0.67</w:t>
                  </w:r>
                  <w:r w:rsidRPr="00A81BBC">
                    <w:rPr>
                      <w:rFonts w:ascii="Arial Narrow" w:hAnsi="Arial Narrow" w:cs="Times New Roman"/>
                      <w:sz w:val="18"/>
                      <w:szCs w:val="18"/>
                      <w:vertAlign w:val="superscript"/>
                      <w:lang w:eastAsia="en-US"/>
                    </w:rPr>
                    <w:t>b</w:t>
                  </w:r>
                </w:p>
              </w:tc>
            </w:tr>
          </w:tbl>
          <w:p w14:paraId="32FE74FE" w14:textId="26B1AF5D" w:rsidR="005F0579" w:rsidRDefault="005F0579" w:rsidP="00370D8E">
            <w:pPr>
              <w:pStyle w:val="TableText"/>
              <w:keepNext w:val="0"/>
            </w:pPr>
          </w:p>
        </w:tc>
      </w:tr>
      <w:tr w:rsidR="007709AA" w:rsidRPr="006117F6" w14:paraId="129EADCA" w14:textId="77777777" w:rsidTr="004B70C2">
        <w:trPr>
          <w:cantSplit/>
        </w:trPr>
        <w:tc>
          <w:tcPr>
            <w:tcW w:w="857" w:type="pct"/>
            <w:vAlign w:val="center"/>
          </w:tcPr>
          <w:p w14:paraId="7AB99739" w14:textId="77777777" w:rsidR="007709AA" w:rsidRPr="006117F6" w:rsidRDefault="007709AA" w:rsidP="00370D8E">
            <w:pPr>
              <w:pStyle w:val="TableText"/>
              <w:keepNext w:val="0"/>
            </w:pPr>
            <w:r w:rsidRPr="006117F6">
              <w:lastRenderedPageBreak/>
              <w:t>Costs</w:t>
            </w:r>
          </w:p>
        </w:tc>
        <w:tc>
          <w:tcPr>
            <w:tcW w:w="4143" w:type="pct"/>
            <w:vAlign w:val="center"/>
          </w:tcPr>
          <w:p w14:paraId="3CEB6A1B" w14:textId="77777777" w:rsidR="007709AA" w:rsidRDefault="007709AA" w:rsidP="00370D8E">
            <w:pPr>
              <w:pStyle w:val="COMTabletext"/>
              <w:keepNext w:val="0"/>
              <w:keepLines w:val="0"/>
              <w:spacing w:after="120"/>
            </w:pPr>
            <w:r w:rsidRPr="008B32E2">
              <w:t xml:space="preserve">Drug costs were estimated based on the proposed effective price of </w:t>
            </w:r>
            <w:r>
              <w:t>iptacopan</w:t>
            </w:r>
            <w:r w:rsidRPr="008B32E2">
              <w:t xml:space="preserve">. </w:t>
            </w:r>
            <w:r>
              <w:t xml:space="preserve">Drug costs for standard therapy (ACEI/ARB, corticosteroids, immunosuppressants and SGLT2 inhibitors) were based on published PBS prices. The cost of pneumococcal vaccination was estimated based on prices reported on the Eastern Health Authority website (a service provider in Adelaide). </w:t>
            </w:r>
          </w:p>
          <w:p w14:paraId="2E526627" w14:textId="77777777" w:rsidR="007709AA" w:rsidRDefault="007709AA" w:rsidP="00370D8E">
            <w:pPr>
              <w:pStyle w:val="COMTabletext"/>
              <w:keepNext w:val="0"/>
              <w:keepLines w:val="0"/>
              <w:spacing w:after="120"/>
            </w:pPr>
            <w:r>
              <w:t xml:space="preserve">Transplantation event costs were estimated </w:t>
            </w:r>
            <w:r w:rsidRPr="00E33E1C">
              <w:t>based on values presented in an Australian cost of illness study for chronic kidney disease (Deloitte 2023)</w:t>
            </w:r>
            <w:r>
              <w:t xml:space="preserve"> with the weighting between live and deceased donors recalculated based on data from the </w:t>
            </w:r>
            <w:r w:rsidRPr="00381C8E">
              <w:t>Australia and New Zealand Dialysis and Transplant Registry</w:t>
            </w:r>
            <w:r>
              <w:t xml:space="preserve"> (</w:t>
            </w:r>
            <w:r w:rsidRPr="00381C8E">
              <w:t xml:space="preserve">47th Annual </w:t>
            </w:r>
            <w:r>
              <w:t>R</w:t>
            </w:r>
            <w:r w:rsidRPr="00381C8E">
              <w:t>eport</w:t>
            </w:r>
            <w:r>
              <w:t xml:space="preserve"> 2024). </w:t>
            </w:r>
          </w:p>
          <w:p w14:paraId="2A259F91" w14:textId="77777777" w:rsidR="007709AA" w:rsidRDefault="007709AA" w:rsidP="00370D8E">
            <w:pPr>
              <w:pStyle w:val="COMTabletext"/>
              <w:keepNext w:val="0"/>
              <w:keepLines w:val="0"/>
              <w:spacing w:after="120"/>
            </w:pPr>
            <w:r>
              <w:t xml:space="preserve">Health state costs for CKD stages and dialysis were estimated </w:t>
            </w:r>
            <w:r w:rsidRPr="00E33E1C">
              <w:t>based on values presented in an Australian cost of illness study for chronic kidney disease (Deloitte 2023)</w:t>
            </w:r>
            <w:r>
              <w:t xml:space="preserve">. The average cost of dialysis was recalculated based on the use of peritoneal dialysis, home haemodialysis, satellite dialysis and hospital dialysis from the </w:t>
            </w:r>
            <w:r w:rsidRPr="00381C8E">
              <w:t>Australia and New Zealand Dialysis and Transplant Registry</w:t>
            </w:r>
            <w:r>
              <w:t xml:space="preserve"> (</w:t>
            </w:r>
            <w:r w:rsidRPr="00381C8E">
              <w:t xml:space="preserve">47th Annual </w:t>
            </w:r>
            <w:r>
              <w:t>R</w:t>
            </w:r>
            <w:r w:rsidRPr="00381C8E">
              <w:t>eport</w:t>
            </w:r>
            <w:r>
              <w:t xml:space="preserve"> 2024). </w:t>
            </w:r>
          </w:p>
          <w:p w14:paraId="11D97D9A" w14:textId="323AA72C" w:rsidR="007709AA" w:rsidRDefault="007709AA" w:rsidP="00370D8E">
            <w:pPr>
              <w:pStyle w:val="TableText"/>
              <w:keepNext w:val="0"/>
            </w:pPr>
            <w:r>
              <w:t>The health state cost for post-transplantation (successful graft) was estimated based on values reported in the d</w:t>
            </w:r>
            <w:r w:rsidRPr="00F04B0F">
              <w:t>apagliflozin</w:t>
            </w:r>
            <w:r>
              <w:t xml:space="preserve"> (chronic kidney disease)</w:t>
            </w:r>
            <w:r w:rsidRPr="00F04B0F">
              <w:t xml:space="preserve"> </w:t>
            </w:r>
            <w:r w:rsidR="003D7770">
              <w:t>Public Summary Document (</w:t>
            </w:r>
            <w:r w:rsidRPr="00F04B0F">
              <w:t>PSD</w:t>
            </w:r>
            <w:r w:rsidR="003D7770">
              <w:t>)</w:t>
            </w:r>
            <w:r w:rsidRPr="00F04B0F">
              <w:t xml:space="preserve"> July 2021</w:t>
            </w:r>
            <w:r>
              <w:t xml:space="preserve"> PBAC meeting. The health state cost of post-transplantation (graft failure) was assumed to be the same as dialysis. </w:t>
            </w:r>
          </w:p>
          <w:p w14:paraId="00673667" w14:textId="51D9998C" w:rsidR="00AE729A" w:rsidRPr="00A81BBC" w:rsidRDefault="00AE729A" w:rsidP="00370D8E">
            <w:pPr>
              <w:pStyle w:val="TableText"/>
              <w:keepNext w:val="0"/>
            </w:pPr>
            <w:r w:rsidRPr="00A81BBC">
              <w:t xml:space="preserve">Errors in the implementation of transplant event </w:t>
            </w:r>
            <w:r w:rsidR="00D513C1" w:rsidRPr="00A81BBC">
              <w:t xml:space="preserve">costs </w:t>
            </w:r>
            <w:r w:rsidRPr="00A81BBC">
              <w:t xml:space="preserve">and </w:t>
            </w:r>
            <w:r w:rsidR="00D513C1" w:rsidRPr="00A81BBC">
              <w:t>kidney failure health state costs were corrected in the commentary.</w:t>
            </w:r>
          </w:p>
        </w:tc>
      </w:tr>
      <w:tr w:rsidR="007709AA" w:rsidRPr="006117F6" w14:paraId="2BDC33AA" w14:textId="77777777" w:rsidTr="004B70C2">
        <w:trPr>
          <w:cantSplit/>
        </w:trPr>
        <w:tc>
          <w:tcPr>
            <w:tcW w:w="857" w:type="pct"/>
            <w:vAlign w:val="center"/>
          </w:tcPr>
          <w:p w14:paraId="6C7DE3D7" w14:textId="77777777" w:rsidR="007709AA" w:rsidRPr="006117F6" w:rsidRDefault="007709AA" w:rsidP="00370D8E">
            <w:pPr>
              <w:pStyle w:val="TableText"/>
              <w:keepNext w:val="0"/>
            </w:pPr>
            <w:r w:rsidRPr="006117F6">
              <w:t>Discount rate</w:t>
            </w:r>
          </w:p>
        </w:tc>
        <w:tc>
          <w:tcPr>
            <w:tcW w:w="4143" w:type="pct"/>
            <w:vAlign w:val="center"/>
          </w:tcPr>
          <w:p w14:paraId="349AA5ED" w14:textId="77777777" w:rsidR="007709AA" w:rsidRPr="006117F6" w:rsidRDefault="007709AA" w:rsidP="00370D8E">
            <w:pPr>
              <w:pStyle w:val="TableText"/>
              <w:keepNext w:val="0"/>
            </w:pPr>
            <w:r>
              <w:t>3.5</w:t>
            </w:r>
            <w:r w:rsidRPr="006117F6">
              <w:t>% for costs and outcomes</w:t>
            </w:r>
          </w:p>
        </w:tc>
      </w:tr>
      <w:tr w:rsidR="007709AA" w:rsidRPr="006117F6" w14:paraId="6E743C7A" w14:textId="77777777" w:rsidTr="004B70C2">
        <w:trPr>
          <w:cantSplit/>
        </w:trPr>
        <w:tc>
          <w:tcPr>
            <w:tcW w:w="857" w:type="pct"/>
            <w:vAlign w:val="center"/>
          </w:tcPr>
          <w:p w14:paraId="39B6CDEF" w14:textId="77777777" w:rsidR="007709AA" w:rsidRPr="006117F6" w:rsidRDefault="007709AA" w:rsidP="00370D8E">
            <w:pPr>
              <w:pStyle w:val="TableText"/>
              <w:keepNext w:val="0"/>
              <w:rPr>
                <w:rFonts w:ascii="Times" w:eastAsia="Times New Roman" w:hAnsi="Times" w:cs="Times New Roman"/>
                <w:szCs w:val="20"/>
              </w:rPr>
            </w:pPr>
            <w:r w:rsidRPr="006117F6">
              <w:t>Software package</w:t>
            </w:r>
          </w:p>
        </w:tc>
        <w:tc>
          <w:tcPr>
            <w:tcW w:w="4143" w:type="pct"/>
            <w:vAlign w:val="center"/>
          </w:tcPr>
          <w:p w14:paraId="3507271C" w14:textId="77777777" w:rsidR="007709AA" w:rsidRPr="006117F6" w:rsidRDefault="007709AA" w:rsidP="00370D8E">
            <w:pPr>
              <w:pStyle w:val="TableText"/>
              <w:keepNext w:val="0"/>
            </w:pPr>
            <w:r w:rsidRPr="006117F6">
              <w:t>Microsoft Excel</w:t>
            </w:r>
          </w:p>
        </w:tc>
      </w:tr>
    </w:tbl>
    <w:p w14:paraId="7C411651" w14:textId="77777777" w:rsidR="007709AA" w:rsidRPr="00EB1243" w:rsidRDefault="007709AA" w:rsidP="00370D8E">
      <w:pPr>
        <w:pStyle w:val="COMTablefooter"/>
      </w:pPr>
      <w:r w:rsidRPr="00EB1243">
        <w:t>Source: Section 3.3-3.6, pp154-196 of the submission</w:t>
      </w:r>
    </w:p>
    <w:p w14:paraId="68022752" w14:textId="540984D8" w:rsidR="007709AA" w:rsidRPr="00EB1243" w:rsidRDefault="007709AA" w:rsidP="00370D8E">
      <w:pPr>
        <w:pStyle w:val="COMTablefooter"/>
      </w:pPr>
      <w:r w:rsidRPr="00EB1243">
        <w:t xml:space="preserve">Abbreviations: ACEI, angiotensin converting enzyme inhibitors; ARB, angiotensin II receptor blockers; CKD, chronic kidney disease; eGFR, estimated glomerular filtration rate; PBS, Pharmaceutical Benefits Scheme; PSD, Public Summary Document; </w:t>
      </w:r>
      <w:proofErr w:type="spellStart"/>
      <w:r w:rsidRPr="00EB1243">
        <w:t>RaDaR</w:t>
      </w:r>
      <w:proofErr w:type="spellEnd"/>
      <w:r w:rsidRPr="00EB1243">
        <w:t>, United Kingdom National Registry of Rare Kidney Disease; SGLT2, sodium-glucose co-transporter 2</w:t>
      </w:r>
    </w:p>
    <w:p w14:paraId="0B5E20D9" w14:textId="2557A9F2" w:rsidR="007709AA" w:rsidRPr="008D303E" w:rsidRDefault="007709AA" w:rsidP="00370D8E">
      <w:pPr>
        <w:pStyle w:val="COMESnumberedpara"/>
      </w:pPr>
      <w:r w:rsidRPr="008D303E">
        <w:t>Patients enter</w:t>
      </w:r>
      <w:r w:rsidR="00ED6AB1">
        <w:t>ed</w:t>
      </w:r>
      <w:r w:rsidRPr="008D303E">
        <w:t xml:space="preserve"> the model with chronic kidney disease but without kidney failure (Stage 1, 2, 3a, 3b or 4)</w:t>
      </w:r>
      <w:r>
        <w:t xml:space="preserve"> based on the distribution of patients in the APPEAR-C3G trial</w:t>
      </w:r>
      <w:r w:rsidRPr="008D303E">
        <w:t>. In each 13-week cycle, patients c</w:t>
      </w:r>
      <w:r w:rsidR="00ED6AB1">
        <w:t>ould</w:t>
      </w:r>
      <w:r w:rsidRPr="008D303E">
        <w:t xml:space="preserve"> remain in their current health state, progress to more severe kidney disease or die. Patients who reach</w:t>
      </w:r>
      <w:r w:rsidR="00ED6AB1">
        <w:t>ed</w:t>
      </w:r>
      <w:r w:rsidRPr="008D303E">
        <w:t xml:space="preserve"> CKD Stage 5 </w:t>
      </w:r>
      <w:r w:rsidR="00ED6AB1">
        <w:t>could</w:t>
      </w:r>
      <w:r w:rsidR="00ED6AB1" w:rsidRPr="008D303E">
        <w:t xml:space="preserve"> </w:t>
      </w:r>
      <w:r w:rsidRPr="008D303E">
        <w:t xml:space="preserve">remain on conservative care (until eGFR </w:t>
      </w:r>
      <w:r w:rsidR="00364110">
        <w:t xml:space="preserve">&lt; </w:t>
      </w:r>
      <w:r w:rsidRPr="008D303E">
        <w:t>7 mL/min/1.73</w:t>
      </w:r>
      <w:r w:rsidR="00EA14C3">
        <w:t xml:space="preserve"> </w:t>
      </w:r>
      <w:r w:rsidRPr="008D303E">
        <w:t>m</w:t>
      </w:r>
      <w:r w:rsidRPr="00D01A7D">
        <w:rPr>
          <w:vertAlign w:val="superscript"/>
        </w:rPr>
        <w:t>2</w:t>
      </w:r>
      <w:r w:rsidRPr="008D303E">
        <w:t xml:space="preserve">), switch to dialysis or undergo transplantation. Patients using dialysis </w:t>
      </w:r>
      <w:r w:rsidR="00ED6AB1">
        <w:t>could</w:t>
      </w:r>
      <w:r w:rsidR="00ED6AB1" w:rsidRPr="008D303E">
        <w:t xml:space="preserve"> </w:t>
      </w:r>
      <w:r w:rsidRPr="008D303E">
        <w:t>remain in this state or undergo transplantation. After transplantation, patients transition</w:t>
      </w:r>
      <w:r w:rsidR="00ED6AB1">
        <w:t>ed</w:t>
      </w:r>
      <w:r w:rsidRPr="008D303E">
        <w:t xml:space="preserve"> to the post-transplant (successful graft) health state and </w:t>
      </w:r>
      <w:r w:rsidR="00ED6AB1">
        <w:t>could</w:t>
      </w:r>
      <w:r w:rsidR="00ED6AB1" w:rsidRPr="008D303E">
        <w:t xml:space="preserve"> </w:t>
      </w:r>
      <w:r w:rsidRPr="008D303E">
        <w:t xml:space="preserve">remain in this state or transition to the post-transplant (graft failure) health state. Patients in the post-transplant (graft failure) health state </w:t>
      </w:r>
      <w:r w:rsidR="00ED6AB1">
        <w:t>could</w:t>
      </w:r>
      <w:r w:rsidR="00ED6AB1" w:rsidRPr="008D303E">
        <w:t xml:space="preserve"> </w:t>
      </w:r>
      <w:r w:rsidRPr="008D303E">
        <w:t>remain in this state or undergo another transplant.</w:t>
      </w:r>
    </w:p>
    <w:p w14:paraId="351EE50C" w14:textId="01258819" w:rsidR="007709AA" w:rsidRPr="00565CF0" w:rsidRDefault="00B71A4D" w:rsidP="00370D8E">
      <w:pPr>
        <w:pStyle w:val="COMESnumberedpara"/>
      </w:pPr>
      <w:r w:rsidRPr="00BC3A5E">
        <w:t xml:space="preserve">The ESC noted that the model structure was </w:t>
      </w:r>
      <w:proofErr w:type="gramStart"/>
      <w:r w:rsidRPr="00BC3A5E">
        <w:t>similar to</w:t>
      </w:r>
      <w:proofErr w:type="gramEnd"/>
      <w:r w:rsidRPr="00BC3A5E">
        <w:t xml:space="preserve"> other published models in </w:t>
      </w:r>
      <w:r w:rsidR="00546B89" w:rsidRPr="00BC3A5E">
        <w:t>chronic kidney disease, however</w:t>
      </w:r>
      <w:r w:rsidR="00546B89">
        <w:t xml:space="preserve"> t</w:t>
      </w:r>
      <w:r w:rsidR="007709AA" w:rsidRPr="00565CF0">
        <w:t>he model was built around a difference in eGFR decline between treatment arms which was not supported by the key randomised trial for iptacopan (APPEAR-C3G) which demonstrated a statistically significant improvement in proteinuria but not eGFR between treatment arms.</w:t>
      </w:r>
    </w:p>
    <w:p w14:paraId="7D45CA62" w14:textId="037BEEC6" w:rsidR="007709AA" w:rsidRPr="00BC3A5E" w:rsidRDefault="007709AA" w:rsidP="00370D8E">
      <w:pPr>
        <w:pStyle w:val="COMESnumberedpara"/>
      </w:pPr>
      <w:r w:rsidRPr="00565CF0">
        <w:t xml:space="preserve">Additionally, expert advice from the sponsor’s advisory panel indicated that disease trajectories for C3G were more unpredictable than other kidney conditions due to the relapsing-remitting pattern of disease, noting that patients may have periods of stability followed by episodes of rapid progression (C3G Advisory Board 9 May 2025; Attachment 6 of the submission). This pattern was not reflected in the model structure </w:t>
      </w:r>
      <w:r w:rsidRPr="00565CF0">
        <w:lastRenderedPageBreak/>
        <w:t>used in the submission.</w:t>
      </w:r>
      <w:r w:rsidR="00CB0BBA">
        <w:t xml:space="preserve"> </w:t>
      </w:r>
      <w:r w:rsidR="00CB0BBA" w:rsidRPr="00BC3A5E">
        <w:t xml:space="preserve">The PSCR </w:t>
      </w:r>
      <w:r w:rsidR="00413412" w:rsidRPr="00BC3A5E">
        <w:t>stated that the model was structured to reflect the average progression of C3G across the patient</w:t>
      </w:r>
      <w:r w:rsidR="00E21E39" w:rsidRPr="00BC3A5E">
        <w:t xml:space="preserve">s over time at a population level. </w:t>
      </w:r>
    </w:p>
    <w:p w14:paraId="79720750" w14:textId="77777777" w:rsidR="007709AA" w:rsidRPr="00565CF0" w:rsidRDefault="007709AA" w:rsidP="00370D8E">
      <w:pPr>
        <w:pStyle w:val="COMESnumberedpara"/>
      </w:pPr>
      <w:r w:rsidRPr="008D303E">
        <w:t>The submission nominated a 3.5% discount rate for costs and outcomes on the basis that the Health Technology Assessment Policy and Methods Review (2024) recommended a reduction in the discount rate to no lower than 3.5% for interventions whose benefits accrue over a long period (Recommendation 39</w:t>
      </w:r>
      <w:r w:rsidRPr="00565CF0">
        <w:t>). However, the current PBAC Guidelines state that the base case economic analysis should use a 5% discount rate for costs and outcomes with other discount rates tested in sensitivity analysis. Therefore, during the evaluation the base case analysis was respecified using a 5% discount rate.</w:t>
      </w:r>
    </w:p>
    <w:p w14:paraId="268F6FB1" w14:textId="77777777" w:rsidR="007709AA" w:rsidRPr="00565CF0" w:rsidRDefault="007709AA" w:rsidP="00370D8E">
      <w:pPr>
        <w:pStyle w:val="COMESnumberedpara"/>
      </w:pPr>
      <w:r w:rsidRPr="008D303E">
        <w:t xml:space="preserve">The submission nominated a societal perspective for the economic analysis due to the unique socioeconomic burden associated with C3G, which disproportionately affects younger individuals who are often in critical phases of their education, early career development, or prime working years. The submission stated that omitting the productivity costs would underestimate the real-world impact of C3G, misrepresenting the value of interventions meant to address the disease. </w:t>
      </w:r>
      <w:r w:rsidRPr="00565CF0">
        <w:t>However, the current PBAC Guidelines state that the base case economic analysis should use a healthcare system perspective, which can be supported with additional supplementary analyses using a broader societal perspective. Therefore, during the evaluation the base case analysis was respecified using a healthcare system perspective.</w:t>
      </w:r>
    </w:p>
    <w:p w14:paraId="6DFBAC4F" w14:textId="5F904C9E" w:rsidR="007709AA" w:rsidRPr="00564D86" w:rsidRDefault="007709AA" w:rsidP="00370D8E">
      <w:pPr>
        <w:pStyle w:val="COMESnumberedpara"/>
      </w:pPr>
      <w:r w:rsidRPr="009312BA">
        <w:t xml:space="preserve">Key drivers of the economic model are summarised in </w:t>
      </w:r>
      <w:r w:rsidR="00580C93">
        <w:fldChar w:fldCharType="begin"/>
      </w:r>
      <w:r w:rsidR="00580C93">
        <w:instrText xml:space="preserve"> REF _Ref208237957 \h </w:instrText>
      </w:r>
      <w:r w:rsidR="00580C93">
        <w:fldChar w:fldCharType="separate"/>
      </w:r>
      <w:r w:rsidR="00CC1313">
        <w:t xml:space="preserve">Table </w:t>
      </w:r>
      <w:r w:rsidR="00CC1313">
        <w:rPr>
          <w:noProof/>
        </w:rPr>
        <w:t>9</w:t>
      </w:r>
      <w:r w:rsidR="00580C93">
        <w:fldChar w:fldCharType="end"/>
      </w:r>
      <w:r>
        <w:t>.</w:t>
      </w:r>
    </w:p>
    <w:p w14:paraId="6B0E4962" w14:textId="3256B660" w:rsidR="007709AA" w:rsidRPr="006117F6" w:rsidRDefault="00580C93" w:rsidP="00370D8E">
      <w:pPr>
        <w:pStyle w:val="COMTableFigurecaption"/>
        <w:tabs>
          <w:tab w:val="left" w:pos="2985"/>
        </w:tabs>
      </w:pPr>
      <w:bookmarkStart w:id="42" w:name="_Ref208237957"/>
      <w:r>
        <w:t xml:space="preserve">Table </w:t>
      </w:r>
      <w:r w:rsidR="00DA4682">
        <w:fldChar w:fldCharType="begin"/>
      </w:r>
      <w:r w:rsidR="00DA4682">
        <w:instrText xml:space="preserve"> SEQ Table \* ARABIC </w:instrText>
      </w:r>
      <w:r w:rsidR="00DA4682">
        <w:fldChar w:fldCharType="separate"/>
      </w:r>
      <w:r w:rsidR="00CC1313">
        <w:rPr>
          <w:noProof/>
        </w:rPr>
        <w:t>9</w:t>
      </w:r>
      <w:r w:rsidR="00DA4682">
        <w:rPr>
          <w:noProof/>
        </w:rPr>
        <w:fldChar w:fldCharType="end"/>
      </w:r>
      <w:bookmarkEnd w:id="42"/>
      <w:r w:rsidRPr="006117F6">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drivers of the model"/>
      </w:tblPr>
      <w:tblGrid>
        <w:gridCol w:w="1367"/>
        <w:gridCol w:w="6566"/>
        <w:gridCol w:w="1084"/>
      </w:tblGrid>
      <w:tr w:rsidR="007709AA" w:rsidRPr="00AC7830" w14:paraId="673C8050" w14:textId="77777777">
        <w:trPr>
          <w:tblHeader/>
        </w:trPr>
        <w:tc>
          <w:tcPr>
            <w:tcW w:w="758" w:type="pct"/>
            <w:vAlign w:val="center"/>
          </w:tcPr>
          <w:p w14:paraId="1E222A04" w14:textId="77777777" w:rsidR="007709AA" w:rsidRPr="00AC7830" w:rsidRDefault="007709AA" w:rsidP="00370D8E">
            <w:pPr>
              <w:pStyle w:val="COMTableheadingrow"/>
              <w:keepNext w:val="0"/>
              <w:jc w:val="center"/>
            </w:pPr>
            <w:r w:rsidRPr="00AC7830">
              <w:t>Description</w:t>
            </w:r>
          </w:p>
        </w:tc>
        <w:tc>
          <w:tcPr>
            <w:tcW w:w="3641" w:type="pct"/>
            <w:vAlign w:val="center"/>
          </w:tcPr>
          <w:p w14:paraId="1FB2A735" w14:textId="77777777" w:rsidR="007709AA" w:rsidRPr="00AC7830" w:rsidRDefault="007709AA" w:rsidP="00370D8E">
            <w:pPr>
              <w:pStyle w:val="COMTableheadingrow"/>
              <w:keepNext w:val="0"/>
              <w:jc w:val="center"/>
            </w:pPr>
            <w:r w:rsidRPr="00AC7830">
              <w:t>Method/Value</w:t>
            </w:r>
          </w:p>
        </w:tc>
        <w:tc>
          <w:tcPr>
            <w:tcW w:w="601" w:type="pct"/>
            <w:vAlign w:val="center"/>
          </w:tcPr>
          <w:p w14:paraId="23C5683C" w14:textId="77777777" w:rsidR="007709AA" w:rsidRPr="00AC7830" w:rsidRDefault="007709AA" w:rsidP="00370D8E">
            <w:pPr>
              <w:pStyle w:val="COMTableheadingrow"/>
              <w:keepNext w:val="0"/>
              <w:jc w:val="center"/>
            </w:pPr>
            <w:r w:rsidRPr="00AC7830">
              <w:t>Impact</w:t>
            </w:r>
          </w:p>
        </w:tc>
      </w:tr>
      <w:tr w:rsidR="007709AA" w:rsidRPr="00AC7830" w14:paraId="70AB884A" w14:textId="77777777">
        <w:tc>
          <w:tcPr>
            <w:tcW w:w="758" w:type="pct"/>
            <w:vAlign w:val="center"/>
          </w:tcPr>
          <w:p w14:paraId="171377F3" w14:textId="77777777" w:rsidR="007709AA" w:rsidRPr="00AC7830" w:rsidRDefault="007709AA" w:rsidP="00370D8E">
            <w:pPr>
              <w:pStyle w:val="COMTabletext"/>
              <w:keepNext w:val="0"/>
            </w:pPr>
            <w:r w:rsidRPr="00AC7830">
              <w:t>Change in eGFR over time</w:t>
            </w:r>
          </w:p>
        </w:tc>
        <w:tc>
          <w:tcPr>
            <w:tcW w:w="3641" w:type="pct"/>
            <w:vAlign w:val="center"/>
          </w:tcPr>
          <w:p w14:paraId="60ED548E" w14:textId="633DA02B" w:rsidR="007709AA" w:rsidRPr="00AC7830" w:rsidRDefault="007709AA" w:rsidP="00370D8E">
            <w:pPr>
              <w:pStyle w:val="COMTabletext"/>
              <w:keepNext w:val="0"/>
              <w:spacing w:after="120"/>
            </w:pPr>
            <w:r w:rsidRPr="00AC7830">
              <w:t xml:space="preserve">The change in eGFR over time in the iptacopan arm </w:t>
            </w:r>
            <w:proofErr w:type="gramStart"/>
            <w:r w:rsidRPr="00AC7830">
              <w:t>was based on the assumption</w:t>
            </w:r>
            <w:proofErr w:type="gramEnd"/>
            <w:r w:rsidRPr="00AC7830">
              <w:t xml:space="preserve"> that treatment would prevent all C3G-mediated changes in kidney function with treated patients adopting the same eGFR decline as prospective living kidney donors registered at UK renal treatment centres between 2003-2015 (Fenton 2018). The submission claimed this assumption was reasonable as the mean change in eGFR per year reported in the post-iptacopan period from the pooled analysis of APPEAR-C3G, X2202, B12001B studies was </w:t>
            </w:r>
            <w:proofErr w:type="gramStart"/>
            <w:r w:rsidRPr="00AC7830">
              <w:t>similar to</w:t>
            </w:r>
            <w:proofErr w:type="gramEnd"/>
            <w:r w:rsidRPr="00AC7830">
              <w:t xml:space="preserve"> general population estimates.</w:t>
            </w:r>
            <w:r w:rsidR="003273C3">
              <w:t xml:space="preserve"> </w:t>
            </w:r>
            <w:r w:rsidR="003273C3" w:rsidRPr="00BC3A5E">
              <w:t>The PSCR</w:t>
            </w:r>
            <w:r w:rsidR="007B0B70" w:rsidRPr="00BC3A5E">
              <w:t xml:space="preserve"> </w:t>
            </w:r>
            <w:r w:rsidR="003273C3" w:rsidRPr="00BC3A5E">
              <w:t xml:space="preserve">also maintained this assumption was reasonable </w:t>
            </w:r>
            <w:r w:rsidR="007B0B70" w:rsidRPr="00BC3A5E">
              <w:t>based on stabilisation of renal decline in patients treated with iptacopan.</w:t>
            </w:r>
          </w:p>
          <w:p w14:paraId="0BD1BD08" w14:textId="4D5FC63C" w:rsidR="007709AA" w:rsidRDefault="007709AA" w:rsidP="00370D8E">
            <w:pPr>
              <w:pStyle w:val="COMTabletext"/>
              <w:keepNext w:val="0"/>
              <w:spacing w:after="120"/>
            </w:pPr>
            <w:r w:rsidRPr="00AC7830">
              <w:t>Expert advice fr</w:t>
            </w:r>
            <w:r w:rsidR="00822262" w:rsidRPr="00AC7830">
              <w:t>om</w:t>
            </w:r>
            <w:r w:rsidRPr="00AC7830">
              <w:t xml:space="preserve"> the sponsor’s advisory panel noted that this assumption may be </w:t>
            </w:r>
            <w:r w:rsidR="00CA5E6E" w:rsidRPr="00AC7830">
              <w:t>optimistic,</w:t>
            </w:r>
            <w:r w:rsidRPr="00AC7830">
              <w:t xml:space="preserve"> but it was reasonable to expect that iptacopan treatment may substantially slow the rate of eGFR decline relative to placebo (C3G Advisory Board 9 May 2025; Attachment 6 of the submission).</w:t>
            </w:r>
          </w:p>
          <w:p w14:paraId="61BB74F5" w14:textId="77777777" w:rsidR="006071FF" w:rsidRPr="00BC3A5E" w:rsidRDefault="006071FF" w:rsidP="00370D8E">
            <w:pPr>
              <w:pStyle w:val="TableText"/>
              <w:spacing w:after="120"/>
            </w:pPr>
            <w:r w:rsidRPr="00BC3A5E">
              <w:t>The ESC noted that this assumption represents the most optimistic scenario of treatment effect and is not considered plausible.</w:t>
            </w:r>
          </w:p>
          <w:p w14:paraId="084D8F89" w14:textId="77777777" w:rsidR="007709AA" w:rsidRPr="00AC7830" w:rsidRDefault="007709AA" w:rsidP="00370D8E">
            <w:pPr>
              <w:pStyle w:val="COMTabletext"/>
              <w:keepNext w:val="0"/>
              <w:spacing w:after="120"/>
            </w:pPr>
            <w:r w:rsidRPr="00AC7830">
              <w:t xml:space="preserve">The submission estimated the change in eGFR over time in the placebo arm based on the mean change in eGFR per year using data reported in the pre-iptacopan period from the pooled analysis of APPEAR-C3G, X2202, B12001B studies. </w:t>
            </w:r>
          </w:p>
          <w:p w14:paraId="22883404" w14:textId="50754E74" w:rsidR="007709AA" w:rsidRPr="00AC7830" w:rsidRDefault="007709AA" w:rsidP="00370D8E">
            <w:pPr>
              <w:pStyle w:val="COMTabletext"/>
              <w:keepNext w:val="0"/>
              <w:spacing w:after="120"/>
            </w:pPr>
            <w:r w:rsidRPr="00BC3A5E">
              <w:lastRenderedPageBreak/>
              <w:t>The</w:t>
            </w:r>
            <w:r w:rsidR="001371E2" w:rsidRPr="00BC3A5E">
              <w:t xml:space="preserve"> ESC agreed with the evaluation that</w:t>
            </w:r>
            <w:r w:rsidR="001371E2">
              <w:t xml:space="preserve"> the</w:t>
            </w:r>
            <w:r w:rsidRPr="00AC7830">
              <w:t xml:space="preserve"> validity of the pooled analysis was uncertain due to heterogeneity between the included studies in terms of study design, duration and populations, methodological limitations (pooling of data from non-parallel observational periods), as well as potential confounding due to substantial differences in the use of supportive therapies during the pre-randomisation and post-randomisation periods of the APPEAR-C3G trial.</w:t>
            </w:r>
            <w:r w:rsidR="006F652D">
              <w:t xml:space="preserve"> </w:t>
            </w:r>
            <w:r w:rsidR="006F652D" w:rsidRPr="00BC3A5E">
              <w:t>The ESC considered that estimates of eGFR decline for the placebo arm from the APPEAR-C3G trial alone would be more appropriate</w:t>
            </w:r>
            <w:r w:rsidR="007E7E9D" w:rsidRPr="00BC3A5E">
              <w:t xml:space="preserve"> and observed differences during the double-blind period would provide a more robust representation of treatment effects associated with iptacopan rather than observational comparisons of ‘before and after’ iptacopan treatment.</w:t>
            </w:r>
            <w:r w:rsidR="006B75F2">
              <w:rPr>
                <w:i/>
                <w:iCs/>
              </w:rPr>
              <w:t xml:space="preserve"> </w:t>
            </w:r>
            <w:r w:rsidR="007E7E9D">
              <w:rPr>
                <w:i/>
                <w:iCs/>
              </w:rPr>
              <w:t xml:space="preserve"> </w:t>
            </w:r>
          </w:p>
          <w:p w14:paraId="5E404E99" w14:textId="02AFF466" w:rsidR="007709AA" w:rsidRPr="00AC7830" w:rsidRDefault="007709AA" w:rsidP="00370D8E">
            <w:pPr>
              <w:pStyle w:val="COMTabletext"/>
              <w:keepNext w:val="0"/>
              <w:spacing w:after="120"/>
            </w:pPr>
            <w:r w:rsidRPr="00AC7830">
              <w:t xml:space="preserve">The estimated decrease in eGFR over time from the pooled analysis was substantially larger than natural history cohorts from the </w:t>
            </w:r>
            <w:proofErr w:type="spellStart"/>
            <w:r w:rsidRPr="00AC7830">
              <w:t>RaDaR</w:t>
            </w:r>
            <w:proofErr w:type="spellEnd"/>
            <w:r w:rsidRPr="00AC7830">
              <w:t xml:space="preserve"> (predominantly younger C3G patients likely to have more progressive disease than the broader population) and GLOSEN registries (subset of C3G patients who progressed to kidney failure).</w:t>
            </w:r>
            <w:r w:rsidR="00776D71">
              <w:t xml:space="preserve"> </w:t>
            </w:r>
            <w:r w:rsidR="00776D71" w:rsidRPr="00BC3A5E">
              <w:t>The PSCR</w:t>
            </w:r>
            <w:r w:rsidR="00CB0BBA" w:rsidRPr="00BC3A5E">
              <w:t xml:space="preserve"> </w:t>
            </w:r>
            <w:r w:rsidR="00776D71" w:rsidRPr="00BC3A5E">
              <w:t xml:space="preserve">argued that this was </w:t>
            </w:r>
            <w:r w:rsidR="00401AA9" w:rsidRPr="00BC3A5E">
              <w:t xml:space="preserve">because those populations have a different baseline risk </w:t>
            </w:r>
            <w:r w:rsidR="00A8271D" w:rsidRPr="00BC3A5E">
              <w:t>of disease progression</w:t>
            </w:r>
            <w:r w:rsidR="00CB0BBA" w:rsidRPr="00BC3A5E">
              <w:t>.</w:t>
            </w:r>
          </w:p>
          <w:p w14:paraId="641438EB" w14:textId="59257D1F" w:rsidR="007709AA" w:rsidRPr="00AC7830" w:rsidRDefault="007709AA" w:rsidP="00370D8E">
            <w:pPr>
              <w:pStyle w:val="COMTabletext"/>
              <w:keepNext w:val="0"/>
              <w:spacing w:after="120"/>
            </w:pPr>
            <w:r w:rsidRPr="00AC7830">
              <w:t xml:space="preserve">The change in eGFR in the placebo arm was extrapolated over time assuming a constant linear decline in </w:t>
            </w:r>
            <w:r w:rsidR="00C474F8" w:rsidRPr="00AC7830">
              <w:t>kidney</w:t>
            </w:r>
            <w:r w:rsidRPr="00AC7830">
              <w:t xml:space="preserve"> function. Expert advice from the sponsor’s advisory panel acknowledged that this was a convention frequently used in CKD models but noted that this may not be reflective of C3G which has a relapsing-remitting pattern of disease, with periods of stability followed by episodes of rapid progression (C3G Advisory Board 9 May 2025; Attachment 6 of the submission).</w:t>
            </w:r>
          </w:p>
          <w:p w14:paraId="76D87A71" w14:textId="2007401E" w:rsidR="007709AA" w:rsidRPr="00AC7830" w:rsidRDefault="007709AA" w:rsidP="00370D8E">
            <w:pPr>
              <w:pStyle w:val="COMTabletext"/>
              <w:keepNext w:val="0"/>
            </w:pPr>
            <w:r w:rsidRPr="00AC7830">
              <w:t xml:space="preserve">Overall, the inclusion of a modelled difference in eGFR over time between iptacopan and placebo was not supported by data from the </w:t>
            </w:r>
            <w:r w:rsidR="001A4D68" w:rsidRPr="00AC7830">
              <w:t>APPEAR-C3G</w:t>
            </w:r>
            <w:r w:rsidRPr="00AC7830">
              <w:t xml:space="preserve"> trial which failed to demonstrate a statistically significant difference between treatment arms at 6 months (treatment difference: 2.16; 95% CI -2.75, 7.06).</w:t>
            </w:r>
          </w:p>
        </w:tc>
        <w:tc>
          <w:tcPr>
            <w:tcW w:w="601" w:type="pct"/>
            <w:vAlign w:val="center"/>
          </w:tcPr>
          <w:p w14:paraId="69DE308B" w14:textId="77777777" w:rsidR="007709AA" w:rsidRPr="00AC7830" w:rsidRDefault="007709AA" w:rsidP="00370D8E">
            <w:pPr>
              <w:pStyle w:val="COMTabletext"/>
              <w:keepNext w:val="0"/>
              <w:jc w:val="center"/>
            </w:pPr>
            <w:r w:rsidRPr="00AC7830">
              <w:lastRenderedPageBreak/>
              <w:t>High,</w:t>
            </w:r>
          </w:p>
          <w:p w14:paraId="0BF92921" w14:textId="77777777" w:rsidR="007709AA" w:rsidRPr="00AC7830" w:rsidRDefault="007709AA" w:rsidP="00370D8E">
            <w:pPr>
              <w:pStyle w:val="COMTabletext"/>
              <w:keepNext w:val="0"/>
              <w:jc w:val="center"/>
              <w:rPr>
                <w:bCs w:val="0"/>
              </w:rPr>
            </w:pPr>
            <w:r w:rsidRPr="00AC7830">
              <w:t>favours iptacopan</w:t>
            </w:r>
          </w:p>
        </w:tc>
      </w:tr>
      <w:tr w:rsidR="007709AA" w:rsidRPr="00AC7830" w14:paraId="15CD0867" w14:textId="77777777">
        <w:tc>
          <w:tcPr>
            <w:tcW w:w="758" w:type="pct"/>
            <w:vAlign w:val="center"/>
          </w:tcPr>
          <w:p w14:paraId="7F986CA6" w14:textId="77777777" w:rsidR="007709AA" w:rsidRPr="00AC7830" w:rsidRDefault="007709AA" w:rsidP="00370D8E">
            <w:pPr>
              <w:pStyle w:val="COMTabletext"/>
              <w:keepNext w:val="0"/>
            </w:pPr>
            <w:r w:rsidRPr="00AC7830">
              <w:t>Health state utility values</w:t>
            </w:r>
          </w:p>
        </w:tc>
        <w:tc>
          <w:tcPr>
            <w:tcW w:w="3641" w:type="pct"/>
            <w:vAlign w:val="center"/>
          </w:tcPr>
          <w:p w14:paraId="158D208E" w14:textId="77777777" w:rsidR="007709AA" w:rsidRPr="00AC7830" w:rsidRDefault="007709AA" w:rsidP="00370D8E">
            <w:pPr>
              <w:pStyle w:val="COMTabletext"/>
              <w:keepNext w:val="0"/>
              <w:spacing w:after="120"/>
            </w:pPr>
            <w:r w:rsidRPr="00AC7830">
              <w:t xml:space="preserve">Health state utility values for CKD stages and kidney failure health states were estimated based on EQ-5D-5L index scores (UK value set) reported in a vignette study describing health states for primary hyperoxaluria type 1 (PH1) in the UK general population (de Freitas 2023). The submission claimed that this data source is directly relevant to C3G, as PH1 is another rare disease with a similar age of onset, severe disease trajectory (rapidly progressive kidney disease leading to dialysis and transplantation) and symptom burden. </w:t>
            </w:r>
          </w:p>
          <w:p w14:paraId="6226B1FD" w14:textId="2D0B9DF6" w:rsidR="007709AA" w:rsidRPr="00AC7830" w:rsidRDefault="007709AA" w:rsidP="00370D8E">
            <w:pPr>
              <w:pStyle w:val="COMTabletext"/>
              <w:keepNext w:val="0"/>
              <w:spacing w:after="120"/>
            </w:pPr>
            <w:r w:rsidRPr="00BC3A5E">
              <w:t xml:space="preserve">The </w:t>
            </w:r>
            <w:r w:rsidR="006C3D43" w:rsidRPr="00BC3A5E">
              <w:t xml:space="preserve">ESC agreed with the evaluation that </w:t>
            </w:r>
            <w:r w:rsidR="00214155" w:rsidRPr="00BC3A5E">
              <w:t>use of these values was not appropriate a</w:t>
            </w:r>
            <w:r w:rsidR="00214155">
              <w:t xml:space="preserve">s </w:t>
            </w:r>
            <w:r w:rsidR="006C3D43">
              <w:t xml:space="preserve">the </w:t>
            </w:r>
            <w:r w:rsidRPr="00AC7830">
              <w:t xml:space="preserve">vignettes describing PH1 health states did not appear to be comparable to C3G health states. In particular, the vignette for CKD </w:t>
            </w:r>
            <w:r w:rsidR="00831837" w:rsidRPr="00AC7830">
              <w:t xml:space="preserve">Stage </w:t>
            </w:r>
            <w:r w:rsidRPr="00AC7830">
              <w:t xml:space="preserve">5 describes a health state in which patients require hospital haemodialysis 5 days a week for several hours per day; experience kidney stones, nausea, bone pain and black sores on their skin which are difficult to treat; feel tired, anxious and/or depressed; are unable to carry out activities of daily living; and are awaiting a combined liver and kidney transplant. </w:t>
            </w:r>
            <w:r w:rsidR="00D540B1" w:rsidRPr="00AC7830">
              <w:t xml:space="preserve">This description may not be representative of </w:t>
            </w:r>
            <w:r w:rsidR="00A436AB" w:rsidRPr="00AC7830">
              <w:t>a CKD Stage 5 disease state in patients with C3G.</w:t>
            </w:r>
          </w:p>
          <w:p w14:paraId="01871EEA" w14:textId="5133943E" w:rsidR="007709AA" w:rsidRPr="00AC7830" w:rsidRDefault="007709AA" w:rsidP="00370D8E">
            <w:pPr>
              <w:pStyle w:val="COMTabletext"/>
              <w:keepNext w:val="0"/>
              <w:spacing w:after="120"/>
            </w:pPr>
            <w:r w:rsidRPr="00AC7830">
              <w:t xml:space="preserve">The valuation of the PH1 health states by the </w:t>
            </w:r>
            <w:proofErr w:type="gramStart"/>
            <w:r w:rsidRPr="00AC7830">
              <w:t>general public</w:t>
            </w:r>
            <w:proofErr w:type="gramEnd"/>
            <w:r w:rsidRPr="00AC7830">
              <w:t xml:space="preserve"> using the EQ-5D-5L instrument resulted in extremely low utility values (CKD Stage 5: 0.02). Estimates from the de Frietas (2023) publication using a TTO approach generally resulted in higher utility values (CKD Stage 5: 0.39) but remained lower than typically observed in CKD populations (CKD Stage 5: 0.54-0.73; dialysis: 0.44-0.79; Cooper 2020 systematic review).</w:t>
            </w:r>
          </w:p>
          <w:p w14:paraId="3E852481" w14:textId="77777777" w:rsidR="007709AA" w:rsidRDefault="007709AA" w:rsidP="00370D8E">
            <w:pPr>
              <w:pStyle w:val="COMTabletext"/>
              <w:keepNext w:val="0"/>
            </w:pPr>
            <w:r w:rsidRPr="00AC7830">
              <w:lastRenderedPageBreak/>
              <w:t xml:space="preserve">Additionally, the sponsor did provide any results from a </w:t>
            </w:r>
            <w:r w:rsidRPr="009E6EB8">
              <w:rPr>
                <w:i/>
                <w:iCs/>
              </w:rPr>
              <w:t>post hoc</w:t>
            </w:r>
            <w:r w:rsidRPr="00AC7830">
              <w:t xml:space="preserve"> analysis of utility scores from the APPEAR-C3G trial, which may have been informative in determining the most relevant utility estimates.</w:t>
            </w:r>
            <w:r w:rsidR="003A1246" w:rsidRPr="00BC3A5E">
              <w:t xml:space="preserve"> The ESC noted that trial-based utilities are </w:t>
            </w:r>
            <w:r w:rsidR="00BC1294" w:rsidRPr="00BC3A5E">
              <w:t>preferred by the PBAC</w:t>
            </w:r>
            <w:r w:rsidR="009E6EB8" w:rsidRPr="00BC3A5E">
              <w:t xml:space="preserve"> </w:t>
            </w:r>
            <w:r w:rsidR="00E21267" w:rsidRPr="00BC3A5E">
              <w:t xml:space="preserve">as outlined in the PBAC Guidelines </w:t>
            </w:r>
            <w:r w:rsidR="00D06BC2" w:rsidRPr="00BC3A5E">
              <w:t xml:space="preserve">(v5.0) </w:t>
            </w:r>
            <w:r w:rsidR="009E6EB8" w:rsidRPr="00BC3A5E">
              <w:t xml:space="preserve">and considered that the </w:t>
            </w:r>
            <w:r w:rsidR="0043343E" w:rsidRPr="00BC3A5E">
              <w:t xml:space="preserve">values from the </w:t>
            </w:r>
            <w:r w:rsidR="0012675D" w:rsidRPr="00BC3A5E">
              <w:t xml:space="preserve">APPEAR-C3G </w:t>
            </w:r>
            <w:r w:rsidR="0043343E" w:rsidRPr="00BC3A5E">
              <w:t xml:space="preserve">trial may be informative. In the absence of trial-based utilities, the ESC considered that the values reported in Deloitte 2023 appear to be the most reasonable. </w:t>
            </w:r>
          </w:p>
          <w:p w14:paraId="37B9AEFB" w14:textId="6145157A" w:rsidR="003D0C19" w:rsidRPr="00AC7830" w:rsidRDefault="003D0C19" w:rsidP="00370D8E">
            <w:pPr>
              <w:pStyle w:val="COMTabletext"/>
              <w:keepNext w:val="0"/>
            </w:pPr>
            <w:r>
              <w:t>The pre-PBAC response argued that these utility values are reflective of an elderly, general CKD population</w:t>
            </w:r>
            <w:r w:rsidR="003F63C0">
              <w:t>.</w:t>
            </w:r>
          </w:p>
        </w:tc>
        <w:tc>
          <w:tcPr>
            <w:tcW w:w="601" w:type="pct"/>
            <w:vAlign w:val="center"/>
          </w:tcPr>
          <w:p w14:paraId="697AA0F5" w14:textId="77777777" w:rsidR="007709AA" w:rsidRPr="00AC7830" w:rsidRDefault="007709AA" w:rsidP="00370D8E">
            <w:pPr>
              <w:pStyle w:val="COMTabletext"/>
              <w:keepNext w:val="0"/>
              <w:jc w:val="center"/>
            </w:pPr>
            <w:r w:rsidRPr="00AC7830">
              <w:lastRenderedPageBreak/>
              <w:t>High,</w:t>
            </w:r>
          </w:p>
          <w:p w14:paraId="207DD124" w14:textId="77777777" w:rsidR="007709AA" w:rsidRPr="00AC7830" w:rsidRDefault="007709AA" w:rsidP="00370D8E">
            <w:pPr>
              <w:pStyle w:val="COMTabletext"/>
              <w:keepNext w:val="0"/>
              <w:jc w:val="center"/>
              <w:rPr>
                <w:bCs w:val="0"/>
              </w:rPr>
            </w:pPr>
            <w:r w:rsidRPr="00AC7830">
              <w:t>favours iptacopan</w:t>
            </w:r>
          </w:p>
        </w:tc>
      </w:tr>
    </w:tbl>
    <w:p w14:paraId="75C82557" w14:textId="77777777" w:rsidR="007709AA" w:rsidRDefault="007709AA" w:rsidP="00370D8E">
      <w:pPr>
        <w:pStyle w:val="COMTablefooter"/>
      </w:pPr>
      <w:r w:rsidRPr="006117F6">
        <w:t>Source: Constructed during the evaluation.</w:t>
      </w:r>
    </w:p>
    <w:p w14:paraId="1A4D7737" w14:textId="39AA6209" w:rsidR="007709AA" w:rsidRPr="00564D86" w:rsidRDefault="007709AA" w:rsidP="00370D8E">
      <w:pPr>
        <w:pStyle w:val="COMTablefooter"/>
      </w:pPr>
      <w:r>
        <w:t>Abbreviations: CKD, chronic kidney disease; eGFR, estimated glomerular filtration rate</w:t>
      </w:r>
      <w:r w:rsidR="003C70ED">
        <w:t>; TTO, time trade</w:t>
      </w:r>
      <w:r w:rsidR="001B1047">
        <w:t xml:space="preserve"> </w:t>
      </w:r>
      <w:r w:rsidR="003C70ED">
        <w:t>off</w:t>
      </w:r>
    </w:p>
    <w:p w14:paraId="28E32F28" w14:textId="3BE0B313" w:rsidR="007709AA" w:rsidRPr="00EF7D55" w:rsidRDefault="007709AA" w:rsidP="00370D8E">
      <w:pPr>
        <w:pStyle w:val="COMESnumberedpara"/>
      </w:pPr>
      <w:r w:rsidRPr="00AC7830">
        <w:t xml:space="preserve">The estimated differences in eGFR change over time between </w:t>
      </w:r>
      <w:r w:rsidR="009C1AF3" w:rsidRPr="00AC7830">
        <w:t>treatme</w:t>
      </w:r>
      <w:r w:rsidR="00A029E5" w:rsidRPr="00AC7830">
        <w:t>nt</w:t>
      </w:r>
      <w:r w:rsidR="009C1AF3" w:rsidRPr="00AC7830">
        <w:t xml:space="preserve"> </w:t>
      </w:r>
      <w:r w:rsidRPr="00AC7830">
        <w:t xml:space="preserve">arms resulted in substantial differences in the time spent in modelled CKD states over time. </w:t>
      </w:r>
      <w:r w:rsidR="00F52294" w:rsidRPr="00BC3A5E">
        <w:t>Patients in the iptacopan treatment arm showed a gradual progression through CKD stages over time with progression largely driven by the estimated discontinuation rate for iptacopan, as patients who remained on therapy were expected to have only small changes in eGFR over time, consistent with the general population. Meanwhile</w:t>
      </w:r>
      <w:r w:rsidRPr="00BC3A5E">
        <w:t>,</w:t>
      </w:r>
      <w:r w:rsidRPr="00AC7830">
        <w:t xml:space="preserve"> patients in the placebo arm spent a prolonged </w:t>
      </w:r>
      <w:proofErr w:type="gramStart"/>
      <w:r w:rsidRPr="00AC7830">
        <w:t>period of time</w:t>
      </w:r>
      <w:proofErr w:type="gramEnd"/>
      <w:r w:rsidRPr="00AC7830">
        <w:t xml:space="preserve"> in the dialysis and post-transplantation (graft failure) health states (approximately 20 years in total) with extremely low utility values (0.02 utility)</w:t>
      </w:r>
      <w:r w:rsidR="00180BA0">
        <w:t>.</w:t>
      </w:r>
      <w:r w:rsidR="00623453">
        <w:t xml:space="preserve"> </w:t>
      </w:r>
      <w:r w:rsidR="00693411" w:rsidRPr="00BC3A5E">
        <w:t xml:space="preserve">The ESC </w:t>
      </w:r>
      <w:r w:rsidR="00E633FF" w:rsidRPr="00BC3A5E">
        <w:t>considered</w:t>
      </w:r>
      <w:r w:rsidR="00693411" w:rsidRPr="00BC3A5E">
        <w:t xml:space="preserve"> that it was unclear whether th</w:t>
      </w:r>
      <w:r w:rsidR="00AE2283" w:rsidRPr="00BC3A5E">
        <w:t>e modelled</w:t>
      </w:r>
      <w:r w:rsidR="00693411" w:rsidRPr="00BC3A5E">
        <w:t xml:space="preserve"> </w:t>
      </w:r>
      <w:r w:rsidR="00E633FF" w:rsidRPr="00BC3A5E">
        <w:t>duration of survival in the dialysis and po</w:t>
      </w:r>
      <w:r w:rsidR="00AE2283" w:rsidRPr="00BC3A5E">
        <w:t xml:space="preserve">st-transplant (graft failure) states </w:t>
      </w:r>
      <w:r w:rsidR="00693411" w:rsidRPr="00BC3A5E">
        <w:t>was clinically plausible.</w:t>
      </w:r>
      <w:r w:rsidR="00BB13EB" w:rsidRPr="00BC3A5E">
        <w:t xml:space="preserve"> </w:t>
      </w:r>
      <w:r w:rsidR="002C1176" w:rsidRPr="00BC3A5E">
        <w:t xml:space="preserve">See </w:t>
      </w:r>
      <w:r w:rsidR="00176B78">
        <w:t>f</w:t>
      </w:r>
      <w:r w:rsidR="002C1176" w:rsidRPr="00BC3A5E">
        <w:t>igures below.</w:t>
      </w:r>
    </w:p>
    <w:p w14:paraId="034B375D" w14:textId="70C0E709" w:rsidR="00D62DFA" w:rsidRPr="00275922" w:rsidRDefault="00CC6424" w:rsidP="00370D8E">
      <w:pPr>
        <w:pStyle w:val="COMTableheadingrow"/>
        <w:keepLines w:val="0"/>
        <w:jc w:val="both"/>
      </w:pPr>
      <w:r>
        <w:t xml:space="preserve">Figure </w:t>
      </w:r>
      <w:r w:rsidR="00DA4682">
        <w:fldChar w:fldCharType="begin"/>
      </w:r>
      <w:r w:rsidR="00DA4682">
        <w:instrText xml:space="preserve"> SEQ Figure \* ARABIC </w:instrText>
      </w:r>
      <w:r w:rsidR="00DA4682">
        <w:fldChar w:fldCharType="separate"/>
      </w:r>
      <w:r w:rsidR="00CC1313">
        <w:rPr>
          <w:noProof/>
        </w:rPr>
        <w:t>4</w:t>
      </w:r>
      <w:r w:rsidR="00DA4682">
        <w:rPr>
          <w:noProof/>
        </w:rPr>
        <w:fldChar w:fldCharType="end"/>
      </w:r>
      <w:r w:rsidR="00D62DFA" w:rsidRPr="00741BD4">
        <w:t>:</w:t>
      </w:r>
      <w:r w:rsidR="00D62DFA">
        <w:t xml:space="preserve"> Proportion of patients in different health states over time in the modelled iptacopan treatment arm</w:t>
      </w:r>
    </w:p>
    <w:p w14:paraId="77979305" w14:textId="77777777" w:rsidR="00D62DFA" w:rsidRDefault="00D62DFA" w:rsidP="00370D8E">
      <w:pPr>
        <w:rPr>
          <w:color w:val="3366FF"/>
        </w:rPr>
      </w:pPr>
      <w:r>
        <w:rPr>
          <w:noProof/>
          <w:color w:val="3366FF"/>
        </w:rPr>
        <w:drawing>
          <wp:inline distT="0" distB="0" distL="0" distR="0" wp14:anchorId="49BF04A9" wp14:editId="5DF9AD51">
            <wp:extent cx="5790817" cy="4196687"/>
            <wp:effectExtent l="0" t="0" r="635" b="0"/>
            <wp:docPr id="840749739" name="Picture 1" descr="Figure 4: Proportion of patients in different health states over time in the modelled iptacopan treatment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49739" name="Picture 1" descr="Figure 4: Proportion of patients in different health states over time in the modelled iptacopan treatment ar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6806" cy="4208275"/>
                    </a:xfrm>
                    <a:prstGeom prst="rect">
                      <a:avLst/>
                    </a:prstGeom>
                    <a:noFill/>
                  </pic:spPr>
                </pic:pic>
              </a:graphicData>
            </a:graphic>
          </wp:inline>
        </w:drawing>
      </w:r>
    </w:p>
    <w:p w14:paraId="0CF0156B" w14:textId="77777777" w:rsidR="00D62DFA" w:rsidRDefault="00D62DFA" w:rsidP="00370D8E">
      <w:pPr>
        <w:pStyle w:val="COMTablefooter"/>
      </w:pPr>
      <w:r w:rsidRPr="0098262F">
        <w:lastRenderedPageBreak/>
        <w:t xml:space="preserve">Source: </w:t>
      </w:r>
      <w:r w:rsidRPr="00267578">
        <w:t>‘Iptacopan economic model’ provided with the submission</w:t>
      </w:r>
    </w:p>
    <w:p w14:paraId="2659C821" w14:textId="717251F4" w:rsidR="00D62DFA" w:rsidRDefault="00D62DFA" w:rsidP="00370D8E">
      <w:pPr>
        <w:pStyle w:val="COMTablefooter"/>
      </w:pPr>
      <w:r>
        <w:t>Abbreviations: CKD, chronic kidney disease; Post-Tx, post-transplant</w:t>
      </w:r>
    </w:p>
    <w:p w14:paraId="2DFA5252" w14:textId="77777777" w:rsidR="00D62DFA" w:rsidRDefault="00D62DFA" w:rsidP="00370D8E">
      <w:pPr>
        <w:pStyle w:val="COMTablefooter"/>
      </w:pPr>
    </w:p>
    <w:p w14:paraId="6D32A99B" w14:textId="77777777" w:rsidR="00D62DFA" w:rsidRDefault="00D62DFA" w:rsidP="00370D8E">
      <w:pPr>
        <w:pStyle w:val="COMTablefooter"/>
      </w:pPr>
    </w:p>
    <w:p w14:paraId="00D18463" w14:textId="0563026E" w:rsidR="00E96DF5" w:rsidRPr="00867454" w:rsidRDefault="00CC6424" w:rsidP="00370D8E">
      <w:pPr>
        <w:pStyle w:val="COMTableheadingrow"/>
        <w:keepLines w:val="0"/>
        <w:jc w:val="both"/>
      </w:pPr>
      <w:r>
        <w:t xml:space="preserve">Figure </w:t>
      </w:r>
      <w:r w:rsidR="00DA4682">
        <w:fldChar w:fldCharType="begin"/>
      </w:r>
      <w:r w:rsidR="00DA4682">
        <w:instrText xml:space="preserve"> SEQ Figure \* ARABIC </w:instrText>
      </w:r>
      <w:r w:rsidR="00DA4682">
        <w:fldChar w:fldCharType="separate"/>
      </w:r>
      <w:r w:rsidR="00CC1313">
        <w:rPr>
          <w:noProof/>
        </w:rPr>
        <w:t>5</w:t>
      </w:r>
      <w:r w:rsidR="00DA4682">
        <w:rPr>
          <w:noProof/>
        </w:rPr>
        <w:fldChar w:fldCharType="end"/>
      </w:r>
      <w:r w:rsidR="00E96DF5" w:rsidRPr="00741BD4">
        <w:t>:</w:t>
      </w:r>
      <w:r w:rsidR="00E96DF5">
        <w:t xml:space="preserve"> Proportion of patients in different health states over time in the modelled placebo treatment arm</w:t>
      </w:r>
    </w:p>
    <w:p w14:paraId="00D06F95" w14:textId="77777777" w:rsidR="00E96DF5" w:rsidRDefault="00E96DF5" w:rsidP="00370D8E">
      <w:pPr>
        <w:keepNext/>
        <w:rPr>
          <w:color w:val="3366FF"/>
        </w:rPr>
      </w:pPr>
      <w:r>
        <w:rPr>
          <w:noProof/>
          <w:color w:val="3366FF"/>
        </w:rPr>
        <w:drawing>
          <wp:inline distT="0" distB="0" distL="0" distR="0" wp14:anchorId="0BF6267B" wp14:editId="13738207">
            <wp:extent cx="5790817" cy="4196687"/>
            <wp:effectExtent l="0" t="0" r="635" b="0"/>
            <wp:docPr id="904986128" name="Picture 2" descr="Figure 5: Proportion of patients in different health states over time in the modelled placebo treatment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86128" name="Picture 2" descr="Figure 5: Proportion of patients in different health states over time in the modelled placebo treatment ar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4560" cy="4206646"/>
                    </a:xfrm>
                    <a:prstGeom prst="rect">
                      <a:avLst/>
                    </a:prstGeom>
                    <a:noFill/>
                  </pic:spPr>
                </pic:pic>
              </a:graphicData>
            </a:graphic>
          </wp:inline>
        </w:drawing>
      </w:r>
    </w:p>
    <w:p w14:paraId="575561A6" w14:textId="77777777" w:rsidR="00E96DF5" w:rsidRDefault="00E96DF5" w:rsidP="00370D8E">
      <w:pPr>
        <w:pStyle w:val="COMTablefooter"/>
        <w:keepNext/>
      </w:pPr>
      <w:r w:rsidRPr="0098262F">
        <w:t xml:space="preserve">Source: </w:t>
      </w:r>
      <w:r w:rsidRPr="00267578">
        <w:t>‘Iptacopan economic model’ provided with the submission</w:t>
      </w:r>
    </w:p>
    <w:p w14:paraId="018FFD54" w14:textId="77777777" w:rsidR="00E96DF5" w:rsidRPr="00E10B5C" w:rsidRDefault="00E96DF5" w:rsidP="00370D8E">
      <w:pPr>
        <w:pStyle w:val="COMTablefooter"/>
      </w:pPr>
      <w:r>
        <w:t xml:space="preserve">Abbreviations: CKD, chronic kidney disease; Post-Tx, post-transplant </w:t>
      </w:r>
    </w:p>
    <w:p w14:paraId="2E94D185" w14:textId="6B2F49EB" w:rsidR="007709AA" w:rsidRPr="007E0BF8" w:rsidRDefault="007709AA" w:rsidP="00370D8E">
      <w:pPr>
        <w:pStyle w:val="COMESnumberedpara"/>
      </w:pPr>
      <w:r w:rsidRPr="007E0BF8">
        <w:t xml:space="preserve">Disaggregated health outcomes estimated in the model are summarised in </w:t>
      </w:r>
      <w:r w:rsidR="00580C93">
        <w:fldChar w:fldCharType="begin"/>
      </w:r>
      <w:r w:rsidR="00580C93">
        <w:instrText xml:space="preserve"> REF _Ref208237997 \h </w:instrText>
      </w:r>
      <w:r w:rsidR="00580C93">
        <w:fldChar w:fldCharType="separate"/>
      </w:r>
      <w:r w:rsidR="00CC1313">
        <w:t xml:space="preserve">Table </w:t>
      </w:r>
      <w:r w:rsidR="00CC1313">
        <w:rPr>
          <w:noProof/>
        </w:rPr>
        <w:t>10</w:t>
      </w:r>
      <w:r w:rsidR="00580C93">
        <w:fldChar w:fldCharType="end"/>
      </w:r>
      <w:r w:rsidRPr="007E0BF8">
        <w:t>.</w:t>
      </w:r>
    </w:p>
    <w:p w14:paraId="42A00A24" w14:textId="6B826A53" w:rsidR="00580C93" w:rsidRDefault="00580C93" w:rsidP="00370D8E">
      <w:pPr>
        <w:pStyle w:val="COMTableFigurecaption"/>
      </w:pPr>
      <w:bookmarkStart w:id="43" w:name="_Ref208237997"/>
      <w:r>
        <w:lastRenderedPageBreak/>
        <w:t xml:space="preserve">Table </w:t>
      </w:r>
      <w:r w:rsidR="00DA4682">
        <w:fldChar w:fldCharType="begin"/>
      </w:r>
      <w:r w:rsidR="00DA4682">
        <w:instrText xml:space="preserve"> SEQ Table \* ARABIC </w:instrText>
      </w:r>
      <w:r w:rsidR="00DA4682">
        <w:fldChar w:fldCharType="separate"/>
      </w:r>
      <w:r w:rsidR="00CC1313">
        <w:rPr>
          <w:noProof/>
        </w:rPr>
        <w:t>10</w:t>
      </w:r>
      <w:r w:rsidR="00DA4682">
        <w:rPr>
          <w:noProof/>
        </w:rPr>
        <w:fldChar w:fldCharType="end"/>
      </w:r>
      <w:bookmarkEnd w:id="43"/>
      <w:r>
        <w:t xml:space="preserve">: </w:t>
      </w:r>
      <w:r w:rsidRPr="00250A3D">
        <w:t xml:space="preserve">Summary of health outcomes </w:t>
      </w:r>
      <w:r>
        <w:t>estimates</w:t>
      </w:r>
      <w:r w:rsidRPr="00250A3D">
        <w:t xml:space="preserve"> in the economic evaluation</w:t>
      </w:r>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Summary of health outcomes estimates in the economic evaluation"/>
      </w:tblPr>
      <w:tblGrid>
        <w:gridCol w:w="4751"/>
        <w:gridCol w:w="1418"/>
        <w:gridCol w:w="1418"/>
        <w:gridCol w:w="1419"/>
      </w:tblGrid>
      <w:tr w:rsidR="007709AA" w:rsidRPr="00250A3D" w14:paraId="5F29C2BA" w14:textId="77777777" w:rsidTr="00F104A7">
        <w:trPr>
          <w:trHeight w:val="469"/>
          <w:tblHeader/>
        </w:trPr>
        <w:tc>
          <w:tcPr>
            <w:tcW w:w="2638" w:type="pct"/>
            <w:vAlign w:val="center"/>
          </w:tcPr>
          <w:p w14:paraId="3482C930" w14:textId="77777777" w:rsidR="007709AA" w:rsidRPr="0029604F" w:rsidRDefault="007709AA" w:rsidP="00370D8E">
            <w:pPr>
              <w:pStyle w:val="TableText"/>
              <w:rPr>
                <w:b/>
                <w:bCs w:val="0"/>
              </w:rPr>
            </w:pPr>
            <w:r w:rsidRPr="0029604F">
              <w:rPr>
                <w:b/>
                <w:bCs w:val="0"/>
              </w:rPr>
              <w:t>Health outcome</w:t>
            </w:r>
          </w:p>
        </w:tc>
        <w:tc>
          <w:tcPr>
            <w:tcW w:w="787" w:type="pct"/>
            <w:vAlign w:val="center"/>
          </w:tcPr>
          <w:p w14:paraId="186CF681" w14:textId="77777777" w:rsidR="007709AA" w:rsidRPr="0029604F" w:rsidRDefault="007709AA" w:rsidP="00370D8E">
            <w:pPr>
              <w:pStyle w:val="TableText"/>
              <w:jc w:val="center"/>
              <w:rPr>
                <w:b/>
                <w:bCs w:val="0"/>
              </w:rPr>
            </w:pPr>
            <w:r>
              <w:rPr>
                <w:b/>
                <w:bCs w:val="0"/>
              </w:rPr>
              <w:t>Iptacopan</w:t>
            </w:r>
          </w:p>
        </w:tc>
        <w:tc>
          <w:tcPr>
            <w:tcW w:w="787" w:type="pct"/>
            <w:vAlign w:val="center"/>
          </w:tcPr>
          <w:p w14:paraId="273971F4" w14:textId="77777777" w:rsidR="007709AA" w:rsidRPr="0029604F" w:rsidRDefault="007709AA" w:rsidP="00370D8E">
            <w:pPr>
              <w:pStyle w:val="TableText"/>
              <w:jc w:val="center"/>
              <w:rPr>
                <w:b/>
                <w:bCs w:val="0"/>
              </w:rPr>
            </w:pPr>
            <w:r w:rsidRPr="0029604F">
              <w:rPr>
                <w:b/>
                <w:bCs w:val="0"/>
              </w:rPr>
              <w:t>Placebo</w:t>
            </w:r>
          </w:p>
        </w:tc>
        <w:tc>
          <w:tcPr>
            <w:tcW w:w="788" w:type="pct"/>
            <w:vAlign w:val="center"/>
          </w:tcPr>
          <w:p w14:paraId="61D5753B" w14:textId="77777777" w:rsidR="007709AA" w:rsidRPr="0029604F" w:rsidRDefault="007709AA" w:rsidP="00370D8E">
            <w:pPr>
              <w:pStyle w:val="TableText"/>
              <w:jc w:val="center"/>
              <w:rPr>
                <w:b/>
                <w:bCs w:val="0"/>
              </w:rPr>
            </w:pPr>
            <w:r w:rsidRPr="0029604F">
              <w:rPr>
                <w:b/>
                <w:bCs w:val="0"/>
              </w:rPr>
              <w:t>Incremental</w:t>
            </w:r>
          </w:p>
          <w:p w14:paraId="54FF3F3C" w14:textId="77777777" w:rsidR="007709AA" w:rsidRPr="0029604F" w:rsidRDefault="007709AA" w:rsidP="00370D8E">
            <w:pPr>
              <w:pStyle w:val="TableText"/>
              <w:jc w:val="center"/>
              <w:rPr>
                <w:b/>
                <w:bCs w:val="0"/>
              </w:rPr>
            </w:pPr>
            <w:r w:rsidRPr="0029604F">
              <w:rPr>
                <w:b/>
                <w:bCs w:val="0"/>
              </w:rPr>
              <w:t>outcome</w:t>
            </w:r>
          </w:p>
        </w:tc>
      </w:tr>
      <w:tr w:rsidR="007709AA" w:rsidRPr="00250A3D" w14:paraId="64FBABCD" w14:textId="77777777" w:rsidTr="00F104A7">
        <w:tc>
          <w:tcPr>
            <w:tcW w:w="2638" w:type="pct"/>
          </w:tcPr>
          <w:p w14:paraId="602042EB" w14:textId="77777777" w:rsidR="007709AA" w:rsidRPr="00250A3D" w:rsidRDefault="007709AA" w:rsidP="00370D8E">
            <w:pPr>
              <w:pStyle w:val="TableText"/>
            </w:pPr>
            <w:r>
              <w:t>Time on iptacopan treatment, years</w:t>
            </w:r>
          </w:p>
        </w:tc>
        <w:tc>
          <w:tcPr>
            <w:tcW w:w="787" w:type="pct"/>
            <w:vAlign w:val="center"/>
          </w:tcPr>
          <w:p w14:paraId="50B41A0C" w14:textId="77777777" w:rsidR="007709AA" w:rsidRPr="00250A3D" w:rsidRDefault="007709AA" w:rsidP="00370D8E">
            <w:pPr>
              <w:pStyle w:val="TableText"/>
              <w:jc w:val="center"/>
            </w:pPr>
            <w:r>
              <w:t>26.54</w:t>
            </w:r>
          </w:p>
        </w:tc>
        <w:tc>
          <w:tcPr>
            <w:tcW w:w="787" w:type="pct"/>
            <w:vAlign w:val="center"/>
          </w:tcPr>
          <w:p w14:paraId="28580EAF" w14:textId="77777777" w:rsidR="007709AA" w:rsidRPr="00250A3D" w:rsidRDefault="007709AA" w:rsidP="00370D8E">
            <w:pPr>
              <w:pStyle w:val="TableText"/>
              <w:jc w:val="center"/>
            </w:pPr>
            <w:r>
              <w:t>0.00</w:t>
            </w:r>
          </w:p>
        </w:tc>
        <w:tc>
          <w:tcPr>
            <w:tcW w:w="788" w:type="pct"/>
            <w:vAlign w:val="center"/>
          </w:tcPr>
          <w:p w14:paraId="55381E9F" w14:textId="77777777" w:rsidR="007709AA" w:rsidRPr="00250A3D" w:rsidRDefault="007709AA" w:rsidP="00370D8E">
            <w:pPr>
              <w:pStyle w:val="TableText"/>
              <w:jc w:val="center"/>
            </w:pPr>
            <w:r>
              <w:t>26.54</w:t>
            </w:r>
          </w:p>
        </w:tc>
      </w:tr>
      <w:tr w:rsidR="007709AA" w:rsidRPr="00250A3D" w14:paraId="2011BD79" w14:textId="77777777">
        <w:tc>
          <w:tcPr>
            <w:tcW w:w="5000" w:type="pct"/>
            <w:gridSpan w:val="4"/>
          </w:tcPr>
          <w:p w14:paraId="25FAC2D9" w14:textId="77777777" w:rsidR="007709AA" w:rsidRPr="00CE20A6" w:rsidRDefault="007709AA" w:rsidP="00370D8E">
            <w:pPr>
              <w:pStyle w:val="TableText"/>
              <w:jc w:val="both"/>
              <w:rPr>
                <w:b/>
                <w:bCs w:val="0"/>
              </w:rPr>
            </w:pPr>
            <w:r w:rsidRPr="00CE20A6">
              <w:rPr>
                <w:b/>
                <w:bCs w:val="0"/>
              </w:rPr>
              <w:t>Events per 100 patients</w:t>
            </w:r>
          </w:p>
        </w:tc>
      </w:tr>
      <w:tr w:rsidR="007709AA" w:rsidRPr="00250A3D" w14:paraId="70E6FD33" w14:textId="77777777" w:rsidTr="00F104A7">
        <w:tc>
          <w:tcPr>
            <w:tcW w:w="2638" w:type="pct"/>
          </w:tcPr>
          <w:p w14:paraId="639E9F1A" w14:textId="77777777" w:rsidR="007709AA" w:rsidRDefault="007709AA" w:rsidP="00370D8E">
            <w:pPr>
              <w:pStyle w:val="TableText"/>
            </w:pPr>
            <w:r>
              <w:t>Transplantations</w:t>
            </w:r>
          </w:p>
        </w:tc>
        <w:tc>
          <w:tcPr>
            <w:tcW w:w="787" w:type="pct"/>
            <w:vAlign w:val="center"/>
          </w:tcPr>
          <w:p w14:paraId="574A819C" w14:textId="77777777" w:rsidR="007709AA" w:rsidRPr="006853A2" w:rsidRDefault="007709AA" w:rsidP="00370D8E">
            <w:pPr>
              <w:pStyle w:val="TableText"/>
              <w:jc w:val="center"/>
            </w:pPr>
            <w:r>
              <w:t>50</w:t>
            </w:r>
          </w:p>
        </w:tc>
        <w:tc>
          <w:tcPr>
            <w:tcW w:w="787" w:type="pct"/>
            <w:vAlign w:val="center"/>
          </w:tcPr>
          <w:p w14:paraId="605B1D5B" w14:textId="77777777" w:rsidR="007709AA" w:rsidRDefault="007709AA" w:rsidP="00370D8E">
            <w:pPr>
              <w:pStyle w:val="TableText"/>
              <w:jc w:val="center"/>
            </w:pPr>
            <w:r>
              <w:t>121</w:t>
            </w:r>
          </w:p>
        </w:tc>
        <w:tc>
          <w:tcPr>
            <w:tcW w:w="788" w:type="pct"/>
            <w:vAlign w:val="center"/>
          </w:tcPr>
          <w:p w14:paraId="2282042D" w14:textId="77777777" w:rsidR="007709AA" w:rsidRDefault="007709AA" w:rsidP="00370D8E">
            <w:pPr>
              <w:pStyle w:val="TableText"/>
              <w:jc w:val="center"/>
            </w:pPr>
            <w:r>
              <w:t>-71</w:t>
            </w:r>
          </w:p>
        </w:tc>
      </w:tr>
      <w:tr w:rsidR="007709AA" w:rsidRPr="00250A3D" w14:paraId="7F8F984C" w14:textId="77777777" w:rsidTr="00F104A7">
        <w:tc>
          <w:tcPr>
            <w:tcW w:w="2638" w:type="pct"/>
          </w:tcPr>
          <w:p w14:paraId="688C78F9" w14:textId="77777777" w:rsidR="007709AA" w:rsidRDefault="007709AA" w:rsidP="00370D8E">
            <w:pPr>
              <w:pStyle w:val="TableText"/>
            </w:pPr>
            <w:r>
              <w:t>Adverse events</w:t>
            </w:r>
          </w:p>
        </w:tc>
        <w:tc>
          <w:tcPr>
            <w:tcW w:w="787" w:type="pct"/>
            <w:vAlign w:val="center"/>
          </w:tcPr>
          <w:p w14:paraId="7009D493" w14:textId="77777777" w:rsidR="007709AA" w:rsidRPr="006853A2" w:rsidRDefault="007709AA" w:rsidP="00370D8E">
            <w:pPr>
              <w:pStyle w:val="TableText"/>
              <w:jc w:val="center"/>
            </w:pPr>
            <w:r>
              <w:t>0</w:t>
            </w:r>
          </w:p>
        </w:tc>
        <w:tc>
          <w:tcPr>
            <w:tcW w:w="787" w:type="pct"/>
            <w:vAlign w:val="center"/>
          </w:tcPr>
          <w:p w14:paraId="442D0FBA" w14:textId="77777777" w:rsidR="007709AA" w:rsidRDefault="007709AA" w:rsidP="00370D8E">
            <w:pPr>
              <w:pStyle w:val="TableText"/>
              <w:jc w:val="center"/>
            </w:pPr>
            <w:r>
              <w:t>0</w:t>
            </w:r>
          </w:p>
        </w:tc>
        <w:tc>
          <w:tcPr>
            <w:tcW w:w="788" w:type="pct"/>
            <w:vAlign w:val="center"/>
          </w:tcPr>
          <w:p w14:paraId="0FC12405" w14:textId="77777777" w:rsidR="007709AA" w:rsidRDefault="007709AA" w:rsidP="00370D8E">
            <w:pPr>
              <w:pStyle w:val="TableText"/>
              <w:jc w:val="center"/>
            </w:pPr>
            <w:r>
              <w:t>0</w:t>
            </w:r>
          </w:p>
        </w:tc>
      </w:tr>
      <w:tr w:rsidR="007709AA" w:rsidRPr="00250A3D" w14:paraId="24CD0B05" w14:textId="77777777">
        <w:tc>
          <w:tcPr>
            <w:tcW w:w="5000" w:type="pct"/>
            <w:gridSpan w:val="4"/>
          </w:tcPr>
          <w:p w14:paraId="42D29C90" w14:textId="77777777" w:rsidR="007709AA" w:rsidRPr="0029604F" w:rsidRDefault="007709AA" w:rsidP="00370D8E">
            <w:pPr>
              <w:pStyle w:val="TableText"/>
              <w:rPr>
                <w:b/>
                <w:bCs w:val="0"/>
              </w:rPr>
            </w:pPr>
            <w:r w:rsidRPr="0029604F">
              <w:rPr>
                <w:b/>
                <w:bCs w:val="0"/>
              </w:rPr>
              <w:t>Life years</w:t>
            </w:r>
          </w:p>
        </w:tc>
      </w:tr>
      <w:tr w:rsidR="007709AA" w:rsidRPr="00250A3D" w14:paraId="1B430403" w14:textId="77777777" w:rsidTr="00F104A7">
        <w:tc>
          <w:tcPr>
            <w:tcW w:w="2638" w:type="pct"/>
          </w:tcPr>
          <w:p w14:paraId="692C75F6" w14:textId="4B64392E" w:rsidR="007709AA" w:rsidRPr="00250A3D" w:rsidRDefault="007709AA" w:rsidP="00370D8E">
            <w:pPr>
              <w:pStyle w:val="TableText"/>
            </w:pPr>
            <w:r>
              <w:t>CKD Stage 1/2</w:t>
            </w:r>
          </w:p>
        </w:tc>
        <w:tc>
          <w:tcPr>
            <w:tcW w:w="787" w:type="pct"/>
            <w:vAlign w:val="center"/>
          </w:tcPr>
          <w:p w14:paraId="69B65294" w14:textId="77777777" w:rsidR="007709AA" w:rsidRPr="00250A3D" w:rsidRDefault="007709AA" w:rsidP="00370D8E">
            <w:pPr>
              <w:pStyle w:val="TableText"/>
              <w:jc w:val="center"/>
            </w:pPr>
            <w:r>
              <w:t>19.7701</w:t>
            </w:r>
          </w:p>
        </w:tc>
        <w:tc>
          <w:tcPr>
            <w:tcW w:w="787" w:type="pct"/>
            <w:vAlign w:val="center"/>
          </w:tcPr>
          <w:p w14:paraId="128AED68" w14:textId="77777777" w:rsidR="007709AA" w:rsidRPr="00250A3D" w:rsidRDefault="007709AA" w:rsidP="00370D8E">
            <w:pPr>
              <w:pStyle w:val="TableText"/>
              <w:jc w:val="center"/>
            </w:pPr>
            <w:r>
              <w:t>5.1620</w:t>
            </w:r>
          </w:p>
        </w:tc>
        <w:tc>
          <w:tcPr>
            <w:tcW w:w="788" w:type="pct"/>
            <w:vAlign w:val="center"/>
          </w:tcPr>
          <w:p w14:paraId="76C268FF" w14:textId="77777777" w:rsidR="007709AA" w:rsidRPr="00250A3D" w:rsidRDefault="007709AA" w:rsidP="00370D8E">
            <w:pPr>
              <w:pStyle w:val="TableText"/>
              <w:jc w:val="center"/>
            </w:pPr>
            <w:r w:rsidRPr="00034F3A">
              <w:t>14.6081</w:t>
            </w:r>
          </w:p>
        </w:tc>
      </w:tr>
      <w:tr w:rsidR="007709AA" w:rsidRPr="00250A3D" w14:paraId="7AC6A25F" w14:textId="77777777" w:rsidTr="00F104A7">
        <w:tc>
          <w:tcPr>
            <w:tcW w:w="2638" w:type="pct"/>
          </w:tcPr>
          <w:p w14:paraId="74FDA6DA" w14:textId="5EF27619" w:rsidR="007709AA" w:rsidRPr="00250A3D" w:rsidRDefault="007709AA" w:rsidP="00370D8E">
            <w:pPr>
              <w:pStyle w:val="TableText"/>
            </w:pPr>
            <w:r>
              <w:t>CKD Stage 3/4</w:t>
            </w:r>
          </w:p>
        </w:tc>
        <w:tc>
          <w:tcPr>
            <w:tcW w:w="787" w:type="pct"/>
            <w:vAlign w:val="center"/>
          </w:tcPr>
          <w:p w14:paraId="41F6E923" w14:textId="77777777" w:rsidR="007709AA" w:rsidRPr="00250A3D" w:rsidRDefault="007709AA" w:rsidP="00370D8E">
            <w:pPr>
              <w:pStyle w:val="TableText"/>
              <w:jc w:val="center"/>
            </w:pPr>
            <w:r>
              <w:t>13.1412</w:t>
            </w:r>
          </w:p>
        </w:tc>
        <w:tc>
          <w:tcPr>
            <w:tcW w:w="787" w:type="pct"/>
            <w:vAlign w:val="center"/>
          </w:tcPr>
          <w:p w14:paraId="385ACBF1" w14:textId="77777777" w:rsidR="007709AA" w:rsidRPr="00250A3D" w:rsidRDefault="007709AA" w:rsidP="00370D8E">
            <w:pPr>
              <w:pStyle w:val="TableText"/>
              <w:jc w:val="center"/>
            </w:pPr>
            <w:r>
              <w:t>5.0119</w:t>
            </w:r>
          </w:p>
        </w:tc>
        <w:tc>
          <w:tcPr>
            <w:tcW w:w="788" w:type="pct"/>
            <w:vAlign w:val="center"/>
          </w:tcPr>
          <w:p w14:paraId="0E4EA96E" w14:textId="77777777" w:rsidR="007709AA" w:rsidRPr="00250A3D" w:rsidRDefault="007709AA" w:rsidP="00370D8E">
            <w:pPr>
              <w:pStyle w:val="TableText"/>
              <w:jc w:val="center"/>
            </w:pPr>
            <w:r w:rsidRPr="00034F3A">
              <w:t>8.1293</w:t>
            </w:r>
          </w:p>
        </w:tc>
      </w:tr>
      <w:tr w:rsidR="007709AA" w:rsidRPr="00250A3D" w14:paraId="4AA23D4A" w14:textId="77777777" w:rsidTr="00F104A7">
        <w:tc>
          <w:tcPr>
            <w:tcW w:w="2638" w:type="pct"/>
          </w:tcPr>
          <w:p w14:paraId="3150064E" w14:textId="77777777" w:rsidR="007709AA" w:rsidRPr="00250A3D" w:rsidRDefault="007709AA" w:rsidP="00370D8E">
            <w:pPr>
              <w:pStyle w:val="TableText"/>
            </w:pPr>
            <w:r>
              <w:t>CKD Stage 5 (conservative care)</w:t>
            </w:r>
          </w:p>
        </w:tc>
        <w:tc>
          <w:tcPr>
            <w:tcW w:w="787" w:type="pct"/>
            <w:vAlign w:val="center"/>
          </w:tcPr>
          <w:p w14:paraId="660EB879" w14:textId="77777777" w:rsidR="007709AA" w:rsidRPr="00250A3D" w:rsidRDefault="007709AA" w:rsidP="00370D8E">
            <w:pPr>
              <w:pStyle w:val="TableText"/>
              <w:jc w:val="center"/>
            </w:pPr>
            <w:r>
              <w:t>1.1585</w:t>
            </w:r>
          </w:p>
        </w:tc>
        <w:tc>
          <w:tcPr>
            <w:tcW w:w="787" w:type="pct"/>
            <w:vAlign w:val="center"/>
          </w:tcPr>
          <w:p w14:paraId="5DC7E780" w14:textId="77777777" w:rsidR="007709AA" w:rsidRPr="00250A3D" w:rsidRDefault="007709AA" w:rsidP="00370D8E">
            <w:pPr>
              <w:pStyle w:val="TableText"/>
              <w:jc w:val="center"/>
            </w:pPr>
            <w:r>
              <w:t>0.6077</w:t>
            </w:r>
          </w:p>
        </w:tc>
        <w:tc>
          <w:tcPr>
            <w:tcW w:w="788" w:type="pct"/>
            <w:vAlign w:val="center"/>
          </w:tcPr>
          <w:p w14:paraId="590908C4" w14:textId="77777777" w:rsidR="007709AA" w:rsidRPr="00250A3D" w:rsidRDefault="007709AA" w:rsidP="00370D8E">
            <w:pPr>
              <w:pStyle w:val="TableText"/>
              <w:jc w:val="center"/>
            </w:pPr>
            <w:r w:rsidRPr="00034F3A">
              <w:t>0.5508</w:t>
            </w:r>
          </w:p>
        </w:tc>
      </w:tr>
      <w:tr w:rsidR="007709AA" w:rsidRPr="00250A3D" w14:paraId="64CB27EA" w14:textId="77777777" w:rsidTr="00F104A7">
        <w:tc>
          <w:tcPr>
            <w:tcW w:w="2638" w:type="pct"/>
          </w:tcPr>
          <w:p w14:paraId="4D1623E9" w14:textId="77777777" w:rsidR="007709AA" w:rsidRPr="00250A3D" w:rsidRDefault="007709AA" w:rsidP="00370D8E">
            <w:pPr>
              <w:pStyle w:val="TableText"/>
            </w:pPr>
            <w:r>
              <w:t>Dialysis</w:t>
            </w:r>
          </w:p>
        </w:tc>
        <w:tc>
          <w:tcPr>
            <w:tcW w:w="787" w:type="pct"/>
            <w:vAlign w:val="center"/>
          </w:tcPr>
          <w:p w14:paraId="656C8E4A" w14:textId="77777777" w:rsidR="007709AA" w:rsidRPr="00250A3D" w:rsidRDefault="007709AA" w:rsidP="00370D8E">
            <w:pPr>
              <w:pStyle w:val="TableText"/>
              <w:jc w:val="center"/>
            </w:pPr>
            <w:r>
              <w:t>6.6792</w:t>
            </w:r>
          </w:p>
        </w:tc>
        <w:tc>
          <w:tcPr>
            <w:tcW w:w="787" w:type="pct"/>
            <w:vAlign w:val="center"/>
          </w:tcPr>
          <w:p w14:paraId="109B9543" w14:textId="77777777" w:rsidR="007709AA" w:rsidRPr="00250A3D" w:rsidRDefault="007709AA" w:rsidP="00370D8E">
            <w:pPr>
              <w:pStyle w:val="TableText"/>
              <w:jc w:val="center"/>
            </w:pPr>
            <w:r>
              <w:t>12.4699</w:t>
            </w:r>
          </w:p>
        </w:tc>
        <w:tc>
          <w:tcPr>
            <w:tcW w:w="788" w:type="pct"/>
            <w:vAlign w:val="center"/>
          </w:tcPr>
          <w:p w14:paraId="3BB9DFCA" w14:textId="77777777" w:rsidR="007709AA" w:rsidRPr="00250A3D" w:rsidRDefault="007709AA" w:rsidP="00370D8E">
            <w:pPr>
              <w:pStyle w:val="TableText"/>
              <w:jc w:val="center"/>
            </w:pPr>
            <w:r w:rsidRPr="00034F3A">
              <w:t>-5.7906</w:t>
            </w:r>
          </w:p>
        </w:tc>
      </w:tr>
      <w:tr w:rsidR="007709AA" w:rsidRPr="00250A3D" w14:paraId="14A65CAB" w14:textId="77777777" w:rsidTr="00F104A7">
        <w:tc>
          <w:tcPr>
            <w:tcW w:w="2638" w:type="pct"/>
          </w:tcPr>
          <w:p w14:paraId="60C72C8C" w14:textId="77777777" w:rsidR="007709AA" w:rsidRPr="00250A3D" w:rsidRDefault="007709AA" w:rsidP="00370D8E">
            <w:pPr>
              <w:pStyle w:val="TableText"/>
            </w:pPr>
            <w:r>
              <w:t>Post-transplant (successful graft)</w:t>
            </w:r>
          </w:p>
        </w:tc>
        <w:tc>
          <w:tcPr>
            <w:tcW w:w="787" w:type="pct"/>
            <w:vAlign w:val="center"/>
          </w:tcPr>
          <w:p w14:paraId="5404F051" w14:textId="77777777" w:rsidR="007709AA" w:rsidRPr="00250A3D" w:rsidRDefault="007709AA" w:rsidP="00370D8E">
            <w:pPr>
              <w:pStyle w:val="TableText"/>
              <w:jc w:val="center"/>
            </w:pPr>
            <w:r>
              <w:t>3.9773</w:t>
            </w:r>
          </w:p>
        </w:tc>
        <w:tc>
          <w:tcPr>
            <w:tcW w:w="787" w:type="pct"/>
            <w:vAlign w:val="center"/>
          </w:tcPr>
          <w:p w14:paraId="5C843E1F" w14:textId="77777777" w:rsidR="007709AA" w:rsidRPr="00250A3D" w:rsidRDefault="007709AA" w:rsidP="00370D8E">
            <w:pPr>
              <w:pStyle w:val="TableText"/>
              <w:jc w:val="center"/>
            </w:pPr>
            <w:r>
              <w:t>12.3857</w:t>
            </w:r>
          </w:p>
        </w:tc>
        <w:tc>
          <w:tcPr>
            <w:tcW w:w="788" w:type="pct"/>
            <w:vAlign w:val="center"/>
          </w:tcPr>
          <w:p w14:paraId="58501E47" w14:textId="77777777" w:rsidR="007709AA" w:rsidRPr="00250A3D" w:rsidRDefault="007709AA" w:rsidP="00370D8E">
            <w:pPr>
              <w:pStyle w:val="TableText"/>
              <w:jc w:val="center"/>
            </w:pPr>
            <w:r w:rsidRPr="00034F3A">
              <w:t>-8.4084</w:t>
            </w:r>
          </w:p>
        </w:tc>
      </w:tr>
      <w:tr w:rsidR="007709AA" w:rsidRPr="00250A3D" w14:paraId="3986DBAF" w14:textId="77777777" w:rsidTr="00F104A7">
        <w:tc>
          <w:tcPr>
            <w:tcW w:w="2638" w:type="pct"/>
          </w:tcPr>
          <w:p w14:paraId="4D3DBB8D" w14:textId="103A8CE5" w:rsidR="007709AA" w:rsidRPr="00250A3D" w:rsidRDefault="00EB63D6" w:rsidP="00370D8E">
            <w:pPr>
              <w:pStyle w:val="TableText"/>
            </w:pPr>
            <w:r>
              <w:t>Post-transplant</w:t>
            </w:r>
            <w:r w:rsidR="007709AA">
              <w:t xml:space="preserve"> (graft failure)</w:t>
            </w:r>
          </w:p>
        </w:tc>
        <w:tc>
          <w:tcPr>
            <w:tcW w:w="787" w:type="pct"/>
            <w:vAlign w:val="center"/>
          </w:tcPr>
          <w:p w14:paraId="5450E93D" w14:textId="77777777" w:rsidR="007709AA" w:rsidRPr="00250A3D" w:rsidRDefault="007709AA" w:rsidP="00370D8E">
            <w:pPr>
              <w:pStyle w:val="TableText"/>
              <w:jc w:val="center"/>
            </w:pPr>
            <w:r>
              <w:t>1.7911</w:t>
            </w:r>
          </w:p>
        </w:tc>
        <w:tc>
          <w:tcPr>
            <w:tcW w:w="787" w:type="pct"/>
            <w:vAlign w:val="center"/>
          </w:tcPr>
          <w:p w14:paraId="3F109AE8" w14:textId="77777777" w:rsidR="007709AA" w:rsidRPr="00250A3D" w:rsidRDefault="007709AA" w:rsidP="00370D8E">
            <w:pPr>
              <w:pStyle w:val="TableText"/>
              <w:jc w:val="center"/>
            </w:pPr>
            <w:r>
              <w:t>7.0316</w:t>
            </w:r>
          </w:p>
        </w:tc>
        <w:tc>
          <w:tcPr>
            <w:tcW w:w="788" w:type="pct"/>
            <w:vAlign w:val="center"/>
          </w:tcPr>
          <w:p w14:paraId="7B1396A3" w14:textId="77777777" w:rsidR="007709AA" w:rsidRPr="00250A3D" w:rsidRDefault="007709AA" w:rsidP="00370D8E">
            <w:pPr>
              <w:pStyle w:val="TableText"/>
              <w:jc w:val="center"/>
            </w:pPr>
            <w:r w:rsidRPr="00034F3A">
              <w:t>-5.2405</w:t>
            </w:r>
          </w:p>
        </w:tc>
      </w:tr>
      <w:tr w:rsidR="007709AA" w:rsidRPr="00250A3D" w14:paraId="049E7015" w14:textId="77777777" w:rsidTr="00F104A7">
        <w:tc>
          <w:tcPr>
            <w:tcW w:w="2638" w:type="pct"/>
          </w:tcPr>
          <w:p w14:paraId="05A694C8" w14:textId="77777777" w:rsidR="007709AA" w:rsidRDefault="007709AA" w:rsidP="00370D8E">
            <w:pPr>
              <w:pStyle w:val="TableText"/>
            </w:pPr>
            <w:r>
              <w:t>Total life years (undiscounted)</w:t>
            </w:r>
          </w:p>
        </w:tc>
        <w:tc>
          <w:tcPr>
            <w:tcW w:w="787" w:type="pct"/>
            <w:vAlign w:val="center"/>
          </w:tcPr>
          <w:p w14:paraId="62A665B7" w14:textId="77777777" w:rsidR="007709AA" w:rsidRPr="00250A3D" w:rsidRDefault="007709AA" w:rsidP="00370D8E">
            <w:pPr>
              <w:pStyle w:val="TableText"/>
              <w:jc w:val="center"/>
            </w:pPr>
            <w:r w:rsidRPr="00034F3A">
              <w:t>46.5173</w:t>
            </w:r>
          </w:p>
        </w:tc>
        <w:tc>
          <w:tcPr>
            <w:tcW w:w="787" w:type="pct"/>
            <w:vAlign w:val="center"/>
          </w:tcPr>
          <w:p w14:paraId="24990C00" w14:textId="77777777" w:rsidR="007709AA" w:rsidRPr="00250A3D" w:rsidRDefault="007709AA" w:rsidP="00370D8E">
            <w:pPr>
              <w:pStyle w:val="TableText"/>
              <w:jc w:val="center"/>
            </w:pPr>
            <w:r w:rsidRPr="00034F3A">
              <w:t>42.6686</w:t>
            </w:r>
          </w:p>
        </w:tc>
        <w:tc>
          <w:tcPr>
            <w:tcW w:w="788" w:type="pct"/>
            <w:vAlign w:val="center"/>
          </w:tcPr>
          <w:p w14:paraId="1E6E32C5" w14:textId="77777777" w:rsidR="007709AA" w:rsidRPr="00250A3D" w:rsidRDefault="007709AA" w:rsidP="00370D8E">
            <w:pPr>
              <w:pStyle w:val="TableText"/>
              <w:jc w:val="center"/>
            </w:pPr>
            <w:r w:rsidRPr="00034F3A">
              <w:t>3.8487</w:t>
            </w:r>
          </w:p>
        </w:tc>
      </w:tr>
      <w:tr w:rsidR="007709AA" w:rsidRPr="00250A3D" w14:paraId="46BAF3A6" w14:textId="77777777" w:rsidTr="00F104A7">
        <w:tc>
          <w:tcPr>
            <w:tcW w:w="2638" w:type="pct"/>
          </w:tcPr>
          <w:p w14:paraId="4D3E982A" w14:textId="77777777" w:rsidR="007709AA" w:rsidRPr="0031748E" w:rsidRDefault="007709AA" w:rsidP="00370D8E">
            <w:pPr>
              <w:pStyle w:val="TableText"/>
              <w:rPr>
                <w:b/>
                <w:bCs w:val="0"/>
              </w:rPr>
            </w:pPr>
            <w:r w:rsidRPr="0031748E">
              <w:rPr>
                <w:b/>
                <w:bCs w:val="0"/>
              </w:rPr>
              <w:t>Total life years (discounted)</w:t>
            </w:r>
          </w:p>
        </w:tc>
        <w:tc>
          <w:tcPr>
            <w:tcW w:w="787" w:type="pct"/>
            <w:vAlign w:val="center"/>
          </w:tcPr>
          <w:p w14:paraId="7560687C" w14:textId="77777777" w:rsidR="007709AA" w:rsidRPr="00F5673B" w:rsidRDefault="007709AA" w:rsidP="00370D8E">
            <w:pPr>
              <w:pStyle w:val="TableText"/>
              <w:jc w:val="center"/>
              <w:rPr>
                <w:b/>
                <w:bCs w:val="0"/>
              </w:rPr>
            </w:pPr>
            <w:r w:rsidRPr="00F5673B">
              <w:rPr>
                <w:b/>
                <w:bCs w:val="0"/>
              </w:rPr>
              <w:t>17.9534</w:t>
            </w:r>
          </w:p>
        </w:tc>
        <w:tc>
          <w:tcPr>
            <w:tcW w:w="787" w:type="pct"/>
            <w:vAlign w:val="center"/>
          </w:tcPr>
          <w:p w14:paraId="0E95461A" w14:textId="77777777" w:rsidR="007709AA" w:rsidRPr="00F5673B" w:rsidRDefault="007709AA" w:rsidP="00370D8E">
            <w:pPr>
              <w:pStyle w:val="TableText"/>
              <w:jc w:val="center"/>
              <w:rPr>
                <w:b/>
                <w:bCs w:val="0"/>
              </w:rPr>
            </w:pPr>
            <w:r w:rsidRPr="00F5673B">
              <w:rPr>
                <w:b/>
                <w:bCs w:val="0"/>
              </w:rPr>
              <w:t>17.3548</w:t>
            </w:r>
          </w:p>
        </w:tc>
        <w:tc>
          <w:tcPr>
            <w:tcW w:w="788" w:type="pct"/>
            <w:vAlign w:val="center"/>
          </w:tcPr>
          <w:p w14:paraId="0FAEFA09" w14:textId="77777777" w:rsidR="007709AA" w:rsidRPr="00F5673B" w:rsidRDefault="007709AA" w:rsidP="00370D8E">
            <w:pPr>
              <w:pStyle w:val="TableText"/>
              <w:jc w:val="center"/>
              <w:rPr>
                <w:b/>
                <w:bCs w:val="0"/>
              </w:rPr>
            </w:pPr>
            <w:r w:rsidRPr="00F5673B">
              <w:rPr>
                <w:b/>
                <w:bCs w:val="0"/>
              </w:rPr>
              <w:t>0.5986</w:t>
            </w:r>
          </w:p>
        </w:tc>
      </w:tr>
      <w:tr w:rsidR="007709AA" w:rsidRPr="00250A3D" w14:paraId="6F3EDB55" w14:textId="77777777">
        <w:tc>
          <w:tcPr>
            <w:tcW w:w="5000" w:type="pct"/>
            <w:gridSpan w:val="4"/>
          </w:tcPr>
          <w:p w14:paraId="0D2212FB" w14:textId="77777777" w:rsidR="007709AA" w:rsidRPr="0029604F" w:rsidRDefault="007709AA" w:rsidP="00370D8E">
            <w:pPr>
              <w:pStyle w:val="TableText"/>
              <w:rPr>
                <w:b/>
                <w:bCs w:val="0"/>
              </w:rPr>
            </w:pPr>
            <w:r w:rsidRPr="0029604F">
              <w:rPr>
                <w:b/>
                <w:bCs w:val="0"/>
              </w:rPr>
              <w:t>Quality adjusted life years</w:t>
            </w:r>
          </w:p>
        </w:tc>
      </w:tr>
      <w:tr w:rsidR="007709AA" w:rsidRPr="00250A3D" w14:paraId="19E329D3" w14:textId="77777777" w:rsidTr="00F104A7">
        <w:tc>
          <w:tcPr>
            <w:tcW w:w="2638" w:type="pct"/>
          </w:tcPr>
          <w:p w14:paraId="597135E7" w14:textId="3A9972D2" w:rsidR="007709AA" w:rsidRPr="000350F0" w:rsidRDefault="007709AA" w:rsidP="00370D8E">
            <w:pPr>
              <w:pStyle w:val="TableText"/>
            </w:pPr>
            <w:r>
              <w:t>CKD Stage 1/2</w:t>
            </w:r>
          </w:p>
        </w:tc>
        <w:tc>
          <w:tcPr>
            <w:tcW w:w="787" w:type="pct"/>
            <w:vAlign w:val="center"/>
          </w:tcPr>
          <w:p w14:paraId="672DB9A7" w14:textId="77777777" w:rsidR="007709AA" w:rsidRPr="007F1F1E" w:rsidRDefault="007709AA" w:rsidP="00370D8E">
            <w:pPr>
              <w:pStyle w:val="TableText"/>
              <w:jc w:val="center"/>
            </w:pPr>
            <w:r>
              <w:t>13.4437</w:t>
            </w:r>
          </w:p>
        </w:tc>
        <w:tc>
          <w:tcPr>
            <w:tcW w:w="787" w:type="pct"/>
            <w:vAlign w:val="center"/>
          </w:tcPr>
          <w:p w14:paraId="60383A98" w14:textId="77777777" w:rsidR="007709AA" w:rsidRPr="007F1F1E" w:rsidRDefault="007709AA" w:rsidP="00370D8E">
            <w:pPr>
              <w:pStyle w:val="TableText"/>
              <w:jc w:val="center"/>
            </w:pPr>
            <w:r>
              <w:t>3.5101</w:t>
            </w:r>
          </w:p>
        </w:tc>
        <w:tc>
          <w:tcPr>
            <w:tcW w:w="788" w:type="pct"/>
            <w:vAlign w:val="center"/>
          </w:tcPr>
          <w:p w14:paraId="682CCDE1" w14:textId="77777777" w:rsidR="007709AA" w:rsidRPr="007F1F1E" w:rsidRDefault="007709AA" w:rsidP="00370D8E">
            <w:pPr>
              <w:pStyle w:val="TableText"/>
              <w:jc w:val="center"/>
            </w:pPr>
            <w:r w:rsidRPr="0031748E">
              <w:t>9.9335</w:t>
            </w:r>
          </w:p>
        </w:tc>
      </w:tr>
      <w:tr w:rsidR="007709AA" w:rsidRPr="00250A3D" w14:paraId="437C6C02" w14:textId="77777777" w:rsidTr="00F104A7">
        <w:tc>
          <w:tcPr>
            <w:tcW w:w="2638" w:type="pct"/>
          </w:tcPr>
          <w:p w14:paraId="3AC84B82" w14:textId="2BD6BA08" w:rsidR="007709AA" w:rsidRDefault="007709AA" w:rsidP="00370D8E">
            <w:pPr>
              <w:pStyle w:val="TableText"/>
            </w:pPr>
            <w:r>
              <w:t>CKD Stage 3/4</w:t>
            </w:r>
          </w:p>
        </w:tc>
        <w:tc>
          <w:tcPr>
            <w:tcW w:w="787" w:type="pct"/>
            <w:vAlign w:val="center"/>
          </w:tcPr>
          <w:p w14:paraId="31059B7C" w14:textId="77777777" w:rsidR="007709AA" w:rsidRPr="007F1F1E" w:rsidRDefault="007709AA" w:rsidP="00370D8E">
            <w:pPr>
              <w:pStyle w:val="TableText"/>
              <w:jc w:val="center"/>
            </w:pPr>
            <w:r>
              <w:t>6.9461</w:t>
            </w:r>
          </w:p>
        </w:tc>
        <w:tc>
          <w:tcPr>
            <w:tcW w:w="787" w:type="pct"/>
            <w:vAlign w:val="center"/>
          </w:tcPr>
          <w:p w14:paraId="3F2AB50B" w14:textId="77777777" w:rsidR="007709AA" w:rsidRPr="007F1F1E" w:rsidRDefault="007709AA" w:rsidP="00370D8E">
            <w:pPr>
              <w:pStyle w:val="TableText"/>
              <w:jc w:val="center"/>
            </w:pPr>
            <w:r>
              <w:t>2.5996</w:t>
            </w:r>
          </w:p>
        </w:tc>
        <w:tc>
          <w:tcPr>
            <w:tcW w:w="788" w:type="pct"/>
            <w:vAlign w:val="center"/>
          </w:tcPr>
          <w:p w14:paraId="64704E65" w14:textId="77777777" w:rsidR="007709AA" w:rsidRPr="007F1F1E" w:rsidRDefault="007709AA" w:rsidP="00370D8E">
            <w:pPr>
              <w:pStyle w:val="TableText"/>
              <w:jc w:val="center"/>
            </w:pPr>
            <w:r w:rsidRPr="0031748E">
              <w:t>4.3465</w:t>
            </w:r>
          </w:p>
        </w:tc>
      </w:tr>
      <w:tr w:rsidR="007709AA" w:rsidRPr="00250A3D" w14:paraId="6C511919" w14:textId="77777777" w:rsidTr="00F104A7">
        <w:tc>
          <w:tcPr>
            <w:tcW w:w="2638" w:type="pct"/>
          </w:tcPr>
          <w:p w14:paraId="1748511C" w14:textId="77777777" w:rsidR="007709AA" w:rsidRDefault="007709AA" w:rsidP="00370D8E">
            <w:pPr>
              <w:pStyle w:val="TableText"/>
            </w:pPr>
            <w:r>
              <w:t>CKD Stage 5 (conservative care)</w:t>
            </w:r>
          </w:p>
        </w:tc>
        <w:tc>
          <w:tcPr>
            <w:tcW w:w="787" w:type="pct"/>
            <w:vAlign w:val="center"/>
          </w:tcPr>
          <w:p w14:paraId="4C5C647B" w14:textId="77777777" w:rsidR="007709AA" w:rsidRPr="007F1F1E" w:rsidRDefault="007709AA" w:rsidP="00370D8E">
            <w:pPr>
              <w:pStyle w:val="TableText"/>
              <w:jc w:val="center"/>
            </w:pPr>
            <w:r>
              <w:t>0.0232</w:t>
            </w:r>
          </w:p>
        </w:tc>
        <w:tc>
          <w:tcPr>
            <w:tcW w:w="787" w:type="pct"/>
            <w:vAlign w:val="center"/>
          </w:tcPr>
          <w:p w14:paraId="0F879D33" w14:textId="77777777" w:rsidR="007709AA" w:rsidRPr="007F1F1E" w:rsidRDefault="007709AA" w:rsidP="00370D8E">
            <w:pPr>
              <w:pStyle w:val="TableText"/>
              <w:jc w:val="center"/>
            </w:pPr>
            <w:r>
              <w:t>0.0122</w:t>
            </w:r>
          </w:p>
        </w:tc>
        <w:tc>
          <w:tcPr>
            <w:tcW w:w="788" w:type="pct"/>
            <w:vAlign w:val="center"/>
          </w:tcPr>
          <w:p w14:paraId="60A67130" w14:textId="77777777" w:rsidR="007709AA" w:rsidRPr="007F1F1E" w:rsidRDefault="007709AA" w:rsidP="00370D8E">
            <w:pPr>
              <w:pStyle w:val="TableText"/>
              <w:jc w:val="center"/>
            </w:pPr>
            <w:r w:rsidRPr="0031748E">
              <w:t>0.0110</w:t>
            </w:r>
          </w:p>
        </w:tc>
      </w:tr>
      <w:tr w:rsidR="007709AA" w:rsidRPr="00250A3D" w14:paraId="47800CAB" w14:textId="77777777" w:rsidTr="00F104A7">
        <w:tc>
          <w:tcPr>
            <w:tcW w:w="2638" w:type="pct"/>
          </w:tcPr>
          <w:p w14:paraId="7E3CCC0A" w14:textId="77777777" w:rsidR="007709AA" w:rsidRDefault="007709AA" w:rsidP="00370D8E">
            <w:pPr>
              <w:pStyle w:val="TableText"/>
            </w:pPr>
            <w:r>
              <w:t>Dialysis</w:t>
            </w:r>
          </w:p>
        </w:tc>
        <w:tc>
          <w:tcPr>
            <w:tcW w:w="787" w:type="pct"/>
            <w:vAlign w:val="center"/>
          </w:tcPr>
          <w:p w14:paraId="7D6C947D" w14:textId="77777777" w:rsidR="007709AA" w:rsidRPr="007F1F1E" w:rsidRDefault="007709AA" w:rsidP="00370D8E">
            <w:pPr>
              <w:pStyle w:val="TableText"/>
              <w:jc w:val="center"/>
            </w:pPr>
            <w:r w:rsidRPr="00F5673B">
              <w:t>0.1336</w:t>
            </w:r>
          </w:p>
        </w:tc>
        <w:tc>
          <w:tcPr>
            <w:tcW w:w="787" w:type="pct"/>
            <w:vAlign w:val="center"/>
          </w:tcPr>
          <w:p w14:paraId="49897F2A" w14:textId="77777777" w:rsidR="007709AA" w:rsidRPr="007F1F1E" w:rsidRDefault="007709AA" w:rsidP="00370D8E">
            <w:pPr>
              <w:pStyle w:val="TableText"/>
              <w:jc w:val="center"/>
            </w:pPr>
            <w:r w:rsidRPr="00856370">
              <w:t>0.2494</w:t>
            </w:r>
          </w:p>
        </w:tc>
        <w:tc>
          <w:tcPr>
            <w:tcW w:w="788" w:type="pct"/>
            <w:vAlign w:val="center"/>
          </w:tcPr>
          <w:p w14:paraId="3AE03C8F" w14:textId="77777777" w:rsidR="007709AA" w:rsidRPr="007F1F1E" w:rsidRDefault="007709AA" w:rsidP="00370D8E">
            <w:pPr>
              <w:pStyle w:val="TableText"/>
              <w:jc w:val="center"/>
            </w:pPr>
            <w:r w:rsidRPr="00F5673B">
              <w:t>-0.1158</w:t>
            </w:r>
          </w:p>
        </w:tc>
      </w:tr>
      <w:tr w:rsidR="007709AA" w:rsidRPr="00250A3D" w14:paraId="7CCFCAE6" w14:textId="77777777" w:rsidTr="00F104A7">
        <w:tc>
          <w:tcPr>
            <w:tcW w:w="2638" w:type="pct"/>
          </w:tcPr>
          <w:p w14:paraId="1672EA58" w14:textId="77777777" w:rsidR="007709AA" w:rsidRDefault="007709AA" w:rsidP="00370D8E">
            <w:pPr>
              <w:pStyle w:val="TableText"/>
            </w:pPr>
            <w:r>
              <w:t>Post-transplant (successful graft)</w:t>
            </w:r>
          </w:p>
        </w:tc>
        <w:tc>
          <w:tcPr>
            <w:tcW w:w="787" w:type="pct"/>
            <w:vAlign w:val="center"/>
          </w:tcPr>
          <w:p w14:paraId="5194ECDD" w14:textId="77777777" w:rsidR="007709AA" w:rsidRPr="007F1F1E" w:rsidRDefault="007709AA" w:rsidP="00370D8E">
            <w:pPr>
              <w:pStyle w:val="TableText"/>
              <w:jc w:val="center"/>
            </w:pPr>
            <w:r>
              <w:t>2.7046</w:t>
            </w:r>
          </w:p>
        </w:tc>
        <w:tc>
          <w:tcPr>
            <w:tcW w:w="787" w:type="pct"/>
            <w:vAlign w:val="center"/>
          </w:tcPr>
          <w:p w14:paraId="594FAB48" w14:textId="77777777" w:rsidR="007709AA" w:rsidRPr="007F1F1E" w:rsidRDefault="007709AA" w:rsidP="00370D8E">
            <w:pPr>
              <w:pStyle w:val="TableText"/>
              <w:jc w:val="center"/>
            </w:pPr>
            <w:r>
              <w:t>8.4223</w:t>
            </w:r>
          </w:p>
        </w:tc>
        <w:tc>
          <w:tcPr>
            <w:tcW w:w="788" w:type="pct"/>
            <w:vAlign w:val="center"/>
          </w:tcPr>
          <w:p w14:paraId="606AD08E" w14:textId="77777777" w:rsidR="007709AA" w:rsidRPr="007F1F1E" w:rsidRDefault="007709AA" w:rsidP="00370D8E">
            <w:pPr>
              <w:pStyle w:val="TableText"/>
              <w:jc w:val="center"/>
            </w:pPr>
            <w:r w:rsidRPr="0031748E">
              <w:t>-5.7177</w:t>
            </w:r>
          </w:p>
        </w:tc>
      </w:tr>
      <w:tr w:rsidR="007709AA" w:rsidRPr="00250A3D" w14:paraId="636EBF82" w14:textId="77777777" w:rsidTr="00F104A7">
        <w:tc>
          <w:tcPr>
            <w:tcW w:w="2638" w:type="pct"/>
          </w:tcPr>
          <w:p w14:paraId="4AA7C84C" w14:textId="60B0F718" w:rsidR="007709AA" w:rsidRDefault="00EB63D6" w:rsidP="00370D8E">
            <w:pPr>
              <w:pStyle w:val="TableText"/>
            </w:pPr>
            <w:r>
              <w:t>Post-transplant</w:t>
            </w:r>
            <w:r w:rsidR="007709AA">
              <w:t xml:space="preserve"> (graft failure)</w:t>
            </w:r>
          </w:p>
        </w:tc>
        <w:tc>
          <w:tcPr>
            <w:tcW w:w="787" w:type="pct"/>
            <w:vAlign w:val="center"/>
          </w:tcPr>
          <w:p w14:paraId="21BBF76F" w14:textId="77777777" w:rsidR="007709AA" w:rsidRPr="007F1F1E" w:rsidRDefault="007709AA" w:rsidP="00370D8E">
            <w:pPr>
              <w:pStyle w:val="TableText"/>
              <w:jc w:val="center"/>
            </w:pPr>
            <w:r w:rsidRPr="00F5673B">
              <w:t>0.0358</w:t>
            </w:r>
          </w:p>
        </w:tc>
        <w:tc>
          <w:tcPr>
            <w:tcW w:w="787" w:type="pct"/>
            <w:vAlign w:val="center"/>
          </w:tcPr>
          <w:p w14:paraId="43101F69" w14:textId="77777777" w:rsidR="007709AA" w:rsidRPr="007F1F1E" w:rsidRDefault="007709AA" w:rsidP="00370D8E">
            <w:pPr>
              <w:pStyle w:val="TableText"/>
              <w:jc w:val="center"/>
            </w:pPr>
            <w:r w:rsidRPr="00856370">
              <w:t>0.1406</w:t>
            </w:r>
          </w:p>
        </w:tc>
        <w:tc>
          <w:tcPr>
            <w:tcW w:w="788" w:type="pct"/>
            <w:vAlign w:val="center"/>
          </w:tcPr>
          <w:p w14:paraId="5C91E0ED" w14:textId="77777777" w:rsidR="007709AA" w:rsidRPr="007F1F1E" w:rsidRDefault="007709AA" w:rsidP="00370D8E">
            <w:pPr>
              <w:pStyle w:val="TableText"/>
              <w:jc w:val="center"/>
            </w:pPr>
            <w:r w:rsidRPr="00F5673B">
              <w:t>-0.1048</w:t>
            </w:r>
          </w:p>
        </w:tc>
      </w:tr>
      <w:tr w:rsidR="007709AA" w:rsidRPr="00250A3D" w14:paraId="37E1893A" w14:textId="77777777" w:rsidTr="00F104A7">
        <w:tc>
          <w:tcPr>
            <w:tcW w:w="2638" w:type="pct"/>
          </w:tcPr>
          <w:p w14:paraId="2AB5CF25" w14:textId="77777777" w:rsidR="007709AA" w:rsidRPr="001841CD" w:rsidRDefault="007709AA" w:rsidP="00370D8E">
            <w:pPr>
              <w:pStyle w:val="TableText"/>
            </w:pPr>
            <w:r w:rsidRPr="001841CD">
              <w:t>Total quality adjusted life years (undiscounted)</w:t>
            </w:r>
          </w:p>
        </w:tc>
        <w:tc>
          <w:tcPr>
            <w:tcW w:w="787" w:type="pct"/>
            <w:vAlign w:val="center"/>
          </w:tcPr>
          <w:p w14:paraId="1BD88E05" w14:textId="77777777" w:rsidR="007709AA" w:rsidRPr="007F1F1E" w:rsidRDefault="007709AA" w:rsidP="00370D8E">
            <w:pPr>
              <w:pStyle w:val="TableText"/>
              <w:jc w:val="center"/>
            </w:pPr>
            <w:r>
              <w:t>23.2829</w:t>
            </w:r>
          </w:p>
        </w:tc>
        <w:tc>
          <w:tcPr>
            <w:tcW w:w="787" w:type="pct"/>
            <w:vAlign w:val="center"/>
          </w:tcPr>
          <w:p w14:paraId="5DCD058B" w14:textId="77777777" w:rsidR="007709AA" w:rsidRPr="007F1F1E" w:rsidRDefault="007709AA" w:rsidP="00370D8E">
            <w:pPr>
              <w:pStyle w:val="TableText"/>
              <w:jc w:val="center"/>
            </w:pPr>
            <w:r>
              <w:t>14.9342</w:t>
            </w:r>
          </w:p>
        </w:tc>
        <w:tc>
          <w:tcPr>
            <w:tcW w:w="788" w:type="pct"/>
            <w:vAlign w:val="center"/>
          </w:tcPr>
          <w:p w14:paraId="1D5A9A63" w14:textId="77777777" w:rsidR="007709AA" w:rsidRPr="007F1F1E" w:rsidRDefault="007709AA" w:rsidP="00370D8E">
            <w:pPr>
              <w:pStyle w:val="TableText"/>
              <w:jc w:val="center"/>
            </w:pPr>
            <w:r w:rsidRPr="0031748E">
              <w:t>8.3527</w:t>
            </w:r>
          </w:p>
        </w:tc>
      </w:tr>
      <w:tr w:rsidR="007709AA" w:rsidRPr="00250A3D" w14:paraId="51104F7A" w14:textId="77777777" w:rsidTr="00F104A7">
        <w:tc>
          <w:tcPr>
            <w:tcW w:w="2638" w:type="pct"/>
          </w:tcPr>
          <w:p w14:paraId="625A57ED" w14:textId="77777777" w:rsidR="007709AA" w:rsidRPr="0029604F" w:rsidRDefault="007709AA" w:rsidP="00370D8E">
            <w:pPr>
              <w:pStyle w:val="TableText"/>
              <w:rPr>
                <w:b/>
                <w:bCs w:val="0"/>
              </w:rPr>
            </w:pPr>
            <w:r w:rsidRPr="0029604F">
              <w:rPr>
                <w:b/>
                <w:bCs w:val="0"/>
              </w:rPr>
              <w:t>Total quality adjusted life years</w:t>
            </w:r>
            <w:r>
              <w:rPr>
                <w:b/>
                <w:bCs w:val="0"/>
              </w:rPr>
              <w:t xml:space="preserve"> (discounted)</w:t>
            </w:r>
          </w:p>
        </w:tc>
        <w:tc>
          <w:tcPr>
            <w:tcW w:w="787" w:type="pct"/>
            <w:vAlign w:val="center"/>
          </w:tcPr>
          <w:p w14:paraId="3EEC017B" w14:textId="77777777" w:rsidR="007709AA" w:rsidRPr="0029604F" w:rsidRDefault="007709AA" w:rsidP="00370D8E">
            <w:pPr>
              <w:pStyle w:val="TableText"/>
              <w:jc w:val="center"/>
              <w:rPr>
                <w:b/>
                <w:bCs w:val="0"/>
              </w:rPr>
            </w:pPr>
            <w:r w:rsidRPr="00F5673B">
              <w:rPr>
                <w:b/>
                <w:bCs w:val="0"/>
              </w:rPr>
              <w:t>10.2660</w:t>
            </w:r>
          </w:p>
        </w:tc>
        <w:tc>
          <w:tcPr>
            <w:tcW w:w="787" w:type="pct"/>
            <w:vAlign w:val="center"/>
          </w:tcPr>
          <w:p w14:paraId="7F01921D" w14:textId="77777777" w:rsidR="007709AA" w:rsidRPr="0029604F" w:rsidRDefault="007709AA" w:rsidP="00370D8E">
            <w:pPr>
              <w:pStyle w:val="TableText"/>
              <w:jc w:val="center"/>
              <w:rPr>
                <w:b/>
                <w:bCs w:val="0"/>
              </w:rPr>
            </w:pPr>
            <w:r w:rsidRPr="00F5673B">
              <w:rPr>
                <w:b/>
                <w:bCs w:val="0"/>
              </w:rPr>
              <w:t>6.8135</w:t>
            </w:r>
          </w:p>
        </w:tc>
        <w:tc>
          <w:tcPr>
            <w:tcW w:w="788" w:type="pct"/>
            <w:vAlign w:val="center"/>
          </w:tcPr>
          <w:p w14:paraId="7A4F58D8" w14:textId="77777777" w:rsidR="007709AA" w:rsidRPr="0029604F" w:rsidRDefault="007709AA" w:rsidP="00370D8E">
            <w:pPr>
              <w:pStyle w:val="TableText"/>
              <w:jc w:val="center"/>
              <w:rPr>
                <w:b/>
                <w:bCs w:val="0"/>
              </w:rPr>
            </w:pPr>
            <w:r w:rsidRPr="00F5673B">
              <w:rPr>
                <w:b/>
                <w:bCs w:val="0"/>
              </w:rPr>
              <w:t>3.4526</w:t>
            </w:r>
          </w:p>
        </w:tc>
      </w:tr>
    </w:tbl>
    <w:p w14:paraId="79C5E2A5" w14:textId="77777777" w:rsidR="007709AA" w:rsidRDefault="007709AA" w:rsidP="00370D8E">
      <w:pPr>
        <w:pStyle w:val="COMTablefooter"/>
      </w:pPr>
      <w:r w:rsidRPr="00250A3D">
        <w:t xml:space="preserve">Source: </w:t>
      </w:r>
      <w:r>
        <w:t xml:space="preserve">Table 3.39, pp203-204 of the submission; </w:t>
      </w:r>
      <w:r w:rsidRPr="00DE6E88">
        <w:t>‘</w:t>
      </w:r>
      <w:r>
        <w:t>Iptacopan economic model</w:t>
      </w:r>
      <w:r w:rsidRPr="00DE6E88">
        <w:t>’ provided with the submission.</w:t>
      </w:r>
    </w:p>
    <w:p w14:paraId="3794C04A" w14:textId="77777777" w:rsidR="007709AA" w:rsidRPr="007E0BF8" w:rsidRDefault="007709AA" w:rsidP="00370D8E">
      <w:pPr>
        <w:pStyle w:val="COMTablefooter"/>
      </w:pPr>
      <w:r w:rsidRPr="00250A3D">
        <w:t xml:space="preserve">Abbreviations: LY, life year; QALY, quality adjusted life year </w:t>
      </w:r>
    </w:p>
    <w:p w14:paraId="60A1A388" w14:textId="663AC61E" w:rsidR="007709AA" w:rsidRPr="001B143E" w:rsidRDefault="007709AA" w:rsidP="00370D8E">
      <w:pPr>
        <w:pStyle w:val="COMESnumberedpara"/>
      </w:pPr>
      <w:r w:rsidRPr="001B143E">
        <w:t xml:space="preserve">The results of the modelled economic evaluation are summarised in </w:t>
      </w:r>
      <w:r w:rsidR="00580C93">
        <w:fldChar w:fldCharType="begin"/>
      </w:r>
      <w:r w:rsidR="00580C93">
        <w:instrText xml:space="preserve"> REF _Ref208238029 \h </w:instrText>
      </w:r>
      <w:r w:rsidR="00580C93">
        <w:fldChar w:fldCharType="separate"/>
      </w:r>
      <w:r w:rsidR="00CC1313">
        <w:t xml:space="preserve">Table </w:t>
      </w:r>
      <w:r w:rsidR="00CC1313">
        <w:rPr>
          <w:noProof/>
        </w:rPr>
        <w:t>11</w:t>
      </w:r>
      <w:r w:rsidR="00580C93">
        <w:fldChar w:fldCharType="end"/>
      </w:r>
      <w:r w:rsidRPr="001B143E">
        <w:t>.</w:t>
      </w:r>
    </w:p>
    <w:p w14:paraId="340B91A4" w14:textId="4FD6DA22" w:rsidR="007709AA" w:rsidRDefault="00580C93" w:rsidP="00370D8E">
      <w:pPr>
        <w:pStyle w:val="COMTableFigurecaption"/>
        <w:keepLines/>
      </w:pPr>
      <w:bookmarkStart w:id="44" w:name="_Ref208238029"/>
      <w:r>
        <w:lastRenderedPageBreak/>
        <w:t xml:space="preserve">Table </w:t>
      </w:r>
      <w:r w:rsidR="00DA4682">
        <w:fldChar w:fldCharType="begin"/>
      </w:r>
      <w:r w:rsidR="00DA4682">
        <w:instrText xml:space="preserve"> SEQ Table \* ARABIC </w:instrText>
      </w:r>
      <w:r w:rsidR="00DA4682">
        <w:fldChar w:fldCharType="separate"/>
      </w:r>
      <w:r w:rsidR="00CC1313">
        <w:rPr>
          <w:noProof/>
        </w:rPr>
        <w:t>11</w:t>
      </w:r>
      <w:r w:rsidR="00DA4682">
        <w:rPr>
          <w:noProof/>
        </w:rPr>
        <w:fldChar w:fldCharType="end"/>
      </w:r>
      <w:bookmarkEnd w:id="44"/>
      <w:r>
        <w:t>: Results of the modelled economic evaluation</w:t>
      </w:r>
      <w:r w:rsidR="008E3F6B">
        <w:t xml:space="preserve"> (</w:t>
      </w:r>
      <w:r w:rsidR="008E3F6B" w:rsidRPr="006441EA">
        <w:rPr>
          <w:i/>
          <w:iCs/>
        </w:rPr>
        <w:t>selected steps</w:t>
      </w:r>
      <w:r w:rsidR="008E3F6B">
        <w:t>)</w:t>
      </w:r>
    </w:p>
    <w:tbl>
      <w:tblPr>
        <w:tblW w:w="5000"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modelled economic evaluation (selected steps)"/>
      </w:tblPr>
      <w:tblGrid>
        <w:gridCol w:w="4638"/>
        <w:gridCol w:w="1441"/>
        <w:gridCol w:w="1439"/>
        <w:gridCol w:w="1499"/>
      </w:tblGrid>
      <w:tr w:rsidR="00DB4646" w:rsidRPr="00BC3A5E" w14:paraId="2717F3DD" w14:textId="77777777" w:rsidTr="008E3F6B">
        <w:trPr>
          <w:trHeight w:val="43"/>
          <w:tblHeader/>
        </w:trPr>
        <w:tc>
          <w:tcPr>
            <w:tcW w:w="2572" w:type="pct"/>
            <w:tcBorders>
              <w:top w:val="single" w:sz="4" w:space="0" w:color="auto"/>
              <w:left w:val="single" w:sz="4" w:space="0" w:color="auto"/>
              <w:bottom w:val="single" w:sz="4" w:space="0" w:color="auto"/>
              <w:right w:val="single" w:sz="4" w:space="0" w:color="auto"/>
            </w:tcBorders>
            <w:vAlign w:val="center"/>
          </w:tcPr>
          <w:p w14:paraId="06B16211" w14:textId="77777777" w:rsidR="00DB4646" w:rsidRPr="00BC3A5E" w:rsidRDefault="00DB4646" w:rsidP="00370D8E">
            <w:pPr>
              <w:pStyle w:val="TableText"/>
              <w:keepLines/>
              <w:rPr>
                <w:b/>
                <w:bCs w:val="0"/>
              </w:rPr>
            </w:pPr>
            <w:r w:rsidRPr="00BC3A5E">
              <w:rPr>
                <w:b/>
                <w:bCs w:val="0"/>
              </w:rPr>
              <w:t>Step and component</w:t>
            </w:r>
          </w:p>
        </w:tc>
        <w:tc>
          <w:tcPr>
            <w:tcW w:w="799" w:type="pct"/>
            <w:tcBorders>
              <w:top w:val="single" w:sz="4" w:space="0" w:color="auto"/>
              <w:left w:val="single" w:sz="4" w:space="0" w:color="auto"/>
              <w:bottom w:val="single" w:sz="4" w:space="0" w:color="auto"/>
              <w:right w:val="single" w:sz="4" w:space="0" w:color="auto"/>
            </w:tcBorders>
            <w:vAlign w:val="center"/>
          </w:tcPr>
          <w:p w14:paraId="5E0BD9A6" w14:textId="77777777" w:rsidR="00DB4646" w:rsidRPr="00BC3A5E" w:rsidRDefault="00DB4646" w:rsidP="00370D8E">
            <w:pPr>
              <w:pStyle w:val="TableText"/>
              <w:keepLines/>
              <w:rPr>
                <w:b/>
                <w:bCs w:val="0"/>
              </w:rPr>
            </w:pPr>
            <w:r w:rsidRPr="00BC3A5E">
              <w:rPr>
                <w:b/>
                <w:bCs w:val="0"/>
              </w:rPr>
              <w:t>Iptacopan</w:t>
            </w:r>
          </w:p>
        </w:tc>
        <w:tc>
          <w:tcPr>
            <w:tcW w:w="798" w:type="pct"/>
            <w:tcBorders>
              <w:top w:val="single" w:sz="4" w:space="0" w:color="auto"/>
              <w:left w:val="single" w:sz="4" w:space="0" w:color="auto"/>
              <w:bottom w:val="single" w:sz="4" w:space="0" w:color="auto"/>
              <w:right w:val="single" w:sz="4" w:space="0" w:color="auto"/>
            </w:tcBorders>
            <w:vAlign w:val="center"/>
          </w:tcPr>
          <w:p w14:paraId="07A9AD58" w14:textId="77777777" w:rsidR="00DB4646" w:rsidRPr="00BC3A5E" w:rsidRDefault="00DB4646" w:rsidP="00370D8E">
            <w:pPr>
              <w:pStyle w:val="TableText"/>
              <w:keepLines/>
              <w:rPr>
                <w:b/>
                <w:bCs w:val="0"/>
              </w:rPr>
            </w:pPr>
            <w:r w:rsidRPr="00BC3A5E">
              <w:rPr>
                <w:b/>
                <w:bCs w:val="0"/>
              </w:rPr>
              <w:t>Placebo</w:t>
            </w:r>
          </w:p>
        </w:tc>
        <w:tc>
          <w:tcPr>
            <w:tcW w:w="831" w:type="pct"/>
            <w:tcBorders>
              <w:top w:val="single" w:sz="4" w:space="0" w:color="auto"/>
              <w:left w:val="single" w:sz="4" w:space="0" w:color="auto"/>
              <w:bottom w:val="single" w:sz="4" w:space="0" w:color="auto"/>
              <w:right w:val="single" w:sz="4" w:space="0" w:color="auto"/>
            </w:tcBorders>
            <w:vAlign w:val="center"/>
          </w:tcPr>
          <w:p w14:paraId="136BBBFF" w14:textId="77777777" w:rsidR="00DB4646" w:rsidRPr="00BC3A5E" w:rsidRDefault="00DB4646" w:rsidP="00370D8E">
            <w:pPr>
              <w:pStyle w:val="TableText"/>
              <w:keepLines/>
              <w:rPr>
                <w:b/>
                <w:bCs w:val="0"/>
              </w:rPr>
            </w:pPr>
            <w:r w:rsidRPr="00BC3A5E">
              <w:rPr>
                <w:b/>
                <w:bCs w:val="0"/>
              </w:rPr>
              <w:t>Increment</w:t>
            </w:r>
          </w:p>
        </w:tc>
      </w:tr>
      <w:tr w:rsidR="00DB4646" w:rsidRPr="00BC3A5E" w14:paraId="78AD189B" w14:textId="77777777" w:rsidTr="00DB4646">
        <w:tc>
          <w:tcPr>
            <w:tcW w:w="0" w:type="auto"/>
            <w:gridSpan w:val="4"/>
          </w:tcPr>
          <w:p w14:paraId="5CF33109" w14:textId="77777777" w:rsidR="00DB4646" w:rsidRPr="00BC3A5E" w:rsidRDefault="00DB4646" w:rsidP="00370D8E">
            <w:pPr>
              <w:keepNext/>
              <w:keepLines/>
              <w:jc w:val="left"/>
              <w:rPr>
                <w:rFonts w:ascii="Arial Narrow" w:eastAsiaTheme="majorEastAsia" w:hAnsi="Arial Narrow" w:cstheme="majorBidi"/>
                <w:b/>
                <w:sz w:val="20"/>
              </w:rPr>
            </w:pPr>
            <w:r w:rsidRPr="00BC3A5E">
              <w:rPr>
                <w:rFonts w:ascii="Arial Narrow" w:eastAsiaTheme="majorEastAsia" w:hAnsi="Arial Narrow" w:cstheme="majorBidi"/>
                <w:b/>
                <w:sz w:val="20"/>
              </w:rPr>
              <w:t>Step 1: Proportion of patients with ≥50% reduction in proteinuria from the APPEAR-C3G trial. Iptacopan drug costs for 6 months</w:t>
            </w:r>
          </w:p>
        </w:tc>
      </w:tr>
      <w:tr w:rsidR="00DB4646" w:rsidRPr="00BC3A5E" w14:paraId="4E8D659C" w14:textId="77777777" w:rsidTr="00DB4646">
        <w:tc>
          <w:tcPr>
            <w:tcW w:w="0" w:type="auto"/>
          </w:tcPr>
          <w:p w14:paraId="2395F98E" w14:textId="77777777" w:rsidR="00DB4646" w:rsidRPr="00BC3A5E" w:rsidRDefault="00DB4646" w:rsidP="00370D8E">
            <w:pPr>
              <w:keepNext/>
              <w:keepLines/>
              <w:jc w:val="left"/>
              <w:rPr>
                <w:rFonts w:ascii="Arial Narrow" w:eastAsiaTheme="majorEastAsia" w:hAnsi="Arial Narrow" w:cstheme="majorBidi"/>
                <w:bCs/>
                <w:sz w:val="20"/>
              </w:rPr>
            </w:pPr>
            <w:r w:rsidRPr="00BC3A5E">
              <w:rPr>
                <w:rFonts w:ascii="Arial Narrow" w:eastAsiaTheme="majorEastAsia" w:hAnsi="Arial Narrow" w:cstheme="majorBidi"/>
                <w:bCs/>
                <w:sz w:val="20"/>
              </w:rPr>
              <w:t>Costs</w:t>
            </w:r>
          </w:p>
        </w:tc>
        <w:tc>
          <w:tcPr>
            <w:tcW w:w="0" w:type="auto"/>
            <w:vAlign w:val="bottom"/>
          </w:tcPr>
          <w:p w14:paraId="4B93912E" w14:textId="1C57A2D6" w:rsidR="00DB4646" w:rsidRPr="00A356FF"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7A006A">
              <w:rPr>
                <w:rFonts w:ascii="Arial Narrow" w:eastAsiaTheme="majorEastAsia" w:hAnsi="Arial Narrow" w:cstheme="majorBidi"/>
                <w:bCs/>
                <w:sz w:val="20"/>
                <w:vertAlign w:val="superscript"/>
              </w:rPr>
              <w:t>3</w:t>
            </w:r>
          </w:p>
        </w:tc>
        <w:tc>
          <w:tcPr>
            <w:tcW w:w="0" w:type="auto"/>
            <w:vAlign w:val="bottom"/>
          </w:tcPr>
          <w:p w14:paraId="77356E52" w14:textId="75A50379" w:rsidR="00DB4646" w:rsidRPr="00A356FF"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A356FF">
              <w:rPr>
                <w:rFonts w:ascii="Arial Narrow" w:eastAsiaTheme="majorEastAsia" w:hAnsi="Arial Narrow" w:cstheme="majorBidi"/>
                <w:bCs/>
                <w:sz w:val="20"/>
                <w:vertAlign w:val="superscript"/>
              </w:rPr>
              <w:t>1</w:t>
            </w:r>
          </w:p>
        </w:tc>
        <w:tc>
          <w:tcPr>
            <w:tcW w:w="0" w:type="auto"/>
            <w:vAlign w:val="center"/>
          </w:tcPr>
          <w:p w14:paraId="57D62D1C" w14:textId="006BCBB8" w:rsidR="00DB4646" w:rsidRPr="000B2F8F"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0B2F8F">
              <w:rPr>
                <w:rFonts w:ascii="Arial Narrow" w:eastAsiaTheme="majorEastAsia" w:hAnsi="Arial Narrow" w:cstheme="majorBidi"/>
                <w:bCs/>
                <w:sz w:val="20"/>
                <w:vertAlign w:val="superscript"/>
              </w:rPr>
              <w:t>3</w:t>
            </w:r>
          </w:p>
        </w:tc>
      </w:tr>
      <w:tr w:rsidR="00DB4646" w:rsidRPr="00BC3A5E" w14:paraId="1AACC409" w14:textId="77777777" w:rsidTr="00DB4646">
        <w:tc>
          <w:tcPr>
            <w:tcW w:w="0" w:type="auto"/>
          </w:tcPr>
          <w:p w14:paraId="217FF4BB" w14:textId="77777777" w:rsidR="00DB4646" w:rsidRPr="00BC3A5E" w:rsidRDefault="00DB4646" w:rsidP="00370D8E">
            <w:pPr>
              <w:keepNext/>
              <w:keepLines/>
              <w:jc w:val="left"/>
              <w:rPr>
                <w:rFonts w:ascii="Arial Narrow" w:eastAsiaTheme="majorEastAsia" w:hAnsi="Arial Narrow" w:cstheme="majorBidi"/>
                <w:bCs/>
                <w:sz w:val="20"/>
              </w:rPr>
            </w:pPr>
            <w:r w:rsidRPr="00BC3A5E">
              <w:rPr>
                <w:rFonts w:ascii="Arial Narrow" w:eastAsiaTheme="majorEastAsia" w:hAnsi="Arial Narrow" w:cstheme="majorBidi"/>
                <w:bCs/>
                <w:sz w:val="20"/>
              </w:rPr>
              <w:t>Responders</w:t>
            </w:r>
          </w:p>
        </w:tc>
        <w:tc>
          <w:tcPr>
            <w:tcW w:w="0" w:type="auto"/>
            <w:vAlign w:val="bottom"/>
          </w:tcPr>
          <w:p w14:paraId="44DC625B"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29.7%</w:t>
            </w:r>
          </w:p>
        </w:tc>
        <w:tc>
          <w:tcPr>
            <w:tcW w:w="0" w:type="auto"/>
            <w:vAlign w:val="bottom"/>
          </w:tcPr>
          <w:p w14:paraId="55B60E48"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5.6%</w:t>
            </w:r>
          </w:p>
        </w:tc>
        <w:tc>
          <w:tcPr>
            <w:tcW w:w="0" w:type="auto"/>
            <w:vAlign w:val="center"/>
          </w:tcPr>
          <w:p w14:paraId="444EB619"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24.2%</w:t>
            </w:r>
          </w:p>
        </w:tc>
      </w:tr>
      <w:tr w:rsidR="00DB4646" w:rsidRPr="00BC3A5E" w14:paraId="602401B1" w14:textId="77777777" w:rsidTr="00DB4646">
        <w:tc>
          <w:tcPr>
            <w:tcW w:w="0" w:type="auto"/>
            <w:gridSpan w:val="3"/>
          </w:tcPr>
          <w:p w14:paraId="70E956C6" w14:textId="77777777" w:rsidR="00DB4646" w:rsidRPr="00BC3A5E" w:rsidRDefault="00DB4646" w:rsidP="00370D8E">
            <w:pPr>
              <w:keepNext/>
              <w:keepLines/>
              <w:jc w:val="right"/>
              <w:rPr>
                <w:rFonts w:ascii="Arial Narrow" w:eastAsiaTheme="majorEastAsia" w:hAnsi="Arial Narrow" w:cstheme="majorBidi"/>
                <w:b/>
                <w:sz w:val="20"/>
              </w:rPr>
            </w:pPr>
            <w:r w:rsidRPr="00BC3A5E">
              <w:rPr>
                <w:rFonts w:ascii="Arial Narrow" w:eastAsiaTheme="majorEastAsia" w:hAnsi="Arial Narrow" w:cstheme="majorBidi"/>
                <w:b/>
                <w:sz w:val="20"/>
              </w:rPr>
              <w:t>Incremental cost per responder</w:t>
            </w:r>
          </w:p>
        </w:tc>
        <w:tc>
          <w:tcPr>
            <w:tcW w:w="0" w:type="auto"/>
            <w:vAlign w:val="center"/>
          </w:tcPr>
          <w:p w14:paraId="42B2CB09" w14:textId="50891902" w:rsidR="00DB4646" w:rsidRPr="00161FDB" w:rsidRDefault="00DB4646" w:rsidP="00370D8E">
            <w:pPr>
              <w:keepNext/>
              <w:keepLines/>
              <w:jc w:val="center"/>
              <w:rPr>
                <w:rFonts w:ascii="Arial Narrow" w:eastAsiaTheme="majorEastAsia" w:hAnsi="Arial Narrow" w:cstheme="majorBidi"/>
                <w:b/>
                <w:sz w:val="20"/>
                <w:vertAlign w:val="superscript"/>
              </w:rPr>
            </w:pPr>
            <w:r w:rsidRPr="00BC3A5E">
              <w:rPr>
                <w:rFonts w:ascii="Arial Narrow" w:eastAsiaTheme="majorEastAsia" w:hAnsi="Arial Narrow" w:cstheme="majorBidi"/>
                <w:b/>
                <w:sz w:val="20"/>
              </w:rPr>
              <w:t>$</w:t>
            </w:r>
            <w:r w:rsidR="00994C8B" w:rsidRPr="00994C8B">
              <w:rPr>
                <w:rFonts w:ascii="Arial Narrow" w:eastAsiaTheme="majorEastAsia" w:hAnsi="Arial Narrow" w:cstheme="majorBidi"/>
                <w:b/>
                <w:sz w:val="20"/>
                <w:highlight w:val="black"/>
              </w:rPr>
              <w:t>&amp;&amp;&amp;&amp;</w:t>
            </w:r>
            <w:r w:rsidR="00161FDB">
              <w:rPr>
                <w:rFonts w:ascii="Arial Narrow" w:eastAsiaTheme="majorEastAsia" w:hAnsi="Arial Narrow" w:cstheme="majorBidi"/>
                <w:b/>
                <w:sz w:val="20"/>
                <w:vertAlign w:val="superscript"/>
              </w:rPr>
              <w:t>5</w:t>
            </w:r>
          </w:p>
        </w:tc>
      </w:tr>
      <w:tr w:rsidR="00DB4646" w:rsidRPr="00BC3A5E" w14:paraId="78EA6395" w14:textId="77777777" w:rsidTr="00DB4646">
        <w:tc>
          <w:tcPr>
            <w:tcW w:w="0" w:type="auto"/>
            <w:gridSpan w:val="4"/>
          </w:tcPr>
          <w:p w14:paraId="1DD469C5" w14:textId="77777777" w:rsidR="00DB4646" w:rsidRPr="00BC3A5E" w:rsidRDefault="00DB4646" w:rsidP="00370D8E">
            <w:pPr>
              <w:keepNext/>
              <w:keepLines/>
              <w:jc w:val="left"/>
              <w:rPr>
                <w:rFonts w:ascii="Arial Narrow" w:eastAsiaTheme="majorEastAsia" w:hAnsi="Arial Narrow" w:cstheme="majorBidi"/>
                <w:b/>
                <w:sz w:val="20"/>
              </w:rPr>
            </w:pPr>
            <w:r w:rsidRPr="00BC3A5E">
              <w:rPr>
                <w:rFonts w:ascii="Arial Narrow" w:eastAsiaTheme="majorEastAsia" w:hAnsi="Arial Narrow" w:cstheme="majorBidi"/>
                <w:b/>
                <w:sz w:val="20"/>
              </w:rPr>
              <w:t xml:space="preserve">Step 4: Annualised change in eGFR for the placebo arm based on the pre-iptacopan period from the pooled analysis of APPEAR-C3G, X2202, B12001B. </w:t>
            </w:r>
            <w:r w:rsidRPr="00BC3A5E">
              <w:rPr>
                <w:rFonts w:ascii="Arial Narrow" w:eastAsiaTheme="majorEastAsia" w:hAnsi="Arial Narrow" w:cstheme="majorBidi"/>
                <w:b/>
                <w:sz w:val="20"/>
                <w:u w:val="single"/>
              </w:rPr>
              <w:t>Annualised change in eGFR for the iptacopan arm assumed to be the same as the general population</w:t>
            </w:r>
            <w:r w:rsidRPr="00BC3A5E">
              <w:rPr>
                <w:rFonts w:ascii="Arial Narrow" w:eastAsiaTheme="majorEastAsia" w:hAnsi="Arial Narrow" w:cstheme="majorBidi"/>
                <w:b/>
                <w:sz w:val="20"/>
              </w:rPr>
              <w:t xml:space="preserve">. Include </w:t>
            </w:r>
            <w:r w:rsidRPr="00BC3A5E">
              <w:rPr>
                <w:rFonts w:ascii="Arial Narrow" w:eastAsiaTheme="majorEastAsia" w:hAnsi="Arial Narrow" w:cstheme="majorBidi"/>
                <w:b/>
                <w:sz w:val="20"/>
                <w:u w:val="single"/>
              </w:rPr>
              <w:t xml:space="preserve">health state utility values </w:t>
            </w:r>
            <w:r w:rsidRPr="00BC3A5E">
              <w:rPr>
                <w:rFonts w:ascii="Arial Narrow" w:eastAsiaTheme="majorEastAsia" w:hAnsi="Arial Narrow" w:cstheme="majorBidi"/>
                <w:b/>
                <w:sz w:val="20"/>
              </w:rPr>
              <w:t>and iptacopan drug costs for 6 months</w:t>
            </w:r>
          </w:p>
        </w:tc>
      </w:tr>
      <w:tr w:rsidR="00DB4646" w:rsidRPr="00BC3A5E" w14:paraId="0F6E7045" w14:textId="77777777" w:rsidTr="00DB4646">
        <w:tc>
          <w:tcPr>
            <w:tcW w:w="0" w:type="auto"/>
          </w:tcPr>
          <w:p w14:paraId="52FB5419" w14:textId="77777777" w:rsidR="00DB4646" w:rsidRPr="00BC3A5E" w:rsidRDefault="00DB4646" w:rsidP="00370D8E">
            <w:pPr>
              <w:keepNext/>
              <w:keepLines/>
              <w:jc w:val="left"/>
              <w:rPr>
                <w:rFonts w:ascii="Arial Narrow" w:eastAsiaTheme="majorEastAsia" w:hAnsi="Arial Narrow" w:cstheme="majorBidi"/>
                <w:b/>
                <w:bCs/>
                <w:sz w:val="20"/>
              </w:rPr>
            </w:pPr>
            <w:r w:rsidRPr="00BC3A5E">
              <w:rPr>
                <w:rFonts w:ascii="Arial Narrow" w:eastAsiaTheme="majorEastAsia" w:hAnsi="Arial Narrow" w:cstheme="majorBidi"/>
                <w:bCs/>
                <w:sz w:val="20"/>
              </w:rPr>
              <w:t>Costs</w:t>
            </w:r>
          </w:p>
        </w:tc>
        <w:tc>
          <w:tcPr>
            <w:tcW w:w="0" w:type="auto"/>
          </w:tcPr>
          <w:p w14:paraId="0ED61E6C" w14:textId="7AF7CEBE" w:rsidR="00DB4646" w:rsidRPr="001375BE"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7A006A">
              <w:rPr>
                <w:rFonts w:ascii="Arial Narrow" w:eastAsiaTheme="majorEastAsia" w:hAnsi="Arial Narrow" w:cstheme="majorBidi"/>
                <w:bCs/>
                <w:sz w:val="20"/>
                <w:vertAlign w:val="superscript"/>
              </w:rPr>
              <w:t>3</w:t>
            </w:r>
          </w:p>
        </w:tc>
        <w:tc>
          <w:tcPr>
            <w:tcW w:w="0" w:type="auto"/>
          </w:tcPr>
          <w:p w14:paraId="4759D8D2" w14:textId="5358AF17" w:rsidR="00DB4646" w:rsidRPr="001375BE"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1375BE">
              <w:rPr>
                <w:rFonts w:ascii="Arial Narrow" w:eastAsiaTheme="majorEastAsia" w:hAnsi="Arial Narrow" w:cstheme="majorBidi"/>
                <w:bCs/>
                <w:sz w:val="20"/>
                <w:vertAlign w:val="superscript"/>
              </w:rPr>
              <w:t>1</w:t>
            </w:r>
          </w:p>
        </w:tc>
        <w:tc>
          <w:tcPr>
            <w:tcW w:w="0" w:type="auto"/>
            <w:vAlign w:val="center"/>
          </w:tcPr>
          <w:p w14:paraId="5CDFC3FC" w14:textId="5977CC2B" w:rsidR="00DB4646" w:rsidRPr="001375BE"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7A006A">
              <w:rPr>
                <w:rFonts w:ascii="Arial Narrow" w:eastAsiaTheme="majorEastAsia" w:hAnsi="Arial Narrow" w:cstheme="majorBidi"/>
                <w:bCs/>
                <w:sz w:val="20"/>
                <w:vertAlign w:val="superscript"/>
              </w:rPr>
              <w:t>3</w:t>
            </w:r>
          </w:p>
        </w:tc>
      </w:tr>
      <w:tr w:rsidR="00DB4646" w:rsidRPr="00BC3A5E" w14:paraId="746808CD" w14:textId="77777777" w:rsidTr="00DB4646">
        <w:tc>
          <w:tcPr>
            <w:tcW w:w="0" w:type="auto"/>
          </w:tcPr>
          <w:p w14:paraId="1AD5B2C1" w14:textId="77777777" w:rsidR="00DB4646" w:rsidRPr="00BC3A5E" w:rsidRDefault="00DB4646" w:rsidP="00370D8E">
            <w:pPr>
              <w:keepNext/>
              <w:keepLines/>
              <w:jc w:val="left"/>
              <w:rPr>
                <w:rFonts w:ascii="Arial Narrow" w:eastAsiaTheme="majorEastAsia" w:hAnsi="Arial Narrow" w:cstheme="majorBidi"/>
                <w:b/>
                <w:bCs/>
                <w:sz w:val="20"/>
              </w:rPr>
            </w:pPr>
            <w:r w:rsidRPr="00BC3A5E">
              <w:rPr>
                <w:rFonts w:ascii="Arial Narrow" w:eastAsiaTheme="majorEastAsia" w:hAnsi="Arial Narrow" w:cstheme="majorBidi"/>
                <w:bCs/>
                <w:sz w:val="20"/>
              </w:rPr>
              <w:t>QALYs</w:t>
            </w:r>
          </w:p>
        </w:tc>
        <w:tc>
          <w:tcPr>
            <w:tcW w:w="0" w:type="auto"/>
          </w:tcPr>
          <w:p w14:paraId="1337459F"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0.3243</w:t>
            </w:r>
          </w:p>
        </w:tc>
        <w:tc>
          <w:tcPr>
            <w:tcW w:w="0" w:type="auto"/>
          </w:tcPr>
          <w:p w14:paraId="4A769E62"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0.3214</w:t>
            </w:r>
          </w:p>
        </w:tc>
        <w:tc>
          <w:tcPr>
            <w:tcW w:w="0" w:type="auto"/>
            <w:vAlign w:val="center"/>
          </w:tcPr>
          <w:p w14:paraId="43A6E33A"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0.0029</w:t>
            </w:r>
          </w:p>
        </w:tc>
      </w:tr>
      <w:tr w:rsidR="00DB4646" w:rsidRPr="00BC3A5E" w14:paraId="0C30DF8D" w14:textId="77777777" w:rsidTr="00DB4646">
        <w:tc>
          <w:tcPr>
            <w:tcW w:w="0" w:type="auto"/>
            <w:gridSpan w:val="3"/>
          </w:tcPr>
          <w:p w14:paraId="56268D6B" w14:textId="77777777" w:rsidR="00DB4646" w:rsidRPr="00BC3A5E" w:rsidRDefault="00DB4646" w:rsidP="00370D8E">
            <w:pPr>
              <w:keepNext/>
              <w:keepLines/>
              <w:jc w:val="right"/>
              <w:rPr>
                <w:rFonts w:ascii="Arial Narrow" w:eastAsiaTheme="majorEastAsia" w:hAnsi="Arial Narrow" w:cstheme="majorBidi"/>
                <w:b/>
                <w:sz w:val="20"/>
              </w:rPr>
            </w:pPr>
            <w:r w:rsidRPr="00BC3A5E">
              <w:rPr>
                <w:rFonts w:ascii="Arial Narrow" w:eastAsiaTheme="majorEastAsia" w:hAnsi="Arial Narrow" w:cstheme="majorBidi"/>
                <w:b/>
                <w:sz w:val="20"/>
              </w:rPr>
              <w:t>Incremental cost per QALY gained</w:t>
            </w:r>
          </w:p>
        </w:tc>
        <w:tc>
          <w:tcPr>
            <w:tcW w:w="0" w:type="auto"/>
            <w:vAlign w:val="center"/>
          </w:tcPr>
          <w:p w14:paraId="200C1FE9" w14:textId="322D5434" w:rsidR="00DB4646" w:rsidRPr="006B5F50" w:rsidRDefault="00DB4646" w:rsidP="00370D8E">
            <w:pPr>
              <w:keepNext/>
              <w:keepLines/>
              <w:jc w:val="center"/>
              <w:rPr>
                <w:rFonts w:ascii="Arial Narrow" w:eastAsiaTheme="majorEastAsia" w:hAnsi="Arial Narrow" w:cstheme="majorBidi"/>
                <w:b/>
                <w:sz w:val="20"/>
                <w:vertAlign w:val="superscript"/>
              </w:rPr>
            </w:pPr>
            <w:r w:rsidRPr="00BC3A5E">
              <w:rPr>
                <w:rFonts w:ascii="Arial Narrow" w:eastAsiaTheme="majorEastAsia" w:hAnsi="Arial Narrow" w:cstheme="majorBidi"/>
                <w:b/>
                <w:sz w:val="20"/>
              </w:rPr>
              <w:t>$</w:t>
            </w:r>
            <w:r w:rsidR="00994C8B" w:rsidRPr="00994C8B">
              <w:rPr>
                <w:rFonts w:ascii="Arial Narrow" w:eastAsiaTheme="majorEastAsia" w:hAnsi="Arial Narrow" w:cstheme="majorBidi"/>
                <w:b/>
                <w:sz w:val="20"/>
                <w:highlight w:val="black"/>
              </w:rPr>
              <w:t>&amp;&amp;&amp;&amp;</w:t>
            </w:r>
            <w:r w:rsidR="006B5F50">
              <w:rPr>
                <w:rFonts w:ascii="Arial Narrow" w:eastAsiaTheme="majorEastAsia" w:hAnsi="Arial Narrow" w:cstheme="majorBidi"/>
                <w:b/>
                <w:sz w:val="20"/>
                <w:vertAlign w:val="superscript"/>
              </w:rPr>
              <w:t>7</w:t>
            </w:r>
          </w:p>
        </w:tc>
      </w:tr>
      <w:tr w:rsidR="00DB4646" w:rsidRPr="00BC3A5E" w14:paraId="088BCC50" w14:textId="77777777" w:rsidTr="00DB4646">
        <w:tc>
          <w:tcPr>
            <w:tcW w:w="0" w:type="auto"/>
            <w:gridSpan w:val="4"/>
          </w:tcPr>
          <w:p w14:paraId="734A682F" w14:textId="396C3A49" w:rsidR="00DB4646" w:rsidRPr="00BC3A5E" w:rsidRDefault="00DB4646" w:rsidP="00370D8E">
            <w:pPr>
              <w:keepNext/>
              <w:keepLines/>
              <w:jc w:val="left"/>
              <w:rPr>
                <w:rFonts w:ascii="Arial Narrow" w:eastAsiaTheme="majorEastAsia" w:hAnsi="Arial Narrow" w:cstheme="majorBidi"/>
                <w:b/>
                <w:sz w:val="20"/>
              </w:rPr>
            </w:pPr>
            <w:r w:rsidRPr="00BC3A5E">
              <w:rPr>
                <w:rFonts w:ascii="Arial Narrow" w:eastAsiaTheme="majorEastAsia" w:hAnsi="Arial Narrow" w:cstheme="majorBidi"/>
                <w:b/>
                <w:sz w:val="20"/>
              </w:rPr>
              <w:t xml:space="preserve">Step 6a: </w:t>
            </w:r>
            <w:r w:rsidR="00F61C55" w:rsidRPr="00BC3A5E">
              <w:rPr>
                <w:rFonts w:ascii="Arial Narrow" w:eastAsiaTheme="majorEastAsia" w:hAnsi="Arial Narrow" w:cstheme="majorBidi"/>
                <w:b/>
                <w:sz w:val="20"/>
              </w:rPr>
              <w:t>E</w:t>
            </w:r>
            <w:r w:rsidRPr="00BC3A5E">
              <w:rPr>
                <w:rFonts w:ascii="Arial Narrow" w:eastAsiaTheme="majorEastAsia" w:hAnsi="Arial Narrow" w:cstheme="majorBidi"/>
                <w:b/>
                <w:sz w:val="20"/>
                <w:u w:val="single"/>
              </w:rPr>
              <w:t>xtrapolated to 1 year (discounting applied)</w:t>
            </w:r>
          </w:p>
        </w:tc>
      </w:tr>
      <w:tr w:rsidR="00DB4646" w:rsidRPr="00BC3A5E" w14:paraId="33E0E5F5" w14:textId="77777777" w:rsidTr="00DB4646">
        <w:tc>
          <w:tcPr>
            <w:tcW w:w="0" w:type="auto"/>
          </w:tcPr>
          <w:p w14:paraId="7629C8A4" w14:textId="77777777" w:rsidR="00DB4646" w:rsidRPr="00BC3A5E" w:rsidRDefault="00DB4646" w:rsidP="00370D8E">
            <w:pPr>
              <w:keepNext/>
              <w:keepLines/>
              <w:jc w:val="left"/>
              <w:rPr>
                <w:rFonts w:ascii="Arial Narrow" w:eastAsiaTheme="majorEastAsia" w:hAnsi="Arial Narrow" w:cstheme="majorBidi"/>
                <w:bCs/>
                <w:sz w:val="20"/>
              </w:rPr>
            </w:pPr>
            <w:r w:rsidRPr="00BC3A5E">
              <w:rPr>
                <w:rFonts w:ascii="Arial Narrow" w:eastAsiaTheme="majorEastAsia" w:hAnsi="Arial Narrow" w:cstheme="majorBidi"/>
                <w:bCs/>
                <w:sz w:val="20"/>
              </w:rPr>
              <w:t>Costs</w:t>
            </w:r>
          </w:p>
        </w:tc>
        <w:tc>
          <w:tcPr>
            <w:tcW w:w="0" w:type="auto"/>
            <w:vAlign w:val="bottom"/>
          </w:tcPr>
          <w:p w14:paraId="3C032288" w14:textId="0BAC7353" w:rsidR="00DB4646" w:rsidRPr="007A006A"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7A006A">
              <w:rPr>
                <w:rFonts w:ascii="Arial Narrow" w:eastAsiaTheme="majorEastAsia" w:hAnsi="Arial Narrow" w:cstheme="majorBidi"/>
                <w:bCs/>
                <w:sz w:val="20"/>
                <w:vertAlign w:val="superscript"/>
              </w:rPr>
              <w:t>4</w:t>
            </w:r>
          </w:p>
        </w:tc>
        <w:tc>
          <w:tcPr>
            <w:tcW w:w="0" w:type="auto"/>
            <w:vAlign w:val="bottom"/>
          </w:tcPr>
          <w:p w14:paraId="5F50850F" w14:textId="7586E283" w:rsidR="00DB4646" w:rsidRPr="006C2906"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6C2906">
              <w:rPr>
                <w:rFonts w:ascii="Arial Narrow" w:eastAsiaTheme="majorEastAsia" w:hAnsi="Arial Narrow" w:cstheme="majorBidi"/>
                <w:bCs/>
                <w:sz w:val="20"/>
                <w:vertAlign w:val="superscript"/>
              </w:rPr>
              <w:t>1</w:t>
            </w:r>
          </w:p>
        </w:tc>
        <w:tc>
          <w:tcPr>
            <w:tcW w:w="0" w:type="auto"/>
            <w:vAlign w:val="center"/>
          </w:tcPr>
          <w:p w14:paraId="2F0D7F7F" w14:textId="472EB22F" w:rsidR="00DB4646" w:rsidRPr="007A006A"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7A006A">
              <w:rPr>
                <w:rFonts w:ascii="Arial Narrow" w:eastAsiaTheme="majorEastAsia" w:hAnsi="Arial Narrow" w:cstheme="majorBidi"/>
                <w:bCs/>
                <w:sz w:val="20"/>
                <w:vertAlign w:val="superscript"/>
              </w:rPr>
              <w:t>4</w:t>
            </w:r>
          </w:p>
        </w:tc>
      </w:tr>
      <w:tr w:rsidR="00DB4646" w:rsidRPr="00BC3A5E" w14:paraId="6AE6B4EC" w14:textId="77777777" w:rsidTr="00DB4646">
        <w:tc>
          <w:tcPr>
            <w:tcW w:w="0" w:type="auto"/>
          </w:tcPr>
          <w:p w14:paraId="55E2B208" w14:textId="77777777" w:rsidR="00DB4646" w:rsidRPr="00BC3A5E" w:rsidRDefault="00DB4646" w:rsidP="00370D8E">
            <w:pPr>
              <w:keepNext/>
              <w:keepLines/>
              <w:jc w:val="left"/>
              <w:rPr>
                <w:rFonts w:ascii="Arial Narrow" w:eastAsiaTheme="majorEastAsia" w:hAnsi="Arial Narrow" w:cstheme="majorBidi"/>
                <w:bCs/>
                <w:sz w:val="20"/>
              </w:rPr>
            </w:pPr>
            <w:r w:rsidRPr="00BC3A5E">
              <w:rPr>
                <w:rFonts w:ascii="Arial Narrow" w:eastAsiaTheme="majorEastAsia" w:hAnsi="Arial Narrow" w:cstheme="majorBidi"/>
                <w:bCs/>
                <w:sz w:val="20"/>
              </w:rPr>
              <w:t>QALYs</w:t>
            </w:r>
          </w:p>
        </w:tc>
        <w:tc>
          <w:tcPr>
            <w:tcW w:w="0" w:type="auto"/>
            <w:vAlign w:val="bottom"/>
          </w:tcPr>
          <w:p w14:paraId="74D4C86D"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0.6406</w:t>
            </w:r>
          </w:p>
        </w:tc>
        <w:tc>
          <w:tcPr>
            <w:tcW w:w="0" w:type="auto"/>
            <w:vAlign w:val="bottom"/>
          </w:tcPr>
          <w:p w14:paraId="2219F08A"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0.6288</w:t>
            </w:r>
          </w:p>
        </w:tc>
        <w:tc>
          <w:tcPr>
            <w:tcW w:w="0" w:type="auto"/>
            <w:vAlign w:val="center"/>
          </w:tcPr>
          <w:p w14:paraId="582DAA2F"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0.0118</w:t>
            </w:r>
          </w:p>
        </w:tc>
      </w:tr>
      <w:tr w:rsidR="00DB4646" w:rsidRPr="00BC3A5E" w14:paraId="12B4C3F6" w14:textId="77777777" w:rsidTr="00DB4646">
        <w:tc>
          <w:tcPr>
            <w:tcW w:w="0" w:type="auto"/>
            <w:gridSpan w:val="3"/>
          </w:tcPr>
          <w:p w14:paraId="2FB7B87F" w14:textId="77777777" w:rsidR="00DB4646" w:rsidRPr="00BC3A5E" w:rsidRDefault="00DB4646" w:rsidP="00370D8E">
            <w:pPr>
              <w:keepNext/>
              <w:keepLines/>
              <w:jc w:val="right"/>
              <w:rPr>
                <w:rFonts w:ascii="Arial Narrow" w:eastAsiaTheme="majorEastAsia" w:hAnsi="Arial Narrow" w:cstheme="majorBidi"/>
                <w:b/>
                <w:sz w:val="20"/>
              </w:rPr>
            </w:pPr>
            <w:r w:rsidRPr="00BC3A5E">
              <w:rPr>
                <w:rFonts w:ascii="Arial Narrow" w:eastAsiaTheme="majorEastAsia" w:hAnsi="Arial Narrow" w:cstheme="majorBidi"/>
                <w:b/>
                <w:sz w:val="20"/>
              </w:rPr>
              <w:t>Incremental cost per QALY gained</w:t>
            </w:r>
          </w:p>
        </w:tc>
        <w:tc>
          <w:tcPr>
            <w:tcW w:w="0" w:type="auto"/>
            <w:vAlign w:val="center"/>
          </w:tcPr>
          <w:p w14:paraId="362DB63B" w14:textId="0FBD1F8A" w:rsidR="00DB4646" w:rsidRPr="006B5F50" w:rsidRDefault="00DB4646" w:rsidP="00370D8E">
            <w:pPr>
              <w:keepNext/>
              <w:keepLines/>
              <w:jc w:val="center"/>
              <w:rPr>
                <w:rFonts w:ascii="Arial Narrow" w:eastAsiaTheme="majorEastAsia" w:hAnsi="Arial Narrow" w:cstheme="majorBidi"/>
                <w:b/>
                <w:sz w:val="20"/>
                <w:vertAlign w:val="superscript"/>
              </w:rPr>
            </w:pPr>
            <w:r w:rsidRPr="00BC3A5E">
              <w:rPr>
                <w:rFonts w:ascii="Arial Narrow" w:eastAsiaTheme="majorEastAsia" w:hAnsi="Arial Narrow" w:cstheme="majorBidi"/>
                <w:b/>
                <w:sz w:val="20"/>
              </w:rPr>
              <w:t>$</w:t>
            </w:r>
            <w:r w:rsidR="00994C8B" w:rsidRPr="00994C8B">
              <w:rPr>
                <w:rFonts w:ascii="Arial Narrow" w:eastAsiaTheme="majorEastAsia" w:hAnsi="Arial Narrow" w:cstheme="majorBidi"/>
                <w:b/>
                <w:sz w:val="20"/>
                <w:highlight w:val="black"/>
              </w:rPr>
              <w:t>&amp;&amp;&amp;&amp;</w:t>
            </w:r>
            <w:r w:rsidR="006B5F50">
              <w:rPr>
                <w:rFonts w:ascii="Arial Narrow" w:eastAsiaTheme="majorEastAsia" w:hAnsi="Arial Narrow" w:cstheme="majorBidi"/>
                <w:b/>
                <w:sz w:val="20"/>
                <w:vertAlign w:val="superscript"/>
              </w:rPr>
              <w:t>7</w:t>
            </w:r>
          </w:p>
        </w:tc>
      </w:tr>
      <w:tr w:rsidR="00DB4646" w:rsidRPr="00BC3A5E" w14:paraId="7A838357" w14:textId="77777777" w:rsidTr="00DB4646">
        <w:tc>
          <w:tcPr>
            <w:tcW w:w="0" w:type="auto"/>
            <w:gridSpan w:val="4"/>
          </w:tcPr>
          <w:p w14:paraId="3BCE75A1" w14:textId="16A0F958" w:rsidR="00DB4646" w:rsidRPr="00BC3A5E" w:rsidRDefault="00DB4646" w:rsidP="00370D8E">
            <w:pPr>
              <w:keepNext/>
              <w:keepLines/>
              <w:jc w:val="left"/>
              <w:rPr>
                <w:rFonts w:ascii="Arial Narrow" w:eastAsiaTheme="majorEastAsia" w:hAnsi="Arial Narrow" w:cstheme="majorBidi"/>
                <w:b/>
                <w:sz w:val="20"/>
              </w:rPr>
            </w:pPr>
            <w:r w:rsidRPr="00BC3A5E">
              <w:rPr>
                <w:rFonts w:ascii="Arial Narrow" w:eastAsiaTheme="majorEastAsia" w:hAnsi="Arial Narrow" w:cstheme="majorBidi"/>
                <w:b/>
                <w:sz w:val="20"/>
              </w:rPr>
              <w:t xml:space="preserve">Step 6b: </w:t>
            </w:r>
            <w:r w:rsidR="00F61C55" w:rsidRPr="00BC3A5E">
              <w:rPr>
                <w:rFonts w:ascii="Arial Narrow" w:eastAsiaTheme="majorEastAsia" w:hAnsi="Arial Narrow" w:cstheme="majorBidi"/>
                <w:b/>
                <w:sz w:val="20"/>
              </w:rPr>
              <w:t>E</w:t>
            </w:r>
            <w:r w:rsidRPr="00BC3A5E">
              <w:rPr>
                <w:rFonts w:ascii="Arial Narrow" w:eastAsiaTheme="majorEastAsia" w:hAnsi="Arial Narrow" w:cstheme="majorBidi"/>
                <w:b/>
                <w:sz w:val="20"/>
                <w:u w:val="single"/>
              </w:rPr>
              <w:t>xtrapolated to 5 years (discounting applied)</w:t>
            </w:r>
          </w:p>
        </w:tc>
      </w:tr>
      <w:tr w:rsidR="00DB4646" w:rsidRPr="00BC3A5E" w14:paraId="44C918F6" w14:textId="77777777" w:rsidTr="00DB4646">
        <w:tc>
          <w:tcPr>
            <w:tcW w:w="0" w:type="auto"/>
          </w:tcPr>
          <w:p w14:paraId="2252A95A" w14:textId="77777777" w:rsidR="00DB4646" w:rsidRPr="00BC3A5E" w:rsidRDefault="00DB4646" w:rsidP="00370D8E">
            <w:pPr>
              <w:keepNext/>
              <w:keepLines/>
              <w:jc w:val="left"/>
              <w:rPr>
                <w:rFonts w:ascii="Arial Narrow" w:eastAsiaTheme="majorEastAsia" w:hAnsi="Arial Narrow" w:cstheme="majorBidi"/>
                <w:bCs/>
                <w:sz w:val="20"/>
              </w:rPr>
            </w:pPr>
            <w:r w:rsidRPr="00BC3A5E">
              <w:rPr>
                <w:rFonts w:ascii="Arial Narrow" w:eastAsiaTheme="majorEastAsia" w:hAnsi="Arial Narrow" w:cstheme="majorBidi"/>
                <w:bCs/>
                <w:sz w:val="20"/>
              </w:rPr>
              <w:t>Costs</w:t>
            </w:r>
          </w:p>
        </w:tc>
        <w:tc>
          <w:tcPr>
            <w:tcW w:w="0" w:type="auto"/>
            <w:vAlign w:val="bottom"/>
          </w:tcPr>
          <w:p w14:paraId="5837A834" w14:textId="05363B6E" w:rsidR="00DB4646" w:rsidRPr="006B5F50"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6B5F50">
              <w:rPr>
                <w:rFonts w:ascii="Arial Narrow" w:eastAsiaTheme="majorEastAsia" w:hAnsi="Arial Narrow" w:cstheme="majorBidi"/>
                <w:bCs/>
                <w:sz w:val="20"/>
                <w:vertAlign w:val="superscript"/>
              </w:rPr>
              <w:t>7</w:t>
            </w:r>
          </w:p>
        </w:tc>
        <w:tc>
          <w:tcPr>
            <w:tcW w:w="0" w:type="auto"/>
            <w:vAlign w:val="bottom"/>
          </w:tcPr>
          <w:p w14:paraId="6A3CA9CE" w14:textId="6CF24198" w:rsidR="00DB4646" w:rsidRPr="007A006A"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7A006A">
              <w:rPr>
                <w:rFonts w:ascii="Arial Narrow" w:eastAsiaTheme="majorEastAsia" w:hAnsi="Arial Narrow" w:cstheme="majorBidi"/>
                <w:bCs/>
                <w:sz w:val="20"/>
                <w:vertAlign w:val="superscript"/>
              </w:rPr>
              <w:t>2</w:t>
            </w:r>
          </w:p>
        </w:tc>
        <w:tc>
          <w:tcPr>
            <w:tcW w:w="0" w:type="auto"/>
            <w:vAlign w:val="center"/>
          </w:tcPr>
          <w:p w14:paraId="344B38A6" w14:textId="27854FAE" w:rsidR="00DB4646" w:rsidRPr="006B5F50"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6B5F50">
              <w:rPr>
                <w:rFonts w:ascii="Arial Narrow" w:eastAsiaTheme="majorEastAsia" w:hAnsi="Arial Narrow" w:cstheme="majorBidi"/>
                <w:bCs/>
                <w:sz w:val="20"/>
                <w:vertAlign w:val="superscript"/>
              </w:rPr>
              <w:t>7</w:t>
            </w:r>
          </w:p>
        </w:tc>
      </w:tr>
      <w:tr w:rsidR="00DB4646" w:rsidRPr="00BC3A5E" w14:paraId="2B54B5BF" w14:textId="77777777" w:rsidTr="00DB4646">
        <w:tc>
          <w:tcPr>
            <w:tcW w:w="0" w:type="auto"/>
          </w:tcPr>
          <w:p w14:paraId="71CF7B58" w14:textId="77777777" w:rsidR="00DB4646" w:rsidRPr="00BC3A5E" w:rsidRDefault="00DB4646" w:rsidP="00370D8E">
            <w:pPr>
              <w:keepNext/>
              <w:keepLines/>
              <w:jc w:val="left"/>
              <w:rPr>
                <w:rFonts w:ascii="Arial Narrow" w:eastAsiaTheme="majorEastAsia" w:hAnsi="Arial Narrow" w:cstheme="majorBidi"/>
                <w:bCs/>
                <w:sz w:val="20"/>
              </w:rPr>
            </w:pPr>
            <w:r w:rsidRPr="00BC3A5E">
              <w:rPr>
                <w:rFonts w:ascii="Arial Narrow" w:eastAsiaTheme="majorEastAsia" w:hAnsi="Arial Narrow" w:cstheme="majorBidi"/>
                <w:bCs/>
                <w:sz w:val="20"/>
              </w:rPr>
              <w:t>QALYs</w:t>
            </w:r>
          </w:p>
        </w:tc>
        <w:tc>
          <w:tcPr>
            <w:tcW w:w="0" w:type="auto"/>
            <w:vAlign w:val="bottom"/>
          </w:tcPr>
          <w:p w14:paraId="3FBBC0FA"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2.8935</w:t>
            </w:r>
          </w:p>
        </w:tc>
        <w:tc>
          <w:tcPr>
            <w:tcW w:w="0" w:type="auto"/>
            <w:vAlign w:val="bottom"/>
          </w:tcPr>
          <w:p w14:paraId="20E700C7"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2.5911</w:t>
            </w:r>
          </w:p>
        </w:tc>
        <w:tc>
          <w:tcPr>
            <w:tcW w:w="0" w:type="auto"/>
            <w:vAlign w:val="center"/>
          </w:tcPr>
          <w:p w14:paraId="5915907B"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0.3024</w:t>
            </w:r>
          </w:p>
        </w:tc>
      </w:tr>
      <w:tr w:rsidR="00DB4646" w:rsidRPr="00BC3A5E" w14:paraId="4AB1155F" w14:textId="77777777" w:rsidTr="00DB4646">
        <w:tc>
          <w:tcPr>
            <w:tcW w:w="0" w:type="auto"/>
            <w:gridSpan w:val="3"/>
          </w:tcPr>
          <w:p w14:paraId="6BCD2BE9" w14:textId="77777777" w:rsidR="00DB4646" w:rsidRPr="00BC3A5E" w:rsidRDefault="00DB4646" w:rsidP="00370D8E">
            <w:pPr>
              <w:keepNext/>
              <w:keepLines/>
              <w:jc w:val="right"/>
              <w:rPr>
                <w:rFonts w:ascii="Arial Narrow" w:eastAsiaTheme="majorEastAsia" w:hAnsi="Arial Narrow" w:cstheme="majorBidi"/>
                <w:b/>
                <w:sz w:val="20"/>
              </w:rPr>
            </w:pPr>
            <w:r w:rsidRPr="00BC3A5E">
              <w:rPr>
                <w:rFonts w:ascii="Arial Narrow" w:eastAsiaTheme="majorEastAsia" w:hAnsi="Arial Narrow" w:cstheme="majorBidi"/>
                <w:b/>
                <w:sz w:val="20"/>
              </w:rPr>
              <w:t>Incremental cost per QALY gained</w:t>
            </w:r>
          </w:p>
        </w:tc>
        <w:tc>
          <w:tcPr>
            <w:tcW w:w="0" w:type="auto"/>
            <w:vAlign w:val="center"/>
          </w:tcPr>
          <w:p w14:paraId="391A8D72" w14:textId="1EE9B7BD" w:rsidR="00DB4646" w:rsidRPr="006B5F50" w:rsidRDefault="00DB4646" w:rsidP="00370D8E">
            <w:pPr>
              <w:keepNext/>
              <w:keepLines/>
              <w:jc w:val="center"/>
              <w:rPr>
                <w:rFonts w:ascii="Arial Narrow" w:eastAsiaTheme="majorEastAsia" w:hAnsi="Arial Narrow" w:cstheme="majorBidi"/>
                <w:b/>
                <w:sz w:val="20"/>
                <w:vertAlign w:val="superscript"/>
              </w:rPr>
            </w:pPr>
            <w:r w:rsidRPr="00BC3A5E">
              <w:rPr>
                <w:rFonts w:ascii="Arial Narrow" w:eastAsiaTheme="majorEastAsia" w:hAnsi="Arial Narrow" w:cstheme="majorBidi"/>
                <w:b/>
                <w:sz w:val="20"/>
              </w:rPr>
              <w:t>$</w:t>
            </w:r>
            <w:r w:rsidR="00994C8B" w:rsidRPr="00994C8B">
              <w:rPr>
                <w:rFonts w:ascii="Arial Narrow" w:eastAsiaTheme="majorEastAsia" w:hAnsi="Arial Narrow" w:cstheme="majorBidi"/>
                <w:b/>
                <w:sz w:val="20"/>
                <w:highlight w:val="black"/>
              </w:rPr>
              <w:t>&amp;&amp;&amp;&amp;</w:t>
            </w:r>
            <w:r w:rsidR="006B5F50">
              <w:rPr>
                <w:rFonts w:ascii="Arial Narrow" w:eastAsiaTheme="majorEastAsia" w:hAnsi="Arial Narrow" w:cstheme="majorBidi"/>
                <w:b/>
                <w:sz w:val="20"/>
                <w:vertAlign w:val="superscript"/>
              </w:rPr>
              <w:t>7</w:t>
            </w:r>
          </w:p>
        </w:tc>
      </w:tr>
      <w:tr w:rsidR="00DB4646" w:rsidRPr="00BC3A5E" w14:paraId="40FF5773" w14:textId="77777777" w:rsidTr="00DB4646">
        <w:tc>
          <w:tcPr>
            <w:tcW w:w="0" w:type="auto"/>
            <w:gridSpan w:val="4"/>
          </w:tcPr>
          <w:p w14:paraId="139B1EF5" w14:textId="537D6800" w:rsidR="00DB4646" w:rsidRPr="00BC3A5E" w:rsidRDefault="00DB4646" w:rsidP="00370D8E">
            <w:pPr>
              <w:keepNext/>
              <w:keepLines/>
              <w:jc w:val="left"/>
              <w:rPr>
                <w:rFonts w:ascii="Arial Narrow" w:eastAsiaTheme="majorEastAsia" w:hAnsi="Arial Narrow" w:cstheme="majorBidi"/>
                <w:b/>
                <w:sz w:val="20"/>
              </w:rPr>
            </w:pPr>
            <w:r w:rsidRPr="00BC3A5E">
              <w:rPr>
                <w:rFonts w:ascii="Arial Narrow" w:eastAsiaTheme="majorEastAsia" w:hAnsi="Arial Narrow" w:cstheme="majorBidi"/>
                <w:b/>
                <w:sz w:val="20"/>
              </w:rPr>
              <w:t xml:space="preserve">Step 6d: </w:t>
            </w:r>
            <w:r w:rsidR="00F61C55" w:rsidRPr="00BC3A5E">
              <w:rPr>
                <w:rFonts w:ascii="Arial Narrow" w:eastAsiaTheme="majorEastAsia" w:hAnsi="Arial Narrow" w:cstheme="majorBidi"/>
                <w:b/>
                <w:sz w:val="20"/>
              </w:rPr>
              <w:t>E</w:t>
            </w:r>
            <w:r w:rsidRPr="00BC3A5E">
              <w:rPr>
                <w:rFonts w:ascii="Arial Narrow" w:eastAsiaTheme="majorEastAsia" w:hAnsi="Arial Narrow" w:cstheme="majorBidi"/>
                <w:b/>
                <w:sz w:val="20"/>
                <w:u w:val="single"/>
              </w:rPr>
              <w:t>xtrapolated to 70 years (discounting applied)</w:t>
            </w:r>
          </w:p>
        </w:tc>
      </w:tr>
      <w:tr w:rsidR="00DB4646" w:rsidRPr="00BC3A5E" w14:paraId="4494192D" w14:textId="77777777" w:rsidTr="00DB4646">
        <w:tc>
          <w:tcPr>
            <w:tcW w:w="0" w:type="auto"/>
          </w:tcPr>
          <w:p w14:paraId="1ECAA455" w14:textId="77777777" w:rsidR="00DB4646" w:rsidRPr="00BC3A5E" w:rsidRDefault="00DB4646" w:rsidP="00370D8E">
            <w:pPr>
              <w:keepNext/>
              <w:keepLines/>
              <w:jc w:val="left"/>
              <w:rPr>
                <w:rFonts w:ascii="Arial Narrow" w:eastAsiaTheme="majorEastAsia" w:hAnsi="Arial Narrow" w:cstheme="majorBidi"/>
                <w:bCs/>
                <w:sz w:val="20"/>
              </w:rPr>
            </w:pPr>
            <w:r w:rsidRPr="00BC3A5E">
              <w:rPr>
                <w:rFonts w:ascii="Arial Narrow" w:eastAsiaTheme="majorEastAsia" w:hAnsi="Arial Narrow" w:cstheme="majorBidi"/>
                <w:bCs/>
                <w:sz w:val="20"/>
              </w:rPr>
              <w:t>Costs</w:t>
            </w:r>
          </w:p>
        </w:tc>
        <w:tc>
          <w:tcPr>
            <w:tcW w:w="0" w:type="auto"/>
            <w:vAlign w:val="center"/>
          </w:tcPr>
          <w:p w14:paraId="5F0F0447" w14:textId="6E1F235A" w:rsidR="00DB4646" w:rsidRPr="006B5F50"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6B5F50">
              <w:rPr>
                <w:rFonts w:ascii="Arial Narrow" w:eastAsiaTheme="majorEastAsia" w:hAnsi="Arial Narrow" w:cstheme="majorBidi"/>
                <w:bCs/>
                <w:sz w:val="20"/>
                <w:vertAlign w:val="superscript"/>
              </w:rPr>
              <w:t>7</w:t>
            </w:r>
          </w:p>
        </w:tc>
        <w:tc>
          <w:tcPr>
            <w:tcW w:w="0" w:type="auto"/>
            <w:vAlign w:val="center"/>
          </w:tcPr>
          <w:p w14:paraId="5E2408DC" w14:textId="72EFEB54" w:rsidR="00DB4646" w:rsidRPr="00161FDB"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161FDB">
              <w:rPr>
                <w:rFonts w:ascii="Arial Narrow" w:eastAsiaTheme="majorEastAsia" w:hAnsi="Arial Narrow" w:cstheme="majorBidi"/>
                <w:bCs/>
                <w:sz w:val="20"/>
                <w:vertAlign w:val="superscript"/>
              </w:rPr>
              <w:t>5</w:t>
            </w:r>
          </w:p>
        </w:tc>
        <w:tc>
          <w:tcPr>
            <w:tcW w:w="0" w:type="auto"/>
            <w:vAlign w:val="center"/>
          </w:tcPr>
          <w:p w14:paraId="2774BD6F" w14:textId="7484FAEE" w:rsidR="00DB4646" w:rsidRPr="006B5F50" w:rsidRDefault="00DB4646" w:rsidP="00370D8E">
            <w:pPr>
              <w:keepNext/>
              <w:keepLines/>
              <w:jc w:val="center"/>
              <w:rPr>
                <w:rFonts w:ascii="Arial Narrow" w:eastAsiaTheme="majorEastAsia" w:hAnsi="Arial Narrow" w:cstheme="majorBidi"/>
                <w:bCs/>
                <w:sz w:val="20"/>
                <w:vertAlign w:val="superscript"/>
              </w:rPr>
            </w:pPr>
            <w:r w:rsidRPr="00BC3A5E">
              <w:rPr>
                <w:rFonts w:ascii="Arial Narrow" w:eastAsiaTheme="majorEastAsia" w:hAnsi="Arial Narrow" w:cstheme="majorBidi"/>
                <w:bCs/>
                <w:sz w:val="20"/>
              </w:rPr>
              <w:t>$</w:t>
            </w:r>
            <w:r w:rsidR="00994C8B" w:rsidRPr="00994C8B">
              <w:rPr>
                <w:rFonts w:ascii="Arial Narrow" w:eastAsiaTheme="majorEastAsia" w:hAnsi="Arial Narrow" w:cstheme="majorBidi"/>
                <w:sz w:val="20"/>
                <w:highlight w:val="black"/>
              </w:rPr>
              <w:t>&amp;&amp;&amp;&amp;</w:t>
            </w:r>
            <w:r w:rsidR="006B5F50">
              <w:rPr>
                <w:rFonts w:ascii="Arial Narrow" w:eastAsiaTheme="majorEastAsia" w:hAnsi="Arial Narrow" w:cstheme="majorBidi"/>
                <w:bCs/>
                <w:sz w:val="20"/>
                <w:vertAlign w:val="superscript"/>
              </w:rPr>
              <w:t>7</w:t>
            </w:r>
          </w:p>
        </w:tc>
      </w:tr>
      <w:tr w:rsidR="00DB4646" w:rsidRPr="00BC3A5E" w14:paraId="5428A01E" w14:textId="77777777" w:rsidTr="00DB4646">
        <w:tc>
          <w:tcPr>
            <w:tcW w:w="0" w:type="auto"/>
          </w:tcPr>
          <w:p w14:paraId="0096A2A0" w14:textId="77777777" w:rsidR="00DB4646" w:rsidRPr="00BC3A5E" w:rsidRDefault="00DB4646" w:rsidP="00370D8E">
            <w:pPr>
              <w:keepNext/>
              <w:keepLines/>
              <w:jc w:val="left"/>
              <w:rPr>
                <w:rFonts w:ascii="Arial Narrow" w:eastAsiaTheme="majorEastAsia" w:hAnsi="Arial Narrow" w:cstheme="majorBidi"/>
                <w:bCs/>
                <w:sz w:val="20"/>
              </w:rPr>
            </w:pPr>
            <w:r w:rsidRPr="00BC3A5E">
              <w:rPr>
                <w:rFonts w:ascii="Arial Narrow" w:eastAsiaTheme="majorEastAsia" w:hAnsi="Arial Narrow" w:cstheme="majorBidi"/>
                <w:bCs/>
                <w:sz w:val="20"/>
              </w:rPr>
              <w:t>Life years</w:t>
            </w:r>
          </w:p>
        </w:tc>
        <w:tc>
          <w:tcPr>
            <w:tcW w:w="0" w:type="auto"/>
            <w:vAlign w:val="center"/>
          </w:tcPr>
          <w:p w14:paraId="2DE98E59"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17.9534</w:t>
            </w:r>
          </w:p>
        </w:tc>
        <w:tc>
          <w:tcPr>
            <w:tcW w:w="0" w:type="auto"/>
            <w:vAlign w:val="center"/>
          </w:tcPr>
          <w:p w14:paraId="7406A4FA"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17.3548</w:t>
            </w:r>
          </w:p>
        </w:tc>
        <w:tc>
          <w:tcPr>
            <w:tcW w:w="0" w:type="auto"/>
            <w:vAlign w:val="center"/>
          </w:tcPr>
          <w:p w14:paraId="3DF3FC73"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0.5986</w:t>
            </w:r>
          </w:p>
        </w:tc>
      </w:tr>
      <w:tr w:rsidR="00DB4646" w:rsidRPr="00BC3A5E" w14:paraId="6D106226" w14:textId="77777777" w:rsidTr="00DB4646">
        <w:tc>
          <w:tcPr>
            <w:tcW w:w="0" w:type="auto"/>
          </w:tcPr>
          <w:p w14:paraId="35937EA8" w14:textId="77777777" w:rsidR="00DB4646" w:rsidRPr="00BC3A5E" w:rsidRDefault="00DB4646" w:rsidP="00370D8E">
            <w:pPr>
              <w:keepNext/>
              <w:keepLines/>
              <w:jc w:val="left"/>
              <w:rPr>
                <w:rFonts w:ascii="Arial Narrow" w:eastAsiaTheme="majorEastAsia" w:hAnsi="Arial Narrow" w:cstheme="majorBidi"/>
                <w:bCs/>
                <w:sz w:val="20"/>
              </w:rPr>
            </w:pPr>
            <w:r w:rsidRPr="00BC3A5E">
              <w:rPr>
                <w:rFonts w:ascii="Arial Narrow" w:eastAsiaTheme="majorEastAsia" w:hAnsi="Arial Narrow" w:cstheme="majorBidi"/>
                <w:bCs/>
                <w:sz w:val="20"/>
              </w:rPr>
              <w:t>QALYs</w:t>
            </w:r>
          </w:p>
        </w:tc>
        <w:tc>
          <w:tcPr>
            <w:tcW w:w="0" w:type="auto"/>
            <w:vAlign w:val="center"/>
          </w:tcPr>
          <w:p w14:paraId="766ED21D"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10.2660</w:t>
            </w:r>
          </w:p>
        </w:tc>
        <w:tc>
          <w:tcPr>
            <w:tcW w:w="0" w:type="auto"/>
            <w:vAlign w:val="center"/>
          </w:tcPr>
          <w:p w14:paraId="147F8FA2"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6.8135</w:t>
            </w:r>
          </w:p>
        </w:tc>
        <w:tc>
          <w:tcPr>
            <w:tcW w:w="0" w:type="auto"/>
            <w:vAlign w:val="center"/>
          </w:tcPr>
          <w:p w14:paraId="7CB5FF4F" w14:textId="77777777" w:rsidR="00DB4646" w:rsidRPr="00BC3A5E" w:rsidRDefault="00DB4646" w:rsidP="00370D8E">
            <w:pPr>
              <w:keepNext/>
              <w:keepLines/>
              <w:jc w:val="center"/>
              <w:rPr>
                <w:rFonts w:ascii="Arial Narrow" w:eastAsiaTheme="majorEastAsia" w:hAnsi="Arial Narrow" w:cstheme="majorBidi"/>
                <w:bCs/>
                <w:sz w:val="20"/>
              </w:rPr>
            </w:pPr>
            <w:r w:rsidRPr="00BC3A5E">
              <w:rPr>
                <w:rFonts w:ascii="Arial Narrow" w:eastAsiaTheme="majorEastAsia" w:hAnsi="Arial Narrow" w:cstheme="majorBidi"/>
                <w:bCs/>
                <w:sz w:val="20"/>
              </w:rPr>
              <w:t>3.4526</w:t>
            </w:r>
          </w:p>
        </w:tc>
      </w:tr>
      <w:tr w:rsidR="00DB4646" w:rsidRPr="00BC3A5E" w14:paraId="6B31787C" w14:textId="77777777" w:rsidTr="00DB4646">
        <w:tc>
          <w:tcPr>
            <w:tcW w:w="0" w:type="auto"/>
            <w:gridSpan w:val="3"/>
          </w:tcPr>
          <w:p w14:paraId="28922DBD" w14:textId="77777777" w:rsidR="00DB4646" w:rsidRPr="00BC3A5E" w:rsidRDefault="00DB4646" w:rsidP="00370D8E">
            <w:pPr>
              <w:keepNext/>
              <w:keepLines/>
              <w:jc w:val="right"/>
              <w:rPr>
                <w:rFonts w:ascii="Arial Narrow" w:eastAsiaTheme="majorEastAsia" w:hAnsi="Arial Narrow" w:cstheme="majorBidi"/>
                <w:b/>
                <w:sz w:val="20"/>
              </w:rPr>
            </w:pPr>
            <w:r w:rsidRPr="00BC3A5E">
              <w:rPr>
                <w:rFonts w:ascii="Arial Narrow" w:eastAsiaTheme="majorEastAsia" w:hAnsi="Arial Narrow" w:cstheme="majorBidi"/>
                <w:b/>
                <w:sz w:val="20"/>
                <w:szCs w:val="20"/>
              </w:rPr>
              <w:t>Incremental cost per life year gained</w:t>
            </w:r>
          </w:p>
        </w:tc>
        <w:tc>
          <w:tcPr>
            <w:tcW w:w="0" w:type="auto"/>
            <w:vAlign w:val="center"/>
          </w:tcPr>
          <w:p w14:paraId="0AF16EB9" w14:textId="60CE7CC0" w:rsidR="00DB4646" w:rsidRPr="006B5F50" w:rsidRDefault="00DB4646" w:rsidP="00370D8E">
            <w:pPr>
              <w:keepNext/>
              <w:keepLines/>
              <w:jc w:val="center"/>
              <w:rPr>
                <w:rFonts w:ascii="Arial Narrow" w:eastAsiaTheme="majorEastAsia" w:hAnsi="Arial Narrow" w:cstheme="majorBidi"/>
                <w:b/>
                <w:sz w:val="20"/>
                <w:vertAlign w:val="superscript"/>
              </w:rPr>
            </w:pPr>
            <w:r w:rsidRPr="00BC3A5E">
              <w:rPr>
                <w:rFonts w:ascii="Arial Narrow" w:eastAsiaTheme="majorEastAsia" w:hAnsi="Arial Narrow" w:cstheme="majorBidi"/>
                <w:b/>
                <w:sz w:val="20"/>
              </w:rPr>
              <w:t>$</w:t>
            </w:r>
            <w:r w:rsidR="00994C8B" w:rsidRPr="00994C8B">
              <w:rPr>
                <w:rFonts w:ascii="Arial Narrow" w:eastAsiaTheme="majorEastAsia" w:hAnsi="Arial Narrow" w:cstheme="majorBidi"/>
                <w:b/>
                <w:sz w:val="20"/>
                <w:highlight w:val="black"/>
              </w:rPr>
              <w:t>&amp;&amp;&amp;&amp;</w:t>
            </w:r>
            <w:r w:rsidR="006B5F50">
              <w:rPr>
                <w:rFonts w:ascii="Arial Narrow" w:eastAsiaTheme="majorEastAsia" w:hAnsi="Arial Narrow" w:cstheme="majorBidi"/>
                <w:b/>
                <w:sz w:val="20"/>
                <w:vertAlign w:val="superscript"/>
              </w:rPr>
              <w:t>7</w:t>
            </w:r>
          </w:p>
        </w:tc>
      </w:tr>
      <w:tr w:rsidR="00DB4646" w:rsidRPr="000918E4" w14:paraId="4D3BEBE5" w14:textId="77777777" w:rsidTr="00DB4646">
        <w:tc>
          <w:tcPr>
            <w:tcW w:w="0" w:type="auto"/>
            <w:gridSpan w:val="3"/>
          </w:tcPr>
          <w:p w14:paraId="63E81F9C" w14:textId="77777777" w:rsidR="00DB4646" w:rsidRPr="000918E4" w:rsidRDefault="00DB4646" w:rsidP="00370D8E">
            <w:pPr>
              <w:keepNext/>
              <w:keepLines/>
              <w:jc w:val="right"/>
              <w:rPr>
                <w:rFonts w:ascii="Arial Narrow" w:eastAsiaTheme="majorEastAsia" w:hAnsi="Arial Narrow" w:cstheme="majorBidi"/>
                <w:b/>
                <w:iCs/>
                <w:sz w:val="20"/>
              </w:rPr>
            </w:pPr>
            <w:r w:rsidRPr="000918E4">
              <w:rPr>
                <w:rFonts w:ascii="Arial Narrow" w:eastAsiaTheme="majorEastAsia" w:hAnsi="Arial Narrow" w:cstheme="majorBidi"/>
                <w:b/>
                <w:iCs/>
                <w:sz w:val="20"/>
              </w:rPr>
              <w:t>Incremental cost per QALY gained</w:t>
            </w:r>
          </w:p>
        </w:tc>
        <w:tc>
          <w:tcPr>
            <w:tcW w:w="0" w:type="auto"/>
            <w:vAlign w:val="center"/>
          </w:tcPr>
          <w:p w14:paraId="5B119988" w14:textId="1F25AA6B" w:rsidR="00DB4646" w:rsidRPr="00257549" w:rsidRDefault="00DB4646" w:rsidP="00370D8E">
            <w:pPr>
              <w:keepNext/>
              <w:keepLines/>
              <w:jc w:val="center"/>
              <w:rPr>
                <w:rFonts w:ascii="Arial Narrow" w:eastAsiaTheme="majorEastAsia" w:hAnsi="Arial Narrow" w:cstheme="majorBidi"/>
                <w:b/>
                <w:iCs/>
                <w:sz w:val="20"/>
                <w:vertAlign w:val="superscript"/>
              </w:rPr>
            </w:pPr>
            <w:r w:rsidRPr="000918E4">
              <w:rPr>
                <w:rFonts w:ascii="Arial Narrow" w:eastAsiaTheme="majorEastAsia" w:hAnsi="Arial Narrow" w:cstheme="majorBidi"/>
                <w:b/>
                <w:iCs/>
                <w:sz w:val="20"/>
              </w:rPr>
              <w:t>$</w:t>
            </w:r>
            <w:r w:rsidR="00994C8B" w:rsidRPr="00994C8B">
              <w:rPr>
                <w:rFonts w:ascii="Arial Narrow" w:eastAsiaTheme="majorEastAsia" w:hAnsi="Arial Narrow" w:cstheme="majorBidi"/>
                <w:b/>
                <w:sz w:val="20"/>
                <w:highlight w:val="black"/>
              </w:rPr>
              <w:t>&amp;&amp;&amp;&amp;</w:t>
            </w:r>
            <w:r w:rsidR="00257549">
              <w:rPr>
                <w:rFonts w:ascii="Arial Narrow" w:eastAsiaTheme="majorEastAsia" w:hAnsi="Arial Narrow" w:cstheme="majorBidi"/>
                <w:b/>
                <w:iCs/>
                <w:sz w:val="20"/>
                <w:vertAlign w:val="superscript"/>
              </w:rPr>
              <w:t>6</w:t>
            </w:r>
          </w:p>
        </w:tc>
      </w:tr>
    </w:tbl>
    <w:p w14:paraId="6EED6C32" w14:textId="77777777" w:rsidR="007709AA" w:rsidRDefault="007709AA" w:rsidP="00370D8E">
      <w:pPr>
        <w:pStyle w:val="COMTablefooter"/>
        <w:keepNext/>
        <w:keepLines/>
      </w:pPr>
      <w:r w:rsidRPr="00250A3D">
        <w:t xml:space="preserve">Source: </w:t>
      </w:r>
      <w:r>
        <w:t xml:space="preserve">Table 3.36, p202; Table 3.37, 202; Table 3.40, p204 of the submission; </w:t>
      </w:r>
      <w:r w:rsidRPr="00DE6E88">
        <w:t>‘</w:t>
      </w:r>
      <w:r>
        <w:t>Iptacopan economic model</w:t>
      </w:r>
      <w:r w:rsidRPr="00DE6E88">
        <w:t>’ provided with the submission.</w:t>
      </w:r>
    </w:p>
    <w:p w14:paraId="255CA889" w14:textId="77777777" w:rsidR="007709AA" w:rsidRDefault="007709AA" w:rsidP="00370D8E">
      <w:pPr>
        <w:pStyle w:val="COMTablefooter"/>
        <w:keepNext/>
        <w:keepLines/>
      </w:pPr>
      <w:r>
        <w:t>Abbreviations: QALY, quality adjusted life year</w:t>
      </w:r>
    </w:p>
    <w:p w14:paraId="05889A33" w14:textId="77777777" w:rsidR="00525FF3" w:rsidRDefault="007709AA" w:rsidP="00370D8E">
      <w:pPr>
        <w:pStyle w:val="COMTablefooter"/>
        <w:keepNext/>
        <w:keepLines/>
      </w:pPr>
      <w:r w:rsidRPr="00DB4646">
        <w:t>Note: During the evaluation the base case was respecified using a 5% discount rate, removing societal costs and correcting for errors in transplantation event costs and post-transplantation (graft failure) health state costs</w:t>
      </w:r>
      <w:r w:rsidR="006526AE">
        <w:t xml:space="preserve"> </w:t>
      </w:r>
    </w:p>
    <w:p w14:paraId="6EBA58AC" w14:textId="1388E367" w:rsidR="007709AA" w:rsidRPr="00525FF3" w:rsidRDefault="00525FF3" w:rsidP="00370D8E">
      <w:pPr>
        <w:pStyle w:val="COMTablefooter"/>
        <w:keepNext/>
        <w:keepLines/>
        <w:rPr>
          <w:i/>
          <w:iCs/>
        </w:rPr>
      </w:pPr>
      <w:r w:rsidRPr="00525FF3">
        <w:rPr>
          <w:i/>
          <w:iCs/>
        </w:rPr>
        <w:t>The redacted values correspond to the following ranges:</w:t>
      </w:r>
    </w:p>
    <w:p w14:paraId="477625D6" w14:textId="68303AE6" w:rsidR="00957A6D" w:rsidRPr="00525FF3" w:rsidRDefault="00A356FF" w:rsidP="00370D8E">
      <w:pPr>
        <w:pStyle w:val="COMTablefooter"/>
        <w:keepNext/>
        <w:keepLines/>
        <w:rPr>
          <w:i/>
          <w:iCs/>
        </w:rPr>
      </w:pPr>
      <w:r w:rsidRPr="00525FF3">
        <w:rPr>
          <w:i/>
          <w:iCs/>
          <w:vertAlign w:val="superscript"/>
        </w:rPr>
        <w:t>1</w:t>
      </w:r>
      <w:r w:rsidRPr="00525FF3">
        <w:rPr>
          <w:i/>
          <w:iCs/>
        </w:rPr>
        <w:t xml:space="preserve">$0 to </w:t>
      </w:r>
      <w:r w:rsidR="00364110">
        <w:rPr>
          <w:i/>
          <w:iCs/>
        </w:rPr>
        <w:t xml:space="preserve">&lt; </w:t>
      </w:r>
      <w:r w:rsidRPr="00525FF3">
        <w:rPr>
          <w:i/>
          <w:iCs/>
        </w:rPr>
        <w:t>$5,000</w:t>
      </w:r>
    </w:p>
    <w:p w14:paraId="4531FF63" w14:textId="35F566D2" w:rsidR="006C2906" w:rsidRPr="00525FF3" w:rsidRDefault="007A006A" w:rsidP="00370D8E">
      <w:pPr>
        <w:pStyle w:val="COMTablefooter"/>
        <w:keepNext/>
        <w:keepLines/>
        <w:rPr>
          <w:i/>
          <w:iCs/>
        </w:rPr>
      </w:pPr>
      <w:r w:rsidRPr="00525FF3">
        <w:rPr>
          <w:i/>
          <w:iCs/>
          <w:vertAlign w:val="superscript"/>
        </w:rPr>
        <w:t>2</w:t>
      </w:r>
      <w:r w:rsidRPr="00525FF3">
        <w:rPr>
          <w:i/>
          <w:iCs/>
        </w:rPr>
        <w:t xml:space="preserve">$35,000 to </w:t>
      </w:r>
      <w:r w:rsidR="00364110">
        <w:rPr>
          <w:i/>
          <w:iCs/>
        </w:rPr>
        <w:t xml:space="preserve">&lt; </w:t>
      </w:r>
      <w:r w:rsidRPr="00525FF3">
        <w:rPr>
          <w:i/>
          <w:iCs/>
        </w:rPr>
        <w:t>$45,000</w:t>
      </w:r>
    </w:p>
    <w:p w14:paraId="33AF02B8" w14:textId="32A3200A" w:rsidR="005C470B" w:rsidRPr="00525FF3" w:rsidRDefault="007A006A" w:rsidP="00370D8E">
      <w:pPr>
        <w:pStyle w:val="COMTablefooter"/>
        <w:keepNext/>
        <w:keepLines/>
        <w:rPr>
          <w:i/>
          <w:iCs/>
        </w:rPr>
      </w:pPr>
      <w:r w:rsidRPr="00525FF3">
        <w:rPr>
          <w:i/>
          <w:iCs/>
          <w:vertAlign w:val="superscript"/>
        </w:rPr>
        <w:t>3</w:t>
      </w:r>
      <w:r w:rsidR="005C470B" w:rsidRPr="00525FF3">
        <w:rPr>
          <w:i/>
          <w:iCs/>
        </w:rPr>
        <w:t xml:space="preserve">$135,000 to </w:t>
      </w:r>
      <w:r w:rsidR="00364110">
        <w:rPr>
          <w:i/>
          <w:iCs/>
        </w:rPr>
        <w:t xml:space="preserve">&lt; </w:t>
      </w:r>
      <w:r w:rsidR="005C470B" w:rsidRPr="00525FF3">
        <w:rPr>
          <w:i/>
          <w:iCs/>
        </w:rPr>
        <w:t>$155,000</w:t>
      </w:r>
    </w:p>
    <w:p w14:paraId="3C00C471" w14:textId="2122A9ED" w:rsidR="005C470B" w:rsidRPr="00525FF3" w:rsidRDefault="007A006A" w:rsidP="00370D8E">
      <w:pPr>
        <w:pStyle w:val="COMTablefooter"/>
        <w:keepNext/>
        <w:keepLines/>
        <w:rPr>
          <w:i/>
          <w:iCs/>
        </w:rPr>
      </w:pPr>
      <w:r w:rsidRPr="00525FF3">
        <w:rPr>
          <w:i/>
          <w:iCs/>
          <w:vertAlign w:val="superscript"/>
        </w:rPr>
        <w:t>4</w:t>
      </w:r>
      <w:r w:rsidR="005C470B" w:rsidRPr="00525FF3">
        <w:rPr>
          <w:i/>
          <w:iCs/>
        </w:rPr>
        <w:t xml:space="preserve">$255,000 to </w:t>
      </w:r>
      <w:r w:rsidR="00364110">
        <w:rPr>
          <w:i/>
          <w:iCs/>
        </w:rPr>
        <w:t xml:space="preserve">&lt; </w:t>
      </w:r>
      <w:r w:rsidR="005C470B" w:rsidRPr="00525FF3">
        <w:rPr>
          <w:i/>
          <w:iCs/>
        </w:rPr>
        <w:t>$355,000</w:t>
      </w:r>
    </w:p>
    <w:p w14:paraId="7A134F52" w14:textId="562880EF" w:rsidR="005C470B" w:rsidRPr="00525FF3" w:rsidRDefault="00161FDB" w:rsidP="00370D8E">
      <w:pPr>
        <w:pStyle w:val="COMTablefooter"/>
        <w:keepNext/>
        <w:keepLines/>
        <w:rPr>
          <w:i/>
          <w:iCs/>
        </w:rPr>
      </w:pPr>
      <w:r w:rsidRPr="00525FF3">
        <w:rPr>
          <w:i/>
          <w:iCs/>
          <w:vertAlign w:val="superscript"/>
        </w:rPr>
        <w:t>5</w:t>
      </w:r>
      <w:r w:rsidR="005C470B" w:rsidRPr="00525FF3">
        <w:rPr>
          <w:i/>
          <w:iCs/>
        </w:rPr>
        <w:t xml:space="preserve">$555,000 to </w:t>
      </w:r>
      <w:r w:rsidR="00364110">
        <w:rPr>
          <w:i/>
          <w:iCs/>
        </w:rPr>
        <w:t xml:space="preserve">&lt; </w:t>
      </w:r>
      <w:r w:rsidR="005C470B" w:rsidRPr="00525FF3">
        <w:rPr>
          <w:i/>
          <w:iCs/>
        </w:rPr>
        <w:t>$655,000</w:t>
      </w:r>
    </w:p>
    <w:p w14:paraId="0A71F003" w14:textId="448728F6" w:rsidR="005C470B" w:rsidRPr="00525FF3" w:rsidRDefault="00257549" w:rsidP="00370D8E">
      <w:pPr>
        <w:pStyle w:val="COMTablefooter"/>
        <w:keepNext/>
        <w:keepLines/>
        <w:rPr>
          <w:i/>
          <w:iCs/>
        </w:rPr>
      </w:pPr>
      <w:r w:rsidRPr="00525FF3">
        <w:rPr>
          <w:i/>
          <w:iCs/>
          <w:vertAlign w:val="superscript"/>
        </w:rPr>
        <w:t>6</w:t>
      </w:r>
      <w:r w:rsidR="005C470B" w:rsidRPr="00525FF3">
        <w:rPr>
          <w:i/>
          <w:iCs/>
        </w:rPr>
        <w:t xml:space="preserve">$955,000 to </w:t>
      </w:r>
      <w:r w:rsidR="00364110">
        <w:rPr>
          <w:i/>
          <w:iCs/>
        </w:rPr>
        <w:t xml:space="preserve">&lt; </w:t>
      </w:r>
      <w:r w:rsidR="005C470B" w:rsidRPr="00525FF3">
        <w:rPr>
          <w:i/>
          <w:iCs/>
        </w:rPr>
        <w:t>$1,055,000</w:t>
      </w:r>
    </w:p>
    <w:p w14:paraId="31B22E9D" w14:textId="46E69D62" w:rsidR="005C470B" w:rsidRPr="00525FF3" w:rsidRDefault="006B5F50" w:rsidP="00370D8E">
      <w:pPr>
        <w:pStyle w:val="COMTablefooter"/>
        <w:keepNext/>
        <w:keepLines/>
        <w:rPr>
          <w:i/>
          <w:iCs/>
        </w:rPr>
      </w:pPr>
      <w:r w:rsidRPr="00525FF3">
        <w:rPr>
          <w:i/>
          <w:iCs/>
          <w:vertAlign w:val="superscript"/>
        </w:rPr>
        <w:t>7</w:t>
      </w:r>
      <w:r w:rsidR="00364110">
        <w:rPr>
          <w:i/>
          <w:iCs/>
        </w:rPr>
        <w:t xml:space="preserve">&gt; </w:t>
      </w:r>
      <w:r w:rsidR="005C470B" w:rsidRPr="00525FF3">
        <w:rPr>
          <w:i/>
          <w:iCs/>
        </w:rPr>
        <w:t>$1,055,000</w:t>
      </w:r>
    </w:p>
    <w:p w14:paraId="7DE8B491" w14:textId="4A343A1A" w:rsidR="007709AA" w:rsidRPr="00DD5E4B" w:rsidRDefault="007709AA" w:rsidP="00370D8E">
      <w:pPr>
        <w:pStyle w:val="COMESnumberedpara"/>
      </w:pPr>
      <w:r w:rsidRPr="00DD5E4B">
        <w:t>Based on the economic model, treatment with iptacopan was associated with an incremental cost per QALY gained of</w:t>
      </w:r>
      <w:r w:rsidR="00BD28D9" w:rsidRPr="00BD28D9">
        <w:t xml:space="preserve">$955,000 to </w:t>
      </w:r>
      <w:r w:rsidR="00364110">
        <w:t xml:space="preserve">&lt; </w:t>
      </w:r>
      <w:r w:rsidR="00BD28D9" w:rsidRPr="00BD28D9">
        <w:t>$1,055,000</w:t>
      </w:r>
      <w:r w:rsidR="00BD28D9">
        <w:t xml:space="preserve"> </w:t>
      </w:r>
      <w:r w:rsidRPr="00DD5E4B">
        <w:t>compared to placebo for the treatment of C3G in adult patients with native kidneys.</w:t>
      </w:r>
    </w:p>
    <w:p w14:paraId="4DE05E2A" w14:textId="25AAEC3A" w:rsidR="004077FA" w:rsidRPr="00BC3A5E" w:rsidRDefault="007709AA" w:rsidP="00370D8E">
      <w:pPr>
        <w:pStyle w:val="COMESnumberedpara"/>
      </w:pPr>
      <w:r w:rsidRPr="00DD5E4B">
        <w:t xml:space="preserve">The submission acknowledged that the incremental cost effectiveness ratio for iptacopan exceeded typical funding thresholds but noted that the PBAC has considered estimates as high as $855,000 to $955,000 per QALY gained in special circumstances (nusinersen </w:t>
      </w:r>
      <w:r w:rsidR="00364110">
        <w:t>Public Summary Document [P</w:t>
      </w:r>
      <w:r w:rsidRPr="00DD5E4B">
        <w:t>SD</w:t>
      </w:r>
      <w:r w:rsidR="00364110">
        <w:t>]</w:t>
      </w:r>
      <w:r w:rsidRPr="00DD5E4B">
        <w:t>, March 2022 PBAC meeting). The submission argued that given the clinical severity of C3G, the high unmet need, and the rarity of the disease, a cost effectiveness estimate in this range may be considered reasonable within the context of PBAC decision-making for high-need, low-prevalence diseases.</w:t>
      </w:r>
      <w:r w:rsidR="00DC6420">
        <w:t xml:space="preserve"> </w:t>
      </w:r>
      <w:r w:rsidR="00DC6420" w:rsidRPr="00BC3A5E">
        <w:t>The ESC noted that</w:t>
      </w:r>
      <w:r w:rsidR="00765C58" w:rsidRPr="00BC3A5E">
        <w:t xml:space="preserve"> in other kidney-specific conditions</w:t>
      </w:r>
      <w:r w:rsidR="00DC6420" w:rsidRPr="00BC3A5E">
        <w:t xml:space="preserve"> the PBAC has </w:t>
      </w:r>
      <w:r w:rsidR="005941D7" w:rsidRPr="00BC3A5E">
        <w:t>recommended treatments with</w:t>
      </w:r>
      <w:r w:rsidR="00DC6420" w:rsidRPr="00BC3A5E">
        <w:t xml:space="preserve"> </w:t>
      </w:r>
      <w:r w:rsidR="00765C58" w:rsidRPr="00BC3A5E">
        <w:t xml:space="preserve">substantially lower </w:t>
      </w:r>
      <w:r w:rsidR="00DC6420" w:rsidRPr="00BC3A5E">
        <w:t>ICERs</w:t>
      </w:r>
      <w:r w:rsidR="00F34EE9" w:rsidRPr="00BC3A5E">
        <w:t xml:space="preserve">, though </w:t>
      </w:r>
      <w:r w:rsidR="00F34EE9" w:rsidRPr="00BC3A5E">
        <w:lastRenderedPageBreak/>
        <w:t xml:space="preserve">recognised that </w:t>
      </w:r>
      <w:r w:rsidR="00901284" w:rsidRPr="00BC3A5E">
        <w:t xml:space="preserve">the prevalence of the condition, the degree of confidence in the modelled outcomes, and </w:t>
      </w:r>
      <w:r w:rsidR="00C45030" w:rsidRPr="00BC3A5E">
        <w:t>financial impact are also relevant considerations</w:t>
      </w:r>
      <w:r w:rsidR="00765C58" w:rsidRPr="00BC3A5E">
        <w:t xml:space="preserve">. A summary of </w:t>
      </w:r>
      <w:r w:rsidR="00C45030" w:rsidRPr="00BC3A5E">
        <w:t xml:space="preserve">PBAC considerations of </w:t>
      </w:r>
      <w:r w:rsidR="004077FA" w:rsidRPr="00BC3A5E">
        <w:t xml:space="preserve">treatments for </w:t>
      </w:r>
      <w:r w:rsidR="00C45030" w:rsidRPr="00BC3A5E">
        <w:t>kidney-specific indica</w:t>
      </w:r>
      <w:r w:rsidR="004077FA" w:rsidRPr="00BC3A5E">
        <w:t xml:space="preserve">tions is shown in </w:t>
      </w:r>
      <w:r w:rsidR="00DA4682" w:rsidRPr="00BC3A5E">
        <w:fldChar w:fldCharType="begin"/>
      </w:r>
      <w:r w:rsidR="00DA4682" w:rsidRPr="00BC3A5E">
        <w:instrText xml:space="preserve"> REF _Ref211601131 \h  \* MERGEFORMAT </w:instrText>
      </w:r>
      <w:r w:rsidR="00DA4682" w:rsidRPr="00BC3A5E">
        <w:fldChar w:fldCharType="separate"/>
      </w:r>
      <w:r w:rsidR="00CC1313" w:rsidRPr="00BC3A5E">
        <w:t xml:space="preserve">Table </w:t>
      </w:r>
      <w:r w:rsidR="00CC1313">
        <w:rPr>
          <w:noProof/>
        </w:rPr>
        <w:t>12</w:t>
      </w:r>
      <w:r w:rsidR="00DA4682" w:rsidRPr="00BC3A5E">
        <w:fldChar w:fldCharType="end"/>
      </w:r>
      <w:r w:rsidR="00DA4682" w:rsidRPr="00BC3A5E">
        <w:t>.</w:t>
      </w:r>
      <w:r w:rsidR="00DE174A">
        <w:t xml:space="preserve"> </w:t>
      </w:r>
      <w:r w:rsidR="001153B9">
        <w:t xml:space="preserve">The pre-PBAC </w:t>
      </w:r>
      <w:r w:rsidR="00123222">
        <w:t xml:space="preserve">response </w:t>
      </w:r>
      <w:r w:rsidR="001153B9">
        <w:t xml:space="preserve">noted that for </w:t>
      </w:r>
      <w:proofErr w:type="spellStart"/>
      <w:r w:rsidR="001153B9">
        <w:t>lumasiran</w:t>
      </w:r>
      <w:proofErr w:type="spellEnd"/>
      <w:r w:rsidR="001153B9">
        <w:t xml:space="preserve"> in PH1, the PBAC considered an average cost per patient per year due to the high unmet clinical need, the rare nature of the disease, and uncertainty in the economic model and ICER.</w:t>
      </w:r>
      <w:r w:rsidR="00123222">
        <w:t xml:space="preserve"> The sponsor considered that as C3G shares similarities with PH1 in terms of </w:t>
      </w:r>
      <w:r w:rsidR="009F7A46">
        <w:t xml:space="preserve">the challenges of economic modelling in an ultra-rare disease, a similar approach </w:t>
      </w:r>
      <w:r w:rsidR="00777C57">
        <w:t xml:space="preserve">would be welcomed by the sponsor. </w:t>
      </w:r>
    </w:p>
    <w:p w14:paraId="3BC00305" w14:textId="2FBC9787" w:rsidR="004077FA" w:rsidRPr="00BC3A5E" w:rsidRDefault="00DC6420" w:rsidP="00370D8E">
      <w:pPr>
        <w:pStyle w:val="COMTableFigurecaption"/>
        <w:keepLines/>
      </w:pPr>
      <w:r w:rsidRPr="00BC3A5E">
        <w:t xml:space="preserve"> </w:t>
      </w:r>
      <w:bookmarkStart w:id="45" w:name="_Ref211601131"/>
      <w:r w:rsidR="004077FA" w:rsidRPr="00BC3A5E">
        <w:t xml:space="preserve">Table </w:t>
      </w:r>
      <w:r w:rsidR="00DA4682">
        <w:fldChar w:fldCharType="begin"/>
      </w:r>
      <w:r w:rsidR="00DA4682">
        <w:instrText xml:space="preserve"> SEQ Table \* ARABIC </w:instrText>
      </w:r>
      <w:r w:rsidR="00DA4682">
        <w:fldChar w:fldCharType="separate"/>
      </w:r>
      <w:r w:rsidR="00CC1313">
        <w:rPr>
          <w:noProof/>
        </w:rPr>
        <w:t>12</w:t>
      </w:r>
      <w:r w:rsidR="00DA4682">
        <w:rPr>
          <w:noProof/>
        </w:rPr>
        <w:fldChar w:fldCharType="end"/>
      </w:r>
      <w:bookmarkEnd w:id="45"/>
      <w:r w:rsidR="004077FA" w:rsidRPr="00BC3A5E">
        <w:t xml:space="preserve">: PBAC considerations of other </w:t>
      </w:r>
      <w:r w:rsidR="00C67B34" w:rsidRPr="00BC3A5E">
        <w:t>treatments for kidney-specific indications.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 Table 12: PBAC considerations of other treatments for kidney-specific indications."/>
      </w:tblPr>
      <w:tblGrid>
        <w:gridCol w:w="1315"/>
        <w:gridCol w:w="1320"/>
        <w:gridCol w:w="960"/>
        <w:gridCol w:w="3240"/>
        <w:gridCol w:w="2182"/>
      </w:tblGrid>
      <w:tr w:rsidR="003F0216" w:rsidRPr="00BC3A5E" w14:paraId="69CDF04A" w14:textId="77777777" w:rsidTr="00322AE0">
        <w:trPr>
          <w:trHeight w:val="300"/>
        </w:trPr>
        <w:tc>
          <w:tcPr>
            <w:tcW w:w="1315" w:type="dxa"/>
            <w:noWrap/>
            <w:vAlign w:val="bottom"/>
            <w:hideMark/>
          </w:tcPr>
          <w:p w14:paraId="5423E8CA" w14:textId="77777777" w:rsidR="003F0216" w:rsidRPr="00BC3A5E" w:rsidRDefault="003F0216" w:rsidP="00370D8E">
            <w:pPr>
              <w:jc w:val="left"/>
              <w:rPr>
                <w:rFonts w:ascii="Arial Narrow" w:hAnsi="Arial Narrow" w:cs="Times New Roman"/>
                <w:b/>
                <w:bCs/>
                <w:color w:val="000000"/>
                <w:sz w:val="20"/>
                <w:szCs w:val="20"/>
              </w:rPr>
            </w:pPr>
            <w:r w:rsidRPr="00BC3A5E">
              <w:rPr>
                <w:rFonts w:ascii="Arial Narrow" w:hAnsi="Arial Narrow" w:cs="Times New Roman"/>
                <w:b/>
                <w:bCs/>
                <w:color w:val="000000"/>
                <w:sz w:val="20"/>
                <w:szCs w:val="20"/>
              </w:rPr>
              <w:t>Treatment</w:t>
            </w:r>
          </w:p>
        </w:tc>
        <w:tc>
          <w:tcPr>
            <w:tcW w:w="1320" w:type="dxa"/>
            <w:noWrap/>
            <w:vAlign w:val="bottom"/>
            <w:hideMark/>
          </w:tcPr>
          <w:p w14:paraId="00A663C8" w14:textId="77777777" w:rsidR="003F0216" w:rsidRPr="00BC3A5E" w:rsidRDefault="003F0216" w:rsidP="00370D8E">
            <w:pPr>
              <w:jc w:val="left"/>
              <w:rPr>
                <w:rFonts w:ascii="Arial Narrow" w:hAnsi="Arial Narrow" w:cs="Times New Roman"/>
                <w:b/>
                <w:bCs/>
                <w:color w:val="000000"/>
                <w:sz w:val="20"/>
                <w:szCs w:val="20"/>
              </w:rPr>
            </w:pPr>
            <w:r w:rsidRPr="00BC3A5E">
              <w:rPr>
                <w:rFonts w:ascii="Arial Narrow" w:hAnsi="Arial Narrow" w:cs="Times New Roman"/>
                <w:b/>
                <w:bCs/>
                <w:color w:val="000000"/>
                <w:sz w:val="20"/>
                <w:szCs w:val="20"/>
              </w:rPr>
              <w:t>Condition</w:t>
            </w:r>
          </w:p>
        </w:tc>
        <w:tc>
          <w:tcPr>
            <w:tcW w:w="960" w:type="dxa"/>
            <w:noWrap/>
            <w:vAlign w:val="bottom"/>
            <w:hideMark/>
          </w:tcPr>
          <w:p w14:paraId="0A4E8D55" w14:textId="77777777" w:rsidR="003F0216" w:rsidRPr="00BC3A5E" w:rsidRDefault="003F0216" w:rsidP="00370D8E">
            <w:pPr>
              <w:jc w:val="left"/>
              <w:rPr>
                <w:rFonts w:ascii="Arial Narrow" w:hAnsi="Arial Narrow" w:cs="Times New Roman"/>
                <w:b/>
                <w:bCs/>
                <w:color w:val="000000"/>
                <w:sz w:val="20"/>
                <w:szCs w:val="20"/>
              </w:rPr>
            </w:pPr>
            <w:r w:rsidRPr="00BC3A5E">
              <w:rPr>
                <w:rFonts w:ascii="Arial Narrow" w:hAnsi="Arial Narrow" w:cs="Times New Roman"/>
                <w:b/>
                <w:bCs/>
                <w:color w:val="000000"/>
                <w:sz w:val="20"/>
                <w:szCs w:val="20"/>
              </w:rPr>
              <w:t>PBAC Meeting</w:t>
            </w:r>
          </w:p>
        </w:tc>
        <w:tc>
          <w:tcPr>
            <w:tcW w:w="3240" w:type="dxa"/>
            <w:noWrap/>
            <w:vAlign w:val="bottom"/>
            <w:hideMark/>
          </w:tcPr>
          <w:p w14:paraId="0290A6AA" w14:textId="77777777" w:rsidR="003F0216" w:rsidRPr="00BC3A5E" w:rsidRDefault="003F0216" w:rsidP="00370D8E">
            <w:pPr>
              <w:jc w:val="left"/>
              <w:rPr>
                <w:rFonts w:ascii="Arial Narrow" w:hAnsi="Arial Narrow" w:cs="Times New Roman"/>
                <w:b/>
                <w:bCs/>
                <w:color w:val="000000"/>
                <w:sz w:val="20"/>
                <w:szCs w:val="20"/>
              </w:rPr>
            </w:pPr>
            <w:r w:rsidRPr="00BC3A5E">
              <w:rPr>
                <w:rFonts w:ascii="Arial Narrow" w:hAnsi="Arial Narrow" w:cs="Times New Roman"/>
                <w:b/>
                <w:bCs/>
                <w:color w:val="000000"/>
                <w:sz w:val="20"/>
                <w:szCs w:val="20"/>
              </w:rPr>
              <w:t>ICER Range</w:t>
            </w:r>
          </w:p>
        </w:tc>
        <w:tc>
          <w:tcPr>
            <w:tcW w:w="2182" w:type="dxa"/>
            <w:noWrap/>
            <w:vAlign w:val="bottom"/>
            <w:hideMark/>
          </w:tcPr>
          <w:p w14:paraId="025669E4" w14:textId="77777777" w:rsidR="003F0216" w:rsidRPr="00BC3A5E" w:rsidRDefault="003F0216" w:rsidP="00370D8E">
            <w:pPr>
              <w:jc w:val="left"/>
              <w:rPr>
                <w:rFonts w:ascii="Arial Narrow" w:hAnsi="Arial Narrow" w:cs="Times New Roman"/>
                <w:b/>
                <w:bCs/>
                <w:color w:val="000000"/>
                <w:sz w:val="20"/>
                <w:szCs w:val="20"/>
              </w:rPr>
            </w:pPr>
            <w:r w:rsidRPr="00BC3A5E">
              <w:rPr>
                <w:rFonts w:ascii="Arial Narrow" w:hAnsi="Arial Narrow" w:cs="Times New Roman"/>
                <w:b/>
                <w:bCs/>
                <w:color w:val="000000"/>
                <w:sz w:val="20"/>
                <w:szCs w:val="20"/>
              </w:rPr>
              <w:t>Financial Impact (first 6 years)</w:t>
            </w:r>
          </w:p>
        </w:tc>
      </w:tr>
      <w:tr w:rsidR="003F0216" w:rsidRPr="00BC3A5E" w14:paraId="6F2BE6E4" w14:textId="77777777" w:rsidTr="00322AE0">
        <w:trPr>
          <w:trHeight w:val="300"/>
        </w:trPr>
        <w:tc>
          <w:tcPr>
            <w:tcW w:w="1315" w:type="dxa"/>
            <w:noWrap/>
            <w:vAlign w:val="bottom"/>
            <w:hideMark/>
          </w:tcPr>
          <w:p w14:paraId="1C88472A" w14:textId="6E44C316" w:rsidR="003F0216" w:rsidRPr="00BC3A5E" w:rsidRDefault="003F0216" w:rsidP="00370D8E">
            <w:pPr>
              <w:jc w:val="left"/>
              <w:rPr>
                <w:rFonts w:ascii="Arial Narrow" w:hAnsi="Arial Narrow" w:cs="Times New Roman"/>
                <w:color w:val="000000"/>
                <w:sz w:val="20"/>
                <w:szCs w:val="20"/>
              </w:rPr>
            </w:pPr>
            <w:proofErr w:type="spellStart"/>
            <w:r w:rsidRPr="00BC3A5E">
              <w:rPr>
                <w:rFonts w:ascii="Arial Narrow" w:hAnsi="Arial Narrow" w:cs="Times New Roman"/>
                <w:color w:val="000000"/>
                <w:sz w:val="20"/>
                <w:szCs w:val="20"/>
              </w:rPr>
              <w:t>Finerenone</w:t>
            </w:r>
            <w:proofErr w:type="spellEnd"/>
            <w:r w:rsidRPr="00BC3A5E">
              <w:rPr>
                <w:rFonts w:ascii="Arial Narrow" w:hAnsi="Arial Narrow" w:cs="Times New Roman"/>
                <w:color w:val="000000"/>
                <w:sz w:val="20"/>
                <w:szCs w:val="20"/>
              </w:rPr>
              <w:t xml:space="preserve"> (</w:t>
            </w:r>
            <w:proofErr w:type="spellStart"/>
            <w:r w:rsidRPr="00BC3A5E">
              <w:rPr>
                <w:rFonts w:ascii="Arial Narrow" w:hAnsi="Arial Narrow" w:cs="Times New Roman"/>
                <w:color w:val="000000"/>
                <w:sz w:val="20"/>
                <w:szCs w:val="20"/>
              </w:rPr>
              <w:t>Kerendia</w:t>
            </w:r>
            <w:proofErr w:type="spellEnd"/>
            <w:r w:rsidR="00CA5E6E" w:rsidRPr="00BC3A5E">
              <w:rPr>
                <w:rFonts w:ascii="Arial Narrow" w:hAnsi="Arial Narrow" w:cs="Times New Roman"/>
                <w:color w:val="000000"/>
                <w:sz w:val="20"/>
                <w:szCs w:val="20"/>
                <w:vertAlign w:val="superscript"/>
              </w:rPr>
              <w:t>®</w:t>
            </w:r>
            <w:r w:rsidRPr="00BC3A5E">
              <w:rPr>
                <w:rFonts w:ascii="Arial Narrow" w:hAnsi="Arial Narrow" w:cs="Times New Roman"/>
                <w:color w:val="000000"/>
                <w:sz w:val="20"/>
                <w:szCs w:val="20"/>
              </w:rPr>
              <w:t>)</w:t>
            </w:r>
          </w:p>
        </w:tc>
        <w:tc>
          <w:tcPr>
            <w:tcW w:w="1320" w:type="dxa"/>
            <w:noWrap/>
            <w:vAlign w:val="bottom"/>
            <w:hideMark/>
          </w:tcPr>
          <w:p w14:paraId="331EC889" w14:textId="77777777"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CKD with Type 2 diabetes</w:t>
            </w:r>
          </w:p>
        </w:tc>
        <w:tc>
          <w:tcPr>
            <w:tcW w:w="960" w:type="dxa"/>
            <w:noWrap/>
            <w:vAlign w:val="bottom"/>
            <w:hideMark/>
          </w:tcPr>
          <w:p w14:paraId="3F00050A" w14:textId="77777777" w:rsidR="003F0216" w:rsidRPr="00BC3A5E" w:rsidRDefault="003F0216" w:rsidP="00370D8E">
            <w:pPr>
              <w:jc w:val="right"/>
              <w:rPr>
                <w:rFonts w:ascii="Arial Narrow" w:hAnsi="Arial Narrow" w:cs="Times New Roman"/>
                <w:color w:val="000000"/>
                <w:sz w:val="20"/>
                <w:szCs w:val="20"/>
              </w:rPr>
            </w:pPr>
            <w:r w:rsidRPr="00BC3A5E">
              <w:rPr>
                <w:rFonts w:ascii="Arial Narrow" w:hAnsi="Arial Narrow" w:cs="Times New Roman"/>
                <w:color w:val="000000"/>
                <w:sz w:val="20"/>
                <w:szCs w:val="20"/>
              </w:rPr>
              <w:t>Jul-22</w:t>
            </w:r>
          </w:p>
          <w:p w14:paraId="7ECE1F3B" w14:textId="77777777" w:rsidR="003F0216" w:rsidRPr="00BC3A5E" w:rsidRDefault="003F0216" w:rsidP="00370D8E">
            <w:pPr>
              <w:jc w:val="right"/>
              <w:rPr>
                <w:rFonts w:ascii="Arial Narrow" w:hAnsi="Arial Narrow" w:cs="Times New Roman"/>
                <w:color w:val="000000"/>
                <w:sz w:val="20"/>
                <w:szCs w:val="20"/>
              </w:rPr>
            </w:pPr>
            <w:r w:rsidRPr="00BC3A5E">
              <w:rPr>
                <w:rFonts w:ascii="Arial Narrow" w:hAnsi="Arial Narrow" w:cs="Times New Roman"/>
                <w:color w:val="000000"/>
                <w:sz w:val="20"/>
                <w:szCs w:val="20"/>
              </w:rPr>
              <w:t>Mar-23</w:t>
            </w:r>
          </w:p>
        </w:tc>
        <w:tc>
          <w:tcPr>
            <w:tcW w:w="3240" w:type="dxa"/>
            <w:noWrap/>
            <w:vAlign w:val="bottom"/>
            <w:hideMark/>
          </w:tcPr>
          <w:p w14:paraId="44910907" w14:textId="02E50002"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 xml:space="preserve">$5,000 </w:t>
            </w:r>
            <w:r w:rsidR="005B7098">
              <w:rPr>
                <w:rFonts w:ascii="Arial Narrow" w:hAnsi="Arial Narrow" w:cs="Times New Roman"/>
                <w:color w:val="000000"/>
                <w:sz w:val="20"/>
                <w:szCs w:val="20"/>
              </w:rPr>
              <w:t xml:space="preserve">to </w:t>
            </w:r>
            <w:r w:rsidR="00364110">
              <w:rPr>
                <w:rFonts w:ascii="Arial Narrow" w:hAnsi="Arial Narrow" w:cs="Times New Roman"/>
                <w:color w:val="000000"/>
                <w:sz w:val="20"/>
                <w:szCs w:val="20"/>
              </w:rPr>
              <w:t xml:space="preserve">&lt; </w:t>
            </w:r>
            <w:r w:rsidRPr="00BC3A5E">
              <w:rPr>
                <w:rFonts w:ascii="Arial Narrow" w:hAnsi="Arial Narrow" w:cs="Times New Roman"/>
                <w:color w:val="000000"/>
                <w:sz w:val="20"/>
                <w:szCs w:val="20"/>
              </w:rPr>
              <w:t>$15,000 per QALY</w:t>
            </w:r>
          </w:p>
        </w:tc>
        <w:tc>
          <w:tcPr>
            <w:tcW w:w="2182" w:type="dxa"/>
            <w:noWrap/>
            <w:vAlign w:val="bottom"/>
          </w:tcPr>
          <w:p w14:paraId="0B142F48" w14:textId="33559FAB"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 xml:space="preserve">$80 million to </w:t>
            </w:r>
            <w:r w:rsidR="00364110">
              <w:rPr>
                <w:rFonts w:ascii="Arial Narrow" w:hAnsi="Arial Narrow" w:cs="Times New Roman"/>
                <w:color w:val="000000"/>
                <w:sz w:val="20"/>
                <w:szCs w:val="20"/>
              </w:rPr>
              <w:t xml:space="preserve">&lt; </w:t>
            </w:r>
            <w:r w:rsidRPr="00BC3A5E">
              <w:rPr>
                <w:rFonts w:ascii="Arial Narrow" w:hAnsi="Arial Narrow" w:cs="Times New Roman"/>
                <w:color w:val="000000"/>
                <w:sz w:val="20"/>
                <w:szCs w:val="20"/>
              </w:rPr>
              <w:t>$90 million</w:t>
            </w:r>
          </w:p>
        </w:tc>
      </w:tr>
      <w:tr w:rsidR="003F0216" w:rsidRPr="00BC3A5E" w14:paraId="093FF18D" w14:textId="77777777" w:rsidTr="00322AE0">
        <w:trPr>
          <w:trHeight w:val="300"/>
        </w:trPr>
        <w:tc>
          <w:tcPr>
            <w:tcW w:w="1315" w:type="dxa"/>
            <w:noWrap/>
            <w:vAlign w:val="bottom"/>
            <w:hideMark/>
          </w:tcPr>
          <w:p w14:paraId="0245ADDF" w14:textId="2E000093"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Dapagliflozin (</w:t>
            </w:r>
            <w:proofErr w:type="spellStart"/>
            <w:r w:rsidRPr="00BC3A5E">
              <w:rPr>
                <w:rFonts w:ascii="Arial Narrow" w:hAnsi="Arial Narrow" w:cs="Times New Roman"/>
                <w:color w:val="000000"/>
                <w:sz w:val="20"/>
                <w:szCs w:val="20"/>
              </w:rPr>
              <w:t>Forxiga</w:t>
            </w:r>
            <w:proofErr w:type="spellEnd"/>
            <w:r w:rsidR="00CA5E6E" w:rsidRPr="00BC3A5E">
              <w:rPr>
                <w:rFonts w:ascii="Arial Narrow" w:hAnsi="Arial Narrow" w:cs="Times New Roman"/>
                <w:color w:val="000000"/>
                <w:sz w:val="20"/>
                <w:szCs w:val="20"/>
                <w:vertAlign w:val="superscript"/>
              </w:rPr>
              <w:t>®</w:t>
            </w:r>
            <w:r w:rsidRPr="00BC3A5E">
              <w:rPr>
                <w:rFonts w:ascii="Arial Narrow" w:hAnsi="Arial Narrow" w:cs="Times New Roman"/>
                <w:color w:val="000000"/>
                <w:sz w:val="20"/>
                <w:szCs w:val="20"/>
              </w:rPr>
              <w:t>)</w:t>
            </w:r>
          </w:p>
        </w:tc>
        <w:tc>
          <w:tcPr>
            <w:tcW w:w="1320" w:type="dxa"/>
            <w:noWrap/>
            <w:vAlign w:val="bottom"/>
            <w:hideMark/>
          </w:tcPr>
          <w:p w14:paraId="462BECFF" w14:textId="77777777"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CKD</w:t>
            </w:r>
          </w:p>
        </w:tc>
        <w:tc>
          <w:tcPr>
            <w:tcW w:w="960" w:type="dxa"/>
            <w:noWrap/>
            <w:vAlign w:val="bottom"/>
            <w:hideMark/>
          </w:tcPr>
          <w:p w14:paraId="1E2FDA31" w14:textId="77777777" w:rsidR="003F0216" w:rsidRPr="00BC3A5E" w:rsidRDefault="003F0216" w:rsidP="00370D8E">
            <w:pPr>
              <w:jc w:val="right"/>
              <w:rPr>
                <w:rFonts w:ascii="Arial Narrow" w:hAnsi="Arial Narrow" w:cs="Times New Roman"/>
                <w:color w:val="000000"/>
                <w:sz w:val="20"/>
                <w:szCs w:val="20"/>
              </w:rPr>
            </w:pPr>
            <w:r w:rsidRPr="00BC3A5E">
              <w:rPr>
                <w:rFonts w:ascii="Arial Narrow" w:hAnsi="Arial Narrow" w:cs="Times New Roman"/>
                <w:color w:val="000000"/>
                <w:sz w:val="20"/>
                <w:szCs w:val="20"/>
              </w:rPr>
              <w:t>Jul-21</w:t>
            </w:r>
          </w:p>
          <w:p w14:paraId="2CD25554" w14:textId="77777777" w:rsidR="003F0216" w:rsidRPr="00BC3A5E" w:rsidRDefault="003F0216" w:rsidP="00370D8E">
            <w:pPr>
              <w:jc w:val="right"/>
              <w:rPr>
                <w:rFonts w:ascii="Arial Narrow" w:hAnsi="Arial Narrow" w:cs="Times New Roman"/>
                <w:color w:val="000000"/>
                <w:sz w:val="20"/>
                <w:szCs w:val="20"/>
              </w:rPr>
            </w:pPr>
            <w:r w:rsidRPr="00BC3A5E">
              <w:rPr>
                <w:rFonts w:ascii="Arial Narrow" w:hAnsi="Arial Narrow" w:cs="Times New Roman"/>
                <w:color w:val="000000"/>
                <w:sz w:val="20"/>
                <w:szCs w:val="20"/>
              </w:rPr>
              <w:t>Sep-21</w:t>
            </w:r>
          </w:p>
          <w:p w14:paraId="1C2054F4" w14:textId="77777777" w:rsidR="003F0216" w:rsidRPr="00BC3A5E" w:rsidRDefault="003F0216" w:rsidP="00370D8E">
            <w:pPr>
              <w:jc w:val="right"/>
              <w:rPr>
                <w:rFonts w:ascii="Arial Narrow" w:hAnsi="Arial Narrow" w:cs="Times New Roman"/>
                <w:color w:val="000000"/>
                <w:sz w:val="20"/>
                <w:szCs w:val="20"/>
              </w:rPr>
            </w:pPr>
            <w:r w:rsidRPr="00BC3A5E">
              <w:rPr>
                <w:rFonts w:ascii="Arial Narrow" w:hAnsi="Arial Narrow" w:cs="Times New Roman"/>
                <w:color w:val="000000"/>
                <w:sz w:val="20"/>
                <w:szCs w:val="20"/>
              </w:rPr>
              <w:t>Nov-21</w:t>
            </w:r>
          </w:p>
          <w:p w14:paraId="1F67DB86" w14:textId="77777777" w:rsidR="003F0216" w:rsidRPr="00BC3A5E" w:rsidRDefault="003F0216" w:rsidP="00370D8E">
            <w:pPr>
              <w:jc w:val="right"/>
              <w:rPr>
                <w:rFonts w:ascii="Arial Narrow" w:hAnsi="Arial Narrow" w:cs="Times New Roman"/>
                <w:color w:val="000000"/>
                <w:sz w:val="20"/>
                <w:szCs w:val="20"/>
              </w:rPr>
            </w:pPr>
            <w:r w:rsidRPr="00BC3A5E">
              <w:rPr>
                <w:rFonts w:ascii="Arial Narrow" w:hAnsi="Arial Narrow" w:cs="Times New Roman"/>
                <w:color w:val="000000"/>
                <w:sz w:val="20"/>
                <w:szCs w:val="20"/>
              </w:rPr>
              <w:t>Mar-22</w:t>
            </w:r>
          </w:p>
        </w:tc>
        <w:tc>
          <w:tcPr>
            <w:tcW w:w="3240" w:type="dxa"/>
            <w:noWrap/>
            <w:vAlign w:val="bottom"/>
            <w:hideMark/>
          </w:tcPr>
          <w:p w14:paraId="6E5D7713" w14:textId="12FCB965"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Dapa</w:t>
            </w:r>
            <w:r w:rsidR="00136D5A" w:rsidRPr="00BC3A5E">
              <w:rPr>
                <w:rFonts w:ascii="Arial Narrow" w:hAnsi="Arial Narrow" w:cs="Times New Roman"/>
                <w:color w:val="000000"/>
                <w:sz w:val="20"/>
                <w:szCs w:val="20"/>
              </w:rPr>
              <w:t>glifloz</w:t>
            </w:r>
            <w:r w:rsidR="00CA5E6E" w:rsidRPr="00BC3A5E">
              <w:rPr>
                <w:rFonts w:ascii="Arial Narrow" w:hAnsi="Arial Narrow" w:cs="Times New Roman"/>
                <w:color w:val="000000"/>
                <w:sz w:val="20"/>
                <w:szCs w:val="20"/>
              </w:rPr>
              <w:t>i</w:t>
            </w:r>
            <w:r w:rsidR="00136D5A" w:rsidRPr="00BC3A5E">
              <w:rPr>
                <w:rFonts w:ascii="Arial Narrow" w:hAnsi="Arial Narrow" w:cs="Times New Roman"/>
                <w:color w:val="000000"/>
                <w:sz w:val="20"/>
                <w:szCs w:val="20"/>
              </w:rPr>
              <w:t>n</w:t>
            </w:r>
            <w:r w:rsidRPr="00BC3A5E">
              <w:rPr>
                <w:rFonts w:ascii="Arial Narrow" w:hAnsi="Arial Narrow" w:cs="Times New Roman"/>
                <w:color w:val="000000"/>
                <w:sz w:val="20"/>
                <w:szCs w:val="20"/>
              </w:rPr>
              <w:t xml:space="preserve"> dominant over SoC (uncertain)</w:t>
            </w:r>
          </w:p>
        </w:tc>
        <w:tc>
          <w:tcPr>
            <w:tcW w:w="2182" w:type="dxa"/>
            <w:noWrap/>
            <w:vAlign w:val="bottom"/>
            <w:hideMark/>
          </w:tcPr>
          <w:p w14:paraId="12ADF41D" w14:textId="54B2D00C"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 xml:space="preserve">$200 million to </w:t>
            </w:r>
            <w:r w:rsidR="00364110">
              <w:rPr>
                <w:rFonts w:ascii="Arial Narrow" w:hAnsi="Arial Narrow" w:cs="Times New Roman"/>
                <w:color w:val="000000"/>
                <w:sz w:val="20"/>
                <w:szCs w:val="20"/>
              </w:rPr>
              <w:t xml:space="preserve">&lt; </w:t>
            </w:r>
            <w:r w:rsidRPr="00BC3A5E">
              <w:rPr>
                <w:rFonts w:ascii="Arial Narrow" w:hAnsi="Arial Narrow" w:cs="Times New Roman"/>
                <w:color w:val="000000"/>
                <w:sz w:val="20"/>
                <w:szCs w:val="20"/>
              </w:rPr>
              <w:t>$600 million per year</w:t>
            </w:r>
          </w:p>
        </w:tc>
      </w:tr>
      <w:tr w:rsidR="003F0216" w:rsidRPr="00BC3A5E" w14:paraId="24228CA9" w14:textId="77777777" w:rsidTr="00322AE0">
        <w:trPr>
          <w:trHeight w:val="300"/>
        </w:trPr>
        <w:tc>
          <w:tcPr>
            <w:tcW w:w="1315" w:type="dxa"/>
            <w:noWrap/>
            <w:vAlign w:val="bottom"/>
            <w:hideMark/>
          </w:tcPr>
          <w:p w14:paraId="75225B2D" w14:textId="5122C8E4"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Empagliflozin (Jardiance</w:t>
            </w:r>
            <w:r w:rsidR="00CA5E6E" w:rsidRPr="00BC3A5E">
              <w:rPr>
                <w:rFonts w:ascii="Arial Narrow" w:hAnsi="Arial Narrow" w:cs="Times New Roman"/>
                <w:color w:val="000000"/>
                <w:sz w:val="20"/>
                <w:szCs w:val="20"/>
                <w:vertAlign w:val="superscript"/>
              </w:rPr>
              <w:t>®</w:t>
            </w:r>
            <w:r w:rsidRPr="00BC3A5E">
              <w:rPr>
                <w:rFonts w:ascii="Arial Narrow" w:hAnsi="Arial Narrow" w:cs="Times New Roman"/>
                <w:color w:val="000000"/>
                <w:sz w:val="20"/>
                <w:szCs w:val="20"/>
              </w:rPr>
              <w:t>)</w:t>
            </w:r>
          </w:p>
        </w:tc>
        <w:tc>
          <w:tcPr>
            <w:tcW w:w="1320" w:type="dxa"/>
            <w:noWrap/>
            <w:vAlign w:val="bottom"/>
            <w:hideMark/>
          </w:tcPr>
          <w:p w14:paraId="4210CCF3" w14:textId="77777777"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CKD</w:t>
            </w:r>
          </w:p>
        </w:tc>
        <w:tc>
          <w:tcPr>
            <w:tcW w:w="960" w:type="dxa"/>
            <w:noWrap/>
            <w:vAlign w:val="bottom"/>
            <w:hideMark/>
          </w:tcPr>
          <w:p w14:paraId="53499994" w14:textId="77777777" w:rsidR="003F0216" w:rsidRPr="00BC3A5E" w:rsidRDefault="003F0216" w:rsidP="00370D8E">
            <w:pPr>
              <w:jc w:val="right"/>
              <w:rPr>
                <w:rFonts w:ascii="Arial Narrow" w:hAnsi="Arial Narrow" w:cs="Times New Roman"/>
                <w:color w:val="000000"/>
                <w:sz w:val="20"/>
                <w:szCs w:val="20"/>
              </w:rPr>
            </w:pPr>
            <w:r w:rsidRPr="00BC3A5E">
              <w:rPr>
                <w:rFonts w:ascii="Arial Narrow" w:hAnsi="Arial Narrow" w:cs="Times New Roman"/>
                <w:color w:val="000000"/>
                <w:sz w:val="20"/>
                <w:szCs w:val="20"/>
              </w:rPr>
              <w:t>Nov-23</w:t>
            </w:r>
          </w:p>
          <w:p w14:paraId="19936D02" w14:textId="26035D2B" w:rsidR="00AA7C05" w:rsidRPr="00BC3A5E" w:rsidRDefault="00AA7C05" w:rsidP="00370D8E">
            <w:pPr>
              <w:jc w:val="right"/>
              <w:rPr>
                <w:rFonts w:ascii="Arial Narrow" w:hAnsi="Arial Narrow" w:cs="Times New Roman"/>
                <w:color w:val="000000"/>
                <w:sz w:val="20"/>
                <w:szCs w:val="20"/>
              </w:rPr>
            </w:pPr>
            <w:r w:rsidRPr="00BC3A5E">
              <w:rPr>
                <w:rFonts w:ascii="Arial Narrow" w:hAnsi="Arial Narrow" w:cs="Times New Roman"/>
                <w:color w:val="000000"/>
                <w:sz w:val="20"/>
                <w:szCs w:val="20"/>
              </w:rPr>
              <w:t>May-25</w:t>
            </w:r>
          </w:p>
        </w:tc>
        <w:tc>
          <w:tcPr>
            <w:tcW w:w="3240" w:type="dxa"/>
            <w:noWrap/>
            <w:vAlign w:val="bottom"/>
            <w:hideMark/>
          </w:tcPr>
          <w:p w14:paraId="09186DEC" w14:textId="77777777"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Cost-minimisation vs dapagliflozin</w:t>
            </w:r>
          </w:p>
          <w:p w14:paraId="47C99A53" w14:textId="4F311D83" w:rsidR="00AA7C05" w:rsidRPr="00BC3A5E" w:rsidRDefault="00AA7C05"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5,000 to </w:t>
            </w:r>
            <w:r w:rsidR="00364110">
              <w:rPr>
                <w:rFonts w:ascii="Arial Narrow" w:hAnsi="Arial Narrow" w:cs="Times New Roman"/>
                <w:color w:val="000000"/>
                <w:sz w:val="20"/>
                <w:szCs w:val="20"/>
              </w:rPr>
              <w:t xml:space="preserve">&lt; </w:t>
            </w:r>
            <w:r w:rsidRPr="00BC3A5E">
              <w:rPr>
                <w:rFonts w:ascii="Arial Narrow" w:hAnsi="Arial Narrow" w:cs="Times New Roman"/>
                <w:color w:val="000000"/>
                <w:sz w:val="20"/>
                <w:szCs w:val="20"/>
              </w:rPr>
              <w:t>$15,000 per QALY</w:t>
            </w:r>
          </w:p>
        </w:tc>
        <w:tc>
          <w:tcPr>
            <w:tcW w:w="2182" w:type="dxa"/>
            <w:noWrap/>
            <w:vAlign w:val="bottom"/>
            <w:hideMark/>
          </w:tcPr>
          <w:p w14:paraId="3B4FEDAD" w14:textId="77777777"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NA</w:t>
            </w:r>
          </w:p>
          <w:p w14:paraId="6AE552DA" w14:textId="599253BD" w:rsidR="00AA7C05" w:rsidRPr="00BC3A5E" w:rsidRDefault="00AA7C05"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$200 million to </w:t>
            </w:r>
            <w:r w:rsidR="00364110">
              <w:rPr>
                <w:rFonts w:ascii="Arial Narrow" w:hAnsi="Arial Narrow" w:cs="Times New Roman"/>
                <w:color w:val="000000"/>
                <w:sz w:val="20"/>
                <w:szCs w:val="20"/>
              </w:rPr>
              <w:t xml:space="preserve">&lt; </w:t>
            </w:r>
            <w:r w:rsidRPr="00BC3A5E">
              <w:rPr>
                <w:rFonts w:ascii="Arial Narrow" w:hAnsi="Arial Narrow" w:cs="Times New Roman"/>
                <w:color w:val="000000"/>
                <w:sz w:val="20"/>
                <w:szCs w:val="20"/>
              </w:rPr>
              <w:t>$300 </w:t>
            </w:r>
          </w:p>
          <w:p w14:paraId="1C324FA0" w14:textId="7356FAED" w:rsidR="00AA7C05" w:rsidRPr="00BC3A5E" w:rsidRDefault="00AA7C05"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million in the first six years of listing</w:t>
            </w:r>
          </w:p>
        </w:tc>
      </w:tr>
      <w:tr w:rsidR="003F0216" w:rsidRPr="00BC3A5E" w14:paraId="6B8D179F" w14:textId="77777777" w:rsidTr="00322AE0">
        <w:trPr>
          <w:trHeight w:val="300"/>
        </w:trPr>
        <w:tc>
          <w:tcPr>
            <w:tcW w:w="1315" w:type="dxa"/>
            <w:noWrap/>
            <w:vAlign w:val="bottom"/>
          </w:tcPr>
          <w:p w14:paraId="5C7AECAF" w14:textId="77777777" w:rsidR="003F0216" w:rsidRPr="00BC3A5E" w:rsidRDefault="003F0216" w:rsidP="00370D8E">
            <w:pPr>
              <w:jc w:val="left"/>
              <w:rPr>
                <w:rFonts w:ascii="Arial Narrow" w:hAnsi="Arial Narrow" w:cs="Times New Roman"/>
                <w:color w:val="000000"/>
                <w:sz w:val="20"/>
                <w:szCs w:val="20"/>
              </w:rPr>
            </w:pPr>
            <w:proofErr w:type="spellStart"/>
            <w:r w:rsidRPr="00BC3A5E">
              <w:rPr>
                <w:rFonts w:ascii="Arial Narrow" w:hAnsi="Arial Narrow" w:cs="Times New Roman"/>
                <w:color w:val="000000"/>
                <w:sz w:val="20"/>
                <w:szCs w:val="20"/>
              </w:rPr>
              <w:t>Lumisiran</w:t>
            </w:r>
            <w:proofErr w:type="spellEnd"/>
          </w:p>
          <w:p w14:paraId="72D6E5BD" w14:textId="3E81A33A"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w:t>
            </w:r>
            <w:proofErr w:type="spellStart"/>
            <w:r w:rsidRPr="00BC3A5E">
              <w:rPr>
                <w:rFonts w:ascii="Arial Narrow" w:hAnsi="Arial Narrow" w:cs="Times New Roman"/>
                <w:color w:val="000000"/>
                <w:sz w:val="20"/>
                <w:szCs w:val="20"/>
              </w:rPr>
              <w:t>Oxlumo</w:t>
            </w:r>
            <w:proofErr w:type="spellEnd"/>
            <w:r w:rsidR="00CA5E6E" w:rsidRPr="00BC3A5E">
              <w:rPr>
                <w:rFonts w:ascii="Arial Narrow" w:hAnsi="Arial Narrow" w:cs="Times New Roman"/>
                <w:color w:val="000000"/>
                <w:sz w:val="20"/>
                <w:szCs w:val="20"/>
                <w:vertAlign w:val="superscript"/>
              </w:rPr>
              <w:t>®</w:t>
            </w:r>
            <w:r w:rsidRPr="00BC3A5E">
              <w:rPr>
                <w:rFonts w:ascii="Arial Narrow" w:hAnsi="Arial Narrow" w:cs="Times New Roman"/>
                <w:color w:val="000000"/>
                <w:sz w:val="20"/>
                <w:szCs w:val="20"/>
              </w:rPr>
              <w:t>)</w:t>
            </w:r>
          </w:p>
        </w:tc>
        <w:tc>
          <w:tcPr>
            <w:tcW w:w="1320" w:type="dxa"/>
            <w:noWrap/>
            <w:vAlign w:val="bottom"/>
          </w:tcPr>
          <w:p w14:paraId="393880A4" w14:textId="77777777"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PH1</w:t>
            </w:r>
          </w:p>
        </w:tc>
        <w:tc>
          <w:tcPr>
            <w:tcW w:w="960" w:type="dxa"/>
            <w:noWrap/>
            <w:vAlign w:val="bottom"/>
          </w:tcPr>
          <w:p w14:paraId="47ABEC85" w14:textId="77777777" w:rsidR="003F0216" w:rsidRPr="00BC3A5E" w:rsidRDefault="003F0216" w:rsidP="00370D8E">
            <w:pPr>
              <w:jc w:val="right"/>
              <w:rPr>
                <w:rFonts w:ascii="Arial Narrow" w:hAnsi="Arial Narrow" w:cs="Times New Roman"/>
                <w:color w:val="000000"/>
                <w:sz w:val="20"/>
                <w:szCs w:val="20"/>
              </w:rPr>
            </w:pPr>
            <w:r w:rsidRPr="00BC3A5E">
              <w:rPr>
                <w:rFonts w:ascii="Arial Narrow" w:hAnsi="Arial Narrow" w:cs="Times New Roman"/>
                <w:color w:val="000000"/>
                <w:sz w:val="20"/>
                <w:szCs w:val="20"/>
              </w:rPr>
              <w:t>Mar-25</w:t>
            </w:r>
          </w:p>
        </w:tc>
        <w:tc>
          <w:tcPr>
            <w:tcW w:w="3240" w:type="dxa"/>
            <w:noWrap/>
            <w:vAlign w:val="bottom"/>
          </w:tcPr>
          <w:p w14:paraId="299D7519" w14:textId="5DEF655C"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 xml:space="preserve">$455,000 to </w:t>
            </w:r>
            <w:r w:rsidR="00364110">
              <w:rPr>
                <w:rFonts w:ascii="Arial Narrow" w:hAnsi="Arial Narrow" w:cs="Times New Roman"/>
                <w:color w:val="000000"/>
                <w:sz w:val="20"/>
                <w:szCs w:val="20"/>
              </w:rPr>
              <w:t xml:space="preserve">&lt; </w:t>
            </w:r>
            <w:r w:rsidRPr="00BC3A5E">
              <w:rPr>
                <w:rFonts w:ascii="Arial Narrow" w:hAnsi="Arial Narrow" w:cs="Times New Roman"/>
                <w:color w:val="000000"/>
                <w:sz w:val="20"/>
                <w:szCs w:val="20"/>
              </w:rPr>
              <w:t>$555,000 per QALY gained</w:t>
            </w:r>
            <w:r w:rsidR="00322AE0" w:rsidRPr="00BC3A5E">
              <w:rPr>
                <w:rFonts w:ascii="Arial Narrow" w:hAnsi="Arial Narrow" w:cs="Times New Roman"/>
                <w:color w:val="000000"/>
                <w:sz w:val="20"/>
                <w:szCs w:val="20"/>
              </w:rPr>
              <w:t xml:space="preserve"> -</w:t>
            </w:r>
            <w:r w:rsidR="009647B2" w:rsidRPr="00BC3A5E">
              <w:rPr>
                <w:rFonts w:ascii="Arial Narrow" w:hAnsi="Arial Narrow" w:cs="Times New Roman"/>
                <w:color w:val="000000"/>
                <w:sz w:val="20"/>
                <w:szCs w:val="20"/>
              </w:rPr>
              <w:t xml:space="preserve"> </w:t>
            </w:r>
            <w:r w:rsidRPr="00BC3A5E">
              <w:rPr>
                <w:rFonts w:ascii="Arial Narrow" w:hAnsi="Arial Narrow" w:cs="Times New Roman"/>
                <w:color w:val="000000"/>
                <w:sz w:val="20"/>
                <w:szCs w:val="20"/>
              </w:rPr>
              <w:t>PBAC recommended a cost per patient</w:t>
            </w:r>
          </w:p>
        </w:tc>
        <w:tc>
          <w:tcPr>
            <w:tcW w:w="2182" w:type="dxa"/>
            <w:noWrap/>
            <w:vAlign w:val="bottom"/>
          </w:tcPr>
          <w:p w14:paraId="18A1FE33" w14:textId="2CEED14F"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$10</w:t>
            </w:r>
            <w:r w:rsidR="00322AE0" w:rsidRPr="00BC3A5E">
              <w:rPr>
                <w:rFonts w:ascii="Arial Narrow" w:hAnsi="Arial Narrow" w:cs="Times New Roman"/>
                <w:color w:val="000000"/>
                <w:sz w:val="20"/>
                <w:szCs w:val="20"/>
              </w:rPr>
              <w:t xml:space="preserve"> </w:t>
            </w:r>
            <w:r w:rsidRPr="00BC3A5E">
              <w:rPr>
                <w:rFonts w:ascii="Arial Narrow" w:hAnsi="Arial Narrow" w:cs="Times New Roman"/>
                <w:color w:val="000000"/>
                <w:sz w:val="20"/>
                <w:szCs w:val="20"/>
              </w:rPr>
              <w:t>-</w:t>
            </w:r>
            <w:r w:rsidR="00322AE0" w:rsidRPr="00BC3A5E">
              <w:rPr>
                <w:rFonts w:ascii="Arial Narrow" w:hAnsi="Arial Narrow" w:cs="Times New Roman"/>
                <w:color w:val="000000"/>
                <w:sz w:val="20"/>
                <w:szCs w:val="20"/>
              </w:rPr>
              <w:t xml:space="preserve"> </w:t>
            </w:r>
            <w:r w:rsidRPr="00BC3A5E">
              <w:rPr>
                <w:rFonts w:ascii="Arial Narrow" w:hAnsi="Arial Narrow" w:cs="Times New Roman"/>
                <w:color w:val="000000"/>
                <w:sz w:val="20"/>
                <w:szCs w:val="20"/>
              </w:rPr>
              <w:t>$20M per year</w:t>
            </w:r>
          </w:p>
        </w:tc>
      </w:tr>
      <w:tr w:rsidR="003F0216" w:rsidRPr="00BC3A5E" w14:paraId="492A0F52" w14:textId="77777777" w:rsidTr="00322AE0">
        <w:trPr>
          <w:trHeight w:val="300"/>
        </w:trPr>
        <w:tc>
          <w:tcPr>
            <w:tcW w:w="1315" w:type="dxa"/>
            <w:noWrap/>
            <w:vAlign w:val="bottom"/>
          </w:tcPr>
          <w:p w14:paraId="1ED03230" w14:textId="77777777"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Tolvaptan</w:t>
            </w:r>
          </w:p>
          <w:p w14:paraId="342225FE" w14:textId="0E5FBE17"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w:t>
            </w:r>
            <w:proofErr w:type="spellStart"/>
            <w:r w:rsidRPr="00BC3A5E">
              <w:rPr>
                <w:rFonts w:ascii="Arial Narrow" w:hAnsi="Arial Narrow" w:cs="Times New Roman"/>
                <w:color w:val="000000"/>
                <w:sz w:val="20"/>
                <w:szCs w:val="20"/>
              </w:rPr>
              <w:t>Jinarc</w:t>
            </w:r>
            <w:proofErr w:type="spellEnd"/>
            <w:r w:rsidR="00CA5E6E" w:rsidRPr="00BC3A5E">
              <w:rPr>
                <w:rFonts w:ascii="Arial Narrow" w:hAnsi="Arial Narrow" w:cs="Times New Roman"/>
                <w:color w:val="000000"/>
                <w:sz w:val="20"/>
                <w:szCs w:val="20"/>
                <w:vertAlign w:val="superscript"/>
              </w:rPr>
              <w:t>®</w:t>
            </w:r>
            <w:r w:rsidRPr="00BC3A5E">
              <w:rPr>
                <w:rFonts w:ascii="Arial Narrow" w:hAnsi="Arial Narrow" w:cs="Times New Roman"/>
                <w:color w:val="000000"/>
                <w:sz w:val="20"/>
                <w:szCs w:val="20"/>
              </w:rPr>
              <w:t>)</w:t>
            </w:r>
          </w:p>
        </w:tc>
        <w:tc>
          <w:tcPr>
            <w:tcW w:w="1320" w:type="dxa"/>
            <w:noWrap/>
            <w:vAlign w:val="bottom"/>
          </w:tcPr>
          <w:p w14:paraId="1D1850DA" w14:textId="77777777"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ADPKD</w:t>
            </w:r>
          </w:p>
        </w:tc>
        <w:tc>
          <w:tcPr>
            <w:tcW w:w="960" w:type="dxa"/>
            <w:noWrap/>
            <w:vAlign w:val="bottom"/>
          </w:tcPr>
          <w:p w14:paraId="48E26AED" w14:textId="77777777" w:rsidR="003F0216" w:rsidRPr="00BC3A5E" w:rsidRDefault="003F0216" w:rsidP="00370D8E">
            <w:pPr>
              <w:jc w:val="right"/>
              <w:rPr>
                <w:rFonts w:ascii="Arial Narrow" w:hAnsi="Arial Narrow" w:cs="Times New Roman"/>
                <w:color w:val="000000"/>
                <w:sz w:val="20"/>
                <w:szCs w:val="20"/>
              </w:rPr>
            </w:pPr>
            <w:r w:rsidRPr="00BC3A5E">
              <w:rPr>
                <w:rFonts w:ascii="Arial Narrow" w:hAnsi="Arial Narrow" w:cs="Times New Roman"/>
                <w:color w:val="000000"/>
                <w:sz w:val="20"/>
                <w:szCs w:val="20"/>
              </w:rPr>
              <w:t>Mar-18</w:t>
            </w:r>
          </w:p>
          <w:p w14:paraId="312CD4A0" w14:textId="77777777" w:rsidR="003F0216" w:rsidRPr="00BC3A5E" w:rsidRDefault="003F0216" w:rsidP="00370D8E">
            <w:pPr>
              <w:jc w:val="right"/>
              <w:rPr>
                <w:rFonts w:ascii="Arial Narrow" w:hAnsi="Arial Narrow" w:cs="Times New Roman"/>
                <w:color w:val="000000"/>
                <w:sz w:val="20"/>
                <w:szCs w:val="20"/>
              </w:rPr>
            </w:pPr>
            <w:r w:rsidRPr="00BC3A5E">
              <w:rPr>
                <w:rFonts w:ascii="Arial Narrow" w:hAnsi="Arial Narrow" w:cs="Times New Roman"/>
                <w:color w:val="000000"/>
                <w:sz w:val="20"/>
                <w:szCs w:val="20"/>
              </w:rPr>
              <w:t>Jul-18</w:t>
            </w:r>
          </w:p>
        </w:tc>
        <w:tc>
          <w:tcPr>
            <w:tcW w:w="3240" w:type="dxa"/>
            <w:noWrap/>
            <w:vAlign w:val="bottom"/>
          </w:tcPr>
          <w:p w14:paraId="1FE5BF64" w14:textId="77777777"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$15,000/QALY - $45,000/QALY (TEMPO 3:4 population)</w:t>
            </w:r>
          </w:p>
          <w:p w14:paraId="4BEC1AD2" w14:textId="77777777"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Dominant (REPRISE population)</w:t>
            </w:r>
          </w:p>
        </w:tc>
        <w:tc>
          <w:tcPr>
            <w:tcW w:w="2182" w:type="dxa"/>
            <w:noWrap/>
            <w:vAlign w:val="bottom"/>
          </w:tcPr>
          <w:p w14:paraId="3BCDCCAC" w14:textId="77777777" w:rsidR="003F0216" w:rsidRPr="00BC3A5E" w:rsidRDefault="003F0216" w:rsidP="00370D8E">
            <w:pPr>
              <w:jc w:val="left"/>
              <w:rPr>
                <w:rFonts w:ascii="Arial Narrow" w:hAnsi="Arial Narrow" w:cs="Times New Roman"/>
                <w:color w:val="000000"/>
                <w:sz w:val="20"/>
                <w:szCs w:val="20"/>
              </w:rPr>
            </w:pPr>
            <w:r w:rsidRPr="00BC3A5E">
              <w:rPr>
                <w:rFonts w:ascii="Arial Narrow" w:hAnsi="Arial Narrow" w:cs="Times New Roman"/>
                <w:color w:val="000000"/>
                <w:sz w:val="20"/>
                <w:szCs w:val="20"/>
              </w:rPr>
              <w:t>$30 - $60 million over the first 6 years</w:t>
            </w:r>
          </w:p>
        </w:tc>
      </w:tr>
    </w:tbl>
    <w:p w14:paraId="70811D41" w14:textId="50D5CF76" w:rsidR="00017BB3" w:rsidRPr="00BC3A5E" w:rsidRDefault="00017BB3" w:rsidP="00370D8E">
      <w:pPr>
        <w:rPr>
          <w:rFonts w:ascii="Arial Narrow" w:hAnsi="Arial Narrow"/>
          <w:sz w:val="20"/>
          <w:szCs w:val="20"/>
        </w:rPr>
      </w:pPr>
      <w:r w:rsidRPr="00BC3A5E">
        <w:rPr>
          <w:rFonts w:ascii="Arial Narrow" w:hAnsi="Arial Narrow"/>
          <w:sz w:val="20"/>
          <w:szCs w:val="20"/>
        </w:rPr>
        <w:t xml:space="preserve">Source: </w:t>
      </w:r>
      <w:hyperlink r:id="rId19" w:history="1">
        <w:r w:rsidRPr="00BC3A5E">
          <w:rPr>
            <w:rFonts w:ascii="Arial Narrow" w:hAnsi="Arial Narrow"/>
            <w:sz w:val="20"/>
            <w:szCs w:val="20"/>
          </w:rPr>
          <w:t>finerenone-psd-july-2022</w:t>
        </w:r>
      </w:hyperlink>
      <w:r w:rsidRPr="00BC3A5E">
        <w:rPr>
          <w:rFonts w:ascii="Arial Narrow" w:hAnsi="Arial Narrow"/>
          <w:sz w:val="20"/>
          <w:szCs w:val="20"/>
        </w:rPr>
        <w:t xml:space="preserve">, </w:t>
      </w:r>
      <w:hyperlink r:id="rId20" w:history="1">
        <w:r w:rsidRPr="00BC3A5E">
          <w:rPr>
            <w:rFonts w:ascii="Arial Narrow" w:hAnsi="Arial Narrow"/>
            <w:sz w:val="20"/>
            <w:szCs w:val="20"/>
          </w:rPr>
          <w:t>finerenone-psd-03-2023</w:t>
        </w:r>
      </w:hyperlink>
      <w:r w:rsidRPr="00BC3A5E">
        <w:rPr>
          <w:rFonts w:ascii="Arial Narrow" w:hAnsi="Arial Narrow"/>
          <w:sz w:val="20"/>
          <w:szCs w:val="20"/>
        </w:rPr>
        <w:t xml:space="preserve">, </w:t>
      </w:r>
      <w:hyperlink r:id="rId21" w:history="1">
        <w:r w:rsidRPr="00BC3A5E">
          <w:rPr>
            <w:rFonts w:ascii="Arial Narrow" w:hAnsi="Arial Narrow"/>
            <w:sz w:val="20"/>
            <w:szCs w:val="20"/>
          </w:rPr>
          <w:t>dapagliflozin-ckd-psd-nov-2021</w:t>
        </w:r>
      </w:hyperlink>
      <w:r w:rsidRPr="00BC3A5E">
        <w:rPr>
          <w:rFonts w:ascii="Arial Narrow" w:hAnsi="Arial Narrow"/>
          <w:sz w:val="20"/>
          <w:szCs w:val="20"/>
        </w:rPr>
        <w:t xml:space="preserve">, </w:t>
      </w:r>
      <w:hyperlink r:id="rId22" w:history="1">
        <w:r w:rsidRPr="00BC3A5E">
          <w:rPr>
            <w:rFonts w:ascii="Arial Narrow" w:hAnsi="Arial Narrow"/>
            <w:sz w:val="20"/>
            <w:szCs w:val="20"/>
          </w:rPr>
          <w:t>dapagliflozin-psd-march-2022</w:t>
        </w:r>
      </w:hyperlink>
      <w:r w:rsidRPr="00BC3A5E">
        <w:rPr>
          <w:rFonts w:ascii="Arial Narrow" w:hAnsi="Arial Narrow"/>
          <w:sz w:val="20"/>
          <w:szCs w:val="20"/>
        </w:rPr>
        <w:t xml:space="preserve">, </w:t>
      </w:r>
      <w:hyperlink r:id="rId23" w:history="1">
        <w:r w:rsidRPr="00BC3A5E">
          <w:rPr>
            <w:rFonts w:ascii="Arial Narrow" w:hAnsi="Arial Narrow"/>
            <w:sz w:val="20"/>
            <w:szCs w:val="20"/>
          </w:rPr>
          <w:t>empagliflozin-psd-nov-2023</w:t>
        </w:r>
      </w:hyperlink>
      <w:r w:rsidRPr="00BC3A5E">
        <w:rPr>
          <w:rFonts w:ascii="Arial Narrow" w:hAnsi="Arial Narrow"/>
          <w:sz w:val="20"/>
          <w:szCs w:val="20"/>
        </w:rPr>
        <w:t xml:space="preserve">, </w:t>
      </w:r>
      <w:hyperlink r:id="rId24" w:history="1">
        <w:r w:rsidRPr="00BC3A5E">
          <w:rPr>
            <w:rFonts w:ascii="Arial Narrow" w:hAnsi="Arial Narrow"/>
            <w:sz w:val="20"/>
            <w:szCs w:val="20"/>
          </w:rPr>
          <w:t>lumasiran-psd-march-2025</w:t>
        </w:r>
      </w:hyperlink>
      <w:r w:rsidRPr="00BC3A5E">
        <w:rPr>
          <w:rFonts w:ascii="Arial Narrow" w:hAnsi="Arial Narrow"/>
          <w:sz w:val="20"/>
          <w:szCs w:val="20"/>
        </w:rPr>
        <w:t xml:space="preserve">, </w:t>
      </w:r>
      <w:hyperlink r:id="rId25" w:history="1">
        <w:r w:rsidRPr="00BC3A5E">
          <w:rPr>
            <w:rFonts w:ascii="Arial Narrow" w:hAnsi="Arial Narrow"/>
            <w:sz w:val="20"/>
            <w:szCs w:val="20"/>
          </w:rPr>
          <w:t>tolvaptan-psd-july-2018</w:t>
        </w:r>
      </w:hyperlink>
    </w:p>
    <w:p w14:paraId="2AD85B9C" w14:textId="77777777" w:rsidR="003F0216" w:rsidRPr="00BC3A5E" w:rsidRDefault="003F0216" w:rsidP="00370D8E">
      <w:pPr>
        <w:rPr>
          <w:rFonts w:ascii="Arial Narrow" w:hAnsi="Arial Narrow"/>
          <w:sz w:val="20"/>
          <w:szCs w:val="20"/>
        </w:rPr>
      </w:pPr>
      <w:r w:rsidRPr="00BC3A5E">
        <w:rPr>
          <w:rFonts w:ascii="Arial Narrow" w:hAnsi="Arial Narrow"/>
          <w:sz w:val="20"/>
          <w:szCs w:val="20"/>
        </w:rPr>
        <w:t>ADPKD, autosomal-dominant polycystic kidney disease; CKD, chronic kidney disease; PH1, primary hyperoxaluria type 1; QALY, quality-adjusted life years</w:t>
      </w:r>
    </w:p>
    <w:p w14:paraId="54DFDAC3" w14:textId="77777777" w:rsidR="003F0216" w:rsidRPr="00857517" w:rsidRDefault="003F0216" w:rsidP="00370D8E">
      <w:pPr>
        <w:jc w:val="left"/>
        <w:rPr>
          <w:rFonts w:ascii="Arial Narrow" w:hAnsi="Arial Narrow" w:cs="Times New Roman"/>
          <w:color w:val="000000"/>
          <w:sz w:val="20"/>
          <w:szCs w:val="20"/>
        </w:rPr>
      </w:pPr>
    </w:p>
    <w:p w14:paraId="14885DE6" w14:textId="7B642E48" w:rsidR="007709AA" w:rsidRPr="00AC7830" w:rsidRDefault="007709AA" w:rsidP="00370D8E">
      <w:pPr>
        <w:pStyle w:val="COMESnumberedpara"/>
      </w:pPr>
      <w:r w:rsidRPr="00AC7830">
        <w:t xml:space="preserve">The </w:t>
      </w:r>
      <w:r w:rsidR="008E0B39">
        <w:t xml:space="preserve">evaluation and the ESC considered the </w:t>
      </w:r>
      <w:r w:rsidRPr="00AC7830">
        <w:t xml:space="preserve">cost-effectiveness estimate should not be considered reliable as the model was built around a difference in eGFR decline between treatment arms which was not supported by the </w:t>
      </w:r>
      <w:r w:rsidR="001A4D68" w:rsidRPr="00AC7830">
        <w:t>APPEAR-C3G</w:t>
      </w:r>
      <w:r w:rsidRPr="00AC7830">
        <w:t xml:space="preserve"> trial, the structure of the model did not reflect the underlying relapsing-remitting pattern of disease, and the utility values used in the model appeared extremely low for health states in which modelled patients spend prolonged periods of time (particularly dialysis and graft failure).</w:t>
      </w:r>
    </w:p>
    <w:p w14:paraId="4E870989" w14:textId="08D87849" w:rsidR="007709AA" w:rsidRPr="00B91EBC" w:rsidRDefault="007709AA" w:rsidP="00370D8E">
      <w:pPr>
        <w:pStyle w:val="COMESnumberedpara"/>
      </w:pPr>
      <w:r w:rsidRPr="00B91EBC">
        <w:t>The results of key sensitivity analyses presented in the submission</w:t>
      </w:r>
      <w:r w:rsidRPr="002B222D">
        <w:t xml:space="preserve"> and conducted during the evaluation </w:t>
      </w:r>
      <w:r w:rsidRPr="00B91EBC">
        <w:t xml:space="preserve">are summarised in </w:t>
      </w:r>
      <w:r w:rsidR="00580C93">
        <w:fldChar w:fldCharType="begin"/>
      </w:r>
      <w:r w:rsidR="00580C93">
        <w:instrText xml:space="preserve"> REF _Ref208238064 \h </w:instrText>
      </w:r>
      <w:r w:rsidR="00A150A3">
        <w:instrText xml:space="preserve"> \* MERGEFORMAT </w:instrText>
      </w:r>
      <w:r w:rsidR="00580C93">
        <w:fldChar w:fldCharType="separate"/>
      </w:r>
      <w:r w:rsidR="00CC1313" w:rsidRPr="00CC1313">
        <w:t>Table 13</w:t>
      </w:r>
      <w:r w:rsidR="00580C93">
        <w:fldChar w:fldCharType="end"/>
      </w:r>
      <w:r w:rsidRPr="00B91EBC">
        <w:t>.</w:t>
      </w:r>
    </w:p>
    <w:p w14:paraId="1C3A8E07" w14:textId="32CE3E8E" w:rsidR="00580C93" w:rsidRPr="00580C93" w:rsidRDefault="00580C93" w:rsidP="00370D8E">
      <w:pPr>
        <w:pStyle w:val="COMTableFigurecaption"/>
        <w:rPr>
          <w:rStyle w:val="CommentReference"/>
          <w:sz w:val="20"/>
          <w:szCs w:val="24"/>
        </w:rPr>
      </w:pPr>
      <w:bookmarkStart w:id="46" w:name="_Ref208238064"/>
      <w:r w:rsidRPr="00580C93">
        <w:rPr>
          <w:rStyle w:val="CommentReference"/>
          <w:sz w:val="20"/>
          <w:szCs w:val="24"/>
        </w:rPr>
        <w:lastRenderedPageBreak/>
        <w:t xml:space="preserve">Table </w:t>
      </w:r>
      <w:r w:rsidRPr="00580C93">
        <w:rPr>
          <w:rStyle w:val="CommentReference"/>
          <w:sz w:val="20"/>
          <w:szCs w:val="24"/>
        </w:rPr>
        <w:fldChar w:fldCharType="begin"/>
      </w:r>
      <w:r w:rsidRPr="00580C93">
        <w:rPr>
          <w:rStyle w:val="CommentReference"/>
          <w:sz w:val="20"/>
          <w:szCs w:val="24"/>
        </w:rPr>
        <w:instrText xml:space="preserve"> SEQ Table \* ARABIC </w:instrText>
      </w:r>
      <w:r w:rsidRPr="00580C93">
        <w:rPr>
          <w:rStyle w:val="CommentReference"/>
          <w:sz w:val="20"/>
          <w:szCs w:val="24"/>
        </w:rPr>
        <w:fldChar w:fldCharType="separate"/>
      </w:r>
      <w:r w:rsidR="00CC1313">
        <w:rPr>
          <w:rStyle w:val="CommentReference"/>
          <w:noProof/>
          <w:sz w:val="20"/>
          <w:szCs w:val="24"/>
        </w:rPr>
        <w:t>13</w:t>
      </w:r>
      <w:r w:rsidRPr="00580C93">
        <w:rPr>
          <w:rStyle w:val="CommentReference"/>
          <w:sz w:val="20"/>
          <w:szCs w:val="24"/>
        </w:rPr>
        <w:fldChar w:fldCharType="end"/>
      </w:r>
      <w:bookmarkEnd w:id="46"/>
      <w:r w:rsidRPr="00580C93">
        <w:rPr>
          <w:rStyle w:val="CommentReference"/>
          <w:sz w:val="20"/>
          <w:szCs w:val="24"/>
        </w:rPr>
        <w:t xml:space="preserve">: </w:t>
      </w:r>
      <w:r w:rsidRPr="00AE036F">
        <w:rPr>
          <w:rStyle w:val="CommentReference"/>
          <w:sz w:val="20"/>
          <w:szCs w:val="24"/>
        </w:rPr>
        <w:t>Results of key sensitivity analyses</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3: Results of key sensitivity analyses"/>
      </w:tblPr>
      <w:tblGrid>
        <w:gridCol w:w="4323"/>
        <w:gridCol w:w="1174"/>
        <w:gridCol w:w="1174"/>
        <w:gridCol w:w="1172"/>
        <w:gridCol w:w="1186"/>
      </w:tblGrid>
      <w:tr w:rsidR="007709AA" w:rsidRPr="00AC7830" w14:paraId="69A24F7E" w14:textId="77777777">
        <w:trPr>
          <w:tblHeader/>
        </w:trPr>
        <w:tc>
          <w:tcPr>
            <w:tcW w:w="4323" w:type="dxa"/>
            <w:tcMar>
              <w:top w:w="0" w:type="dxa"/>
              <w:left w:w="28" w:type="dxa"/>
              <w:bottom w:w="0" w:type="dxa"/>
              <w:right w:w="28" w:type="dxa"/>
            </w:tcMar>
            <w:vAlign w:val="center"/>
            <w:hideMark/>
          </w:tcPr>
          <w:p w14:paraId="7ADCC5C6" w14:textId="77777777" w:rsidR="007709AA" w:rsidRPr="00AC7830" w:rsidRDefault="007709AA" w:rsidP="00370D8E">
            <w:pPr>
              <w:pStyle w:val="Tabletext0"/>
              <w:keepNext/>
              <w:rPr>
                <w:szCs w:val="20"/>
              </w:rPr>
            </w:pPr>
            <w:r w:rsidRPr="00AC7830">
              <w:rPr>
                <w:b/>
                <w:bCs/>
                <w:szCs w:val="20"/>
              </w:rPr>
              <w:t>Analyses</w:t>
            </w:r>
          </w:p>
        </w:tc>
        <w:tc>
          <w:tcPr>
            <w:tcW w:w="1174" w:type="dxa"/>
            <w:tcMar>
              <w:top w:w="0" w:type="dxa"/>
              <w:left w:w="28" w:type="dxa"/>
              <w:bottom w:w="0" w:type="dxa"/>
              <w:right w:w="28" w:type="dxa"/>
            </w:tcMar>
            <w:vAlign w:val="center"/>
            <w:hideMark/>
          </w:tcPr>
          <w:p w14:paraId="029C29F4" w14:textId="77777777" w:rsidR="007709AA" w:rsidRPr="00AC7830" w:rsidRDefault="007709AA" w:rsidP="00370D8E">
            <w:pPr>
              <w:pStyle w:val="Tabletext0"/>
              <w:keepNext/>
              <w:jc w:val="center"/>
              <w:rPr>
                <w:b/>
                <w:bCs/>
                <w:szCs w:val="20"/>
              </w:rPr>
            </w:pPr>
            <w:r w:rsidRPr="00AC7830">
              <w:rPr>
                <w:b/>
                <w:bCs/>
                <w:szCs w:val="20"/>
              </w:rPr>
              <w:t>Incremental cost</w:t>
            </w:r>
          </w:p>
        </w:tc>
        <w:tc>
          <w:tcPr>
            <w:tcW w:w="1174" w:type="dxa"/>
            <w:tcMar>
              <w:top w:w="0" w:type="dxa"/>
              <w:left w:w="28" w:type="dxa"/>
              <w:bottom w:w="0" w:type="dxa"/>
              <w:right w:w="28" w:type="dxa"/>
            </w:tcMar>
            <w:vAlign w:val="center"/>
            <w:hideMark/>
          </w:tcPr>
          <w:p w14:paraId="3C023435" w14:textId="77777777" w:rsidR="007709AA" w:rsidRPr="00AC7830" w:rsidRDefault="007709AA" w:rsidP="00370D8E">
            <w:pPr>
              <w:pStyle w:val="Tabletext0"/>
              <w:keepNext/>
              <w:jc w:val="center"/>
              <w:rPr>
                <w:b/>
                <w:bCs/>
                <w:szCs w:val="20"/>
              </w:rPr>
            </w:pPr>
            <w:r w:rsidRPr="00AC7830">
              <w:rPr>
                <w:b/>
                <w:bCs/>
                <w:szCs w:val="20"/>
              </w:rPr>
              <w:t>Incremental QALYs</w:t>
            </w:r>
          </w:p>
        </w:tc>
        <w:tc>
          <w:tcPr>
            <w:tcW w:w="1172" w:type="dxa"/>
            <w:tcMar>
              <w:top w:w="0" w:type="dxa"/>
              <w:left w:w="28" w:type="dxa"/>
              <w:bottom w:w="0" w:type="dxa"/>
              <w:right w:w="28" w:type="dxa"/>
            </w:tcMar>
            <w:vAlign w:val="center"/>
            <w:hideMark/>
          </w:tcPr>
          <w:p w14:paraId="3B99A26F" w14:textId="77777777" w:rsidR="007709AA" w:rsidRPr="00AC7830" w:rsidRDefault="007709AA" w:rsidP="00370D8E">
            <w:pPr>
              <w:pStyle w:val="Tabletext0"/>
              <w:keepNext/>
              <w:jc w:val="center"/>
              <w:rPr>
                <w:b/>
                <w:bCs/>
                <w:szCs w:val="20"/>
              </w:rPr>
            </w:pPr>
            <w:r w:rsidRPr="00AC7830">
              <w:rPr>
                <w:b/>
                <w:bCs/>
                <w:szCs w:val="20"/>
              </w:rPr>
              <w:t>ICER</w:t>
            </w:r>
          </w:p>
        </w:tc>
        <w:tc>
          <w:tcPr>
            <w:tcW w:w="1186" w:type="dxa"/>
            <w:tcMar>
              <w:left w:w="28" w:type="dxa"/>
              <w:right w:w="28" w:type="dxa"/>
            </w:tcMar>
            <w:vAlign w:val="center"/>
          </w:tcPr>
          <w:p w14:paraId="0FF94A41" w14:textId="77777777" w:rsidR="007709AA" w:rsidRPr="00AC7830" w:rsidRDefault="007709AA" w:rsidP="00370D8E">
            <w:pPr>
              <w:pStyle w:val="Tabletext0"/>
              <w:keepNext/>
              <w:jc w:val="center"/>
              <w:rPr>
                <w:b/>
                <w:bCs/>
                <w:szCs w:val="20"/>
              </w:rPr>
            </w:pPr>
            <w:r w:rsidRPr="00AC7830">
              <w:rPr>
                <w:b/>
                <w:bCs/>
              </w:rPr>
              <w:t>Change from base case ICER</w:t>
            </w:r>
          </w:p>
        </w:tc>
      </w:tr>
      <w:tr w:rsidR="007709AA" w:rsidRPr="00AC7830" w14:paraId="4B3ECE14" w14:textId="77777777">
        <w:trPr>
          <w:tblHeader/>
        </w:trPr>
        <w:tc>
          <w:tcPr>
            <w:tcW w:w="4323" w:type="dxa"/>
            <w:tcMar>
              <w:top w:w="0" w:type="dxa"/>
              <w:left w:w="28" w:type="dxa"/>
              <w:bottom w:w="0" w:type="dxa"/>
              <w:right w:w="28" w:type="dxa"/>
            </w:tcMar>
            <w:hideMark/>
          </w:tcPr>
          <w:p w14:paraId="12D0713D" w14:textId="77777777" w:rsidR="007709AA" w:rsidRPr="00AC7830" w:rsidRDefault="007709AA" w:rsidP="00370D8E">
            <w:pPr>
              <w:pStyle w:val="Tabletext0"/>
              <w:keepNext/>
              <w:rPr>
                <w:b/>
                <w:bCs/>
                <w:szCs w:val="20"/>
                <w:vertAlign w:val="superscript"/>
              </w:rPr>
            </w:pPr>
            <w:r w:rsidRPr="00AC7830">
              <w:rPr>
                <w:b/>
                <w:bCs/>
                <w:szCs w:val="20"/>
              </w:rPr>
              <w:t>Revised base case</w:t>
            </w:r>
          </w:p>
        </w:tc>
        <w:tc>
          <w:tcPr>
            <w:tcW w:w="1174" w:type="dxa"/>
            <w:tcMar>
              <w:top w:w="0" w:type="dxa"/>
              <w:left w:w="28" w:type="dxa"/>
              <w:bottom w:w="0" w:type="dxa"/>
              <w:right w:w="28" w:type="dxa"/>
            </w:tcMar>
          </w:tcPr>
          <w:p w14:paraId="6194EA2E" w14:textId="51FFA892" w:rsidR="007709AA" w:rsidRPr="00AC7830" w:rsidRDefault="007709AA" w:rsidP="00370D8E">
            <w:pPr>
              <w:pStyle w:val="Tabletext0"/>
              <w:keepNext/>
              <w:jc w:val="center"/>
              <w:rPr>
                <w:b/>
                <w:bCs/>
                <w:szCs w:val="20"/>
              </w:rPr>
            </w:pPr>
            <w:r w:rsidRPr="00AC7830">
              <w:rPr>
                <w:b/>
                <w:bCs/>
                <w:szCs w:val="20"/>
              </w:rPr>
              <w:t>$</w:t>
            </w:r>
            <w:r w:rsidR="00994C8B" w:rsidRPr="00994C8B">
              <w:rPr>
                <w:b/>
                <w:bCs/>
                <w:szCs w:val="20"/>
                <w:highlight w:val="black"/>
              </w:rPr>
              <w:t>&amp;&amp;&amp;&amp;</w:t>
            </w:r>
            <w:r w:rsidR="00FC6681">
              <w:rPr>
                <w:vertAlign w:val="superscript"/>
              </w:rPr>
              <w:t>4</w:t>
            </w:r>
          </w:p>
        </w:tc>
        <w:tc>
          <w:tcPr>
            <w:tcW w:w="1174" w:type="dxa"/>
            <w:tcMar>
              <w:top w:w="0" w:type="dxa"/>
              <w:left w:w="28" w:type="dxa"/>
              <w:bottom w:w="0" w:type="dxa"/>
              <w:right w:w="28" w:type="dxa"/>
            </w:tcMar>
          </w:tcPr>
          <w:p w14:paraId="28E8C951" w14:textId="77777777" w:rsidR="007709AA" w:rsidRPr="00AC7830" w:rsidRDefault="007709AA" w:rsidP="00370D8E">
            <w:pPr>
              <w:pStyle w:val="Tabletext0"/>
              <w:keepNext/>
              <w:jc w:val="center"/>
              <w:rPr>
                <w:b/>
                <w:bCs/>
                <w:szCs w:val="20"/>
              </w:rPr>
            </w:pPr>
            <w:r w:rsidRPr="00AC7830">
              <w:rPr>
                <w:b/>
                <w:bCs/>
                <w:szCs w:val="20"/>
              </w:rPr>
              <w:t>3.4526</w:t>
            </w:r>
          </w:p>
        </w:tc>
        <w:tc>
          <w:tcPr>
            <w:tcW w:w="1172" w:type="dxa"/>
            <w:tcMar>
              <w:top w:w="0" w:type="dxa"/>
              <w:left w:w="28" w:type="dxa"/>
              <w:bottom w:w="0" w:type="dxa"/>
              <w:right w:w="28" w:type="dxa"/>
            </w:tcMar>
          </w:tcPr>
          <w:p w14:paraId="058003C4" w14:textId="19E87ADC" w:rsidR="007709AA" w:rsidRPr="00AC7830" w:rsidRDefault="007709AA" w:rsidP="00370D8E">
            <w:pPr>
              <w:pStyle w:val="Tabletext0"/>
              <w:keepNext/>
              <w:jc w:val="center"/>
              <w:rPr>
                <w:b/>
                <w:bCs/>
                <w:szCs w:val="20"/>
              </w:rPr>
            </w:pPr>
            <w:r w:rsidRPr="00AC7830">
              <w:rPr>
                <w:b/>
                <w:bCs/>
                <w:szCs w:val="20"/>
              </w:rPr>
              <w:t>$</w:t>
            </w:r>
            <w:r w:rsidR="00994C8B" w:rsidRPr="00994C8B">
              <w:rPr>
                <w:b/>
                <w:bCs/>
                <w:szCs w:val="20"/>
                <w:highlight w:val="black"/>
              </w:rPr>
              <w:t>&amp;&amp;&amp;&amp;</w:t>
            </w:r>
            <w:r w:rsidR="004845BC">
              <w:rPr>
                <w:szCs w:val="20"/>
                <w:vertAlign w:val="superscript"/>
              </w:rPr>
              <w:t>3</w:t>
            </w:r>
          </w:p>
        </w:tc>
        <w:tc>
          <w:tcPr>
            <w:tcW w:w="1186" w:type="dxa"/>
            <w:tcMar>
              <w:left w:w="28" w:type="dxa"/>
              <w:right w:w="28" w:type="dxa"/>
            </w:tcMar>
          </w:tcPr>
          <w:p w14:paraId="1B1D39CB" w14:textId="77777777" w:rsidR="007709AA" w:rsidRPr="00AC7830" w:rsidRDefault="007709AA" w:rsidP="00370D8E">
            <w:pPr>
              <w:pStyle w:val="Tabletext0"/>
              <w:keepNext/>
              <w:jc w:val="center"/>
              <w:rPr>
                <w:b/>
                <w:bCs/>
                <w:szCs w:val="20"/>
              </w:rPr>
            </w:pPr>
            <w:r w:rsidRPr="00AC7830">
              <w:rPr>
                <w:b/>
                <w:bCs/>
                <w:szCs w:val="20"/>
              </w:rPr>
              <w:t>-</w:t>
            </w:r>
          </w:p>
        </w:tc>
      </w:tr>
      <w:tr w:rsidR="007709AA" w:rsidRPr="00AC7830" w14:paraId="6DD05797" w14:textId="77777777">
        <w:tc>
          <w:tcPr>
            <w:tcW w:w="9029" w:type="dxa"/>
            <w:gridSpan w:val="5"/>
            <w:tcMar>
              <w:top w:w="0" w:type="dxa"/>
              <w:left w:w="28" w:type="dxa"/>
              <w:bottom w:w="0" w:type="dxa"/>
              <w:right w:w="28" w:type="dxa"/>
            </w:tcMar>
            <w:hideMark/>
          </w:tcPr>
          <w:p w14:paraId="4374AAFC" w14:textId="77777777" w:rsidR="007709AA" w:rsidRPr="00AC7830" w:rsidRDefault="007709AA" w:rsidP="00370D8E">
            <w:pPr>
              <w:pStyle w:val="Tabletext0"/>
              <w:keepNext/>
              <w:rPr>
                <w:szCs w:val="20"/>
              </w:rPr>
            </w:pPr>
            <w:r w:rsidRPr="00AC7830">
              <w:rPr>
                <w:b/>
                <w:bCs/>
                <w:szCs w:val="20"/>
              </w:rPr>
              <w:t>Discount rate (revised base case: 5% for benefits and costs)</w:t>
            </w:r>
          </w:p>
        </w:tc>
      </w:tr>
      <w:tr w:rsidR="007709AA" w:rsidRPr="00AC7830" w14:paraId="353BB7CB" w14:textId="77777777">
        <w:tc>
          <w:tcPr>
            <w:tcW w:w="4323" w:type="dxa"/>
            <w:tcMar>
              <w:top w:w="0" w:type="dxa"/>
              <w:left w:w="28" w:type="dxa"/>
              <w:bottom w:w="0" w:type="dxa"/>
              <w:right w:w="28" w:type="dxa"/>
            </w:tcMar>
            <w:hideMark/>
          </w:tcPr>
          <w:p w14:paraId="6CBD3816" w14:textId="77777777" w:rsidR="007709AA" w:rsidRPr="00AC7830" w:rsidRDefault="007709AA" w:rsidP="00370D8E">
            <w:pPr>
              <w:pStyle w:val="Tabletext0"/>
              <w:keepNext/>
              <w:rPr>
                <w:szCs w:val="20"/>
              </w:rPr>
            </w:pPr>
            <w:r w:rsidRPr="00AC7830">
              <w:rPr>
                <w:szCs w:val="20"/>
              </w:rPr>
              <w:t>3.5% discount rate</w:t>
            </w:r>
          </w:p>
        </w:tc>
        <w:tc>
          <w:tcPr>
            <w:tcW w:w="1174" w:type="dxa"/>
            <w:tcMar>
              <w:top w:w="0" w:type="dxa"/>
              <w:left w:w="28" w:type="dxa"/>
              <w:bottom w:w="0" w:type="dxa"/>
              <w:right w:w="28" w:type="dxa"/>
            </w:tcMar>
          </w:tcPr>
          <w:p w14:paraId="321D8420" w14:textId="44CB3FE7"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tcPr>
          <w:p w14:paraId="31629B43" w14:textId="77777777" w:rsidR="007709AA" w:rsidRPr="00AC7830" w:rsidRDefault="007709AA" w:rsidP="00370D8E">
            <w:pPr>
              <w:pStyle w:val="Tabletext0"/>
              <w:keepNext/>
              <w:jc w:val="center"/>
              <w:rPr>
                <w:szCs w:val="20"/>
              </w:rPr>
            </w:pPr>
            <w:r w:rsidRPr="00AC7830">
              <w:rPr>
                <w:szCs w:val="20"/>
              </w:rPr>
              <w:t>4.3562</w:t>
            </w:r>
          </w:p>
        </w:tc>
        <w:tc>
          <w:tcPr>
            <w:tcW w:w="1172" w:type="dxa"/>
            <w:tcMar>
              <w:top w:w="0" w:type="dxa"/>
              <w:left w:w="28" w:type="dxa"/>
              <w:bottom w:w="0" w:type="dxa"/>
              <w:right w:w="28" w:type="dxa"/>
            </w:tcMar>
          </w:tcPr>
          <w:p w14:paraId="2EEB38CD" w14:textId="1A7FA6C3" w:rsidR="007709AA" w:rsidRPr="00F43F77" w:rsidRDefault="007709AA" w:rsidP="00370D8E">
            <w:pPr>
              <w:pStyle w:val="Tabletext0"/>
              <w:keepNext/>
              <w:jc w:val="center"/>
              <w:rPr>
                <w:szCs w:val="20"/>
                <w:vertAlign w:val="superscript"/>
              </w:rPr>
            </w:pPr>
            <w:r w:rsidRPr="00AC7830">
              <w:rPr>
                <w:szCs w:val="20"/>
              </w:rPr>
              <w:t>$</w:t>
            </w:r>
            <w:r w:rsidR="00994C8B" w:rsidRPr="00994C8B">
              <w:rPr>
                <w:szCs w:val="20"/>
                <w:highlight w:val="black"/>
              </w:rPr>
              <w:t>&amp;&amp;&amp;&amp;</w:t>
            </w:r>
            <w:r w:rsidR="00F43F77">
              <w:rPr>
                <w:szCs w:val="20"/>
                <w:vertAlign w:val="superscript"/>
              </w:rPr>
              <w:t>2</w:t>
            </w:r>
          </w:p>
        </w:tc>
        <w:tc>
          <w:tcPr>
            <w:tcW w:w="1186" w:type="dxa"/>
            <w:tcMar>
              <w:left w:w="28" w:type="dxa"/>
              <w:right w:w="28" w:type="dxa"/>
            </w:tcMar>
          </w:tcPr>
          <w:p w14:paraId="10EED3B0" w14:textId="1950D985" w:rsidR="007709AA" w:rsidRPr="00AC7830" w:rsidRDefault="00994C8B" w:rsidP="00370D8E">
            <w:pPr>
              <w:pStyle w:val="Tabletext0"/>
              <w:keepNext/>
              <w:jc w:val="center"/>
              <w:rPr>
                <w:szCs w:val="20"/>
              </w:rPr>
            </w:pPr>
            <w:r w:rsidRPr="00994C8B">
              <w:rPr>
                <w:szCs w:val="20"/>
                <w:highlight w:val="black"/>
              </w:rPr>
              <w:t>&amp;&amp;&amp;&amp;</w:t>
            </w:r>
            <w:r w:rsidR="007709AA" w:rsidRPr="00AC7830">
              <w:rPr>
                <w:szCs w:val="20"/>
              </w:rPr>
              <w:t>%</w:t>
            </w:r>
          </w:p>
        </w:tc>
      </w:tr>
      <w:tr w:rsidR="007709AA" w:rsidRPr="00AC7830" w14:paraId="635A1730" w14:textId="77777777">
        <w:tc>
          <w:tcPr>
            <w:tcW w:w="4323" w:type="dxa"/>
            <w:tcMar>
              <w:top w:w="0" w:type="dxa"/>
              <w:left w:w="28" w:type="dxa"/>
              <w:bottom w:w="0" w:type="dxa"/>
              <w:right w:w="28" w:type="dxa"/>
            </w:tcMar>
            <w:hideMark/>
          </w:tcPr>
          <w:p w14:paraId="4F06AAB5" w14:textId="77777777" w:rsidR="007709AA" w:rsidRPr="00AC7830" w:rsidRDefault="007709AA" w:rsidP="00370D8E">
            <w:pPr>
              <w:pStyle w:val="Tabletext0"/>
              <w:keepNext/>
              <w:rPr>
                <w:szCs w:val="20"/>
              </w:rPr>
            </w:pPr>
            <w:r w:rsidRPr="00AC7830">
              <w:rPr>
                <w:szCs w:val="20"/>
              </w:rPr>
              <w:t>0% discount rate</w:t>
            </w:r>
          </w:p>
        </w:tc>
        <w:tc>
          <w:tcPr>
            <w:tcW w:w="1174" w:type="dxa"/>
            <w:tcMar>
              <w:top w:w="0" w:type="dxa"/>
              <w:left w:w="28" w:type="dxa"/>
              <w:bottom w:w="0" w:type="dxa"/>
              <w:right w:w="28" w:type="dxa"/>
            </w:tcMar>
          </w:tcPr>
          <w:p w14:paraId="4DCFB1ED" w14:textId="49AE8C79"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tcPr>
          <w:p w14:paraId="33E9B893" w14:textId="77777777" w:rsidR="007709AA" w:rsidRPr="00AC7830" w:rsidRDefault="007709AA" w:rsidP="00370D8E">
            <w:pPr>
              <w:pStyle w:val="Tabletext0"/>
              <w:keepNext/>
              <w:jc w:val="center"/>
              <w:rPr>
                <w:szCs w:val="20"/>
              </w:rPr>
            </w:pPr>
            <w:r w:rsidRPr="00AC7830">
              <w:rPr>
                <w:szCs w:val="20"/>
              </w:rPr>
              <w:t>8.3527</w:t>
            </w:r>
          </w:p>
        </w:tc>
        <w:tc>
          <w:tcPr>
            <w:tcW w:w="1172" w:type="dxa"/>
            <w:tcMar>
              <w:top w:w="0" w:type="dxa"/>
              <w:left w:w="28" w:type="dxa"/>
              <w:bottom w:w="0" w:type="dxa"/>
              <w:right w:w="28" w:type="dxa"/>
            </w:tcMar>
          </w:tcPr>
          <w:p w14:paraId="285AB353" w14:textId="3A0DDF2B" w:rsidR="007709AA" w:rsidRPr="000F32F6" w:rsidRDefault="007709AA" w:rsidP="00370D8E">
            <w:pPr>
              <w:pStyle w:val="Tabletext0"/>
              <w:keepNext/>
              <w:jc w:val="center"/>
              <w:rPr>
                <w:szCs w:val="20"/>
                <w:vertAlign w:val="superscript"/>
              </w:rPr>
            </w:pPr>
            <w:r w:rsidRPr="00AC7830">
              <w:rPr>
                <w:szCs w:val="20"/>
              </w:rPr>
              <w:t>$</w:t>
            </w:r>
            <w:r w:rsidR="00994C8B" w:rsidRPr="00994C8B">
              <w:rPr>
                <w:szCs w:val="20"/>
                <w:highlight w:val="black"/>
              </w:rPr>
              <w:t>&amp;&amp;&amp;&amp;</w:t>
            </w:r>
            <w:r w:rsidR="000F32F6">
              <w:rPr>
                <w:szCs w:val="20"/>
                <w:vertAlign w:val="superscript"/>
              </w:rPr>
              <w:t>1</w:t>
            </w:r>
          </w:p>
        </w:tc>
        <w:tc>
          <w:tcPr>
            <w:tcW w:w="1186" w:type="dxa"/>
            <w:tcMar>
              <w:left w:w="28" w:type="dxa"/>
              <w:right w:w="28" w:type="dxa"/>
            </w:tcMar>
          </w:tcPr>
          <w:p w14:paraId="3A9E3B6A" w14:textId="0392E1FB" w:rsidR="007709AA" w:rsidRPr="00AC7830" w:rsidRDefault="00994C8B" w:rsidP="00370D8E">
            <w:pPr>
              <w:pStyle w:val="Tabletext0"/>
              <w:keepNext/>
              <w:jc w:val="center"/>
              <w:rPr>
                <w:szCs w:val="20"/>
              </w:rPr>
            </w:pPr>
            <w:r w:rsidRPr="00994C8B">
              <w:rPr>
                <w:szCs w:val="20"/>
                <w:highlight w:val="black"/>
              </w:rPr>
              <w:t>&amp;&amp;&amp;&amp;</w:t>
            </w:r>
            <w:r w:rsidR="007709AA" w:rsidRPr="00AC7830">
              <w:rPr>
                <w:szCs w:val="20"/>
              </w:rPr>
              <w:t>%</w:t>
            </w:r>
          </w:p>
        </w:tc>
      </w:tr>
      <w:tr w:rsidR="007709AA" w:rsidRPr="00AC7830" w14:paraId="1E0B062B" w14:textId="77777777">
        <w:tc>
          <w:tcPr>
            <w:tcW w:w="9029" w:type="dxa"/>
            <w:gridSpan w:val="5"/>
            <w:tcMar>
              <w:top w:w="0" w:type="dxa"/>
              <w:left w:w="28" w:type="dxa"/>
              <w:bottom w:w="0" w:type="dxa"/>
              <w:right w:w="28" w:type="dxa"/>
            </w:tcMar>
            <w:hideMark/>
          </w:tcPr>
          <w:p w14:paraId="123889CC" w14:textId="77777777" w:rsidR="007709AA" w:rsidRPr="00AC7830" w:rsidRDefault="007709AA" w:rsidP="00370D8E">
            <w:pPr>
              <w:pStyle w:val="Tabletext0"/>
              <w:keepNext/>
              <w:rPr>
                <w:szCs w:val="20"/>
              </w:rPr>
            </w:pPr>
            <w:r w:rsidRPr="00AC7830">
              <w:rPr>
                <w:b/>
                <w:bCs/>
                <w:szCs w:val="20"/>
              </w:rPr>
              <w:t>Time horizon (revised base case: 70 years)</w:t>
            </w:r>
          </w:p>
        </w:tc>
      </w:tr>
      <w:tr w:rsidR="007709AA" w:rsidRPr="00AC7830" w14:paraId="2BED11AC" w14:textId="77777777">
        <w:tc>
          <w:tcPr>
            <w:tcW w:w="4323" w:type="dxa"/>
            <w:tcMar>
              <w:top w:w="0" w:type="dxa"/>
              <w:left w:w="28" w:type="dxa"/>
              <w:bottom w:w="0" w:type="dxa"/>
              <w:right w:w="28" w:type="dxa"/>
            </w:tcMar>
          </w:tcPr>
          <w:p w14:paraId="27F855CC" w14:textId="77777777" w:rsidR="007709AA" w:rsidRPr="00AC7830" w:rsidRDefault="007709AA" w:rsidP="00370D8E">
            <w:pPr>
              <w:pStyle w:val="Tabletext0"/>
              <w:keepNext/>
              <w:rPr>
                <w:szCs w:val="20"/>
              </w:rPr>
            </w:pPr>
            <w:r w:rsidRPr="00AC7830">
              <w:rPr>
                <w:szCs w:val="20"/>
              </w:rPr>
              <w:t>50 years</w:t>
            </w:r>
          </w:p>
        </w:tc>
        <w:tc>
          <w:tcPr>
            <w:tcW w:w="1174" w:type="dxa"/>
            <w:tcMar>
              <w:top w:w="0" w:type="dxa"/>
              <w:left w:w="28" w:type="dxa"/>
              <w:bottom w:w="0" w:type="dxa"/>
              <w:right w:w="28" w:type="dxa"/>
            </w:tcMar>
          </w:tcPr>
          <w:p w14:paraId="7D003318" w14:textId="1135C426"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tcPr>
          <w:p w14:paraId="0BB52492" w14:textId="77777777" w:rsidR="007709AA" w:rsidRPr="00AC7830" w:rsidRDefault="007709AA" w:rsidP="00370D8E">
            <w:pPr>
              <w:pStyle w:val="Tabletext0"/>
              <w:keepNext/>
              <w:jc w:val="center"/>
              <w:rPr>
                <w:szCs w:val="20"/>
              </w:rPr>
            </w:pPr>
            <w:r w:rsidRPr="00AC7830">
              <w:rPr>
                <w:szCs w:val="20"/>
              </w:rPr>
              <w:t>3.4321</w:t>
            </w:r>
          </w:p>
        </w:tc>
        <w:tc>
          <w:tcPr>
            <w:tcW w:w="1172" w:type="dxa"/>
            <w:tcMar>
              <w:top w:w="0" w:type="dxa"/>
              <w:left w:w="28" w:type="dxa"/>
              <w:bottom w:w="0" w:type="dxa"/>
              <w:right w:w="28" w:type="dxa"/>
            </w:tcMar>
          </w:tcPr>
          <w:p w14:paraId="3F48AA77" w14:textId="1CE5CE60" w:rsidR="007709AA" w:rsidRPr="004845BC" w:rsidRDefault="007709AA" w:rsidP="00370D8E">
            <w:pPr>
              <w:pStyle w:val="Tabletext0"/>
              <w:keepNext/>
              <w:jc w:val="center"/>
              <w:rPr>
                <w:szCs w:val="20"/>
                <w:vertAlign w:val="superscript"/>
              </w:rPr>
            </w:pPr>
            <w:r w:rsidRPr="00AC7830">
              <w:rPr>
                <w:szCs w:val="20"/>
              </w:rPr>
              <w:t>$</w:t>
            </w:r>
            <w:r w:rsidR="00994C8B" w:rsidRPr="00994C8B">
              <w:rPr>
                <w:szCs w:val="20"/>
                <w:highlight w:val="black"/>
              </w:rPr>
              <w:t>&amp;&amp;&amp;&amp;</w:t>
            </w:r>
            <w:r w:rsidR="004845BC">
              <w:rPr>
                <w:szCs w:val="20"/>
                <w:vertAlign w:val="superscript"/>
              </w:rPr>
              <w:t>3</w:t>
            </w:r>
          </w:p>
        </w:tc>
        <w:tc>
          <w:tcPr>
            <w:tcW w:w="1186" w:type="dxa"/>
            <w:tcMar>
              <w:left w:w="28" w:type="dxa"/>
              <w:right w:w="28" w:type="dxa"/>
            </w:tcMar>
          </w:tcPr>
          <w:p w14:paraId="61C05E43" w14:textId="046C6DDD" w:rsidR="007709AA" w:rsidRPr="00AC7830" w:rsidRDefault="00994C8B" w:rsidP="00370D8E">
            <w:pPr>
              <w:pStyle w:val="Tabletext0"/>
              <w:keepNext/>
              <w:jc w:val="center"/>
              <w:rPr>
                <w:szCs w:val="20"/>
              </w:rPr>
            </w:pPr>
            <w:r w:rsidRPr="00994C8B">
              <w:rPr>
                <w:szCs w:val="20"/>
                <w:highlight w:val="black"/>
              </w:rPr>
              <w:t>&amp;&amp;&amp;&amp;</w:t>
            </w:r>
            <w:r w:rsidR="007709AA" w:rsidRPr="00AC7830">
              <w:rPr>
                <w:szCs w:val="20"/>
              </w:rPr>
              <w:t>%</w:t>
            </w:r>
          </w:p>
        </w:tc>
      </w:tr>
      <w:tr w:rsidR="007709AA" w:rsidRPr="00AC7830" w14:paraId="143F7630" w14:textId="77777777" w:rsidTr="00010BD1">
        <w:trPr>
          <w:trHeight w:val="99"/>
        </w:trPr>
        <w:tc>
          <w:tcPr>
            <w:tcW w:w="4323" w:type="dxa"/>
            <w:tcMar>
              <w:top w:w="0" w:type="dxa"/>
              <w:left w:w="28" w:type="dxa"/>
              <w:bottom w:w="0" w:type="dxa"/>
              <w:right w:w="28" w:type="dxa"/>
            </w:tcMar>
          </w:tcPr>
          <w:p w14:paraId="40CBCB73" w14:textId="77777777" w:rsidR="007709AA" w:rsidRPr="00AC7830" w:rsidRDefault="007709AA" w:rsidP="00370D8E">
            <w:pPr>
              <w:pStyle w:val="Tabletext0"/>
              <w:keepNext/>
              <w:rPr>
                <w:szCs w:val="20"/>
              </w:rPr>
            </w:pPr>
            <w:r w:rsidRPr="00AC7830">
              <w:rPr>
                <w:szCs w:val="20"/>
              </w:rPr>
              <w:t>30 years</w:t>
            </w:r>
          </w:p>
        </w:tc>
        <w:tc>
          <w:tcPr>
            <w:tcW w:w="1174" w:type="dxa"/>
            <w:tcMar>
              <w:top w:w="0" w:type="dxa"/>
              <w:left w:w="28" w:type="dxa"/>
              <w:bottom w:w="0" w:type="dxa"/>
              <w:right w:w="28" w:type="dxa"/>
            </w:tcMar>
          </w:tcPr>
          <w:p w14:paraId="6548DE0E" w14:textId="1FCBB3E3"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tcPr>
          <w:p w14:paraId="377BB2C7" w14:textId="77777777" w:rsidR="007709AA" w:rsidRPr="00AC7830" w:rsidRDefault="007709AA" w:rsidP="00370D8E">
            <w:pPr>
              <w:pStyle w:val="Tabletext0"/>
              <w:keepNext/>
              <w:jc w:val="center"/>
              <w:rPr>
                <w:szCs w:val="20"/>
              </w:rPr>
            </w:pPr>
            <w:r w:rsidRPr="00AC7830">
              <w:rPr>
                <w:szCs w:val="20"/>
              </w:rPr>
              <w:t>3.1889</w:t>
            </w:r>
          </w:p>
        </w:tc>
        <w:tc>
          <w:tcPr>
            <w:tcW w:w="1172" w:type="dxa"/>
            <w:tcMar>
              <w:top w:w="0" w:type="dxa"/>
              <w:left w:w="28" w:type="dxa"/>
              <w:bottom w:w="0" w:type="dxa"/>
              <w:right w:w="28" w:type="dxa"/>
            </w:tcMar>
          </w:tcPr>
          <w:p w14:paraId="1F864128" w14:textId="520DCDDA"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4845BC">
              <w:rPr>
                <w:szCs w:val="20"/>
                <w:vertAlign w:val="superscript"/>
              </w:rPr>
              <w:t>3</w:t>
            </w:r>
          </w:p>
        </w:tc>
        <w:tc>
          <w:tcPr>
            <w:tcW w:w="1186" w:type="dxa"/>
            <w:tcMar>
              <w:left w:w="28" w:type="dxa"/>
              <w:right w:w="28" w:type="dxa"/>
            </w:tcMar>
          </w:tcPr>
          <w:p w14:paraId="7C7E4C3B" w14:textId="4BBE19DD" w:rsidR="007709AA" w:rsidRPr="00AC7830" w:rsidRDefault="00994C8B" w:rsidP="00370D8E">
            <w:pPr>
              <w:pStyle w:val="Tabletext0"/>
              <w:keepNext/>
              <w:jc w:val="center"/>
              <w:rPr>
                <w:szCs w:val="20"/>
              </w:rPr>
            </w:pPr>
            <w:r w:rsidRPr="00994C8B">
              <w:rPr>
                <w:szCs w:val="20"/>
                <w:highlight w:val="black"/>
              </w:rPr>
              <w:t>&amp;&amp;&amp;&amp;</w:t>
            </w:r>
            <w:r w:rsidR="007709AA" w:rsidRPr="00AC7830">
              <w:rPr>
                <w:szCs w:val="20"/>
              </w:rPr>
              <w:t>%</w:t>
            </w:r>
          </w:p>
        </w:tc>
      </w:tr>
      <w:tr w:rsidR="007709AA" w:rsidRPr="00AC7830" w14:paraId="4CD08B52" w14:textId="77777777">
        <w:tc>
          <w:tcPr>
            <w:tcW w:w="4323" w:type="dxa"/>
            <w:tcMar>
              <w:top w:w="0" w:type="dxa"/>
              <w:left w:w="28" w:type="dxa"/>
              <w:bottom w:w="0" w:type="dxa"/>
              <w:right w:w="28" w:type="dxa"/>
            </w:tcMar>
          </w:tcPr>
          <w:p w14:paraId="61A5C190" w14:textId="77777777" w:rsidR="007709AA" w:rsidRPr="00AC7830" w:rsidRDefault="007709AA" w:rsidP="00370D8E">
            <w:pPr>
              <w:pStyle w:val="Tabletext0"/>
              <w:keepNext/>
              <w:rPr>
                <w:szCs w:val="20"/>
              </w:rPr>
            </w:pPr>
            <w:r w:rsidRPr="00AC7830">
              <w:rPr>
                <w:szCs w:val="20"/>
              </w:rPr>
              <w:t>10 years</w:t>
            </w:r>
          </w:p>
        </w:tc>
        <w:tc>
          <w:tcPr>
            <w:tcW w:w="1174" w:type="dxa"/>
            <w:tcMar>
              <w:top w:w="0" w:type="dxa"/>
              <w:left w:w="28" w:type="dxa"/>
              <w:bottom w:w="0" w:type="dxa"/>
              <w:right w:w="28" w:type="dxa"/>
            </w:tcMar>
          </w:tcPr>
          <w:p w14:paraId="2EFF9F02" w14:textId="479B7BA8"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tcPr>
          <w:p w14:paraId="1F83E692" w14:textId="77777777" w:rsidR="007709AA" w:rsidRPr="00AC7830" w:rsidRDefault="007709AA" w:rsidP="00370D8E">
            <w:pPr>
              <w:pStyle w:val="Tabletext0"/>
              <w:keepNext/>
              <w:jc w:val="center"/>
              <w:rPr>
                <w:szCs w:val="20"/>
              </w:rPr>
            </w:pPr>
            <w:r w:rsidRPr="00AC7830">
              <w:rPr>
                <w:szCs w:val="20"/>
              </w:rPr>
              <w:t>1.0894</w:t>
            </w:r>
          </w:p>
        </w:tc>
        <w:tc>
          <w:tcPr>
            <w:tcW w:w="1172" w:type="dxa"/>
            <w:tcMar>
              <w:top w:w="0" w:type="dxa"/>
              <w:left w:w="28" w:type="dxa"/>
              <w:bottom w:w="0" w:type="dxa"/>
              <w:right w:w="28" w:type="dxa"/>
            </w:tcMar>
          </w:tcPr>
          <w:p w14:paraId="22313686" w14:textId="63F606FE"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tcPr>
          <w:p w14:paraId="55057118" w14:textId="280C725C" w:rsidR="007709AA" w:rsidRPr="00AC7830" w:rsidRDefault="00994C8B" w:rsidP="00370D8E">
            <w:pPr>
              <w:pStyle w:val="Tabletext0"/>
              <w:keepNext/>
              <w:jc w:val="center"/>
              <w:rPr>
                <w:szCs w:val="20"/>
              </w:rPr>
            </w:pPr>
            <w:r w:rsidRPr="00994C8B">
              <w:rPr>
                <w:szCs w:val="20"/>
                <w:highlight w:val="black"/>
              </w:rPr>
              <w:t>&amp;&amp;&amp;&amp;</w:t>
            </w:r>
            <w:r w:rsidR="007709AA" w:rsidRPr="00AC7830">
              <w:rPr>
                <w:szCs w:val="20"/>
              </w:rPr>
              <w:t>%</w:t>
            </w:r>
          </w:p>
        </w:tc>
      </w:tr>
      <w:tr w:rsidR="007709AA" w:rsidRPr="00AC7830" w14:paraId="2B9537FD" w14:textId="77777777">
        <w:tc>
          <w:tcPr>
            <w:tcW w:w="9029" w:type="dxa"/>
            <w:gridSpan w:val="5"/>
            <w:tcMar>
              <w:top w:w="0" w:type="dxa"/>
              <w:left w:w="28" w:type="dxa"/>
              <w:bottom w:w="0" w:type="dxa"/>
              <w:right w:w="28" w:type="dxa"/>
            </w:tcMar>
          </w:tcPr>
          <w:p w14:paraId="777DAE50" w14:textId="37EC4AB0" w:rsidR="007709AA" w:rsidRPr="00AC7830" w:rsidRDefault="007709AA" w:rsidP="00370D8E">
            <w:pPr>
              <w:pStyle w:val="Tabletext0"/>
              <w:keepNext/>
              <w:rPr>
                <w:b/>
                <w:bCs/>
              </w:rPr>
            </w:pPr>
            <w:r w:rsidRPr="00AC7830">
              <w:rPr>
                <w:b/>
                <w:bCs/>
              </w:rPr>
              <w:t>Change in eGFR over time (revised base case: change in placebo arm -8.32 mL/min/1.73</w:t>
            </w:r>
            <w:r w:rsidR="000A6AF8" w:rsidRPr="00AC7830">
              <w:rPr>
                <w:b/>
                <w:bCs/>
              </w:rPr>
              <w:t xml:space="preserve"> </w:t>
            </w:r>
            <w:r w:rsidRPr="00AC7830">
              <w:rPr>
                <w:b/>
                <w:bCs/>
              </w:rPr>
              <w:t>m</w:t>
            </w:r>
            <w:r w:rsidRPr="00AC7830">
              <w:rPr>
                <w:b/>
                <w:bCs/>
                <w:vertAlign w:val="superscript"/>
              </w:rPr>
              <w:t xml:space="preserve">2 </w:t>
            </w:r>
            <w:r w:rsidRPr="00AC7830">
              <w:rPr>
                <w:b/>
                <w:bCs/>
              </w:rPr>
              <w:t>per year, based on pooled eGFR slope analysis; patients who remained on iptacopan therapy assumed to follow general population changes in eGFR over time; all patients assume</w:t>
            </w:r>
            <w:r w:rsidR="00D91485" w:rsidRPr="00AC7830">
              <w:rPr>
                <w:b/>
                <w:bCs/>
              </w:rPr>
              <w:t>d</w:t>
            </w:r>
            <w:r w:rsidRPr="00AC7830">
              <w:rPr>
                <w:b/>
                <w:bCs/>
              </w:rPr>
              <w:t xml:space="preserve"> to have native kidneys)</w:t>
            </w:r>
          </w:p>
        </w:tc>
      </w:tr>
      <w:tr w:rsidR="007709AA" w:rsidRPr="00AC7830" w14:paraId="428E8352" w14:textId="77777777">
        <w:tc>
          <w:tcPr>
            <w:tcW w:w="4323" w:type="dxa"/>
            <w:tcMar>
              <w:top w:w="0" w:type="dxa"/>
              <w:left w:w="28" w:type="dxa"/>
              <w:bottom w:w="0" w:type="dxa"/>
              <w:right w:w="28" w:type="dxa"/>
            </w:tcMar>
          </w:tcPr>
          <w:p w14:paraId="1691A161" w14:textId="30670898" w:rsidR="007709AA" w:rsidRPr="00AC7830" w:rsidRDefault="007709AA" w:rsidP="00370D8E">
            <w:pPr>
              <w:pStyle w:val="Tabletext0"/>
              <w:keepNext/>
              <w:rPr>
                <w:szCs w:val="20"/>
              </w:rPr>
            </w:pPr>
            <w:r w:rsidRPr="00AC7830">
              <w:rPr>
                <w:szCs w:val="20"/>
              </w:rPr>
              <w:t xml:space="preserve">Annual change in placebo arm based on the APPEAR-C3G trial (-3.079 </w:t>
            </w:r>
            <w:r w:rsidRPr="00AC7830">
              <w:t>mL/min/1.73</w:t>
            </w:r>
            <w:r w:rsidR="000A6AF8" w:rsidRPr="00AC7830">
              <w:t xml:space="preserve"> </w:t>
            </w:r>
            <w:r w:rsidRPr="00AC7830">
              <w:t>m</w:t>
            </w:r>
            <w:r w:rsidRPr="00AC7830">
              <w:rPr>
                <w:vertAlign w:val="superscript"/>
              </w:rPr>
              <w:t xml:space="preserve">2 </w:t>
            </w:r>
            <w:r w:rsidRPr="00AC7830">
              <w:t>per year</w:t>
            </w:r>
            <w:r w:rsidRPr="00AC7830">
              <w:rPr>
                <w:szCs w:val="20"/>
              </w:rPr>
              <w:t>)</w:t>
            </w:r>
          </w:p>
        </w:tc>
        <w:tc>
          <w:tcPr>
            <w:tcW w:w="1174" w:type="dxa"/>
            <w:tcMar>
              <w:top w:w="0" w:type="dxa"/>
              <w:left w:w="28" w:type="dxa"/>
              <w:bottom w:w="0" w:type="dxa"/>
              <w:right w:w="28" w:type="dxa"/>
            </w:tcMar>
            <w:vAlign w:val="center"/>
          </w:tcPr>
          <w:p w14:paraId="6BE8D01D" w14:textId="138A4731"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5D84EC7B" w14:textId="77777777" w:rsidR="007709AA" w:rsidRPr="00AC7830" w:rsidRDefault="007709AA" w:rsidP="00370D8E">
            <w:pPr>
              <w:pStyle w:val="Tabletext0"/>
              <w:keepNext/>
              <w:jc w:val="center"/>
              <w:rPr>
                <w:szCs w:val="20"/>
              </w:rPr>
            </w:pPr>
            <w:r w:rsidRPr="00AC7830">
              <w:rPr>
                <w:szCs w:val="20"/>
              </w:rPr>
              <w:t>2.1537</w:t>
            </w:r>
          </w:p>
        </w:tc>
        <w:tc>
          <w:tcPr>
            <w:tcW w:w="1172" w:type="dxa"/>
            <w:tcMar>
              <w:top w:w="0" w:type="dxa"/>
              <w:left w:w="28" w:type="dxa"/>
              <w:bottom w:w="0" w:type="dxa"/>
              <w:right w:w="28" w:type="dxa"/>
            </w:tcMar>
            <w:vAlign w:val="center"/>
          </w:tcPr>
          <w:p w14:paraId="4F7125F1" w14:textId="55D552BC"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vAlign w:val="center"/>
          </w:tcPr>
          <w:p w14:paraId="42C960AC" w14:textId="2385169E" w:rsidR="007709AA" w:rsidRPr="00AC7830" w:rsidRDefault="00994C8B" w:rsidP="00370D8E">
            <w:pPr>
              <w:pStyle w:val="Tabletext0"/>
              <w:keepNext/>
              <w:jc w:val="center"/>
            </w:pPr>
            <w:r w:rsidRPr="00994C8B">
              <w:rPr>
                <w:highlight w:val="black"/>
              </w:rPr>
              <w:t>&amp;&amp;&amp;&amp;</w:t>
            </w:r>
            <w:r w:rsidR="007709AA" w:rsidRPr="00AC7830">
              <w:t>%</w:t>
            </w:r>
          </w:p>
        </w:tc>
      </w:tr>
      <w:tr w:rsidR="007709AA" w:rsidRPr="00AC7830" w14:paraId="01AA56BC" w14:textId="77777777">
        <w:tc>
          <w:tcPr>
            <w:tcW w:w="4323" w:type="dxa"/>
            <w:tcMar>
              <w:top w:w="0" w:type="dxa"/>
              <w:left w:w="28" w:type="dxa"/>
              <w:bottom w:w="0" w:type="dxa"/>
              <w:right w:w="28" w:type="dxa"/>
            </w:tcMar>
          </w:tcPr>
          <w:p w14:paraId="7050BCA6" w14:textId="77D11C97" w:rsidR="007709AA" w:rsidRPr="00AC7830" w:rsidRDefault="007709AA" w:rsidP="00370D8E">
            <w:pPr>
              <w:pStyle w:val="Tabletext0"/>
              <w:keepNext/>
              <w:rPr>
                <w:szCs w:val="20"/>
              </w:rPr>
            </w:pPr>
            <w:r w:rsidRPr="00AC7830">
              <w:rPr>
                <w:szCs w:val="20"/>
              </w:rPr>
              <w:t xml:space="preserve">Annual change in placebo arm based on </w:t>
            </w:r>
            <w:proofErr w:type="spellStart"/>
            <w:r w:rsidRPr="00AC7830">
              <w:rPr>
                <w:szCs w:val="20"/>
              </w:rPr>
              <w:t>RaDaR</w:t>
            </w:r>
            <w:proofErr w:type="spellEnd"/>
            <w:r w:rsidRPr="00AC7830">
              <w:rPr>
                <w:szCs w:val="20"/>
              </w:rPr>
              <w:t xml:space="preserve"> registry </w:t>
            </w:r>
            <w:r w:rsidRPr="00AC7830">
              <w:rPr>
                <w:szCs w:val="20"/>
              </w:rPr>
              <w:br/>
              <w:t xml:space="preserve">(-4.90 </w:t>
            </w:r>
            <w:r w:rsidRPr="00AC7830">
              <w:t>mL/min/1.73</w:t>
            </w:r>
            <w:r w:rsidR="00D33B95" w:rsidRPr="00AC7830">
              <w:t xml:space="preserve"> </w:t>
            </w:r>
            <w:r w:rsidRPr="00AC7830">
              <w:t>m</w:t>
            </w:r>
            <w:r w:rsidRPr="00AC7830">
              <w:rPr>
                <w:vertAlign w:val="superscript"/>
              </w:rPr>
              <w:t xml:space="preserve">2 </w:t>
            </w:r>
            <w:r w:rsidRPr="00AC7830">
              <w:t>per year</w:t>
            </w:r>
            <w:r w:rsidRPr="00AC7830">
              <w:rPr>
                <w:szCs w:val="20"/>
              </w:rPr>
              <w:t>)</w:t>
            </w:r>
          </w:p>
        </w:tc>
        <w:tc>
          <w:tcPr>
            <w:tcW w:w="1174" w:type="dxa"/>
            <w:tcMar>
              <w:top w:w="0" w:type="dxa"/>
              <w:left w:w="28" w:type="dxa"/>
              <w:bottom w:w="0" w:type="dxa"/>
              <w:right w:w="28" w:type="dxa"/>
            </w:tcMar>
            <w:vAlign w:val="center"/>
          </w:tcPr>
          <w:p w14:paraId="646220AB" w14:textId="6E10B5A5"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238C1D69" w14:textId="77777777" w:rsidR="007709AA" w:rsidRPr="00AC7830" w:rsidRDefault="007709AA" w:rsidP="00370D8E">
            <w:pPr>
              <w:pStyle w:val="Tabletext0"/>
              <w:keepNext/>
              <w:jc w:val="center"/>
              <w:rPr>
                <w:szCs w:val="20"/>
              </w:rPr>
            </w:pPr>
            <w:r w:rsidRPr="00AC7830">
              <w:rPr>
                <w:szCs w:val="20"/>
              </w:rPr>
              <w:t>2.9053</w:t>
            </w:r>
          </w:p>
        </w:tc>
        <w:tc>
          <w:tcPr>
            <w:tcW w:w="1172" w:type="dxa"/>
            <w:tcMar>
              <w:top w:w="0" w:type="dxa"/>
              <w:left w:w="28" w:type="dxa"/>
              <w:bottom w:w="0" w:type="dxa"/>
              <w:right w:w="28" w:type="dxa"/>
            </w:tcMar>
            <w:vAlign w:val="center"/>
          </w:tcPr>
          <w:p w14:paraId="5150FE17" w14:textId="5C6A1477"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vAlign w:val="center"/>
          </w:tcPr>
          <w:p w14:paraId="2B3093FF" w14:textId="4F7EE83C" w:rsidR="007709AA" w:rsidRPr="00AC7830" w:rsidRDefault="00994C8B" w:rsidP="00370D8E">
            <w:pPr>
              <w:pStyle w:val="Tabletext0"/>
              <w:keepNext/>
              <w:jc w:val="center"/>
            </w:pPr>
            <w:r w:rsidRPr="00994C8B">
              <w:rPr>
                <w:highlight w:val="black"/>
              </w:rPr>
              <w:t>&amp;&amp;&amp;&amp;</w:t>
            </w:r>
            <w:r w:rsidR="007709AA" w:rsidRPr="00AC7830">
              <w:t>%</w:t>
            </w:r>
          </w:p>
        </w:tc>
      </w:tr>
      <w:tr w:rsidR="007709AA" w:rsidRPr="00AC7830" w14:paraId="026A0EE4" w14:textId="77777777">
        <w:tc>
          <w:tcPr>
            <w:tcW w:w="4323" w:type="dxa"/>
            <w:tcMar>
              <w:top w:w="0" w:type="dxa"/>
              <w:left w:w="28" w:type="dxa"/>
              <w:bottom w:w="0" w:type="dxa"/>
              <w:right w:w="28" w:type="dxa"/>
            </w:tcMar>
          </w:tcPr>
          <w:p w14:paraId="7ECE2D81" w14:textId="0CA37F1F" w:rsidR="007709AA" w:rsidRPr="00AC7830" w:rsidRDefault="007709AA" w:rsidP="00370D8E">
            <w:pPr>
              <w:pStyle w:val="Tabletext0"/>
              <w:keepNext/>
              <w:rPr>
                <w:szCs w:val="20"/>
              </w:rPr>
            </w:pPr>
            <w:r w:rsidRPr="00AC7830">
              <w:rPr>
                <w:szCs w:val="20"/>
              </w:rPr>
              <w:t xml:space="preserve">Annual change in placebo arm based on the subset of patients that progressed to kidney failure in GLOSEN registry (-6.50 </w:t>
            </w:r>
            <w:r w:rsidRPr="00AC7830">
              <w:t>mL/min/1.73</w:t>
            </w:r>
            <w:r w:rsidR="00D33B95" w:rsidRPr="00AC7830">
              <w:t xml:space="preserve"> </w:t>
            </w:r>
            <w:r w:rsidRPr="00AC7830">
              <w:t>m</w:t>
            </w:r>
            <w:r w:rsidRPr="00AC7830">
              <w:rPr>
                <w:vertAlign w:val="superscript"/>
              </w:rPr>
              <w:t xml:space="preserve">2 </w:t>
            </w:r>
            <w:r w:rsidRPr="00AC7830">
              <w:t>per year</w:t>
            </w:r>
            <w:r w:rsidRPr="00AC7830">
              <w:rPr>
                <w:szCs w:val="20"/>
              </w:rPr>
              <w:t>)</w:t>
            </w:r>
          </w:p>
        </w:tc>
        <w:tc>
          <w:tcPr>
            <w:tcW w:w="1174" w:type="dxa"/>
            <w:tcMar>
              <w:top w:w="0" w:type="dxa"/>
              <w:left w:w="28" w:type="dxa"/>
              <w:bottom w:w="0" w:type="dxa"/>
              <w:right w:w="28" w:type="dxa"/>
            </w:tcMar>
            <w:vAlign w:val="center"/>
          </w:tcPr>
          <w:p w14:paraId="46B4AB72" w14:textId="66E71F7C"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1C2203EA" w14:textId="77777777" w:rsidR="007709AA" w:rsidRPr="00AC7830" w:rsidRDefault="007709AA" w:rsidP="00370D8E">
            <w:pPr>
              <w:pStyle w:val="Tabletext0"/>
              <w:keepNext/>
              <w:jc w:val="center"/>
              <w:rPr>
                <w:szCs w:val="20"/>
              </w:rPr>
            </w:pPr>
            <w:r w:rsidRPr="00AC7830">
              <w:rPr>
                <w:szCs w:val="20"/>
              </w:rPr>
              <w:t>3.2484</w:t>
            </w:r>
          </w:p>
        </w:tc>
        <w:tc>
          <w:tcPr>
            <w:tcW w:w="1172" w:type="dxa"/>
            <w:tcMar>
              <w:top w:w="0" w:type="dxa"/>
              <w:left w:w="28" w:type="dxa"/>
              <w:bottom w:w="0" w:type="dxa"/>
              <w:right w:w="28" w:type="dxa"/>
            </w:tcMar>
            <w:vAlign w:val="center"/>
          </w:tcPr>
          <w:p w14:paraId="5FFCF721" w14:textId="30A987B9"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vAlign w:val="center"/>
          </w:tcPr>
          <w:p w14:paraId="06A1A600" w14:textId="10E07806" w:rsidR="007709AA" w:rsidRPr="00AC7830" w:rsidRDefault="00994C8B" w:rsidP="00370D8E">
            <w:pPr>
              <w:pStyle w:val="Tabletext0"/>
              <w:keepNext/>
              <w:jc w:val="center"/>
            </w:pPr>
            <w:r w:rsidRPr="00994C8B">
              <w:rPr>
                <w:highlight w:val="black"/>
              </w:rPr>
              <w:t>&amp;&amp;&amp;&amp;</w:t>
            </w:r>
            <w:r w:rsidR="007709AA" w:rsidRPr="00AC7830">
              <w:t>%</w:t>
            </w:r>
          </w:p>
        </w:tc>
      </w:tr>
      <w:tr w:rsidR="007709AA" w:rsidRPr="00AC7830" w14:paraId="09CBB6EE" w14:textId="77777777">
        <w:tc>
          <w:tcPr>
            <w:tcW w:w="4323" w:type="dxa"/>
            <w:tcMar>
              <w:top w:w="0" w:type="dxa"/>
              <w:left w:w="28" w:type="dxa"/>
              <w:bottom w:w="0" w:type="dxa"/>
              <w:right w:w="28" w:type="dxa"/>
            </w:tcMar>
          </w:tcPr>
          <w:p w14:paraId="39C9FFD8" w14:textId="77777777" w:rsidR="007709AA" w:rsidRPr="00AC7830" w:rsidRDefault="007709AA" w:rsidP="00370D8E">
            <w:pPr>
              <w:pStyle w:val="Tabletext0"/>
              <w:keepNext/>
              <w:rPr>
                <w:szCs w:val="20"/>
              </w:rPr>
            </w:pPr>
            <w:r w:rsidRPr="00AC7830">
              <w:rPr>
                <w:szCs w:val="20"/>
              </w:rPr>
              <w:t>Change in iptacopan arm based on 25% of the change in placebo arm</w:t>
            </w:r>
          </w:p>
        </w:tc>
        <w:tc>
          <w:tcPr>
            <w:tcW w:w="1174" w:type="dxa"/>
            <w:tcMar>
              <w:top w:w="0" w:type="dxa"/>
              <w:left w:w="28" w:type="dxa"/>
              <w:bottom w:w="0" w:type="dxa"/>
              <w:right w:w="28" w:type="dxa"/>
            </w:tcMar>
            <w:vAlign w:val="center"/>
          </w:tcPr>
          <w:p w14:paraId="1568D219" w14:textId="759FC052"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7150BE47" w14:textId="77777777" w:rsidR="007709AA" w:rsidRPr="00AC7830" w:rsidRDefault="007709AA" w:rsidP="00370D8E">
            <w:pPr>
              <w:pStyle w:val="Tabletext0"/>
              <w:keepNext/>
              <w:jc w:val="center"/>
              <w:rPr>
                <w:szCs w:val="20"/>
              </w:rPr>
            </w:pPr>
            <w:r w:rsidRPr="00AC7830">
              <w:rPr>
                <w:szCs w:val="20"/>
              </w:rPr>
              <w:t>2.1151</w:t>
            </w:r>
          </w:p>
        </w:tc>
        <w:tc>
          <w:tcPr>
            <w:tcW w:w="1172" w:type="dxa"/>
            <w:tcMar>
              <w:top w:w="0" w:type="dxa"/>
              <w:left w:w="28" w:type="dxa"/>
              <w:bottom w:w="0" w:type="dxa"/>
              <w:right w:w="28" w:type="dxa"/>
            </w:tcMar>
            <w:vAlign w:val="center"/>
          </w:tcPr>
          <w:p w14:paraId="41A0A8A6" w14:textId="3CBA05CD"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vAlign w:val="center"/>
          </w:tcPr>
          <w:p w14:paraId="4B72AFB6" w14:textId="2ED3B732" w:rsidR="007709AA" w:rsidRPr="00AC7830" w:rsidRDefault="00994C8B" w:rsidP="00370D8E">
            <w:pPr>
              <w:pStyle w:val="Tabletext0"/>
              <w:keepNext/>
              <w:jc w:val="center"/>
            </w:pPr>
            <w:r w:rsidRPr="00994C8B">
              <w:rPr>
                <w:highlight w:val="black"/>
              </w:rPr>
              <w:t>&amp;&amp;&amp;&amp;</w:t>
            </w:r>
            <w:r w:rsidR="007709AA" w:rsidRPr="00AC7830">
              <w:t>%</w:t>
            </w:r>
          </w:p>
        </w:tc>
      </w:tr>
      <w:tr w:rsidR="007709AA" w:rsidRPr="00AC7830" w14:paraId="52B35A5B" w14:textId="77777777">
        <w:tc>
          <w:tcPr>
            <w:tcW w:w="4323" w:type="dxa"/>
            <w:tcMar>
              <w:top w:w="0" w:type="dxa"/>
              <w:left w:w="28" w:type="dxa"/>
              <w:bottom w:w="0" w:type="dxa"/>
              <w:right w:w="28" w:type="dxa"/>
            </w:tcMar>
          </w:tcPr>
          <w:p w14:paraId="67358BD2" w14:textId="77777777" w:rsidR="007709AA" w:rsidRPr="00AC7830" w:rsidRDefault="007709AA" w:rsidP="00370D8E">
            <w:pPr>
              <w:pStyle w:val="Tabletext0"/>
              <w:keepNext/>
              <w:rPr>
                <w:szCs w:val="20"/>
              </w:rPr>
            </w:pPr>
            <w:r w:rsidRPr="00AC7830">
              <w:rPr>
                <w:szCs w:val="20"/>
              </w:rPr>
              <w:t>Change in iptacopan arm based on 50% of the change in placebo arm</w:t>
            </w:r>
          </w:p>
        </w:tc>
        <w:tc>
          <w:tcPr>
            <w:tcW w:w="1174" w:type="dxa"/>
            <w:tcMar>
              <w:top w:w="0" w:type="dxa"/>
              <w:left w:w="28" w:type="dxa"/>
              <w:bottom w:w="0" w:type="dxa"/>
              <w:right w:w="28" w:type="dxa"/>
            </w:tcMar>
            <w:vAlign w:val="center"/>
          </w:tcPr>
          <w:p w14:paraId="0C41DC72" w14:textId="0EE860CB"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55B2BD22" w14:textId="77777777" w:rsidR="007709AA" w:rsidRPr="00AC7830" w:rsidRDefault="007709AA" w:rsidP="00370D8E">
            <w:pPr>
              <w:pStyle w:val="Tabletext0"/>
              <w:keepNext/>
              <w:jc w:val="center"/>
              <w:rPr>
                <w:szCs w:val="20"/>
              </w:rPr>
            </w:pPr>
            <w:r w:rsidRPr="00AC7830">
              <w:rPr>
                <w:szCs w:val="20"/>
              </w:rPr>
              <w:t>1.1589</w:t>
            </w:r>
          </w:p>
        </w:tc>
        <w:tc>
          <w:tcPr>
            <w:tcW w:w="1172" w:type="dxa"/>
            <w:tcMar>
              <w:top w:w="0" w:type="dxa"/>
              <w:left w:w="28" w:type="dxa"/>
              <w:bottom w:w="0" w:type="dxa"/>
              <w:right w:w="28" w:type="dxa"/>
            </w:tcMar>
            <w:vAlign w:val="center"/>
          </w:tcPr>
          <w:p w14:paraId="450E9246" w14:textId="43D25DB3"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vAlign w:val="center"/>
          </w:tcPr>
          <w:p w14:paraId="5B0E67DC" w14:textId="4B9AD259" w:rsidR="007709AA" w:rsidRPr="00AC7830" w:rsidRDefault="00994C8B" w:rsidP="00370D8E">
            <w:pPr>
              <w:pStyle w:val="Tabletext0"/>
              <w:keepNext/>
              <w:jc w:val="center"/>
            </w:pPr>
            <w:r w:rsidRPr="00994C8B">
              <w:rPr>
                <w:highlight w:val="black"/>
              </w:rPr>
              <w:t>&amp;&amp;&amp;&amp;</w:t>
            </w:r>
            <w:r w:rsidR="007709AA" w:rsidRPr="00AC7830">
              <w:t>%</w:t>
            </w:r>
          </w:p>
        </w:tc>
      </w:tr>
      <w:tr w:rsidR="007709AA" w:rsidRPr="00AC7830" w14:paraId="3F05E44D" w14:textId="77777777">
        <w:tc>
          <w:tcPr>
            <w:tcW w:w="4323" w:type="dxa"/>
            <w:tcMar>
              <w:top w:w="0" w:type="dxa"/>
              <w:left w:w="28" w:type="dxa"/>
              <w:bottom w:w="0" w:type="dxa"/>
              <w:right w:w="28" w:type="dxa"/>
            </w:tcMar>
          </w:tcPr>
          <w:p w14:paraId="459E436E" w14:textId="77777777" w:rsidR="007709AA" w:rsidRPr="00AC7830" w:rsidRDefault="007709AA" w:rsidP="00370D8E">
            <w:pPr>
              <w:pStyle w:val="Tabletext0"/>
              <w:keepNext/>
              <w:rPr>
                <w:szCs w:val="20"/>
              </w:rPr>
            </w:pPr>
            <w:r w:rsidRPr="00AC7830">
              <w:rPr>
                <w:szCs w:val="20"/>
              </w:rPr>
              <w:t>Change in iptacopan arm based on 75% of the change in placebo arm</w:t>
            </w:r>
          </w:p>
        </w:tc>
        <w:tc>
          <w:tcPr>
            <w:tcW w:w="1174" w:type="dxa"/>
            <w:tcMar>
              <w:top w:w="0" w:type="dxa"/>
              <w:left w:w="28" w:type="dxa"/>
              <w:bottom w:w="0" w:type="dxa"/>
              <w:right w:w="28" w:type="dxa"/>
            </w:tcMar>
            <w:vAlign w:val="center"/>
          </w:tcPr>
          <w:p w14:paraId="638D9BCA" w14:textId="30D95E6E"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4A9E8380" w14:textId="77777777" w:rsidR="007709AA" w:rsidRPr="00AC7830" w:rsidRDefault="007709AA" w:rsidP="00370D8E">
            <w:pPr>
              <w:pStyle w:val="Tabletext0"/>
              <w:keepNext/>
              <w:jc w:val="center"/>
              <w:rPr>
                <w:szCs w:val="20"/>
              </w:rPr>
            </w:pPr>
            <w:r w:rsidRPr="00AC7830">
              <w:rPr>
                <w:szCs w:val="20"/>
              </w:rPr>
              <w:t>0.4854</w:t>
            </w:r>
          </w:p>
        </w:tc>
        <w:tc>
          <w:tcPr>
            <w:tcW w:w="1172" w:type="dxa"/>
            <w:tcMar>
              <w:top w:w="0" w:type="dxa"/>
              <w:left w:w="28" w:type="dxa"/>
              <w:bottom w:w="0" w:type="dxa"/>
              <w:right w:w="28" w:type="dxa"/>
            </w:tcMar>
            <w:vAlign w:val="center"/>
          </w:tcPr>
          <w:p w14:paraId="3E27ADA7" w14:textId="44D8CC49"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vAlign w:val="center"/>
          </w:tcPr>
          <w:p w14:paraId="133DA594" w14:textId="4AE87098" w:rsidR="007709AA" w:rsidRPr="00AC7830" w:rsidRDefault="00994C8B" w:rsidP="00370D8E">
            <w:pPr>
              <w:pStyle w:val="Tabletext0"/>
              <w:keepNext/>
              <w:jc w:val="center"/>
            </w:pPr>
            <w:r w:rsidRPr="00994C8B">
              <w:rPr>
                <w:highlight w:val="black"/>
              </w:rPr>
              <w:t>&amp;&amp;&amp;&amp;</w:t>
            </w:r>
            <w:r w:rsidR="007709AA" w:rsidRPr="00AC7830">
              <w:t>%</w:t>
            </w:r>
          </w:p>
        </w:tc>
      </w:tr>
      <w:tr w:rsidR="007709AA" w:rsidRPr="00AC7830" w14:paraId="111DBCB2" w14:textId="77777777">
        <w:tc>
          <w:tcPr>
            <w:tcW w:w="4323" w:type="dxa"/>
            <w:tcMar>
              <w:top w:w="0" w:type="dxa"/>
              <w:left w:w="28" w:type="dxa"/>
              <w:bottom w:w="0" w:type="dxa"/>
              <w:right w:w="28" w:type="dxa"/>
            </w:tcMar>
          </w:tcPr>
          <w:p w14:paraId="60142707" w14:textId="77777777" w:rsidR="007709AA" w:rsidRPr="00AC7830" w:rsidRDefault="007709AA" w:rsidP="00370D8E">
            <w:pPr>
              <w:pStyle w:val="Tabletext0"/>
              <w:keepNext/>
              <w:rPr>
                <w:szCs w:val="20"/>
              </w:rPr>
            </w:pPr>
            <w:r w:rsidRPr="00AC7830">
              <w:rPr>
                <w:szCs w:val="20"/>
              </w:rPr>
              <w:t>Change in iptacopan arm based on 100% of the change in placebo arm</w:t>
            </w:r>
          </w:p>
        </w:tc>
        <w:tc>
          <w:tcPr>
            <w:tcW w:w="1174" w:type="dxa"/>
            <w:tcMar>
              <w:top w:w="0" w:type="dxa"/>
              <w:left w:w="28" w:type="dxa"/>
              <w:bottom w:w="0" w:type="dxa"/>
              <w:right w:w="28" w:type="dxa"/>
            </w:tcMar>
            <w:vAlign w:val="center"/>
          </w:tcPr>
          <w:p w14:paraId="002A1535" w14:textId="3D586FA3"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697C47AD" w14:textId="77777777" w:rsidR="007709AA" w:rsidRPr="00AC7830" w:rsidRDefault="007709AA" w:rsidP="00370D8E">
            <w:pPr>
              <w:pStyle w:val="Tabletext0"/>
              <w:keepNext/>
              <w:jc w:val="center"/>
              <w:rPr>
                <w:szCs w:val="20"/>
              </w:rPr>
            </w:pPr>
            <w:r w:rsidRPr="00AC7830">
              <w:rPr>
                <w:szCs w:val="20"/>
              </w:rPr>
              <w:t>0.0000</w:t>
            </w:r>
          </w:p>
        </w:tc>
        <w:tc>
          <w:tcPr>
            <w:tcW w:w="1172" w:type="dxa"/>
            <w:tcMar>
              <w:top w:w="0" w:type="dxa"/>
              <w:left w:w="28" w:type="dxa"/>
              <w:bottom w:w="0" w:type="dxa"/>
              <w:right w:w="28" w:type="dxa"/>
            </w:tcMar>
            <w:vAlign w:val="center"/>
          </w:tcPr>
          <w:p w14:paraId="5FD6A53E" w14:textId="77777777" w:rsidR="007709AA" w:rsidRPr="00AC7830" w:rsidRDefault="007709AA" w:rsidP="00370D8E">
            <w:pPr>
              <w:pStyle w:val="Tabletext0"/>
              <w:keepNext/>
              <w:jc w:val="center"/>
              <w:rPr>
                <w:szCs w:val="20"/>
              </w:rPr>
            </w:pPr>
            <w:r w:rsidRPr="00AC7830">
              <w:rPr>
                <w:szCs w:val="20"/>
              </w:rPr>
              <w:t>Dominated</w:t>
            </w:r>
          </w:p>
        </w:tc>
        <w:tc>
          <w:tcPr>
            <w:tcW w:w="1186" w:type="dxa"/>
            <w:tcMar>
              <w:left w:w="28" w:type="dxa"/>
              <w:right w:w="28" w:type="dxa"/>
            </w:tcMar>
            <w:vAlign w:val="center"/>
          </w:tcPr>
          <w:p w14:paraId="488E2B3E" w14:textId="77777777" w:rsidR="007709AA" w:rsidRPr="00AC7830" w:rsidRDefault="007709AA" w:rsidP="00370D8E">
            <w:pPr>
              <w:pStyle w:val="Tabletext0"/>
              <w:keepNext/>
              <w:jc w:val="center"/>
            </w:pPr>
            <w:r w:rsidRPr="00AC7830">
              <w:t>NA</w:t>
            </w:r>
          </w:p>
        </w:tc>
      </w:tr>
      <w:tr w:rsidR="007709AA" w:rsidRPr="00AC7830" w14:paraId="45D74879" w14:textId="77777777">
        <w:tc>
          <w:tcPr>
            <w:tcW w:w="4323" w:type="dxa"/>
            <w:tcMar>
              <w:top w:w="0" w:type="dxa"/>
              <w:left w:w="28" w:type="dxa"/>
              <w:bottom w:w="0" w:type="dxa"/>
              <w:right w:w="28" w:type="dxa"/>
            </w:tcMar>
          </w:tcPr>
          <w:p w14:paraId="3CDCC3F8" w14:textId="77777777" w:rsidR="007709AA" w:rsidRPr="00AC7830" w:rsidRDefault="007709AA" w:rsidP="00370D8E">
            <w:pPr>
              <w:pStyle w:val="Tabletext0"/>
              <w:keepNext/>
              <w:rPr>
                <w:szCs w:val="20"/>
              </w:rPr>
            </w:pPr>
            <w:r w:rsidRPr="00AC7830">
              <w:rPr>
                <w:szCs w:val="20"/>
              </w:rPr>
              <w:t>Maximum duration of iptacopan benefit limited to 10 years</w:t>
            </w:r>
          </w:p>
        </w:tc>
        <w:tc>
          <w:tcPr>
            <w:tcW w:w="1174" w:type="dxa"/>
            <w:tcMar>
              <w:top w:w="0" w:type="dxa"/>
              <w:left w:w="28" w:type="dxa"/>
              <w:bottom w:w="0" w:type="dxa"/>
              <w:right w:w="28" w:type="dxa"/>
            </w:tcMar>
            <w:vAlign w:val="center"/>
          </w:tcPr>
          <w:p w14:paraId="7C56C99F" w14:textId="45469F9A"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2881D25F" w14:textId="77777777" w:rsidR="007709AA" w:rsidRPr="00AC7830" w:rsidRDefault="007709AA" w:rsidP="00370D8E">
            <w:pPr>
              <w:pStyle w:val="Tabletext0"/>
              <w:keepNext/>
              <w:jc w:val="center"/>
              <w:rPr>
                <w:szCs w:val="20"/>
              </w:rPr>
            </w:pPr>
            <w:r w:rsidRPr="00AC7830">
              <w:rPr>
                <w:szCs w:val="20"/>
              </w:rPr>
              <w:t>1.9681</w:t>
            </w:r>
          </w:p>
        </w:tc>
        <w:tc>
          <w:tcPr>
            <w:tcW w:w="1172" w:type="dxa"/>
            <w:tcMar>
              <w:top w:w="0" w:type="dxa"/>
              <w:left w:w="28" w:type="dxa"/>
              <w:bottom w:w="0" w:type="dxa"/>
              <w:right w:w="28" w:type="dxa"/>
            </w:tcMar>
            <w:vAlign w:val="center"/>
          </w:tcPr>
          <w:p w14:paraId="177058DC" w14:textId="77414969"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vAlign w:val="center"/>
          </w:tcPr>
          <w:p w14:paraId="4C0DBB4D" w14:textId="029A1C1A" w:rsidR="007709AA" w:rsidRPr="00AC7830" w:rsidRDefault="00994C8B" w:rsidP="00370D8E">
            <w:pPr>
              <w:pStyle w:val="Tabletext0"/>
              <w:keepNext/>
              <w:jc w:val="center"/>
            </w:pPr>
            <w:r w:rsidRPr="00994C8B">
              <w:rPr>
                <w:highlight w:val="black"/>
              </w:rPr>
              <w:t>&amp;&amp;&amp;&amp;</w:t>
            </w:r>
            <w:r w:rsidR="007709AA" w:rsidRPr="00AC7830">
              <w:t>%</w:t>
            </w:r>
          </w:p>
        </w:tc>
      </w:tr>
      <w:tr w:rsidR="007709AA" w:rsidRPr="00AC7830" w14:paraId="614FD985" w14:textId="77777777">
        <w:tc>
          <w:tcPr>
            <w:tcW w:w="4323" w:type="dxa"/>
            <w:tcMar>
              <w:top w:w="0" w:type="dxa"/>
              <w:left w:w="28" w:type="dxa"/>
              <w:bottom w:w="0" w:type="dxa"/>
              <w:right w:w="28" w:type="dxa"/>
            </w:tcMar>
          </w:tcPr>
          <w:p w14:paraId="6F041914" w14:textId="77777777" w:rsidR="007709AA" w:rsidRPr="00AC7830" w:rsidRDefault="007709AA" w:rsidP="00370D8E">
            <w:pPr>
              <w:pStyle w:val="Tabletext0"/>
              <w:keepNext/>
              <w:rPr>
                <w:szCs w:val="20"/>
              </w:rPr>
            </w:pPr>
            <w:r w:rsidRPr="00AC7830">
              <w:rPr>
                <w:szCs w:val="20"/>
              </w:rPr>
              <w:t>Maximum duration of iptacopan benefit limited to 20 years</w:t>
            </w:r>
          </w:p>
        </w:tc>
        <w:tc>
          <w:tcPr>
            <w:tcW w:w="1174" w:type="dxa"/>
            <w:tcMar>
              <w:top w:w="0" w:type="dxa"/>
              <w:left w:w="28" w:type="dxa"/>
              <w:bottom w:w="0" w:type="dxa"/>
              <w:right w:w="28" w:type="dxa"/>
            </w:tcMar>
            <w:vAlign w:val="center"/>
          </w:tcPr>
          <w:p w14:paraId="0B430D47" w14:textId="1E1FB024"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26611DC2" w14:textId="77777777" w:rsidR="007709AA" w:rsidRPr="00AC7830" w:rsidRDefault="007709AA" w:rsidP="00370D8E">
            <w:pPr>
              <w:pStyle w:val="Tabletext0"/>
              <w:keepNext/>
              <w:jc w:val="center"/>
              <w:rPr>
                <w:szCs w:val="20"/>
              </w:rPr>
            </w:pPr>
            <w:r w:rsidRPr="00AC7830">
              <w:rPr>
                <w:szCs w:val="20"/>
              </w:rPr>
              <w:t>2.8716</w:t>
            </w:r>
          </w:p>
        </w:tc>
        <w:tc>
          <w:tcPr>
            <w:tcW w:w="1172" w:type="dxa"/>
            <w:tcMar>
              <w:top w:w="0" w:type="dxa"/>
              <w:left w:w="28" w:type="dxa"/>
              <w:bottom w:w="0" w:type="dxa"/>
              <w:right w:w="28" w:type="dxa"/>
            </w:tcMar>
            <w:vAlign w:val="center"/>
          </w:tcPr>
          <w:p w14:paraId="76BF6175" w14:textId="7F6E9AB7"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vAlign w:val="center"/>
          </w:tcPr>
          <w:p w14:paraId="270AB85F" w14:textId="1444B2E0" w:rsidR="007709AA" w:rsidRPr="00AC7830" w:rsidRDefault="00994C8B" w:rsidP="00370D8E">
            <w:pPr>
              <w:pStyle w:val="Tabletext0"/>
              <w:keepNext/>
              <w:jc w:val="center"/>
            </w:pPr>
            <w:r w:rsidRPr="00994C8B">
              <w:rPr>
                <w:highlight w:val="black"/>
              </w:rPr>
              <w:t>&amp;&amp;&amp;&amp;</w:t>
            </w:r>
            <w:r w:rsidR="007709AA" w:rsidRPr="00AC7830">
              <w:t>%</w:t>
            </w:r>
          </w:p>
        </w:tc>
      </w:tr>
      <w:tr w:rsidR="007709AA" w:rsidRPr="00AC7830" w14:paraId="0283C41A" w14:textId="77777777">
        <w:tc>
          <w:tcPr>
            <w:tcW w:w="4323" w:type="dxa"/>
            <w:tcMar>
              <w:top w:w="0" w:type="dxa"/>
              <w:left w:w="28" w:type="dxa"/>
              <w:bottom w:w="0" w:type="dxa"/>
              <w:right w:w="28" w:type="dxa"/>
            </w:tcMar>
          </w:tcPr>
          <w:p w14:paraId="4F58A852" w14:textId="77777777" w:rsidR="007709AA" w:rsidRPr="00AC7830" w:rsidRDefault="007709AA" w:rsidP="00370D8E">
            <w:pPr>
              <w:pStyle w:val="Tabletext0"/>
              <w:keepNext/>
              <w:rPr>
                <w:szCs w:val="20"/>
              </w:rPr>
            </w:pPr>
            <w:r w:rsidRPr="00AC7830">
              <w:rPr>
                <w:szCs w:val="20"/>
              </w:rPr>
              <w:t>Maximum duration of iptacopan benefit limited to 30 years</w:t>
            </w:r>
          </w:p>
        </w:tc>
        <w:tc>
          <w:tcPr>
            <w:tcW w:w="1174" w:type="dxa"/>
            <w:tcMar>
              <w:top w:w="0" w:type="dxa"/>
              <w:left w:w="28" w:type="dxa"/>
              <w:bottom w:w="0" w:type="dxa"/>
              <w:right w:w="28" w:type="dxa"/>
            </w:tcMar>
            <w:vAlign w:val="center"/>
          </w:tcPr>
          <w:p w14:paraId="173E25F0" w14:textId="4B11747A"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46421AFD" w14:textId="77777777" w:rsidR="007709AA" w:rsidRPr="00AC7830" w:rsidRDefault="007709AA" w:rsidP="00370D8E">
            <w:pPr>
              <w:pStyle w:val="Tabletext0"/>
              <w:keepNext/>
              <w:jc w:val="center"/>
              <w:rPr>
                <w:szCs w:val="20"/>
              </w:rPr>
            </w:pPr>
            <w:r w:rsidRPr="00AC7830">
              <w:rPr>
                <w:szCs w:val="20"/>
              </w:rPr>
              <w:t>3.2694</w:t>
            </w:r>
          </w:p>
        </w:tc>
        <w:tc>
          <w:tcPr>
            <w:tcW w:w="1172" w:type="dxa"/>
            <w:tcMar>
              <w:top w:w="0" w:type="dxa"/>
              <w:left w:w="28" w:type="dxa"/>
              <w:bottom w:w="0" w:type="dxa"/>
              <w:right w:w="28" w:type="dxa"/>
            </w:tcMar>
            <w:vAlign w:val="center"/>
          </w:tcPr>
          <w:p w14:paraId="71123B97" w14:textId="724DD581"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szCs w:val="20"/>
                <w:vertAlign w:val="superscript"/>
              </w:rPr>
              <w:t>3</w:t>
            </w:r>
          </w:p>
        </w:tc>
        <w:tc>
          <w:tcPr>
            <w:tcW w:w="1186" w:type="dxa"/>
            <w:tcMar>
              <w:left w:w="28" w:type="dxa"/>
              <w:right w:w="28" w:type="dxa"/>
            </w:tcMar>
            <w:vAlign w:val="center"/>
          </w:tcPr>
          <w:p w14:paraId="63850E55" w14:textId="632577C8" w:rsidR="007709AA" w:rsidRPr="00AC7830" w:rsidRDefault="00994C8B" w:rsidP="00370D8E">
            <w:pPr>
              <w:pStyle w:val="Tabletext0"/>
              <w:keepNext/>
              <w:jc w:val="center"/>
            </w:pPr>
            <w:r w:rsidRPr="00994C8B">
              <w:rPr>
                <w:highlight w:val="black"/>
              </w:rPr>
              <w:t>&amp;&amp;&amp;&amp;</w:t>
            </w:r>
            <w:r w:rsidR="007709AA" w:rsidRPr="00AC7830">
              <w:t>%</w:t>
            </w:r>
          </w:p>
        </w:tc>
      </w:tr>
      <w:tr w:rsidR="007709AA" w:rsidRPr="00AC7830" w14:paraId="386AC4BB" w14:textId="77777777">
        <w:tc>
          <w:tcPr>
            <w:tcW w:w="4323" w:type="dxa"/>
            <w:tcMar>
              <w:top w:w="0" w:type="dxa"/>
              <w:left w:w="28" w:type="dxa"/>
              <w:bottom w:w="0" w:type="dxa"/>
              <w:right w:w="28" w:type="dxa"/>
            </w:tcMar>
          </w:tcPr>
          <w:p w14:paraId="1406B82B" w14:textId="77777777" w:rsidR="007709AA" w:rsidRPr="00AC7830" w:rsidRDefault="007709AA" w:rsidP="00370D8E">
            <w:pPr>
              <w:pStyle w:val="Tabletext0"/>
              <w:keepNext/>
              <w:rPr>
                <w:szCs w:val="20"/>
              </w:rPr>
            </w:pPr>
            <w:r w:rsidRPr="00AC7830">
              <w:rPr>
                <w:szCs w:val="20"/>
              </w:rPr>
              <w:t>Maximum duration of iptacopan benefit limited to 40 years</w:t>
            </w:r>
          </w:p>
        </w:tc>
        <w:tc>
          <w:tcPr>
            <w:tcW w:w="1174" w:type="dxa"/>
            <w:tcMar>
              <w:top w:w="0" w:type="dxa"/>
              <w:left w:w="28" w:type="dxa"/>
              <w:bottom w:w="0" w:type="dxa"/>
              <w:right w:w="28" w:type="dxa"/>
            </w:tcMar>
            <w:vAlign w:val="center"/>
          </w:tcPr>
          <w:p w14:paraId="60D40F3B" w14:textId="23558250"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42593176" w14:textId="77777777" w:rsidR="007709AA" w:rsidRPr="00AC7830" w:rsidRDefault="007709AA" w:rsidP="00370D8E">
            <w:pPr>
              <w:pStyle w:val="Tabletext0"/>
              <w:keepNext/>
              <w:jc w:val="center"/>
              <w:rPr>
                <w:szCs w:val="20"/>
              </w:rPr>
            </w:pPr>
            <w:r w:rsidRPr="00AC7830">
              <w:rPr>
                <w:szCs w:val="20"/>
              </w:rPr>
              <w:t>3.4093</w:t>
            </w:r>
          </w:p>
        </w:tc>
        <w:tc>
          <w:tcPr>
            <w:tcW w:w="1172" w:type="dxa"/>
            <w:tcMar>
              <w:top w:w="0" w:type="dxa"/>
              <w:left w:w="28" w:type="dxa"/>
              <w:bottom w:w="0" w:type="dxa"/>
              <w:right w:w="28" w:type="dxa"/>
            </w:tcMar>
            <w:vAlign w:val="center"/>
          </w:tcPr>
          <w:p w14:paraId="72CB4C56" w14:textId="7E64331D" w:rsidR="007709AA" w:rsidRPr="00FC6681" w:rsidRDefault="007709AA" w:rsidP="00370D8E">
            <w:pPr>
              <w:pStyle w:val="Tabletext0"/>
              <w:keepNext/>
              <w:jc w:val="center"/>
              <w:rPr>
                <w:szCs w:val="20"/>
                <w:vertAlign w:val="superscript"/>
              </w:rPr>
            </w:pPr>
            <w:r w:rsidRPr="00AC7830">
              <w:rPr>
                <w:szCs w:val="20"/>
              </w:rPr>
              <w:t>$</w:t>
            </w:r>
            <w:r w:rsidR="00994C8B" w:rsidRPr="00994C8B">
              <w:rPr>
                <w:szCs w:val="20"/>
                <w:highlight w:val="black"/>
              </w:rPr>
              <w:t>&amp;&amp;&amp;&amp;</w:t>
            </w:r>
            <w:r w:rsidR="00FC6681">
              <w:rPr>
                <w:szCs w:val="20"/>
                <w:vertAlign w:val="superscript"/>
              </w:rPr>
              <w:t>3</w:t>
            </w:r>
          </w:p>
        </w:tc>
        <w:tc>
          <w:tcPr>
            <w:tcW w:w="1186" w:type="dxa"/>
            <w:tcMar>
              <w:left w:w="28" w:type="dxa"/>
              <w:right w:w="28" w:type="dxa"/>
            </w:tcMar>
            <w:vAlign w:val="center"/>
          </w:tcPr>
          <w:p w14:paraId="7C3C8297" w14:textId="480CB9A5" w:rsidR="007709AA" w:rsidRPr="00AC7830" w:rsidRDefault="00994C8B" w:rsidP="00370D8E">
            <w:pPr>
              <w:pStyle w:val="Tabletext0"/>
              <w:keepNext/>
              <w:jc w:val="center"/>
            </w:pPr>
            <w:r w:rsidRPr="00994C8B">
              <w:rPr>
                <w:highlight w:val="black"/>
              </w:rPr>
              <w:t>&amp;&amp;&amp;&amp;</w:t>
            </w:r>
            <w:r w:rsidR="007709AA" w:rsidRPr="00AC7830">
              <w:t>%</w:t>
            </w:r>
          </w:p>
        </w:tc>
      </w:tr>
      <w:tr w:rsidR="007709AA" w:rsidRPr="00AC7830" w14:paraId="62B13B1A" w14:textId="77777777">
        <w:tc>
          <w:tcPr>
            <w:tcW w:w="9029" w:type="dxa"/>
            <w:gridSpan w:val="5"/>
            <w:tcMar>
              <w:top w:w="0" w:type="dxa"/>
              <w:left w:w="28" w:type="dxa"/>
              <w:bottom w:w="0" w:type="dxa"/>
              <w:right w:w="28" w:type="dxa"/>
            </w:tcMar>
          </w:tcPr>
          <w:p w14:paraId="730A06BB" w14:textId="3E1942F4" w:rsidR="007709AA" w:rsidRPr="00AC7830" w:rsidRDefault="00C474F8" w:rsidP="00370D8E">
            <w:pPr>
              <w:pStyle w:val="Tabletext0"/>
              <w:keepNext/>
              <w:rPr>
                <w:b/>
                <w:bCs/>
              </w:rPr>
            </w:pPr>
            <w:r w:rsidRPr="00AC7830">
              <w:rPr>
                <w:b/>
                <w:bCs/>
              </w:rPr>
              <w:t>Kidney</w:t>
            </w:r>
            <w:r w:rsidR="007709AA" w:rsidRPr="00AC7830">
              <w:rPr>
                <w:b/>
                <w:bCs/>
              </w:rPr>
              <w:t xml:space="preserve"> replacement therapies (revised base case: assume all patients with an eGFR </w:t>
            </w:r>
            <w:r w:rsidR="00364110">
              <w:rPr>
                <w:b/>
                <w:bCs/>
              </w:rPr>
              <w:t xml:space="preserve">&lt; </w:t>
            </w:r>
            <w:r w:rsidR="007709AA" w:rsidRPr="00AC7830">
              <w:rPr>
                <w:b/>
                <w:bCs/>
              </w:rPr>
              <w:t>7 mL/min/1.73</w:t>
            </w:r>
            <w:r w:rsidR="00464B97" w:rsidRPr="00AC7830">
              <w:rPr>
                <w:b/>
                <w:bCs/>
              </w:rPr>
              <w:t xml:space="preserve"> </w:t>
            </w:r>
            <w:r w:rsidR="007709AA" w:rsidRPr="00AC7830">
              <w:rPr>
                <w:b/>
                <w:bCs/>
              </w:rPr>
              <w:t>m</w:t>
            </w:r>
            <w:r w:rsidR="007709AA" w:rsidRPr="00AC7830">
              <w:rPr>
                <w:b/>
                <w:bCs/>
                <w:vertAlign w:val="superscript"/>
              </w:rPr>
              <w:t xml:space="preserve">2 </w:t>
            </w:r>
            <w:r w:rsidR="007709AA" w:rsidRPr="00AC7830">
              <w:rPr>
                <w:b/>
                <w:bCs/>
              </w:rPr>
              <w:t>would use dialysis, with transplantation probabilities estimated from the</w:t>
            </w:r>
            <w:r w:rsidR="007709AA" w:rsidRPr="00AC7830">
              <w:t xml:space="preserve"> </w:t>
            </w:r>
            <w:r w:rsidR="007709AA" w:rsidRPr="00AC7830">
              <w:rPr>
                <w:b/>
                <w:bCs/>
              </w:rPr>
              <w:t>ANZDATA 2024, 47th Annual Report)</w:t>
            </w:r>
          </w:p>
        </w:tc>
      </w:tr>
      <w:tr w:rsidR="007709AA" w:rsidRPr="00AC7830" w14:paraId="7A365E06" w14:textId="77777777">
        <w:tc>
          <w:tcPr>
            <w:tcW w:w="4323" w:type="dxa"/>
            <w:tcMar>
              <w:top w:w="0" w:type="dxa"/>
              <w:left w:w="28" w:type="dxa"/>
              <w:bottom w:w="0" w:type="dxa"/>
              <w:right w:w="28" w:type="dxa"/>
            </w:tcMar>
          </w:tcPr>
          <w:p w14:paraId="4435485C" w14:textId="77777777" w:rsidR="007709AA" w:rsidRPr="00AC7830" w:rsidRDefault="007709AA" w:rsidP="00370D8E">
            <w:pPr>
              <w:pStyle w:val="Tabletext0"/>
              <w:keepNext/>
              <w:rPr>
                <w:szCs w:val="20"/>
              </w:rPr>
            </w:pPr>
            <w:r w:rsidRPr="00AC7830">
              <w:rPr>
                <w:szCs w:val="20"/>
              </w:rPr>
              <w:t>Transplantation rate from dialysis based on younger patients aged 15 to 64 years (ANZDATA)</w:t>
            </w:r>
          </w:p>
        </w:tc>
        <w:tc>
          <w:tcPr>
            <w:tcW w:w="1174" w:type="dxa"/>
            <w:tcMar>
              <w:top w:w="0" w:type="dxa"/>
              <w:left w:w="28" w:type="dxa"/>
              <w:bottom w:w="0" w:type="dxa"/>
              <w:right w:w="28" w:type="dxa"/>
            </w:tcMar>
            <w:vAlign w:val="center"/>
          </w:tcPr>
          <w:p w14:paraId="4B25CB30" w14:textId="08639BC6"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03F0BB25" w14:textId="77777777" w:rsidR="007709AA" w:rsidRPr="00AC7830" w:rsidRDefault="007709AA" w:rsidP="00370D8E">
            <w:pPr>
              <w:pStyle w:val="Tabletext0"/>
              <w:keepNext/>
              <w:jc w:val="center"/>
              <w:rPr>
                <w:szCs w:val="20"/>
              </w:rPr>
            </w:pPr>
            <w:r w:rsidRPr="00AC7830">
              <w:rPr>
                <w:szCs w:val="20"/>
              </w:rPr>
              <w:t>2.8950</w:t>
            </w:r>
          </w:p>
        </w:tc>
        <w:tc>
          <w:tcPr>
            <w:tcW w:w="1172" w:type="dxa"/>
            <w:tcMar>
              <w:top w:w="0" w:type="dxa"/>
              <w:left w:w="28" w:type="dxa"/>
              <w:bottom w:w="0" w:type="dxa"/>
              <w:right w:w="28" w:type="dxa"/>
            </w:tcMar>
            <w:vAlign w:val="center"/>
          </w:tcPr>
          <w:p w14:paraId="45483197" w14:textId="074488B5"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vAlign w:val="center"/>
          </w:tcPr>
          <w:p w14:paraId="7DA33BB4" w14:textId="290481DD" w:rsidR="007709AA" w:rsidRPr="00AC7830" w:rsidRDefault="00994C8B" w:rsidP="00370D8E">
            <w:pPr>
              <w:pStyle w:val="Tabletext0"/>
              <w:keepNext/>
              <w:jc w:val="center"/>
            </w:pPr>
            <w:r w:rsidRPr="00994C8B">
              <w:rPr>
                <w:highlight w:val="black"/>
              </w:rPr>
              <w:t>&amp;&amp;&amp;&amp;</w:t>
            </w:r>
            <w:r w:rsidR="007709AA" w:rsidRPr="00AC7830">
              <w:t>%</w:t>
            </w:r>
          </w:p>
        </w:tc>
      </w:tr>
      <w:tr w:rsidR="007709AA" w:rsidRPr="00AC7830" w14:paraId="1416467F" w14:textId="77777777">
        <w:tc>
          <w:tcPr>
            <w:tcW w:w="4323" w:type="dxa"/>
            <w:tcMar>
              <w:top w:w="0" w:type="dxa"/>
              <w:left w:w="28" w:type="dxa"/>
              <w:bottom w:w="0" w:type="dxa"/>
              <w:right w:w="28" w:type="dxa"/>
            </w:tcMar>
          </w:tcPr>
          <w:p w14:paraId="12C21347" w14:textId="77777777" w:rsidR="007709AA" w:rsidRPr="00AC7830" w:rsidRDefault="007709AA" w:rsidP="00370D8E">
            <w:pPr>
              <w:pStyle w:val="Tabletext0"/>
              <w:keepNext/>
              <w:rPr>
                <w:szCs w:val="20"/>
              </w:rPr>
            </w:pPr>
            <w:r w:rsidRPr="00AC7830">
              <w:rPr>
                <w:szCs w:val="20"/>
              </w:rPr>
              <w:t>Graft failure rate based on graft failures only (ANZDATA) instead of combined estimate of graft failure and death with functioning graft</w:t>
            </w:r>
          </w:p>
        </w:tc>
        <w:tc>
          <w:tcPr>
            <w:tcW w:w="1174" w:type="dxa"/>
            <w:tcMar>
              <w:top w:w="0" w:type="dxa"/>
              <w:left w:w="28" w:type="dxa"/>
              <w:bottom w:w="0" w:type="dxa"/>
              <w:right w:w="28" w:type="dxa"/>
            </w:tcMar>
            <w:vAlign w:val="center"/>
          </w:tcPr>
          <w:p w14:paraId="3A6A5173" w14:textId="11921E5F"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1BC38DA2" w14:textId="77777777" w:rsidR="007709AA" w:rsidRPr="00AC7830" w:rsidRDefault="007709AA" w:rsidP="00370D8E">
            <w:pPr>
              <w:pStyle w:val="Tabletext0"/>
              <w:keepNext/>
              <w:jc w:val="center"/>
              <w:rPr>
                <w:szCs w:val="20"/>
              </w:rPr>
            </w:pPr>
            <w:r w:rsidRPr="00AC7830">
              <w:rPr>
                <w:szCs w:val="20"/>
              </w:rPr>
              <w:t>3.0852</w:t>
            </w:r>
          </w:p>
        </w:tc>
        <w:tc>
          <w:tcPr>
            <w:tcW w:w="1172" w:type="dxa"/>
            <w:tcMar>
              <w:top w:w="0" w:type="dxa"/>
              <w:left w:w="28" w:type="dxa"/>
              <w:bottom w:w="0" w:type="dxa"/>
              <w:right w:w="28" w:type="dxa"/>
            </w:tcMar>
            <w:vAlign w:val="center"/>
          </w:tcPr>
          <w:p w14:paraId="381D460F" w14:textId="04F2B2F1"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vAlign w:val="center"/>
          </w:tcPr>
          <w:p w14:paraId="56158EDB" w14:textId="1B11F2D6" w:rsidR="007709AA" w:rsidRPr="00AC7830" w:rsidRDefault="00994C8B" w:rsidP="00370D8E">
            <w:pPr>
              <w:pStyle w:val="Tabletext0"/>
              <w:keepNext/>
              <w:jc w:val="center"/>
            </w:pPr>
            <w:r w:rsidRPr="00994C8B">
              <w:rPr>
                <w:highlight w:val="black"/>
              </w:rPr>
              <w:t>&amp;&amp;&amp;&amp;</w:t>
            </w:r>
            <w:r w:rsidR="007709AA" w:rsidRPr="00AC7830">
              <w:t>%</w:t>
            </w:r>
          </w:p>
        </w:tc>
      </w:tr>
      <w:tr w:rsidR="007709AA" w:rsidRPr="00AC7830" w14:paraId="1D645487" w14:textId="77777777">
        <w:tc>
          <w:tcPr>
            <w:tcW w:w="9029" w:type="dxa"/>
            <w:gridSpan w:val="5"/>
            <w:tcMar>
              <w:top w:w="0" w:type="dxa"/>
              <w:left w:w="28" w:type="dxa"/>
              <w:bottom w:w="0" w:type="dxa"/>
              <w:right w:w="28" w:type="dxa"/>
            </w:tcMar>
            <w:vAlign w:val="center"/>
          </w:tcPr>
          <w:p w14:paraId="359B2EEF" w14:textId="77777777" w:rsidR="007709AA" w:rsidRPr="00AC7830" w:rsidRDefault="007709AA" w:rsidP="00370D8E">
            <w:pPr>
              <w:pStyle w:val="Tabletext0"/>
              <w:keepNext/>
              <w:rPr>
                <w:b/>
                <w:bCs/>
                <w:szCs w:val="20"/>
              </w:rPr>
            </w:pPr>
            <w:r w:rsidRPr="00AC7830">
              <w:rPr>
                <w:b/>
                <w:bCs/>
                <w:szCs w:val="20"/>
              </w:rPr>
              <w:t>Utility values (revised base case: based on EQ-5D-5L health state utility values reported in de Freitas 2023 for primary hyperoxaluria type 1)</w:t>
            </w:r>
          </w:p>
        </w:tc>
      </w:tr>
      <w:tr w:rsidR="007709AA" w:rsidRPr="00AC7830" w14:paraId="4C1523CF" w14:textId="77777777">
        <w:tc>
          <w:tcPr>
            <w:tcW w:w="4323" w:type="dxa"/>
            <w:tcMar>
              <w:top w:w="0" w:type="dxa"/>
              <w:left w:w="28" w:type="dxa"/>
              <w:bottom w:w="0" w:type="dxa"/>
              <w:right w:w="28" w:type="dxa"/>
            </w:tcMar>
            <w:vAlign w:val="center"/>
          </w:tcPr>
          <w:p w14:paraId="2D0B8062" w14:textId="77777777" w:rsidR="007709AA" w:rsidRPr="00AC7830" w:rsidRDefault="007709AA" w:rsidP="00370D8E">
            <w:pPr>
              <w:pStyle w:val="Tabletext0"/>
              <w:keepNext/>
              <w:rPr>
                <w:szCs w:val="20"/>
              </w:rPr>
            </w:pPr>
            <w:r w:rsidRPr="00AC7830">
              <w:rPr>
                <w:szCs w:val="20"/>
              </w:rPr>
              <w:t xml:space="preserve">Health state utility values based on TTO estimates from </w:t>
            </w:r>
          </w:p>
          <w:p w14:paraId="2D48F210" w14:textId="77777777" w:rsidR="007709AA" w:rsidRPr="00AC7830" w:rsidRDefault="007709AA" w:rsidP="00370D8E">
            <w:pPr>
              <w:pStyle w:val="Tabletext0"/>
              <w:keepNext/>
              <w:rPr>
                <w:szCs w:val="20"/>
              </w:rPr>
            </w:pPr>
            <w:r w:rsidRPr="00AC7830">
              <w:rPr>
                <w:szCs w:val="20"/>
              </w:rPr>
              <w:t>de Freitas 2023</w:t>
            </w:r>
          </w:p>
        </w:tc>
        <w:tc>
          <w:tcPr>
            <w:tcW w:w="1174" w:type="dxa"/>
            <w:tcMar>
              <w:top w:w="0" w:type="dxa"/>
              <w:left w:w="28" w:type="dxa"/>
              <w:bottom w:w="0" w:type="dxa"/>
              <w:right w:w="28" w:type="dxa"/>
            </w:tcMar>
            <w:vAlign w:val="center"/>
          </w:tcPr>
          <w:p w14:paraId="627B2E12" w14:textId="2ECAC3D8"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2AA355B6" w14:textId="77777777" w:rsidR="007709AA" w:rsidRPr="00AC7830" w:rsidRDefault="007709AA" w:rsidP="00370D8E">
            <w:pPr>
              <w:pStyle w:val="Tabletext0"/>
              <w:keepNext/>
              <w:jc w:val="center"/>
              <w:rPr>
                <w:szCs w:val="20"/>
              </w:rPr>
            </w:pPr>
            <w:r w:rsidRPr="00AC7830">
              <w:rPr>
                <w:szCs w:val="20"/>
              </w:rPr>
              <w:t>3.0591</w:t>
            </w:r>
          </w:p>
        </w:tc>
        <w:tc>
          <w:tcPr>
            <w:tcW w:w="1172" w:type="dxa"/>
            <w:tcMar>
              <w:top w:w="0" w:type="dxa"/>
              <w:left w:w="28" w:type="dxa"/>
              <w:bottom w:w="0" w:type="dxa"/>
              <w:right w:w="28" w:type="dxa"/>
            </w:tcMar>
            <w:vAlign w:val="center"/>
          </w:tcPr>
          <w:p w14:paraId="571BF38B" w14:textId="1B39EFCF"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vAlign w:val="center"/>
          </w:tcPr>
          <w:p w14:paraId="665AFFD3" w14:textId="6E0EC01B" w:rsidR="007709AA" w:rsidRPr="00AC7830" w:rsidRDefault="00994C8B" w:rsidP="00370D8E">
            <w:pPr>
              <w:pStyle w:val="Tabletext0"/>
              <w:keepNext/>
              <w:jc w:val="center"/>
              <w:rPr>
                <w:szCs w:val="20"/>
              </w:rPr>
            </w:pPr>
            <w:r w:rsidRPr="00994C8B">
              <w:rPr>
                <w:szCs w:val="20"/>
                <w:highlight w:val="black"/>
              </w:rPr>
              <w:t>&amp;&amp;&amp;&amp;</w:t>
            </w:r>
            <w:r w:rsidR="007709AA" w:rsidRPr="00AC7830">
              <w:rPr>
                <w:szCs w:val="20"/>
              </w:rPr>
              <w:t>%</w:t>
            </w:r>
          </w:p>
        </w:tc>
      </w:tr>
      <w:tr w:rsidR="007709AA" w:rsidRPr="00AC7830" w14:paraId="3CF4D296" w14:textId="77777777">
        <w:tc>
          <w:tcPr>
            <w:tcW w:w="4323" w:type="dxa"/>
            <w:tcMar>
              <w:top w:w="0" w:type="dxa"/>
              <w:left w:w="28" w:type="dxa"/>
              <w:bottom w:w="0" w:type="dxa"/>
              <w:right w:w="28" w:type="dxa"/>
            </w:tcMar>
            <w:vAlign w:val="center"/>
          </w:tcPr>
          <w:p w14:paraId="620B9417" w14:textId="77777777" w:rsidR="007709AA" w:rsidRPr="00AC7830" w:rsidRDefault="007709AA" w:rsidP="00370D8E">
            <w:pPr>
              <w:pStyle w:val="Tabletext0"/>
              <w:keepNext/>
              <w:rPr>
                <w:szCs w:val="20"/>
              </w:rPr>
            </w:pPr>
            <w:r w:rsidRPr="00AC7830">
              <w:rPr>
                <w:szCs w:val="20"/>
              </w:rPr>
              <w:t>Health state utility values based on EQ-5D-3L estimates from Deloitte 2023</w:t>
            </w:r>
          </w:p>
        </w:tc>
        <w:tc>
          <w:tcPr>
            <w:tcW w:w="1174" w:type="dxa"/>
            <w:tcMar>
              <w:top w:w="0" w:type="dxa"/>
              <w:left w:w="28" w:type="dxa"/>
              <w:bottom w:w="0" w:type="dxa"/>
              <w:right w:w="28" w:type="dxa"/>
            </w:tcMar>
            <w:vAlign w:val="center"/>
          </w:tcPr>
          <w:p w14:paraId="713D12AA" w14:textId="0064DA01"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4F01FB91" w14:textId="77777777" w:rsidR="007709AA" w:rsidRPr="00AC7830" w:rsidRDefault="007709AA" w:rsidP="00370D8E">
            <w:pPr>
              <w:pStyle w:val="Tabletext0"/>
              <w:keepNext/>
              <w:jc w:val="center"/>
              <w:rPr>
                <w:szCs w:val="20"/>
              </w:rPr>
            </w:pPr>
            <w:r w:rsidRPr="00AC7830">
              <w:rPr>
                <w:szCs w:val="20"/>
              </w:rPr>
              <w:t>1.3460</w:t>
            </w:r>
          </w:p>
        </w:tc>
        <w:tc>
          <w:tcPr>
            <w:tcW w:w="1172" w:type="dxa"/>
            <w:tcMar>
              <w:top w:w="0" w:type="dxa"/>
              <w:left w:w="28" w:type="dxa"/>
              <w:bottom w:w="0" w:type="dxa"/>
              <w:right w:w="28" w:type="dxa"/>
            </w:tcMar>
            <w:vAlign w:val="center"/>
          </w:tcPr>
          <w:p w14:paraId="1A1CD49A" w14:textId="3F2C7FEE"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86" w:type="dxa"/>
            <w:tcMar>
              <w:left w:w="28" w:type="dxa"/>
              <w:right w:w="28" w:type="dxa"/>
            </w:tcMar>
            <w:vAlign w:val="center"/>
          </w:tcPr>
          <w:p w14:paraId="5F14D323" w14:textId="61AA41AC" w:rsidR="007709AA" w:rsidRPr="00AC7830" w:rsidRDefault="00994C8B" w:rsidP="00370D8E">
            <w:pPr>
              <w:pStyle w:val="Tabletext0"/>
              <w:keepNext/>
              <w:jc w:val="center"/>
              <w:rPr>
                <w:szCs w:val="20"/>
              </w:rPr>
            </w:pPr>
            <w:r w:rsidRPr="00994C8B">
              <w:rPr>
                <w:szCs w:val="20"/>
                <w:highlight w:val="black"/>
              </w:rPr>
              <w:t>&amp;&amp;&amp;&amp;</w:t>
            </w:r>
            <w:r w:rsidR="007709AA" w:rsidRPr="00AC7830">
              <w:rPr>
                <w:szCs w:val="20"/>
              </w:rPr>
              <w:t>%</w:t>
            </w:r>
          </w:p>
        </w:tc>
      </w:tr>
      <w:tr w:rsidR="007709AA" w:rsidRPr="00AC7830" w14:paraId="7E39D997" w14:textId="77777777">
        <w:tc>
          <w:tcPr>
            <w:tcW w:w="9029" w:type="dxa"/>
            <w:gridSpan w:val="5"/>
            <w:tcMar>
              <w:top w:w="0" w:type="dxa"/>
              <w:left w:w="28" w:type="dxa"/>
              <w:bottom w:w="0" w:type="dxa"/>
              <w:right w:w="28" w:type="dxa"/>
            </w:tcMar>
            <w:vAlign w:val="center"/>
          </w:tcPr>
          <w:p w14:paraId="173F9B69" w14:textId="77777777" w:rsidR="007709AA" w:rsidRPr="00AC7830" w:rsidRDefault="007709AA" w:rsidP="00370D8E">
            <w:pPr>
              <w:pStyle w:val="Tabletext0"/>
              <w:keepNext/>
              <w:rPr>
                <w:b/>
                <w:bCs/>
                <w:szCs w:val="20"/>
              </w:rPr>
            </w:pPr>
            <w:r w:rsidRPr="00AC7830">
              <w:rPr>
                <w:b/>
                <w:bCs/>
                <w:szCs w:val="20"/>
              </w:rPr>
              <w:t>Costs (revised base case: various published sources)</w:t>
            </w:r>
          </w:p>
        </w:tc>
      </w:tr>
      <w:tr w:rsidR="007709AA" w:rsidRPr="00AC7830" w14:paraId="25EF8FE6" w14:textId="77777777">
        <w:tc>
          <w:tcPr>
            <w:tcW w:w="4323" w:type="dxa"/>
            <w:tcMar>
              <w:top w:w="0" w:type="dxa"/>
              <w:left w:w="28" w:type="dxa"/>
              <w:bottom w:w="0" w:type="dxa"/>
              <w:right w:w="28" w:type="dxa"/>
            </w:tcMar>
            <w:vAlign w:val="center"/>
          </w:tcPr>
          <w:p w14:paraId="0C5D7CE1" w14:textId="534BC6FC" w:rsidR="007709AA" w:rsidRPr="00AC7830" w:rsidRDefault="007709AA" w:rsidP="00370D8E">
            <w:pPr>
              <w:pStyle w:val="Tabletext0"/>
              <w:rPr>
                <w:szCs w:val="20"/>
                <w:vertAlign w:val="superscript"/>
              </w:rPr>
            </w:pPr>
            <w:r w:rsidRPr="00AC7830">
              <w:rPr>
                <w:szCs w:val="20"/>
              </w:rPr>
              <w:t>Include productivity costs</w:t>
            </w:r>
            <w:r w:rsidR="00924271" w:rsidRPr="00AC7830">
              <w:rPr>
                <w:szCs w:val="20"/>
              </w:rPr>
              <w:t xml:space="preserve"> from Deloitte 2023 </w:t>
            </w:r>
            <w:r w:rsidR="00924271" w:rsidRPr="00AC7830">
              <w:rPr>
                <w:szCs w:val="20"/>
                <w:vertAlign w:val="superscript"/>
              </w:rPr>
              <w:t>a</w:t>
            </w:r>
          </w:p>
        </w:tc>
        <w:tc>
          <w:tcPr>
            <w:tcW w:w="1174" w:type="dxa"/>
            <w:tcMar>
              <w:top w:w="0" w:type="dxa"/>
              <w:left w:w="28" w:type="dxa"/>
              <w:bottom w:w="0" w:type="dxa"/>
              <w:right w:w="28" w:type="dxa"/>
            </w:tcMar>
            <w:vAlign w:val="center"/>
          </w:tcPr>
          <w:p w14:paraId="798C8380" w14:textId="16122DBB" w:rsidR="007709AA" w:rsidRPr="00AC7830" w:rsidRDefault="007709AA" w:rsidP="00370D8E">
            <w:pPr>
              <w:pStyle w:val="Tabletext0"/>
              <w:jc w:val="center"/>
              <w:rPr>
                <w:szCs w:val="20"/>
              </w:rPr>
            </w:pPr>
            <w:r w:rsidRPr="00AC7830">
              <w:rPr>
                <w:szCs w:val="20"/>
              </w:rPr>
              <w:t>$</w:t>
            </w:r>
            <w:r w:rsidR="00994C8B" w:rsidRPr="00994C8B">
              <w:rPr>
                <w:szCs w:val="20"/>
                <w:highlight w:val="black"/>
              </w:rPr>
              <w:t>&amp;&amp;&amp;&amp;</w:t>
            </w:r>
            <w:r w:rsidR="00FC6681">
              <w:rPr>
                <w:vertAlign w:val="superscript"/>
              </w:rPr>
              <w:t>4</w:t>
            </w:r>
          </w:p>
        </w:tc>
        <w:tc>
          <w:tcPr>
            <w:tcW w:w="1174" w:type="dxa"/>
            <w:tcMar>
              <w:top w:w="0" w:type="dxa"/>
              <w:left w:w="28" w:type="dxa"/>
              <w:bottom w:w="0" w:type="dxa"/>
              <w:right w:w="28" w:type="dxa"/>
            </w:tcMar>
            <w:vAlign w:val="center"/>
          </w:tcPr>
          <w:p w14:paraId="1E9DB572" w14:textId="77777777" w:rsidR="007709AA" w:rsidRPr="00AC7830" w:rsidRDefault="007709AA" w:rsidP="00370D8E">
            <w:pPr>
              <w:pStyle w:val="Tabletext0"/>
              <w:jc w:val="center"/>
              <w:rPr>
                <w:szCs w:val="20"/>
              </w:rPr>
            </w:pPr>
            <w:r w:rsidRPr="00AC7830">
              <w:rPr>
                <w:szCs w:val="20"/>
              </w:rPr>
              <w:t>3.4526</w:t>
            </w:r>
          </w:p>
        </w:tc>
        <w:tc>
          <w:tcPr>
            <w:tcW w:w="1172" w:type="dxa"/>
            <w:tcMar>
              <w:top w:w="0" w:type="dxa"/>
              <w:left w:w="28" w:type="dxa"/>
              <w:bottom w:w="0" w:type="dxa"/>
              <w:right w:w="28" w:type="dxa"/>
            </w:tcMar>
            <w:vAlign w:val="center"/>
          </w:tcPr>
          <w:p w14:paraId="23469847" w14:textId="55D0C3D8" w:rsidR="007709AA" w:rsidRPr="007F6E78" w:rsidRDefault="007709AA" w:rsidP="00370D8E">
            <w:pPr>
              <w:pStyle w:val="Tabletext0"/>
              <w:jc w:val="center"/>
              <w:rPr>
                <w:szCs w:val="20"/>
                <w:vertAlign w:val="superscript"/>
              </w:rPr>
            </w:pPr>
            <w:r w:rsidRPr="00AC7830">
              <w:rPr>
                <w:szCs w:val="20"/>
              </w:rPr>
              <w:t>$</w:t>
            </w:r>
            <w:r w:rsidR="00994C8B" w:rsidRPr="00994C8B">
              <w:rPr>
                <w:szCs w:val="20"/>
                <w:highlight w:val="black"/>
              </w:rPr>
              <w:t>&amp;&amp;&amp;&amp;</w:t>
            </w:r>
            <w:r w:rsidR="007F6E78">
              <w:rPr>
                <w:szCs w:val="20"/>
                <w:vertAlign w:val="superscript"/>
              </w:rPr>
              <w:t>1</w:t>
            </w:r>
          </w:p>
        </w:tc>
        <w:tc>
          <w:tcPr>
            <w:tcW w:w="1186" w:type="dxa"/>
            <w:tcMar>
              <w:left w:w="28" w:type="dxa"/>
              <w:right w:w="28" w:type="dxa"/>
            </w:tcMar>
            <w:vAlign w:val="center"/>
          </w:tcPr>
          <w:p w14:paraId="664CA8AB" w14:textId="2E967CCC" w:rsidR="007709AA" w:rsidRPr="00AC7830" w:rsidRDefault="00994C8B" w:rsidP="00370D8E">
            <w:pPr>
              <w:pStyle w:val="Tabletext0"/>
              <w:jc w:val="center"/>
              <w:rPr>
                <w:szCs w:val="20"/>
              </w:rPr>
            </w:pPr>
            <w:r w:rsidRPr="00994C8B">
              <w:rPr>
                <w:szCs w:val="20"/>
                <w:highlight w:val="black"/>
              </w:rPr>
              <w:t>&amp;&amp;&amp;&amp;</w:t>
            </w:r>
            <w:r w:rsidR="007709AA" w:rsidRPr="00AC7830">
              <w:rPr>
                <w:szCs w:val="20"/>
              </w:rPr>
              <w:t>%</w:t>
            </w:r>
          </w:p>
        </w:tc>
      </w:tr>
    </w:tbl>
    <w:p w14:paraId="727033FB" w14:textId="77777777" w:rsidR="007709AA" w:rsidRDefault="007709AA" w:rsidP="00370D8E">
      <w:pPr>
        <w:pStyle w:val="COMTablefooter"/>
      </w:pPr>
      <w:r w:rsidRPr="00250A3D">
        <w:t xml:space="preserve">Source: </w:t>
      </w:r>
      <w:r>
        <w:t xml:space="preserve">Table 3.43, pp208-210 of the submission; </w:t>
      </w:r>
      <w:r w:rsidRPr="00DE6E88">
        <w:t>‘</w:t>
      </w:r>
      <w:r>
        <w:t>Iptacopan economic model</w:t>
      </w:r>
      <w:r w:rsidRPr="00DE6E88">
        <w:t>’ provided with the submission</w:t>
      </w:r>
    </w:p>
    <w:p w14:paraId="558724AF" w14:textId="1E1AA30E" w:rsidR="007709AA" w:rsidRDefault="007709AA" w:rsidP="00370D8E">
      <w:pPr>
        <w:pStyle w:val="COMTablefooter"/>
      </w:pPr>
      <w:r w:rsidRPr="00250A3D">
        <w:t>Abbreviations:</w:t>
      </w:r>
      <w:r>
        <w:t xml:space="preserve"> ANZDATA, </w:t>
      </w:r>
      <w:r w:rsidRPr="004A4856">
        <w:t>Australia and New Zealand Dialysis and Transplant Registry</w:t>
      </w:r>
      <w:r>
        <w:t>; CI, confidence interval;</w:t>
      </w:r>
      <w:r w:rsidRPr="004A4856">
        <w:t xml:space="preserve"> </w:t>
      </w:r>
      <w:r>
        <w:t>CKD, chronic kidney disease;</w:t>
      </w:r>
      <w:r w:rsidR="004219FE">
        <w:t xml:space="preserve"> GLOSEN, Spanish Group for the Study of Glomerular Disease;</w:t>
      </w:r>
      <w:r>
        <w:t xml:space="preserve"> ICER, incremental cost effectiveness ratio; NA, not applicable; QALYs, quality adjusted life years; </w:t>
      </w:r>
      <w:proofErr w:type="spellStart"/>
      <w:r>
        <w:t>RaDaR</w:t>
      </w:r>
      <w:proofErr w:type="spellEnd"/>
      <w:r>
        <w:t xml:space="preserve">, </w:t>
      </w:r>
      <w:r w:rsidRPr="00000B52">
        <w:t>U</w:t>
      </w:r>
      <w:r>
        <w:t>nited Kingdom</w:t>
      </w:r>
      <w:r w:rsidRPr="00000B52">
        <w:t xml:space="preserve"> National Registry of Rare Kidney Diseases</w:t>
      </w:r>
      <w:r>
        <w:t>; TTO, time trade off</w:t>
      </w:r>
    </w:p>
    <w:p w14:paraId="5197AAD7" w14:textId="7458C1EB" w:rsidR="00924271" w:rsidRPr="00924271" w:rsidRDefault="00924271" w:rsidP="00370D8E">
      <w:pPr>
        <w:pStyle w:val="COMTablefooter"/>
      </w:pPr>
      <w:r>
        <w:rPr>
          <w:vertAlign w:val="superscript"/>
        </w:rPr>
        <w:t>a</w:t>
      </w:r>
      <w:r>
        <w:t xml:space="preserve"> </w:t>
      </w:r>
      <w:r w:rsidR="00910033" w:rsidRPr="00910033">
        <w:t>Includes costs for reduced employment, premature mortality, absenteeism, presenteeism and informal care in patients with mid-stage kidney disease or kidney failure (Deloitte 2023 report)</w:t>
      </w:r>
    </w:p>
    <w:p w14:paraId="6B1B11F6" w14:textId="77777777" w:rsidR="00525FF3" w:rsidRDefault="007709AA" w:rsidP="00370D8E">
      <w:pPr>
        <w:pStyle w:val="COMTablefooter"/>
      </w:pPr>
      <w:r w:rsidRPr="00107963">
        <w:lastRenderedPageBreak/>
        <w:t>Note: During the evaluation the base case was respecified using a 5% discount rate, removing societal costs and correcting for errors in transplantation event costs and post-transplantation (graft failure) health state costs</w:t>
      </w:r>
      <w:r w:rsidR="00525FF3" w:rsidRPr="00525FF3">
        <w:t xml:space="preserve"> </w:t>
      </w:r>
    </w:p>
    <w:p w14:paraId="3C973B32" w14:textId="4F542BA4" w:rsidR="007709AA" w:rsidRPr="00525FF3" w:rsidRDefault="00525FF3" w:rsidP="00370D8E">
      <w:pPr>
        <w:pStyle w:val="COMTablefooter"/>
        <w:rPr>
          <w:i/>
          <w:iCs/>
        </w:rPr>
      </w:pPr>
      <w:r w:rsidRPr="00525FF3">
        <w:rPr>
          <w:i/>
          <w:iCs/>
        </w:rPr>
        <w:t>The redacted values correspond to the following ranges:</w:t>
      </w:r>
    </w:p>
    <w:p w14:paraId="3D2114B6" w14:textId="44463FF0" w:rsidR="009C00C2" w:rsidRPr="00525FF3" w:rsidRDefault="000F32F6" w:rsidP="00370D8E">
      <w:pPr>
        <w:pStyle w:val="COMTablefooter"/>
        <w:rPr>
          <w:i/>
          <w:iCs/>
        </w:rPr>
      </w:pPr>
      <w:r w:rsidRPr="00525FF3">
        <w:rPr>
          <w:i/>
          <w:iCs/>
          <w:vertAlign w:val="superscript"/>
        </w:rPr>
        <w:t>1</w:t>
      </w:r>
      <w:r w:rsidR="009C00C2" w:rsidRPr="00525FF3">
        <w:rPr>
          <w:i/>
          <w:iCs/>
        </w:rPr>
        <w:t xml:space="preserve">$755,000 to </w:t>
      </w:r>
      <w:r w:rsidR="00364110">
        <w:rPr>
          <w:i/>
          <w:iCs/>
        </w:rPr>
        <w:t xml:space="preserve">&lt; </w:t>
      </w:r>
      <w:r w:rsidR="009C00C2" w:rsidRPr="00525FF3">
        <w:rPr>
          <w:i/>
          <w:iCs/>
        </w:rPr>
        <w:t>$855,000</w:t>
      </w:r>
    </w:p>
    <w:p w14:paraId="39244DA1" w14:textId="3579EB32" w:rsidR="009C00C2" w:rsidRPr="00525FF3" w:rsidRDefault="00F43F77" w:rsidP="00370D8E">
      <w:pPr>
        <w:pStyle w:val="COMTablefooter"/>
        <w:rPr>
          <w:i/>
          <w:iCs/>
        </w:rPr>
      </w:pPr>
      <w:r w:rsidRPr="00525FF3">
        <w:rPr>
          <w:i/>
          <w:iCs/>
          <w:vertAlign w:val="superscript"/>
        </w:rPr>
        <w:t>2</w:t>
      </w:r>
      <w:r w:rsidR="009C00C2" w:rsidRPr="00525FF3">
        <w:rPr>
          <w:i/>
          <w:iCs/>
        </w:rPr>
        <w:t xml:space="preserve">$855,000 to </w:t>
      </w:r>
      <w:r w:rsidR="00364110">
        <w:rPr>
          <w:i/>
          <w:iCs/>
        </w:rPr>
        <w:t xml:space="preserve">&lt; </w:t>
      </w:r>
      <w:r w:rsidR="009C00C2" w:rsidRPr="00525FF3">
        <w:rPr>
          <w:i/>
          <w:iCs/>
        </w:rPr>
        <w:t>$955,000</w:t>
      </w:r>
    </w:p>
    <w:p w14:paraId="40C2E637" w14:textId="49F5FBD4" w:rsidR="009C00C2" w:rsidRPr="00525FF3" w:rsidRDefault="004845BC" w:rsidP="00370D8E">
      <w:pPr>
        <w:pStyle w:val="COMTablefooter"/>
        <w:rPr>
          <w:i/>
          <w:iCs/>
        </w:rPr>
      </w:pPr>
      <w:r w:rsidRPr="00525FF3">
        <w:rPr>
          <w:i/>
          <w:iCs/>
          <w:vertAlign w:val="superscript"/>
        </w:rPr>
        <w:t>3</w:t>
      </w:r>
      <w:r w:rsidR="009C00C2" w:rsidRPr="00525FF3">
        <w:rPr>
          <w:i/>
          <w:iCs/>
        </w:rPr>
        <w:t xml:space="preserve">$955,000 to </w:t>
      </w:r>
      <w:r w:rsidR="00364110">
        <w:rPr>
          <w:i/>
          <w:iCs/>
        </w:rPr>
        <w:t xml:space="preserve">&lt; </w:t>
      </w:r>
      <w:r w:rsidR="009C00C2" w:rsidRPr="00525FF3">
        <w:rPr>
          <w:i/>
          <w:iCs/>
        </w:rPr>
        <w:t>$1,055,000</w:t>
      </w:r>
    </w:p>
    <w:p w14:paraId="6EDC2F73" w14:textId="1CECEE04" w:rsidR="00796092" w:rsidRPr="00525FF3" w:rsidRDefault="00FC6681" w:rsidP="00370D8E">
      <w:pPr>
        <w:pStyle w:val="COMTablefooter"/>
        <w:rPr>
          <w:i/>
          <w:iCs/>
        </w:rPr>
      </w:pPr>
      <w:r w:rsidRPr="00525FF3">
        <w:rPr>
          <w:i/>
          <w:iCs/>
          <w:vertAlign w:val="superscript"/>
        </w:rPr>
        <w:t>4</w:t>
      </w:r>
      <w:r w:rsidR="00364110">
        <w:rPr>
          <w:i/>
          <w:iCs/>
        </w:rPr>
        <w:t xml:space="preserve">&gt; </w:t>
      </w:r>
      <w:r w:rsidR="009C00C2" w:rsidRPr="00525FF3">
        <w:rPr>
          <w:i/>
          <w:iCs/>
        </w:rPr>
        <w:t>$1,055,000</w:t>
      </w:r>
    </w:p>
    <w:p w14:paraId="10C6BD0A" w14:textId="23B3C77B" w:rsidR="007709AA" w:rsidRPr="00AC7830" w:rsidRDefault="007709AA" w:rsidP="00370D8E">
      <w:pPr>
        <w:pStyle w:val="COMESnumberedpara"/>
      </w:pPr>
      <w:r w:rsidRPr="00AC7830">
        <w:t>The results of the sensitivity analyses indicate that the model is most sensitive to time horizon</w:t>
      </w:r>
      <w:r w:rsidR="00D01E36">
        <w:t xml:space="preserve"> </w:t>
      </w:r>
      <w:r w:rsidR="00D01E36" w:rsidRPr="00BC3A5E">
        <w:t xml:space="preserve">(but only at 10 years, not </w:t>
      </w:r>
      <w:r w:rsidR="00C83D51" w:rsidRPr="00BC3A5E">
        <w:t>30 years)</w:t>
      </w:r>
      <w:r w:rsidRPr="00BC3A5E">
        <w:t>,</w:t>
      </w:r>
      <w:r w:rsidRPr="00AC7830">
        <w:t xml:space="preserve"> annual change in eGFR over time in the placebo arm, the modelled treatment effect for iptacopan and health state utility values.</w:t>
      </w:r>
    </w:p>
    <w:p w14:paraId="334EF43D" w14:textId="2143529B" w:rsidR="007709AA" w:rsidRPr="00AC7830" w:rsidRDefault="007709AA" w:rsidP="00370D8E">
      <w:pPr>
        <w:pStyle w:val="COMESnumberedpara"/>
      </w:pPr>
      <w:bookmarkStart w:id="47" w:name="_Ref211516852"/>
      <w:r w:rsidRPr="00AC7830">
        <w:t xml:space="preserve">Multivariate sensitivity analyses were conducted during the evaluation due to the high degree of uncertainty associated with the modelled estimates. These analyses were conducted by varying the change in eGFR over time in the placebo arm, the modelled treatment effect for iptacopan and health state utility values (summarised in </w:t>
      </w:r>
      <w:r w:rsidR="00A150A3" w:rsidRPr="00AC7830">
        <w:fldChar w:fldCharType="begin"/>
      </w:r>
      <w:r w:rsidR="00A150A3" w:rsidRPr="00AC7830">
        <w:instrText xml:space="preserve"> REF _Ref208238109 \h  \* MERGEFORMAT </w:instrText>
      </w:r>
      <w:r w:rsidR="00A150A3" w:rsidRPr="00AC7830">
        <w:fldChar w:fldCharType="separate"/>
      </w:r>
      <w:r w:rsidR="00CC1313" w:rsidRPr="00CC1313">
        <w:t>Table 14</w:t>
      </w:r>
      <w:r w:rsidR="00A150A3" w:rsidRPr="00AC7830">
        <w:fldChar w:fldCharType="end"/>
      </w:r>
      <w:r w:rsidRPr="00AC7830">
        <w:t>).</w:t>
      </w:r>
      <w:bookmarkEnd w:id="47"/>
    </w:p>
    <w:p w14:paraId="76FC8633" w14:textId="0498D90E" w:rsidR="007709AA" w:rsidRPr="00AE036F" w:rsidRDefault="00A150A3" w:rsidP="00370D8E">
      <w:pPr>
        <w:pStyle w:val="COMTableFigurecaption"/>
        <w:rPr>
          <w:rStyle w:val="CommentReference"/>
          <w:sz w:val="20"/>
          <w:szCs w:val="24"/>
        </w:rPr>
      </w:pPr>
      <w:bookmarkStart w:id="48" w:name="_Ref208238109"/>
      <w:r w:rsidRPr="00A150A3">
        <w:rPr>
          <w:rStyle w:val="CommentReference"/>
          <w:sz w:val="20"/>
          <w:szCs w:val="24"/>
        </w:rPr>
        <w:lastRenderedPageBreak/>
        <w:t xml:space="preserve">Table </w:t>
      </w:r>
      <w:r w:rsidRPr="00A150A3">
        <w:rPr>
          <w:rStyle w:val="CommentReference"/>
          <w:sz w:val="20"/>
          <w:szCs w:val="24"/>
        </w:rPr>
        <w:fldChar w:fldCharType="begin"/>
      </w:r>
      <w:r w:rsidRPr="00A150A3">
        <w:rPr>
          <w:rStyle w:val="CommentReference"/>
          <w:sz w:val="20"/>
          <w:szCs w:val="24"/>
        </w:rPr>
        <w:instrText xml:space="preserve"> SEQ Table \* ARABIC </w:instrText>
      </w:r>
      <w:r w:rsidRPr="00A150A3">
        <w:rPr>
          <w:rStyle w:val="CommentReference"/>
          <w:sz w:val="20"/>
          <w:szCs w:val="24"/>
        </w:rPr>
        <w:fldChar w:fldCharType="separate"/>
      </w:r>
      <w:r w:rsidR="00CC1313">
        <w:rPr>
          <w:rStyle w:val="CommentReference"/>
          <w:noProof/>
          <w:sz w:val="20"/>
          <w:szCs w:val="24"/>
        </w:rPr>
        <w:t>14</w:t>
      </w:r>
      <w:r w:rsidRPr="00A150A3">
        <w:rPr>
          <w:rStyle w:val="CommentReference"/>
          <w:sz w:val="20"/>
          <w:szCs w:val="24"/>
        </w:rPr>
        <w:fldChar w:fldCharType="end"/>
      </w:r>
      <w:bookmarkEnd w:id="48"/>
      <w:r w:rsidRPr="00A150A3">
        <w:rPr>
          <w:rStyle w:val="CommentReference"/>
          <w:sz w:val="20"/>
          <w:szCs w:val="24"/>
        </w:rPr>
        <w:t xml:space="preserve">: </w:t>
      </w:r>
      <w:r w:rsidRPr="00AE036F">
        <w:rPr>
          <w:rStyle w:val="CommentReference"/>
          <w:sz w:val="20"/>
          <w:szCs w:val="24"/>
        </w:rPr>
        <w:t>Multivariate sensitivity analyses</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4: Multivariate sensitivity analyses"/>
      </w:tblPr>
      <w:tblGrid>
        <w:gridCol w:w="3136"/>
        <w:gridCol w:w="1473"/>
        <w:gridCol w:w="1473"/>
        <w:gridCol w:w="1473"/>
        <w:gridCol w:w="1474"/>
      </w:tblGrid>
      <w:tr w:rsidR="007709AA" w:rsidRPr="00AC7830" w14:paraId="13561FD8" w14:textId="77777777" w:rsidTr="00A752B6">
        <w:trPr>
          <w:cantSplit/>
          <w:tblHeader/>
        </w:trPr>
        <w:tc>
          <w:tcPr>
            <w:tcW w:w="3136" w:type="dxa"/>
            <w:tcMar>
              <w:top w:w="0" w:type="dxa"/>
              <w:left w:w="28" w:type="dxa"/>
              <w:bottom w:w="0" w:type="dxa"/>
              <w:right w:w="28" w:type="dxa"/>
            </w:tcMar>
            <w:vAlign w:val="center"/>
            <w:hideMark/>
          </w:tcPr>
          <w:p w14:paraId="50B53BA7" w14:textId="77777777" w:rsidR="007709AA" w:rsidRPr="00AC7830" w:rsidRDefault="007709AA" w:rsidP="00370D8E">
            <w:pPr>
              <w:pStyle w:val="Tabletext0"/>
              <w:keepNext/>
              <w:rPr>
                <w:b/>
                <w:bCs/>
                <w:szCs w:val="20"/>
              </w:rPr>
            </w:pPr>
            <w:r w:rsidRPr="00AC7830">
              <w:rPr>
                <w:b/>
                <w:bCs/>
                <w:szCs w:val="20"/>
              </w:rPr>
              <w:t xml:space="preserve">Cost per QALY gained </w:t>
            </w:r>
          </w:p>
          <w:p w14:paraId="53BE4983" w14:textId="77777777" w:rsidR="007709AA" w:rsidRPr="00AC7830" w:rsidRDefault="007709AA" w:rsidP="00370D8E">
            <w:pPr>
              <w:pStyle w:val="Tabletext0"/>
              <w:keepNext/>
              <w:rPr>
                <w:b/>
                <w:bCs/>
                <w:szCs w:val="20"/>
              </w:rPr>
            </w:pPr>
            <w:r w:rsidRPr="00AC7830">
              <w:rPr>
                <w:b/>
                <w:bCs/>
                <w:szCs w:val="20"/>
              </w:rPr>
              <w:t>(change from base case ICER)</w:t>
            </w:r>
          </w:p>
        </w:tc>
        <w:tc>
          <w:tcPr>
            <w:tcW w:w="1473" w:type="dxa"/>
            <w:tcMar>
              <w:top w:w="0" w:type="dxa"/>
              <w:left w:w="28" w:type="dxa"/>
              <w:bottom w:w="0" w:type="dxa"/>
              <w:right w:w="28" w:type="dxa"/>
            </w:tcMar>
            <w:vAlign w:val="center"/>
          </w:tcPr>
          <w:p w14:paraId="46170A3F" w14:textId="77777777" w:rsidR="007709AA" w:rsidRPr="00AC7830" w:rsidRDefault="007709AA" w:rsidP="00370D8E">
            <w:pPr>
              <w:pStyle w:val="Tabletext0"/>
              <w:keepNext/>
              <w:jc w:val="center"/>
              <w:rPr>
                <w:b/>
                <w:bCs/>
                <w:szCs w:val="20"/>
              </w:rPr>
            </w:pPr>
            <w:r w:rsidRPr="00AC7830">
              <w:rPr>
                <w:b/>
                <w:bCs/>
                <w:szCs w:val="20"/>
              </w:rPr>
              <w:t>Iptacopan eGFR change based on general population</w:t>
            </w:r>
          </w:p>
        </w:tc>
        <w:tc>
          <w:tcPr>
            <w:tcW w:w="1473" w:type="dxa"/>
            <w:vAlign w:val="center"/>
          </w:tcPr>
          <w:p w14:paraId="7CF0DCB0" w14:textId="77777777" w:rsidR="007709AA" w:rsidRPr="00AC7830" w:rsidRDefault="007709AA" w:rsidP="00370D8E">
            <w:pPr>
              <w:pStyle w:val="Tabletext0"/>
              <w:keepNext/>
              <w:jc w:val="center"/>
              <w:rPr>
                <w:b/>
                <w:bCs/>
                <w:szCs w:val="20"/>
              </w:rPr>
            </w:pPr>
            <w:r w:rsidRPr="00AC7830">
              <w:rPr>
                <w:b/>
                <w:bCs/>
                <w:szCs w:val="20"/>
              </w:rPr>
              <w:t>Iptacopan eGFR change based on 25% of placebo</w:t>
            </w:r>
          </w:p>
        </w:tc>
        <w:tc>
          <w:tcPr>
            <w:tcW w:w="1473" w:type="dxa"/>
            <w:tcMar>
              <w:top w:w="0" w:type="dxa"/>
              <w:left w:w="28" w:type="dxa"/>
              <w:bottom w:w="0" w:type="dxa"/>
              <w:right w:w="28" w:type="dxa"/>
            </w:tcMar>
            <w:vAlign w:val="center"/>
          </w:tcPr>
          <w:p w14:paraId="3F4F48EB" w14:textId="77777777" w:rsidR="007709AA" w:rsidRPr="00AC7830" w:rsidRDefault="007709AA" w:rsidP="00370D8E">
            <w:pPr>
              <w:pStyle w:val="Tabletext0"/>
              <w:keepNext/>
              <w:jc w:val="center"/>
              <w:rPr>
                <w:b/>
                <w:bCs/>
                <w:szCs w:val="20"/>
              </w:rPr>
            </w:pPr>
            <w:r w:rsidRPr="00AC7830">
              <w:rPr>
                <w:b/>
                <w:bCs/>
                <w:szCs w:val="20"/>
              </w:rPr>
              <w:t>Iptacopan eGFR change based on 50% of placebo</w:t>
            </w:r>
          </w:p>
        </w:tc>
        <w:tc>
          <w:tcPr>
            <w:tcW w:w="1474" w:type="dxa"/>
            <w:tcMar>
              <w:top w:w="0" w:type="dxa"/>
              <w:left w:w="28" w:type="dxa"/>
              <w:bottom w:w="0" w:type="dxa"/>
              <w:right w:w="28" w:type="dxa"/>
            </w:tcMar>
            <w:vAlign w:val="center"/>
          </w:tcPr>
          <w:p w14:paraId="5FAD384F" w14:textId="77777777" w:rsidR="007709AA" w:rsidRPr="00AC7830" w:rsidRDefault="007709AA" w:rsidP="00370D8E">
            <w:pPr>
              <w:pStyle w:val="Tabletext0"/>
              <w:keepNext/>
              <w:jc w:val="center"/>
              <w:rPr>
                <w:b/>
                <w:bCs/>
                <w:szCs w:val="20"/>
              </w:rPr>
            </w:pPr>
            <w:r w:rsidRPr="00AC7830">
              <w:rPr>
                <w:b/>
                <w:bCs/>
                <w:szCs w:val="20"/>
              </w:rPr>
              <w:t>Iptacopan eGFR change based on 75% of placebo</w:t>
            </w:r>
          </w:p>
        </w:tc>
      </w:tr>
      <w:tr w:rsidR="007709AA" w:rsidRPr="00AC7830" w14:paraId="112FC73A" w14:textId="77777777" w:rsidTr="00A752B6">
        <w:trPr>
          <w:cantSplit/>
        </w:trPr>
        <w:tc>
          <w:tcPr>
            <w:tcW w:w="9029" w:type="dxa"/>
            <w:gridSpan w:val="5"/>
            <w:tcMar>
              <w:top w:w="0" w:type="dxa"/>
              <w:left w:w="28" w:type="dxa"/>
              <w:bottom w:w="0" w:type="dxa"/>
              <w:right w:w="28" w:type="dxa"/>
            </w:tcMar>
            <w:hideMark/>
          </w:tcPr>
          <w:p w14:paraId="6A105F95" w14:textId="68D150AD" w:rsidR="007709AA" w:rsidRPr="00AC7830" w:rsidRDefault="007709AA" w:rsidP="00370D8E">
            <w:pPr>
              <w:pStyle w:val="Tabletext0"/>
              <w:keepNext/>
              <w:rPr>
                <w:b/>
                <w:bCs/>
                <w:szCs w:val="20"/>
              </w:rPr>
            </w:pPr>
            <w:r w:rsidRPr="00AC7830">
              <w:rPr>
                <w:b/>
                <w:bCs/>
                <w:szCs w:val="20"/>
              </w:rPr>
              <w:t>Using EQ-5D-5L health state utility values reported in de Freitas 2023</w:t>
            </w:r>
            <w:r w:rsidR="006B75F2">
              <w:rPr>
                <w:b/>
                <w:bCs/>
                <w:szCs w:val="20"/>
              </w:rPr>
              <w:t xml:space="preserve"> </w:t>
            </w:r>
          </w:p>
        </w:tc>
      </w:tr>
      <w:tr w:rsidR="007709AA" w:rsidRPr="00AC7830" w14:paraId="08664F1F" w14:textId="77777777" w:rsidTr="00A752B6">
        <w:trPr>
          <w:cantSplit/>
        </w:trPr>
        <w:tc>
          <w:tcPr>
            <w:tcW w:w="3136" w:type="dxa"/>
            <w:tcMar>
              <w:top w:w="0" w:type="dxa"/>
              <w:left w:w="28" w:type="dxa"/>
              <w:bottom w:w="0" w:type="dxa"/>
              <w:right w:w="28" w:type="dxa"/>
            </w:tcMar>
          </w:tcPr>
          <w:p w14:paraId="70FAA55A" w14:textId="7C9D30D3" w:rsidR="007709AA" w:rsidRPr="00AC7830" w:rsidRDefault="007709AA" w:rsidP="00370D8E">
            <w:pPr>
              <w:pStyle w:val="Tabletext0"/>
              <w:keepNext/>
              <w:rPr>
                <w:szCs w:val="20"/>
              </w:rPr>
            </w:pPr>
            <w:r w:rsidRPr="00AC7830">
              <w:rPr>
                <w:szCs w:val="20"/>
              </w:rPr>
              <w:t xml:space="preserve">Annual eGFR change in placebo arm based on the pooled analysis of iptacopan studies (-8.32 </w:t>
            </w:r>
            <w:r w:rsidRPr="00AC7830">
              <w:t>mL/min/1.73</w:t>
            </w:r>
            <w:r w:rsidR="006A67AE" w:rsidRPr="00AC7830">
              <w:t xml:space="preserve"> </w:t>
            </w:r>
            <w:r w:rsidRPr="00AC7830">
              <w:t>m</w:t>
            </w:r>
            <w:r w:rsidRPr="00AC7830">
              <w:rPr>
                <w:vertAlign w:val="superscript"/>
              </w:rPr>
              <w:t xml:space="preserve">2 </w:t>
            </w:r>
            <w:r w:rsidRPr="00AC7830">
              <w:t>per year</w:t>
            </w:r>
            <w:r w:rsidRPr="00AC7830">
              <w:rPr>
                <w:szCs w:val="20"/>
              </w:rPr>
              <w:t>)</w:t>
            </w:r>
          </w:p>
        </w:tc>
        <w:tc>
          <w:tcPr>
            <w:tcW w:w="1473" w:type="dxa"/>
            <w:tcMar>
              <w:top w:w="0" w:type="dxa"/>
              <w:left w:w="28" w:type="dxa"/>
              <w:bottom w:w="0" w:type="dxa"/>
              <w:right w:w="28" w:type="dxa"/>
            </w:tcMar>
            <w:vAlign w:val="center"/>
          </w:tcPr>
          <w:p w14:paraId="5AA6711E" w14:textId="18C6CDEA" w:rsidR="007709AA" w:rsidRPr="00493B09" w:rsidRDefault="007709AA" w:rsidP="00370D8E">
            <w:pPr>
              <w:pStyle w:val="Tabletext0"/>
              <w:keepNext/>
              <w:jc w:val="center"/>
              <w:rPr>
                <w:b/>
                <w:bCs/>
                <w:szCs w:val="20"/>
                <w:vertAlign w:val="superscript"/>
              </w:rPr>
            </w:pPr>
            <w:r w:rsidRPr="00AC7830">
              <w:rPr>
                <w:b/>
                <w:bCs/>
                <w:szCs w:val="20"/>
              </w:rPr>
              <w:t>$</w:t>
            </w:r>
            <w:r w:rsidR="00994C8B" w:rsidRPr="00994C8B">
              <w:rPr>
                <w:b/>
                <w:bCs/>
                <w:szCs w:val="20"/>
                <w:highlight w:val="black"/>
              </w:rPr>
              <w:t>&amp;&amp;&amp;&amp;</w:t>
            </w:r>
            <w:r w:rsidR="00493B09">
              <w:rPr>
                <w:b/>
                <w:bCs/>
                <w:szCs w:val="20"/>
                <w:vertAlign w:val="superscript"/>
              </w:rPr>
              <w:t>1</w:t>
            </w:r>
          </w:p>
          <w:p w14:paraId="3E4E7CD1" w14:textId="77777777" w:rsidR="007709AA" w:rsidRPr="00AC7830" w:rsidRDefault="007709AA" w:rsidP="00370D8E">
            <w:pPr>
              <w:pStyle w:val="Tabletext0"/>
              <w:keepNext/>
              <w:jc w:val="center"/>
              <w:rPr>
                <w:szCs w:val="20"/>
              </w:rPr>
            </w:pPr>
            <w:r w:rsidRPr="00AC7830">
              <w:rPr>
                <w:b/>
                <w:bCs/>
                <w:szCs w:val="20"/>
              </w:rPr>
              <w:t>[base case]</w:t>
            </w:r>
          </w:p>
        </w:tc>
        <w:tc>
          <w:tcPr>
            <w:tcW w:w="1473" w:type="dxa"/>
            <w:vAlign w:val="center"/>
          </w:tcPr>
          <w:p w14:paraId="64172D7F" w14:textId="42B3452C"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493B09">
              <w:rPr>
                <w:vertAlign w:val="superscript"/>
              </w:rPr>
              <w:t>2</w:t>
            </w:r>
            <w:r w:rsidRPr="00AC7830">
              <w:rPr>
                <w:szCs w:val="20"/>
              </w:rPr>
              <w:t xml:space="preserve"> </w:t>
            </w:r>
          </w:p>
          <w:p w14:paraId="68395D97" w14:textId="05AC61BC"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tcMar>
              <w:top w:w="0" w:type="dxa"/>
              <w:left w:w="28" w:type="dxa"/>
              <w:bottom w:w="0" w:type="dxa"/>
              <w:right w:w="28" w:type="dxa"/>
            </w:tcMar>
            <w:vAlign w:val="center"/>
          </w:tcPr>
          <w:p w14:paraId="7BC85EBE" w14:textId="2390CCE5"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733B87">
              <w:rPr>
                <w:vertAlign w:val="superscript"/>
              </w:rPr>
              <w:t>2</w:t>
            </w:r>
            <w:r w:rsidRPr="00AC7830">
              <w:rPr>
                <w:szCs w:val="20"/>
              </w:rPr>
              <w:t xml:space="preserve"> </w:t>
            </w:r>
          </w:p>
          <w:p w14:paraId="50E786A6" w14:textId="7DEE087A"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4" w:type="dxa"/>
            <w:tcMar>
              <w:top w:w="0" w:type="dxa"/>
              <w:left w:w="28" w:type="dxa"/>
              <w:bottom w:w="0" w:type="dxa"/>
              <w:right w:w="28" w:type="dxa"/>
            </w:tcMar>
            <w:vAlign w:val="center"/>
          </w:tcPr>
          <w:p w14:paraId="5D25703C" w14:textId="2F70059E"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E034A2">
              <w:rPr>
                <w:vertAlign w:val="superscript"/>
              </w:rPr>
              <w:t>2</w:t>
            </w:r>
            <w:r w:rsidRPr="00AC7830">
              <w:rPr>
                <w:szCs w:val="20"/>
              </w:rPr>
              <w:t xml:space="preserve"> </w:t>
            </w:r>
          </w:p>
          <w:p w14:paraId="004F9726" w14:textId="0C780279"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r>
      <w:tr w:rsidR="007709AA" w:rsidRPr="00AC7830" w14:paraId="0889B333" w14:textId="77777777" w:rsidTr="00A752B6">
        <w:trPr>
          <w:cantSplit/>
        </w:trPr>
        <w:tc>
          <w:tcPr>
            <w:tcW w:w="3136" w:type="dxa"/>
            <w:tcMar>
              <w:top w:w="0" w:type="dxa"/>
              <w:left w:w="28" w:type="dxa"/>
              <w:bottom w:w="0" w:type="dxa"/>
              <w:right w:w="28" w:type="dxa"/>
            </w:tcMar>
          </w:tcPr>
          <w:p w14:paraId="57F60239" w14:textId="6CEADFDC" w:rsidR="007709AA" w:rsidRPr="00AC7830" w:rsidRDefault="007709AA" w:rsidP="00370D8E">
            <w:pPr>
              <w:pStyle w:val="Tabletext0"/>
              <w:keepNext/>
              <w:rPr>
                <w:szCs w:val="20"/>
              </w:rPr>
            </w:pPr>
            <w:r w:rsidRPr="00AC7830">
              <w:rPr>
                <w:szCs w:val="20"/>
              </w:rPr>
              <w:t xml:space="preserve">Annual eGFR change in placebo arm based on the subset of patients that progressed to kidney failure in GLOSEN registry (-6.50 </w:t>
            </w:r>
            <w:r w:rsidRPr="00AC7830">
              <w:t>mL/min/1.73</w:t>
            </w:r>
            <w:r w:rsidR="006A67AE" w:rsidRPr="00AC7830">
              <w:t xml:space="preserve"> </w:t>
            </w:r>
            <w:r w:rsidRPr="00AC7830">
              <w:t>m</w:t>
            </w:r>
            <w:r w:rsidRPr="00AC7830">
              <w:rPr>
                <w:vertAlign w:val="superscript"/>
              </w:rPr>
              <w:t xml:space="preserve">2 </w:t>
            </w:r>
            <w:r w:rsidRPr="00AC7830">
              <w:t>per year</w:t>
            </w:r>
            <w:r w:rsidRPr="00AC7830">
              <w:rPr>
                <w:szCs w:val="20"/>
              </w:rPr>
              <w:t>)</w:t>
            </w:r>
          </w:p>
        </w:tc>
        <w:tc>
          <w:tcPr>
            <w:tcW w:w="1473" w:type="dxa"/>
            <w:tcMar>
              <w:top w:w="0" w:type="dxa"/>
              <w:left w:w="28" w:type="dxa"/>
              <w:bottom w:w="0" w:type="dxa"/>
              <w:right w:w="28" w:type="dxa"/>
            </w:tcMar>
            <w:vAlign w:val="center"/>
          </w:tcPr>
          <w:p w14:paraId="13C02223" w14:textId="68F8FA22"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E034A2">
              <w:rPr>
                <w:vertAlign w:val="superscript"/>
              </w:rPr>
              <w:t>2</w:t>
            </w:r>
            <w:r w:rsidRPr="00AC7830">
              <w:rPr>
                <w:szCs w:val="20"/>
              </w:rPr>
              <w:t xml:space="preserve"> </w:t>
            </w:r>
          </w:p>
          <w:p w14:paraId="4CEA5050" w14:textId="61B22280"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vAlign w:val="center"/>
          </w:tcPr>
          <w:p w14:paraId="5417DE5C" w14:textId="4CE93505"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E034A2">
              <w:rPr>
                <w:vertAlign w:val="superscript"/>
              </w:rPr>
              <w:t>2</w:t>
            </w:r>
            <w:r w:rsidRPr="00AC7830">
              <w:rPr>
                <w:szCs w:val="20"/>
              </w:rPr>
              <w:t xml:space="preserve"> </w:t>
            </w:r>
          </w:p>
          <w:p w14:paraId="32BA4C56" w14:textId="0CBABFB5"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tcMar>
              <w:top w:w="0" w:type="dxa"/>
              <w:left w:w="28" w:type="dxa"/>
              <w:bottom w:w="0" w:type="dxa"/>
              <w:right w:w="28" w:type="dxa"/>
            </w:tcMar>
            <w:vAlign w:val="center"/>
          </w:tcPr>
          <w:p w14:paraId="300F3BB6" w14:textId="4317695C"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E034A2">
              <w:rPr>
                <w:vertAlign w:val="superscript"/>
              </w:rPr>
              <w:t>2</w:t>
            </w:r>
            <w:r w:rsidRPr="00AC7830">
              <w:rPr>
                <w:szCs w:val="20"/>
              </w:rPr>
              <w:t xml:space="preserve"> </w:t>
            </w:r>
          </w:p>
          <w:p w14:paraId="53727EFF" w14:textId="367A7164"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4" w:type="dxa"/>
            <w:tcMar>
              <w:top w:w="0" w:type="dxa"/>
              <w:left w:w="28" w:type="dxa"/>
              <w:bottom w:w="0" w:type="dxa"/>
              <w:right w:w="28" w:type="dxa"/>
            </w:tcMar>
            <w:vAlign w:val="center"/>
          </w:tcPr>
          <w:p w14:paraId="6A7EDA38" w14:textId="0DC659DA"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E034A2">
              <w:rPr>
                <w:vertAlign w:val="superscript"/>
              </w:rPr>
              <w:t>2</w:t>
            </w:r>
            <w:r w:rsidRPr="00AC7830">
              <w:rPr>
                <w:szCs w:val="20"/>
              </w:rPr>
              <w:t xml:space="preserve"> </w:t>
            </w:r>
          </w:p>
          <w:p w14:paraId="1F869187" w14:textId="5F2BD1F7"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r>
      <w:tr w:rsidR="007709AA" w:rsidRPr="00AC7830" w14:paraId="1173743D" w14:textId="77777777" w:rsidTr="00A752B6">
        <w:trPr>
          <w:cantSplit/>
        </w:trPr>
        <w:tc>
          <w:tcPr>
            <w:tcW w:w="3136" w:type="dxa"/>
            <w:tcMar>
              <w:top w:w="0" w:type="dxa"/>
              <w:left w:w="28" w:type="dxa"/>
              <w:bottom w:w="0" w:type="dxa"/>
              <w:right w:w="28" w:type="dxa"/>
            </w:tcMar>
          </w:tcPr>
          <w:p w14:paraId="25AC6620" w14:textId="7B15CF82" w:rsidR="007709AA" w:rsidRPr="00AC7830" w:rsidRDefault="007709AA" w:rsidP="00370D8E">
            <w:pPr>
              <w:pStyle w:val="Tabletext0"/>
              <w:keepNext/>
              <w:rPr>
                <w:szCs w:val="20"/>
              </w:rPr>
            </w:pPr>
            <w:r w:rsidRPr="00AC7830">
              <w:rPr>
                <w:szCs w:val="20"/>
              </w:rPr>
              <w:t xml:space="preserve">Annual eGFR change in placebo arm based on </w:t>
            </w:r>
            <w:proofErr w:type="spellStart"/>
            <w:r w:rsidRPr="00AC7830">
              <w:rPr>
                <w:szCs w:val="20"/>
              </w:rPr>
              <w:t>RaDaR</w:t>
            </w:r>
            <w:proofErr w:type="spellEnd"/>
            <w:r w:rsidRPr="00AC7830">
              <w:rPr>
                <w:szCs w:val="20"/>
              </w:rPr>
              <w:t xml:space="preserve"> registry (-4.90 </w:t>
            </w:r>
            <w:r w:rsidRPr="00AC7830">
              <w:t>mL/min/1.73</w:t>
            </w:r>
            <w:r w:rsidR="006A67AE" w:rsidRPr="00AC7830">
              <w:t xml:space="preserve"> </w:t>
            </w:r>
            <w:r w:rsidRPr="00AC7830">
              <w:t>m</w:t>
            </w:r>
            <w:r w:rsidRPr="00AC7830">
              <w:rPr>
                <w:vertAlign w:val="superscript"/>
              </w:rPr>
              <w:t xml:space="preserve">2 </w:t>
            </w:r>
            <w:r w:rsidRPr="00AC7830">
              <w:t>per year</w:t>
            </w:r>
            <w:r w:rsidRPr="00AC7830">
              <w:rPr>
                <w:szCs w:val="20"/>
              </w:rPr>
              <w:t>)</w:t>
            </w:r>
          </w:p>
        </w:tc>
        <w:tc>
          <w:tcPr>
            <w:tcW w:w="1473" w:type="dxa"/>
            <w:tcMar>
              <w:top w:w="0" w:type="dxa"/>
              <w:left w:w="28" w:type="dxa"/>
              <w:bottom w:w="0" w:type="dxa"/>
              <w:right w:w="28" w:type="dxa"/>
            </w:tcMar>
            <w:vAlign w:val="center"/>
          </w:tcPr>
          <w:p w14:paraId="61D68EBF" w14:textId="64F012A4"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4345FA">
              <w:rPr>
                <w:vertAlign w:val="superscript"/>
              </w:rPr>
              <w:t>2</w:t>
            </w:r>
            <w:r w:rsidRPr="00AC7830">
              <w:rPr>
                <w:szCs w:val="20"/>
              </w:rPr>
              <w:t xml:space="preserve"> </w:t>
            </w:r>
          </w:p>
          <w:p w14:paraId="7F2F2D45" w14:textId="733843B1"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vAlign w:val="center"/>
          </w:tcPr>
          <w:p w14:paraId="4FE8A1E2" w14:textId="54F4E4BF"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4345FA">
              <w:rPr>
                <w:vertAlign w:val="superscript"/>
              </w:rPr>
              <w:t>2</w:t>
            </w:r>
            <w:r w:rsidRPr="00AC7830">
              <w:rPr>
                <w:szCs w:val="20"/>
              </w:rPr>
              <w:t xml:space="preserve"> </w:t>
            </w:r>
          </w:p>
          <w:p w14:paraId="2A9731A5" w14:textId="3E8F120B"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tcMar>
              <w:top w:w="0" w:type="dxa"/>
              <w:left w:w="28" w:type="dxa"/>
              <w:bottom w:w="0" w:type="dxa"/>
              <w:right w:w="28" w:type="dxa"/>
            </w:tcMar>
            <w:vAlign w:val="center"/>
          </w:tcPr>
          <w:p w14:paraId="055858EB" w14:textId="42858CF1"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4345FA">
              <w:rPr>
                <w:vertAlign w:val="superscript"/>
              </w:rPr>
              <w:t>2</w:t>
            </w:r>
            <w:r w:rsidRPr="00AC7830">
              <w:rPr>
                <w:szCs w:val="20"/>
              </w:rPr>
              <w:t xml:space="preserve"> </w:t>
            </w:r>
          </w:p>
          <w:p w14:paraId="2957D7E9" w14:textId="0653A5B0"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4" w:type="dxa"/>
            <w:tcMar>
              <w:top w:w="0" w:type="dxa"/>
              <w:left w:w="28" w:type="dxa"/>
              <w:bottom w:w="0" w:type="dxa"/>
              <w:right w:w="28" w:type="dxa"/>
            </w:tcMar>
            <w:vAlign w:val="center"/>
          </w:tcPr>
          <w:p w14:paraId="2A02C363" w14:textId="17BB1266"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4345FA">
              <w:rPr>
                <w:vertAlign w:val="superscript"/>
              </w:rPr>
              <w:t>2</w:t>
            </w:r>
            <w:r w:rsidRPr="00AC7830">
              <w:rPr>
                <w:szCs w:val="20"/>
              </w:rPr>
              <w:t xml:space="preserve"> </w:t>
            </w:r>
          </w:p>
          <w:p w14:paraId="470E7A37" w14:textId="4A9961A7"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r>
      <w:tr w:rsidR="007709AA" w:rsidRPr="00AC7830" w14:paraId="4DFD5BD3" w14:textId="77777777" w:rsidTr="00A752B6">
        <w:trPr>
          <w:cantSplit/>
        </w:trPr>
        <w:tc>
          <w:tcPr>
            <w:tcW w:w="3136" w:type="dxa"/>
            <w:tcMar>
              <w:top w:w="0" w:type="dxa"/>
              <w:left w:w="28" w:type="dxa"/>
              <w:bottom w:w="0" w:type="dxa"/>
              <w:right w:w="28" w:type="dxa"/>
            </w:tcMar>
          </w:tcPr>
          <w:p w14:paraId="153EFCFD" w14:textId="6131CF2E" w:rsidR="007709AA" w:rsidRPr="00AC7830" w:rsidRDefault="007709AA" w:rsidP="00370D8E">
            <w:pPr>
              <w:pStyle w:val="Tabletext0"/>
              <w:keepNext/>
              <w:rPr>
                <w:szCs w:val="20"/>
              </w:rPr>
            </w:pPr>
            <w:r w:rsidRPr="00AC7830">
              <w:rPr>
                <w:szCs w:val="20"/>
              </w:rPr>
              <w:t xml:space="preserve">Annual eGFR change in placebo arm based on the APPEAR-C3G trial (-3.079 </w:t>
            </w:r>
            <w:r w:rsidRPr="00AC7830">
              <w:t>mL/min/1.73</w:t>
            </w:r>
            <w:r w:rsidR="006A67AE" w:rsidRPr="00AC7830">
              <w:t xml:space="preserve"> </w:t>
            </w:r>
            <w:r w:rsidRPr="00AC7830">
              <w:t>m</w:t>
            </w:r>
            <w:r w:rsidRPr="00AC7830">
              <w:rPr>
                <w:vertAlign w:val="superscript"/>
              </w:rPr>
              <w:t xml:space="preserve">2 </w:t>
            </w:r>
            <w:r w:rsidRPr="00AC7830">
              <w:t>per year</w:t>
            </w:r>
            <w:r w:rsidRPr="00AC7830">
              <w:rPr>
                <w:szCs w:val="20"/>
              </w:rPr>
              <w:t>)</w:t>
            </w:r>
            <w:r w:rsidR="00B20F3B">
              <w:rPr>
                <w:vertAlign w:val="superscript"/>
              </w:rPr>
              <w:t xml:space="preserve"> 2</w:t>
            </w:r>
          </w:p>
        </w:tc>
        <w:tc>
          <w:tcPr>
            <w:tcW w:w="1473" w:type="dxa"/>
            <w:tcMar>
              <w:top w:w="0" w:type="dxa"/>
              <w:left w:w="28" w:type="dxa"/>
              <w:bottom w:w="0" w:type="dxa"/>
              <w:right w:w="28" w:type="dxa"/>
            </w:tcMar>
            <w:vAlign w:val="center"/>
          </w:tcPr>
          <w:p w14:paraId="2C7C2B8F" w14:textId="44861D66"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163C36">
              <w:rPr>
                <w:vertAlign w:val="superscript"/>
              </w:rPr>
              <w:t>2</w:t>
            </w:r>
            <w:r w:rsidRPr="00AC7830">
              <w:rPr>
                <w:szCs w:val="20"/>
              </w:rPr>
              <w:t xml:space="preserve"> </w:t>
            </w:r>
          </w:p>
          <w:p w14:paraId="329FE8E3" w14:textId="166B3362"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vAlign w:val="center"/>
          </w:tcPr>
          <w:p w14:paraId="3BB6216F" w14:textId="504795C8"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163C36">
              <w:rPr>
                <w:vertAlign w:val="superscript"/>
              </w:rPr>
              <w:t>2</w:t>
            </w:r>
            <w:r w:rsidRPr="00AC7830">
              <w:rPr>
                <w:szCs w:val="20"/>
              </w:rPr>
              <w:t xml:space="preserve"> </w:t>
            </w:r>
          </w:p>
          <w:p w14:paraId="552D786A" w14:textId="63148987"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tcMar>
              <w:top w:w="0" w:type="dxa"/>
              <w:left w:w="28" w:type="dxa"/>
              <w:bottom w:w="0" w:type="dxa"/>
              <w:right w:w="28" w:type="dxa"/>
            </w:tcMar>
            <w:vAlign w:val="center"/>
          </w:tcPr>
          <w:p w14:paraId="4C715339" w14:textId="0E2F9995"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163C36">
              <w:rPr>
                <w:vertAlign w:val="superscript"/>
              </w:rPr>
              <w:t>2</w:t>
            </w:r>
            <w:r w:rsidRPr="00AC7830">
              <w:rPr>
                <w:szCs w:val="20"/>
              </w:rPr>
              <w:t xml:space="preserve"> </w:t>
            </w:r>
          </w:p>
          <w:p w14:paraId="32928DF2" w14:textId="18DCB0BE"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4" w:type="dxa"/>
            <w:tcMar>
              <w:top w:w="0" w:type="dxa"/>
              <w:left w:w="28" w:type="dxa"/>
              <w:bottom w:w="0" w:type="dxa"/>
              <w:right w:w="28" w:type="dxa"/>
            </w:tcMar>
            <w:vAlign w:val="center"/>
          </w:tcPr>
          <w:p w14:paraId="3B5C4765" w14:textId="58AAEDFB"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163C36">
              <w:rPr>
                <w:vertAlign w:val="superscript"/>
              </w:rPr>
              <w:t>2</w:t>
            </w:r>
            <w:r w:rsidRPr="00AC7830">
              <w:rPr>
                <w:szCs w:val="20"/>
              </w:rPr>
              <w:t xml:space="preserve"> </w:t>
            </w:r>
          </w:p>
          <w:p w14:paraId="5E2BB64C" w14:textId="1F0E6744"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r>
      <w:tr w:rsidR="007709AA" w:rsidRPr="00AC7830" w14:paraId="3F72529F" w14:textId="77777777" w:rsidTr="00A752B6">
        <w:trPr>
          <w:cantSplit/>
        </w:trPr>
        <w:tc>
          <w:tcPr>
            <w:tcW w:w="9029" w:type="dxa"/>
            <w:gridSpan w:val="5"/>
            <w:tcMar>
              <w:top w:w="0" w:type="dxa"/>
              <w:left w:w="28" w:type="dxa"/>
              <w:bottom w:w="0" w:type="dxa"/>
              <w:right w:w="28" w:type="dxa"/>
            </w:tcMar>
          </w:tcPr>
          <w:p w14:paraId="0BB87BCE" w14:textId="3FA9BCDC" w:rsidR="007709AA" w:rsidRPr="00AC7830" w:rsidRDefault="007709AA" w:rsidP="00370D8E">
            <w:pPr>
              <w:pStyle w:val="Tabletext0"/>
              <w:keepNext/>
              <w:rPr>
                <w:szCs w:val="20"/>
              </w:rPr>
            </w:pPr>
            <w:r w:rsidRPr="00AC7830">
              <w:rPr>
                <w:b/>
                <w:bCs/>
                <w:szCs w:val="20"/>
              </w:rPr>
              <w:t>Using TTO health state utility values reported in de Freitas 2023</w:t>
            </w:r>
            <w:r w:rsidR="006B75F2">
              <w:rPr>
                <w:b/>
                <w:bCs/>
                <w:szCs w:val="20"/>
              </w:rPr>
              <w:t xml:space="preserve"> </w:t>
            </w:r>
          </w:p>
        </w:tc>
      </w:tr>
      <w:tr w:rsidR="007709AA" w:rsidRPr="00AC7830" w14:paraId="1B9ABEF6" w14:textId="77777777" w:rsidTr="00A752B6">
        <w:trPr>
          <w:cantSplit/>
        </w:trPr>
        <w:tc>
          <w:tcPr>
            <w:tcW w:w="3136" w:type="dxa"/>
            <w:tcMar>
              <w:top w:w="0" w:type="dxa"/>
              <w:left w:w="28" w:type="dxa"/>
              <w:bottom w:w="0" w:type="dxa"/>
              <w:right w:w="28" w:type="dxa"/>
            </w:tcMar>
          </w:tcPr>
          <w:p w14:paraId="1FD86DDD" w14:textId="35671320" w:rsidR="007709AA" w:rsidRPr="00AC7830" w:rsidRDefault="007709AA" w:rsidP="00370D8E">
            <w:pPr>
              <w:pStyle w:val="Tabletext0"/>
              <w:keepNext/>
              <w:rPr>
                <w:szCs w:val="20"/>
              </w:rPr>
            </w:pPr>
            <w:r w:rsidRPr="00AC7830">
              <w:rPr>
                <w:szCs w:val="20"/>
              </w:rPr>
              <w:t xml:space="preserve">Annual eGFR change in placebo arm based on the pooled analysis of iptacopan studies (-8.32 </w:t>
            </w:r>
            <w:r w:rsidRPr="00AC7830">
              <w:t>mL/min/1.73</w:t>
            </w:r>
            <w:r w:rsidR="00E01745" w:rsidRPr="00AC7830">
              <w:t xml:space="preserve"> </w:t>
            </w:r>
            <w:r w:rsidRPr="00AC7830">
              <w:t>m</w:t>
            </w:r>
            <w:r w:rsidRPr="00AC7830">
              <w:rPr>
                <w:vertAlign w:val="superscript"/>
              </w:rPr>
              <w:t xml:space="preserve">2 </w:t>
            </w:r>
            <w:r w:rsidRPr="00AC7830">
              <w:t>per year</w:t>
            </w:r>
            <w:r w:rsidRPr="00AC7830">
              <w:rPr>
                <w:szCs w:val="20"/>
              </w:rPr>
              <w:t>)</w:t>
            </w:r>
          </w:p>
        </w:tc>
        <w:tc>
          <w:tcPr>
            <w:tcW w:w="1473" w:type="dxa"/>
            <w:tcMar>
              <w:top w:w="0" w:type="dxa"/>
              <w:left w:w="28" w:type="dxa"/>
              <w:bottom w:w="0" w:type="dxa"/>
              <w:right w:w="28" w:type="dxa"/>
            </w:tcMar>
            <w:vAlign w:val="center"/>
          </w:tcPr>
          <w:p w14:paraId="4CFB716E" w14:textId="351DAED1"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163C36">
              <w:rPr>
                <w:vertAlign w:val="superscript"/>
              </w:rPr>
              <w:t>2</w:t>
            </w:r>
            <w:r w:rsidRPr="00AC7830">
              <w:rPr>
                <w:szCs w:val="20"/>
              </w:rPr>
              <w:t xml:space="preserve"> </w:t>
            </w:r>
          </w:p>
          <w:p w14:paraId="653B6100" w14:textId="757B8EFB"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vAlign w:val="center"/>
          </w:tcPr>
          <w:p w14:paraId="32052740" w14:textId="64B41098"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163C36">
              <w:rPr>
                <w:vertAlign w:val="superscript"/>
              </w:rPr>
              <w:t>2</w:t>
            </w:r>
            <w:r w:rsidRPr="00AC7830">
              <w:rPr>
                <w:szCs w:val="20"/>
              </w:rPr>
              <w:t xml:space="preserve"> </w:t>
            </w:r>
          </w:p>
          <w:p w14:paraId="0ABF8B75" w14:textId="33E5E94D"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tcMar>
              <w:top w:w="0" w:type="dxa"/>
              <w:left w:w="28" w:type="dxa"/>
              <w:bottom w:w="0" w:type="dxa"/>
              <w:right w:w="28" w:type="dxa"/>
            </w:tcMar>
            <w:vAlign w:val="center"/>
          </w:tcPr>
          <w:p w14:paraId="7155CCBC" w14:textId="63827968"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163C36">
              <w:rPr>
                <w:vertAlign w:val="superscript"/>
              </w:rPr>
              <w:t>2</w:t>
            </w:r>
            <w:r w:rsidRPr="00AC7830">
              <w:rPr>
                <w:szCs w:val="20"/>
              </w:rPr>
              <w:t xml:space="preserve"> </w:t>
            </w:r>
          </w:p>
          <w:p w14:paraId="039C4236" w14:textId="6D030807"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4" w:type="dxa"/>
            <w:tcMar>
              <w:top w:w="0" w:type="dxa"/>
              <w:left w:w="28" w:type="dxa"/>
              <w:bottom w:w="0" w:type="dxa"/>
              <w:right w:w="28" w:type="dxa"/>
            </w:tcMar>
            <w:vAlign w:val="center"/>
          </w:tcPr>
          <w:p w14:paraId="1CA4B31D" w14:textId="5110183D"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163C36">
              <w:rPr>
                <w:vertAlign w:val="superscript"/>
              </w:rPr>
              <w:t>2</w:t>
            </w:r>
            <w:r w:rsidRPr="00AC7830">
              <w:rPr>
                <w:szCs w:val="20"/>
              </w:rPr>
              <w:t xml:space="preserve"> </w:t>
            </w:r>
          </w:p>
          <w:p w14:paraId="75781A6D" w14:textId="23A6205B"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r>
      <w:tr w:rsidR="007709AA" w:rsidRPr="00AC7830" w14:paraId="711CF7D9" w14:textId="77777777" w:rsidTr="00A752B6">
        <w:trPr>
          <w:cantSplit/>
        </w:trPr>
        <w:tc>
          <w:tcPr>
            <w:tcW w:w="3136" w:type="dxa"/>
            <w:tcMar>
              <w:top w:w="0" w:type="dxa"/>
              <w:left w:w="28" w:type="dxa"/>
              <w:bottom w:w="0" w:type="dxa"/>
              <w:right w:w="28" w:type="dxa"/>
            </w:tcMar>
          </w:tcPr>
          <w:p w14:paraId="1A9CA47C" w14:textId="0971C432" w:rsidR="007709AA" w:rsidRPr="00AC7830" w:rsidRDefault="007709AA" w:rsidP="00370D8E">
            <w:pPr>
              <w:pStyle w:val="Tabletext0"/>
              <w:keepNext/>
              <w:rPr>
                <w:szCs w:val="20"/>
              </w:rPr>
            </w:pPr>
            <w:r w:rsidRPr="00AC7830">
              <w:rPr>
                <w:szCs w:val="20"/>
              </w:rPr>
              <w:t xml:space="preserve">Annual eGFR change in placebo arm based on the subset of patients that progressed to kidney failure in GLOSEN registry (-6.50 </w:t>
            </w:r>
            <w:r w:rsidRPr="00AC7830">
              <w:t>mL/min/1.73</w:t>
            </w:r>
            <w:r w:rsidR="00A752B6" w:rsidRPr="00AC7830">
              <w:t xml:space="preserve"> </w:t>
            </w:r>
            <w:r w:rsidRPr="00AC7830">
              <w:t>m</w:t>
            </w:r>
            <w:r w:rsidRPr="00AC7830">
              <w:rPr>
                <w:vertAlign w:val="superscript"/>
              </w:rPr>
              <w:t xml:space="preserve">2 </w:t>
            </w:r>
            <w:r w:rsidRPr="00AC7830">
              <w:t>per year</w:t>
            </w:r>
            <w:r w:rsidRPr="00AC7830">
              <w:rPr>
                <w:szCs w:val="20"/>
              </w:rPr>
              <w:t>)</w:t>
            </w:r>
          </w:p>
        </w:tc>
        <w:tc>
          <w:tcPr>
            <w:tcW w:w="1473" w:type="dxa"/>
            <w:tcMar>
              <w:top w:w="0" w:type="dxa"/>
              <w:left w:w="28" w:type="dxa"/>
              <w:bottom w:w="0" w:type="dxa"/>
              <w:right w:w="28" w:type="dxa"/>
            </w:tcMar>
            <w:vAlign w:val="center"/>
          </w:tcPr>
          <w:p w14:paraId="065ED69B" w14:textId="64653F50"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B20F3B">
              <w:rPr>
                <w:vertAlign w:val="superscript"/>
              </w:rPr>
              <w:t>2</w:t>
            </w:r>
          </w:p>
          <w:p w14:paraId="7F5BBC91" w14:textId="39170C47"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vAlign w:val="center"/>
          </w:tcPr>
          <w:p w14:paraId="7D5DF2B8" w14:textId="38FF3B3C"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B20F3B">
              <w:rPr>
                <w:vertAlign w:val="superscript"/>
              </w:rPr>
              <w:t>2</w:t>
            </w:r>
            <w:r w:rsidRPr="00AC7830">
              <w:rPr>
                <w:szCs w:val="20"/>
              </w:rPr>
              <w:t xml:space="preserve"> </w:t>
            </w:r>
          </w:p>
          <w:p w14:paraId="18357A5A" w14:textId="605AD645"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tcMar>
              <w:top w:w="0" w:type="dxa"/>
              <w:left w:w="28" w:type="dxa"/>
              <w:bottom w:w="0" w:type="dxa"/>
              <w:right w:w="28" w:type="dxa"/>
            </w:tcMar>
            <w:vAlign w:val="center"/>
          </w:tcPr>
          <w:p w14:paraId="56A38BC3" w14:textId="4722B3E6"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B20F3B">
              <w:rPr>
                <w:vertAlign w:val="superscript"/>
              </w:rPr>
              <w:t>2</w:t>
            </w:r>
            <w:r w:rsidRPr="00AC7830">
              <w:rPr>
                <w:szCs w:val="20"/>
              </w:rPr>
              <w:t xml:space="preserve"> </w:t>
            </w:r>
          </w:p>
          <w:p w14:paraId="5B35931A" w14:textId="06C36BDA"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4" w:type="dxa"/>
            <w:tcMar>
              <w:top w:w="0" w:type="dxa"/>
              <w:left w:w="28" w:type="dxa"/>
              <w:bottom w:w="0" w:type="dxa"/>
              <w:right w:w="28" w:type="dxa"/>
            </w:tcMar>
            <w:vAlign w:val="center"/>
          </w:tcPr>
          <w:p w14:paraId="31592F6D" w14:textId="1E7A1E63"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B20F3B">
              <w:rPr>
                <w:vertAlign w:val="superscript"/>
              </w:rPr>
              <w:t>2</w:t>
            </w:r>
            <w:r w:rsidRPr="00AC7830">
              <w:rPr>
                <w:szCs w:val="20"/>
              </w:rPr>
              <w:t xml:space="preserve"> </w:t>
            </w:r>
          </w:p>
          <w:p w14:paraId="457D406A" w14:textId="04030223"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r>
      <w:tr w:rsidR="007709AA" w:rsidRPr="00AC7830" w14:paraId="0AB95BC6" w14:textId="77777777" w:rsidTr="00A752B6">
        <w:trPr>
          <w:cantSplit/>
        </w:trPr>
        <w:tc>
          <w:tcPr>
            <w:tcW w:w="3136" w:type="dxa"/>
            <w:tcMar>
              <w:top w:w="0" w:type="dxa"/>
              <w:left w:w="28" w:type="dxa"/>
              <w:bottom w:w="0" w:type="dxa"/>
              <w:right w:w="28" w:type="dxa"/>
            </w:tcMar>
          </w:tcPr>
          <w:p w14:paraId="7F5D3BC3" w14:textId="700FA1AE" w:rsidR="007709AA" w:rsidRPr="00AC7830" w:rsidRDefault="007709AA" w:rsidP="00370D8E">
            <w:pPr>
              <w:pStyle w:val="Tabletext0"/>
              <w:keepNext/>
              <w:rPr>
                <w:szCs w:val="20"/>
              </w:rPr>
            </w:pPr>
            <w:r w:rsidRPr="00AC7830">
              <w:rPr>
                <w:szCs w:val="20"/>
              </w:rPr>
              <w:t xml:space="preserve">Annual eGFR change in placebo arm based on </w:t>
            </w:r>
            <w:proofErr w:type="spellStart"/>
            <w:r w:rsidRPr="00AC7830">
              <w:rPr>
                <w:szCs w:val="20"/>
              </w:rPr>
              <w:t>RaDaR</w:t>
            </w:r>
            <w:proofErr w:type="spellEnd"/>
            <w:r w:rsidRPr="00AC7830">
              <w:rPr>
                <w:szCs w:val="20"/>
              </w:rPr>
              <w:t xml:space="preserve"> registry (-4.90 </w:t>
            </w:r>
            <w:r w:rsidRPr="00AC7830">
              <w:t>mL/min/1.73</w:t>
            </w:r>
            <w:r w:rsidR="00A752B6" w:rsidRPr="00AC7830">
              <w:t xml:space="preserve"> </w:t>
            </w:r>
            <w:r w:rsidRPr="00AC7830">
              <w:t>m</w:t>
            </w:r>
            <w:r w:rsidRPr="00AC7830">
              <w:rPr>
                <w:vertAlign w:val="superscript"/>
              </w:rPr>
              <w:t xml:space="preserve">2 </w:t>
            </w:r>
            <w:r w:rsidRPr="00AC7830">
              <w:t>per year</w:t>
            </w:r>
            <w:r w:rsidRPr="00AC7830">
              <w:rPr>
                <w:szCs w:val="20"/>
              </w:rPr>
              <w:t>)</w:t>
            </w:r>
          </w:p>
        </w:tc>
        <w:tc>
          <w:tcPr>
            <w:tcW w:w="1473" w:type="dxa"/>
            <w:tcMar>
              <w:top w:w="0" w:type="dxa"/>
              <w:left w:w="28" w:type="dxa"/>
              <w:bottom w:w="0" w:type="dxa"/>
              <w:right w:w="28" w:type="dxa"/>
            </w:tcMar>
            <w:vAlign w:val="center"/>
          </w:tcPr>
          <w:p w14:paraId="36CA9277" w14:textId="79894C61"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B20F3B">
              <w:rPr>
                <w:vertAlign w:val="superscript"/>
              </w:rPr>
              <w:t>2</w:t>
            </w:r>
            <w:r w:rsidRPr="00AC7830">
              <w:rPr>
                <w:szCs w:val="20"/>
              </w:rPr>
              <w:t xml:space="preserve"> </w:t>
            </w:r>
          </w:p>
          <w:p w14:paraId="1461A4FE" w14:textId="0937BEE7"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vAlign w:val="center"/>
          </w:tcPr>
          <w:p w14:paraId="01035BE0" w14:textId="24FE0AA7"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B20F3B">
              <w:rPr>
                <w:vertAlign w:val="superscript"/>
              </w:rPr>
              <w:t>2</w:t>
            </w:r>
            <w:r w:rsidRPr="00AC7830">
              <w:rPr>
                <w:szCs w:val="20"/>
              </w:rPr>
              <w:t xml:space="preserve"> </w:t>
            </w:r>
          </w:p>
          <w:p w14:paraId="78E84B4E" w14:textId="23FDBDCB"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tcMar>
              <w:top w:w="0" w:type="dxa"/>
              <w:left w:w="28" w:type="dxa"/>
              <w:bottom w:w="0" w:type="dxa"/>
              <w:right w:w="28" w:type="dxa"/>
            </w:tcMar>
            <w:vAlign w:val="center"/>
          </w:tcPr>
          <w:p w14:paraId="029DF29E" w14:textId="12E2FD12"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B20F3B">
              <w:rPr>
                <w:vertAlign w:val="superscript"/>
              </w:rPr>
              <w:t>2</w:t>
            </w:r>
            <w:r w:rsidRPr="00AC7830">
              <w:rPr>
                <w:szCs w:val="20"/>
              </w:rPr>
              <w:t xml:space="preserve"> (</w:t>
            </w:r>
            <w:r w:rsidR="00994C8B" w:rsidRPr="00994C8B">
              <w:rPr>
                <w:szCs w:val="20"/>
                <w:highlight w:val="black"/>
              </w:rPr>
              <w:t>&amp;&amp;&amp;&amp;</w:t>
            </w:r>
            <w:r w:rsidRPr="00AC7830">
              <w:rPr>
                <w:szCs w:val="20"/>
              </w:rPr>
              <w:t>%)</w:t>
            </w:r>
          </w:p>
        </w:tc>
        <w:tc>
          <w:tcPr>
            <w:tcW w:w="1474" w:type="dxa"/>
            <w:tcMar>
              <w:top w:w="0" w:type="dxa"/>
              <w:left w:w="28" w:type="dxa"/>
              <w:bottom w:w="0" w:type="dxa"/>
              <w:right w:w="28" w:type="dxa"/>
            </w:tcMar>
            <w:vAlign w:val="center"/>
          </w:tcPr>
          <w:p w14:paraId="0071390C" w14:textId="643E4476"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B20F3B">
              <w:rPr>
                <w:vertAlign w:val="superscript"/>
              </w:rPr>
              <w:t>2</w:t>
            </w:r>
            <w:r w:rsidRPr="00AC7830">
              <w:rPr>
                <w:szCs w:val="20"/>
              </w:rPr>
              <w:t xml:space="preserve"> </w:t>
            </w:r>
          </w:p>
          <w:p w14:paraId="12A623D5" w14:textId="67F98CBE"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r>
      <w:tr w:rsidR="007709AA" w:rsidRPr="00AC7830" w14:paraId="5AC5A7C6" w14:textId="77777777" w:rsidTr="00A752B6">
        <w:trPr>
          <w:cantSplit/>
        </w:trPr>
        <w:tc>
          <w:tcPr>
            <w:tcW w:w="3136" w:type="dxa"/>
            <w:tcMar>
              <w:top w:w="0" w:type="dxa"/>
              <w:left w:w="28" w:type="dxa"/>
              <w:bottom w:w="0" w:type="dxa"/>
              <w:right w:w="28" w:type="dxa"/>
            </w:tcMar>
          </w:tcPr>
          <w:p w14:paraId="04026087" w14:textId="099C6878" w:rsidR="007709AA" w:rsidRPr="00AC7830" w:rsidRDefault="007709AA" w:rsidP="00370D8E">
            <w:pPr>
              <w:pStyle w:val="Tabletext0"/>
              <w:keepNext/>
              <w:rPr>
                <w:szCs w:val="20"/>
              </w:rPr>
            </w:pPr>
            <w:r w:rsidRPr="00AC7830">
              <w:rPr>
                <w:szCs w:val="20"/>
              </w:rPr>
              <w:t xml:space="preserve">Annual eGFR change in placebo arm based on the APPEAR-C3G trial (-3.079 </w:t>
            </w:r>
            <w:r w:rsidRPr="00AC7830">
              <w:t>mL/min/1.73</w:t>
            </w:r>
            <w:r w:rsidR="00A752B6" w:rsidRPr="00AC7830">
              <w:t xml:space="preserve"> </w:t>
            </w:r>
            <w:r w:rsidRPr="00AC7830">
              <w:t>m</w:t>
            </w:r>
            <w:r w:rsidRPr="00AC7830">
              <w:rPr>
                <w:vertAlign w:val="superscript"/>
              </w:rPr>
              <w:t xml:space="preserve">2 </w:t>
            </w:r>
            <w:r w:rsidRPr="00AC7830">
              <w:t>per year</w:t>
            </w:r>
            <w:r w:rsidRPr="00AC7830">
              <w:rPr>
                <w:szCs w:val="20"/>
              </w:rPr>
              <w:t>)</w:t>
            </w:r>
          </w:p>
        </w:tc>
        <w:tc>
          <w:tcPr>
            <w:tcW w:w="1473" w:type="dxa"/>
            <w:tcMar>
              <w:top w:w="0" w:type="dxa"/>
              <w:left w:w="28" w:type="dxa"/>
              <w:bottom w:w="0" w:type="dxa"/>
              <w:right w:w="28" w:type="dxa"/>
            </w:tcMar>
            <w:vAlign w:val="center"/>
          </w:tcPr>
          <w:p w14:paraId="6A3DDD69" w14:textId="75EAAB72"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B20F3B">
              <w:rPr>
                <w:vertAlign w:val="superscript"/>
              </w:rPr>
              <w:t>2</w:t>
            </w:r>
            <w:r w:rsidRPr="00AC7830">
              <w:rPr>
                <w:szCs w:val="20"/>
              </w:rPr>
              <w:t xml:space="preserve"> (</w:t>
            </w:r>
            <w:r w:rsidR="00994C8B" w:rsidRPr="00994C8B">
              <w:rPr>
                <w:szCs w:val="20"/>
                <w:highlight w:val="black"/>
              </w:rPr>
              <w:t>&amp;&amp;&amp;&amp;</w:t>
            </w:r>
            <w:r w:rsidRPr="00AC7830">
              <w:rPr>
                <w:szCs w:val="20"/>
              </w:rPr>
              <w:t>%)</w:t>
            </w:r>
          </w:p>
        </w:tc>
        <w:tc>
          <w:tcPr>
            <w:tcW w:w="1473" w:type="dxa"/>
            <w:vAlign w:val="center"/>
          </w:tcPr>
          <w:p w14:paraId="6263E448" w14:textId="5422E06D"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B20F3B">
              <w:rPr>
                <w:vertAlign w:val="superscript"/>
              </w:rPr>
              <w:t>2</w:t>
            </w:r>
            <w:r w:rsidRPr="00AC7830">
              <w:rPr>
                <w:szCs w:val="20"/>
              </w:rPr>
              <w:t xml:space="preserve"> </w:t>
            </w:r>
          </w:p>
          <w:p w14:paraId="2D399A17" w14:textId="3A9894A9"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3" w:type="dxa"/>
            <w:tcMar>
              <w:top w:w="0" w:type="dxa"/>
              <w:left w:w="28" w:type="dxa"/>
              <w:bottom w:w="0" w:type="dxa"/>
              <w:right w:w="28" w:type="dxa"/>
            </w:tcMar>
            <w:vAlign w:val="center"/>
          </w:tcPr>
          <w:p w14:paraId="15D92878" w14:textId="060AEAD4"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B20F3B">
              <w:rPr>
                <w:vertAlign w:val="superscript"/>
              </w:rPr>
              <w:t>2</w:t>
            </w:r>
            <w:r w:rsidRPr="00AC7830">
              <w:rPr>
                <w:szCs w:val="20"/>
              </w:rPr>
              <w:t xml:space="preserve"> (</w:t>
            </w:r>
            <w:r w:rsidR="00994C8B" w:rsidRPr="00994C8B">
              <w:rPr>
                <w:szCs w:val="20"/>
                <w:highlight w:val="black"/>
              </w:rPr>
              <w:t>&amp;&amp;&amp;&amp;</w:t>
            </w:r>
            <w:r w:rsidRPr="00AC7830">
              <w:rPr>
                <w:szCs w:val="20"/>
              </w:rPr>
              <w:t>%)</w:t>
            </w:r>
          </w:p>
        </w:tc>
        <w:tc>
          <w:tcPr>
            <w:tcW w:w="1474" w:type="dxa"/>
            <w:tcMar>
              <w:top w:w="0" w:type="dxa"/>
              <w:left w:w="28" w:type="dxa"/>
              <w:bottom w:w="0" w:type="dxa"/>
              <w:right w:w="28" w:type="dxa"/>
            </w:tcMar>
            <w:vAlign w:val="center"/>
          </w:tcPr>
          <w:p w14:paraId="46F23B57" w14:textId="749985E7"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B20F3B">
              <w:rPr>
                <w:vertAlign w:val="superscript"/>
              </w:rPr>
              <w:t>2</w:t>
            </w:r>
            <w:r w:rsidRPr="00AC7830">
              <w:rPr>
                <w:szCs w:val="20"/>
              </w:rPr>
              <w:t xml:space="preserve"> </w:t>
            </w:r>
          </w:p>
          <w:p w14:paraId="55DB57D7" w14:textId="2B474D1D"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r>
      <w:tr w:rsidR="007709AA" w:rsidRPr="00AC7830" w14:paraId="154B766E" w14:textId="77777777" w:rsidTr="00A752B6">
        <w:trPr>
          <w:cantSplit/>
        </w:trPr>
        <w:tc>
          <w:tcPr>
            <w:tcW w:w="9029" w:type="dxa"/>
            <w:gridSpan w:val="5"/>
            <w:tcMar>
              <w:top w:w="0" w:type="dxa"/>
              <w:left w:w="28" w:type="dxa"/>
              <w:bottom w:w="0" w:type="dxa"/>
              <w:right w:w="28" w:type="dxa"/>
            </w:tcMar>
          </w:tcPr>
          <w:p w14:paraId="6BC23A82" w14:textId="77777777" w:rsidR="007709AA" w:rsidRPr="00AC7830" w:rsidRDefault="007709AA" w:rsidP="00370D8E">
            <w:pPr>
              <w:pStyle w:val="Tabletext0"/>
              <w:keepNext/>
              <w:rPr>
                <w:szCs w:val="20"/>
              </w:rPr>
            </w:pPr>
            <w:r w:rsidRPr="00AC7830">
              <w:rPr>
                <w:b/>
                <w:bCs/>
                <w:szCs w:val="20"/>
              </w:rPr>
              <w:t>Using EQ-5D-3L health state utility values reported in Deloitte 2023</w:t>
            </w:r>
          </w:p>
        </w:tc>
      </w:tr>
      <w:tr w:rsidR="007709AA" w:rsidRPr="00AC7830" w14:paraId="57B9F2AB" w14:textId="77777777" w:rsidTr="00A752B6">
        <w:trPr>
          <w:cantSplit/>
        </w:trPr>
        <w:tc>
          <w:tcPr>
            <w:tcW w:w="3136" w:type="dxa"/>
            <w:tcMar>
              <w:top w:w="0" w:type="dxa"/>
              <w:left w:w="28" w:type="dxa"/>
              <w:bottom w:w="0" w:type="dxa"/>
              <w:right w:w="28" w:type="dxa"/>
            </w:tcMar>
          </w:tcPr>
          <w:p w14:paraId="0B0B0E57" w14:textId="4E5591DC" w:rsidR="007709AA" w:rsidRPr="00AC7830" w:rsidRDefault="007709AA" w:rsidP="00370D8E">
            <w:pPr>
              <w:pStyle w:val="Tabletext0"/>
              <w:keepNext/>
              <w:rPr>
                <w:szCs w:val="20"/>
              </w:rPr>
            </w:pPr>
            <w:r w:rsidRPr="00AC7830">
              <w:rPr>
                <w:szCs w:val="20"/>
              </w:rPr>
              <w:t xml:space="preserve">Annual eGFR change in placebo arm based on the pooled analysis of iptacopan studies (-8.32 </w:t>
            </w:r>
            <w:r w:rsidRPr="00AC7830">
              <w:t>mL/min/1.73</w:t>
            </w:r>
            <w:r w:rsidR="00A752B6" w:rsidRPr="00AC7830">
              <w:t xml:space="preserve"> </w:t>
            </w:r>
            <w:r w:rsidRPr="00AC7830">
              <w:t>m</w:t>
            </w:r>
            <w:r w:rsidRPr="00AC7830">
              <w:rPr>
                <w:vertAlign w:val="superscript"/>
              </w:rPr>
              <w:t xml:space="preserve">2 </w:t>
            </w:r>
            <w:r w:rsidRPr="00AC7830">
              <w:t>per year</w:t>
            </w:r>
            <w:r w:rsidRPr="00AC7830">
              <w:rPr>
                <w:szCs w:val="20"/>
              </w:rPr>
              <w:t>)</w:t>
            </w:r>
          </w:p>
        </w:tc>
        <w:tc>
          <w:tcPr>
            <w:tcW w:w="1473" w:type="dxa"/>
            <w:tcMar>
              <w:top w:w="0" w:type="dxa"/>
              <w:left w:w="28" w:type="dxa"/>
              <w:bottom w:w="0" w:type="dxa"/>
              <w:right w:w="28" w:type="dxa"/>
            </w:tcMar>
            <w:vAlign w:val="center"/>
          </w:tcPr>
          <w:p w14:paraId="4231D1CF" w14:textId="0E28043C"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0E16C4">
              <w:rPr>
                <w:vertAlign w:val="superscript"/>
              </w:rPr>
              <w:t>2</w:t>
            </w:r>
            <w:r w:rsidRPr="00AC7830">
              <w:rPr>
                <w:szCs w:val="20"/>
              </w:rPr>
              <w:t xml:space="preserve"> </w:t>
            </w:r>
          </w:p>
          <w:p w14:paraId="0C4AC081" w14:textId="4DBAAA51" w:rsidR="007709AA" w:rsidRPr="00AC7830" w:rsidRDefault="00994C8B" w:rsidP="00370D8E">
            <w:pPr>
              <w:pStyle w:val="Tabletext0"/>
              <w:keepNext/>
              <w:jc w:val="center"/>
              <w:rPr>
                <w:szCs w:val="20"/>
              </w:rPr>
            </w:pPr>
            <w:r w:rsidRPr="00994C8B">
              <w:rPr>
                <w:szCs w:val="20"/>
                <w:highlight w:val="black"/>
              </w:rPr>
              <w:t>&amp;&amp;&amp;&amp;</w:t>
            </w:r>
            <w:r w:rsidR="007709AA" w:rsidRPr="00AC7830">
              <w:rPr>
                <w:szCs w:val="20"/>
              </w:rPr>
              <w:t>%)</w:t>
            </w:r>
          </w:p>
        </w:tc>
        <w:tc>
          <w:tcPr>
            <w:tcW w:w="1473" w:type="dxa"/>
            <w:vAlign w:val="center"/>
          </w:tcPr>
          <w:p w14:paraId="2AC7C139" w14:textId="43CE3933"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0E16C4">
              <w:rPr>
                <w:vertAlign w:val="superscript"/>
              </w:rPr>
              <w:t>2</w:t>
            </w:r>
            <w:r w:rsidRPr="00AC7830">
              <w:rPr>
                <w:szCs w:val="20"/>
              </w:rPr>
              <w:t xml:space="preserve"> (</w:t>
            </w:r>
            <w:r w:rsidR="00994C8B" w:rsidRPr="00994C8B">
              <w:rPr>
                <w:szCs w:val="20"/>
                <w:highlight w:val="black"/>
              </w:rPr>
              <w:t>&amp;&amp;&amp;&amp;</w:t>
            </w:r>
            <w:r w:rsidRPr="00AC7830">
              <w:rPr>
                <w:szCs w:val="20"/>
              </w:rPr>
              <w:t>%)</w:t>
            </w:r>
          </w:p>
        </w:tc>
        <w:tc>
          <w:tcPr>
            <w:tcW w:w="1473" w:type="dxa"/>
            <w:tcMar>
              <w:top w:w="0" w:type="dxa"/>
              <w:left w:w="28" w:type="dxa"/>
              <w:bottom w:w="0" w:type="dxa"/>
              <w:right w:w="28" w:type="dxa"/>
            </w:tcMar>
            <w:vAlign w:val="center"/>
          </w:tcPr>
          <w:p w14:paraId="4C4C6F90" w14:textId="02235919"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0E16C4">
              <w:rPr>
                <w:vertAlign w:val="superscript"/>
              </w:rPr>
              <w:t>2</w:t>
            </w:r>
            <w:r w:rsidRPr="00AC7830">
              <w:rPr>
                <w:szCs w:val="20"/>
              </w:rPr>
              <w:t xml:space="preserve"> </w:t>
            </w:r>
          </w:p>
          <w:p w14:paraId="2B60C892" w14:textId="0E274E82"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Pr="00AC7830">
              <w:rPr>
                <w:szCs w:val="20"/>
              </w:rPr>
              <w:t>%)</w:t>
            </w:r>
          </w:p>
        </w:tc>
        <w:tc>
          <w:tcPr>
            <w:tcW w:w="1474" w:type="dxa"/>
            <w:tcMar>
              <w:top w:w="0" w:type="dxa"/>
              <w:left w:w="28" w:type="dxa"/>
              <w:bottom w:w="0" w:type="dxa"/>
              <w:right w:w="28" w:type="dxa"/>
            </w:tcMar>
            <w:vAlign w:val="center"/>
          </w:tcPr>
          <w:p w14:paraId="3AFB5A0A" w14:textId="4F350F72"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0E16C4">
              <w:rPr>
                <w:vertAlign w:val="superscript"/>
              </w:rPr>
              <w:t>2</w:t>
            </w:r>
            <w:r w:rsidRPr="00AC7830">
              <w:rPr>
                <w:szCs w:val="20"/>
              </w:rPr>
              <w:t xml:space="preserve"> (</w:t>
            </w:r>
            <w:r w:rsidR="00994C8B" w:rsidRPr="00994C8B">
              <w:rPr>
                <w:szCs w:val="20"/>
                <w:highlight w:val="black"/>
              </w:rPr>
              <w:t>&amp;&amp;&amp;&amp;</w:t>
            </w:r>
            <w:r w:rsidRPr="00AC7830">
              <w:rPr>
                <w:szCs w:val="20"/>
              </w:rPr>
              <w:t>%)</w:t>
            </w:r>
          </w:p>
        </w:tc>
      </w:tr>
      <w:tr w:rsidR="007709AA" w:rsidRPr="00AC7830" w14:paraId="245903F0" w14:textId="77777777" w:rsidTr="00A752B6">
        <w:trPr>
          <w:cantSplit/>
        </w:trPr>
        <w:tc>
          <w:tcPr>
            <w:tcW w:w="3136" w:type="dxa"/>
            <w:tcMar>
              <w:top w:w="0" w:type="dxa"/>
              <w:left w:w="28" w:type="dxa"/>
              <w:bottom w:w="0" w:type="dxa"/>
              <w:right w:w="28" w:type="dxa"/>
            </w:tcMar>
          </w:tcPr>
          <w:p w14:paraId="139F7D70" w14:textId="77729797" w:rsidR="007709AA" w:rsidRPr="00AC7830" w:rsidRDefault="007709AA" w:rsidP="00370D8E">
            <w:pPr>
              <w:pStyle w:val="Tabletext0"/>
              <w:keepNext/>
              <w:rPr>
                <w:szCs w:val="20"/>
              </w:rPr>
            </w:pPr>
            <w:r w:rsidRPr="00AC7830">
              <w:rPr>
                <w:szCs w:val="20"/>
              </w:rPr>
              <w:t xml:space="preserve">Annual eGFR change in placebo arm based on the subset of patients that progressed to kidney failure in GLOSEN registry (-6.50 </w:t>
            </w:r>
            <w:r w:rsidRPr="00AC7830">
              <w:t>mL/min/1.73</w:t>
            </w:r>
            <w:r w:rsidR="00A752B6" w:rsidRPr="00AC7830">
              <w:t xml:space="preserve"> </w:t>
            </w:r>
            <w:r w:rsidRPr="00AC7830">
              <w:t>m</w:t>
            </w:r>
            <w:r w:rsidRPr="00AC7830">
              <w:rPr>
                <w:vertAlign w:val="superscript"/>
              </w:rPr>
              <w:t xml:space="preserve">2 </w:t>
            </w:r>
            <w:r w:rsidRPr="00AC7830">
              <w:t>per year</w:t>
            </w:r>
            <w:r w:rsidRPr="00AC7830">
              <w:rPr>
                <w:szCs w:val="20"/>
              </w:rPr>
              <w:t>)</w:t>
            </w:r>
          </w:p>
        </w:tc>
        <w:tc>
          <w:tcPr>
            <w:tcW w:w="1473" w:type="dxa"/>
            <w:tcMar>
              <w:top w:w="0" w:type="dxa"/>
              <w:left w:w="28" w:type="dxa"/>
              <w:bottom w:w="0" w:type="dxa"/>
              <w:right w:w="28" w:type="dxa"/>
            </w:tcMar>
            <w:vAlign w:val="center"/>
          </w:tcPr>
          <w:p w14:paraId="689BFA11" w14:textId="6D9516A1"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26017A">
              <w:rPr>
                <w:vertAlign w:val="superscript"/>
              </w:rPr>
              <w:t>2</w:t>
            </w:r>
            <w:r w:rsidRPr="00AC7830">
              <w:rPr>
                <w:szCs w:val="20"/>
              </w:rPr>
              <w:t xml:space="preserve"> </w:t>
            </w:r>
            <w:r w:rsidR="00994C8B" w:rsidRPr="00994C8B">
              <w:rPr>
                <w:szCs w:val="20"/>
                <w:highlight w:val="black"/>
              </w:rPr>
              <w:t>&amp;&amp;&amp;&amp;</w:t>
            </w:r>
            <w:r w:rsidRPr="00AC7830">
              <w:rPr>
                <w:szCs w:val="20"/>
              </w:rPr>
              <w:t>%)</w:t>
            </w:r>
          </w:p>
        </w:tc>
        <w:tc>
          <w:tcPr>
            <w:tcW w:w="1473" w:type="dxa"/>
            <w:vAlign w:val="center"/>
          </w:tcPr>
          <w:p w14:paraId="42D549D9" w14:textId="2423E186"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26017A">
              <w:rPr>
                <w:vertAlign w:val="superscript"/>
              </w:rPr>
              <w:t>2</w:t>
            </w:r>
            <w:r w:rsidRPr="00AC7830">
              <w:rPr>
                <w:szCs w:val="20"/>
              </w:rPr>
              <w:t xml:space="preserve"> (</w:t>
            </w:r>
            <w:r w:rsidR="00994C8B" w:rsidRPr="00994C8B">
              <w:rPr>
                <w:szCs w:val="20"/>
                <w:highlight w:val="black"/>
              </w:rPr>
              <w:t>&amp;&amp;&amp;&amp;</w:t>
            </w:r>
            <w:r w:rsidRPr="00AC7830">
              <w:rPr>
                <w:szCs w:val="20"/>
              </w:rPr>
              <w:t>%)</w:t>
            </w:r>
          </w:p>
        </w:tc>
        <w:tc>
          <w:tcPr>
            <w:tcW w:w="1473" w:type="dxa"/>
            <w:tcMar>
              <w:top w:w="0" w:type="dxa"/>
              <w:left w:w="28" w:type="dxa"/>
              <w:bottom w:w="0" w:type="dxa"/>
              <w:right w:w="28" w:type="dxa"/>
            </w:tcMar>
            <w:vAlign w:val="center"/>
          </w:tcPr>
          <w:p w14:paraId="0B7EE459" w14:textId="5326130A"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26017A">
              <w:rPr>
                <w:vertAlign w:val="superscript"/>
              </w:rPr>
              <w:t>2</w:t>
            </w:r>
            <w:r w:rsidRPr="00AC7830">
              <w:rPr>
                <w:szCs w:val="20"/>
              </w:rPr>
              <w:t xml:space="preserve"> (</w:t>
            </w:r>
            <w:r w:rsidR="00994C8B" w:rsidRPr="00994C8B">
              <w:rPr>
                <w:szCs w:val="20"/>
                <w:highlight w:val="black"/>
              </w:rPr>
              <w:t>&amp;&amp;&amp;&amp;</w:t>
            </w:r>
            <w:r w:rsidRPr="00AC7830">
              <w:rPr>
                <w:szCs w:val="20"/>
              </w:rPr>
              <w:t>%)</w:t>
            </w:r>
          </w:p>
        </w:tc>
        <w:tc>
          <w:tcPr>
            <w:tcW w:w="1474" w:type="dxa"/>
            <w:tcMar>
              <w:top w:w="0" w:type="dxa"/>
              <w:left w:w="28" w:type="dxa"/>
              <w:bottom w:w="0" w:type="dxa"/>
              <w:right w:w="28" w:type="dxa"/>
            </w:tcMar>
            <w:vAlign w:val="center"/>
          </w:tcPr>
          <w:p w14:paraId="1E0AEDFF" w14:textId="3344071C"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26017A">
              <w:rPr>
                <w:vertAlign w:val="superscript"/>
              </w:rPr>
              <w:t>2</w:t>
            </w:r>
            <w:r w:rsidRPr="00AC7830">
              <w:rPr>
                <w:szCs w:val="20"/>
              </w:rPr>
              <w:t xml:space="preserve"> (</w:t>
            </w:r>
            <w:r w:rsidR="00994C8B" w:rsidRPr="00994C8B">
              <w:rPr>
                <w:szCs w:val="20"/>
                <w:highlight w:val="black"/>
              </w:rPr>
              <w:t>&amp;&amp;&amp;&amp;</w:t>
            </w:r>
            <w:r w:rsidRPr="00AC7830">
              <w:rPr>
                <w:szCs w:val="20"/>
              </w:rPr>
              <w:t>%)</w:t>
            </w:r>
          </w:p>
        </w:tc>
      </w:tr>
      <w:tr w:rsidR="007709AA" w:rsidRPr="00AC7830" w14:paraId="0F0127C8" w14:textId="77777777" w:rsidTr="00A752B6">
        <w:trPr>
          <w:cantSplit/>
        </w:trPr>
        <w:tc>
          <w:tcPr>
            <w:tcW w:w="3136" w:type="dxa"/>
            <w:tcMar>
              <w:top w:w="0" w:type="dxa"/>
              <w:left w:w="28" w:type="dxa"/>
              <w:bottom w:w="0" w:type="dxa"/>
              <w:right w:w="28" w:type="dxa"/>
            </w:tcMar>
          </w:tcPr>
          <w:p w14:paraId="05F8DFCA" w14:textId="2FA23E8E" w:rsidR="007709AA" w:rsidRPr="00AC7830" w:rsidRDefault="007709AA" w:rsidP="00370D8E">
            <w:pPr>
              <w:pStyle w:val="Tabletext0"/>
              <w:keepNext/>
              <w:rPr>
                <w:szCs w:val="20"/>
              </w:rPr>
            </w:pPr>
            <w:r w:rsidRPr="00AC7830">
              <w:rPr>
                <w:szCs w:val="20"/>
              </w:rPr>
              <w:t xml:space="preserve">Annual eGFR change in placebo arm based on </w:t>
            </w:r>
            <w:proofErr w:type="spellStart"/>
            <w:r w:rsidRPr="00AC7830">
              <w:rPr>
                <w:szCs w:val="20"/>
              </w:rPr>
              <w:t>RaDaR</w:t>
            </w:r>
            <w:proofErr w:type="spellEnd"/>
            <w:r w:rsidRPr="00AC7830">
              <w:rPr>
                <w:szCs w:val="20"/>
              </w:rPr>
              <w:t xml:space="preserve"> registry (-4.90 </w:t>
            </w:r>
            <w:r w:rsidRPr="00AC7830">
              <w:t>mL/min/1.73</w:t>
            </w:r>
            <w:r w:rsidR="00A752B6" w:rsidRPr="00AC7830">
              <w:t xml:space="preserve"> </w:t>
            </w:r>
            <w:r w:rsidRPr="00AC7830">
              <w:t>m</w:t>
            </w:r>
            <w:r w:rsidRPr="00AC7830">
              <w:rPr>
                <w:vertAlign w:val="superscript"/>
              </w:rPr>
              <w:t xml:space="preserve">2 </w:t>
            </w:r>
            <w:r w:rsidRPr="00AC7830">
              <w:t>per year</w:t>
            </w:r>
            <w:r w:rsidRPr="00AC7830">
              <w:rPr>
                <w:szCs w:val="20"/>
              </w:rPr>
              <w:t>)</w:t>
            </w:r>
          </w:p>
        </w:tc>
        <w:tc>
          <w:tcPr>
            <w:tcW w:w="1473" w:type="dxa"/>
            <w:tcMar>
              <w:top w:w="0" w:type="dxa"/>
              <w:left w:w="28" w:type="dxa"/>
              <w:bottom w:w="0" w:type="dxa"/>
              <w:right w:w="28" w:type="dxa"/>
            </w:tcMar>
            <w:vAlign w:val="center"/>
          </w:tcPr>
          <w:p w14:paraId="37ADF471" w14:textId="2B7B358E"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26017A">
              <w:rPr>
                <w:vertAlign w:val="superscript"/>
              </w:rPr>
              <w:t>2</w:t>
            </w:r>
            <w:r w:rsidRPr="00AC7830">
              <w:rPr>
                <w:szCs w:val="20"/>
              </w:rPr>
              <w:t xml:space="preserve"> (</w:t>
            </w:r>
            <w:r w:rsidR="00994C8B" w:rsidRPr="00994C8B">
              <w:rPr>
                <w:szCs w:val="20"/>
                <w:highlight w:val="black"/>
              </w:rPr>
              <w:t>&amp;&amp;&amp;&amp;</w:t>
            </w:r>
            <w:r w:rsidRPr="00AC7830">
              <w:rPr>
                <w:szCs w:val="20"/>
              </w:rPr>
              <w:t>%)</w:t>
            </w:r>
          </w:p>
        </w:tc>
        <w:tc>
          <w:tcPr>
            <w:tcW w:w="1473" w:type="dxa"/>
            <w:vAlign w:val="center"/>
          </w:tcPr>
          <w:p w14:paraId="27876566" w14:textId="1BBD4C6A"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26017A">
              <w:rPr>
                <w:vertAlign w:val="superscript"/>
              </w:rPr>
              <w:t>2</w:t>
            </w:r>
            <w:r w:rsidRPr="00AC7830">
              <w:rPr>
                <w:szCs w:val="20"/>
              </w:rPr>
              <w:t xml:space="preserve"> (</w:t>
            </w:r>
            <w:r w:rsidR="00994C8B" w:rsidRPr="00994C8B">
              <w:rPr>
                <w:szCs w:val="20"/>
                <w:highlight w:val="black"/>
              </w:rPr>
              <w:t>&amp;&amp;&amp;&amp;</w:t>
            </w:r>
            <w:r w:rsidRPr="00AC7830">
              <w:rPr>
                <w:szCs w:val="20"/>
              </w:rPr>
              <w:t>%)</w:t>
            </w:r>
          </w:p>
        </w:tc>
        <w:tc>
          <w:tcPr>
            <w:tcW w:w="1473" w:type="dxa"/>
            <w:tcMar>
              <w:top w:w="0" w:type="dxa"/>
              <w:left w:w="28" w:type="dxa"/>
              <w:bottom w:w="0" w:type="dxa"/>
              <w:right w:w="28" w:type="dxa"/>
            </w:tcMar>
            <w:vAlign w:val="center"/>
          </w:tcPr>
          <w:p w14:paraId="1049C570" w14:textId="296DA0F4"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26017A">
              <w:rPr>
                <w:vertAlign w:val="superscript"/>
              </w:rPr>
              <w:t>2</w:t>
            </w:r>
            <w:r w:rsidRPr="00AC7830">
              <w:rPr>
                <w:szCs w:val="20"/>
              </w:rPr>
              <w:t xml:space="preserve"> (</w:t>
            </w:r>
            <w:r w:rsidR="00994C8B" w:rsidRPr="00994C8B">
              <w:rPr>
                <w:szCs w:val="20"/>
                <w:highlight w:val="black"/>
              </w:rPr>
              <w:t>&amp;&amp;&amp;&amp;</w:t>
            </w:r>
            <w:r w:rsidRPr="00AC7830">
              <w:rPr>
                <w:szCs w:val="20"/>
              </w:rPr>
              <w:t>%)</w:t>
            </w:r>
          </w:p>
        </w:tc>
        <w:tc>
          <w:tcPr>
            <w:tcW w:w="1474" w:type="dxa"/>
            <w:tcMar>
              <w:top w:w="0" w:type="dxa"/>
              <w:left w:w="28" w:type="dxa"/>
              <w:bottom w:w="0" w:type="dxa"/>
              <w:right w:w="28" w:type="dxa"/>
            </w:tcMar>
            <w:vAlign w:val="center"/>
          </w:tcPr>
          <w:p w14:paraId="792802D2" w14:textId="47CF9603" w:rsidR="007709AA" w:rsidRPr="00AC7830" w:rsidRDefault="007709AA" w:rsidP="00370D8E">
            <w:pPr>
              <w:pStyle w:val="Tabletext0"/>
              <w:keepNext/>
              <w:jc w:val="center"/>
              <w:rPr>
                <w:szCs w:val="20"/>
              </w:rPr>
            </w:pPr>
            <w:r w:rsidRPr="00AC7830">
              <w:rPr>
                <w:szCs w:val="20"/>
              </w:rPr>
              <w:t>$</w:t>
            </w:r>
            <w:r w:rsidR="00994C8B" w:rsidRPr="00994C8B">
              <w:rPr>
                <w:szCs w:val="20"/>
                <w:highlight w:val="black"/>
              </w:rPr>
              <w:t>&amp;&amp;&amp;&amp;</w:t>
            </w:r>
            <w:r w:rsidR="0026017A">
              <w:rPr>
                <w:vertAlign w:val="superscript"/>
              </w:rPr>
              <w:t>2</w:t>
            </w:r>
            <w:r w:rsidRPr="00AC7830">
              <w:rPr>
                <w:szCs w:val="20"/>
              </w:rPr>
              <w:t xml:space="preserve"> (</w:t>
            </w:r>
            <w:r w:rsidR="00994C8B" w:rsidRPr="00994C8B">
              <w:rPr>
                <w:szCs w:val="20"/>
                <w:highlight w:val="black"/>
              </w:rPr>
              <w:t>&amp;&amp;&amp;&amp;</w:t>
            </w:r>
            <w:r w:rsidRPr="00AC7830">
              <w:rPr>
                <w:szCs w:val="20"/>
              </w:rPr>
              <w:t>%)</w:t>
            </w:r>
          </w:p>
        </w:tc>
      </w:tr>
      <w:tr w:rsidR="007709AA" w:rsidRPr="00AC7830" w14:paraId="72DC9BBD" w14:textId="77777777" w:rsidTr="00A752B6">
        <w:trPr>
          <w:cantSplit/>
        </w:trPr>
        <w:tc>
          <w:tcPr>
            <w:tcW w:w="3136" w:type="dxa"/>
            <w:tcMar>
              <w:top w:w="0" w:type="dxa"/>
              <w:left w:w="28" w:type="dxa"/>
              <w:bottom w:w="0" w:type="dxa"/>
              <w:right w:w="28" w:type="dxa"/>
            </w:tcMar>
          </w:tcPr>
          <w:p w14:paraId="3A5FCFF1" w14:textId="432B6DC1" w:rsidR="007709AA" w:rsidRPr="00AC7830" w:rsidRDefault="007709AA" w:rsidP="00370D8E">
            <w:pPr>
              <w:pStyle w:val="Tabletext0"/>
              <w:rPr>
                <w:szCs w:val="20"/>
              </w:rPr>
            </w:pPr>
            <w:r w:rsidRPr="00AC7830">
              <w:rPr>
                <w:szCs w:val="20"/>
              </w:rPr>
              <w:t xml:space="preserve">Annual eGFR change in placebo arm based on the APPEAR-C3G trial (-3.079 </w:t>
            </w:r>
            <w:r w:rsidRPr="00AC7830">
              <w:t>mL/min/1.73</w:t>
            </w:r>
            <w:r w:rsidR="00A752B6" w:rsidRPr="00AC7830">
              <w:t xml:space="preserve"> </w:t>
            </w:r>
            <w:r w:rsidRPr="00AC7830">
              <w:t>m</w:t>
            </w:r>
            <w:r w:rsidRPr="00AC7830">
              <w:rPr>
                <w:vertAlign w:val="superscript"/>
              </w:rPr>
              <w:t xml:space="preserve">2 </w:t>
            </w:r>
            <w:r w:rsidRPr="00AC7830">
              <w:t>per year</w:t>
            </w:r>
            <w:r w:rsidRPr="00AC7830">
              <w:rPr>
                <w:szCs w:val="20"/>
              </w:rPr>
              <w:t>)</w:t>
            </w:r>
          </w:p>
        </w:tc>
        <w:tc>
          <w:tcPr>
            <w:tcW w:w="1473" w:type="dxa"/>
            <w:tcMar>
              <w:top w:w="0" w:type="dxa"/>
              <w:left w:w="28" w:type="dxa"/>
              <w:bottom w:w="0" w:type="dxa"/>
              <w:right w:w="28" w:type="dxa"/>
            </w:tcMar>
            <w:vAlign w:val="center"/>
          </w:tcPr>
          <w:p w14:paraId="08B91171" w14:textId="43780A3F" w:rsidR="007709AA" w:rsidRPr="00AC7830" w:rsidRDefault="007709AA" w:rsidP="00370D8E">
            <w:pPr>
              <w:pStyle w:val="Tabletext0"/>
              <w:jc w:val="center"/>
              <w:rPr>
                <w:szCs w:val="20"/>
              </w:rPr>
            </w:pPr>
            <w:r w:rsidRPr="00AC7830">
              <w:rPr>
                <w:szCs w:val="20"/>
              </w:rPr>
              <w:t>$</w:t>
            </w:r>
            <w:r w:rsidR="00994C8B" w:rsidRPr="00994C8B">
              <w:rPr>
                <w:szCs w:val="20"/>
                <w:highlight w:val="black"/>
              </w:rPr>
              <w:t>&amp;&amp;&amp;&amp;</w:t>
            </w:r>
            <w:r w:rsidR="0026017A">
              <w:rPr>
                <w:vertAlign w:val="superscript"/>
              </w:rPr>
              <w:t>2</w:t>
            </w:r>
            <w:r w:rsidRPr="00AC7830">
              <w:rPr>
                <w:szCs w:val="20"/>
              </w:rPr>
              <w:t xml:space="preserve"> (</w:t>
            </w:r>
            <w:r w:rsidR="00994C8B" w:rsidRPr="00994C8B">
              <w:rPr>
                <w:szCs w:val="20"/>
                <w:highlight w:val="black"/>
              </w:rPr>
              <w:t>&amp;&amp;&amp;&amp;</w:t>
            </w:r>
            <w:r w:rsidRPr="00AC7830">
              <w:rPr>
                <w:szCs w:val="20"/>
              </w:rPr>
              <w:t>%)</w:t>
            </w:r>
          </w:p>
        </w:tc>
        <w:tc>
          <w:tcPr>
            <w:tcW w:w="1473" w:type="dxa"/>
            <w:vAlign w:val="center"/>
          </w:tcPr>
          <w:p w14:paraId="3EDEDB11" w14:textId="783F6EC5" w:rsidR="007709AA" w:rsidRPr="00AC7830" w:rsidRDefault="007709AA" w:rsidP="00370D8E">
            <w:pPr>
              <w:pStyle w:val="Tabletext0"/>
              <w:jc w:val="center"/>
              <w:rPr>
                <w:szCs w:val="20"/>
              </w:rPr>
            </w:pPr>
            <w:r w:rsidRPr="00AC7830">
              <w:rPr>
                <w:szCs w:val="20"/>
              </w:rPr>
              <w:t>$</w:t>
            </w:r>
            <w:r w:rsidR="00994C8B" w:rsidRPr="00994C8B">
              <w:rPr>
                <w:szCs w:val="20"/>
                <w:highlight w:val="black"/>
              </w:rPr>
              <w:t>&amp;&amp;&amp;&amp;</w:t>
            </w:r>
            <w:r w:rsidR="0026017A">
              <w:rPr>
                <w:vertAlign w:val="superscript"/>
              </w:rPr>
              <w:t>2</w:t>
            </w:r>
            <w:r w:rsidRPr="00AC7830">
              <w:rPr>
                <w:szCs w:val="20"/>
              </w:rPr>
              <w:t xml:space="preserve"> (</w:t>
            </w:r>
            <w:r w:rsidR="00994C8B" w:rsidRPr="00994C8B">
              <w:rPr>
                <w:szCs w:val="20"/>
                <w:highlight w:val="black"/>
              </w:rPr>
              <w:t>&amp;&amp;&amp;&amp;</w:t>
            </w:r>
            <w:r w:rsidRPr="00AC7830">
              <w:rPr>
                <w:szCs w:val="20"/>
              </w:rPr>
              <w:t>%)</w:t>
            </w:r>
          </w:p>
        </w:tc>
        <w:tc>
          <w:tcPr>
            <w:tcW w:w="1473" w:type="dxa"/>
            <w:tcMar>
              <w:top w:w="0" w:type="dxa"/>
              <w:left w:w="28" w:type="dxa"/>
              <w:bottom w:w="0" w:type="dxa"/>
              <w:right w:w="28" w:type="dxa"/>
            </w:tcMar>
            <w:vAlign w:val="center"/>
          </w:tcPr>
          <w:p w14:paraId="0686EBCD" w14:textId="17305F68" w:rsidR="007709AA" w:rsidRPr="00AC7830" w:rsidRDefault="007709AA" w:rsidP="00370D8E">
            <w:pPr>
              <w:pStyle w:val="Tabletext0"/>
              <w:jc w:val="center"/>
              <w:rPr>
                <w:szCs w:val="20"/>
              </w:rPr>
            </w:pPr>
            <w:r w:rsidRPr="00AC7830">
              <w:rPr>
                <w:szCs w:val="20"/>
              </w:rPr>
              <w:t>$</w:t>
            </w:r>
            <w:r w:rsidR="00994C8B" w:rsidRPr="00994C8B">
              <w:rPr>
                <w:szCs w:val="20"/>
                <w:highlight w:val="black"/>
              </w:rPr>
              <w:t>&amp;&amp;&amp;&amp;</w:t>
            </w:r>
            <w:r w:rsidR="0026017A">
              <w:rPr>
                <w:vertAlign w:val="superscript"/>
              </w:rPr>
              <w:t>2</w:t>
            </w:r>
            <w:r w:rsidRPr="00AC7830">
              <w:rPr>
                <w:szCs w:val="20"/>
              </w:rPr>
              <w:t xml:space="preserve"> </w:t>
            </w:r>
          </w:p>
          <w:p w14:paraId="0110DC09" w14:textId="735F3100" w:rsidR="007709AA" w:rsidRPr="00AC7830" w:rsidRDefault="007709AA" w:rsidP="00370D8E">
            <w:pPr>
              <w:pStyle w:val="Tabletext0"/>
              <w:jc w:val="center"/>
              <w:rPr>
                <w:szCs w:val="20"/>
              </w:rPr>
            </w:pPr>
            <w:r w:rsidRPr="00AC7830">
              <w:rPr>
                <w:szCs w:val="20"/>
              </w:rPr>
              <w:t>(</w:t>
            </w:r>
            <w:r w:rsidR="00994C8B" w:rsidRPr="00994C8B">
              <w:rPr>
                <w:szCs w:val="20"/>
                <w:highlight w:val="black"/>
              </w:rPr>
              <w:t>&amp;&amp;&amp;&amp;</w:t>
            </w:r>
            <w:r w:rsidRPr="00AC7830">
              <w:rPr>
                <w:szCs w:val="20"/>
              </w:rPr>
              <w:t>%)</w:t>
            </w:r>
          </w:p>
        </w:tc>
        <w:tc>
          <w:tcPr>
            <w:tcW w:w="1474" w:type="dxa"/>
            <w:tcMar>
              <w:top w:w="0" w:type="dxa"/>
              <w:left w:w="28" w:type="dxa"/>
              <w:bottom w:w="0" w:type="dxa"/>
              <w:right w:w="28" w:type="dxa"/>
            </w:tcMar>
            <w:vAlign w:val="center"/>
          </w:tcPr>
          <w:p w14:paraId="7ED60076" w14:textId="7BA9A86B" w:rsidR="007709AA" w:rsidRPr="00AC7830" w:rsidRDefault="007709AA" w:rsidP="00370D8E">
            <w:pPr>
              <w:pStyle w:val="Tabletext0"/>
              <w:jc w:val="center"/>
              <w:rPr>
                <w:szCs w:val="20"/>
              </w:rPr>
            </w:pPr>
            <w:r w:rsidRPr="00AC7830">
              <w:rPr>
                <w:szCs w:val="20"/>
              </w:rPr>
              <w:t>$</w:t>
            </w:r>
            <w:r w:rsidR="00994C8B" w:rsidRPr="00994C8B">
              <w:rPr>
                <w:szCs w:val="20"/>
                <w:highlight w:val="black"/>
              </w:rPr>
              <w:t>&amp;&amp;&amp;&amp;</w:t>
            </w:r>
            <w:r w:rsidR="0026017A">
              <w:rPr>
                <w:vertAlign w:val="superscript"/>
              </w:rPr>
              <w:t>2</w:t>
            </w:r>
            <w:r w:rsidRPr="00AC7830">
              <w:rPr>
                <w:szCs w:val="20"/>
              </w:rPr>
              <w:t xml:space="preserve"> (</w:t>
            </w:r>
            <w:r w:rsidR="00994C8B" w:rsidRPr="00994C8B">
              <w:rPr>
                <w:szCs w:val="20"/>
                <w:highlight w:val="black"/>
              </w:rPr>
              <w:t>&amp;&amp;&amp;&amp;</w:t>
            </w:r>
            <w:r w:rsidRPr="00AC7830">
              <w:rPr>
                <w:szCs w:val="20"/>
              </w:rPr>
              <w:t>%)</w:t>
            </w:r>
          </w:p>
        </w:tc>
      </w:tr>
    </w:tbl>
    <w:p w14:paraId="144F8432" w14:textId="77777777" w:rsidR="007709AA" w:rsidRDefault="007709AA" w:rsidP="00370D8E">
      <w:pPr>
        <w:pStyle w:val="COMTablefooter"/>
      </w:pPr>
      <w:r w:rsidRPr="00250A3D">
        <w:t xml:space="preserve">Source: </w:t>
      </w:r>
      <w:r w:rsidRPr="00DE6E88">
        <w:t>‘</w:t>
      </w:r>
      <w:r>
        <w:t>Iptacopan economic model</w:t>
      </w:r>
      <w:r w:rsidRPr="00DE6E88">
        <w:t>’ provided with the submission</w:t>
      </w:r>
      <w:r>
        <w:t>.</w:t>
      </w:r>
    </w:p>
    <w:p w14:paraId="498F203F" w14:textId="78967DE1" w:rsidR="007709AA" w:rsidRDefault="007709AA" w:rsidP="00370D8E">
      <w:pPr>
        <w:pStyle w:val="COMTablefooter"/>
      </w:pPr>
      <w:r w:rsidRPr="00250A3D">
        <w:t>Abbreviations</w:t>
      </w:r>
      <w:r>
        <w:t xml:space="preserve">: eGFR, estimated glomerular filtration rate; </w:t>
      </w:r>
      <w:r w:rsidR="00E01745">
        <w:t xml:space="preserve">GLOSEN, Spanish Group for the Study of Glomerular Disease; </w:t>
      </w:r>
      <w:r>
        <w:t xml:space="preserve">ICER, incremental cost effectiveness ratio; QALYs, quality adjusted life years; </w:t>
      </w:r>
      <w:proofErr w:type="spellStart"/>
      <w:r>
        <w:t>RaDaR</w:t>
      </w:r>
      <w:proofErr w:type="spellEnd"/>
      <w:r>
        <w:t xml:space="preserve">, </w:t>
      </w:r>
      <w:r w:rsidRPr="00000B52">
        <w:t>U</w:t>
      </w:r>
      <w:r>
        <w:t>nited Kingdom</w:t>
      </w:r>
      <w:r w:rsidRPr="00000B52">
        <w:t xml:space="preserve"> National Registry of Rare Kidney Diseases</w:t>
      </w:r>
      <w:r>
        <w:t>; TTO, time trade off</w:t>
      </w:r>
    </w:p>
    <w:p w14:paraId="5862761F" w14:textId="77777777" w:rsidR="00525FF3" w:rsidRDefault="007709AA" w:rsidP="00370D8E">
      <w:pPr>
        <w:pStyle w:val="COMTablefooter"/>
      </w:pPr>
      <w:r w:rsidRPr="00AC7830">
        <w:t>Note: During the evaluation the base case was respecified using a 5% discount rate, removing societal costs and correcting for errors in transplantation event costs and post-transplantation (graft failure) health state costs</w:t>
      </w:r>
      <w:r w:rsidR="00525FF3" w:rsidRPr="00525FF3">
        <w:t xml:space="preserve"> </w:t>
      </w:r>
    </w:p>
    <w:p w14:paraId="12D4DF91" w14:textId="07B57BFE" w:rsidR="007709AA" w:rsidRPr="00525FF3" w:rsidRDefault="00525FF3" w:rsidP="00370D8E">
      <w:pPr>
        <w:pStyle w:val="COMTablefooter"/>
        <w:rPr>
          <w:i/>
          <w:iCs/>
        </w:rPr>
      </w:pPr>
      <w:r w:rsidRPr="00525FF3">
        <w:rPr>
          <w:i/>
          <w:iCs/>
        </w:rPr>
        <w:t>The redacted values correspond to the following ranges:</w:t>
      </w:r>
    </w:p>
    <w:p w14:paraId="4AF63E4B" w14:textId="0CF748D6" w:rsidR="00ED4525" w:rsidRPr="00525FF3" w:rsidRDefault="00ED4525" w:rsidP="00370D8E">
      <w:pPr>
        <w:pStyle w:val="COMTablefooter"/>
        <w:rPr>
          <w:i/>
          <w:iCs/>
        </w:rPr>
      </w:pPr>
      <w:r w:rsidRPr="00525FF3">
        <w:rPr>
          <w:i/>
          <w:iCs/>
          <w:vertAlign w:val="superscript"/>
        </w:rPr>
        <w:t>1</w:t>
      </w:r>
      <w:r w:rsidRPr="00525FF3">
        <w:rPr>
          <w:i/>
          <w:iCs/>
        </w:rPr>
        <w:t xml:space="preserve">$955,000 to </w:t>
      </w:r>
      <w:r w:rsidR="00364110">
        <w:rPr>
          <w:i/>
          <w:iCs/>
        </w:rPr>
        <w:t xml:space="preserve">&lt; </w:t>
      </w:r>
      <w:r w:rsidRPr="00525FF3">
        <w:rPr>
          <w:i/>
          <w:iCs/>
        </w:rPr>
        <w:t>$1,055,000</w:t>
      </w:r>
    </w:p>
    <w:p w14:paraId="3ED31CB2" w14:textId="1CD8ECD3" w:rsidR="001D531D" w:rsidRPr="00525FF3" w:rsidRDefault="00493B09" w:rsidP="00370D8E">
      <w:pPr>
        <w:pStyle w:val="COMTablefooter"/>
        <w:rPr>
          <w:i/>
          <w:iCs/>
        </w:rPr>
      </w:pPr>
      <w:r w:rsidRPr="00525FF3">
        <w:rPr>
          <w:i/>
          <w:iCs/>
          <w:vertAlign w:val="superscript"/>
        </w:rPr>
        <w:lastRenderedPageBreak/>
        <w:t>2</w:t>
      </w:r>
      <w:r w:rsidR="00364110">
        <w:rPr>
          <w:i/>
          <w:iCs/>
        </w:rPr>
        <w:t xml:space="preserve">&gt; </w:t>
      </w:r>
      <w:r w:rsidR="00ED4525" w:rsidRPr="00525FF3">
        <w:rPr>
          <w:i/>
          <w:iCs/>
        </w:rPr>
        <w:t>$1,055,000</w:t>
      </w:r>
    </w:p>
    <w:p w14:paraId="0B916684" w14:textId="54845A70" w:rsidR="007709AA" w:rsidRDefault="007709AA" w:rsidP="00370D8E">
      <w:pPr>
        <w:pStyle w:val="COMESnumberedpara"/>
      </w:pPr>
      <w:r w:rsidRPr="00AC7830">
        <w:t>The multivariate analyses demonstrated that the estimated cost per QALY gained with iptacopan compared to placebo could be substantially higher than estimated in the revised base case.</w:t>
      </w:r>
      <w:r w:rsidR="006B75F2">
        <w:t xml:space="preserve"> </w:t>
      </w:r>
    </w:p>
    <w:p w14:paraId="43FC7A62" w14:textId="3C3504AE" w:rsidR="00BE7E8D" w:rsidRPr="00BC3A5E" w:rsidRDefault="00BE7E8D" w:rsidP="00370D8E">
      <w:pPr>
        <w:pStyle w:val="COMESnumberedpara"/>
      </w:pPr>
      <w:bookmarkStart w:id="49" w:name="_Ref211516854"/>
      <w:r w:rsidRPr="00BC3A5E">
        <w:t>The ESC noted that multivariate analyses produced large variations in the ICER, with values up to</w:t>
      </w:r>
      <w:r w:rsidR="00994C8B">
        <w:t xml:space="preserve"> </w:t>
      </w:r>
      <w:r w:rsidR="00364110">
        <w:t xml:space="preserve">&gt; </w:t>
      </w:r>
      <w:r w:rsidR="00D80CCC">
        <w:t>$1,055,000</w:t>
      </w:r>
      <w:r w:rsidRPr="00BC3A5E">
        <w:t xml:space="preserve">/QALY based on a range of plausible estimates. The ESC considered the base case ICER presented was likely underestimated due to the issues outlined above regarding the </w:t>
      </w:r>
      <w:r w:rsidR="00982154" w:rsidRPr="00BC3A5E">
        <w:t>change in eGFR over time in the placebo arm, the modelled treatment effect for iptacopan and health state utility values</w:t>
      </w:r>
      <w:r w:rsidRPr="00BC3A5E">
        <w:t xml:space="preserve">. A respecified </w:t>
      </w:r>
      <w:r w:rsidR="008F3077" w:rsidRPr="00BC3A5E">
        <w:t xml:space="preserve">(and still </w:t>
      </w:r>
      <w:r w:rsidR="00540652" w:rsidRPr="00BC3A5E">
        <w:t>favourable</w:t>
      </w:r>
      <w:r w:rsidR="008F3077" w:rsidRPr="00BC3A5E">
        <w:t xml:space="preserve">) </w:t>
      </w:r>
      <w:r w:rsidRPr="00BC3A5E">
        <w:t xml:space="preserve">base case was suggested using annual change in placebo arm based on the APPEAR-C3G trial (-3.079 mL/min/1.73 m2 per year), Deloitte health utilities, and change in eGFR over time for iptacopan 50% of placebo. The ESC noted this resulted in an ICER of </w:t>
      </w:r>
      <w:r w:rsidR="00364110">
        <w:t xml:space="preserve">&gt; </w:t>
      </w:r>
      <w:r w:rsidR="00994C8B">
        <w:t>$</w:t>
      </w:r>
      <w:r w:rsidR="002B3D8B">
        <w:t>1,055,000</w:t>
      </w:r>
      <w:r w:rsidRPr="00BC3A5E">
        <w:t>/QALY (</w:t>
      </w:r>
      <w:r w:rsidR="00994C8B" w:rsidRPr="00994C8B">
        <w:rPr>
          <w:highlight w:val="black"/>
        </w:rPr>
        <w:t>&amp;&amp;&amp;&amp;</w:t>
      </w:r>
      <w:r w:rsidRPr="00BC3A5E">
        <w:t>%).</w:t>
      </w:r>
      <w:bookmarkEnd w:id="49"/>
      <w:r w:rsidRPr="00BC3A5E">
        <w:t xml:space="preserve"> </w:t>
      </w:r>
      <w:r w:rsidR="003F63C0">
        <w:t>The pre-PBAC response argued that this respecified analysis used a demonstrably unrealistic rate of disease progression in the natural history arm, and a treatment effect which is lower than what was observed in the randomised phase of APPEAR-C3G, and utility values applied did not reflect the C3G population as they were based on an elderly general CKD population.</w:t>
      </w:r>
    </w:p>
    <w:p w14:paraId="64168934" w14:textId="4915F9FB" w:rsidR="007709AA" w:rsidRPr="00D73CA9" w:rsidRDefault="007709AA" w:rsidP="00370D8E">
      <w:pPr>
        <w:pStyle w:val="COMESnumberedpara"/>
      </w:pPr>
      <w:r>
        <w:t xml:space="preserve">The results of a scenario analysis assessing the cost-effectiveness of iptacopan compared to placebo in kidney transplant patients is summarised in </w:t>
      </w:r>
      <w:r w:rsidR="007B5E4E">
        <w:fldChar w:fldCharType="begin"/>
      </w:r>
      <w:r w:rsidR="007B5E4E">
        <w:instrText xml:space="preserve"> REF _Ref208240591 \h </w:instrText>
      </w:r>
      <w:r w:rsidR="007B5E4E">
        <w:fldChar w:fldCharType="separate"/>
      </w:r>
      <w:r w:rsidR="00CC1313">
        <w:t xml:space="preserve">Table </w:t>
      </w:r>
      <w:r w:rsidR="00CC1313">
        <w:rPr>
          <w:noProof/>
        </w:rPr>
        <w:t>15</w:t>
      </w:r>
      <w:r w:rsidR="007B5E4E">
        <w:fldChar w:fldCharType="end"/>
      </w:r>
      <w:r>
        <w:t xml:space="preserve">. The submission assumed that this patient population would be identical to the native kidney population, </w:t>
      </w:r>
      <w:proofErr w:type="gramStart"/>
      <w:r>
        <w:t>with the exception of</w:t>
      </w:r>
      <w:proofErr w:type="gramEnd"/>
      <w:r>
        <w:t xml:space="preserve"> a more rapid decline in eGFR values in the placebo arm.</w:t>
      </w:r>
    </w:p>
    <w:p w14:paraId="4F9A7305" w14:textId="1CBFCCA5" w:rsidR="007709AA" w:rsidRPr="00294201" w:rsidRDefault="00A150A3" w:rsidP="00370D8E">
      <w:pPr>
        <w:pStyle w:val="TableFigureCaption"/>
        <w:keepLines/>
        <w:rPr>
          <w:rStyle w:val="CommentReference"/>
          <w:sz w:val="20"/>
          <w:szCs w:val="24"/>
        </w:rPr>
      </w:pPr>
      <w:bookmarkStart w:id="50" w:name="_Ref208240591"/>
      <w:r>
        <w:t xml:space="preserve">Table </w:t>
      </w:r>
      <w:r w:rsidR="00DA4682">
        <w:fldChar w:fldCharType="begin"/>
      </w:r>
      <w:r w:rsidR="00DA4682">
        <w:instrText xml:space="preserve"> SEQ Table \* ARABIC </w:instrText>
      </w:r>
      <w:r w:rsidR="00DA4682">
        <w:fldChar w:fldCharType="separate"/>
      </w:r>
      <w:r w:rsidR="00CC1313">
        <w:rPr>
          <w:noProof/>
        </w:rPr>
        <w:t>15</w:t>
      </w:r>
      <w:r w:rsidR="00DA4682">
        <w:rPr>
          <w:noProof/>
        </w:rPr>
        <w:fldChar w:fldCharType="end"/>
      </w:r>
      <w:bookmarkEnd w:id="50"/>
      <w:r>
        <w:t xml:space="preserve">: </w:t>
      </w:r>
      <w:r w:rsidRPr="00294201">
        <w:rPr>
          <w:rStyle w:val="CommentReference"/>
          <w:sz w:val="20"/>
          <w:szCs w:val="24"/>
        </w:rPr>
        <w:t>Results of scenario analysis in a post-transplant population with disease recurrence</w:t>
      </w:r>
      <w:r w:rsidR="006B75F2">
        <w:rPr>
          <w:rStyle w:val="CommentReference"/>
          <w:sz w:val="20"/>
          <w:szCs w:val="24"/>
        </w:rPr>
        <w:t xml:space="preserve">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5: Results of scenario analysis in a post-transplant population with disease recurrence "/>
      </w:tblPr>
      <w:tblGrid>
        <w:gridCol w:w="4323"/>
        <w:gridCol w:w="1737"/>
        <w:gridCol w:w="1737"/>
        <w:gridCol w:w="1232"/>
      </w:tblGrid>
      <w:tr w:rsidR="007709AA" w:rsidRPr="00250A3D" w14:paraId="4CDDFD6A" w14:textId="77777777">
        <w:trPr>
          <w:tblHeader/>
        </w:trPr>
        <w:tc>
          <w:tcPr>
            <w:tcW w:w="4323" w:type="dxa"/>
            <w:tcMar>
              <w:top w:w="0" w:type="dxa"/>
              <w:left w:w="28" w:type="dxa"/>
              <w:bottom w:w="0" w:type="dxa"/>
              <w:right w:w="28" w:type="dxa"/>
            </w:tcMar>
            <w:vAlign w:val="center"/>
            <w:hideMark/>
          </w:tcPr>
          <w:p w14:paraId="733B6C91" w14:textId="77777777" w:rsidR="007709AA" w:rsidRPr="00250A3D" w:rsidRDefault="007709AA" w:rsidP="00370D8E">
            <w:pPr>
              <w:pStyle w:val="Tabletext0"/>
              <w:keepNext/>
              <w:keepLines/>
              <w:rPr>
                <w:szCs w:val="20"/>
              </w:rPr>
            </w:pPr>
            <w:r w:rsidRPr="00250A3D">
              <w:rPr>
                <w:b/>
                <w:bCs/>
                <w:szCs w:val="20"/>
              </w:rPr>
              <w:t>Analyses</w:t>
            </w:r>
          </w:p>
        </w:tc>
        <w:tc>
          <w:tcPr>
            <w:tcW w:w="1737" w:type="dxa"/>
            <w:tcMar>
              <w:top w:w="0" w:type="dxa"/>
              <w:left w:w="28" w:type="dxa"/>
              <w:bottom w:w="0" w:type="dxa"/>
              <w:right w:w="28" w:type="dxa"/>
            </w:tcMar>
            <w:vAlign w:val="center"/>
            <w:hideMark/>
          </w:tcPr>
          <w:p w14:paraId="49C0EA24" w14:textId="77777777" w:rsidR="007709AA" w:rsidRPr="00250A3D" w:rsidRDefault="007709AA" w:rsidP="00370D8E">
            <w:pPr>
              <w:pStyle w:val="Tabletext0"/>
              <w:keepNext/>
              <w:keepLines/>
              <w:jc w:val="center"/>
              <w:rPr>
                <w:b/>
                <w:bCs/>
                <w:szCs w:val="20"/>
              </w:rPr>
            </w:pPr>
            <w:r w:rsidRPr="00250A3D">
              <w:rPr>
                <w:b/>
                <w:bCs/>
                <w:szCs w:val="20"/>
              </w:rPr>
              <w:t>Incremental cost</w:t>
            </w:r>
          </w:p>
        </w:tc>
        <w:tc>
          <w:tcPr>
            <w:tcW w:w="1737" w:type="dxa"/>
            <w:tcMar>
              <w:top w:w="0" w:type="dxa"/>
              <w:left w:w="28" w:type="dxa"/>
              <w:bottom w:w="0" w:type="dxa"/>
              <w:right w:w="28" w:type="dxa"/>
            </w:tcMar>
            <w:vAlign w:val="center"/>
            <w:hideMark/>
          </w:tcPr>
          <w:p w14:paraId="08E33D79" w14:textId="77777777" w:rsidR="007709AA" w:rsidRPr="00250A3D" w:rsidRDefault="007709AA" w:rsidP="00370D8E">
            <w:pPr>
              <w:pStyle w:val="Tabletext0"/>
              <w:keepNext/>
              <w:keepLines/>
              <w:jc w:val="center"/>
              <w:rPr>
                <w:b/>
                <w:bCs/>
                <w:szCs w:val="20"/>
              </w:rPr>
            </w:pPr>
            <w:r w:rsidRPr="00250A3D">
              <w:rPr>
                <w:b/>
                <w:bCs/>
                <w:szCs w:val="20"/>
              </w:rPr>
              <w:t>Incremental QALYs</w:t>
            </w:r>
          </w:p>
        </w:tc>
        <w:tc>
          <w:tcPr>
            <w:tcW w:w="1232" w:type="dxa"/>
            <w:tcMar>
              <w:top w:w="0" w:type="dxa"/>
              <w:left w:w="28" w:type="dxa"/>
              <w:bottom w:w="0" w:type="dxa"/>
              <w:right w:w="28" w:type="dxa"/>
            </w:tcMar>
            <w:vAlign w:val="center"/>
            <w:hideMark/>
          </w:tcPr>
          <w:p w14:paraId="10BA0EFF" w14:textId="77777777" w:rsidR="007709AA" w:rsidRPr="00250A3D" w:rsidRDefault="007709AA" w:rsidP="00370D8E">
            <w:pPr>
              <w:pStyle w:val="Tabletext0"/>
              <w:keepNext/>
              <w:keepLines/>
              <w:jc w:val="center"/>
              <w:rPr>
                <w:b/>
                <w:bCs/>
                <w:szCs w:val="20"/>
              </w:rPr>
            </w:pPr>
            <w:r w:rsidRPr="00250A3D">
              <w:rPr>
                <w:b/>
                <w:bCs/>
                <w:szCs w:val="20"/>
              </w:rPr>
              <w:t>ICER</w:t>
            </w:r>
          </w:p>
        </w:tc>
      </w:tr>
      <w:tr w:rsidR="007709AA" w:rsidRPr="00250A3D" w14:paraId="3F925D1D" w14:textId="77777777">
        <w:tc>
          <w:tcPr>
            <w:tcW w:w="4323" w:type="dxa"/>
            <w:tcMar>
              <w:top w:w="0" w:type="dxa"/>
              <w:left w:w="28" w:type="dxa"/>
              <w:bottom w:w="0" w:type="dxa"/>
              <w:right w:w="28" w:type="dxa"/>
            </w:tcMar>
          </w:tcPr>
          <w:p w14:paraId="7B4FAEDC" w14:textId="6104AF5A" w:rsidR="007709AA" w:rsidRDefault="007709AA" w:rsidP="00370D8E">
            <w:pPr>
              <w:pStyle w:val="Tabletext0"/>
              <w:keepNext/>
              <w:keepLines/>
              <w:rPr>
                <w:szCs w:val="20"/>
              </w:rPr>
            </w:pPr>
            <w:r>
              <w:rPr>
                <w:szCs w:val="20"/>
              </w:rPr>
              <w:t xml:space="preserve">Assume a post-transplant population with annual change in placebo arm based on time between disease recurrence and graft failure in the Halfon 2025 publication </w:t>
            </w:r>
            <w:r>
              <w:rPr>
                <w:szCs w:val="20"/>
              </w:rPr>
              <w:br/>
              <w:t xml:space="preserve">(-23.0 </w:t>
            </w:r>
            <w:r w:rsidRPr="005C1FA6">
              <w:t>mL/min/1.73</w:t>
            </w:r>
            <w:r w:rsidR="00A420E0">
              <w:t xml:space="preserve"> </w:t>
            </w:r>
            <w:r w:rsidRPr="005C1FA6">
              <w:t>m</w:t>
            </w:r>
            <w:r w:rsidRPr="005C1FA6">
              <w:rPr>
                <w:vertAlign w:val="superscript"/>
              </w:rPr>
              <w:t xml:space="preserve">2 </w:t>
            </w:r>
            <w:r w:rsidRPr="005C1FA6">
              <w:t>per year</w:t>
            </w:r>
            <w:r>
              <w:rPr>
                <w:szCs w:val="20"/>
              </w:rPr>
              <w:t>)</w:t>
            </w:r>
          </w:p>
        </w:tc>
        <w:tc>
          <w:tcPr>
            <w:tcW w:w="1737" w:type="dxa"/>
            <w:tcMar>
              <w:top w:w="0" w:type="dxa"/>
              <w:left w:w="28" w:type="dxa"/>
              <w:bottom w:w="0" w:type="dxa"/>
              <w:right w:w="28" w:type="dxa"/>
            </w:tcMar>
            <w:vAlign w:val="center"/>
          </w:tcPr>
          <w:p w14:paraId="3AF42895" w14:textId="783E1775" w:rsidR="007709AA" w:rsidRPr="00B61B47" w:rsidRDefault="007709AA" w:rsidP="00370D8E">
            <w:pPr>
              <w:pStyle w:val="Tabletext0"/>
              <w:keepNext/>
              <w:keepLines/>
              <w:jc w:val="center"/>
              <w:rPr>
                <w:szCs w:val="20"/>
                <w:vertAlign w:val="superscript"/>
              </w:rPr>
            </w:pPr>
            <w:r w:rsidRPr="00687710">
              <w:rPr>
                <w:szCs w:val="20"/>
              </w:rPr>
              <w:t>$</w:t>
            </w:r>
            <w:r w:rsidR="00994C8B" w:rsidRPr="00994C8B">
              <w:rPr>
                <w:szCs w:val="20"/>
                <w:highlight w:val="black"/>
              </w:rPr>
              <w:t>&amp;&amp;&amp;&amp;</w:t>
            </w:r>
            <w:r w:rsidR="00B61B47">
              <w:rPr>
                <w:szCs w:val="20"/>
                <w:vertAlign w:val="superscript"/>
              </w:rPr>
              <w:t>2</w:t>
            </w:r>
          </w:p>
        </w:tc>
        <w:tc>
          <w:tcPr>
            <w:tcW w:w="1737" w:type="dxa"/>
            <w:tcMar>
              <w:top w:w="0" w:type="dxa"/>
              <w:left w:w="28" w:type="dxa"/>
              <w:bottom w:w="0" w:type="dxa"/>
              <w:right w:w="28" w:type="dxa"/>
            </w:tcMar>
            <w:vAlign w:val="center"/>
          </w:tcPr>
          <w:p w14:paraId="43C59CF1" w14:textId="77777777" w:rsidR="007709AA" w:rsidRPr="00687710" w:rsidRDefault="007709AA" w:rsidP="00370D8E">
            <w:pPr>
              <w:pStyle w:val="Tabletext0"/>
              <w:keepNext/>
              <w:keepLines/>
              <w:jc w:val="center"/>
              <w:rPr>
                <w:szCs w:val="20"/>
              </w:rPr>
            </w:pPr>
            <w:r w:rsidRPr="00687710">
              <w:rPr>
                <w:szCs w:val="20"/>
              </w:rPr>
              <w:t>3.3980</w:t>
            </w:r>
          </w:p>
        </w:tc>
        <w:tc>
          <w:tcPr>
            <w:tcW w:w="1232" w:type="dxa"/>
            <w:tcMar>
              <w:top w:w="0" w:type="dxa"/>
              <w:left w:w="28" w:type="dxa"/>
              <w:bottom w:w="0" w:type="dxa"/>
              <w:right w:w="28" w:type="dxa"/>
            </w:tcMar>
            <w:vAlign w:val="center"/>
          </w:tcPr>
          <w:p w14:paraId="0F22A7F7" w14:textId="63280B28" w:rsidR="007709AA" w:rsidRPr="00B61B47" w:rsidRDefault="007709AA" w:rsidP="00370D8E">
            <w:pPr>
              <w:pStyle w:val="Tabletext0"/>
              <w:keepNext/>
              <w:keepLines/>
              <w:jc w:val="center"/>
              <w:rPr>
                <w:vertAlign w:val="superscript"/>
              </w:rPr>
            </w:pPr>
            <w:r w:rsidRPr="00687710">
              <w:rPr>
                <w:szCs w:val="20"/>
              </w:rPr>
              <w:t>$</w:t>
            </w:r>
            <w:r w:rsidR="00994C8B" w:rsidRPr="00994C8B">
              <w:rPr>
                <w:szCs w:val="20"/>
                <w:highlight w:val="black"/>
              </w:rPr>
              <w:t>&amp;&amp;&amp;&amp;</w:t>
            </w:r>
            <w:r w:rsidR="00B61B47">
              <w:rPr>
                <w:szCs w:val="20"/>
                <w:vertAlign w:val="superscript"/>
              </w:rPr>
              <w:t>1</w:t>
            </w:r>
          </w:p>
        </w:tc>
      </w:tr>
    </w:tbl>
    <w:p w14:paraId="6D0AE5B8" w14:textId="77777777" w:rsidR="007709AA" w:rsidRPr="00250A3D" w:rsidRDefault="007709AA" w:rsidP="00370D8E">
      <w:pPr>
        <w:pStyle w:val="COMTablefooter"/>
        <w:keepNext/>
        <w:keepLines/>
      </w:pPr>
      <w:r w:rsidRPr="00250A3D">
        <w:t xml:space="preserve">Source: </w:t>
      </w:r>
      <w:r>
        <w:t>Table 3.44, pp211-213 of the submission</w:t>
      </w:r>
    </w:p>
    <w:p w14:paraId="561BA8EC" w14:textId="77777777" w:rsidR="007709AA" w:rsidRDefault="007709AA" w:rsidP="00370D8E">
      <w:pPr>
        <w:pStyle w:val="COMTablefooter"/>
        <w:keepNext/>
        <w:keepLines/>
      </w:pPr>
      <w:r w:rsidRPr="00250A3D">
        <w:t>Abbreviations:</w:t>
      </w:r>
      <w:r>
        <w:t xml:space="preserve"> ICER, incremental cost effectiveness ratio; QALYs, quality adjusted life years</w:t>
      </w:r>
    </w:p>
    <w:p w14:paraId="0734781F" w14:textId="77777777" w:rsidR="00525FF3" w:rsidRDefault="007709AA" w:rsidP="00370D8E">
      <w:pPr>
        <w:pStyle w:val="COMTablefooter"/>
        <w:keepNext/>
        <w:keepLines/>
      </w:pPr>
      <w:r w:rsidRPr="00430427">
        <w:t>Note: During the evaluation the base case was respecified using a 5% discount rate, removing societal costs and correcting for errors in transplantation event costs and post-transplantation (graft failure) health state costs</w:t>
      </w:r>
      <w:r w:rsidR="00525FF3" w:rsidRPr="00525FF3">
        <w:t xml:space="preserve"> </w:t>
      </w:r>
    </w:p>
    <w:p w14:paraId="7E2C40EB" w14:textId="256AA479" w:rsidR="007709AA" w:rsidRPr="00525FF3" w:rsidRDefault="00525FF3" w:rsidP="00370D8E">
      <w:pPr>
        <w:pStyle w:val="COMTablefooter"/>
        <w:keepNext/>
        <w:keepLines/>
        <w:rPr>
          <w:i/>
          <w:iCs/>
        </w:rPr>
      </w:pPr>
      <w:r w:rsidRPr="00525FF3">
        <w:rPr>
          <w:i/>
          <w:iCs/>
        </w:rPr>
        <w:t>The redacted values correspond to the following ranges:</w:t>
      </w:r>
    </w:p>
    <w:p w14:paraId="3E220BB9" w14:textId="152E574C" w:rsidR="00B61B47" w:rsidRPr="00525FF3" w:rsidRDefault="00B61B47" w:rsidP="00370D8E">
      <w:pPr>
        <w:pStyle w:val="COMTablefooter"/>
        <w:keepNext/>
        <w:keepLines/>
        <w:rPr>
          <w:i/>
          <w:iCs/>
        </w:rPr>
      </w:pPr>
      <w:r w:rsidRPr="00525FF3">
        <w:rPr>
          <w:i/>
          <w:iCs/>
          <w:vertAlign w:val="superscript"/>
        </w:rPr>
        <w:t>1</w:t>
      </w:r>
      <w:r w:rsidR="001C5283">
        <w:rPr>
          <w:i/>
          <w:iCs/>
          <w:vertAlign w:val="superscript"/>
        </w:rPr>
        <w:t xml:space="preserve"> </w:t>
      </w:r>
      <w:r w:rsidRPr="00525FF3">
        <w:rPr>
          <w:i/>
          <w:iCs/>
        </w:rPr>
        <w:t xml:space="preserve">$755,000 to </w:t>
      </w:r>
      <w:r w:rsidR="00364110">
        <w:rPr>
          <w:i/>
          <w:iCs/>
        </w:rPr>
        <w:t xml:space="preserve">&lt; </w:t>
      </w:r>
      <w:r w:rsidRPr="00525FF3">
        <w:rPr>
          <w:i/>
          <w:iCs/>
        </w:rPr>
        <w:t>$855,000</w:t>
      </w:r>
    </w:p>
    <w:p w14:paraId="0BC9F669" w14:textId="2950C5F2" w:rsidR="002A2F97" w:rsidRPr="00525FF3" w:rsidRDefault="00B61B47" w:rsidP="00370D8E">
      <w:pPr>
        <w:pStyle w:val="COMTablefooter"/>
        <w:keepNext/>
        <w:keepLines/>
        <w:rPr>
          <w:i/>
          <w:iCs/>
        </w:rPr>
      </w:pPr>
      <w:r w:rsidRPr="00525FF3">
        <w:rPr>
          <w:i/>
          <w:iCs/>
          <w:vertAlign w:val="superscript"/>
        </w:rPr>
        <w:t>2</w:t>
      </w:r>
      <w:r w:rsidR="001C5283">
        <w:rPr>
          <w:i/>
          <w:iCs/>
          <w:vertAlign w:val="superscript"/>
        </w:rPr>
        <w:t xml:space="preserve"> </w:t>
      </w:r>
      <w:r w:rsidR="00364110">
        <w:rPr>
          <w:i/>
          <w:iCs/>
        </w:rPr>
        <w:t xml:space="preserve">&gt; </w:t>
      </w:r>
      <w:r w:rsidRPr="00525FF3">
        <w:rPr>
          <w:i/>
          <w:iCs/>
        </w:rPr>
        <w:t>$1,055,000</w:t>
      </w:r>
    </w:p>
    <w:p w14:paraId="02C379C0" w14:textId="460E90B7" w:rsidR="007709AA" w:rsidRPr="00A21F06" w:rsidRDefault="007709AA" w:rsidP="00370D8E">
      <w:pPr>
        <w:pStyle w:val="COMESnumberedpara"/>
        <w:rPr>
          <w:i/>
          <w:iCs/>
        </w:rPr>
      </w:pPr>
      <w:r w:rsidRPr="00A21F06">
        <w:t xml:space="preserve">Based on the scenario analysis, treatment with iptacopan was associated with an incremental cost per QALY gained of </w:t>
      </w:r>
      <w:r w:rsidR="005273E3" w:rsidRPr="005273E3">
        <w:t xml:space="preserve">$755,000 to </w:t>
      </w:r>
      <w:r w:rsidR="00364110">
        <w:t xml:space="preserve">&lt; </w:t>
      </w:r>
      <w:r w:rsidR="005273E3" w:rsidRPr="005273E3">
        <w:t>$855,000</w:t>
      </w:r>
      <w:r w:rsidR="005273E3">
        <w:t xml:space="preserve"> </w:t>
      </w:r>
      <w:r w:rsidRPr="00A21F06">
        <w:t xml:space="preserve">compared to placebo for the treatment of C3G in post-transplant patients who experience disease recurrence. </w:t>
      </w:r>
      <w:r w:rsidRPr="00AC7830">
        <w:t>This analysis was largely uninformative as there were no clinical data to inform a relative treatment effect between iptacopan and placebo in this population, the analysis relied on the assumption that patient characteristics between native kidney and post-transplant populations were identical, and failed to account for the risk of graft failure in iptacopan patients due to their prior transplantation.</w:t>
      </w:r>
    </w:p>
    <w:p w14:paraId="472842D7" w14:textId="761B3AC3" w:rsidR="00C25D9C" w:rsidRPr="0098262F" w:rsidRDefault="00C25D9C" w:rsidP="00370D8E">
      <w:pPr>
        <w:pStyle w:val="COMESSubsectionheading"/>
      </w:pPr>
      <w:bookmarkStart w:id="51" w:name="_Toc22897646"/>
      <w:bookmarkStart w:id="52" w:name="_Toc209000662"/>
      <w:r w:rsidRPr="0098262F">
        <w:lastRenderedPageBreak/>
        <w:t>Drug</w:t>
      </w:r>
      <w:r w:rsidR="00663595">
        <w:t xml:space="preserve"> </w:t>
      </w:r>
      <w:r w:rsidRPr="0098262F">
        <w:t>cost/patient</w:t>
      </w:r>
      <w:bookmarkEnd w:id="51"/>
      <w:r w:rsidR="003567A3">
        <w:t>/year</w:t>
      </w:r>
      <w:bookmarkEnd w:id="52"/>
    </w:p>
    <w:p w14:paraId="51691BD3" w14:textId="32E8F638" w:rsidR="00494207" w:rsidRPr="0098262F" w:rsidRDefault="00E16AD8" w:rsidP="00370D8E">
      <w:pPr>
        <w:pStyle w:val="COMTableFigurecaption"/>
      </w:pPr>
      <w:bookmarkStart w:id="53" w:name="_Ref104805102"/>
      <w:r w:rsidRPr="0098262F">
        <w:t xml:space="preserve">Table </w:t>
      </w:r>
      <w:r w:rsidR="00DA4682">
        <w:fldChar w:fldCharType="begin"/>
      </w:r>
      <w:r w:rsidR="00DA4682">
        <w:instrText xml:space="preserve"> SEQ Table \* ARABIC </w:instrText>
      </w:r>
      <w:r w:rsidR="00DA4682">
        <w:fldChar w:fldCharType="separate"/>
      </w:r>
      <w:r w:rsidR="00CC1313">
        <w:rPr>
          <w:noProof/>
        </w:rPr>
        <w:t>16</w:t>
      </w:r>
      <w:r w:rsidR="00DA4682">
        <w:rPr>
          <w:noProof/>
        </w:rPr>
        <w:fldChar w:fldCharType="end"/>
      </w:r>
      <w:bookmarkEnd w:id="53"/>
      <w:r w:rsidRPr="0098262F">
        <w:t>:</w:t>
      </w:r>
      <w:r w:rsidR="00494207" w:rsidRPr="0098262F">
        <w:t xml:space="preserve"> Drug cost per patient for </w:t>
      </w:r>
      <w:r w:rsidR="002369C7">
        <w:t>iptacopan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Drug cost per patient for iptacopan"/>
      </w:tblPr>
      <w:tblGrid>
        <w:gridCol w:w="2013"/>
        <w:gridCol w:w="2335"/>
        <w:gridCol w:w="2335"/>
        <w:gridCol w:w="2334"/>
      </w:tblGrid>
      <w:tr w:rsidR="00893FD8" w:rsidRPr="0098262F" w14:paraId="21AC90BD" w14:textId="77777777" w:rsidTr="00662BE9">
        <w:trPr>
          <w:cantSplit/>
          <w:tblHeader/>
          <w:jc w:val="center"/>
        </w:trPr>
        <w:tc>
          <w:tcPr>
            <w:tcW w:w="1116" w:type="pct"/>
            <w:vAlign w:val="center"/>
          </w:tcPr>
          <w:p w14:paraId="485D48B1" w14:textId="77777777" w:rsidR="00893FD8" w:rsidRPr="0098262F" w:rsidRDefault="00893FD8" w:rsidP="00370D8E">
            <w:pPr>
              <w:pStyle w:val="COMTableheadingrow"/>
            </w:pPr>
          </w:p>
        </w:tc>
        <w:tc>
          <w:tcPr>
            <w:tcW w:w="1295" w:type="pct"/>
            <w:vAlign w:val="center"/>
          </w:tcPr>
          <w:p w14:paraId="6CF2C2E8" w14:textId="204C2970" w:rsidR="00893FD8" w:rsidRPr="0098262F" w:rsidRDefault="00F26719" w:rsidP="00370D8E">
            <w:pPr>
              <w:pStyle w:val="COMTableheadingrow"/>
              <w:jc w:val="center"/>
            </w:pPr>
            <w:r>
              <w:t>APPEAR-C3G trial</w:t>
            </w:r>
          </w:p>
        </w:tc>
        <w:tc>
          <w:tcPr>
            <w:tcW w:w="1295" w:type="pct"/>
            <w:vAlign w:val="center"/>
          </w:tcPr>
          <w:p w14:paraId="382C1F04" w14:textId="5A215BB4" w:rsidR="00893FD8" w:rsidRPr="0098262F" w:rsidRDefault="00F26719" w:rsidP="00370D8E">
            <w:pPr>
              <w:pStyle w:val="COMTableheadingrow"/>
              <w:jc w:val="center"/>
            </w:pPr>
            <w:r>
              <w:t>Economic model</w:t>
            </w:r>
          </w:p>
        </w:tc>
        <w:tc>
          <w:tcPr>
            <w:tcW w:w="1294" w:type="pct"/>
            <w:vAlign w:val="center"/>
          </w:tcPr>
          <w:p w14:paraId="709510A5" w14:textId="14799AA6" w:rsidR="00893FD8" w:rsidRPr="0098262F" w:rsidRDefault="00F26719" w:rsidP="00370D8E">
            <w:pPr>
              <w:pStyle w:val="COMTableheadingrow"/>
              <w:jc w:val="center"/>
            </w:pPr>
            <w:r>
              <w:t>Financial estimates</w:t>
            </w:r>
          </w:p>
        </w:tc>
      </w:tr>
      <w:tr w:rsidR="00893FD8" w:rsidRPr="0098262F" w14:paraId="745DAF0B" w14:textId="77777777" w:rsidTr="00662BE9">
        <w:trPr>
          <w:cantSplit/>
          <w:jc w:val="center"/>
        </w:trPr>
        <w:tc>
          <w:tcPr>
            <w:tcW w:w="1116" w:type="pct"/>
            <w:vAlign w:val="center"/>
          </w:tcPr>
          <w:p w14:paraId="0E1877AB" w14:textId="77777777" w:rsidR="00557E2C" w:rsidRDefault="0098468C" w:rsidP="00370D8E">
            <w:pPr>
              <w:pStyle w:val="COMTabletext"/>
            </w:pPr>
            <w:r>
              <w:t>Effective DPMQ</w:t>
            </w:r>
            <w:r w:rsidR="00CF2A08">
              <w:t xml:space="preserve">, </w:t>
            </w:r>
          </w:p>
          <w:p w14:paraId="743973CE" w14:textId="3CCF380A" w:rsidR="00893FD8" w:rsidRPr="0098262F" w:rsidRDefault="00CF2A08" w:rsidP="00370D8E">
            <w:pPr>
              <w:pStyle w:val="COMTabletext"/>
            </w:pPr>
            <w:r>
              <w:t xml:space="preserve">56 × 200 mg </w:t>
            </w:r>
            <w:r w:rsidR="001745B6">
              <w:t>capsules</w:t>
            </w:r>
          </w:p>
        </w:tc>
        <w:tc>
          <w:tcPr>
            <w:tcW w:w="1295" w:type="pct"/>
            <w:vAlign w:val="center"/>
          </w:tcPr>
          <w:p w14:paraId="1EFC7D22" w14:textId="65AB5C66" w:rsidR="00893FD8" w:rsidRPr="007B7EAB" w:rsidRDefault="00CF2A08" w:rsidP="00370D8E">
            <w:pPr>
              <w:pStyle w:val="COMTabletext"/>
              <w:jc w:val="center"/>
            </w:pPr>
            <w:r w:rsidRPr="007B7EAB">
              <w:t>-</w:t>
            </w:r>
          </w:p>
        </w:tc>
        <w:tc>
          <w:tcPr>
            <w:tcW w:w="1295" w:type="pct"/>
            <w:vAlign w:val="center"/>
          </w:tcPr>
          <w:p w14:paraId="57594709" w14:textId="62169526" w:rsidR="00893FD8" w:rsidRPr="007B7EAB" w:rsidRDefault="007B7EAB" w:rsidP="00370D8E">
            <w:pPr>
              <w:pStyle w:val="COMTabletext"/>
              <w:jc w:val="center"/>
            </w:pPr>
            <w:r w:rsidRPr="007B7EAB">
              <w:t>$</w:t>
            </w:r>
            <w:r w:rsidR="00994C8B" w:rsidRPr="00994C8B">
              <w:rPr>
                <w:highlight w:val="black"/>
              </w:rPr>
              <w:t>&amp;&amp;&amp;&amp;</w:t>
            </w:r>
          </w:p>
        </w:tc>
        <w:tc>
          <w:tcPr>
            <w:tcW w:w="1294" w:type="pct"/>
            <w:vAlign w:val="center"/>
          </w:tcPr>
          <w:p w14:paraId="0D7FA15A" w14:textId="0C73C54A" w:rsidR="00893FD8" w:rsidRPr="007B7EAB" w:rsidRDefault="007B7EAB" w:rsidP="00370D8E">
            <w:pPr>
              <w:pStyle w:val="COMTabletext"/>
              <w:jc w:val="center"/>
            </w:pPr>
            <w:r w:rsidRPr="007B7EAB">
              <w:t>$</w:t>
            </w:r>
            <w:r w:rsidR="00994C8B" w:rsidRPr="00994C8B">
              <w:rPr>
                <w:highlight w:val="black"/>
              </w:rPr>
              <w:t>&amp;&amp;&amp;&amp;</w:t>
            </w:r>
          </w:p>
        </w:tc>
      </w:tr>
      <w:tr w:rsidR="00893FD8" w:rsidRPr="0098262F" w14:paraId="0B84FE33" w14:textId="77777777" w:rsidTr="00662BE9">
        <w:trPr>
          <w:cantSplit/>
          <w:jc w:val="center"/>
        </w:trPr>
        <w:tc>
          <w:tcPr>
            <w:tcW w:w="1116" w:type="pct"/>
            <w:vAlign w:val="center"/>
          </w:tcPr>
          <w:p w14:paraId="49111F6C" w14:textId="105B1F72" w:rsidR="00893FD8" w:rsidRPr="0098262F" w:rsidRDefault="007A1E85" w:rsidP="00370D8E">
            <w:pPr>
              <w:pStyle w:val="COMTabletext"/>
            </w:pPr>
            <w:r>
              <w:t>Adherence</w:t>
            </w:r>
          </w:p>
        </w:tc>
        <w:tc>
          <w:tcPr>
            <w:tcW w:w="1295" w:type="pct"/>
            <w:vAlign w:val="center"/>
          </w:tcPr>
          <w:p w14:paraId="2FA48163" w14:textId="30630C79" w:rsidR="00893FD8" w:rsidRPr="007A1E85" w:rsidRDefault="007A1E85" w:rsidP="00370D8E">
            <w:pPr>
              <w:pStyle w:val="COMTabletext"/>
              <w:jc w:val="center"/>
              <w:rPr>
                <w:vertAlign w:val="superscript"/>
              </w:rPr>
            </w:pPr>
            <w:r>
              <w:t>99.7%</w:t>
            </w:r>
          </w:p>
        </w:tc>
        <w:tc>
          <w:tcPr>
            <w:tcW w:w="1295" w:type="pct"/>
            <w:vAlign w:val="center"/>
          </w:tcPr>
          <w:p w14:paraId="550476ED" w14:textId="6ED1E237" w:rsidR="00893FD8" w:rsidRPr="007B7EAB" w:rsidRDefault="007A1E85" w:rsidP="00370D8E">
            <w:pPr>
              <w:pStyle w:val="COMTabletext"/>
              <w:jc w:val="center"/>
            </w:pPr>
            <w:r>
              <w:t>100%</w:t>
            </w:r>
          </w:p>
        </w:tc>
        <w:tc>
          <w:tcPr>
            <w:tcW w:w="1294" w:type="pct"/>
            <w:vAlign w:val="center"/>
          </w:tcPr>
          <w:p w14:paraId="0CFE1C01" w14:textId="2F0D6277" w:rsidR="00893FD8" w:rsidRPr="007B7EAB" w:rsidRDefault="007A1E85" w:rsidP="00370D8E">
            <w:pPr>
              <w:pStyle w:val="COMTabletext"/>
              <w:jc w:val="center"/>
            </w:pPr>
            <w:r>
              <w:t>100%</w:t>
            </w:r>
          </w:p>
        </w:tc>
      </w:tr>
      <w:tr w:rsidR="00685723" w:rsidRPr="0098262F" w14:paraId="53FFC5FA" w14:textId="77777777" w:rsidTr="00662BE9">
        <w:trPr>
          <w:cantSplit/>
          <w:jc w:val="center"/>
        </w:trPr>
        <w:tc>
          <w:tcPr>
            <w:tcW w:w="1116" w:type="pct"/>
            <w:vAlign w:val="center"/>
          </w:tcPr>
          <w:p w14:paraId="78C7C220" w14:textId="04CB531E" w:rsidR="00685723" w:rsidRDefault="00685723" w:rsidP="00370D8E">
            <w:pPr>
              <w:pStyle w:val="COMTabletext"/>
            </w:pPr>
            <w:r>
              <w:t>Cost/patient/year</w:t>
            </w:r>
          </w:p>
        </w:tc>
        <w:tc>
          <w:tcPr>
            <w:tcW w:w="1295" w:type="pct"/>
            <w:vAlign w:val="center"/>
          </w:tcPr>
          <w:p w14:paraId="226F31AC" w14:textId="66DF3F24" w:rsidR="00685723" w:rsidRDefault="00685723" w:rsidP="00370D8E">
            <w:pPr>
              <w:pStyle w:val="COMTabletext"/>
              <w:jc w:val="center"/>
            </w:pPr>
            <w:r>
              <w:t>-</w:t>
            </w:r>
          </w:p>
        </w:tc>
        <w:tc>
          <w:tcPr>
            <w:tcW w:w="1295" w:type="pct"/>
            <w:vAlign w:val="center"/>
          </w:tcPr>
          <w:p w14:paraId="1ED16AA1" w14:textId="35622679" w:rsidR="00685723" w:rsidRPr="00296DA9" w:rsidRDefault="002B2F8F" w:rsidP="00370D8E">
            <w:pPr>
              <w:pStyle w:val="COMTabletext"/>
              <w:jc w:val="center"/>
              <w:rPr>
                <w:vertAlign w:val="superscript"/>
              </w:rPr>
            </w:pPr>
            <w:r>
              <w:t>$</w:t>
            </w:r>
            <w:r w:rsidR="00994C8B" w:rsidRPr="00994C8B">
              <w:rPr>
                <w:highlight w:val="black"/>
              </w:rPr>
              <w:t>&amp;&amp;&amp;&amp;</w:t>
            </w:r>
            <w:r w:rsidR="00296DA9">
              <w:t xml:space="preserve"> </w:t>
            </w:r>
            <w:r w:rsidR="00296DA9">
              <w:rPr>
                <w:vertAlign w:val="superscript"/>
              </w:rPr>
              <w:t>a</w:t>
            </w:r>
          </w:p>
        </w:tc>
        <w:tc>
          <w:tcPr>
            <w:tcW w:w="1294" w:type="pct"/>
            <w:vAlign w:val="center"/>
          </w:tcPr>
          <w:p w14:paraId="62F45F7A" w14:textId="48AFAA13" w:rsidR="00685723" w:rsidRPr="00296DA9" w:rsidRDefault="002B2F8F" w:rsidP="00370D8E">
            <w:pPr>
              <w:pStyle w:val="COMTabletext"/>
              <w:jc w:val="center"/>
              <w:rPr>
                <w:vertAlign w:val="superscript"/>
              </w:rPr>
            </w:pPr>
            <w:r>
              <w:t>$</w:t>
            </w:r>
            <w:r w:rsidR="00994C8B" w:rsidRPr="00994C8B">
              <w:rPr>
                <w:highlight w:val="black"/>
              </w:rPr>
              <w:t>&amp;&amp;&amp;&amp;</w:t>
            </w:r>
            <w:r w:rsidR="00296DA9">
              <w:t xml:space="preserve"> </w:t>
            </w:r>
            <w:r w:rsidR="00296DA9">
              <w:rPr>
                <w:vertAlign w:val="superscript"/>
              </w:rPr>
              <w:t>a</w:t>
            </w:r>
          </w:p>
        </w:tc>
      </w:tr>
      <w:tr w:rsidR="00E750E8" w:rsidRPr="0098262F" w14:paraId="3010CFB6" w14:textId="77777777" w:rsidTr="00662BE9">
        <w:trPr>
          <w:cantSplit/>
          <w:jc w:val="center"/>
        </w:trPr>
        <w:tc>
          <w:tcPr>
            <w:tcW w:w="1116" w:type="pct"/>
            <w:vAlign w:val="center"/>
          </w:tcPr>
          <w:p w14:paraId="0FEEC4E1" w14:textId="01B315E3" w:rsidR="00E750E8" w:rsidRDefault="003232CD" w:rsidP="00370D8E">
            <w:pPr>
              <w:pStyle w:val="COMTabletext"/>
            </w:pPr>
            <w:r>
              <w:t>Continuing treatment criterion</w:t>
            </w:r>
          </w:p>
        </w:tc>
        <w:tc>
          <w:tcPr>
            <w:tcW w:w="1295" w:type="pct"/>
            <w:vAlign w:val="center"/>
          </w:tcPr>
          <w:p w14:paraId="5603AB0D" w14:textId="71FE1397" w:rsidR="00E750E8" w:rsidRDefault="003232CD" w:rsidP="00370D8E">
            <w:pPr>
              <w:pStyle w:val="COMTabletext"/>
              <w:jc w:val="center"/>
            </w:pPr>
            <w:r>
              <w:t>None</w:t>
            </w:r>
          </w:p>
        </w:tc>
        <w:tc>
          <w:tcPr>
            <w:tcW w:w="1295" w:type="pct"/>
            <w:vAlign w:val="center"/>
          </w:tcPr>
          <w:p w14:paraId="65C5FE38" w14:textId="155463B9" w:rsidR="00E750E8" w:rsidRDefault="003232CD" w:rsidP="00370D8E">
            <w:pPr>
              <w:pStyle w:val="COMTabletext"/>
              <w:jc w:val="center"/>
            </w:pPr>
            <w:r>
              <w:t>None</w:t>
            </w:r>
          </w:p>
        </w:tc>
        <w:tc>
          <w:tcPr>
            <w:tcW w:w="1294" w:type="pct"/>
            <w:vAlign w:val="center"/>
          </w:tcPr>
          <w:p w14:paraId="77B684C7" w14:textId="4D4A001A" w:rsidR="00E750E8" w:rsidRPr="003B758B" w:rsidRDefault="00FD56E5" w:rsidP="00370D8E">
            <w:pPr>
              <w:pStyle w:val="COMTabletext"/>
              <w:jc w:val="center"/>
              <w:rPr>
                <w:vertAlign w:val="superscript"/>
              </w:rPr>
            </w:pPr>
            <w:r>
              <w:t>89.5% at 6 months</w:t>
            </w:r>
            <w:r w:rsidR="003B758B">
              <w:t xml:space="preserve"> </w:t>
            </w:r>
            <w:r w:rsidR="00296DA9">
              <w:rPr>
                <w:vertAlign w:val="superscript"/>
              </w:rPr>
              <w:t>b</w:t>
            </w:r>
          </w:p>
        </w:tc>
      </w:tr>
      <w:tr w:rsidR="00893FD8" w:rsidRPr="0098262F" w14:paraId="06512171" w14:textId="77777777" w:rsidTr="00662BE9">
        <w:trPr>
          <w:cantSplit/>
          <w:jc w:val="center"/>
        </w:trPr>
        <w:tc>
          <w:tcPr>
            <w:tcW w:w="1116" w:type="pct"/>
            <w:vAlign w:val="center"/>
          </w:tcPr>
          <w:p w14:paraId="6EB9C80D" w14:textId="238492C7" w:rsidR="00893FD8" w:rsidRPr="0098262F" w:rsidRDefault="00914D69" w:rsidP="00370D8E">
            <w:pPr>
              <w:pStyle w:val="COMTabletext"/>
            </w:pPr>
            <w:r>
              <w:t>Treatment discontinuation</w:t>
            </w:r>
          </w:p>
        </w:tc>
        <w:tc>
          <w:tcPr>
            <w:tcW w:w="1295" w:type="pct"/>
            <w:vAlign w:val="center"/>
          </w:tcPr>
          <w:p w14:paraId="07E4F1F7" w14:textId="0C627714" w:rsidR="00893FD8" w:rsidRPr="007B7EAB" w:rsidRDefault="00462B1A" w:rsidP="00370D8E">
            <w:pPr>
              <w:pStyle w:val="COMTabletext"/>
              <w:jc w:val="center"/>
            </w:pPr>
            <w:r>
              <w:t>5.3% at 12 months</w:t>
            </w:r>
          </w:p>
        </w:tc>
        <w:tc>
          <w:tcPr>
            <w:tcW w:w="1295" w:type="pct"/>
            <w:vAlign w:val="center"/>
          </w:tcPr>
          <w:p w14:paraId="75234135" w14:textId="2AF2D47E" w:rsidR="00893FD8" w:rsidRPr="00616AAA" w:rsidRDefault="00E32840" w:rsidP="00370D8E">
            <w:pPr>
              <w:pStyle w:val="COMTabletext"/>
              <w:jc w:val="center"/>
            </w:pPr>
            <w:r>
              <w:t xml:space="preserve">5.3% </w:t>
            </w:r>
            <w:r w:rsidR="00616AAA">
              <w:t>per year for 1.5 years</w:t>
            </w:r>
            <w:r w:rsidR="004D6A2C">
              <w:t xml:space="preserve"> </w:t>
            </w:r>
            <w:r w:rsidR="00616AAA">
              <w:t xml:space="preserve">then 1% per year thereafter </w:t>
            </w:r>
            <w:r w:rsidR="00296DA9">
              <w:rPr>
                <w:vertAlign w:val="superscript"/>
              </w:rPr>
              <w:t>c</w:t>
            </w:r>
          </w:p>
        </w:tc>
        <w:tc>
          <w:tcPr>
            <w:tcW w:w="1294" w:type="pct"/>
            <w:vAlign w:val="center"/>
          </w:tcPr>
          <w:p w14:paraId="1173109D" w14:textId="40CEA098" w:rsidR="00893FD8" w:rsidRPr="007B7EAB" w:rsidRDefault="006E6713" w:rsidP="00370D8E">
            <w:pPr>
              <w:pStyle w:val="COMTabletext"/>
              <w:jc w:val="center"/>
            </w:pPr>
            <w:r>
              <w:t xml:space="preserve">5.3% per year for 1.5 years then 1% per year thereafter </w:t>
            </w:r>
            <w:r w:rsidR="00296DA9">
              <w:rPr>
                <w:vertAlign w:val="superscript"/>
              </w:rPr>
              <w:t>c</w:t>
            </w:r>
          </w:p>
        </w:tc>
      </w:tr>
    </w:tbl>
    <w:p w14:paraId="717CADAF" w14:textId="50509523" w:rsidR="00494207" w:rsidRDefault="00494207" w:rsidP="00370D8E">
      <w:pPr>
        <w:pStyle w:val="COMTablefooter"/>
      </w:pPr>
      <w:r w:rsidRPr="0098262F">
        <w:t xml:space="preserve">Source: </w:t>
      </w:r>
      <w:r w:rsidR="007A1E85">
        <w:t>constructed during the evaluation based on the Section 3 economic model and Section 4 budget impact model of the submission</w:t>
      </w:r>
    </w:p>
    <w:p w14:paraId="27FE1035" w14:textId="4F3FEEED" w:rsidR="00772FD8" w:rsidRDefault="00772FD8" w:rsidP="00370D8E">
      <w:pPr>
        <w:pStyle w:val="COMTablefooter"/>
      </w:pPr>
      <w:r>
        <w:t>Abbreviations: DPMQ, dispensed price maximum quantity; eGFR, estimated glomerular filtration rate</w:t>
      </w:r>
    </w:p>
    <w:p w14:paraId="71E769D9" w14:textId="5D136A8E" w:rsidR="00296DA9" w:rsidRDefault="00723DCD" w:rsidP="00370D8E">
      <w:pPr>
        <w:pStyle w:val="COMTablefooter"/>
      </w:pPr>
      <w:r>
        <w:rPr>
          <w:vertAlign w:val="superscript"/>
        </w:rPr>
        <w:t>a</w:t>
      </w:r>
      <w:r w:rsidR="003B758B" w:rsidRPr="00557E2C">
        <w:t xml:space="preserve"> </w:t>
      </w:r>
      <w:r w:rsidR="00407322">
        <w:t>Based on the effective DPMQ of $</w:t>
      </w:r>
      <w:r w:rsidR="00994C8B" w:rsidRPr="00994C8B">
        <w:rPr>
          <w:highlight w:val="black"/>
        </w:rPr>
        <w:t>&amp;&amp;&amp;&amp;</w:t>
      </w:r>
      <w:r w:rsidR="00407322">
        <w:t xml:space="preserve"> per script × 13.0446 scripts per patient per year</w:t>
      </w:r>
    </w:p>
    <w:p w14:paraId="4185B6E8" w14:textId="7E7BC4C9" w:rsidR="003B758B" w:rsidRPr="00557E2C" w:rsidRDefault="00296DA9" w:rsidP="00370D8E">
      <w:pPr>
        <w:pStyle w:val="COMTablefooter"/>
      </w:pPr>
      <w:r>
        <w:rPr>
          <w:vertAlign w:val="superscript"/>
        </w:rPr>
        <w:t>b</w:t>
      </w:r>
      <w:r>
        <w:t xml:space="preserve"> </w:t>
      </w:r>
      <w:r w:rsidR="00C1214B" w:rsidRPr="00557E2C">
        <w:t xml:space="preserve">Based on the proportion of patients with </w:t>
      </w:r>
      <w:r w:rsidR="00585FB2" w:rsidRPr="00557E2C">
        <w:t xml:space="preserve">a </w:t>
      </w:r>
      <w:r w:rsidR="000A61EC" w:rsidRPr="00557E2C">
        <w:t>change in eGFR of ≤15 mL/min/1.73 m</w:t>
      </w:r>
      <w:r w:rsidR="000A61EC" w:rsidRPr="00E54054">
        <w:rPr>
          <w:vertAlign w:val="superscript"/>
        </w:rPr>
        <w:t>2</w:t>
      </w:r>
      <w:r w:rsidR="000A61EC" w:rsidRPr="00557E2C">
        <w:t xml:space="preserve"> </w:t>
      </w:r>
      <w:r w:rsidR="00047F1B" w:rsidRPr="00557E2C">
        <w:t xml:space="preserve">at 6 months in </w:t>
      </w:r>
      <w:r w:rsidR="00772FD8" w:rsidRPr="00557E2C">
        <w:t xml:space="preserve">the iptacopan arm of </w:t>
      </w:r>
      <w:r w:rsidR="00047F1B" w:rsidRPr="00557E2C">
        <w:t xml:space="preserve">APPEAR-C3G </w:t>
      </w:r>
      <w:r w:rsidR="00A91FAD" w:rsidRPr="00557E2C">
        <w:t>(as a proxy for eGFR stabilisation)</w:t>
      </w:r>
    </w:p>
    <w:p w14:paraId="63AF0A1C" w14:textId="14E6EDB9" w:rsidR="00616AAA" w:rsidRPr="00557E2C" w:rsidRDefault="00296DA9" w:rsidP="00370D8E">
      <w:pPr>
        <w:pStyle w:val="COMTablefooter"/>
      </w:pPr>
      <w:r>
        <w:rPr>
          <w:vertAlign w:val="superscript"/>
        </w:rPr>
        <w:t>c</w:t>
      </w:r>
      <w:r w:rsidRPr="00557E2C">
        <w:t xml:space="preserve"> </w:t>
      </w:r>
      <w:r w:rsidR="00616AAA" w:rsidRPr="00557E2C">
        <w:t xml:space="preserve">Based </w:t>
      </w:r>
      <w:r w:rsidR="00983552" w:rsidRPr="00557E2C">
        <w:t>on 3</w:t>
      </w:r>
      <w:r w:rsidR="005F5128" w:rsidRPr="00557E2C">
        <w:t>/38 patients</w:t>
      </w:r>
      <w:r w:rsidR="004D6A2C" w:rsidRPr="00557E2C">
        <w:t xml:space="preserve"> (7.89%)</w:t>
      </w:r>
      <w:r w:rsidR="005F5128" w:rsidRPr="00557E2C">
        <w:t xml:space="preserve"> who discontinued during the APPEAR-C3G and B12001B extension study</w:t>
      </w:r>
      <w:r w:rsidR="004D6A2C" w:rsidRPr="00557E2C">
        <w:t xml:space="preserve"> </w:t>
      </w:r>
      <w:r w:rsidR="00557E2C">
        <w:t>for the first 1.5 years</w:t>
      </w:r>
      <w:r w:rsidR="00FB7F08">
        <w:t xml:space="preserve"> and assumed for subsequent years</w:t>
      </w:r>
    </w:p>
    <w:p w14:paraId="3DBFE151" w14:textId="71BF5BE5" w:rsidR="00494207" w:rsidRPr="00AC7830" w:rsidRDefault="00FF1B29" w:rsidP="00370D8E">
      <w:pPr>
        <w:pStyle w:val="COMESnumberedpara"/>
      </w:pPr>
      <w:bookmarkStart w:id="54" w:name="_Hlk107307804"/>
      <w:r w:rsidRPr="00AC7830">
        <w:t xml:space="preserve">The inclusion of </w:t>
      </w:r>
      <w:r w:rsidR="00DB2EA2" w:rsidRPr="00AC7830">
        <w:t xml:space="preserve">the continuing treatment criterion in the financial estimates </w:t>
      </w:r>
      <w:r w:rsidR="0024320C" w:rsidRPr="00AC7830">
        <w:t xml:space="preserve">was inconsistent with the key trial and economic model of the submission. </w:t>
      </w:r>
      <w:r w:rsidR="002E1784" w:rsidRPr="00AC7830">
        <w:t xml:space="preserve">The </w:t>
      </w:r>
      <w:r w:rsidR="002A6679" w:rsidRPr="00AC7830">
        <w:t xml:space="preserve">proposed </w:t>
      </w:r>
      <w:r w:rsidR="002E1784" w:rsidRPr="00AC7830">
        <w:t xml:space="preserve">continuing treatment restriction </w:t>
      </w:r>
      <w:r w:rsidR="002A6679" w:rsidRPr="00AC7830">
        <w:t xml:space="preserve">states that patients must have experienced clinical improvement or stabilisation of the condition, with no objective measures of </w:t>
      </w:r>
      <w:r w:rsidR="00833543" w:rsidRPr="00AC7830">
        <w:t>response.</w:t>
      </w:r>
      <w:r w:rsidR="006B75F2">
        <w:t xml:space="preserve"> </w:t>
      </w:r>
      <w:r w:rsidR="00DB2EA2" w:rsidRPr="00AC7830">
        <w:t xml:space="preserve"> </w:t>
      </w:r>
    </w:p>
    <w:p w14:paraId="268768EF" w14:textId="3626F292" w:rsidR="00B60939" w:rsidRPr="0098262F" w:rsidRDefault="00B60939" w:rsidP="00370D8E">
      <w:pPr>
        <w:pStyle w:val="COMESSubsectionheading"/>
      </w:pPr>
      <w:bookmarkStart w:id="55" w:name="_Toc22897647"/>
      <w:bookmarkStart w:id="56" w:name="_Toc209000663"/>
      <w:bookmarkEnd w:id="54"/>
      <w:r w:rsidRPr="0098262F">
        <w:t>Estimated PBS usage &amp; financial implications</w:t>
      </w:r>
      <w:bookmarkEnd w:id="55"/>
      <w:bookmarkEnd w:id="56"/>
    </w:p>
    <w:p w14:paraId="248550CF" w14:textId="6B48C770" w:rsidR="00E54FB3" w:rsidRPr="00615CAA" w:rsidRDefault="00E54FB3" w:rsidP="00370D8E">
      <w:pPr>
        <w:pStyle w:val="COMESnumberedpara"/>
      </w:pPr>
      <w:r w:rsidRPr="0098262F">
        <w:t>This submission w</w:t>
      </w:r>
      <w:r w:rsidR="00663986">
        <w:t>as</w:t>
      </w:r>
      <w:r w:rsidRPr="0098262F">
        <w:t xml:space="preserve"> considered by </w:t>
      </w:r>
      <w:r w:rsidRPr="00615CAA">
        <w:t>DUSC. The submission used an epidemiological approach to estimate the utilisation and financial implications associated with the PBS listing of iptacopan for the treatment of adults with C3G with either native kidneys or disease recurrence following a kidney transplant.</w:t>
      </w:r>
    </w:p>
    <w:p w14:paraId="2979D809" w14:textId="614DCF6E" w:rsidR="00E54FB3" w:rsidRPr="008F4FC4" w:rsidRDefault="00250AF3" w:rsidP="00370D8E">
      <w:pPr>
        <w:pStyle w:val="COMexecsummnumbered"/>
        <w:numPr>
          <w:ilvl w:val="1"/>
          <w:numId w:val="5"/>
        </w:numPr>
      </w:pPr>
      <w:r>
        <w:fldChar w:fldCharType="begin"/>
      </w:r>
      <w:r>
        <w:instrText xml:space="preserve"> REF _Ref216422295 \h </w:instrText>
      </w:r>
      <w:r>
        <w:fldChar w:fldCharType="separate"/>
      </w:r>
      <w:r w:rsidR="00CC1313" w:rsidRPr="0098262F">
        <w:t xml:space="preserve">Table </w:t>
      </w:r>
      <w:r w:rsidR="00CC1313">
        <w:rPr>
          <w:noProof/>
        </w:rPr>
        <w:t>17</w:t>
      </w:r>
      <w:r>
        <w:fldChar w:fldCharType="end"/>
      </w:r>
      <w:r>
        <w:t xml:space="preserve"> </w:t>
      </w:r>
      <w:r w:rsidR="00E54FB3">
        <w:t>presents</w:t>
      </w:r>
      <w:r w:rsidR="00E54FB3" w:rsidRPr="008F4FC4">
        <w:t xml:space="preserve"> the key inputs relied on in the financial estimates.</w:t>
      </w:r>
    </w:p>
    <w:p w14:paraId="4261AC02" w14:textId="66CA6132" w:rsidR="00E54FB3" w:rsidRPr="00FF3ECD" w:rsidRDefault="00E54FB3" w:rsidP="00370D8E">
      <w:pPr>
        <w:pStyle w:val="COMtablefigcaption"/>
      </w:pPr>
      <w:bookmarkStart w:id="57" w:name="_Ref216422295"/>
      <w:r w:rsidRPr="0098262F">
        <w:t xml:space="preserve">Table </w:t>
      </w:r>
      <w:r>
        <w:fldChar w:fldCharType="begin"/>
      </w:r>
      <w:r>
        <w:instrText xml:space="preserve"> SEQ Table \* ARABIC </w:instrText>
      </w:r>
      <w:r>
        <w:fldChar w:fldCharType="separate"/>
      </w:r>
      <w:r w:rsidR="00CC1313">
        <w:rPr>
          <w:noProof/>
        </w:rPr>
        <w:t>17</w:t>
      </w:r>
      <w:r>
        <w:rPr>
          <w:noProof/>
        </w:rPr>
        <w:fldChar w:fldCharType="end"/>
      </w:r>
      <w:bookmarkEnd w:id="57"/>
      <w:r w:rsidRPr="0098262F">
        <w:t>:</w:t>
      </w:r>
      <w:r w:rsidRPr="00FF3ECD">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7: Key inputs for financial estimates"/>
      </w:tblPr>
      <w:tblGrid>
        <w:gridCol w:w="1199"/>
        <w:gridCol w:w="3910"/>
        <w:gridCol w:w="3908"/>
      </w:tblGrid>
      <w:tr w:rsidR="00E54FB3" w:rsidRPr="0098262F" w14:paraId="7EF35CFB" w14:textId="77777777" w:rsidTr="00A8333A">
        <w:trPr>
          <w:cantSplit/>
          <w:tblHeader/>
        </w:trPr>
        <w:tc>
          <w:tcPr>
            <w:tcW w:w="665" w:type="pct"/>
            <w:vAlign w:val="center"/>
          </w:tcPr>
          <w:p w14:paraId="3810A14B" w14:textId="77777777" w:rsidR="00E54FB3" w:rsidRPr="0098262F" w:rsidRDefault="00E54FB3" w:rsidP="00370D8E">
            <w:pPr>
              <w:pStyle w:val="COMTableheadingrow"/>
              <w:keepNext w:val="0"/>
            </w:pPr>
            <w:r w:rsidRPr="0098262F">
              <w:t>Parameter</w:t>
            </w:r>
          </w:p>
        </w:tc>
        <w:tc>
          <w:tcPr>
            <w:tcW w:w="2168" w:type="pct"/>
            <w:vAlign w:val="center"/>
          </w:tcPr>
          <w:p w14:paraId="7108888B" w14:textId="77777777" w:rsidR="00E54FB3" w:rsidRPr="0098262F" w:rsidRDefault="00E54FB3" w:rsidP="00370D8E">
            <w:pPr>
              <w:pStyle w:val="COMTableheadingrow"/>
              <w:keepNext w:val="0"/>
              <w:jc w:val="center"/>
            </w:pPr>
            <w:r w:rsidRPr="0098262F">
              <w:t>Value applied and source</w:t>
            </w:r>
          </w:p>
        </w:tc>
        <w:tc>
          <w:tcPr>
            <w:tcW w:w="2168" w:type="pct"/>
            <w:vAlign w:val="center"/>
          </w:tcPr>
          <w:p w14:paraId="6F6B3594" w14:textId="77777777" w:rsidR="00E54FB3" w:rsidRPr="006A5D60" w:rsidRDefault="00E54FB3" w:rsidP="00370D8E">
            <w:pPr>
              <w:pStyle w:val="COMTableheadingrow"/>
              <w:keepNext w:val="0"/>
              <w:jc w:val="center"/>
            </w:pPr>
            <w:r w:rsidRPr="006A5D60">
              <w:t>Comment</w:t>
            </w:r>
          </w:p>
        </w:tc>
      </w:tr>
      <w:tr w:rsidR="00E54FB3" w:rsidRPr="0098262F" w14:paraId="0C8080DB" w14:textId="77777777" w:rsidTr="00A8333A">
        <w:trPr>
          <w:cantSplit/>
        </w:trPr>
        <w:tc>
          <w:tcPr>
            <w:tcW w:w="665" w:type="pct"/>
            <w:vAlign w:val="center"/>
          </w:tcPr>
          <w:p w14:paraId="594310E1" w14:textId="77777777" w:rsidR="00E54FB3" w:rsidRPr="0098262F" w:rsidRDefault="00E54FB3" w:rsidP="00370D8E">
            <w:pPr>
              <w:pStyle w:val="COMTabletext"/>
              <w:keepNext w:val="0"/>
            </w:pPr>
            <w:r>
              <w:t>Incidence of C3G</w:t>
            </w:r>
          </w:p>
        </w:tc>
        <w:tc>
          <w:tcPr>
            <w:tcW w:w="2168" w:type="pct"/>
            <w:vAlign w:val="center"/>
          </w:tcPr>
          <w:p w14:paraId="7CEB5FC7" w14:textId="77777777" w:rsidR="00E54FB3" w:rsidRPr="0098262F" w:rsidRDefault="00E54FB3" w:rsidP="00370D8E">
            <w:pPr>
              <w:pStyle w:val="COMTabletext"/>
              <w:keepNext w:val="0"/>
            </w:pPr>
            <w:r>
              <w:t xml:space="preserve">1.0 per million. The submission noted </w:t>
            </w:r>
            <w:r w:rsidRPr="008F4FC4">
              <w:t xml:space="preserve">published international estimates of C3G incidence ranging from 0.7 </w:t>
            </w:r>
            <w:r>
              <w:t>cases (Caravaca-</w:t>
            </w:r>
            <w:proofErr w:type="spellStart"/>
            <w:r>
              <w:t>Font</w:t>
            </w:r>
            <w:r w:rsidRPr="009345E1">
              <w:t>á</w:t>
            </w:r>
            <w:r>
              <w:t>n</w:t>
            </w:r>
            <w:proofErr w:type="spellEnd"/>
            <w:r>
              <w:t xml:space="preserve"> 2023) </w:t>
            </w:r>
            <w:r w:rsidRPr="008F4FC4">
              <w:t xml:space="preserve">to </w:t>
            </w:r>
            <w:r>
              <w:t>2</w:t>
            </w:r>
            <w:r w:rsidRPr="008F4FC4">
              <w:t xml:space="preserve"> cases per million</w:t>
            </w:r>
            <w:r>
              <w:t xml:space="preserve"> (</w:t>
            </w:r>
            <w:proofErr w:type="spellStart"/>
            <w:r>
              <w:t>Medjeral</w:t>
            </w:r>
            <w:proofErr w:type="spellEnd"/>
            <w:r>
              <w:t xml:space="preserve">-Thomas 2013). </w:t>
            </w:r>
            <w:r w:rsidRPr="00B4161A">
              <w:t>The incidence rate was applied to the Australian adult population and was assumed to remain constant over the initial 6 years of listing.</w:t>
            </w:r>
          </w:p>
        </w:tc>
        <w:tc>
          <w:tcPr>
            <w:tcW w:w="2168" w:type="pct"/>
            <w:vAlign w:val="center"/>
          </w:tcPr>
          <w:p w14:paraId="6CC63F8A" w14:textId="282E661B" w:rsidR="00E54FB3" w:rsidRPr="006A5D60" w:rsidRDefault="00E54FB3" w:rsidP="00370D8E">
            <w:pPr>
              <w:pStyle w:val="COMTabletext"/>
              <w:keepNext w:val="0"/>
            </w:pPr>
            <w:r w:rsidRPr="006A5D60">
              <w:t>No Australian sources of C3G incidence were identified. There was a limited number of published studies assessing the incidence of C3G, and it is unclear whether the incidence of C3G has been accurately captured due to the rarity of the disease and changes in disease definitions over time. It is unclear whether the assumed incidence rate accounts for diagnosed cases among children (who would become eligible for treatment once they reach 18 years of age). The availability of a targeted treatment for C3G may increase the rate of C3G disease detection.</w:t>
            </w:r>
            <w:r w:rsidR="00F35B62">
              <w:t xml:space="preserve"> DUSC considered this estimate appeared reasonable. </w:t>
            </w:r>
          </w:p>
        </w:tc>
      </w:tr>
      <w:tr w:rsidR="00E54FB3" w:rsidRPr="0098262F" w14:paraId="4697CAEF" w14:textId="77777777" w:rsidTr="00A8333A">
        <w:trPr>
          <w:cantSplit/>
        </w:trPr>
        <w:tc>
          <w:tcPr>
            <w:tcW w:w="665" w:type="pct"/>
            <w:vAlign w:val="center"/>
          </w:tcPr>
          <w:p w14:paraId="38DBFE71" w14:textId="77777777" w:rsidR="00E54FB3" w:rsidRPr="0098262F" w:rsidRDefault="00E54FB3" w:rsidP="00370D8E">
            <w:pPr>
              <w:pStyle w:val="COMTabletext"/>
              <w:keepNext w:val="0"/>
            </w:pPr>
            <w:r w:rsidRPr="008F4FC4">
              <w:lastRenderedPageBreak/>
              <w:t>Prevalence of C3</w:t>
            </w:r>
            <w:r>
              <w:t>G</w:t>
            </w:r>
          </w:p>
        </w:tc>
        <w:tc>
          <w:tcPr>
            <w:tcW w:w="2168" w:type="pct"/>
            <w:vAlign w:val="center"/>
          </w:tcPr>
          <w:p w14:paraId="6ABD0752" w14:textId="77777777" w:rsidR="00E54FB3" w:rsidRPr="0098262F" w:rsidRDefault="00E54FB3" w:rsidP="00370D8E">
            <w:pPr>
              <w:pStyle w:val="COMTabletext"/>
              <w:keepNext w:val="0"/>
            </w:pPr>
            <w:r>
              <w:t xml:space="preserve">7.4 per million. Derived from an analysis of UK </w:t>
            </w:r>
            <w:proofErr w:type="spellStart"/>
            <w:r>
              <w:t>RaDaR</w:t>
            </w:r>
            <w:proofErr w:type="spellEnd"/>
            <w:r>
              <w:t xml:space="preserve"> registry data conducted in 2023 (Masoud et al., 2024). Among 287 patients who had an exact diagnosis recorded, 47% had C3G and 53% had IC-MPGN. The proportion with C3G was applied to the full cohort of 1,075 patients with MPGN (after deduction of deaths occurring prior to July 2022). The number of prevalent C3G patients was then estimated by dividing the number of patients with C3G by the UK overall population. The prevalence rate was applied to the Australian adult population and assumed to remain constant over the initial 6 years of listing.</w:t>
            </w:r>
          </w:p>
        </w:tc>
        <w:tc>
          <w:tcPr>
            <w:tcW w:w="2168" w:type="pct"/>
            <w:vAlign w:val="center"/>
          </w:tcPr>
          <w:p w14:paraId="70CEBF8F" w14:textId="6AF15104" w:rsidR="00E54FB3" w:rsidRPr="006A5D60" w:rsidRDefault="00E54FB3" w:rsidP="00370D8E">
            <w:pPr>
              <w:pStyle w:val="TableText"/>
            </w:pPr>
            <w:r w:rsidRPr="006A5D60">
              <w:t xml:space="preserve">No Australian sources of C3G prevalence were identified. The </w:t>
            </w:r>
            <w:proofErr w:type="spellStart"/>
            <w:r w:rsidRPr="006A5D60">
              <w:t>RaDaR</w:t>
            </w:r>
            <w:proofErr w:type="spellEnd"/>
            <w:r w:rsidRPr="006A5D60">
              <w:t xml:space="preserve"> registry analysis is likely to have underestimated the prevalence of C3G, as the registry does not include all diagnosed cases of C3G. It is unclear whether the assumed prevalence rate accounts for diagnosed cases among children (who would become eligible for treatment once they reach 18 years of age). The assumed prevalence of 7.4 cases per million appeared implausibly low in the context of the assumed incidence rate of 1 case per million. In general, there was a lack of large prevalence studies to allow accurate characterisation of C3G prevalence. The sponsor’s clinical advisory board considered that prevalence is likely underrepresented in current datasets due to diagnostic barriers and poor coding.</w:t>
            </w:r>
            <w:r w:rsidR="00C82EA3">
              <w:t xml:space="preserve"> The </w:t>
            </w:r>
            <w:r w:rsidR="006F42C4">
              <w:t>PSCR revised the prevalence to 8.8 per million</w:t>
            </w:r>
            <w:r w:rsidR="00775FFD">
              <w:t xml:space="preserve"> </w:t>
            </w:r>
            <w:r w:rsidR="00156ABD">
              <w:t>based on the modelled life-years in CKD1-</w:t>
            </w:r>
            <w:r w:rsidR="00757556">
              <w:t>3b</w:t>
            </w:r>
            <w:r w:rsidR="00156ABD">
              <w:t xml:space="preserve"> health states.</w:t>
            </w:r>
            <w:r w:rsidR="00C84590">
              <w:t xml:space="preserve"> </w:t>
            </w:r>
            <w:r w:rsidR="00C84590" w:rsidRPr="00C84590">
              <w:t>DUSC noted that the PSCR revised financial estimates included an additional prevalent population to account for children with C3G that turn 18 each year and become eligible for iptacopan. DUSC agreed this was an appropriate addition.</w:t>
            </w:r>
          </w:p>
        </w:tc>
      </w:tr>
      <w:tr w:rsidR="00E54FB3" w:rsidRPr="0098262F" w14:paraId="11A6ECEA" w14:textId="77777777" w:rsidTr="00A8333A">
        <w:trPr>
          <w:cantSplit/>
        </w:trPr>
        <w:tc>
          <w:tcPr>
            <w:tcW w:w="665" w:type="pct"/>
            <w:vAlign w:val="center"/>
          </w:tcPr>
          <w:p w14:paraId="48510193" w14:textId="77777777" w:rsidR="00E54FB3" w:rsidRPr="0098262F" w:rsidRDefault="00E54FB3" w:rsidP="00370D8E">
            <w:pPr>
              <w:pStyle w:val="COMTabletext"/>
              <w:keepNext w:val="0"/>
            </w:pPr>
            <w:r>
              <w:t>Proportion with/without a kidney transplant</w:t>
            </w:r>
          </w:p>
        </w:tc>
        <w:tc>
          <w:tcPr>
            <w:tcW w:w="2168" w:type="pct"/>
            <w:vAlign w:val="center"/>
          </w:tcPr>
          <w:p w14:paraId="66B63A91" w14:textId="77777777" w:rsidR="00E54FB3" w:rsidRPr="0098262F" w:rsidRDefault="00E54FB3" w:rsidP="00370D8E">
            <w:pPr>
              <w:pStyle w:val="COMTabletext"/>
              <w:keepNext w:val="0"/>
            </w:pPr>
            <w:r w:rsidRPr="00151270">
              <w:t>11.1%/88.9%</w:t>
            </w:r>
            <w:r>
              <w:t xml:space="preserve">. </w:t>
            </w:r>
            <w:r w:rsidRPr="00151270">
              <w:t>Derived from a cross-sectional survey of nephrologists (N=195) managing patients with C3G (N=385) in France, Germany, Italy, Spain, the UK, the US, China, and Japan conducted from July 2022 to April 2023 (Sidhu et al., 2024). Among 189 patients in the EU, 21 (11.1%) had previously undergone a kidney transplant.</w:t>
            </w:r>
          </w:p>
        </w:tc>
        <w:tc>
          <w:tcPr>
            <w:tcW w:w="2168" w:type="pct"/>
            <w:vAlign w:val="center"/>
          </w:tcPr>
          <w:p w14:paraId="77F1C887" w14:textId="77777777" w:rsidR="00E54FB3" w:rsidRPr="006A5D60" w:rsidRDefault="00E54FB3" w:rsidP="00370D8E">
            <w:pPr>
              <w:pStyle w:val="COMTabletext"/>
              <w:keepNext w:val="0"/>
            </w:pPr>
            <w:r w:rsidRPr="006A5D60">
              <w:t xml:space="preserve">The publication reported the number of patients diagnosed with C3G who had received a kidney transplant; whereas the proposed restriction specifies patients who have experienced disease recurrence following a kidney transplant. The reported proportion for the EU was higher than the proportions reported for the US (2.0%; 2/100), China (3.3%; 2/60), Japan (0%; 0/45) and the overall proportion (6.5%; 25/385). However, the proportion was lower than the proportion of patients with a history of kidney transplant in the </w:t>
            </w:r>
            <w:proofErr w:type="spellStart"/>
            <w:r w:rsidRPr="006A5D60">
              <w:t>RaDaR</w:t>
            </w:r>
            <w:proofErr w:type="spellEnd"/>
            <w:r w:rsidRPr="006A5D60">
              <w:t xml:space="preserve"> registry analysis (31%; Masoud et al., 2024). The assumption of the same proportions for the incident and prevalent populations did not appear reasonable.</w:t>
            </w:r>
          </w:p>
        </w:tc>
      </w:tr>
      <w:tr w:rsidR="00E54FB3" w:rsidRPr="0098262F" w14:paraId="756EB4BB" w14:textId="77777777" w:rsidTr="00A8333A">
        <w:trPr>
          <w:cantSplit/>
        </w:trPr>
        <w:tc>
          <w:tcPr>
            <w:tcW w:w="665" w:type="pct"/>
            <w:vAlign w:val="center"/>
          </w:tcPr>
          <w:p w14:paraId="4BDB88E0" w14:textId="77777777" w:rsidR="00E54FB3" w:rsidRPr="0098262F" w:rsidRDefault="00E54FB3" w:rsidP="00370D8E">
            <w:pPr>
              <w:pStyle w:val="COMTabletext"/>
              <w:keepNext w:val="0"/>
            </w:pPr>
            <w:r w:rsidRPr="00151270">
              <w:t>Grandfathered patients</w:t>
            </w:r>
          </w:p>
        </w:tc>
        <w:tc>
          <w:tcPr>
            <w:tcW w:w="2168" w:type="pct"/>
            <w:vAlign w:val="center"/>
          </w:tcPr>
          <w:p w14:paraId="401ED83C" w14:textId="5F5BEDE8" w:rsidR="00E54FB3" w:rsidRPr="0098262F" w:rsidRDefault="00994C8B" w:rsidP="00370D8E">
            <w:pPr>
              <w:pStyle w:val="COMTabletext"/>
              <w:keepNext w:val="0"/>
            </w:pPr>
            <w:r w:rsidRPr="00994C8B">
              <w:rPr>
                <w:highlight w:val="black"/>
              </w:rPr>
              <w:t>&amp;&amp;&amp;&amp;</w:t>
            </w:r>
            <w:r w:rsidR="004D22A9">
              <w:rPr>
                <w:vertAlign w:val="superscript"/>
              </w:rPr>
              <w:t>1</w:t>
            </w:r>
            <w:r w:rsidR="001C5283">
              <w:rPr>
                <w:vertAlign w:val="superscript"/>
              </w:rPr>
              <w:t xml:space="preserve"> </w:t>
            </w:r>
            <w:r w:rsidR="00E54FB3" w:rsidRPr="00151270">
              <w:t>patients</w:t>
            </w:r>
            <w:r w:rsidR="00E54FB3">
              <w:t xml:space="preserve">. </w:t>
            </w:r>
            <w:r w:rsidR="00E54FB3" w:rsidRPr="00151270">
              <w:t xml:space="preserve">The submission stated that at the time of the submission, </w:t>
            </w:r>
            <w:r w:rsidRPr="00994C8B">
              <w:rPr>
                <w:highlight w:val="black"/>
              </w:rPr>
              <w:t>&amp;&amp;&amp;&amp;</w:t>
            </w:r>
            <w:r w:rsidR="004D22A9" w:rsidRPr="004D22A9">
              <w:rPr>
                <w:vertAlign w:val="superscript"/>
              </w:rPr>
              <w:t>1</w:t>
            </w:r>
            <w:r w:rsidR="00E54FB3" w:rsidRPr="00151270">
              <w:t xml:space="preserve"> patients with C3G were receiving iptacopan under the sponsor’s access program. Grandfathered patients were not </w:t>
            </w:r>
            <w:r w:rsidR="00E54FB3">
              <w:t>added</w:t>
            </w:r>
            <w:r w:rsidR="00E54FB3" w:rsidRPr="00151270">
              <w:t xml:space="preserve"> </w:t>
            </w:r>
            <w:r w:rsidR="00E54FB3">
              <w:t>to</w:t>
            </w:r>
            <w:r w:rsidR="00E54FB3" w:rsidRPr="00151270">
              <w:t xml:space="preserve"> the estimates to avoid double counting.</w:t>
            </w:r>
          </w:p>
        </w:tc>
        <w:tc>
          <w:tcPr>
            <w:tcW w:w="2168" w:type="pct"/>
            <w:vAlign w:val="center"/>
          </w:tcPr>
          <w:p w14:paraId="7A5A4DFC" w14:textId="77777777" w:rsidR="00E54FB3" w:rsidRPr="006A5D60" w:rsidRDefault="00E54FB3" w:rsidP="00370D8E">
            <w:pPr>
              <w:pStyle w:val="TableText"/>
            </w:pPr>
            <w:r w:rsidRPr="006A5D60">
              <w:t>The 89.5% treatment response rate would not be applicable to grandfathered patients, as qualification for continuing treatment would have occurred in a previous year.</w:t>
            </w:r>
          </w:p>
        </w:tc>
      </w:tr>
      <w:tr w:rsidR="00E54FB3" w:rsidRPr="0098262F" w14:paraId="2EBA0CDB" w14:textId="77777777" w:rsidTr="00A8333A">
        <w:trPr>
          <w:cantSplit/>
        </w:trPr>
        <w:tc>
          <w:tcPr>
            <w:tcW w:w="665" w:type="pct"/>
            <w:vAlign w:val="center"/>
          </w:tcPr>
          <w:p w14:paraId="33185143" w14:textId="77777777" w:rsidR="00E54FB3" w:rsidRPr="0098262F" w:rsidRDefault="00E54FB3" w:rsidP="00370D8E">
            <w:pPr>
              <w:pStyle w:val="COMTabletext"/>
              <w:keepNext w:val="0"/>
            </w:pPr>
            <w:r w:rsidRPr="00151270">
              <w:lastRenderedPageBreak/>
              <w:t>Uptake rate</w:t>
            </w:r>
          </w:p>
        </w:tc>
        <w:tc>
          <w:tcPr>
            <w:tcW w:w="2168" w:type="pct"/>
            <w:vAlign w:val="center"/>
          </w:tcPr>
          <w:p w14:paraId="46F23D66" w14:textId="77777777" w:rsidR="00E54FB3" w:rsidRPr="00151270" w:rsidRDefault="00E54FB3" w:rsidP="00370D8E">
            <w:pPr>
              <w:pStyle w:val="TableText"/>
              <w:rPr>
                <w:i/>
                <w:iCs/>
              </w:rPr>
            </w:pPr>
            <w:r w:rsidRPr="00151270">
              <w:t>Yr 1: 50%</w:t>
            </w:r>
            <w:r>
              <w:t xml:space="preserve">; </w:t>
            </w:r>
            <w:r w:rsidRPr="00151270">
              <w:t>Yr 2: 60%</w:t>
            </w:r>
            <w:r>
              <w:t xml:space="preserve">; </w:t>
            </w:r>
            <w:r w:rsidRPr="00151270">
              <w:t>Yr 3: 70%</w:t>
            </w:r>
            <w:r>
              <w:t xml:space="preserve">; </w:t>
            </w:r>
            <w:r w:rsidRPr="00151270">
              <w:t>Yr 4</w:t>
            </w:r>
            <w:r>
              <w:t xml:space="preserve"> to 6</w:t>
            </w:r>
            <w:r w:rsidRPr="00151270">
              <w:t>: 80%</w:t>
            </w:r>
            <w:r>
              <w:t>.</w:t>
            </w:r>
            <w:r w:rsidRPr="00151270">
              <w:t xml:space="preserve"> </w:t>
            </w:r>
            <w:r w:rsidRPr="00077396">
              <w:t>The submission argued that uptake of iptacopan is likely to be high, due to the oral route of administration and the lack of other targeted treatment options for C3G. The same uptake rates were assumed for patients with native versus transplanted kidneys, and incident versus prevalent patients.</w:t>
            </w:r>
          </w:p>
        </w:tc>
        <w:tc>
          <w:tcPr>
            <w:tcW w:w="2168" w:type="pct"/>
            <w:vAlign w:val="center"/>
          </w:tcPr>
          <w:p w14:paraId="562A4586" w14:textId="6021A210" w:rsidR="00E54FB3" w:rsidRPr="006A5D60" w:rsidRDefault="00E54FB3" w:rsidP="00370D8E">
            <w:pPr>
              <w:pStyle w:val="TableText"/>
            </w:pPr>
            <w:r w:rsidRPr="006A5D60">
              <w:t xml:space="preserve">The </w:t>
            </w:r>
            <w:r w:rsidR="009A428D">
              <w:t xml:space="preserve">evaluation considered </w:t>
            </w:r>
            <w:r w:rsidRPr="006A5D60">
              <w:t>uptake rates were uncertain. Eligible prevalent patients and incident patients with native kidneys not electing treatment each year were assumed to remain eligible in subsequent years, with the uptake rate corresponding to the subsequent year used to derive the number of initiating patients. This resulted in very high overall uptake. It is unclear whether uptake will be the same among patients in the incident and prevalent populations.</w:t>
            </w:r>
            <w:r w:rsidR="001E6C9C">
              <w:t xml:space="preserve"> </w:t>
            </w:r>
            <w:r w:rsidR="001E6C9C" w:rsidRPr="001E6C9C">
              <w:t xml:space="preserve">DUSC </w:t>
            </w:r>
            <w:r w:rsidR="001E6C9C">
              <w:t>considered</w:t>
            </w:r>
            <w:r w:rsidR="001E6C9C" w:rsidRPr="001E6C9C">
              <w:t xml:space="preserve"> that these rates may be </w:t>
            </w:r>
            <w:bookmarkStart w:id="58" w:name="_Hlk210731278"/>
            <w:r w:rsidR="001E6C9C" w:rsidRPr="001E6C9C">
              <w:t>underestimated given the absence of other treatment options</w:t>
            </w:r>
            <w:bookmarkEnd w:id="58"/>
            <w:r w:rsidR="001E6C9C" w:rsidRPr="001E6C9C">
              <w:t>.</w:t>
            </w:r>
          </w:p>
        </w:tc>
      </w:tr>
      <w:tr w:rsidR="00E54FB3" w:rsidRPr="0098262F" w14:paraId="62F22CF6" w14:textId="77777777" w:rsidTr="00A8333A">
        <w:trPr>
          <w:cantSplit/>
        </w:trPr>
        <w:tc>
          <w:tcPr>
            <w:tcW w:w="665" w:type="pct"/>
            <w:vAlign w:val="center"/>
          </w:tcPr>
          <w:p w14:paraId="328C0BF8" w14:textId="77777777" w:rsidR="00E54FB3" w:rsidRPr="0098262F" w:rsidRDefault="00E54FB3" w:rsidP="00370D8E">
            <w:pPr>
              <w:pStyle w:val="COMTabletext"/>
              <w:keepNext w:val="0"/>
            </w:pPr>
            <w:r w:rsidRPr="00F36C05">
              <w:t>Continuation rate in first treatment year</w:t>
            </w:r>
          </w:p>
        </w:tc>
        <w:tc>
          <w:tcPr>
            <w:tcW w:w="2168" w:type="pct"/>
            <w:vAlign w:val="center"/>
          </w:tcPr>
          <w:p w14:paraId="41B3FDD6" w14:textId="77777777" w:rsidR="00E54FB3" w:rsidRPr="00F36C05" w:rsidRDefault="00E54FB3" w:rsidP="00370D8E">
            <w:pPr>
              <w:pStyle w:val="TableText"/>
              <w:rPr>
                <w:i/>
                <w:iCs/>
              </w:rPr>
            </w:pPr>
            <w:r>
              <w:t>Treatment response was b</w:t>
            </w:r>
            <w:r w:rsidRPr="00F36C05">
              <w:t>ased on the proportion of patients with a ≤15</w:t>
            </w:r>
            <w:r>
              <w:t> </w:t>
            </w:r>
            <w:r w:rsidRPr="00F36C05">
              <w:t>mL/min</w:t>
            </w:r>
            <w:r>
              <w:t>/1.73 m</w:t>
            </w:r>
            <w:r>
              <w:rPr>
                <w:vertAlign w:val="superscript"/>
              </w:rPr>
              <w:t>2</w:t>
            </w:r>
            <w:r w:rsidRPr="00F36C05">
              <w:t xml:space="preserve"> </w:t>
            </w:r>
            <w:r>
              <w:t>change</w:t>
            </w:r>
            <w:r w:rsidRPr="00F36C05">
              <w:t xml:space="preserve"> in eGFR at 6</w:t>
            </w:r>
            <w:r>
              <w:t> </w:t>
            </w:r>
            <w:r w:rsidRPr="00F36C05">
              <w:t>months in the iptacopan arm of the APPEAR-C3G trial</w:t>
            </w:r>
            <w:r>
              <w:t xml:space="preserve"> (89.5%)</w:t>
            </w:r>
            <w:r w:rsidRPr="00F36C05">
              <w:t>. The submission assumed that all initiating patients would receive treatment over the 24-week initial treatment phase, and that 89.5% of initiating patients would continue treatment for the remainder of the first treatment year.</w:t>
            </w:r>
          </w:p>
        </w:tc>
        <w:tc>
          <w:tcPr>
            <w:tcW w:w="2168" w:type="pct"/>
            <w:vAlign w:val="center"/>
          </w:tcPr>
          <w:p w14:paraId="311DE54B" w14:textId="160B9AE2" w:rsidR="00E54FB3" w:rsidRPr="006A5D60" w:rsidRDefault="00E54FB3" w:rsidP="00370D8E">
            <w:pPr>
              <w:pStyle w:val="COMTabletext"/>
              <w:keepNext w:val="0"/>
            </w:pPr>
            <w:r w:rsidRPr="006A5D60">
              <w:t xml:space="preserve">As no specific outcome measures are included in the proposed continuing treatment restriction (patients must have experienced clinical improvement or stabilisation of the condition), </w:t>
            </w:r>
            <w:r w:rsidR="0020189B">
              <w:t xml:space="preserve">DUSC agreed with the evaluation that </w:t>
            </w:r>
            <w:r w:rsidRPr="006A5D60">
              <w:t>it is unclear whether the assumed continuation rate will be observed in clinical practice. Additionally, patients/clinicians may be reluctant to discontinue treatment if there is a perceived benefit associated with ongoing treatment (i.e., slowing of disease progression).</w:t>
            </w:r>
          </w:p>
        </w:tc>
      </w:tr>
      <w:tr w:rsidR="00E54FB3" w:rsidRPr="0098262F" w14:paraId="217456F5" w14:textId="77777777" w:rsidTr="00A8333A">
        <w:trPr>
          <w:cantSplit/>
        </w:trPr>
        <w:tc>
          <w:tcPr>
            <w:tcW w:w="665" w:type="pct"/>
            <w:vAlign w:val="center"/>
          </w:tcPr>
          <w:p w14:paraId="7FB3B47A" w14:textId="77777777" w:rsidR="00E54FB3" w:rsidRPr="0098262F" w:rsidRDefault="00E54FB3" w:rsidP="00370D8E">
            <w:pPr>
              <w:pStyle w:val="COMTabletext"/>
              <w:keepNext w:val="0"/>
            </w:pPr>
            <w:r w:rsidRPr="00F36C05">
              <w:t>Treatment persistence (patients remaining on treatment at the start of each year)</w:t>
            </w:r>
          </w:p>
        </w:tc>
        <w:tc>
          <w:tcPr>
            <w:tcW w:w="2168" w:type="pct"/>
            <w:vAlign w:val="center"/>
          </w:tcPr>
          <w:p w14:paraId="2C1FA7BB" w14:textId="77777777" w:rsidR="00E54FB3" w:rsidRPr="0098262F" w:rsidRDefault="00E54FB3" w:rsidP="00370D8E">
            <w:pPr>
              <w:pStyle w:val="TableText"/>
            </w:pPr>
            <w:r w:rsidRPr="00F36C05">
              <w:t>Y</w:t>
            </w:r>
            <w:r>
              <w:t>r</w:t>
            </w:r>
            <w:r w:rsidRPr="00F36C05">
              <w:t xml:space="preserve"> 1: 100.0%</w:t>
            </w:r>
            <w:r>
              <w:t xml:space="preserve">; </w:t>
            </w:r>
            <w:r w:rsidRPr="00F36C05">
              <w:t>Yr 2: 94.87%</w:t>
            </w:r>
            <w:r>
              <w:t xml:space="preserve">; </w:t>
            </w:r>
            <w:r w:rsidRPr="00F36C05">
              <w:t>Yr 3: 91.95%</w:t>
            </w:r>
            <w:r>
              <w:t xml:space="preserve">; </w:t>
            </w:r>
            <w:r w:rsidRPr="00F36C05">
              <w:t>Yr 4:</w:t>
            </w:r>
            <w:r>
              <w:t xml:space="preserve"> </w:t>
            </w:r>
            <w:r w:rsidRPr="00F36C05">
              <w:t>91.03%</w:t>
            </w:r>
            <w:r>
              <w:t xml:space="preserve">; </w:t>
            </w:r>
            <w:r w:rsidRPr="00F36C05">
              <w:t>Yr 5: 90.13%</w:t>
            </w:r>
            <w:r>
              <w:t xml:space="preserve">; </w:t>
            </w:r>
            <w:r w:rsidRPr="00F36C05">
              <w:t>Y</w:t>
            </w:r>
            <w:r>
              <w:t>r</w:t>
            </w:r>
            <w:r w:rsidRPr="00F36C05">
              <w:t xml:space="preserve"> 6: 89.23%</w:t>
            </w:r>
            <w:r>
              <w:t xml:space="preserve">. </w:t>
            </w:r>
            <w:r w:rsidRPr="00F36C05">
              <w:t>The submission stated that the treatment discontinuation rate for the initial 18 months was based on the number of discontinuations in the iptacopan arm of the APPEAR-C3G trial (3/38</w:t>
            </w:r>
            <w:r>
              <w:t>;</w:t>
            </w:r>
            <w:r w:rsidRPr="00F36C05">
              <w:t xml:space="preserve"> 7.89%). Beyond 18 months, an annual discontinuation rate of 1.0% was assumed. Persistence was assumed to be the same for patients with native and transplanted kidneys.</w:t>
            </w:r>
          </w:p>
        </w:tc>
        <w:tc>
          <w:tcPr>
            <w:tcW w:w="2168" w:type="pct"/>
            <w:vAlign w:val="center"/>
          </w:tcPr>
          <w:p w14:paraId="55726AB4" w14:textId="0553384D" w:rsidR="00E54FB3" w:rsidRPr="006A5D60" w:rsidRDefault="00E54FB3" w:rsidP="00370D8E">
            <w:pPr>
              <w:pStyle w:val="COMTabletext"/>
              <w:keepNext w:val="0"/>
            </w:pPr>
            <w:r w:rsidRPr="006A5D60">
              <w:t xml:space="preserve">The </w:t>
            </w:r>
            <w:r w:rsidR="0055481E">
              <w:t xml:space="preserve">evaluation considered the </w:t>
            </w:r>
            <w:r w:rsidRPr="006A5D60">
              <w:t xml:space="preserve">assumed discontinuation rates were uncertain. The follow-up duration of 18 months could not be validated based on data presented in the submission. The proposed restriction states that patients must discontinue treatment prior to dialysis or kidney transplantation. It is unclear whether the assumed discontinuation rates accounted for discontinuations due to dialysis, transplantation or deaths. </w:t>
            </w:r>
            <w:r w:rsidR="00BA7363" w:rsidRPr="00BA7363">
              <w:t>DUSC noted the lack of long-term data regarding trajectories of treated patients and considered this estimate was uncertain.</w:t>
            </w:r>
          </w:p>
        </w:tc>
      </w:tr>
      <w:tr w:rsidR="00E54FB3" w:rsidRPr="0098262F" w14:paraId="23EBFA5B" w14:textId="77777777" w:rsidTr="00A8333A">
        <w:trPr>
          <w:cantSplit/>
        </w:trPr>
        <w:tc>
          <w:tcPr>
            <w:tcW w:w="665" w:type="pct"/>
            <w:vAlign w:val="center"/>
          </w:tcPr>
          <w:p w14:paraId="0738A722" w14:textId="77777777" w:rsidR="00E54FB3" w:rsidRPr="0098262F" w:rsidRDefault="00E54FB3" w:rsidP="00370D8E">
            <w:pPr>
              <w:pStyle w:val="COMTabletext"/>
              <w:keepNext w:val="0"/>
            </w:pPr>
            <w:r w:rsidRPr="00F36C05">
              <w:t>Treatment adherence</w:t>
            </w:r>
          </w:p>
        </w:tc>
        <w:tc>
          <w:tcPr>
            <w:tcW w:w="2168" w:type="pct"/>
            <w:vAlign w:val="center"/>
          </w:tcPr>
          <w:p w14:paraId="23708AAF" w14:textId="77777777" w:rsidR="00E54FB3" w:rsidRPr="0098262F" w:rsidRDefault="00E54FB3" w:rsidP="00370D8E">
            <w:pPr>
              <w:pStyle w:val="COMTabletext"/>
              <w:keepNext w:val="0"/>
            </w:pPr>
            <w:r w:rsidRPr="00F36C05">
              <w:t>100%</w:t>
            </w:r>
            <w:r>
              <w:t>; assumption.</w:t>
            </w:r>
          </w:p>
        </w:tc>
        <w:tc>
          <w:tcPr>
            <w:tcW w:w="2168" w:type="pct"/>
            <w:vAlign w:val="center"/>
          </w:tcPr>
          <w:p w14:paraId="2F85326B" w14:textId="7C0DC921" w:rsidR="00E54FB3" w:rsidRPr="006A5D60" w:rsidRDefault="00164390" w:rsidP="00370D8E">
            <w:pPr>
              <w:pStyle w:val="COMTabletext"/>
              <w:keepNext w:val="0"/>
            </w:pPr>
            <w:r w:rsidRPr="00164390">
              <w:t xml:space="preserve">DUSC </w:t>
            </w:r>
            <w:r>
              <w:t>considered</w:t>
            </w:r>
            <w:r w:rsidRPr="00164390">
              <w:t xml:space="preserve"> that whilst adherence would be high in this patient group, it agreed with the </w:t>
            </w:r>
            <w:r>
              <w:t>evaluation</w:t>
            </w:r>
            <w:r w:rsidRPr="00164390">
              <w:t xml:space="preserve"> that 100% adherence is unlikely</w:t>
            </w:r>
            <w:r>
              <w:t>.</w:t>
            </w:r>
            <w:r w:rsidRPr="00164390">
              <w:t xml:space="preserve"> </w:t>
            </w:r>
          </w:p>
        </w:tc>
      </w:tr>
    </w:tbl>
    <w:p w14:paraId="2EF0337A" w14:textId="77777777" w:rsidR="00E54FB3" w:rsidRDefault="00E54FB3" w:rsidP="00370D8E">
      <w:pPr>
        <w:pStyle w:val="COMTablefooter"/>
      </w:pPr>
      <w:r w:rsidRPr="0098262F">
        <w:t xml:space="preserve">Source: </w:t>
      </w:r>
      <w:r>
        <w:t>Section 4, pp214-238 of the submission; Section 4 financial implications Excel workbook</w:t>
      </w:r>
    </w:p>
    <w:p w14:paraId="4FF38E8F" w14:textId="77777777" w:rsidR="00E54FB3" w:rsidRDefault="00E54FB3" w:rsidP="00370D8E">
      <w:pPr>
        <w:pStyle w:val="COMTablefooter"/>
      </w:pPr>
      <w:r>
        <w:t>Abbreviations: C3G, complement 3 glomerulopathy;</w:t>
      </w:r>
      <w:r w:rsidRPr="00567330">
        <w:t xml:space="preserve"> </w:t>
      </w:r>
      <w:r>
        <w:t xml:space="preserve">eGFR, estimated glomerular filtration rate; </w:t>
      </w:r>
      <w:r w:rsidRPr="00567330">
        <w:t xml:space="preserve">EU, European Union; </w:t>
      </w:r>
      <w:r w:rsidRPr="00637142">
        <w:t>IC-MPGN</w:t>
      </w:r>
      <w:r>
        <w:t>, i</w:t>
      </w:r>
      <w:r w:rsidRPr="00637142">
        <w:t>mmune</w:t>
      </w:r>
      <w:r>
        <w:t xml:space="preserve"> </w:t>
      </w:r>
      <w:r w:rsidRPr="00637142">
        <w:t>complex-mediated membranoproliferative glomerulonephritis</w:t>
      </w:r>
      <w:r>
        <w:t xml:space="preserve">; MPGN, membranoproliferative glomerulonephritis; </w:t>
      </w:r>
      <w:proofErr w:type="spellStart"/>
      <w:r>
        <w:t>RaDaR</w:t>
      </w:r>
      <w:proofErr w:type="spellEnd"/>
      <w:r>
        <w:t xml:space="preserve">, </w:t>
      </w:r>
      <w:r w:rsidRPr="00637142">
        <w:t>National Registry of Rare Kidney Diseases</w:t>
      </w:r>
      <w:r>
        <w:t>; UK, United Kingdom;</w:t>
      </w:r>
      <w:r w:rsidRPr="00567330">
        <w:t xml:space="preserve"> </w:t>
      </w:r>
      <w:r>
        <w:t>Yr, Year</w:t>
      </w:r>
    </w:p>
    <w:p w14:paraId="0441C477" w14:textId="77777777" w:rsidR="00320FE9" w:rsidRPr="00320FE9" w:rsidRDefault="00320FE9" w:rsidP="00370D8E">
      <w:pPr>
        <w:pStyle w:val="COMTablefooter"/>
        <w:rPr>
          <w:i/>
          <w:iCs/>
        </w:rPr>
      </w:pPr>
      <w:r w:rsidRPr="00320FE9">
        <w:rPr>
          <w:i/>
          <w:iCs/>
        </w:rPr>
        <w:t xml:space="preserve">The redacted values correspond to the following ranges: </w:t>
      </w:r>
    </w:p>
    <w:p w14:paraId="405AD99B" w14:textId="27C8F7D7" w:rsidR="00320FE9" w:rsidRPr="00320FE9" w:rsidRDefault="00320FE9" w:rsidP="00370D8E">
      <w:pPr>
        <w:pStyle w:val="COMTablefooter"/>
        <w:rPr>
          <w:i/>
          <w:iCs/>
        </w:rPr>
      </w:pPr>
      <w:r w:rsidRPr="00320FE9">
        <w:rPr>
          <w:i/>
          <w:iCs/>
          <w:vertAlign w:val="superscript"/>
        </w:rPr>
        <w:t>1</w:t>
      </w:r>
      <w:r>
        <w:rPr>
          <w:i/>
          <w:iCs/>
        </w:rPr>
        <w:t xml:space="preserve"> </w:t>
      </w:r>
      <w:r w:rsidR="00364110">
        <w:rPr>
          <w:i/>
          <w:iCs/>
        </w:rPr>
        <w:t xml:space="preserve">&lt; </w:t>
      </w:r>
      <w:r>
        <w:rPr>
          <w:i/>
          <w:iCs/>
        </w:rPr>
        <w:t>500</w:t>
      </w:r>
    </w:p>
    <w:p w14:paraId="4DB0E97A" w14:textId="64ACD138" w:rsidR="00E54FB3" w:rsidRPr="00567330" w:rsidRDefault="00E54FB3" w:rsidP="00370D8E">
      <w:pPr>
        <w:pStyle w:val="COMexecsummnumbered"/>
        <w:numPr>
          <w:ilvl w:val="1"/>
          <w:numId w:val="5"/>
        </w:numPr>
      </w:pPr>
      <w:r>
        <w:fldChar w:fldCharType="begin"/>
      </w:r>
      <w:r>
        <w:instrText xml:space="preserve"> REF _Ref208828931 \h </w:instrText>
      </w:r>
      <w:r>
        <w:fldChar w:fldCharType="separate"/>
      </w:r>
      <w:r w:rsidR="00CC1313" w:rsidRPr="0098262F">
        <w:t xml:space="preserve">Table </w:t>
      </w:r>
      <w:r w:rsidR="00CC1313">
        <w:rPr>
          <w:noProof/>
        </w:rPr>
        <w:t>18</w:t>
      </w:r>
      <w:r>
        <w:fldChar w:fldCharType="end"/>
      </w:r>
      <w:r w:rsidR="003C6381">
        <w:t xml:space="preserve"> </w:t>
      </w:r>
      <w:r w:rsidRPr="00567330">
        <w:t>presents the estimated use and financial implications of listing</w:t>
      </w:r>
      <w:r>
        <w:t xml:space="preserve"> iptacopan on the PBS for the treatment of C3G</w:t>
      </w:r>
      <w:r w:rsidR="003E6428">
        <w:t xml:space="preserve"> as presented in the submission and the revised estimates from the PSCR. </w:t>
      </w:r>
      <w:r w:rsidR="00240107">
        <w:t xml:space="preserve">The revisions </w:t>
      </w:r>
      <w:r w:rsidR="00221DE5">
        <w:t>to the financial estimates were substantial and complex, including changes to the approach used to estimate the size of various eligible populations</w:t>
      </w:r>
      <w:r w:rsidR="00364DAF">
        <w:t xml:space="preserve">, which were not </w:t>
      </w:r>
      <w:r w:rsidR="00F4157E">
        <w:t>validated</w:t>
      </w:r>
      <w:r w:rsidR="009609A0">
        <w:t>.</w:t>
      </w:r>
      <w:r w:rsidR="003540AF">
        <w:t xml:space="preserve"> </w:t>
      </w:r>
      <w:r w:rsidR="00693EDA">
        <w:t xml:space="preserve">DUSC noted that there was </w:t>
      </w:r>
      <w:r w:rsidR="00F4157E">
        <w:t xml:space="preserve">also </w:t>
      </w:r>
      <w:r w:rsidR="00693EDA">
        <w:t>an error in the updated first year script numbers</w:t>
      </w:r>
      <w:r w:rsidR="00364DAF">
        <w:t>, which was corrected in the below values</w:t>
      </w:r>
      <w:r>
        <w:t>.</w:t>
      </w:r>
    </w:p>
    <w:p w14:paraId="16F9CBE2" w14:textId="5A0C6BD5" w:rsidR="00E54FB3" w:rsidRPr="0098262F" w:rsidRDefault="00E54FB3" w:rsidP="00370D8E">
      <w:pPr>
        <w:pStyle w:val="COMtablefigcaption"/>
      </w:pPr>
      <w:bookmarkStart w:id="59" w:name="_Ref208828931"/>
      <w:r w:rsidRPr="0098262F">
        <w:lastRenderedPageBreak/>
        <w:t xml:space="preserve">Table </w:t>
      </w:r>
      <w:r>
        <w:fldChar w:fldCharType="begin"/>
      </w:r>
      <w:r>
        <w:instrText xml:space="preserve"> SEQ Table \* ARABIC </w:instrText>
      </w:r>
      <w:r>
        <w:fldChar w:fldCharType="separate"/>
      </w:r>
      <w:r w:rsidR="00CC1313">
        <w:rPr>
          <w:noProof/>
        </w:rPr>
        <w:t>18</w:t>
      </w:r>
      <w:r>
        <w:rPr>
          <w:noProof/>
        </w:rPr>
        <w:fldChar w:fldCharType="end"/>
      </w:r>
      <w:bookmarkEnd w:id="59"/>
      <w:r w:rsidRPr="0098262F">
        <w:t>:</w:t>
      </w:r>
      <w:r w:rsidRPr="00FF3ECD">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Estimated use and financial implications"/>
      </w:tblPr>
      <w:tblGrid>
        <w:gridCol w:w="2405"/>
        <w:gridCol w:w="1102"/>
        <w:gridCol w:w="1102"/>
        <w:gridCol w:w="1102"/>
        <w:gridCol w:w="1102"/>
        <w:gridCol w:w="1102"/>
        <w:gridCol w:w="1102"/>
      </w:tblGrid>
      <w:tr w:rsidR="00E54FB3" w:rsidRPr="0098262F" w14:paraId="54492A79" w14:textId="77777777" w:rsidTr="00A8333A">
        <w:trPr>
          <w:tblHeader/>
        </w:trPr>
        <w:tc>
          <w:tcPr>
            <w:tcW w:w="1334" w:type="pct"/>
            <w:vAlign w:val="center"/>
          </w:tcPr>
          <w:p w14:paraId="080F596C" w14:textId="77777777" w:rsidR="00E54FB3" w:rsidRPr="0098262F" w:rsidRDefault="00E54FB3" w:rsidP="00370D8E">
            <w:pPr>
              <w:pStyle w:val="In-tableHeading"/>
              <w:jc w:val="center"/>
              <w:rPr>
                <w:lang w:val="en-AU"/>
              </w:rPr>
            </w:pPr>
          </w:p>
        </w:tc>
        <w:tc>
          <w:tcPr>
            <w:tcW w:w="611" w:type="pct"/>
            <w:vAlign w:val="center"/>
          </w:tcPr>
          <w:p w14:paraId="4FE6402D" w14:textId="77777777" w:rsidR="00E54FB3" w:rsidRPr="0098262F" w:rsidRDefault="00E54FB3" w:rsidP="00370D8E">
            <w:pPr>
              <w:pStyle w:val="COMTableheadingrow"/>
              <w:jc w:val="center"/>
            </w:pPr>
            <w:r w:rsidRPr="0098262F">
              <w:t>Year 1</w:t>
            </w:r>
          </w:p>
        </w:tc>
        <w:tc>
          <w:tcPr>
            <w:tcW w:w="611" w:type="pct"/>
            <w:vAlign w:val="center"/>
          </w:tcPr>
          <w:p w14:paraId="4F38E42D" w14:textId="77777777" w:rsidR="00E54FB3" w:rsidRPr="0098262F" w:rsidRDefault="00E54FB3" w:rsidP="00370D8E">
            <w:pPr>
              <w:pStyle w:val="COMTableheadingrow"/>
              <w:jc w:val="center"/>
            </w:pPr>
            <w:r w:rsidRPr="0098262F">
              <w:t>Year 2</w:t>
            </w:r>
          </w:p>
        </w:tc>
        <w:tc>
          <w:tcPr>
            <w:tcW w:w="611" w:type="pct"/>
            <w:vAlign w:val="center"/>
          </w:tcPr>
          <w:p w14:paraId="5496666B" w14:textId="77777777" w:rsidR="00E54FB3" w:rsidRPr="0098262F" w:rsidRDefault="00E54FB3" w:rsidP="00370D8E">
            <w:pPr>
              <w:pStyle w:val="COMTableheadingrow"/>
              <w:jc w:val="center"/>
            </w:pPr>
            <w:r w:rsidRPr="0098262F">
              <w:t>Year 3</w:t>
            </w:r>
          </w:p>
        </w:tc>
        <w:tc>
          <w:tcPr>
            <w:tcW w:w="611" w:type="pct"/>
            <w:vAlign w:val="center"/>
          </w:tcPr>
          <w:p w14:paraId="28E3E912" w14:textId="77777777" w:rsidR="00E54FB3" w:rsidRPr="0098262F" w:rsidRDefault="00E54FB3" w:rsidP="00370D8E">
            <w:pPr>
              <w:pStyle w:val="COMTableheadingrow"/>
              <w:jc w:val="center"/>
            </w:pPr>
            <w:r w:rsidRPr="0098262F">
              <w:t>Year 4</w:t>
            </w:r>
          </w:p>
        </w:tc>
        <w:tc>
          <w:tcPr>
            <w:tcW w:w="611" w:type="pct"/>
            <w:vAlign w:val="center"/>
          </w:tcPr>
          <w:p w14:paraId="4A7114FB" w14:textId="77777777" w:rsidR="00E54FB3" w:rsidRPr="0098262F" w:rsidRDefault="00E54FB3" w:rsidP="00370D8E">
            <w:pPr>
              <w:pStyle w:val="COMTableheadingrow"/>
              <w:jc w:val="center"/>
            </w:pPr>
            <w:r w:rsidRPr="0098262F">
              <w:t>Year 5</w:t>
            </w:r>
          </w:p>
        </w:tc>
        <w:tc>
          <w:tcPr>
            <w:tcW w:w="611" w:type="pct"/>
          </w:tcPr>
          <w:p w14:paraId="6F3EB8EC" w14:textId="77777777" w:rsidR="00E54FB3" w:rsidRPr="0098262F" w:rsidRDefault="00E54FB3" w:rsidP="00370D8E">
            <w:pPr>
              <w:pStyle w:val="COMTableheadingrow"/>
              <w:jc w:val="center"/>
            </w:pPr>
            <w:r w:rsidRPr="0098262F">
              <w:t>Year 6</w:t>
            </w:r>
          </w:p>
        </w:tc>
      </w:tr>
      <w:tr w:rsidR="00E54FB3" w:rsidRPr="0098262F" w14:paraId="16228CC9" w14:textId="77777777" w:rsidTr="00A8333A">
        <w:tc>
          <w:tcPr>
            <w:tcW w:w="5000" w:type="pct"/>
            <w:gridSpan w:val="7"/>
            <w:vAlign w:val="center"/>
          </w:tcPr>
          <w:p w14:paraId="15EF3DCD" w14:textId="77777777" w:rsidR="00E54FB3" w:rsidRPr="0098262F" w:rsidRDefault="00E54FB3" w:rsidP="00370D8E">
            <w:pPr>
              <w:pStyle w:val="COMTableheadingrow"/>
            </w:pPr>
            <w:r w:rsidRPr="0098262F">
              <w:t>Estimated extent of use</w:t>
            </w:r>
          </w:p>
        </w:tc>
      </w:tr>
      <w:tr w:rsidR="00E54FB3" w:rsidRPr="0098262F" w14:paraId="5D64A149" w14:textId="77777777" w:rsidTr="00A8333A">
        <w:tc>
          <w:tcPr>
            <w:tcW w:w="1334" w:type="pct"/>
          </w:tcPr>
          <w:p w14:paraId="467FAE0C" w14:textId="77777777" w:rsidR="00E54FB3" w:rsidRPr="0098262F" w:rsidRDefault="00E54FB3" w:rsidP="00370D8E">
            <w:pPr>
              <w:pStyle w:val="COMTabletext"/>
              <w:rPr>
                <w:rFonts w:ascii="Times" w:hAnsi="Times"/>
              </w:rPr>
            </w:pPr>
            <w:r w:rsidRPr="00DF09EA">
              <w:t>Total initiating patients</w:t>
            </w:r>
          </w:p>
        </w:tc>
        <w:tc>
          <w:tcPr>
            <w:tcW w:w="611" w:type="pct"/>
          </w:tcPr>
          <w:p w14:paraId="2B44D096" w14:textId="21420089" w:rsidR="00E54FB3" w:rsidRPr="00CE01B3" w:rsidRDefault="00994C8B" w:rsidP="00370D8E">
            <w:pPr>
              <w:pStyle w:val="TableText"/>
              <w:jc w:val="center"/>
              <w:rPr>
                <w:i/>
                <w:iCs/>
                <w:highlight w:val="darkGray"/>
              </w:rPr>
            </w:pPr>
            <w:r w:rsidRPr="00994C8B">
              <w:rPr>
                <w:highlight w:val="black"/>
              </w:rPr>
              <w:t>&amp;&amp;&amp;&amp;</w:t>
            </w:r>
            <w:r w:rsidR="00CE01B3">
              <w:rPr>
                <w:vertAlign w:val="superscript"/>
              </w:rPr>
              <w:t>1</w:t>
            </w:r>
          </w:p>
        </w:tc>
        <w:tc>
          <w:tcPr>
            <w:tcW w:w="611" w:type="pct"/>
          </w:tcPr>
          <w:p w14:paraId="0A02D640" w14:textId="3B77B4AA" w:rsidR="00E54FB3" w:rsidRPr="00CE01B3" w:rsidRDefault="00994C8B" w:rsidP="00370D8E">
            <w:pPr>
              <w:pStyle w:val="TableText"/>
              <w:jc w:val="center"/>
              <w:rPr>
                <w:i/>
                <w:iCs/>
                <w:highlight w:val="darkGray"/>
              </w:rPr>
            </w:pPr>
            <w:r w:rsidRPr="00994C8B">
              <w:rPr>
                <w:highlight w:val="black"/>
              </w:rPr>
              <w:t>&amp;&amp;&amp;&amp;</w:t>
            </w:r>
            <w:r w:rsidR="00CE01B3">
              <w:rPr>
                <w:vertAlign w:val="superscript"/>
              </w:rPr>
              <w:t>1</w:t>
            </w:r>
          </w:p>
        </w:tc>
        <w:tc>
          <w:tcPr>
            <w:tcW w:w="611" w:type="pct"/>
          </w:tcPr>
          <w:p w14:paraId="29E1FADE" w14:textId="02C9D6B6" w:rsidR="00E54FB3" w:rsidRPr="00CE01B3" w:rsidRDefault="00994C8B" w:rsidP="00370D8E">
            <w:pPr>
              <w:pStyle w:val="TableText"/>
              <w:jc w:val="center"/>
              <w:rPr>
                <w:i/>
                <w:iCs/>
                <w:highlight w:val="darkGray"/>
              </w:rPr>
            </w:pPr>
            <w:r w:rsidRPr="00994C8B">
              <w:rPr>
                <w:highlight w:val="black"/>
              </w:rPr>
              <w:t>&amp;&amp;&amp;&amp;</w:t>
            </w:r>
            <w:r w:rsidR="00CE01B3">
              <w:rPr>
                <w:vertAlign w:val="superscript"/>
              </w:rPr>
              <w:t>1</w:t>
            </w:r>
          </w:p>
        </w:tc>
        <w:tc>
          <w:tcPr>
            <w:tcW w:w="611" w:type="pct"/>
          </w:tcPr>
          <w:p w14:paraId="5D61D12A" w14:textId="42EE2CB9" w:rsidR="00E54FB3" w:rsidRPr="00CE01B3" w:rsidRDefault="00994C8B" w:rsidP="00370D8E">
            <w:pPr>
              <w:pStyle w:val="TableText"/>
              <w:jc w:val="center"/>
              <w:rPr>
                <w:i/>
                <w:iCs/>
                <w:highlight w:val="darkGray"/>
              </w:rPr>
            </w:pPr>
            <w:r w:rsidRPr="00994C8B">
              <w:rPr>
                <w:highlight w:val="black"/>
              </w:rPr>
              <w:t>&amp;&amp;&amp;&amp;</w:t>
            </w:r>
            <w:r w:rsidR="00CE01B3">
              <w:rPr>
                <w:vertAlign w:val="superscript"/>
              </w:rPr>
              <w:t>1</w:t>
            </w:r>
          </w:p>
        </w:tc>
        <w:tc>
          <w:tcPr>
            <w:tcW w:w="611" w:type="pct"/>
          </w:tcPr>
          <w:p w14:paraId="0CA23325" w14:textId="3753E2F0" w:rsidR="00E54FB3" w:rsidRPr="00CE01B3" w:rsidRDefault="00994C8B" w:rsidP="00370D8E">
            <w:pPr>
              <w:pStyle w:val="TableText"/>
              <w:jc w:val="center"/>
              <w:rPr>
                <w:i/>
                <w:iCs/>
                <w:highlight w:val="darkGray"/>
              </w:rPr>
            </w:pPr>
            <w:r w:rsidRPr="00994C8B">
              <w:rPr>
                <w:highlight w:val="black"/>
              </w:rPr>
              <w:t>&amp;&amp;&amp;&amp;</w:t>
            </w:r>
            <w:r w:rsidR="00CE01B3">
              <w:rPr>
                <w:vertAlign w:val="superscript"/>
              </w:rPr>
              <w:t>1</w:t>
            </w:r>
          </w:p>
        </w:tc>
        <w:tc>
          <w:tcPr>
            <w:tcW w:w="611" w:type="pct"/>
          </w:tcPr>
          <w:p w14:paraId="4590C1B9" w14:textId="33618CF0" w:rsidR="00E54FB3" w:rsidRPr="00CE01B3" w:rsidRDefault="00994C8B" w:rsidP="00370D8E">
            <w:pPr>
              <w:pStyle w:val="TableText"/>
              <w:jc w:val="center"/>
              <w:rPr>
                <w:i/>
                <w:iCs/>
                <w:highlight w:val="darkGray"/>
              </w:rPr>
            </w:pPr>
            <w:r w:rsidRPr="00994C8B">
              <w:rPr>
                <w:highlight w:val="black"/>
              </w:rPr>
              <w:t>&amp;&amp;&amp;&amp;</w:t>
            </w:r>
            <w:r w:rsidR="00CE01B3">
              <w:rPr>
                <w:vertAlign w:val="superscript"/>
              </w:rPr>
              <w:t>1</w:t>
            </w:r>
          </w:p>
        </w:tc>
      </w:tr>
      <w:tr w:rsidR="00E54FB3" w:rsidRPr="0098262F" w14:paraId="7C75D017" w14:textId="77777777" w:rsidTr="00A8333A">
        <w:tc>
          <w:tcPr>
            <w:tcW w:w="1334" w:type="pct"/>
          </w:tcPr>
          <w:p w14:paraId="788C4781" w14:textId="77777777" w:rsidR="00E54FB3" w:rsidRPr="00DF09EA" w:rsidRDefault="00E54FB3" w:rsidP="00370D8E">
            <w:pPr>
              <w:pStyle w:val="COMTabletext"/>
            </w:pPr>
            <w:r>
              <w:t>Total continuing patients</w:t>
            </w:r>
          </w:p>
        </w:tc>
        <w:tc>
          <w:tcPr>
            <w:tcW w:w="611" w:type="pct"/>
          </w:tcPr>
          <w:p w14:paraId="38A025D6" w14:textId="089DAFEB" w:rsidR="00E54FB3" w:rsidRPr="00CE01B3" w:rsidRDefault="00994C8B" w:rsidP="00370D8E">
            <w:pPr>
              <w:pStyle w:val="TableText"/>
              <w:jc w:val="center"/>
              <w:rPr>
                <w:i/>
                <w:iCs/>
                <w:highlight w:val="darkGray"/>
              </w:rPr>
            </w:pPr>
            <w:r w:rsidRPr="00994C8B">
              <w:rPr>
                <w:highlight w:val="black"/>
              </w:rPr>
              <w:t>&amp;&amp;&amp;&amp;</w:t>
            </w:r>
            <w:r w:rsidR="00CE01B3">
              <w:rPr>
                <w:vertAlign w:val="superscript"/>
              </w:rPr>
              <w:t>1</w:t>
            </w:r>
          </w:p>
        </w:tc>
        <w:tc>
          <w:tcPr>
            <w:tcW w:w="611" w:type="pct"/>
          </w:tcPr>
          <w:p w14:paraId="72D853E3" w14:textId="5A3B3E02" w:rsidR="00E54FB3" w:rsidRPr="00CE01B3" w:rsidRDefault="00994C8B" w:rsidP="00370D8E">
            <w:pPr>
              <w:pStyle w:val="TableText"/>
              <w:jc w:val="center"/>
              <w:rPr>
                <w:i/>
                <w:iCs/>
                <w:highlight w:val="darkGray"/>
              </w:rPr>
            </w:pPr>
            <w:r w:rsidRPr="00994C8B">
              <w:rPr>
                <w:highlight w:val="black"/>
              </w:rPr>
              <w:t>&amp;&amp;&amp;&amp;</w:t>
            </w:r>
            <w:r w:rsidR="00CE01B3">
              <w:rPr>
                <w:vertAlign w:val="superscript"/>
              </w:rPr>
              <w:t>1</w:t>
            </w:r>
          </w:p>
        </w:tc>
        <w:tc>
          <w:tcPr>
            <w:tcW w:w="611" w:type="pct"/>
          </w:tcPr>
          <w:p w14:paraId="701720CD" w14:textId="3ACB5D5B" w:rsidR="00E54FB3" w:rsidRPr="00CE01B3" w:rsidRDefault="00994C8B" w:rsidP="00370D8E">
            <w:pPr>
              <w:pStyle w:val="TableText"/>
              <w:jc w:val="center"/>
              <w:rPr>
                <w:i/>
                <w:iCs/>
                <w:highlight w:val="darkGray"/>
              </w:rPr>
            </w:pPr>
            <w:r w:rsidRPr="00994C8B">
              <w:rPr>
                <w:highlight w:val="black"/>
              </w:rPr>
              <w:t>&amp;&amp;&amp;&amp;</w:t>
            </w:r>
            <w:r w:rsidR="00CE01B3">
              <w:rPr>
                <w:vertAlign w:val="superscript"/>
              </w:rPr>
              <w:t>1</w:t>
            </w:r>
          </w:p>
        </w:tc>
        <w:tc>
          <w:tcPr>
            <w:tcW w:w="611" w:type="pct"/>
          </w:tcPr>
          <w:p w14:paraId="425243B2" w14:textId="11B983AC" w:rsidR="00E54FB3" w:rsidRPr="00CE01B3" w:rsidRDefault="00994C8B" w:rsidP="00370D8E">
            <w:pPr>
              <w:pStyle w:val="TableText"/>
              <w:jc w:val="center"/>
              <w:rPr>
                <w:i/>
                <w:iCs/>
                <w:highlight w:val="darkGray"/>
              </w:rPr>
            </w:pPr>
            <w:r w:rsidRPr="00994C8B">
              <w:rPr>
                <w:highlight w:val="black"/>
              </w:rPr>
              <w:t>&amp;&amp;&amp;&amp;</w:t>
            </w:r>
            <w:r w:rsidR="00CE01B3">
              <w:rPr>
                <w:vertAlign w:val="superscript"/>
              </w:rPr>
              <w:t>1</w:t>
            </w:r>
          </w:p>
        </w:tc>
        <w:tc>
          <w:tcPr>
            <w:tcW w:w="611" w:type="pct"/>
          </w:tcPr>
          <w:p w14:paraId="68FBDACE" w14:textId="4A866A4A" w:rsidR="00E54FB3" w:rsidRPr="00CE01B3" w:rsidRDefault="00994C8B" w:rsidP="00370D8E">
            <w:pPr>
              <w:pStyle w:val="TableText"/>
              <w:jc w:val="center"/>
              <w:rPr>
                <w:i/>
                <w:iCs/>
                <w:highlight w:val="darkGray"/>
              </w:rPr>
            </w:pPr>
            <w:r w:rsidRPr="00994C8B">
              <w:rPr>
                <w:highlight w:val="black"/>
              </w:rPr>
              <w:t>&amp;&amp;&amp;&amp;</w:t>
            </w:r>
            <w:r w:rsidR="00CE01B3">
              <w:rPr>
                <w:vertAlign w:val="superscript"/>
              </w:rPr>
              <w:t>1</w:t>
            </w:r>
          </w:p>
        </w:tc>
        <w:tc>
          <w:tcPr>
            <w:tcW w:w="611" w:type="pct"/>
          </w:tcPr>
          <w:p w14:paraId="2105F431" w14:textId="58317EC3" w:rsidR="00E54FB3" w:rsidRPr="00CE01B3" w:rsidRDefault="00994C8B" w:rsidP="00370D8E">
            <w:pPr>
              <w:pStyle w:val="TableText"/>
              <w:jc w:val="center"/>
              <w:rPr>
                <w:i/>
                <w:iCs/>
                <w:highlight w:val="darkGray"/>
              </w:rPr>
            </w:pPr>
            <w:r w:rsidRPr="00994C8B">
              <w:rPr>
                <w:highlight w:val="black"/>
              </w:rPr>
              <w:t>&amp;&amp;&amp;&amp;</w:t>
            </w:r>
            <w:r w:rsidR="00CE01B3">
              <w:rPr>
                <w:vertAlign w:val="superscript"/>
              </w:rPr>
              <w:t>1</w:t>
            </w:r>
          </w:p>
        </w:tc>
      </w:tr>
      <w:tr w:rsidR="00E54FB3" w:rsidRPr="0098262F" w14:paraId="37921387" w14:textId="77777777" w:rsidTr="00A8333A">
        <w:tc>
          <w:tcPr>
            <w:tcW w:w="1334" w:type="pct"/>
            <w:vAlign w:val="center"/>
          </w:tcPr>
          <w:p w14:paraId="4EBD0FD2" w14:textId="77777777" w:rsidR="00E54FB3" w:rsidRPr="00374D51" w:rsidRDefault="00E54FB3" w:rsidP="00370D8E">
            <w:pPr>
              <w:pStyle w:val="COMTabletext"/>
              <w:rPr>
                <w:rFonts w:ascii="Times" w:hAnsi="Times"/>
                <w:vertAlign w:val="superscript"/>
              </w:rPr>
            </w:pPr>
            <w:r w:rsidRPr="0098262F">
              <w:t>Number of scripts dispensed</w:t>
            </w:r>
            <w:r>
              <w:t xml:space="preserve"> </w:t>
            </w:r>
            <w:r>
              <w:rPr>
                <w:vertAlign w:val="superscript"/>
              </w:rPr>
              <w:t>a</w:t>
            </w:r>
          </w:p>
        </w:tc>
        <w:tc>
          <w:tcPr>
            <w:tcW w:w="611" w:type="pct"/>
          </w:tcPr>
          <w:p w14:paraId="4614C2BB" w14:textId="068C93E4" w:rsidR="00E54FB3" w:rsidRPr="00CE01B3" w:rsidRDefault="00994C8B" w:rsidP="00370D8E">
            <w:pPr>
              <w:pStyle w:val="TableText"/>
              <w:jc w:val="center"/>
              <w:rPr>
                <w:i/>
                <w:iCs/>
                <w:highlight w:val="darkGray"/>
                <w:vertAlign w:val="superscript"/>
              </w:rPr>
            </w:pPr>
            <w:r w:rsidRPr="00994C8B">
              <w:rPr>
                <w:highlight w:val="black"/>
              </w:rPr>
              <w:t>&amp;&amp;&amp;&amp;</w:t>
            </w:r>
            <w:r w:rsidR="00CE01B3" w:rsidRPr="006B078E">
              <w:rPr>
                <w:vertAlign w:val="superscript"/>
              </w:rPr>
              <w:t>2</w:t>
            </w:r>
          </w:p>
        </w:tc>
        <w:tc>
          <w:tcPr>
            <w:tcW w:w="611" w:type="pct"/>
          </w:tcPr>
          <w:p w14:paraId="257F58CD" w14:textId="099D9726" w:rsidR="00E54FB3" w:rsidRPr="00CE01B3" w:rsidRDefault="00994C8B" w:rsidP="00370D8E">
            <w:pPr>
              <w:pStyle w:val="TableText"/>
              <w:jc w:val="center"/>
              <w:rPr>
                <w:i/>
                <w:iCs/>
                <w:highlight w:val="darkGray"/>
              </w:rPr>
            </w:pPr>
            <w:r w:rsidRPr="00994C8B">
              <w:rPr>
                <w:highlight w:val="black"/>
              </w:rPr>
              <w:t>&amp;&amp;&amp;&amp;</w:t>
            </w:r>
            <w:r w:rsidR="00CE01B3" w:rsidRPr="006B078E">
              <w:rPr>
                <w:vertAlign w:val="superscript"/>
              </w:rPr>
              <w:t>2</w:t>
            </w:r>
          </w:p>
        </w:tc>
        <w:tc>
          <w:tcPr>
            <w:tcW w:w="611" w:type="pct"/>
          </w:tcPr>
          <w:p w14:paraId="217E7449" w14:textId="3C6D7FA3" w:rsidR="00E54FB3" w:rsidRPr="00CE01B3" w:rsidRDefault="00994C8B" w:rsidP="00370D8E">
            <w:pPr>
              <w:pStyle w:val="TableText"/>
              <w:jc w:val="center"/>
              <w:rPr>
                <w:i/>
                <w:iCs/>
                <w:highlight w:val="darkGray"/>
              </w:rPr>
            </w:pPr>
            <w:r w:rsidRPr="00994C8B">
              <w:rPr>
                <w:highlight w:val="black"/>
              </w:rPr>
              <w:t>&amp;&amp;&amp;&amp;</w:t>
            </w:r>
            <w:r w:rsidR="00CE01B3" w:rsidRPr="006B078E">
              <w:rPr>
                <w:vertAlign w:val="superscript"/>
              </w:rPr>
              <w:t>2</w:t>
            </w:r>
          </w:p>
        </w:tc>
        <w:tc>
          <w:tcPr>
            <w:tcW w:w="611" w:type="pct"/>
          </w:tcPr>
          <w:p w14:paraId="0B3FD6C2" w14:textId="07670937" w:rsidR="00E54FB3" w:rsidRPr="00CE01B3" w:rsidRDefault="00994C8B" w:rsidP="00370D8E">
            <w:pPr>
              <w:pStyle w:val="TableText"/>
              <w:jc w:val="center"/>
              <w:rPr>
                <w:i/>
                <w:iCs/>
                <w:highlight w:val="darkGray"/>
              </w:rPr>
            </w:pPr>
            <w:r w:rsidRPr="00994C8B">
              <w:rPr>
                <w:highlight w:val="black"/>
              </w:rPr>
              <w:t>&amp;&amp;&amp;&amp;</w:t>
            </w:r>
            <w:r w:rsidR="00CE01B3" w:rsidRPr="006B078E">
              <w:rPr>
                <w:vertAlign w:val="superscript"/>
              </w:rPr>
              <w:t>2</w:t>
            </w:r>
          </w:p>
        </w:tc>
        <w:tc>
          <w:tcPr>
            <w:tcW w:w="611" w:type="pct"/>
          </w:tcPr>
          <w:p w14:paraId="2B1E99D5" w14:textId="23DD5144" w:rsidR="00E54FB3" w:rsidRPr="00CE01B3" w:rsidRDefault="00994C8B" w:rsidP="00370D8E">
            <w:pPr>
              <w:pStyle w:val="TableText"/>
              <w:jc w:val="center"/>
              <w:rPr>
                <w:i/>
                <w:iCs/>
                <w:highlight w:val="darkGray"/>
              </w:rPr>
            </w:pPr>
            <w:r w:rsidRPr="00994C8B">
              <w:rPr>
                <w:highlight w:val="black"/>
              </w:rPr>
              <w:t>&amp;&amp;&amp;&amp;</w:t>
            </w:r>
            <w:r w:rsidR="00CE01B3" w:rsidRPr="006B078E">
              <w:rPr>
                <w:vertAlign w:val="superscript"/>
              </w:rPr>
              <w:t>2</w:t>
            </w:r>
          </w:p>
        </w:tc>
        <w:tc>
          <w:tcPr>
            <w:tcW w:w="611" w:type="pct"/>
          </w:tcPr>
          <w:p w14:paraId="5000538C" w14:textId="5990EC8C" w:rsidR="00E54FB3" w:rsidRPr="00CE01B3" w:rsidRDefault="00994C8B" w:rsidP="00370D8E">
            <w:pPr>
              <w:pStyle w:val="TableText"/>
              <w:jc w:val="center"/>
              <w:rPr>
                <w:i/>
                <w:iCs/>
                <w:highlight w:val="darkGray"/>
              </w:rPr>
            </w:pPr>
            <w:r w:rsidRPr="00994C8B">
              <w:rPr>
                <w:highlight w:val="black"/>
              </w:rPr>
              <w:t>&amp;&amp;&amp;&amp;</w:t>
            </w:r>
            <w:r w:rsidR="00CE01B3" w:rsidRPr="006B078E">
              <w:rPr>
                <w:vertAlign w:val="superscript"/>
              </w:rPr>
              <w:t>2</w:t>
            </w:r>
          </w:p>
        </w:tc>
      </w:tr>
      <w:tr w:rsidR="00E54FB3" w:rsidRPr="0098262F" w14:paraId="034ADCA7" w14:textId="77777777" w:rsidTr="00A8333A">
        <w:tc>
          <w:tcPr>
            <w:tcW w:w="5000" w:type="pct"/>
            <w:gridSpan w:val="7"/>
            <w:vAlign w:val="center"/>
          </w:tcPr>
          <w:p w14:paraId="7A03EA92" w14:textId="77777777" w:rsidR="00E54FB3" w:rsidRPr="0098262F" w:rsidRDefault="00E54FB3" w:rsidP="00370D8E">
            <w:pPr>
              <w:pStyle w:val="COMTableheadingrow"/>
            </w:pPr>
            <w:r w:rsidRPr="0098262F">
              <w:t xml:space="preserve">Estimated financial implications of </w:t>
            </w:r>
            <w:r>
              <w:t>iptacopan</w:t>
            </w:r>
          </w:p>
        </w:tc>
      </w:tr>
      <w:tr w:rsidR="00E54FB3" w:rsidRPr="0098262F" w14:paraId="7033C947" w14:textId="77777777" w:rsidTr="00A8333A">
        <w:tc>
          <w:tcPr>
            <w:tcW w:w="1334" w:type="pct"/>
            <w:vAlign w:val="center"/>
          </w:tcPr>
          <w:p w14:paraId="69FF9EA6" w14:textId="77777777" w:rsidR="00E54FB3" w:rsidRPr="00E53D90" w:rsidRDefault="00E54FB3" w:rsidP="00370D8E">
            <w:pPr>
              <w:pStyle w:val="COMTabletext"/>
              <w:rPr>
                <w:b/>
                <w:bCs w:val="0"/>
              </w:rPr>
            </w:pPr>
            <w:r w:rsidRPr="00E53D90">
              <w:rPr>
                <w:b/>
                <w:bCs w:val="0"/>
              </w:rPr>
              <w:t>Net cost to the PBS/RPBS</w:t>
            </w:r>
          </w:p>
        </w:tc>
        <w:tc>
          <w:tcPr>
            <w:tcW w:w="611" w:type="pct"/>
            <w:vAlign w:val="center"/>
          </w:tcPr>
          <w:p w14:paraId="0E76380D" w14:textId="637E5736" w:rsidR="00E54FB3" w:rsidRPr="00E53D90" w:rsidRDefault="00E54FB3" w:rsidP="00370D8E">
            <w:pPr>
              <w:pStyle w:val="TableText"/>
              <w:jc w:val="center"/>
              <w:rPr>
                <w:b/>
                <w:bCs w:val="0"/>
                <w:i/>
                <w:iCs/>
              </w:rPr>
            </w:pPr>
            <w:r w:rsidRPr="00E53D90">
              <w:rPr>
                <w:b/>
                <w:bCs w:val="0"/>
              </w:rPr>
              <w:t>$</w:t>
            </w:r>
            <w:r w:rsidR="00994C8B" w:rsidRPr="00994C8B">
              <w:rPr>
                <w:b/>
                <w:bCs w:val="0"/>
                <w:highlight w:val="black"/>
              </w:rPr>
              <w:t>&amp;&amp;&amp;&amp;</w:t>
            </w:r>
            <w:r w:rsidR="00A2485A">
              <w:rPr>
                <w:vertAlign w:val="superscript"/>
              </w:rPr>
              <w:t>4</w:t>
            </w:r>
          </w:p>
        </w:tc>
        <w:tc>
          <w:tcPr>
            <w:tcW w:w="611" w:type="pct"/>
            <w:vAlign w:val="center"/>
          </w:tcPr>
          <w:p w14:paraId="68510ADC" w14:textId="5DC75553" w:rsidR="00E54FB3" w:rsidRPr="00E53D90" w:rsidRDefault="00E54FB3" w:rsidP="00370D8E">
            <w:pPr>
              <w:pStyle w:val="TableText"/>
              <w:jc w:val="center"/>
              <w:rPr>
                <w:b/>
                <w:bCs w:val="0"/>
                <w:i/>
                <w:iCs/>
              </w:rPr>
            </w:pPr>
            <w:r w:rsidRPr="00E53D90">
              <w:rPr>
                <w:b/>
                <w:bCs w:val="0"/>
              </w:rPr>
              <w:t>$</w:t>
            </w:r>
            <w:r w:rsidR="00994C8B" w:rsidRPr="00994C8B">
              <w:rPr>
                <w:b/>
                <w:bCs w:val="0"/>
                <w:highlight w:val="black"/>
              </w:rPr>
              <w:t>&amp;&amp;&amp;&amp;</w:t>
            </w:r>
            <w:r w:rsidR="00A2485A">
              <w:rPr>
                <w:vertAlign w:val="superscript"/>
              </w:rPr>
              <w:t>5</w:t>
            </w:r>
          </w:p>
        </w:tc>
        <w:tc>
          <w:tcPr>
            <w:tcW w:w="611" w:type="pct"/>
            <w:vAlign w:val="center"/>
          </w:tcPr>
          <w:p w14:paraId="081A8659" w14:textId="6E8600D9" w:rsidR="00E54FB3" w:rsidRPr="00E53D90" w:rsidRDefault="00E54FB3" w:rsidP="00370D8E">
            <w:pPr>
              <w:pStyle w:val="TableText"/>
              <w:jc w:val="center"/>
              <w:rPr>
                <w:b/>
                <w:bCs w:val="0"/>
                <w:i/>
                <w:iCs/>
              </w:rPr>
            </w:pPr>
            <w:r w:rsidRPr="00E53D90">
              <w:rPr>
                <w:b/>
                <w:bCs w:val="0"/>
              </w:rPr>
              <w:t>$</w:t>
            </w:r>
            <w:r w:rsidR="00994C8B" w:rsidRPr="00994C8B">
              <w:rPr>
                <w:b/>
                <w:bCs w:val="0"/>
                <w:highlight w:val="black"/>
              </w:rPr>
              <w:t>&amp;&amp;&amp;&amp;</w:t>
            </w:r>
            <w:r w:rsidR="00A2485A">
              <w:rPr>
                <w:vertAlign w:val="superscript"/>
              </w:rPr>
              <w:t>5</w:t>
            </w:r>
          </w:p>
        </w:tc>
        <w:tc>
          <w:tcPr>
            <w:tcW w:w="611" w:type="pct"/>
            <w:vAlign w:val="center"/>
          </w:tcPr>
          <w:p w14:paraId="7CA0B16F" w14:textId="722994FA" w:rsidR="00E54FB3" w:rsidRPr="00E53D90" w:rsidRDefault="00E54FB3" w:rsidP="00370D8E">
            <w:pPr>
              <w:pStyle w:val="TableText"/>
              <w:jc w:val="center"/>
              <w:rPr>
                <w:b/>
                <w:bCs w:val="0"/>
                <w:i/>
                <w:iCs/>
              </w:rPr>
            </w:pPr>
            <w:r w:rsidRPr="00E53D90">
              <w:rPr>
                <w:b/>
                <w:bCs w:val="0"/>
              </w:rPr>
              <w:t>$</w:t>
            </w:r>
            <w:r w:rsidR="00994C8B" w:rsidRPr="00994C8B">
              <w:rPr>
                <w:b/>
                <w:bCs w:val="0"/>
                <w:highlight w:val="black"/>
              </w:rPr>
              <w:t>&amp;&amp;&amp;&amp;</w:t>
            </w:r>
            <w:r w:rsidR="00A2485A">
              <w:rPr>
                <w:vertAlign w:val="superscript"/>
              </w:rPr>
              <w:t>6</w:t>
            </w:r>
          </w:p>
        </w:tc>
        <w:tc>
          <w:tcPr>
            <w:tcW w:w="611" w:type="pct"/>
            <w:vAlign w:val="center"/>
          </w:tcPr>
          <w:p w14:paraId="3BC3FCDD" w14:textId="37C2EBDC" w:rsidR="00E54FB3" w:rsidRPr="00E53D90" w:rsidRDefault="00E54FB3" w:rsidP="00370D8E">
            <w:pPr>
              <w:pStyle w:val="TableText"/>
              <w:jc w:val="center"/>
              <w:rPr>
                <w:b/>
                <w:bCs w:val="0"/>
                <w:i/>
                <w:iCs/>
              </w:rPr>
            </w:pPr>
            <w:r w:rsidRPr="00E53D90">
              <w:rPr>
                <w:b/>
                <w:bCs w:val="0"/>
              </w:rPr>
              <w:t>$</w:t>
            </w:r>
            <w:r w:rsidR="00994C8B" w:rsidRPr="00994C8B">
              <w:rPr>
                <w:b/>
                <w:bCs w:val="0"/>
                <w:highlight w:val="black"/>
              </w:rPr>
              <w:t>&amp;&amp;&amp;&amp;</w:t>
            </w:r>
            <w:r w:rsidR="00A2485A">
              <w:rPr>
                <w:vertAlign w:val="superscript"/>
              </w:rPr>
              <w:t>6</w:t>
            </w:r>
          </w:p>
        </w:tc>
        <w:tc>
          <w:tcPr>
            <w:tcW w:w="611" w:type="pct"/>
            <w:vAlign w:val="center"/>
          </w:tcPr>
          <w:p w14:paraId="68C888C4" w14:textId="4C2D9CB6" w:rsidR="00E54FB3" w:rsidRPr="00E53D90" w:rsidRDefault="00E54FB3" w:rsidP="00370D8E">
            <w:pPr>
              <w:pStyle w:val="TableText"/>
              <w:jc w:val="center"/>
              <w:rPr>
                <w:b/>
                <w:bCs w:val="0"/>
                <w:i/>
                <w:iCs/>
              </w:rPr>
            </w:pPr>
            <w:r w:rsidRPr="00E53D90">
              <w:rPr>
                <w:b/>
                <w:bCs w:val="0"/>
              </w:rPr>
              <w:t>$</w:t>
            </w:r>
            <w:r w:rsidR="00994C8B" w:rsidRPr="00994C8B">
              <w:rPr>
                <w:b/>
                <w:bCs w:val="0"/>
                <w:highlight w:val="black"/>
              </w:rPr>
              <w:t>&amp;&amp;&amp;&amp;</w:t>
            </w:r>
            <w:r w:rsidR="00A2485A">
              <w:rPr>
                <w:vertAlign w:val="superscript"/>
              </w:rPr>
              <w:t>7</w:t>
            </w:r>
          </w:p>
        </w:tc>
      </w:tr>
      <w:tr w:rsidR="00E54FB3" w:rsidRPr="0098262F" w14:paraId="762A1DED" w14:textId="77777777" w:rsidTr="00A8333A">
        <w:tc>
          <w:tcPr>
            <w:tcW w:w="1334" w:type="pct"/>
            <w:vAlign w:val="center"/>
          </w:tcPr>
          <w:p w14:paraId="0DBD8F39" w14:textId="77777777" w:rsidR="00E54FB3" w:rsidRPr="008D47C1" w:rsidRDefault="00E54FB3" w:rsidP="00370D8E">
            <w:pPr>
              <w:pStyle w:val="COMTabletext"/>
              <w:rPr>
                <w:vertAlign w:val="superscript"/>
              </w:rPr>
            </w:pPr>
            <w:r>
              <w:t xml:space="preserve">Cost to the MBS </w:t>
            </w:r>
            <w:r>
              <w:rPr>
                <w:vertAlign w:val="superscript"/>
              </w:rPr>
              <w:t>b</w:t>
            </w:r>
          </w:p>
        </w:tc>
        <w:tc>
          <w:tcPr>
            <w:tcW w:w="611" w:type="pct"/>
          </w:tcPr>
          <w:p w14:paraId="3C2C3CDF" w14:textId="4C4933F6" w:rsidR="00E54FB3" w:rsidRPr="00431504" w:rsidRDefault="00E54FB3" w:rsidP="00370D8E">
            <w:pPr>
              <w:pStyle w:val="TableText"/>
              <w:jc w:val="center"/>
              <w:rPr>
                <w:i/>
                <w:iCs/>
              </w:rPr>
            </w:pPr>
            <w:r w:rsidRPr="00431504">
              <w:t>$</w:t>
            </w:r>
            <w:r w:rsidR="00994C8B" w:rsidRPr="00994C8B">
              <w:rPr>
                <w:highlight w:val="black"/>
              </w:rPr>
              <w:t>&amp;&amp;&amp;&amp;</w:t>
            </w:r>
            <w:r w:rsidR="00431E27">
              <w:rPr>
                <w:vertAlign w:val="superscript"/>
              </w:rPr>
              <w:t>3</w:t>
            </w:r>
          </w:p>
        </w:tc>
        <w:tc>
          <w:tcPr>
            <w:tcW w:w="611" w:type="pct"/>
          </w:tcPr>
          <w:p w14:paraId="08281593" w14:textId="5B8ADC1F" w:rsidR="00E54FB3" w:rsidRPr="00431504" w:rsidRDefault="00E54FB3" w:rsidP="00370D8E">
            <w:pPr>
              <w:pStyle w:val="TableText"/>
              <w:jc w:val="center"/>
              <w:rPr>
                <w:i/>
                <w:iCs/>
              </w:rPr>
            </w:pPr>
            <w:r w:rsidRPr="00431504">
              <w:t>-$</w:t>
            </w:r>
            <w:r w:rsidR="00994C8B" w:rsidRPr="00994C8B">
              <w:rPr>
                <w:highlight w:val="black"/>
              </w:rPr>
              <w:t>&amp;&amp;&amp;&amp;</w:t>
            </w:r>
            <w:r w:rsidR="00431E27">
              <w:rPr>
                <w:vertAlign w:val="superscript"/>
              </w:rPr>
              <w:t>3</w:t>
            </w:r>
          </w:p>
        </w:tc>
        <w:tc>
          <w:tcPr>
            <w:tcW w:w="611" w:type="pct"/>
          </w:tcPr>
          <w:p w14:paraId="04D064B9" w14:textId="13C0DEB6" w:rsidR="00E54FB3" w:rsidRPr="00431504" w:rsidRDefault="00E54FB3" w:rsidP="00370D8E">
            <w:pPr>
              <w:pStyle w:val="TableText"/>
              <w:jc w:val="center"/>
              <w:rPr>
                <w:i/>
                <w:iCs/>
              </w:rPr>
            </w:pPr>
            <w:r w:rsidRPr="00431504">
              <w:t>-$</w:t>
            </w:r>
            <w:r w:rsidR="00994C8B" w:rsidRPr="00994C8B">
              <w:rPr>
                <w:highlight w:val="black"/>
              </w:rPr>
              <w:t>&amp;&amp;&amp;&amp;</w:t>
            </w:r>
            <w:r w:rsidR="00431E27">
              <w:rPr>
                <w:vertAlign w:val="superscript"/>
              </w:rPr>
              <w:t>3</w:t>
            </w:r>
          </w:p>
        </w:tc>
        <w:tc>
          <w:tcPr>
            <w:tcW w:w="611" w:type="pct"/>
          </w:tcPr>
          <w:p w14:paraId="49B4C926" w14:textId="731837AD" w:rsidR="00E54FB3" w:rsidRPr="00431504" w:rsidRDefault="00E54FB3" w:rsidP="00370D8E">
            <w:pPr>
              <w:pStyle w:val="TableText"/>
              <w:jc w:val="center"/>
              <w:rPr>
                <w:i/>
                <w:iCs/>
              </w:rPr>
            </w:pPr>
            <w:r w:rsidRPr="00431504">
              <w:t>-$</w:t>
            </w:r>
            <w:r w:rsidR="00994C8B" w:rsidRPr="00994C8B">
              <w:rPr>
                <w:highlight w:val="black"/>
              </w:rPr>
              <w:t>&amp;&amp;&amp;&amp;</w:t>
            </w:r>
            <w:r w:rsidR="00431E27">
              <w:rPr>
                <w:vertAlign w:val="superscript"/>
              </w:rPr>
              <w:t>3</w:t>
            </w:r>
          </w:p>
        </w:tc>
        <w:tc>
          <w:tcPr>
            <w:tcW w:w="611" w:type="pct"/>
          </w:tcPr>
          <w:p w14:paraId="37959CA2" w14:textId="067AD26C" w:rsidR="00E54FB3" w:rsidRPr="00431504" w:rsidRDefault="00E54FB3" w:rsidP="00370D8E">
            <w:pPr>
              <w:pStyle w:val="TableText"/>
              <w:jc w:val="center"/>
              <w:rPr>
                <w:i/>
                <w:iCs/>
              </w:rPr>
            </w:pPr>
            <w:r w:rsidRPr="00431504">
              <w:t>-$</w:t>
            </w:r>
            <w:r w:rsidR="00994C8B" w:rsidRPr="00994C8B">
              <w:rPr>
                <w:highlight w:val="black"/>
              </w:rPr>
              <w:t>&amp;&amp;&amp;&amp;</w:t>
            </w:r>
            <w:r w:rsidR="00431E27">
              <w:rPr>
                <w:vertAlign w:val="superscript"/>
              </w:rPr>
              <w:t>3</w:t>
            </w:r>
          </w:p>
        </w:tc>
        <w:tc>
          <w:tcPr>
            <w:tcW w:w="611" w:type="pct"/>
          </w:tcPr>
          <w:p w14:paraId="01A6C6ED" w14:textId="304F036A" w:rsidR="00E54FB3" w:rsidRPr="00431504" w:rsidRDefault="00E54FB3" w:rsidP="00370D8E">
            <w:pPr>
              <w:pStyle w:val="TableText"/>
              <w:jc w:val="center"/>
              <w:rPr>
                <w:i/>
                <w:iCs/>
              </w:rPr>
            </w:pPr>
            <w:r w:rsidRPr="00431504">
              <w:t>-$</w:t>
            </w:r>
            <w:r w:rsidR="00994C8B" w:rsidRPr="00994C8B">
              <w:rPr>
                <w:highlight w:val="black"/>
              </w:rPr>
              <w:t>&amp;&amp;&amp;&amp;</w:t>
            </w:r>
            <w:r w:rsidR="00431E27">
              <w:rPr>
                <w:vertAlign w:val="superscript"/>
              </w:rPr>
              <w:t>3</w:t>
            </w:r>
          </w:p>
        </w:tc>
      </w:tr>
      <w:tr w:rsidR="00E54FB3" w:rsidRPr="0098262F" w14:paraId="00D37649" w14:textId="77777777" w:rsidTr="00A8333A">
        <w:tc>
          <w:tcPr>
            <w:tcW w:w="1334" w:type="pct"/>
            <w:vAlign w:val="center"/>
          </w:tcPr>
          <w:p w14:paraId="48CB1744" w14:textId="77777777" w:rsidR="00E54FB3" w:rsidRPr="00431504" w:rsidRDefault="00E54FB3" w:rsidP="00370D8E">
            <w:pPr>
              <w:pStyle w:val="COMTabletext"/>
              <w:rPr>
                <w:b/>
                <w:bCs w:val="0"/>
              </w:rPr>
            </w:pPr>
            <w:r w:rsidRPr="00431504">
              <w:rPr>
                <w:b/>
                <w:bCs w:val="0"/>
              </w:rPr>
              <w:t>Net cost to PBS/RPBS/MBS</w:t>
            </w:r>
          </w:p>
        </w:tc>
        <w:tc>
          <w:tcPr>
            <w:tcW w:w="611" w:type="pct"/>
          </w:tcPr>
          <w:p w14:paraId="32486EFC" w14:textId="3447B1E5" w:rsidR="00E54FB3" w:rsidRPr="00431504" w:rsidRDefault="00E54FB3" w:rsidP="00370D8E">
            <w:pPr>
              <w:pStyle w:val="TableText"/>
              <w:jc w:val="center"/>
              <w:rPr>
                <w:b/>
                <w:bCs w:val="0"/>
                <w:i/>
                <w:iCs/>
              </w:rPr>
            </w:pPr>
            <w:r w:rsidRPr="00431504">
              <w:rPr>
                <w:b/>
                <w:bCs w:val="0"/>
              </w:rPr>
              <w:t>$</w:t>
            </w:r>
            <w:r w:rsidR="00994C8B" w:rsidRPr="00994C8B">
              <w:rPr>
                <w:b/>
                <w:bCs w:val="0"/>
                <w:highlight w:val="black"/>
              </w:rPr>
              <w:t>&amp;&amp;&amp;&amp;</w:t>
            </w:r>
            <w:r w:rsidR="00A2485A">
              <w:rPr>
                <w:vertAlign w:val="superscript"/>
              </w:rPr>
              <w:t>4</w:t>
            </w:r>
          </w:p>
        </w:tc>
        <w:tc>
          <w:tcPr>
            <w:tcW w:w="611" w:type="pct"/>
          </w:tcPr>
          <w:p w14:paraId="1FD686E0" w14:textId="03280C7D" w:rsidR="00E54FB3" w:rsidRPr="00431504" w:rsidRDefault="00E54FB3" w:rsidP="00370D8E">
            <w:pPr>
              <w:pStyle w:val="TableText"/>
              <w:jc w:val="center"/>
              <w:rPr>
                <w:b/>
                <w:bCs w:val="0"/>
                <w:i/>
                <w:iCs/>
              </w:rPr>
            </w:pPr>
            <w:r w:rsidRPr="00431504">
              <w:rPr>
                <w:b/>
                <w:bCs w:val="0"/>
              </w:rPr>
              <w:t>$</w:t>
            </w:r>
            <w:r w:rsidR="00994C8B" w:rsidRPr="00994C8B">
              <w:rPr>
                <w:b/>
                <w:bCs w:val="0"/>
                <w:highlight w:val="black"/>
              </w:rPr>
              <w:t>&amp;&amp;&amp;&amp;</w:t>
            </w:r>
            <w:r w:rsidR="00A2485A">
              <w:rPr>
                <w:vertAlign w:val="superscript"/>
              </w:rPr>
              <w:t>5</w:t>
            </w:r>
          </w:p>
        </w:tc>
        <w:tc>
          <w:tcPr>
            <w:tcW w:w="611" w:type="pct"/>
          </w:tcPr>
          <w:p w14:paraId="0401043D" w14:textId="20634AD2" w:rsidR="00E54FB3" w:rsidRPr="00431504" w:rsidRDefault="00E54FB3" w:rsidP="00370D8E">
            <w:pPr>
              <w:pStyle w:val="TableText"/>
              <w:jc w:val="center"/>
              <w:rPr>
                <w:b/>
                <w:bCs w:val="0"/>
                <w:i/>
                <w:iCs/>
              </w:rPr>
            </w:pPr>
            <w:r w:rsidRPr="00431504">
              <w:rPr>
                <w:b/>
                <w:bCs w:val="0"/>
              </w:rPr>
              <w:t>$</w:t>
            </w:r>
            <w:r w:rsidR="00994C8B" w:rsidRPr="00994C8B">
              <w:rPr>
                <w:b/>
                <w:bCs w:val="0"/>
                <w:highlight w:val="black"/>
              </w:rPr>
              <w:t>&amp;&amp;&amp;&amp;</w:t>
            </w:r>
            <w:r w:rsidR="00A2485A">
              <w:rPr>
                <w:vertAlign w:val="superscript"/>
              </w:rPr>
              <w:t>5</w:t>
            </w:r>
          </w:p>
        </w:tc>
        <w:tc>
          <w:tcPr>
            <w:tcW w:w="611" w:type="pct"/>
          </w:tcPr>
          <w:p w14:paraId="360C48DD" w14:textId="7D314736" w:rsidR="00E54FB3" w:rsidRPr="00431504" w:rsidRDefault="00E54FB3" w:rsidP="00370D8E">
            <w:pPr>
              <w:pStyle w:val="TableText"/>
              <w:jc w:val="center"/>
              <w:rPr>
                <w:b/>
                <w:bCs w:val="0"/>
                <w:i/>
                <w:iCs/>
              </w:rPr>
            </w:pPr>
            <w:r w:rsidRPr="00431504">
              <w:rPr>
                <w:b/>
                <w:bCs w:val="0"/>
              </w:rPr>
              <w:t>$</w:t>
            </w:r>
            <w:r w:rsidR="00994C8B" w:rsidRPr="00994C8B">
              <w:rPr>
                <w:b/>
                <w:bCs w:val="0"/>
                <w:highlight w:val="black"/>
              </w:rPr>
              <w:t>&amp;&amp;&amp;&amp;</w:t>
            </w:r>
            <w:r w:rsidR="00A2485A">
              <w:rPr>
                <w:vertAlign w:val="superscript"/>
              </w:rPr>
              <w:t>6</w:t>
            </w:r>
          </w:p>
        </w:tc>
        <w:tc>
          <w:tcPr>
            <w:tcW w:w="611" w:type="pct"/>
          </w:tcPr>
          <w:p w14:paraId="105422AD" w14:textId="3A8096D8" w:rsidR="00E54FB3" w:rsidRPr="00431504" w:rsidRDefault="00E54FB3" w:rsidP="00370D8E">
            <w:pPr>
              <w:pStyle w:val="TableText"/>
              <w:jc w:val="center"/>
              <w:rPr>
                <w:b/>
                <w:bCs w:val="0"/>
                <w:i/>
                <w:iCs/>
              </w:rPr>
            </w:pPr>
            <w:r w:rsidRPr="00431504">
              <w:rPr>
                <w:b/>
                <w:bCs w:val="0"/>
              </w:rPr>
              <w:t>$</w:t>
            </w:r>
            <w:r w:rsidR="00994C8B" w:rsidRPr="00994C8B">
              <w:rPr>
                <w:b/>
                <w:bCs w:val="0"/>
                <w:highlight w:val="black"/>
              </w:rPr>
              <w:t>&amp;&amp;&amp;&amp;</w:t>
            </w:r>
            <w:r w:rsidR="00A2485A">
              <w:rPr>
                <w:vertAlign w:val="superscript"/>
              </w:rPr>
              <w:t>6</w:t>
            </w:r>
          </w:p>
        </w:tc>
        <w:tc>
          <w:tcPr>
            <w:tcW w:w="611" w:type="pct"/>
          </w:tcPr>
          <w:p w14:paraId="06C2F8E7" w14:textId="79C31845" w:rsidR="00E54FB3" w:rsidRPr="00431504" w:rsidRDefault="00E54FB3" w:rsidP="00370D8E">
            <w:pPr>
              <w:pStyle w:val="TableText"/>
              <w:jc w:val="center"/>
              <w:rPr>
                <w:b/>
                <w:bCs w:val="0"/>
                <w:i/>
                <w:iCs/>
              </w:rPr>
            </w:pPr>
            <w:r w:rsidRPr="00431504">
              <w:rPr>
                <w:b/>
                <w:bCs w:val="0"/>
              </w:rPr>
              <w:t>$</w:t>
            </w:r>
            <w:r w:rsidR="00994C8B" w:rsidRPr="00994C8B">
              <w:rPr>
                <w:b/>
                <w:bCs w:val="0"/>
                <w:highlight w:val="black"/>
              </w:rPr>
              <w:t>&amp;&amp;&amp;&amp;</w:t>
            </w:r>
            <w:r w:rsidR="00A2485A">
              <w:rPr>
                <w:vertAlign w:val="superscript"/>
              </w:rPr>
              <w:t>7</w:t>
            </w:r>
          </w:p>
        </w:tc>
      </w:tr>
    </w:tbl>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6"/>
        <w:gridCol w:w="1094"/>
        <w:gridCol w:w="1095"/>
        <w:gridCol w:w="1095"/>
        <w:gridCol w:w="1095"/>
        <w:gridCol w:w="1095"/>
        <w:gridCol w:w="1140"/>
      </w:tblGrid>
      <w:tr w:rsidR="00B94C43" w:rsidRPr="00F55E9B" w14:paraId="448DD22D" w14:textId="77777777" w:rsidTr="00A8333A">
        <w:trPr>
          <w:trHeight w:val="300"/>
        </w:trPr>
        <w:tc>
          <w:tcPr>
            <w:tcW w:w="9010" w:type="dxa"/>
            <w:gridSpan w:val="7"/>
            <w:tcBorders>
              <w:top w:val="single" w:sz="6" w:space="0" w:color="auto"/>
              <w:left w:val="single" w:sz="6" w:space="0" w:color="auto"/>
              <w:bottom w:val="single" w:sz="6" w:space="0" w:color="auto"/>
              <w:right w:val="single" w:sz="6" w:space="0" w:color="auto"/>
            </w:tcBorders>
            <w:vAlign w:val="center"/>
            <w:hideMark/>
          </w:tcPr>
          <w:p w14:paraId="453605EB" w14:textId="77777777" w:rsidR="00B94C43" w:rsidRPr="00F55E9B" w:rsidRDefault="00B94C43" w:rsidP="00370D8E">
            <w:pPr>
              <w:keepNext/>
              <w:jc w:val="left"/>
              <w:textAlignment w:val="baseline"/>
              <w:rPr>
                <w:rFonts w:ascii="Times New Roman" w:hAnsi="Times New Roman" w:cs="Times New Roman"/>
              </w:rPr>
            </w:pPr>
            <w:r w:rsidRPr="00F55E9B">
              <w:rPr>
                <w:rFonts w:ascii="Arial Narrow" w:hAnsi="Arial Narrow" w:cs="Times New Roman"/>
                <w:b/>
                <w:bCs/>
                <w:sz w:val="20"/>
                <w:szCs w:val="20"/>
              </w:rPr>
              <w:t>Estimated use and financial implications, revised in the PSCR</w:t>
            </w:r>
            <w:r w:rsidRPr="00F55E9B">
              <w:rPr>
                <w:rFonts w:ascii="Arial Narrow" w:hAnsi="Arial Narrow" w:cs="Times New Roman"/>
                <w:sz w:val="20"/>
                <w:szCs w:val="20"/>
              </w:rPr>
              <w:t> </w:t>
            </w:r>
          </w:p>
        </w:tc>
      </w:tr>
      <w:tr w:rsidR="00B94C43" w:rsidRPr="00F55E9B" w14:paraId="13445F86" w14:textId="77777777" w:rsidTr="00A8333A">
        <w:trPr>
          <w:trHeight w:val="300"/>
        </w:trPr>
        <w:tc>
          <w:tcPr>
            <w:tcW w:w="2396" w:type="dxa"/>
            <w:tcBorders>
              <w:top w:val="single" w:sz="6" w:space="0" w:color="auto"/>
              <w:left w:val="single" w:sz="6" w:space="0" w:color="auto"/>
              <w:bottom w:val="single" w:sz="6" w:space="0" w:color="auto"/>
              <w:right w:val="single" w:sz="6" w:space="0" w:color="auto"/>
            </w:tcBorders>
            <w:hideMark/>
          </w:tcPr>
          <w:p w14:paraId="0FC4DEF8" w14:textId="77777777" w:rsidR="00B94C43" w:rsidRPr="00F55E9B" w:rsidRDefault="00B94C43" w:rsidP="00370D8E">
            <w:pPr>
              <w:keepNext/>
              <w:jc w:val="left"/>
              <w:textAlignment w:val="baseline"/>
              <w:rPr>
                <w:rFonts w:ascii="Times New Roman" w:hAnsi="Times New Roman" w:cs="Times New Roman"/>
              </w:rPr>
            </w:pPr>
            <w:r w:rsidRPr="00F55E9B">
              <w:rPr>
                <w:rFonts w:ascii="Arial Narrow" w:hAnsi="Arial Narrow" w:cs="Times New Roman"/>
                <w:sz w:val="20"/>
                <w:szCs w:val="20"/>
              </w:rPr>
              <w:t>Total initiating patients </w:t>
            </w:r>
          </w:p>
        </w:tc>
        <w:tc>
          <w:tcPr>
            <w:tcW w:w="1094" w:type="dxa"/>
            <w:tcBorders>
              <w:top w:val="single" w:sz="6" w:space="0" w:color="auto"/>
              <w:left w:val="single" w:sz="6" w:space="0" w:color="auto"/>
              <w:bottom w:val="single" w:sz="6" w:space="0" w:color="auto"/>
              <w:right w:val="single" w:sz="6" w:space="0" w:color="auto"/>
            </w:tcBorders>
            <w:hideMark/>
          </w:tcPr>
          <w:p w14:paraId="0EAA82AC" w14:textId="75FF8930"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BF697A">
              <w:rPr>
                <w:rFonts w:ascii="Arial Narrow" w:eastAsiaTheme="majorEastAsia" w:hAnsi="Arial Narrow" w:cstheme="majorBidi"/>
                <w:bCs/>
                <w:sz w:val="20"/>
                <w:vertAlign w:val="superscript"/>
              </w:rPr>
              <w:t>1</w:t>
            </w:r>
          </w:p>
        </w:tc>
        <w:tc>
          <w:tcPr>
            <w:tcW w:w="1095" w:type="dxa"/>
            <w:tcBorders>
              <w:top w:val="single" w:sz="6" w:space="0" w:color="auto"/>
              <w:left w:val="single" w:sz="6" w:space="0" w:color="auto"/>
              <w:bottom w:val="single" w:sz="6" w:space="0" w:color="auto"/>
              <w:right w:val="single" w:sz="6" w:space="0" w:color="auto"/>
            </w:tcBorders>
            <w:hideMark/>
          </w:tcPr>
          <w:p w14:paraId="3E63CB43" w14:textId="73D0F72F"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BF697A" w:rsidRPr="00BF697A">
              <w:rPr>
                <w:rFonts w:ascii="Arial Narrow" w:hAnsi="Arial Narrow"/>
                <w:sz w:val="20"/>
                <w:szCs w:val="20"/>
                <w:vertAlign w:val="superscript"/>
              </w:rPr>
              <w:t>1</w:t>
            </w:r>
          </w:p>
        </w:tc>
        <w:tc>
          <w:tcPr>
            <w:tcW w:w="1095" w:type="dxa"/>
            <w:tcBorders>
              <w:top w:val="single" w:sz="6" w:space="0" w:color="auto"/>
              <w:left w:val="single" w:sz="6" w:space="0" w:color="auto"/>
              <w:bottom w:val="single" w:sz="6" w:space="0" w:color="auto"/>
              <w:right w:val="single" w:sz="6" w:space="0" w:color="auto"/>
            </w:tcBorders>
            <w:hideMark/>
          </w:tcPr>
          <w:p w14:paraId="1579ADD2" w14:textId="683511B6"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F85367">
              <w:rPr>
                <w:rFonts w:ascii="Arial Narrow" w:eastAsiaTheme="majorEastAsia" w:hAnsi="Arial Narrow" w:cstheme="majorBidi"/>
                <w:bCs/>
                <w:sz w:val="20"/>
                <w:vertAlign w:val="superscript"/>
              </w:rPr>
              <w:t>1</w:t>
            </w:r>
          </w:p>
        </w:tc>
        <w:tc>
          <w:tcPr>
            <w:tcW w:w="1095" w:type="dxa"/>
            <w:tcBorders>
              <w:top w:val="single" w:sz="6" w:space="0" w:color="auto"/>
              <w:left w:val="single" w:sz="6" w:space="0" w:color="auto"/>
              <w:bottom w:val="single" w:sz="6" w:space="0" w:color="auto"/>
              <w:right w:val="single" w:sz="6" w:space="0" w:color="auto"/>
            </w:tcBorders>
            <w:hideMark/>
          </w:tcPr>
          <w:p w14:paraId="780E1B04" w14:textId="1BEF40AB"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F85367">
              <w:rPr>
                <w:rFonts w:ascii="Arial Narrow" w:eastAsiaTheme="majorEastAsia" w:hAnsi="Arial Narrow" w:cstheme="majorBidi"/>
                <w:bCs/>
                <w:sz w:val="20"/>
                <w:vertAlign w:val="superscript"/>
              </w:rPr>
              <w:t>1</w:t>
            </w:r>
          </w:p>
        </w:tc>
        <w:tc>
          <w:tcPr>
            <w:tcW w:w="1095" w:type="dxa"/>
            <w:tcBorders>
              <w:top w:val="single" w:sz="6" w:space="0" w:color="auto"/>
              <w:left w:val="single" w:sz="6" w:space="0" w:color="auto"/>
              <w:bottom w:val="single" w:sz="6" w:space="0" w:color="auto"/>
              <w:right w:val="single" w:sz="6" w:space="0" w:color="auto"/>
            </w:tcBorders>
            <w:hideMark/>
          </w:tcPr>
          <w:p w14:paraId="502F5E77" w14:textId="7D43DAAB"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F85367">
              <w:rPr>
                <w:rFonts w:ascii="Arial Narrow" w:eastAsiaTheme="majorEastAsia" w:hAnsi="Arial Narrow" w:cstheme="majorBidi"/>
                <w:bCs/>
                <w:sz w:val="20"/>
                <w:vertAlign w:val="superscript"/>
              </w:rPr>
              <w:t>1</w:t>
            </w:r>
          </w:p>
        </w:tc>
        <w:tc>
          <w:tcPr>
            <w:tcW w:w="1140" w:type="dxa"/>
            <w:tcBorders>
              <w:top w:val="single" w:sz="6" w:space="0" w:color="auto"/>
              <w:left w:val="single" w:sz="6" w:space="0" w:color="auto"/>
              <w:bottom w:val="single" w:sz="6" w:space="0" w:color="auto"/>
              <w:right w:val="single" w:sz="6" w:space="0" w:color="auto"/>
            </w:tcBorders>
            <w:hideMark/>
          </w:tcPr>
          <w:p w14:paraId="4447D85E" w14:textId="4AE03A12"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F85367">
              <w:rPr>
                <w:rFonts w:ascii="Arial Narrow" w:eastAsiaTheme="majorEastAsia" w:hAnsi="Arial Narrow" w:cstheme="majorBidi"/>
                <w:bCs/>
                <w:sz w:val="20"/>
                <w:vertAlign w:val="superscript"/>
              </w:rPr>
              <w:t>1</w:t>
            </w:r>
          </w:p>
        </w:tc>
      </w:tr>
      <w:tr w:rsidR="00B94C43" w:rsidRPr="00F55E9B" w14:paraId="4CC13375" w14:textId="77777777" w:rsidTr="00A8333A">
        <w:trPr>
          <w:trHeight w:val="300"/>
        </w:trPr>
        <w:tc>
          <w:tcPr>
            <w:tcW w:w="2396" w:type="dxa"/>
            <w:tcBorders>
              <w:top w:val="single" w:sz="6" w:space="0" w:color="auto"/>
              <w:left w:val="single" w:sz="6" w:space="0" w:color="auto"/>
              <w:bottom w:val="single" w:sz="6" w:space="0" w:color="auto"/>
              <w:right w:val="single" w:sz="6" w:space="0" w:color="auto"/>
            </w:tcBorders>
            <w:hideMark/>
          </w:tcPr>
          <w:p w14:paraId="41115532" w14:textId="77777777" w:rsidR="00B94C43" w:rsidRPr="00F55E9B" w:rsidRDefault="00B94C43" w:rsidP="00370D8E">
            <w:pPr>
              <w:keepNext/>
              <w:jc w:val="left"/>
              <w:textAlignment w:val="baseline"/>
              <w:rPr>
                <w:rFonts w:ascii="Times New Roman" w:hAnsi="Times New Roman" w:cs="Times New Roman"/>
              </w:rPr>
            </w:pPr>
            <w:r w:rsidRPr="00F55E9B">
              <w:rPr>
                <w:rFonts w:ascii="Arial Narrow" w:hAnsi="Arial Narrow" w:cs="Times New Roman"/>
                <w:sz w:val="20"/>
                <w:szCs w:val="20"/>
              </w:rPr>
              <w:t>Total continuing patients </w:t>
            </w:r>
          </w:p>
        </w:tc>
        <w:tc>
          <w:tcPr>
            <w:tcW w:w="1094" w:type="dxa"/>
            <w:tcBorders>
              <w:top w:val="single" w:sz="6" w:space="0" w:color="auto"/>
              <w:left w:val="single" w:sz="6" w:space="0" w:color="auto"/>
              <w:bottom w:val="single" w:sz="6" w:space="0" w:color="auto"/>
              <w:right w:val="single" w:sz="6" w:space="0" w:color="auto"/>
            </w:tcBorders>
            <w:hideMark/>
          </w:tcPr>
          <w:p w14:paraId="50FE3DDF" w14:textId="59C1DCE6"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F85367">
              <w:rPr>
                <w:rFonts w:ascii="Arial Narrow" w:eastAsiaTheme="majorEastAsia" w:hAnsi="Arial Narrow" w:cstheme="majorBidi"/>
                <w:bCs/>
                <w:sz w:val="20"/>
                <w:vertAlign w:val="superscript"/>
              </w:rPr>
              <w:t>1</w:t>
            </w:r>
          </w:p>
        </w:tc>
        <w:tc>
          <w:tcPr>
            <w:tcW w:w="1095" w:type="dxa"/>
            <w:tcBorders>
              <w:top w:val="single" w:sz="6" w:space="0" w:color="auto"/>
              <w:left w:val="single" w:sz="6" w:space="0" w:color="auto"/>
              <w:bottom w:val="single" w:sz="6" w:space="0" w:color="auto"/>
              <w:right w:val="single" w:sz="6" w:space="0" w:color="auto"/>
            </w:tcBorders>
            <w:hideMark/>
          </w:tcPr>
          <w:p w14:paraId="449884A1" w14:textId="41BCD1C8"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F85367">
              <w:rPr>
                <w:rFonts w:ascii="Arial Narrow" w:eastAsiaTheme="majorEastAsia" w:hAnsi="Arial Narrow" w:cstheme="majorBidi"/>
                <w:bCs/>
                <w:sz w:val="20"/>
                <w:vertAlign w:val="superscript"/>
              </w:rPr>
              <w:t>1</w:t>
            </w:r>
          </w:p>
        </w:tc>
        <w:tc>
          <w:tcPr>
            <w:tcW w:w="1095" w:type="dxa"/>
            <w:tcBorders>
              <w:top w:val="single" w:sz="6" w:space="0" w:color="auto"/>
              <w:left w:val="single" w:sz="6" w:space="0" w:color="auto"/>
              <w:bottom w:val="single" w:sz="6" w:space="0" w:color="auto"/>
              <w:right w:val="single" w:sz="6" w:space="0" w:color="auto"/>
            </w:tcBorders>
            <w:hideMark/>
          </w:tcPr>
          <w:p w14:paraId="2A24EE8E" w14:textId="4630CAC7"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F85367">
              <w:rPr>
                <w:rFonts w:ascii="Arial Narrow" w:eastAsiaTheme="majorEastAsia" w:hAnsi="Arial Narrow" w:cstheme="majorBidi"/>
                <w:bCs/>
                <w:sz w:val="20"/>
                <w:vertAlign w:val="superscript"/>
              </w:rPr>
              <w:t>1</w:t>
            </w:r>
          </w:p>
        </w:tc>
        <w:tc>
          <w:tcPr>
            <w:tcW w:w="1095" w:type="dxa"/>
            <w:tcBorders>
              <w:top w:val="single" w:sz="6" w:space="0" w:color="auto"/>
              <w:left w:val="single" w:sz="6" w:space="0" w:color="auto"/>
              <w:bottom w:val="single" w:sz="6" w:space="0" w:color="auto"/>
              <w:right w:val="single" w:sz="6" w:space="0" w:color="auto"/>
            </w:tcBorders>
            <w:hideMark/>
          </w:tcPr>
          <w:p w14:paraId="65E07DCC" w14:textId="242F5B2F"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F85367">
              <w:rPr>
                <w:rFonts w:ascii="Arial Narrow" w:eastAsiaTheme="majorEastAsia" w:hAnsi="Arial Narrow" w:cstheme="majorBidi"/>
                <w:bCs/>
                <w:sz w:val="20"/>
                <w:vertAlign w:val="superscript"/>
              </w:rPr>
              <w:t>1</w:t>
            </w:r>
          </w:p>
        </w:tc>
        <w:tc>
          <w:tcPr>
            <w:tcW w:w="1095" w:type="dxa"/>
            <w:tcBorders>
              <w:top w:val="single" w:sz="6" w:space="0" w:color="auto"/>
              <w:left w:val="single" w:sz="6" w:space="0" w:color="auto"/>
              <w:bottom w:val="single" w:sz="6" w:space="0" w:color="auto"/>
              <w:right w:val="single" w:sz="6" w:space="0" w:color="auto"/>
            </w:tcBorders>
            <w:hideMark/>
          </w:tcPr>
          <w:p w14:paraId="7046EE7F" w14:textId="270447AF"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F85367">
              <w:rPr>
                <w:rFonts w:ascii="Arial Narrow" w:eastAsiaTheme="majorEastAsia" w:hAnsi="Arial Narrow" w:cstheme="majorBidi"/>
                <w:bCs/>
                <w:sz w:val="20"/>
                <w:vertAlign w:val="superscript"/>
              </w:rPr>
              <w:t>1</w:t>
            </w:r>
          </w:p>
        </w:tc>
        <w:tc>
          <w:tcPr>
            <w:tcW w:w="1140" w:type="dxa"/>
            <w:tcBorders>
              <w:top w:val="single" w:sz="6" w:space="0" w:color="auto"/>
              <w:left w:val="single" w:sz="6" w:space="0" w:color="auto"/>
              <w:bottom w:val="single" w:sz="6" w:space="0" w:color="auto"/>
              <w:right w:val="single" w:sz="6" w:space="0" w:color="auto"/>
            </w:tcBorders>
            <w:hideMark/>
          </w:tcPr>
          <w:p w14:paraId="6C3873D9" w14:textId="08632022"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F85367">
              <w:rPr>
                <w:rFonts w:ascii="Arial Narrow" w:eastAsiaTheme="majorEastAsia" w:hAnsi="Arial Narrow" w:cstheme="majorBidi"/>
                <w:bCs/>
                <w:sz w:val="20"/>
                <w:vertAlign w:val="superscript"/>
              </w:rPr>
              <w:t>1</w:t>
            </w:r>
          </w:p>
        </w:tc>
      </w:tr>
      <w:tr w:rsidR="00B94C43" w:rsidRPr="00F55E9B" w14:paraId="6C8E44B0" w14:textId="77777777" w:rsidTr="00A8333A">
        <w:trPr>
          <w:trHeight w:val="300"/>
        </w:trPr>
        <w:tc>
          <w:tcPr>
            <w:tcW w:w="2396" w:type="dxa"/>
            <w:tcBorders>
              <w:top w:val="single" w:sz="6" w:space="0" w:color="auto"/>
              <w:left w:val="single" w:sz="6" w:space="0" w:color="auto"/>
              <w:bottom w:val="single" w:sz="6" w:space="0" w:color="auto"/>
              <w:right w:val="single" w:sz="6" w:space="0" w:color="auto"/>
            </w:tcBorders>
            <w:vAlign w:val="center"/>
            <w:hideMark/>
          </w:tcPr>
          <w:p w14:paraId="2ADFF170" w14:textId="2F5FCDE6" w:rsidR="00B94C43" w:rsidRPr="00F55E9B" w:rsidRDefault="00B94C43" w:rsidP="00370D8E">
            <w:pPr>
              <w:keepNext/>
              <w:jc w:val="left"/>
              <w:textAlignment w:val="baseline"/>
              <w:rPr>
                <w:rFonts w:ascii="Times New Roman" w:hAnsi="Times New Roman" w:cs="Times New Roman"/>
              </w:rPr>
            </w:pPr>
            <w:r w:rsidRPr="00F55E9B">
              <w:rPr>
                <w:rFonts w:ascii="Arial Narrow" w:hAnsi="Arial Narrow" w:cs="Times New Roman"/>
                <w:sz w:val="20"/>
                <w:szCs w:val="20"/>
              </w:rPr>
              <w:t xml:space="preserve">Number of scripts dispensed (corrected) </w:t>
            </w:r>
            <w:r w:rsidRPr="00F55E9B">
              <w:rPr>
                <w:rFonts w:ascii="Arial Narrow" w:hAnsi="Arial Narrow" w:cs="Times New Roman"/>
                <w:sz w:val="16"/>
                <w:szCs w:val="16"/>
                <w:vertAlign w:val="superscript"/>
              </w:rPr>
              <w:t>a</w:t>
            </w:r>
            <w:r w:rsidRPr="00F55E9B">
              <w:rPr>
                <w:rFonts w:ascii="Arial Narrow" w:hAnsi="Arial Narrow" w:cs="Times New Roman"/>
                <w:sz w:val="16"/>
                <w:szCs w:val="16"/>
              </w:rPr>
              <w:t> </w:t>
            </w:r>
          </w:p>
        </w:tc>
        <w:tc>
          <w:tcPr>
            <w:tcW w:w="1094" w:type="dxa"/>
            <w:tcBorders>
              <w:top w:val="single" w:sz="6" w:space="0" w:color="auto"/>
              <w:left w:val="single" w:sz="6" w:space="0" w:color="auto"/>
              <w:bottom w:val="single" w:sz="6" w:space="0" w:color="auto"/>
              <w:right w:val="single" w:sz="6" w:space="0" w:color="auto"/>
            </w:tcBorders>
            <w:vAlign w:val="center"/>
            <w:hideMark/>
          </w:tcPr>
          <w:p w14:paraId="6C3E18AC" w14:textId="38D1FA58"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002641">
              <w:rPr>
                <w:rFonts w:ascii="Arial Narrow" w:eastAsiaTheme="majorEastAsia" w:hAnsi="Arial Narrow" w:cstheme="majorBidi"/>
                <w:bCs/>
                <w:sz w:val="20"/>
                <w:vertAlign w:val="superscript"/>
              </w:rPr>
              <w:t>2</w:t>
            </w:r>
          </w:p>
        </w:tc>
        <w:tc>
          <w:tcPr>
            <w:tcW w:w="1095" w:type="dxa"/>
            <w:tcBorders>
              <w:top w:val="single" w:sz="6" w:space="0" w:color="auto"/>
              <w:left w:val="single" w:sz="6" w:space="0" w:color="auto"/>
              <w:bottom w:val="single" w:sz="6" w:space="0" w:color="auto"/>
              <w:right w:val="single" w:sz="6" w:space="0" w:color="auto"/>
            </w:tcBorders>
            <w:vAlign w:val="center"/>
            <w:hideMark/>
          </w:tcPr>
          <w:p w14:paraId="25456729" w14:textId="7891AF70"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002641">
              <w:rPr>
                <w:rFonts w:ascii="Arial Narrow" w:eastAsiaTheme="majorEastAsia" w:hAnsi="Arial Narrow" w:cstheme="majorBidi"/>
                <w:bCs/>
                <w:sz w:val="20"/>
                <w:vertAlign w:val="superscript"/>
              </w:rPr>
              <w:t>2</w:t>
            </w:r>
          </w:p>
        </w:tc>
        <w:tc>
          <w:tcPr>
            <w:tcW w:w="1095" w:type="dxa"/>
            <w:tcBorders>
              <w:top w:val="single" w:sz="6" w:space="0" w:color="auto"/>
              <w:left w:val="single" w:sz="6" w:space="0" w:color="auto"/>
              <w:bottom w:val="single" w:sz="6" w:space="0" w:color="auto"/>
              <w:right w:val="single" w:sz="6" w:space="0" w:color="auto"/>
            </w:tcBorders>
            <w:vAlign w:val="center"/>
            <w:hideMark/>
          </w:tcPr>
          <w:p w14:paraId="7293604A" w14:textId="29EA0FB7"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00B94C43" w:rsidRPr="00301161">
              <w:rPr>
                <w:rFonts w:ascii="Arial Narrow" w:hAnsi="Arial Narrow" w:cs="Times New Roman"/>
                <w:sz w:val="20"/>
                <w:szCs w:val="20"/>
              </w:rPr>
              <w:t> </w:t>
            </w:r>
            <w:r w:rsidR="00431E27" w:rsidRPr="00002641">
              <w:rPr>
                <w:rFonts w:ascii="Arial Narrow" w:eastAsiaTheme="majorEastAsia" w:hAnsi="Arial Narrow" w:cstheme="majorBidi"/>
                <w:bCs/>
                <w:sz w:val="20"/>
                <w:vertAlign w:val="superscript"/>
              </w:rPr>
              <w:t>2</w:t>
            </w:r>
          </w:p>
        </w:tc>
        <w:tc>
          <w:tcPr>
            <w:tcW w:w="1095" w:type="dxa"/>
            <w:tcBorders>
              <w:top w:val="single" w:sz="6" w:space="0" w:color="auto"/>
              <w:left w:val="single" w:sz="6" w:space="0" w:color="auto"/>
              <w:bottom w:val="single" w:sz="6" w:space="0" w:color="auto"/>
              <w:right w:val="single" w:sz="6" w:space="0" w:color="auto"/>
            </w:tcBorders>
            <w:vAlign w:val="center"/>
            <w:hideMark/>
          </w:tcPr>
          <w:p w14:paraId="1AE1F344" w14:textId="57B58A74"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002641">
              <w:rPr>
                <w:rFonts w:ascii="Arial Narrow" w:eastAsiaTheme="majorEastAsia" w:hAnsi="Arial Narrow" w:cstheme="majorBidi"/>
                <w:bCs/>
                <w:sz w:val="20"/>
                <w:vertAlign w:val="superscript"/>
              </w:rPr>
              <w:t>2</w:t>
            </w:r>
          </w:p>
        </w:tc>
        <w:tc>
          <w:tcPr>
            <w:tcW w:w="1095" w:type="dxa"/>
            <w:tcBorders>
              <w:top w:val="single" w:sz="6" w:space="0" w:color="auto"/>
              <w:left w:val="single" w:sz="6" w:space="0" w:color="auto"/>
              <w:bottom w:val="single" w:sz="6" w:space="0" w:color="auto"/>
              <w:right w:val="single" w:sz="6" w:space="0" w:color="auto"/>
            </w:tcBorders>
            <w:vAlign w:val="center"/>
            <w:hideMark/>
          </w:tcPr>
          <w:p w14:paraId="693E3F42" w14:textId="4FB0F172"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002641">
              <w:rPr>
                <w:rFonts w:ascii="Arial Narrow" w:eastAsiaTheme="majorEastAsia" w:hAnsi="Arial Narrow" w:cstheme="majorBidi"/>
                <w:bCs/>
                <w:sz w:val="20"/>
                <w:vertAlign w:val="superscript"/>
              </w:rPr>
              <w:t>2</w:t>
            </w:r>
          </w:p>
        </w:tc>
        <w:tc>
          <w:tcPr>
            <w:tcW w:w="1140" w:type="dxa"/>
            <w:tcBorders>
              <w:top w:val="single" w:sz="6" w:space="0" w:color="auto"/>
              <w:left w:val="single" w:sz="6" w:space="0" w:color="auto"/>
              <w:bottom w:val="single" w:sz="6" w:space="0" w:color="auto"/>
              <w:right w:val="single" w:sz="6" w:space="0" w:color="auto"/>
            </w:tcBorders>
            <w:vAlign w:val="center"/>
            <w:hideMark/>
          </w:tcPr>
          <w:p w14:paraId="140DB2BA" w14:textId="69C635B9"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00B94C43" w:rsidRPr="00002641">
              <w:rPr>
                <w:rFonts w:ascii="Arial Narrow" w:hAnsi="Arial Narrow" w:cs="Times New Roman"/>
                <w:sz w:val="20"/>
                <w:szCs w:val="20"/>
                <w:vertAlign w:val="superscript"/>
              </w:rPr>
              <w:t> </w:t>
            </w:r>
            <w:r w:rsidR="00431E27" w:rsidRPr="00002641">
              <w:rPr>
                <w:rFonts w:ascii="Arial Narrow" w:hAnsi="Arial Narrow" w:cs="Times New Roman"/>
                <w:sz w:val="20"/>
                <w:szCs w:val="20"/>
                <w:vertAlign w:val="superscript"/>
              </w:rPr>
              <w:t>2</w:t>
            </w:r>
          </w:p>
        </w:tc>
      </w:tr>
      <w:tr w:rsidR="00B94C43" w:rsidRPr="00F55E9B" w14:paraId="1930D85A" w14:textId="77777777" w:rsidTr="00A8333A">
        <w:trPr>
          <w:trHeight w:val="300"/>
        </w:trPr>
        <w:tc>
          <w:tcPr>
            <w:tcW w:w="2396" w:type="dxa"/>
            <w:tcBorders>
              <w:top w:val="single" w:sz="6" w:space="0" w:color="auto"/>
              <w:left w:val="single" w:sz="6" w:space="0" w:color="auto"/>
              <w:bottom w:val="single" w:sz="6" w:space="0" w:color="auto"/>
              <w:right w:val="single" w:sz="6" w:space="0" w:color="auto"/>
            </w:tcBorders>
            <w:vAlign w:val="center"/>
            <w:hideMark/>
          </w:tcPr>
          <w:p w14:paraId="28EDF9D7" w14:textId="1FD8377B" w:rsidR="00B94C43" w:rsidRPr="00F55E9B" w:rsidRDefault="00B94C43" w:rsidP="00370D8E">
            <w:pPr>
              <w:keepNext/>
              <w:jc w:val="left"/>
              <w:textAlignment w:val="baseline"/>
              <w:rPr>
                <w:rFonts w:ascii="Times New Roman" w:hAnsi="Times New Roman" w:cs="Times New Roman"/>
              </w:rPr>
            </w:pPr>
            <w:r w:rsidRPr="00F55E9B">
              <w:rPr>
                <w:rFonts w:ascii="Arial Narrow" w:hAnsi="Arial Narrow" w:cs="Times New Roman"/>
                <w:b/>
                <w:bCs/>
                <w:sz w:val="20"/>
                <w:szCs w:val="20"/>
              </w:rPr>
              <w:t>Net cost to the PBS/RPBS (corrected)</w:t>
            </w:r>
            <w:r w:rsidRPr="00F55E9B">
              <w:rPr>
                <w:rFonts w:ascii="Arial Narrow" w:hAnsi="Arial Narrow" w:cs="Times New Roman"/>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hideMark/>
          </w:tcPr>
          <w:p w14:paraId="4C968825" w14:textId="6D7DE996" w:rsidR="00B94C43" w:rsidRPr="001255E2" w:rsidRDefault="00B94C43" w:rsidP="00370D8E">
            <w:pPr>
              <w:keepNext/>
              <w:jc w:val="center"/>
              <w:textAlignment w:val="baseline"/>
              <w:rPr>
                <w:rFonts w:ascii="Times New Roman" w:hAnsi="Times New Roman" w:cs="Times New Roman"/>
              </w:rPr>
            </w:pPr>
            <w:r w:rsidRPr="001255E2">
              <w:rPr>
                <w:rFonts w:ascii="Arial Narrow" w:hAnsi="Arial Narrow" w:cs="Times New Roman"/>
                <w:b/>
                <w:bCs/>
                <w:sz w:val="20"/>
                <w:szCs w:val="20"/>
              </w:rPr>
              <w:t>$</w:t>
            </w:r>
            <w:r w:rsidR="00994C8B" w:rsidRPr="00994C8B">
              <w:rPr>
                <w:rFonts w:ascii="Arial Narrow" w:hAnsi="Arial Narrow" w:cs="Times New Roman"/>
                <w:b/>
                <w:bCs/>
                <w:sz w:val="20"/>
                <w:szCs w:val="20"/>
                <w:highlight w:val="black"/>
              </w:rPr>
              <w:t>&amp;&amp;&amp;&amp;</w:t>
            </w:r>
            <w:r w:rsidR="00A2485A" w:rsidRPr="00002641">
              <w:rPr>
                <w:rFonts w:ascii="Arial Narrow" w:eastAsiaTheme="majorEastAsia" w:hAnsi="Arial Narrow" w:cstheme="majorBidi"/>
                <w:bCs/>
                <w:sz w:val="20"/>
                <w:vertAlign w:val="superscript"/>
              </w:rPr>
              <w:t>4</w:t>
            </w:r>
            <w:r w:rsidRPr="001255E2">
              <w:rPr>
                <w:rFonts w:ascii="Arial Narrow" w:hAnsi="Arial Narrow" w:cs="Times New Roman"/>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45F1C184" w14:textId="7D3BD619" w:rsidR="00B94C43" w:rsidRPr="001255E2" w:rsidRDefault="00B94C43" w:rsidP="00370D8E">
            <w:pPr>
              <w:keepNext/>
              <w:jc w:val="center"/>
              <w:textAlignment w:val="baseline"/>
              <w:rPr>
                <w:rFonts w:ascii="Times New Roman" w:hAnsi="Times New Roman" w:cs="Times New Roman"/>
              </w:rPr>
            </w:pPr>
            <w:r w:rsidRPr="001255E2">
              <w:rPr>
                <w:rFonts w:ascii="Arial Narrow" w:hAnsi="Arial Narrow" w:cs="Times New Roman"/>
                <w:b/>
                <w:bCs/>
                <w:sz w:val="20"/>
                <w:szCs w:val="20"/>
              </w:rPr>
              <w:t>$</w:t>
            </w:r>
            <w:r w:rsidR="00994C8B" w:rsidRPr="00994C8B">
              <w:rPr>
                <w:rFonts w:ascii="Arial Narrow" w:hAnsi="Arial Narrow" w:cs="Times New Roman"/>
                <w:b/>
                <w:bCs/>
                <w:sz w:val="20"/>
                <w:szCs w:val="20"/>
                <w:highlight w:val="black"/>
              </w:rPr>
              <w:t>&amp;&amp;&amp;&amp;</w:t>
            </w:r>
            <w:r w:rsidR="00A2485A" w:rsidRPr="00002641">
              <w:rPr>
                <w:rFonts w:ascii="Arial Narrow" w:eastAsiaTheme="majorEastAsia" w:hAnsi="Arial Narrow" w:cstheme="majorBidi"/>
                <w:bCs/>
                <w:sz w:val="20"/>
                <w:vertAlign w:val="superscript"/>
              </w:rPr>
              <w:t>6</w:t>
            </w:r>
            <w:r w:rsidRPr="001255E2">
              <w:rPr>
                <w:rFonts w:ascii="Arial Narrow" w:hAnsi="Arial Narrow" w:cs="Times New Roman"/>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6699C921" w14:textId="198E33AD" w:rsidR="00B94C43" w:rsidRPr="001255E2" w:rsidRDefault="00B94C43" w:rsidP="00370D8E">
            <w:pPr>
              <w:keepNext/>
              <w:jc w:val="center"/>
              <w:textAlignment w:val="baseline"/>
              <w:rPr>
                <w:rFonts w:ascii="Times New Roman" w:hAnsi="Times New Roman" w:cs="Times New Roman"/>
              </w:rPr>
            </w:pPr>
            <w:r w:rsidRPr="001255E2">
              <w:rPr>
                <w:rFonts w:ascii="Arial Narrow" w:hAnsi="Arial Narrow" w:cs="Times New Roman"/>
                <w:b/>
                <w:bCs/>
                <w:sz w:val="20"/>
                <w:szCs w:val="20"/>
              </w:rPr>
              <w:t>$</w:t>
            </w:r>
            <w:r w:rsidR="00994C8B" w:rsidRPr="00994C8B">
              <w:rPr>
                <w:rFonts w:ascii="Arial Narrow" w:hAnsi="Arial Narrow" w:cs="Times New Roman"/>
                <w:b/>
                <w:bCs/>
                <w:sz w:val="20"/>
                <w:szCs w:val="20"/>
                <w:highlight w:val="black"/>
              </w:rPr>
              <w:t>&amp;&amp;&amp;&amp;</w:t>
            </w:r>
            <w:r w:rsidR="00A2485A" w:rsidRPr="00002641">
              <w:rPr>
                <w:rFonts w:ascii="Arial Narrow" w:eastAsiaTheme="majorEastAsia" w:hAnsi="Arial Narrow" w:cstheme="majorBidi"/>
                <w:bCs/>
                <w:sz w:val="20"/>
                <w:vertAlign w:val="superscript"/>
              </w:rPr>
              <w:t>7</w:t>
            </w:r>
            <w:r w:rsidRPr="001255E2">
              <w:rPr>
                <w:rFonts w:ascii="Arial Narrow" w:hAnsi="Arial Narrow" w:cs="Times New Roman"/>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34C5F192" w14:textId="512DBEC9" w:rsidR="00B94C43" w:rsidRPr="001255E2" w:rsidRDefault="00B94C43" w:rsidP="00370D8E">
            <w:pPr>
              <w:keepNext/>
              <w:jc w:val="center"/>
              <w:textAlignment w:val="baseline"/>
              <w:rPr>
                <w:rFonts w:ascii="Times New Roman" w:hAnsi="Times New Roman" w:cs="Times New Roman"/>
              </w:rPr>
            </w:pPr>
            <w:r w:rsidRPr="001255E2">
              <w:rPr>
                <w:rFonts w:ascii="Arial Narrow" w:hAnsi="Arial Narrow" w:cs="Times New Roman"/>
                <w:b/>
                <w:bCs/>
                <w:sz w:val="20"/>
                <w:szCs w:val="20"/>
              </w:rPr>
              <w:t>$</w:t>
            </w:r>
            <w:r w:rsidR="00994C8B" w:rsidRPr="00994C8B">
              <w:rPr>
                <w:rFonts w:ascii="Arial Narrow" w:hAnsi="Arial Narrow" w:cs="Times New Roman"/>
                <w:b/>
                <w:bCs/>
                <w:sz w:val="20"/>
                <w:szCs w:val="20"/>
                <w:highlight w:val="black"/>
              </w:rPr>
              <w:t>&amp;&amp;&amp;&amp;</w:t>
            </w:r>
            <w:r w:rsidR="00A2485A" w:rsidRPr="00002641">
              <w:rPr>
                <w:rFonts w:ascii="Arial Narrow" w:eastAsiaTheme="majorEastAsia" w:hAnsi="Arial Narrow" w:cstheme="majorBidi"/>
                <w:bCs/>
                <w:sz w:val="20"/>
                <w:vertAlign w:val="superscript"/>
              </w:rPr>
              <w:t>7</w:t>
            </w:r>
            <w:r w:rsidRPr="001255E2">
              <w:rPr>
                <w:rFonts w:ascii="Arial Narrow" w:hAnsi="Arial Narrow" w:cs="Times New Roman"/>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28D14E2C" w14:textId="1D5A2026" w:rsidR="00B94C43" w:rsidRPr="001255E2" w:rsidRDefault="00B94C43" w:rsidP="00370D8E">
            <w:pPr>
              <w:keepNext/>
              <w:jc w:val="center"/>
              <w:textAlignment w:val="baseline"/>
              <w:rPr>
                <w:rFonts w:ascii="Times New Roman" w:hAnsi="Times New Roman" w:cs="Times New Roman"/>
              </w:rPr>
            </w:pPr>
            <w:r w:rsidRPr="001255E2">
              <w:rPr>
                <w:rFonts w:ascii="Arial Narrow" w:hAnsi="Arial Narrow" w:cs="Times New Roman"/>
                <w:b/>
                <w:bCs/>
                <w:sz w:val="20"/>
                <w:szCs w:val="20"/>
              </w:rPr>
              <w:t>$</w:t>
            </w:r>
            <w:r w:rsidR="00994C8B" w:rsidRPr="00994C8B">
              <w:rPr>
                <w:rFonts w:ascii="Arial Narrow" w:hAnsi="Arial Narrow" w:cs="Times New Roman"/>
                <w:b/>
                <w:bCs/>
                <w:sz w:val="20"/>
                <w:szCs w:val="20"/>
                <w:highlight w:val="black"/>
              </w:rPr>
              <w:t>&amp;&amp;&amp;&amp;</w:t>
            </w:r>
            <w:r w:rsidR="00073947" w:rsidRPr="00002641">
              <w:rPr>
                <w:rFonts w:ascii="Arial Narrow" w:eastAsiaTheme="majorEastAsia" w:hAnsi="Arial Narrow" w:cstheme="majorBidi"/>
                <w:bCs/>
                <w:sz w:val="20"/>
                <w:vertAlign w:val="superscript"/>
              </w:rPr>
              <w:t>8</w:t>
            </w:r>
            <w:r w:rsidRPr="001255E2">
              <w:rPr>
                <w:rFonts w:ascii="Arial Narrow" w:hAnsi="Arial Narrow" w:cs="Times New Roman"/>
                <w:sz w:val="20"/>
                <w:szCs w:val="20"/>
              </w:rPr>
              <w:t>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00B0C98D" w14:textId="2565FBF2" w:rsidR="00B94C43" w:rsidRPr="001255E2" w:rsidRDefault="00B94C43" w:rsidP="00370D8E">
            <w:pPr>
              <w:keepNext/>
              <w:jc w:val="center"/>
              <w:textAlignment w:val="baseline"/>
              <w:rPr>
                <w:rFonts w:ascii="Times New Roman" w:hAnsi="Times New Roman" w:cs="Times New Roman"/>
              </w:rPr>
            </w:pPr>
            <w:r w:rsidRPr="001255E2">
              <w:rPr>
                <w:rFonts w:ascii="Arial Narrow" w:hAnsi="Arial Narrow" w:cs="Times New Roman"/>
                <w:b/>
                <w:bCs/>
                <w:sz w:val="20"/>
                <w:szCs w:val="20"/>
              </w:rPr>
              <w:t>$</w:t>
            </w:r>
            <w:r w:rsidR="00994C8B" w:rsidRPr="00994C8B">
              <w:rPr>
                <w:rFonts w:ascii="Arial Narrow" w:hAnsi="Arial Narrow" w:cs="Times New Roman"/>
                <w:b/>
                <w:bCs/>
                <w:sz w:val="20"/>
                <w:szCs w:val="20"/>
                <w:highlight w:val="black"/>
              </w:rPr>
              <w:t>&amp;&amp;&amp;&amp;</w:t>
            </w:r>
            <w:r w:rsidR="00073947" w:rsidRPr="00002641">
              <w:rPr>
                <w:rFonts w:ascii="Arial Narrow" w:eastAsiaTheme="majorEastAsia" w:hAnsi="Arial Narrow" w:cstheme="majorBidi"/>
                <w:bCs/>
                <w:sz w:val="20"/>
                <w:vertAlign w:val="superscript"/>
              </w:rPr>
              <w:t>8</w:t>
            </w:r>
            <w:r w:rsidRPr="00002641">
              <w:rPr>
                <w:rFonts w:ascii="Arial Narrow" w:eastAsiaTheme="majorEastAsia" w:hAnsi="Arial Narrow" w:cstheme="majorBidi"/>
                <w:bCs/>
                <w:sz w:val="20"/>
                <w:vertAlign w:val="superscript"/>
              </w:rPr>
              <w:t> </w:t>
            </w:r>
          </w:p>
        </w:tc>
      </w:tr>
      <w:tr w:rsidR="00B94C43" w:rsidRPr="00F55E9B" w14:paraId="5FA89FF1" w14:textId="77777777" w:rsidTr="00A8333A">
        <w:trPr>
          <w:trHeight w:val="300"/>
        </w:trPr>
        <w:tc>
          <w:tcPr>
            <w:tcW w:w="2396" w:type="dxa"/>
            <w:tcBorders>
              <w:top w:val="single" w:sz="6" w:space="0" w:color="auto"/>
              <w:left w:val="single" w:sz="6" w:space="0" w:color="auto"/>
              <w:bottom w:val="single" w:sz="6" w:space="0" w:color="auto"/>
              <w:right w:val="single" w:sz="6" w:space="0" w:color="auto"/>
            </w:tcBorders>
            <w:vAlign w:val="center"/>
            <w:hideMark/>
          </w:tcPr>
          <w:p w14:paraId="01E8BC08" w14:textId="77777777" w:rsidR="00B94C43" w:rsidRPr="00F55E9B" w:rsidRDefault="00B94C43" w:rsidP="00370D8E">
            <w:pPr>
              <w:keepNext/>
              <w:jc w:val="left"/>
              <w:textAlignment w:val="baseline"/>
              <w:rPr>
                <w:rFonts w:ascii="Times New Roman" w:hAnsi="Times New Roman" w:cs="Times New Roman"/>
              </w:rPr>
            </w:pPr>
            <w:r w:rsidRPr="00F55E9B">
              <w:rPr>
                <w:rFonts w:ascii="Arial Narrow" w:hAnsi="Arial Narrow" w:cs="Times New Roman"/>
                <w:sz w:val="20"/>
                <w:szCs w:val="20"/>
              </w:rPr>
              <w:t xml:space="preserve">Cost to the MBS </w:t>
            </w:r>
            <w:r w:rsidRPr="00F55E9B">
              <w:rPr>
                <w:rFonts w:ascii="Arial Narrow" w:hAnsi="Arial Narrow" w:cs="Times New Roman"/>
                <w:sz w:val="16"/>
                <w:szCs w:val="16"/>
                <w:vertAlign w:val="superscript"/>
              </w:rPr>
              <w:t>b</w:t>
            </w:r>
            <w:r w:rsidRPr="00F55E9B">
              <w:rPr>
                <w:rFonts w:ascii="Arial Narrow" w:hAnsi="Arial Narrow" w:cs="Times New Roman"/>
                <w:sz w:val="16"/>
                <w:szCs w:val="16"/>
              </w:rPr>
              <w:t> </w:t>
            </w:r>
          </w:p>
        </w:tc>
        <w:tc>
          <w:tcPr>
            <w:tcW w:w="1094" w:type="dxa"/>
            <w:tcBorders>
              <w:top w:val="single" w:sz="6" w:space="0" w:color="auto"/>
              <w:left w:val="single" w:sz="6" w:space="0" w:color="auto"/>
              <w:bottom w:val="single" w:sz="6" w:space="0" w:color="auto"/>
              <w:right w:val="single" w:sz="6" w:space="0" w:color="auto"/>
            </w:tcBorders>
            <w:hideMark/>
          </w:tcPr>
          <w:p w14:paraId="58823AE3" w14:textId="2F2402A7"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002641">
              <w:rPr>
                <w:rFonts w:ascii="Arial Narrow" w:eastAsiaTheme="majorEastAsia" w:hAnsi="Arial Narrow" w:cstheme="majorBidi"/>
                <w:bCs/>
                <w:sz w:val="20"/>
                <w:vertAlign w:val="superscript"/>
              </w:rPr>
              <w:t>3</w:t>
            </w:r>
          </w:p>
        </w:tc>
        <w:tc>
          <w:tcPr>
            <w:tcW w:w="1095" w:type="dxa"/>
            <w:tcBorders>
              <w:top w:val="single" w:sz="6" w:space="0" w:color="auto"/>
              <w:left w:val="single" w:sz="6" w:space="0" w:color="auto"/>
              <w:bottom w:val="single" w:sz="6" w:space="0" w:color="auto"/>
              <w:right w:val="single" w:sz="6" w:space="0" w:color="auto"/>
            </w:tcBorders>
            <w:hideMark/>
          </w:tcPr>
          <w:p w14:paraId="1719EC9A" w14:textId="2D80834C"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002641">
              <w:rPr>
                <w:rFonts w:ascii="Arial Narrow" w:eastAsiaTheme="majorEastAsia" w:hAnsi="Arial Narrow" w:cstheme="majorBidi"/>
                <w:bCs/>
                <w:sz w:val="20"/>
                <w:vertAlign w:val="superscript"/>
              </w:rPr>
              <w:t>3</w:t>
            </w:r>
          </w:p>
        </w:tc>
        <w:tc>
          <w:tcPr>
            <w:tcW w:w="1095" w:type="dxa"/>
            <w:tcBorders>
              <w:top w:val="single" w:sz="6" w:space="0" w:color="auto"/>
              <w:left w:val="single" w:sz="6" w:space="0" w:color="auto"/>
              <w:bottom w:val="single" w:sz="6" w:space="0" w:color="auto"/>
              <w:right w:val="single" w:sz="6" w:space="0" w:color="auto"/>
            </w:tcBorders>
            <w:hideMark/>
          </w:tcPr>
          <w:p w14:paraId="58967F60" w14:textId="6187293E"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002641">
              <w:rPr>
                <w:rFonts w:ascii="Arial Narrow" w:eastAsiaTheme="majorEastAsia" w:hAnsi="Arial Narrow" w:cstheme="majorBidi"/>
                <w:bCs/>
                <w:sz w:val="20"/>
                <w:vertAlign w:val="superscript"/>
              </w:rPr>
              <w:t>3</w:t>
            </w:r>
          </w:p>
        </w:tc>
        <w:tc>
          <w:tcPr>
            <w:tcW w:w="1095" w:type="dxa"/>
            <w:tcBorders>
              <w:top w:val="single" w:sz="6" w:space="0" w:color="auto"/>
              <w:left w:val="single" w:sz="6" w:space="0" w:color="auto"/>
              <w:bottom w:val="single" w:sz="6" w:space="0" w:color="auto"/>
              <w:right w:val="single" w:sz="6" w:space="0" w:color="auto"/>
            </w:tcBorders>
            <w:hideMark/>
          </w:tcPr>
          <w:p w14:paraId="20A15EE4" w14:textId="3337948A"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002641">
              <w:rPr>
                <w:rFonts w:ascii="Arial Narrow" w:eastAsiaTheme="majorEastAsia" w:hAnsi="Arial Narrow" w:cstheme="majorBidi"/>
                <w:bCs/>
                <w:sz w:val="20"/>
                <w:vertAlign w:val="superscript"/>
              </w:rPr>
              <w:t>3</w:t>
            </w:r>
          </w:p>
        </w:tc>
        <w:tc>
          <w:tcPr>
            <w:tcW w:w="1095" w:type="dxa"/>
            <w:tcBorders>
              <w:top w:val="single" w:sz="6" w:space="0" w:color="auto"/>
              <w:left w:val="single" w:sz="6" w:space="0" w:color="auto"/>
              <w:bottom w:val="single" w:sz="6" w:space="0" w:color="auto"/>
              <w:right w:val="single" w:sz="6" w:space="0" w:color="auto"/>
            </w:tcBorders>
            <w:hideMark/>
          </w:tcPr>
          <w:p w14:paraId="69C22293" w14:textId="189400B0"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002641">
              <w:rPr>
                <w:rFonts w:ascii="Arial Narrow" w:eastAsiaTheme="majorEastAsia" w:hAnsi="Arial Narrow" w:cstheme="majorBidi"/>
                <w:bCs/>
                <w:sz w:val="20"/>
                <w:vertAlign w:val="superscript"/>
              </w:rPr>
              <w:t>3</w:t>
            </w:r>
          </w:p>
        </w:tc>
        <w:tc>
          <w:tcPr>
            <w:tcW w:w="1140" w:type="dxa"/>
            <w:tcBorders>
              <w:top w:val="single" w:sz="6" w:space="0" w:color="auto"/>
              <w:left w:val="single" w:sz="6" w:space="0" w:color="auto"/>
              <w:bottom w:val="single" w:sz="6" w:space="0" w:color="auto"/>
              <w:right w:val="single" w:sz="6" w:space="0" w:color="auto"/>
            </w:tcBorders>
            <w:hideMark/>
          </w:tcPr>
          <w:p w14:paraId="57B541C2" w14:textId="567F8DBB" w:rsidR="00B94C43" w:rsidRPr="00431E27" w:rsidRDefault="00994C8B" w:rsidP="00370D8E">
            <w:pPr>
              <w:keepNext/>
              <w:jc w:val="center"/>
              <w:textAlignment w:val="baseline"/>
              <w:rPr>
                <w:rFonts w:ascii="Times New Roman" w:hAnsi="Times New Roman" w:cs="Times New Roman"/>
                <w:highlight w:val="darkGray"/>
              </w:rPr>
            </w:pPr>
            <w:r w:rsidRPr="00994C8B">
              <w:rPr>
                <w:rFonts w:ascii="Arial Narrow" w:hAnsi="Arial Narrow" w:cs="Times New Roman"/>
                <w:sz w:val="20"/>
                <w:szCs w:val="20"/>
                <w:highlight w:val="black"/>
              </w:rPr>
              <w:t>&amp;&amp;&amp;&amp;</w:t>
            </w:r>
            <w:r w:rsidRPr="00994C8B">
              <w:rPr>
                <w:rFonts w:ascii="Arial Narrow" w:hAnsi="Arial Narrow" w:cs="Times New Roman"/>
                <w:sz w:val="20"/>
                <w:szCs w:val="20"/>
              </w:rPr>
              <w:t xml:space="preserve"> </w:t>
            </w:r>
            <w:r w:rsidR="00431E27" w:rsidRPr="00002641">
              <w:rPr>
                <w:rFonts w:ascii="Arial Narrow" w:eastAsiaTheme="majorEastAsia" w:hAnsi="Arial Narrow" w:cstheme="majorBidi"/>
                <w:bCs/>
                <w:sz w:val="20"/>
                <w:vertAlign w:val="superscript"/>
              </w:rPr>
              <w:t>3</w:t>
            </w:r>
          </w:p>
        </w:tc>
      </w:tr>
      <w:tr w:rsidR="00B94C43" w:rsidRPr="00F55E9B" w14:paraId="21EA1DEC" w14:textId="77777777" w:rsidTr="00A8333A">
        <w:trPr>
          <w:trHeight w:val="300"/>
        </w:trPr>
        <w:tc>
          <w:tcPr>
            <w:tcW w:w="2396" w:type="dxa"/>
            <w:tcBorders>
              <w:top w:val="single" w:sz="6" w:space="0" w:color="auto"/>
              <w:left w:val="single" w:sz="6" w:space="0" w:color="auto"/>
              <w:bottom w:val="single" w:sz="6" w:space="0" w:color="auto"/>
              <w:right w:val="single" w:sz="6" w:space="0" w:color="auto"/>
            </w:tcBorders>
            <w:vAlign w:val="center"/>
            <w:hideMark/>
          </w:tcPr>
          <w:p w14:paraId="630CD30A" w14:textId="00B1091C" w:rsidR="00B94C43" w:rsidRPr="00F55E9B" w:rsidRDefault="00B94C43" w:rsidP="00370D8E">
            <w:pPr>
              <w:jc w:val="left"/>
              <w:textAlignment w:val="baseline"/>
              <w:rPr>
                <w:rFonts w:ascii="Times New Roman" w:hAnsi="Times New Roman" w:cs="Times New Roman"/>
              </w:rPr>
            </w:pPr>
            <w:r w:rsidRPr="00F55E9B">
              <w:rPr>
                <w:rFonts w:ascii="Arial Narrow" w:hAnsi="Arial Narrow" w:cs="Times New Roman"/>
                <w:b/>
                <w:bCs/>
                <w:sz w:val="20"/>
                <w:szCs w:val="20"/>
              </w:rPr>
              <w:t>Net cost to PBS/RPBS/MBS (corrected)</w:t>
            </w:r>
            <w:r w:rsidRPr="00F55E9B">
              <w:rPr>
                <w:rFonts w:ascii="Arial Narrow" w:hAnsi="Arial Narrow" w:cs="Times New Roman"/>
                <w:sz w:val="20"/>
                <w:szCs w:val="20"/>
              </w:rPr>
              <w:t> </w:t>
            </w:r>
          </w:p>
        </w:tc>
        <w:tc>
          <w:tcPr>
            <w:tcW w:w="1094" w:type="dxa"/>
            <w:tcBorders>
              <w:top w:val="single" w:sz="6" w:space="0" w:color="auto"/>
              <w:left w:val="single" w:sz="6" w:space="0" w:color="auto"/>
              <w:bottom w:val="single" w:sz="6" w:space="0" w:color="auto"/>
              <w:right w:val="single" w:sz="6" w:space="0" w:color="auto"/>
            </w:tcBorders>
            <w:vAlign w:val="center"/>
            <w:hideMark/>
          </w:tcPr>
          <w:p w14:paraId="7E091573" w14:textId="514E0D39" w:rsidR="00B94C43" w:rsidRPr="001255E2" w:rsidRDefault="00B94C43" w:rsidP="00370D8E">
            <w:pPr>
              <w:jc w:val="center"/>
              <w:textAlignment w:val="baseline"/>
              <w:rPr>
                <w:rFonts w:ascii="Times New Roman" w:hAnsi="Times New Roman" w:cs="Times New Roman"/>
              </w:rPr>
            </w:pPr>
            <w:r w:rsidRPr="001255E2">
              <w:rPr>
                <w:rFonts w:ascii="Arial Narrow" w:hAnsi="Arial Narrow" w:cs="Times New Roman"/>
                <w:b/>
                <w:bCs/>
                <w:sz w:val="20"/>
                <w:szCs w:val="20"/>
              </w:rPr>
              <w:t>$</w:t>
            </w:r>
            <w:r w:rsidR="00994C8B" w:rsidRPr="00994C8B">
              <w:rPr>
                <w:rFonts w:ascii="Arial Narrow" w:hAnsi="Arial Narrow" w:cs="Times New Roman"/>
                <w:b/>
                <w:bCs/>
                <w:sz w:val="20"/>
                <w:szCs w:val="20"/>
                <w:highlight w:val="black"/>
              </w:rPr>
              <w:t>&amp;&amp;&amp;&amp;</w:t>
            </w:r>
            <w:r w:rsidR="00A2485A" w:rsidRPr="00002641">
              <w:rPr>
                <w:rFonts w:ascii="Arial Narrow" w:eastAsiaTheme="majorEastAsia" w:hAnsi="Arial Narrow" w:cstheme="majorBidi"/>
                <w:bCs/>
                <w:sz w:val="20"/>
                <w:vertAlign w:val="superscript"/>
              </w:rPr>
              <w:t>4</w:t>
            </w:r>
            <w:r w:rsidRPr="00002641">
              <w:rPr>
                <w:rFonts w:ascii="Arial Narrow" w:eastAsiaTheme="majorEastAsia" w:hAnsi="Arial Narrow" w:cstheme="majorBidi"/>
                <w:bCs/>
                <w:sz w:val="20"/>
                <w:vertAlign w:val="superscript"/>
              </w:rPr>
              <w:t>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3D88CF6B" w14:textId="46EE1D8D" w:rsidR="00B94C43" w:rsidRPr="001255E2" w:rsidRDefault="00B94C43" w:rsidP="00370D8E">
            <w:pPr>
              <w:jc w:val="center"/>
              <w:textAlignment w:val="baseline"/>
              <w:rPr>
                <w:rFonts w:ascii="Times New Roman" w:hAnsi="Times New Roman" w:cs="Times New Roman"/>
              </w:rPr>
            </w:pPr>
            <w:r w:rsidRPr="001255E2">
              <w:rPr>
                <w:rFonts w:ascii="Arial Narrow" w:hAnsi="Arial Narrow" w:cs="Times New Roman"/>
                <w:b/>
                <w:bCs/>
                <w:sz w:val="20"/>
                <w:szCs w:val="20"/>
              </w:rPr>
              <w:t>$</w:t>
            </w:r>
            <w:r w:rsidR="00994C8B" w:rsidRPr="00994C8B">
              <w:rPr>
                <w:rFonts w:ascii="Arial Narrow" w:hAnsi="Arial Narrow" w:cs="Times New Roman"/>
                <w:b/>
                <w:bCs/>
                <w:sz w:val="20"/>
                <w:szCs w:val="20"/>
                <w:highlight w:val="black"/>
              </w:rPr>
              <w:t>&amp;&amp;&amp;&amp;</w:t>
            </w:r>
            <w:r w:rsidR="00A2485A" w:rsidRPr="00002641">
              <w:rPr>
                <w:rFonts w:ascii="Arial Narrow" w:eastAsiaTheme="majorEastAsia" w:hAnsi="Arial Narrow" w:cstheme="majorBidi"/>
                <w:bCs/>
                <w:sz w:val="20"/>
                <w:vertAlign w:val="superscript"/>
              </w:rPr>
              <w:t>6</w:t>
            </w:r>
            <w:r w:rsidRPr="001255E2">
              <w:rPr>
                <w:rFonts w:ascii="Arial Narrow" w:hAnsi="Arial Narrow" w:cs="Times New Roman"/>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448A126A" w14:textId="1F01C2C4" w:rsidR="00B94C43" w:rsidRPr="001255E2" w:rsidRDefault="00B94C43" w:rsidP="00370D8E">
            <w:pPr>
              <w:jc w:val="center"/>
              <w:textAlignment w:val="baseline"/>
              <w:rPr>
                <w:rFonts w:ascii="Times New Roman" w:hAnsi="Times New Roman" w:cs="Times New Roman"/>
              </w:rPr>
            </w:pPr>
            <w:r w:rsidRPr="001255E2">
              <w:rPr>
                <w:rFonts w:ascii="Arial Narrow" w:hAnsi="Arial Narrow" w:cs="Times New Roman"/>
                <w:b/>
                <w:bCs/>
                <w:sz w:val="20"/>
                <w:szCs w:val="20"/>
              </w:rPr>
              <w:t>$</w:t>
            </w:r>
            <w:r w:rsidR="00994C8B" w:rsidRPr="00994C8B">
              <w:rPr>
                <w:rFonts w:ascii="Arial Narrow" w:hAnsi="Arial Narrow" w:cs="Times New Roman"/>
                <w:b/>
                <w:bCs/>
                <w:sz w:val="20"/>
                <w:szCs w:val="20"/>
                <w:highlight w:val="black"/>
              </w:rPr>
              <w:t>&amp;&amp;&amp;&amp;</w:t>
            </w:r>
            <w:r w:rsidR="00A2485A" w:rsidRPr="00002641">
              <w:rPr>
                <w:rFonts w:ascii="Arial Narrow" w:eastAsiaTheme="majorEastAsia" w:hAnsi="Arial Narrow" w:cstheme="majorBidi"/>
                <w:bCs/>
                <w:sz w:val="20"/>
                <w:vertAlign w:val="superscript"/>
              </w:rPr>
              <w:t>7</w:t>
            </w:r>
            <w:r w:rsidRPr="001255E2">
              <w:rPr>
                <w:rFonts w:ascii="Arial Narrow" w:hAnsi="Arial Narrow" w:cs="Times New Roman"/>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7FF13E7A" w14:textId="1C93EB6B" w:rsidR="00B94C43" w:rsidRPr="001255E2" w:rsidRDefault="00B94C43" w:rsidP="00370D8E">
            <w:pPr>
              <w:jc w:val="center"/>
              <w:textAlignment w:val="baseline"/>
              <w:rPr>
                <w:rFonts w:ascii="Times New Roman" w:hAnsi="Times New Roman" w:cs="Times New Roman"/>
              </w:rPr>
            </w:pPr>
            <w:r w:rsidRPr="001255E2">
              <w:rPr>
                <w:rFonts w:ascii="Arial Narrow" w:hAnsi="Arial Narrow" w:cs="Times New Roman"/>
                <w:b/>
                <w:bCs/>
                <w:sz w:val="20"/>
                <w:szCs w:val="20"/>
              </w:rPr>
              <w:t>$</w:t>
            </w:r>
            <w:r w:rsidR="00994C8B" w:rsidRPr="00994C8B">
              <w:rPr>
                <w:rFonts w:ascii="Arial Narrow" w:hAnsi="Arial Narrow" w:cs="Times New Roman"/>
                <w:b/>
                <w:bCs/>
                <w:sz w:val="20"/>
                <w:szCs w:val="20"/>
                <w:highlight w:val="black"/>
              </w:rPr>
              <w:t>&amp;&amp;&amp;&amp;</w:t>
            </w:r>
            <w:r w:rsidR="00A2485A" w:rsidRPr="00002641">
              <w:rPr>
                <w:rFonts w:ascii="Arial Narrow" w:eastAsiaTheme="majorEastAsia" w:hAnsi="Arial Narrow" w:cstheme="majorBidi"/>
                <w:bCs/>
                <w:sz w:val="20"/>
                <w:vertAlign w:val="superscript"/>
              </w:rPr>
              <w:t>7</w:t>
            </w:r>
            <w:r w:rsidRPr="001255E2">
              <w:rPr>
                <w:rFonts w:ascii="Arial Narrow" w:hAnsi="Arial Narrow" w:cs="Times New Roman"/>
                <w:sz w:val="20"/>
                <w:szCs w:val="20"/>
              </w:rPr>
              <w:t> </w:t>
            </w:r>
          </w:p>
        </w:tc>
        <w:tc>
          <w:tcPr>
            <w:tcW w:w="1095" w:type="dxa"/>
            <w:tcBorders>
              <w:top w:val="single" w:sz="6" w:space="0" w:color="auto"/>
              <w:left w:val="single" w:sz="6" w:space="0" w:color="auto"/>
              <w:bottom w:val="single" w:sz="6" w:space="0" w:color="auto"/>
              <w:right w:val="single" w:sz="6" w:space="0" w:color="auto"/>
            </w:tcBorders>
            <w:vAlign w:val="center"/>
            <w:hideMark/>
          </w:tcPr>
          <w:p w14:paraId="64F6C395" w14:textId="32FAECA9" w:rsidR="00B94C43" w:rsidRPr="001255E2" w:rsidRDefault="00B94C43" w:rsidP="00370D8E">
            <w:pPr>
              <w:jc w:val="center"/>
              <w:textAlignment w:val="baseline"/>
              <w:rPr>
                <w:rFonts w:ascii="Times New Roman" w:hAnsi="Times New Roman" w:cs="Times New Roman"/>
              </w:rPr>
            </w:pPr>
            <w:r w:rsidRPr="001255E2">
              <w:rPr>
                <w:rFonts w:ascii="Arial Narrow" w:hAnsi="Arial Narrow" w:cs="Times New Roman"/>
                <w:b/>
                <w:bCs/>
                <w:sz w:val="20"/>
                <w:szCs w:val="20"/>
              </w:rPr>
              <w:t>$</w:t>
            </w:r>
            <w:r w:rsidR="00994C8B" w:rsidRPr="00994C8B">
              <w:rPr>
                <w:rFonts w:ascii="Arial Narrow" w:hAnsi="Arial Narrow" w:cs="Times New Roman"/>
                <w:b/>
                <w:bCs/>
                <w:sz w:val="20"/>
                <w:szCs w:val="20"/>
                <w:highlight w:val="black"/>
              </w:rPr>
              <w:t>&amp;&amp;&amp;&amp;</w:t>
            </w:r>
            <w:r w:rsidR="00073947" w:rsidRPr="00002641">
              <w:rPr>
                <w:rFonts w:ascii="Arial Narrow" w:eastAsiaTheme="majorEastAsia" w:hAnsi="Arial Narrow" w:cstheme="majorBidi"/>
                <w:bCs/>
                <w:sz w:val="20"/>
                <w:vertAlign w:val="superscript"/>
              </w:rPr>
              <w:t>8</w:t>
            </w:r>
            <w:r w:rsidRPr="001255E2">
              <w:rPr>
                <w:rFonts w:ascii="Arial Narrow" w:hAnsi="Arial Narrow" w:cs="Times New Roman"/>
                <w:sz w:val="20"/>
                <w:szCs w:val="20"/>
              </w:rPr>
              <w:t> </w:t>
            </w:r>
          </w:p>
        </w:tc>
        <w:tc>
          <w:tcPr>
            <w:tcW w:w="1140" w:type="dxa"/>
            <w:tcBorders>
              <w:top w:val="single" w:sz="6" w:space="0" w:color="auto"/>
              <w:left w:val="single" w:sz="6" w:space="0" w:color="auto"/>
              <w:bottom w:val="single" w:sz="6" w:space="0" w:color="auto"/>
              <w:right w:val="single" w:sz="6" w:space="0" w:color="auto"/>
            </w:tcBorders>
            <w:vAlign w:val="center"/>
            <w:hideMark/>
          </w:tcPr>
          <w:p w14:paraId="69BA0F4E" w14:textId="7A6C1C4C" w:rsidR="00B94C43" w:rsidRPr="001255E2" w:rsidRDefault="00B94C43" w:rsidP="00370D8E">
            <w:pPr>
              <w:jc w:val="center"/>
              <w:textAlignment w:val="baseline"/>
              <w:rPr>
                <w:rFonts w:ascii="Times New Roman" w:hAnsi="Times New Roman" w:cs="Times New Roman"/>
              </w:rPr>
            </w:pPr>
            <w:r w:rsidRPr="001255E2">
              <w:rPr>
                <w:rFonts w:ascii="Arial Narrow" w:hAnsi="Arial Narrow" w:cs="Times New Roman"/>
                <w:b/>
                <w:bCs/>
                <w:sz w:val="20"/>
                <w:szCs w:val="20"/>
              </w:rPr>
              <w:t>$</w:t>
            </w:r>
            <w:r w:rsidR="00994C8B" w:rsidRPr="00994C8B">
              <w:rPr>
                <w:rFonts w:ascii="Arial Narrow" w:hAnsi="Arial Narrow" w:cs="Times New Roman"/>
                <w:b/>
                <w:bCs/>
                <w:sz w:val="20"/>
                <w:szCs w:val="20"/>
                <w:highlight w:val="black"/>
              </w:rPr>
              <w:t>&amp;&amp;&amp;&amp;</w:t>
            </w:r>
            <w:r w:rsidR="00073947" w:rsidRPr="00002641">
              <w:rPr>
                <w:rFonts w:ascii="Arial Narrow" w:eastAsiaTheme="majorEastAsia" w:hAnsi="Arial Narrow" w:cstheme="majorBidi"/>
                <w:bCs/>
                <w:sz w:val="20"/>
                <w:vertAlign w:val="superscript"/>
              </w:rPr>
              <w:t>8</w:t>
            </w:r>
            <w:r w:rsidRPr="001255E2">
              <w:rPr>
                <w:rFonts w:ascii="Arial Narrow" w:hAnsi="Arial Narrow" w:cs="Times New Roman"/>
                <w:sz w:val="20"/>
                <w:szCs w:val="20"/>
              </w:rPr>
              <w:t> </w:t>
            </w:r>
          </w:p>
        </w:tc>
      </w:tr>
    </w:tbl>
    <w:p w14:paraId="4B6D831E" w14:textId="77777777" w:rsidR="00E54FB3" w:rsidRPr="00D72FA1" w:rsidRDefault="00E54FB3" w:rsidP="00370D8E">
      <w:pPr>
        <w:pStyle w:val="COMTablefooter"/>
        <w:rPr>
          <w:rStyle w:val="COMtablefigcaptionChar"/>
        </w:rPr>
      </w:pPr>
      <w:r w:rsidRPr="0098262F">
        <w:t xml:space="preserve">Source: </w:t>
      </w:r>
      <w:r>
        <w:t>Table 4.14, pp227-228; Table 4.16, pp229; Table 4.20, p236 of the submission; Section 4 financial implications Excel workbook.</w:t>
      </w:r>
    </w:p>
    <w:p w14:paraId="434C035F" w14:textId="77777777" w:rsidR="00E54FB3" w:rsidRDefault="00E54FB3" w:rsidP="00370D8E">
      <w:pPr>
        <w:pStyle w:val="COMTablefooter"/>
      </w:pPr>
      <w:r w:rsidRPr="0098262F">
        <w:rPr>
          <w:vertAlign w:val="superscript"/>
        </w:rPr>
        <w:t>a</w:t>
      </w:r>
      <w:r w:rsidRPr="0098262F">
        <w:t xml:space="preserve"> </w:t>
      </w:r>
      <w:r>
        <w:t>Assuming 6.00 initial scripts and 7.04 continuing treatment scripts per patient in the first year of treatment, and 13.04 continuing treatment scripts per patient in subsequent years</w:t>
      </w:r>
    </w:p>
    <w:p w14:paraId="59D7E07F" w14:textId="77777777" w:rsidR="00DC6419" w:rsidRDefault="00E54FB3" w:rsidP="00370D8E">
      <w:pPr>
        <w:pStyle w:val="COMTablefooter"/>
      </w:pPr>
      <w:r>
        <w:rPr>
          <w:vertAlign w:val="superscript"/>
        </w:rPr>
        <w:t>b</w:t>
      </w:r>
      <w:r>
        <w:t xml:space="preserve"> Includes costs associated with an increase in professional attendances (MBS Item 411) and cost offsets associated with dialysis (MBS Items 13100, 13103, 13104, 13105, 13109) and kidney transplant (MBS Items 36506, 36509, 36503).</w:t>
      </w:r>
      <w:r w:rsidRPr="003E6428">
        <w:t xml:space="preserve"> Some of the assumed MBS cost offsets were omitted from the total MBS costs in the financial implications Excel workbook</w:t>
      </w:r>
      <w:r w:rsidR="00DC6419" w:rsidRPr="00DC6419">
        <w:t xml:space="preserve"> </w:t>
      </w:r>
    </w:p>
    <w:p w14:paraId="562A20E9" w14:textId="55D7FB7D" w:rsidR="00E54FB3" w:rsidRPr="00DC6419" w:rsidRDefault="00DC6419" w:rsidP="00370D8E">
      <w:pPr>
        <w:pStyle w:val="COMTablefooter"/>
        <w:rPr>
          <w:i/>
          <w:iCs/>
        </w:rPr>
      </w:pPr>
      <w:r w:rsidRPr="00DC6419">
        <w:rPr>
          <w:i/>
          <w:iCs/>
        </w:rPr>
        <w:t>The redacted values correspond to the following ranges:</w:t>
      </w:r>
    </w:p>
    <w:p w14:paraId="4E11D393" w14:textId="09D1AFED" w:rsidR="00CE01B3" w:rsidRPr="00DC6419" w:rsidRDefault="00CE01B3" w:rsidP="00370D8E">
      <w:pPr>
        <w:pStyle w:val="COMTablefooter"/>
        <w:rPr>
          <w:i/>
          <w:iCs/>
        </w:rPr>
      </w:pPr>
      <w:r w:rsidRPr="00DC6419">
        <w:rPr>
          <w:i/>
          <w:iCs/>
          <w:vertAlign w:val="superscript"/>
        </w:rPr>
        <w:t>1</w:t>
      </w:r>
      <w:r w:rsidR="00994C8B">
        <w:rPr>
          <w:i/>
          <w:iCs/>
          <w:vertAlign w:val="superscript"/>
        </w:rPr>
        <w:t xml:space="preserve"> </w:t>
      </w:r>
      <w:r w:rsidR="00364110">
        <w:rPr>
          <w:i/>
          <w:iCs/>
        </w:rPr>
        <w:t xml:space="preserve">&lt; </w:t>
      </w:r>
      <w:r w:rsidRPr="00DC6419">
        <w:rPr>
          <w:i/>
          <w:iCs/>
        </w:rPr>
        <w:t>500</w:t>
      </w:r>
    </w:p>
    <w:p w14:paraId="1CEE8805" w14:textId="374D4A98" w:rsidR="00CE01B3" w:rsidRPr="00DC6419" w:rsidRDefault="00CE01B3" w:rsidP="00370D8E">
      <w:pPr>
        <w:pStyle w:val="COMTablefooter"/>
        <w:rPr>
          <w:i/>
          <w:iCs/>
        </w:rPr>
      </w:pPr>
      <w:r w:rsidRPr="00DC6419">
        <w:rPr>
          <w:i/>
          <w:iCs/>
          <w:vertAlign w:val="superscript"/>
        </w:rPr>
        <w:t>2</w:t>
      </w:r>
      <w:r w:rsidR="00994C8B">
        <w:rPr>
          <w:i/>
          <w:iCs/>
          <w:vertAlign w:val="superscript"/>
        </w:rPr>
        <w:t xml:space="preserve"> </w:t>
      </w:r>
      <w:r w:rsidRPr="00DC6419">
        <w:rPr>
          <w:i/>
          <w:iCs/>
        </w:rPr>
        <w:t xml:space="preserve">500 to </w:t>
      </w:r>
      <w:r w:rsidR="00364110">
        <w:rPr>
          <w:i/>
          <w:iCs/>
        </w:rPr>
        <w:t xml:space="preserve">&lt; </w:t>
      </w:r>
      <w:r w:rsidRPr="00DC6419">
        <w:rPr>
          <w:i/>
          <w:iCs/>
        </w:rPr>
        <w:t>5,000</w:t>
      </w:r>
    </w:p>
    <w:p w14:paraId="2DAE6A1E" w14:textId="71857023" w:rsidR="00506D7F" w:rsidRPr="00DC6419" w:rsidRDefault="00431E27" w:rsidP="00370D8E">
      <w:pPr>
        <w:pStyle w:val="COMTablefooter"/>
        <w:rPr>
          <w:i/>
          <w:iCs/>
        </w:rPr>
      </w:pPr>
      <w:r w:rsidRPr="00DC6419">
        <w:rPr>
          <w:i/>
          <w:iCs/>
          <w:vertAlign w:val="superscript"/>
        </w:rPr>
        <w:t>3</w:t>
      </w:r>
      <w:r w:rsidR="00994C8B">
        <w:rPr>
          <w:i/>
          <w:iCs/>
          <w:vertAlign w:val="superscript"/>
        </w:rPr>
        <w:t xml:space="preserve"> </w:t>
      </w:r>
      <w:r w:rsidR="00506D7F" w:rsidRPr="00DC6419">
        <w:rPr>
          <w:i/>
          <w:iCs/>
        </w:rPr>
        <w:t xml:space="preserve">$0 to </w:t>
      </w:r>
      <w:r w:rsidR="00364110">
        <w:rPr>
          <w:i/>
          <w:iCs/>
        </w:rPr>
        <w:t xml:space="preserve">&lt; </w:t>
      </w:r>
      <w:r w:rsidR="00506D7F" w:rsidRPr="00DC6419">
        <w:rPr>
          <w:i/>
          <w:iCs/>
        </w:rPr>
        <w:t>$10 million</w:t>
      </w:r>
    </w:p>
    <w:p w14:paraId="1729BE1E" w14:textId="59741665" w:rsidR="00506D7F" w:rsidRPr="00DC6419" w:rsidRDefault="00A2485A" w:rsidP="00370D8E">
      <w:pPr>
        <w:pStyle w:val="COMTablefooter"/>
        <w:rPr>
          <w:i/>
          <w:iCs/>
        </w:rPr>
      </w:pPr>
      <w:r w:rsidRPr="00DC6419">
        <w:rPr>
          <w:i/>
          <w:iCs/>
          <w:vertAlign w:val="superscript"/>
        </w:rPr>
        <w:t>4</w:t>
      </w:r>
      <w:r w:rsidR="00994C8B">
        <w:rPr>
          <w:i/>
          <w:iCs/>
          <w:vertAlign w:val="superscript"/>
        </w:rPr>
        <w:t xml:space="preserve"> </w:t>
      </w:r>
      <w:r w:rsidR="00506D7F" w:rsidRPr="00DC6419">
        <w:rPr>
          <w:i/>
          <w:iCs/>
        </w:rPr>
        <w:t xml:space="preserve">$10 million to </w:t>
      </w:r>
      <w:r w:rsidR="00364110">
        <w:rPr>
          <w:i/>
          <w:iCs/>
        </w:rPr>
        <w:t xml:space="preserve">&lt; </w:t>
      </w:r>
      <w:r w:rsidR="00506D7F" w:rsidRPr="00DC6419">
        <w:rPr>
          <w:i/>
          <w:iCs/>
        </w:rPr>
        <w:t>$20 million</w:t>
      </w:r>
    </w:p>
    <w:p w14:paraId="376F47BC" w14:textId="78FF8394" w:rsidR="00506D7F" w:rsidRPr="00DC6419" w:rsidRDefault="00A2485A" w:rsidP="00370D8E">
      <w:pPr>
        <w:pStyle w:val="COMTablefooter"/>
        <w:rPr>
          <w:i/>
          <w:iCs/>
        </w:rPr>
      </w:pPr>
      <w:r w:rsidRPr="00DC6419">
        <w:rPr>
          <w:i/>
          <w:iCs/>
          <w:vertAlign w:val="superscript"/>
        </w:rPr>
        <w:t>5</w:t>
      </w:r>
      <w:r w:rsidR="00994C8B">
        <w:rPr>
          <w:i/>
          <w:iCs/>
          <w:vertAlign w:val="superscript"/>
        </w:rPr>
        <w:t xml:space="preserve"> </w:t>
      </w:r>
      <w:r w:rsidR="00506D7F" w:rsidRPr="00DC6419">
        <w:rPr>
          <w:i/>
          <w:iCs/>
        </w:rPr>
        <w:t xml:space="preserve">$20 million to </w:t>
      </w:r>
      <w:r w:rsidR="00364110">
        <w:rPr>
          <w:i/>
          <w:iCs/>
        </w:rPr>
        <w:t xml:space="preserve">&lt; </w:t>
      </w:r>
      <w:r w:rsidR="00506D7F" w:rsidRPr="00DC6419">
        <w:rPr>
          <w:i/>
          <w:iCs/>
        </w:rPr>
        <w:t>$30 million</w:t>
      </w:r>
    </w:p>
    <w:p w14:paraId="431FD209" w14:textId="11F084C7" w:rsidR="00506D7F" w:rsidRPr="00DC6419" w:rsidRDefault="00A2485A" w:rsidP="00370D8E">
      <w:pPr>
        <w:pStyle w:val="COMTablefooter"/>
        <w:rPr>
          <w:i/>
          <w:iCs/>
        </w:rPr>
      </w:pPr>
      <w:r w:rsidRPr="00DC6419">
        <w:rPr>
          <w:i/>
          <w:iCs/>
          <w:vertAlign w:val="superscript"/>
        </w:rPr>
        <w:t>6</w:t>
      </w:r>
      <w:r w:rsidR="00994C8B">
        <w:rPr>
          <w:i/>
          <w:iCs/>
          <w:vertAlign w:val="superscript"/>
        </w:rPr>
        <w:t xml:space="preserve"> </w:t>
      </w:r>
      <w:r w:rsidR="00506D7F" w:rsidRPr="00DC6419">
        <w:rPr>
          <w:i/>
          <w:iCs/>
        </w:rPr>
        <w:t xml:space="preserve">$30 million to </w:t>
      </w:r>
      <w:r w:rsidR="00364110">
        <w:rPr>
          <w:i/>
          <w:iCs/>
        </w:rPr>
        <w:t xml:space="preserve">&lt; </w:t>
      </w:r>
      <w:r w:rsidR="00506D7F" w:rsidRPr="00DC6419">
        <w:rPr>
          <w:i/>
          <w:iCs/>
        </w:rPr>
        <w:t>$40 million</w:t>
      </w:r>
    </w:p>
    <w:p w14:paraId="36C97BD6" w14:textId="6BD7558C" w:rsidR="00506D7F" w:rsidRPr="00DC6419" w:rsidRDefault="00A2485A" w:rsidP="00370D8E">
      <w:pPr>
        <w:pStyle w:val="COMTablefooter"/>
        <w:rPr>
          <w:i/>
          <w:iCs/>
        </w:rPr>
      </w:pPr>
      <w:r w:rsidRPr="00DC6419">
        <w:rPr>
          <w:i/>
          <w:iCs/>
          <w:vertAlign w:val="superscript"/>
        </w:rPr>
        <w:t>7</w:t>
      </w:r>
      <w:r w:rsidR="00994C8B">
        <w:rPr>
          <w:i/>
          <w:iCs/>
          <w:vertAlign w:val="superscript"/>
        </w:rPr>
        <w:t xml:space="preserve"> </w:t>
      </w:r>
      <w:r w:rsidR="00506D7F" w:rsidRPr="00DC6419">
        <w:rPr>
          <w:i/>
          <w:iCs/>
        </w:rPr>
        <w:t xml:space="preserve">$40 million to </w:t>
      </w:r>
      <w:r w:rsidR="00364110">
        <w:rPr>
          <w:i/>
          <w:iCs/>
        </w:rPr>
        <w:t xml:space="preserve">&lt; </w:t>
      </w:r>
      <w:r w:rsidR="00506D7F" w:rsidRPr="00DC6419">
        <w:rPr>
          <w:i/>
          <w:iCs/>
        </w:rPr>
        <w:t>$50 million</w:t>
      </w:r>
    </w:p>
    <w:p w14:paraId="0D6D84A8" w14:textId="10E3F5ED" w:rsidR="00CB7098" w:rsidRPr="00DC6419" w:rsidRDefault="00073947" w:rsidP="00370D8E">
      <w:pPr>
        <w:pStyle w:val="COMTablefooter"/>
        <w:rPr>
          <w:i/>
          <w:iCs/>
        </w:rPr>
      </w:pPr>
      <w:r w:rsidRPr="00DC6419">
        <w:rPr>
          <w:i/>
          <w:iCs/>
          <w:vertAlign w:val="superscript"/>
        </w:rPr>
        <w:t>8</w:t>
      </w:r>
      <w:r w:rsidR="00994C8B">
        <w:rPr>
          <w:i/>
          <w:iCs/>
          <w:vertAlign w:val="superscript"/>
        </w:rPr>
        <w:t xml:space="preserve"> </w:t>
      </w:r>
      <w:r w:rsidR="00506D7F" w:rsidRPr="00DC6419">
        <w:rPr>
          <w:i/>
          <w:iCs/>
        </w:rPr>
        <w:t xml:space="preserve">$50 million to </w:t>
      </w:r>
      <w:r w:rsidR="00364110">
        <w:rPr>
          <w:i/>
          <w:iCs/>
        </w:rPr>
        <w:t xml:space="preserve">&lt; </w:t>
      </w:r>
      <w:r w:rsidR="00506D7F" w:rsidRPr="00DC6419">
        <w:rPr>
          <w:i/>
          <w:iCs/>
        </w:rPr>
        <w:t>$60 million</w:t>
      </w:r>
    </w:p>
    <w:p w14:paraId="293D7CD6" w14:textId="429A459A" w:rsidR="00E54FB3" w:rsidRDefault="00E54FB3" w:rsidP="00370D8E">
      <w:pPr>
        <w:pStyle w:val="COMexecsummnumbered"/>
        <w:numPr>
          <w:ilvl w:val="1"/>
          <w:numId w:val="5"/>
        </w:numPr>
      </w:pPr>
      <w:r w:rsidRPr="00431504">
        <w:t xml:space="preserve">The </w:t>
      </w:r>
      <w:r w:rsidR="002B5076">
        <w:t xml:space="preserve">submission </w:t>
      </w:r>
      <w:r w:rsidRPr="00431504">
        <w:t xml:space="preserve">estimated cost to the PBS/RPBS was </w:t>
      </w:r>
      <w:r w:rsidR="00C6413C" w:rsidRPr="00C6413C">
        <w:t xml:space="preserve">$10 million to </w:t>
      </w:r>
      <w:r w:rsidR="00364110">
        <w:t xml:space="preserve">&lt; </w:t>
      </w:r>
      <w:r w:rsidR="00C6413C" w:rsidRPr="00C6413C">
        <w:t>$20 million</w:t>
      </w:r>
      <w:r w:rsidR="004415F4">
        <w:t xml:space="preserve"> </w:t>
      </w:r>
      <w:r w:rsidRPr="00431504">
        <w:t xml:space="preserve">in Year 1, increasing to </w:t>
      </w:r>
      <w:r w:rsidR="00931FFD" w:rsidRPr="00931FFD">
        <w:t xml:space="preserve">$40 million to </w:t>
      </w:r>
      <w:r w:rsidR="00364110">
        <w:t xml:space="preserve">&lt; </w:t>
      </w:r>
      <w:r w:rsidR="00931FFD" w:rsidRPr="00931FFD">
        <w:t>$50 million</w:t>
      </w:r>
      <w:r w:rsidR="001C5283">
        <w:t xml:space="preserve"> </w:t>
      </w:r>
      <w:r w:rsidRPr="00431504">
        <w:t xml:space="preserve">in Year 6, a total cost of </w:t>
      </w:r>
      <w:r w:rsidR="000610AA" w:rsidRPr="000610AA">
        <w:t xml:space="preserve">$100 million to </w:t>
      </w:r>
      <w:r w:rsidR="00364110">
        <w:t xml:space="preserve">&lt; </w:t>
      </w:r>
      <w:r w:rsidR="000610AA" w:rsidRPr="000610AA">
        <w:t>$200 million</w:t>
      </w:r>
      <w:r w:rsidR="004415F4">
        <w:t xml:space="preserve"> </w:t>
      </w:r>
      <w:r w:rsidRPr="00431504">
        <w:t>over the initial 6 years of listing</w:t>
      </w:r>
      <w:r>
        <w:t>.</w:t>
      </w:r>
      <w:r w:rsidR="002B5076">
        <w:t xml:space="preserve"> The </w:t>
      </w:r>
      <w:r w:rsidR="00A8290A">
        <w:t>corrected</w:t>
      </w:r>
      <w:r w:rsidR="002B5076">
        <w:t xml:space="preserve"> PSCR estimates resulted in a cost to the PBS/RPBS of </w:t>
      </w:r>
      <w:r w:rsidR="006B7C43" w:rsidRPr="006B7C43">
        <w:t xml:space="preserve">$10 million to </w:t>
      </w:r>
      <w:r w:rsidR="00364110">
        <w:t xml:space="preserve">&lt; </w:t>
      </w:r>
      <w:r w:rsidR="006B7C43" w:rsidRPr="006B7C43">
        <w:t>$20 million</w:t>
      </w:r>
      <w:r w:rsidR="00CE5DB4">
        <w:t xml:space="preserve"> in Year 1, increasing to </w:t>
      </w:r>
      <w:r w:rsidR="00C55C19" w:rsidRPr="00C55C19">
        <w:t xml:space="preserve">$50 million to </w:t>
      </w:r>
      <w:r w:rsidR="00364110">
        <w:t xml:space="preserve">&lt; </w:t>
      </w:r>
      <w:r w:rsidR="00C55C19" w:rsidRPr="00C55C19">
        <w:t>$60 million</w:t>
      </w:r>
      <w:r w:rsidR="004415F4">
        <w:t xml:space="preserve"> </w:t>
      </w:r>
      <w:r w:rsidR="00CE5DB4">
        <w:t>in Year 6</w:t>
      </w:r>
      <w:r w:rsidR="005736D9">
        <w:t xml:space="preserve">, a total cost to the PBS/RPBS of </w:t>
      </w:r>
      <w:r w:rsidR="00884302" w:rsidRPr="00884302">
        <w:t xml:space="preserve">$200 million to </w:t>
      </w:r>
      <w:r w:rsidR="00364110">
        <w:t xml:space="preserve">&lt; </w:t>
      </w:r>
      <w:r w:rsidR="00884302" w:rsidRPr="00884302">
        <w:t>$300 million</w:t>
      </w:r>
      <w:r w:rsidR="005736D9" w:rsidRPr="00A71CC7">
        <w:t>, primarily due to a larger prevalent population</w:t>
      </w:r>
      <w:r w:rsidR="00B47594">
        <w:t>.</w:t>
      </w:r>
    </w:p>
    <w:p w14:paraId="36EAF0B0" w14:textId="77777777" w:rsidR="00E54FB3" w:rsidRPr="00C87958" w:rsidRDefault="00E54FB3" w:rsidP="00370D8E">
      <w:pPr>
        <w:pStyle w:val="COMexecsummnumbered"/>
        <w:numPr>
          <w:ilvl w:val="1"/>
          <w:numId w:val="5"/>
        </w:numPr>
      </w:pPr>
      <w:r w:rsidRPr="00C87958">
        <w:t>The estimated cost to the PBS/RPBS/MBS was considered uncertain due to the following reasons:</w:t>
      </w:r>
    </w:p>
    <w:p w14:paraId="6E206CB2" w14:textId="063B7414" w:rsidR="00E54FB3" w:rsidRPr="00C87958" w:rsidRDefault="00E54FB3" w:rsidP="00370D8E">
      <w:pPr>
        <w:pStyle w:val="COMexecsummbulletlist"/>
        <w:spacing w:after="0"/>
        <w:ind w:hanging="357"/>
      </w:pPr>
      <w:r w:rsidRPr="00C87958">
        <w:t xml:space="preserve">No studies reporting the prevalence and incidence of C3G in Australia were identified, and there was a limited number of published international studies assessing the prevalence and incidence of C3G. The assumed prevalence of 7.4 cases per million (derived from an analysis of the UK </w:t>
      </w:r>
      <w:proofErr w:type="spellStart"/>
      <w:r w:rsidRPr="00C87958">
        <w:t>RaDaR</w:t>
      </w:r>
      <w:proofErr w:type="spellEnd"/>
      <w:r w:rsidRPr="00C87958">
        <w:t xml:space="preserve"> registry) appeared implausibly low in the context of the assumed incidence rate of 1 case per million, implying a disease duration of approximately 7 years. This is also substantially lower than the modelled </w:t>
      </w:r>
      <w:r w:rsidRPr="00C87958">
        <w:lastRenderedPageBreak/>
        <w:t xml:space="preserve">disease duration of 43 years in the placebo arm of the economic model. The estimated cost to the PBS/RPBS was highly sensitive to the assumed incidence and prevalence of C3G. </w:t>
      </w:r>
      <w:r w:rsidR="00622334">
        <w:t xml:space="preserve">The prevalence was updated to 8.8 cases per million in the </w:t>
      </w:r>
      <w:r w:rsidR="00B37B33">
        <w:t>PSCR, based on modelled outcomes.</w:t>
      </w:r>
    </w:p>
    <w:p w14:paraId="6CF6E3EB" w14:textId="57264C39" w:rsidR="00E54FB3" w:rsidRPr="006E56D9" w:rsidRDefault="00E54FB3" w:rsidP="00370D8E">
      <w:pPr>
        <w:pStyle w:val="COMexecsummbulletlist"/>
        <w:spacing w:after="0"/>
        <w:ind w:hanging="357"/>
      </w:pPr>
      <w:r w:rsidRPr="00C87958">
        <w:t>The numbers of prevalent and incident patients were derived by applying the assumed prevalence and incidence rates to the Australian adult population. However, this approach did not appear to account for diagnosed cases among children (who will become eligible for treatment once they reach 18 years of age).</w:t>
      </w:r>
      <w:r w:rsidR="006E56D9">
        <w:t xml:space="preserve"> </w:t>
      </w:r>
      <w:r w:rsidR="006E56D9" w:rsidRPr="006E56D9">
        <w:t>DUSC noted that this paediatric population was included in the revised estimates provided in the PSCR, and considered that was appropriate.</w:t>
      </w:r>
    </w:p>
    <w:p w14:paraId="5692A6EE" w14:textId="77777777" w:rsidR="00E54FB3" w:rsidRPr="00C87958" w:rsidRDefault="00E54FB3" w:rsidP="00370D8E">
      <w:pPr>
        <w:pStyle w:val="COMexecsummbulletlist"/>
        <w:spacing w:after="0"/>
        <w:ind w:hanging="357"/>
      </w:pPr>
      <w:r w:rsidRPr="00C87958">
        <w:t>The assumed uptake rates were considered uncertain. Eligible prevalent patients and incident patients with native kidneys not electing treatment each year were assumed to remain eligible in subsequent years, resulting in very high overall uptake. It is unclear whether uptake will be the same among patients in the incident and prevalent populations.</w:t>
      </w:r>
    </w:p>
    <w:p w14:paraId="531ADC57" w14:textId="4550B5DE" w:rsidR="00E54FB3" w:rsidRPr="00C87958" w:rsidRDefault="00E54FB3" w:rsidP="00370D8E">
      <w:pPr>
        <w:pStyle w:val="COMexecsummbulletlist"/>
        <w:spacing w:after="0"/>
        <w:ind w:hanging="357"/>
      </w:pPr>
      <w:r w:rsidRPr="00C87958">
        <w:t xml:space="preserve">There is a risk of use outside of the proposed restriction among patients with Stage 4 to 5 CKD and patients with a UPCR </w:t>
      </w:r>
      <w:r w:rsidR="00364110">
        <w:t xml:space="preserve">&lt; </w:t>
      </w:r>
      <w:r w:rsidRPr="00C87958">
        <w:t>1.0 g/g.</w:t>
      </w:r>
      <w:r w:rsidR="007D0EAB">
        <w:t xml:space="preserve"> </w:t>
      </w:r>
      <w:r w:rsidR="007D0EAB" w:rsidRPr="007D0EAB">
        <w:t>DUSC agreed but noted that this risk was low given the proposed system for controlled access.</w:t>
      </w:r>
    </w:p>
    <w:p w14:paraId="4883D451" w14:textId="77777777" w:rsidR="00E54FB3" w:rsidRPr="00C87958" w:rsidRDefault="00E54FB3" w:rsidP="00370D8E">
      <w:pPr>
        <w:pStyle w:val="COMexecsummbulletlist"/>
        <w:spacing w:after="0"/>
        <w:ind w:hanging="357"/>
      </w:pPr>
      <w:r w:rsidRPr="00C87958">
        <w:t>The submission assumed that all eligible prevalent patients, and eligible incident patients with native kidneys would remain eligible for treatment in subsequent years. However, not all patients will continue to meet the eligibility criteria in subsequent years (e.g., CKD Stage 1 to 3b disease). Conversely, some patients not meeting specific eligibility criteria in the initial year (e.g., UPCR ≥1.0 g/g or 113 mg/mmol) may meet the criteria in a subsequent year.</w:t>
      </w:r>
    </w:p>
    <w:p w14:paraId="0474F1AF" w14:textId="77777777" w:rsidR="00E54FB3" w:rsidRPr="00C87958" w:rsidRDefault="00E54FB3" w:rsidP="00370D8E">
      <w:pPr>
        <w:pStyle w:val="COMexecsummbulletlist"/>
        <w:spacing w:after="0"/>
        <w:ind w:hanging="357"/>
      </w:pPr>
      <w:r w:rsidRPr="00C87958">
        <w:t>The proposed continuing treatment restriction states that patients must have experienced clinical improvement or stabilisation of the condition to qualify for continuing treatment. However, no specific outcome measures are included in the proposed restriction, and it is unclear whether the assumed continuation rate (89.5%) will be observed in clinical practice. Patients/clinicians may be reluctant to discontinue treatment with iptacopan if there is a perceived benefit associated with ongoing treatment (i.e., slowing of disease progression).</w:t>
      </w:r>
    </w:p>
    <w:p w14:paraId="15687A47" w14:textId="77777777" w:rsidR="00E54FB3" w:rsidRPr="00C87958" w:rsidRDefault="00E54FB3" w:rsidP="00370D8E">
      <w:pPr>
        <w:pStyle w:val="COMexecsummbulletlist"/>
      </w:pPr>
      <w:r w:rsidRPr="00C87958">
        <w:t>The submission assumed perfect treatment adherence, which is unlikely to occur in clinical practice.</w:t>
      </w:r>
    </w:p>
    <w:p w14:paraId="6427B601" w14:textId="6A73397F" w:rsidR="00E54FB3" w:rsidRDefault="00E54FB3" w:rsidP="00370D8E">
      <w:pPr>
        <w:pStyle w:val="COMexecsummnumbered"/>
        <w:numPr>
          <w:ilvl w:val="1"/>
          <w:numId w:val="5"/>
        </w:numPr>
      </w:pPr>
      <w:r>
        <w:fldChar w:fldCharType="begin"/>
      </w:r>
      <w:r>
        <w:instrText xml:space="preserve"> REF _Ref208245455 \h </w:instrText>
      </w:r>
      <w:r>
        <w:fldChar w:fldCharType="separate"/>
      </w:r>
      <w:r w:rsidR="00CC1313" w:rsidRPr="0098262F">
        <w:t xml:space="preserve">Table </w:t>
      </w:r>
      <w:r w:rsidR="00CC1313">
        <w:rPr>
          <w:noProof/>
        </w:rPr>
        <w:t>19</w:t>
      </w:r>
      <w:r>
        <w:fldChar w:fldCharType="end"/>
      </w:r>
      <w:r>
        <w:t xml:space="preserve"> presents the results of s</w:t>
      </w:r>
      <w:r w:rsidRPr="005433FE">
        <w:t>ensitivity analyses presented in the submissio</w:t>
      </w:r>
      <w:r w:rsidRPr="00C87958">
        <w:t>n and conducted during the evaluation.</w:t>
      </w:r>
    </w:p>
    <w:p w14:paraId="627E37C0" w14:textId="2E92DAEE" w:rsidR="00E54FB3" w:rsidRPr="00F14C62" w:rsidRDefault="00E54FB3" w:rsidP="00370D8E">
      <w:pPr>
        <w:pStyle w:val="COMTableFigurecaption"/>
      </w:pPr>
      <w:bookmarkStart w:id="60" w:name="_Ref208245455"/>
      <w:r w:rsidRPr="0098262F">
        <w:lastRenderedPageBreak/>
        <w:t xml:space="preserve">Table </w:t>
      </w:r>
      <w:r>
        <w:fldChar w:fldCharType="begin"/>
      </w:r>
      <w:r>
        <w:instrText xml:space="preserve"> SEQ Table \* ARABIC </w:instrText>
      </w:r>
      <w:r>
        <w:fldChar w:fldCharType="separate"/>
      </w:r>
      <w:r w:rsidR="00CC1313">
        <w:rPr>
          <w:noProof/>
        </w:rPr>
        <w:t>19</w:t>
      </w:r>
      <w:r>
        <w:rPr>
          <w:noProof/>
        </w:rPr>
        <w:fldChar w:fldCharType="end"/>
      </w:r>
      <w:bookmarkEnd w:id="60"/>
      <w:r w:rsidRPr="0098262F">
        <w:t>:</w:t>
      </w:r>
      <w:r w:rsidRPr="00FF3ECD">
        <w:t xml:space="preserve"> </w:t>
      </w:r>
      <w:r>
        <w:t xml:space="preserve">Sensitivity analyses presented in the submission </w:t>
      </w:r>
      <w:r w:rsidRPr="00634CE2">
        <w:t>and conducted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9: Sensitivity analyses presented in the submission and conducted during the evaluation"/>
      </w:tblPr>
      <w:tblGrid>
        <w:gridCol w:w="4508"/>
        <w:gridCol w:w="4509"/>
      </w:tblGrid>
      <w:tr w:rsidR="00E54FB3" w:rsidRPr="00C87958" w14:paraId="03BF47C3" w14:textId="77777777" w:rsidTr="00A8333A">
        <w:tc>
          <w:tcPr>
            <w:tcW w:w="2500" w:type="pct"/>
          </w:tcPr>
          <w:p w14:paraId="1F2DB677" w14:textId="77777777" w:rsidR="00E54FB3" w:rsidRPr="00C87958" w:rsidRDefault="00E54FB3" w:rsidP="00370D8E">
            <w:pPr>
              <w:pStyle w:val="COMTabletext"/>
              <w:rPr>
                <w:b/>
                <w:bCs w:val="0"/>
              </w:rPr>
            </w:pPr>
            <w:bookmarkStart w:id="61" w:name="_Hlk208245658"/>
          </w:p>
        </w:tc>
        <w:tc>
          <w:tcPr>
            <w:tcW w:w="2500" w:type="pct"/>
          </w:tcPr>
          <w:p w14:paraId="37BDB46B" w14:textId="77777777" w:rsidR="00E54FB3" w:rsidRPr="00C87958" w:rsidRDefault="00E54FB3" w:rsidP="00370D8E">
            <w:pPr>
              <w:pStyle w:val="COMTabletext"/>
              <w:jc w:val="center"/>
              <w:rPr>
                <w:b/>
                <w:bCs w:val="0"/>
              </w:rPr>
            </w:pPr>
            <w:r w:rsidRPr="00C87958">
              <w:rPr>
                <w:b/>
                <w:bCs w:val="0"/>
              </w:rPr>
              <w:t>Estimated cost over 6 years</w:t>
            </w:r>
          </w:p>
        </w:tc>
      </w:tr>
      <w:tr w:rsidR="00E54FB3" w:rsidRPr="00C87958" w14:paraId="56562FFE" w14:textId="77777777" w:rsidTr="00A8333A">
        <w:tc>
          <w:tcPr>
            <w:tcW w:w="2500" w:type="pct"/>
          </w:tcPr>
          <w:p w14:paraId="5C30C3FA" w14:textId="77777777" w:rsidR="00E54FB3" w:rsidRPr="00C87958" w:rsidRDefault="00E54FB3" w:rsidP="00370D8E">
            <w:pPr>
              <w:pStyle w:val="COMTabletext"/>
              <w:rPr>
                <w:b/>
                <w:bCs w:val="0"/>
              </w:rPr>
            </w:pPr>
            <w:r w:rsidRPr="00C87958">
              <w:rPr>
                <w:b/>
                <w:bCs w:val="0"/>
              </w:rPr>
              <w:t>Base case (cost to PBS/RPBS)</w:t>
            </w:r>
          </w:p>
        </w:tc>
        <w:tc>
          <w:tcPr>
            <w:tcW w:w="2500" w:type="pct"/>
          </w:tcPr>
          <w:p w14:paraId="55DB3A3E" w14:textId="65B52B65" w:rsidR="00E54FB3" w:rsidRPr="00C87958" w:rsidRDefault="00E54FB3" w:rsidP="00370D8E">
            <w:pPr>
              <w:pStyle w:val="COMTabletext"/>
              <w:jc w:val="center"/>
              <w:rPr>
                <w:b/>
                <w:bCs w:val="0"/>
              </w:rPr>
            </w:pPr>
            <w:r w:rsidRPr="00C87958">
              <w:rPr>
                <w:b/>
                <w:bCs w:val="0"/>
              </w:rPr>
              <w:t>$</w:t>
            </w:r>
            <w:r w:rsidR="00994C8B" w:rsidRPr="00994C8B">
              <w:rPr>
                <w:b/>
                <w:bCs w:val="0"/>
                <w:highlight w:val="black"/>
              </w:rPr>
              <w:t>&amp;&amp;&amp;&amp;</w:t>
            </w:r>
            <w:r w:rsidR="004C0247">
              <w:rPr>
                <w:vertAlign w:val="superscript"/>
              </w:rPr>
              <w:t>1</w:t>
            </w:r>
          </w:p>
        </w:tc>
      </w:tr>
      <w:tr w:rsidR="00E54FB3" w:rsidRPr="00C87958" w14:paraId="08A9BC31" w14:textId="77777777" w:rsidTr="00A8333A">
        <w:tc>
          <w:tcPr>
            <w:tcW w:w="5000" w:type="pct"/>
            <w:gridSpan w:val="2"/>
          </w:tcPr>
          <w:p w14:paraId="437C0A73" w14:textId="77777777" w:rsidR="00E54FB3" w:rsidRPr="00C87958" w:rsidRDefault="00E54FB3" w:rsidP="00370D8E">
            <w:pPr>
              <w:pStyle w:val="COMTabletext"/>
              <w:rPr>
                <w:b/>
                <w:bCs w:val="0"/>
              </w:rPr>
            </w:pPr>
            <w:r w:rsidRPr="00C87958">
              <w:rPr>
                <w:b/>
                <w:bCs w:val="0"/>
              </w:rPr>
              <w:t>C3G incidence (base case: 1.0 per million)</w:t>
            </w:r>
          </w:p>
        </w:tc>
      </w:tr>
      <w:tr w:rsidR="00E54FB3" w:rsidRPr="00C87958" w14:paraId="215A5E35" w14:textId="77777777" w:rsidTr="00A8333A">
        <w:tc>
          <w:tcPr>
            <w:tcW w:w="2500" w:type="pct"/>
          </w:tcPr>
          <w:p w14:paraId="72A5522E" w14:textId="77777777" w:rsidR="00E54FB3" w:rsidRPr="00C87958" w:rsidRDefault="00E54FB3" w:rsidP="00370D8E">
            <w:pPr>
              <w:pStyle w:val="COMTabletext"/>
            </w:pPr>
            <w:r w:rsidRPr="00C87958">
              <w:t>0.66 per million (Caravaca-Fontan 2023)</w:t>
            </w:r>
          </w:p>
        </w:tc>
        <w:tc>
          <w:tcPr>
            <w:tcW w:w="2500" w:type="pct"/>
            <w:vAlign w:val="center"/>
          </w:tcPr>
          <w:p w14:paraId="4B4E9942" w14:textId="4D32DC42" w:rsidR="00E54FB3" w:rsidRPr="00C87958" w:rsidRDefault="00E54FB3" w:rsidP="00370D8E">
            <w:pPr>
              <w:pStyle w:val="COMTabletext"/>
              <w:jc w:val="center"/>
            </w:pPr>
            <w:r w:rsidRPr="00C87958">
              <w:t>$</w:t>
            </w:r>
            <w:r w:rsidR="00994C8B" w:rsidRPr="00994C8B">
              <w:rPr>
                <w:highlight w:val="black"/>
              </w:rPr>
              <w:t>&amp;&amp;&amp;&amp;</w:t>
            </w:r>
            <w:r w:rsidR="004C0247">
              <w:rPr>
                <w:vertAlign w:val="superscript"/>
              </w:rPr>
              <w:t>1</w:t>
            </w:r>
          </w:p>
        </w:tc>
      </w:tr>
      <w:tr w:rsidR="00E54FB3" w:rsidRPr="00C87958" w14:paraId="1136C081" w14:textId="77777777" w:rsidTr="00A8333A">
        <w:tc>
          <w:tcPr>
            <w:tcW w:w="2500" w:type="pct"/>
          </w:tcPr>
          <w:p w14:paraId="22DCD9F1" w14:textId="77777777" w:rsidR="00E54FB3" w:rsidRPr="00C87958" w:rsidRDefault="00E54FB3" w:rsidP="00370D8E">
            <w:pPr>
              <w:pStyle w:val="COMTabletext"/>
            </w:pPr>
            <w:r w:rsidRPr="00C87958">
              <w:t>1.3 per million (Sutherland 2020)</w:t>
            </w:r>
          </w:p>
        </w:tc>
        <w:tc>
          <w:tcPr>
            <w:tcW w:w="2500" w:type="pct"/>
            <w:vAlign w:val="center"/>
          </w:tcPr>
          <w:p w14:paraId="0DA1BF5B" w14:textId="20BD7E41" w:rsidR="00E54FB3" w:rsidRPr="00C87958" w:rsidRDefault="00E54FB3" w:rsidP="00370D8E">
            <w:pPr>
              <w:pStyle w:val="COMTabletext"/>
              <w:jc w:val="center"/>
            </w:pPr>
            <w:r w:rsidRPr="00C87958">
              <w:t>$</w:t>
            </w:r>
            <w:r w:rsidR="00994C8B" w:rsidRPr="00994C8B">
              <w:rPr>
                <w:highlight w:val="black"/>
              </w:rPr>
              <w:t>&amp;&amp;&amp;&amp;</w:t>
            </w:r>
            <w:r w:rsidR="004C0247">
              <w:rPr>
                <w:vertAlign w:val="superscript"/>
              </w:rPr>
              <w:t>1</w:t>
            </w:r>
          </w:p>
        </w:tc>
      </w:tr>
      <w:tr w:rsidR="00E54FB3" w:rsidRPr="00C87958" w14:paraId="77D60648" w14:textId="77777777" w:rsidTr="00A8333A">
        <w:tc>
          <w:tcPr>
            <w:tcW w:w="2500" w:type="pct"/>
          </w:tcPr>
          <w:p w14:paraId="7C83E269" w14:textId="77777777" w:rsidR="00E54FB3" w:rsidRPr="00C87958" w:rsidRDefault="00E54FB3" w:rsidP="00370D8E">
            <w:pPr>
              <w:pStyle w:val="COMTabletext"/>
            </w:pPr>
            <w:r w:rsidRPr="00C87958">
              <w:t>2.0 per million (</w:t>
            </w:r>
            <w:proofErr w:type="spellStart"/>
            <w:r w:rsidRPr="00C87958">
              <w:t>Medjeral</w:t>
            </w:r>
            <w:proofErr w:type="spellEnd"/>
            <w:r w:rsidRPr="00C87958">
              <w:t>-Thomas 2013)</w:t>
            </w:r>
          </w:p>
        </w:tc>
        <w:tc>
          <w:tcPr>
            <w:tcW w:w="2500" w:type="pct"/>
            <w:vAlign w:val="center"/>
          </w:tcPr>
          <w:p w14:paraId="6A91D645" w14:textId="660FE4E7" w:rsidR="00E54FB3" w:rsidRPr="00C87958" w:rsidRDefault="00E54FB3" w:rsidP="00370D8E">
            <w:pPr>
              <w:pStyle w:val="COMTabletext"/>
              <w:jc w:val="center"/>
            </w:pPr>
            <w:r w:rsidRPr="00C87958">
              <w:t>$</w:t>
            </w:r>
            <w:r w:rsidR="00994C8B" w:rsidRPr="00994C8B">
              <w:rPr>
                <w:highlight w:val="black"/>
              </w:rPr>
              <w:t>&amp;&amp;&amp;&amp;</w:t>
            </w:r>
            <w:r w:rsidR="004C0247">
              <w:rPr>
                <w:vertAlign w:val="superscript"/>
              </w:rPr>
              <w:t>2</w:t>
            </w:r>
          </w:p>
        </w:tc>
      </w:tr>
      <w:tr w:rsidR="00E54FB3" w:rsidRPr="00C87958" w14:paraId="0B177712" w14:textId="77777777" w:rsidTr="00A8333A">
        <w:tc>
          <w:tcPr>
            <w:tcW w:w="5000" w:type="pct"/>
            <w:gridSpan w:val="2"/>
          </w:tcPr>
          <w:p w14:paraId="68BBE39A" w14:textId="77777777" w:rsidR="00E54FB3" w:rsidRPr="00C87958" w:rsidRDefault="00E54FB3" w:rsidP="00370D8E">
            <w:pPr>
              <w:pStyle w:val="COMTabletext"/>
              <w:rPr>
                <w:b/>
                <w:bCs w:val="0"/>
              </w:rPr>
            </w:pPr>
            <w:r w:rsidRPr="00C87958">
              <w:rPr>
                <w:b/>
                <w:bCs w:val="0"/>
              </w:rPr>
              <w:t>C3G prevalence (base case: 7.4 per million)</w:t>
            </w:r>
          </w:p>
        </w:tc>
      </w:tr>
      <w:tr w:rsidR="00E54FB3" w:rsidRPr="00C87958" w14:paraId="76C6ACFF" w14:textId="77777777" w:rsidTr="00A8333A">
        <w:tc>
          <w:tcPr>
            <w:tcW w:w="2500" w:type="pct"/>
          </w:tcPr>
          <w:p w14:paraId="1E3FA523" w14:textId="77777777" w:rsidR="00E54FB3" w:rsidRPr="00C87958" w:rsidRDefault="00E54FB3" w:rsidP="00370D8E">
            <w:pPr>
              <w:pStyle w:val="COMTabletext"/>
              <w:rPr>
                <w:vertAlign w:val="superscript"/>
              </w:rPr>
            </w:pPr>
            <w:r w:rsidRPr="00C87958">
              <w:t xml:space="preserve">5 per million </w:t>
            </w:r>
            <w:r w:rsidRPr="00C87958">
              <w:rPr>
                <w:vertAlign w:val="superscript"/>
              </w:rPr>
              <w:t>a</w:t>
            </w:r>
          </w:p>
        </w:tc>
        <w:tc>
          <w:tcPr>
            <w:tcW w:w="2500" w:type="pct"/>
          </w:tcPr>
          <w:p w14:paraId="0AAF0104" w14:textId="02899003" w:rsidR="00E54FB3" w:rsidRPr="00C87958" w:rsidRDefault="00E54FB3" w:rsidP="00370D8E">
            <w:pPr>
              <w:pStyle w:val="COMTabletext"/>
              <w:jc w:val="center"/>
            </w:pPr>
            <w:r w:rsidRPr="00C87958">
              <w:t>$</w:t>
            </w:r>
            <w:r w:rsidR="00994C8B" w:rsidRPr="00994C8B">
              <w:rPr>
                <w:highlight w:val="black"/>
              </w:rPr>
              <w:t>&amp;&amp;&amp;&amp;</w:t>
            </w:r>
            <w:r w:rsidR="004C0247">
              <w:rPr>
                <w:vertAlign w:val="superscript"/>
              </w:rPr>
              <w:t>1</w:t>
            </w:r>
          </w:p>
        </w:tc>
      </w:tr>
      <w:tr w:rsidR="00E54FB3" w:rsidRPr="00C87958" w14:paraId="1B36356F" w14:textId="77777777" w:rsidTr="00A8333A">
        <w:tc>
          <w:tcPr>
            <w:tcW w:w="2500" w:type="pct"/>
          </w:tcPr>
          <w:p w14:paraId="3EE7BBD5" w14:textId="77777777" w:rsidR="00E54FB3" w:rsidRPr="00C87958" w:rsidRDefault="00E54FB3" w:rsidP="00370D8E">
            <w:pPr>
              <w:pStyle w:val="COMTabletext"/>
            </w:pPr>
            <w:r w:rsidRPr="00C87958">
              <w:t>12.8 per million</w:t>
            </w:r>
          </w:p>
        </w:tc>
        <w:tc>
          <w:tcPr>
            <w:tcW w:w="2500" w:type="pct"/>
          </w:tcPr>
          <w:p w14:paraId="5B1DA455" w14:textId="6063A466" w:rsidR="00E54FB3" w:rsidRPr="00C87958" w:rsidRDefault="00E54FB3" w:rsidP="00370D8E">
            <w:pPr>
              <w:pStyle w:val="COMTabletext"/>
              <w:jc w:val="center"/>
            </w:pPr>
            <w:r w:rsidRPr="00C87958">
              <w:t>$</w:t>
            </w:r>
            <w:r w:rsidR="00994C8B" w:rsidRPr="00994C8B">
              <w:rPr>
                <w:highlight w:val="black"/>
              </w:rPr>
              <w:t>&amp;&amp;&amp;&amp;</w:t>
            </w:r>
            <w:r w:rsidR="004C0247">
              <w:rPr>
                <w:vertAlign w:val="superscript"/>
              </w:rPr>
              <w:t>2</w:t>
            </w:r>
          </w:p>
        </w:tc>
      </w:tr>
      <w:tr w:rsidR="00E54FB3" w:rsidRPr="00C87958" w14:paraId="5CE49E30" w14:textId="77777777" w:rsidTr="00A8333A">
        <w:tc>
          <w:tcPr>
            <w:tcW w:w="2500" w:type="pct"/>
          </w:tcPr>
          <w:p w14:paraId="09ACB407" w14:textId="77777777" w:rsidR="00E54FB3" w:rsidRPr="00C87958" w:rsidRDefault="00E54FB3" w:rsidP="00370D8E">
            <w:pPr>
              <w:pStyle w:val="COMTabletext"/>
              <w:rPr>
                <w:vertAlign w:val="superscript"/>
              </w:rPr>
            </w:pPr>
            <w:r w:rsidRPr="00C87958">
              <w:t xml:space="preserve">20 per million </w:t>
            </w:r>
            <w:r w:rsidRPr="00C87958">
              <w:rPr>
                <w:vertAlign w:val="superscript"/>
              </w:rPr>
              <w:t>a</w:t>
            </w:r>
          </w:p>
        </w:tc>
        <w:tc>
          <w:tcPr>
            <w:tcW w:w="2500" w:type="pct"/>
          </w:tcPr>
          <w:p w14:paraId="418315B5" w14:textId="3F7D95ED" w:rsidR="00E54FB3" w:rsidRPr="00C87958" w:rsidRDefault="00E54FB3" w:rsidP="00370D8E">
            <w:pPr>
              <w:pStyle w:val="COMTabletext"/>
              <w:jc w:val="center"/>
            </w:pPr>
            <w:r w:rsidRPr="00C87958">
              <w:t>$</w:t>
            </w:r>
            <w:r w:rsidR="00994C8B" w:rsidRPr="00994C8B">
              <w:rPr>
                <w:highlight w:val="black"/>
              </w:rPr>
              <w:t>&amp;&amp;&amp;&amp;</w:t>
            </w:r>
            <w:r w:rsidR="004C0247">
              <w:rPr>
                <w:vertAlign w:val="superscript"/>
              </w:rPr>
              <w:t>3</w:t>
            </w:r>
          </w:p>
        </w:tc>
      </w:tr>
      <w:tr w:rsidR="00E54FB3" w:rsidRPr="00C87958" w14:paraId="69020A4D" w14:textId="77777777" w:rsidTr="00A8333A">
        <w:tc>
          <w:tcPr>
            <w:tcW w:w="2500" w:type="pct"/>
          </w:tcPr>
          <w:p w14:paraId="499584AF" w14:textId="77777777" w:rsidR="00E54FB3" w:rsidRPr="00C87958" w:rsidRDefault="00E54FB3" w:rsidP="00370D8E">
            <w:pPr>
              <w:pStyle w:val="COMTabletext"/>
              <w:rPr>
                <w:vertAlign w:val="superscript"/>
              </w:rPr>
            </w:pPr>
            <w:r w:rsidRPr="00C87958">
              <w:t xml:space="preserve">40 per million </w:t>
            </w:r>
            <w:r w:rsidRPr="00C87958">
              <w:rPr>
                <w:vertAlign w:val="superscript"/>
              </w:rPr>
              <w:t>a</w:t>
            </w:r>
          </w:p>
        </w:tc>
        <w:tc>
          <w:tcPr>
            <w:tcW w:w="2500" w:type="pct"/>
          </w:tcPr>
          <w:p w14:paraId="081000F9" w14:textId="6708B964" w:rsidR="00E54FB3" w:rsidRPr="004C0247" w:rsidRDefault="00E54FB3" w:rsidP="00370D8E">
            <w:pPr>
              <w:pStyle w:val="COMTabletext"/>
              <w:jc w:val="center"/>
              <w:rPr>
                <w:vertAlign w:val="superscript"/>
              </w:rPr>
            </w:pPr>
            <w:r w:rsidRPr="00C87958">
              <w:t>$</w:t>
            </w:r>
            <w:r w:rsidR="00994C8B" w:rsidRPr="00994C8B">
              <w:rPr>
                <w:highlight w:val="black"/>
              </w:rPr>
              <w:t>&amp;&amp;&amp;&amp;</w:t>
            </w:r>
            <w:r w:rsidR="004C0247">
              <w:rPr>
                <w:vertAlign w:val="superscript"/>
              </w:rPr>
              <w:t>4</w:t>
            </w:r>
          </w:p>
        </w:tc>
      </w:tr>
      <w:tr w:rsidR="00E54FB3" w:rsidRPr="00C87958" w14:paraId="7D033F3B" w14:textId="77777777" w:rsidTr="00A8333A">
        <w:tc>
          <w:tcPr>
            <w:tcW w:w="5000" w:type="pct"/>
            <w:gridSpan w:val="2"/>
          </w:tcPr>
          <w:p w14:paraId="0E520E82" w14:textId="77777777" w:rsidR="00E54FB3" w:rsidRPr="00C87958" w:rsidRDefault="00E54FB3" w:rsidP="00370D8E">
            <w:pPr>
              <w:pStyle w:val="COMTabletext"/>
              <w:rPr>
                <w:b/>
                <w:bCs w:val="0"/>
              </w:rPr>
            </w:pPr>
            <w:r w:rsidRPr="00C87958">
              <w:rPr>
                <w:b/>
                <w:bCs w:val="0"/>
              </w:rPr>
              <w:t>Proposed population (baseline: patients ≥18 years with native kidney or disease recurrence post-transplant)</w:t>
            </w:r>
          </w:p>
        </w:tc>
      </w:tr>
      <w:tr w:rsidR="00E54FB3" w:rsidRPr="00C87958" w14:paraId="7486342F" w14:textId="77777777" w:rsidTr="00A8333A">
        <w:tc>
          <w:tcPr>
            <w:tcW w:w="2500" w:type="pct"/>
          </w:tcPr>
          <w:p w14:paraId="009DA882" w14:textId="77777777" w:rsidR="00E54FB3" w:rsidRPr="00C87958" w:rsidRDefault="00E54FB3" w:rsidP="00370D8E">
            <w:pPr>
              <w:pStyle w:val="COMTabletext"/>
            </w:pPr>
            <w:r w:rsidRPr="00C87958">
              <w:t>Native kidney only</w:t>
            </w:r>
          </w:p>
        </w:tc>
        <w:tc>
          <w:tcPr>
            <w:tcW w:w="2500" w:type="pct"/>
          </w:tcPr>
          <w:p w14:paraId="3B563042" w14:textId="744837F2" w:rsidR="00E54FB3" w:rsidRPr="00C87958" w:rsidRDefault="00E54FB3" w:rsidP="00370D8E">
            <w:pPr>
              <w:pStyle w:val="COMTabletext"/>
              <w:jc w:val="center"/>
            </w:pPr>
            <w:r w:rsidRPr="00C87958">
              <w:t>$</w:t>
            </w:r>
            <w:r w:rsidR="00994C8B" w:rsidRPr="00994C8B">
              <w:rPr>
                <w:highlight w:val="black"/>
              </w:rPr>
              <w:t>&amp;&amp;&amp;&amp;</w:t>
            </w:r>
            <w:r w:rsidR="004C0247">
              <w:rPr>
                <w:vertAlign w:val="superscript"/>
              </w:rPr>
              <w:t>1</w:t>
            </w:r>
          </w:p>
        </w:tc>
      </w:tr>
      <w:tr w:rsidR="00E54FB3" w:rsidRPr="00C87958" w14:paraId="00465331" w14:textId="77777777" w:rsidTr="00A8333A">
        <w:tc>
          <w:tcPr>
            <w:tcW w:w="2500" w:type="pct"/>
          </w:tcPr>
          <w:p w14:paraId="5B8CDD11" w14:textId="77777777" w:rsidR="00E54FB3" w:rsidRPr="00C87958" w:rsidRDefault="00E54FB3" w:rsidP="00370D8E">
            <w:pPr>
              <w:pStyle w:val="COMTabletext"/>
            </w:pPr>
            <w:r w:rsidRPr="00C87958">
              <w:t>Include patients aged 12 to 17 years</w:t>
            </w:r>
          </w:p>
        </w:tc>
        <w:tc>
          <w:tcPr>
            <w:tcW w:w="2500" w:type="pct"/>
            <w:vAlign w:val="center"/>
          </w:tcPr>
          <w:p w14:paraId="4609C7E4" w14:textId="6EE21BBC" w:rsidR="00E54FB3" w:rsidRPr="00C87958" w:rsidRDefault="00E54FB3" w:rsidP="00370D8E">
            <w:pPr>
              <w:pStyle w:val="COMTabletext"/>
              <w:jc w:val="center"/>
            </w:pPr>
            <w:r w:rsidRPr="00C87958">
              <w:t>$</w:t>
            </w:r>
            <w:r w:rsidR="00994C8B" w:rsidRPr="00994C8B">
              <w:rPr>
                <w:highlight w:val="black"/>
              </w:rPr>
              <w:t>&amp;&amp;&amp;&amp;</w:t>
            </w:r>
            <w:r w:rsidR="004C0247">
              <w:rPr>
                <w:vertAlign w:val="superscript"/>
              </w:rPr>
              <w:t>1</w:t>
            </w:r>
          </w:p>
        </w:tc>
      </w:tr>
      <w:tr w:rsidR="00E54FB3" w:rsidRPr="00C87958" w14:paraId="7C5CC9FF" w14:textId="77777777" w:rsidTr="00A8333A">
        <w:tc>
          <w:tcPr>
            <w:tcW w:w="5000" w:type="pct"/>
            <w:gridSpan w:val="2"/>
          </w:tcPr>
          <w:p w14:paraId="24F23EB7" w14:textId="77777777" w:rsidR="00E54FB3" w:rsidRPr="00C87958" w:rsidRDefault="00E54FB3" w:rsidP="00370D8E">
            <w:pPr>
              <w:pStyle w:val="COMTabletext"/>
              <w:rPr>
                <w:b/>
                <w:bCs w:val="0"/>
              </w:rPr>
            </w:pPr>
            <w:r w:rsidRPr="00C87958">
              <w:rPr>
                <w:b/>
                <w:bCs w:val="0"/>
              </w:rPr>
              <w:t>Proportion achieving treatment response (base case: 89.5%)</w:t>
            </w:r>
          </w:p>
        </w:tc>
      </w:tr>
      <w:tr w:rsidR="00E54FB3" w:rsidRPr="00C87958" w14:paraId="51C7DDCB" w14:textId="77777777" w:rsidTr="00A8333A">
        <w:tc>
          <w:tcPr>
            <w:tcW w:w="2500" w:type="pct"/>
          </w:tcPr>
          <w:p w14:paraId="0EBE29DC" w14:textId="77777777" w:rsidR="00E54FB3" w:rsidRPr="00C87958" w:rsidRDefault="00E54FB3" w:rsidP="00370D8E">
            <w:pPr>
              <w:pStyle w:val="COMTabletext"/>
            </w:pPr>
            <w:r w:rsidRPr="00C87958">
              <w:t>Decrease to 80%</w:t>
            </w:r>
          </w:p>
        </w:tc>
        <w:tc>
          <w:tcPr>
            <w:tcW w:w="2500" w:type="pct"/>
          </w:tcPr>
          <w:p w14:paraId="305897E4" w14:textId="35083238" w:rsidR="00E54FB3" w:rsidRPr="00C87958" w:rsidRDefault="00E54FB3" w:rsidP="00370D8E">
            <w:pPr>
              <w:pStyle w:val="COMTabletext"/>
              <w:jc w:val="center"/>
            </w:pPr>
            <w:r w:rsidRPr="00C87958">
              <w:t>$</w:t>
            </w:r>
            <w:r w:rsidR="00994C8B" w:rsidRPr="00994C8B">
              <w:rPr>
                <w:highlight w:val="black"/>
              </w:rPr>
              <w:t>&amp;&amp;&amp;&amp;</w:t>
            </w:r>
            <w:r w:rsidR="004C0247">
              <w:rPr>
                <w:vertAlign w:val="superscript"/>
              </w:rPr>
              <w:t>1</w:t>
            </w:r>
          </w:p>
        </w:tc>
      </w:tr>
      <w:tr w:rsidR="00E54FB3" w:rsidRPr="00C87958" w14:paraId="214F5CDF" w14:textId="77777777" w:rsidTr="00A8333A">
        <w:tc>
          <w:tcPr>
            <w:tcW w:w="2500" w:type="pct"/>
          </w:tcPr>
          <w:p w14:paraId="7B949806" w14:textId="77777777" w:rsidR="00E54FB3" w:rsidRPr="00C87958" w:rsidRDefault="00E54FB3" w:rsidP="00370D8E">
            <w:pPr>
              <w:pStyle w:val="COMTabletext"/>
            </w:pPr>
            <w:r w:rsidRPr="00C87958">
              <w:t>Increase to 100%</w:t>
            </w:r>
          </w:p>
        </w:tc>
        <w:tc>
          <w:tcPr>
            <w:tcW w:w="2500" w:type="pct"/>
          </w:tcPr>
          <w:p w14:paraId="0E9911DF" w14:textId="17EE1E06" w:rsidR="00E54FB3" w:rsidRPr="00C87958" w:rsidRDefault="00E54FB3" w:rsidP="00370D8E">
            <w:pPr>
              <w:pStyle w:val="COMTabletext"/>
              <w:jc w:val="center"/>
            </w:pPr>
            <w:r w:rsidRPr="00C87958">
              <w:t>$</w:t>
            </w:r>
            <w:r w:rsidR="00994C8B" w:rsidRPr="00994C8B">
              <w:rPr>
                <w:highlight w:val="black"/>
              </w:rPr>
              <w:t>&amp;&amp;&amp;&amp;</w:t>
            </w:r>
            <w:r w:rsidR="004C0247">
              <w:rPr>
                <w:vertAlign w:val="superscript"/>
              </w:rPr>
              <w:t>1</w:t>
            </w:r>
          </w:p>
        </w:tc>
      </w:tr>
      <w:tr w:rsidR="00E54FB3" w:rsidRPr="00C87958" w14:paraId="3AE511A7" w14:textId="77777777" w:rsidTr="00A8333A">
        <w:tc>
          <w:tcPr>
            <w:tcW w:w="5000" w:type="pct"/>
            <w:gridSpan w:val="2"/>
          </w:tcPr>
          <w:p w14:paraId="7CAAAE13" w14:textId="77777777" w:rsidR="00E54FB3" w:rsidRPr="00C87958" w:rsidRDefault="00E54FB3" w:rsidP="00370D8E">
            <w:pPr>
              <w:pStyle w:val="COMTabletext"/>
              <w:rPr>
                <w:b/>
                <w:bCs w:val="0"/>
              </w:rPr>
            </w:pPr>
            <w:r w:rsidRPr="00C87958">
              <w:rPr>
                <w:b/>
                <w:bCs w:val="0"/>
              </w:rPr>
              <w:t>Treatment discontinuation rate (base case: 5.26% per year for initial 18 months; 1.00% per year thereafter)</w:t>
            </w:r>
          </w:p>
        </w:tc>
      </w:tr>
      <w:tr w:rsidR="00E54FB3" w:rsidRPr="00C87958" w14:paraId="061DAFEB" w14:textId="77777777" w:rsidTr="00A8333A">
        <w:tc>
          <w:tcPr>
            <w:tcW w:w="2500" w:type="pct"/>
          </w:tcPr>
          <w:p w14:paraId="00E30C2A" w14:textId="77777777" w:rsidR="00E54FB3" w:rsidRPr="00C87958" w:rsidRDefault="00E54FB3" w:rsidP="00370D8E">
            <w:pPr>
              <w:pStyle w:val="COMTabletext"/>
            </w:pPr>
            <w:r w:rsidRPr="00C87958">
              <w:t>5.26% per year in all years</w:t>
            </w:r>
          </w:p>
        </w:tc>
        <w:tc>
          <w:tcPr>
            <w:tcW w:w="2500" w:type="pct"/>
            <w:vAlign w:val="center"/>
          </w:tcPr>
          <w:p w14:paraId="2156483A" w14:textId="6E38470F" w:rsidR="00E54FB3" w:rsidRPr="00C87958" w:rsidRDefault="00E54FB3" w:rsidP="00370D8E">
            <w:pPr>
              <w:pStyle w:val="COMTabletext"/>
              <w:jc w:val="center"/>
            </w:pPr>
            <w:r w:rsidRPr="00C87958">
              <w:t>$</w:t>
            </w:r>
            <w:r w:rsidR="00994C8B" w:rsidRPr="00994C8B">
              <w:rPr>
                <w:highlight w:val="black"/>
              </w:rPr>
              <w:t>&amp;&amp;&amp;&amp;</w:t>
            </w:r>
            <w:r w:rsidR="004C0247">
              <w:rPr>
                <w:vertAlign w:val="superscript"/>
              </w:rPr>
              <w:t>1</w:t>
            </w:r>
          </w:p>
        </w:tc>
      </w:tr>
      <w:tr w:rsidR="00E54FB3" w:rsidRPr="00C87958" w14:paraId="25DEB84C" w14:textId="77777777" w:rsidTr="00A8333A">
        <w:tc>
          <w:tcPr>
            <w:tcW w:w="2500" w:type="pct"/>
          </w:tcPr>
          <w:p w14:paraId="3BF276FE" w14:textId="77777777" w:rsidR="00E54FB3" w:rsidRPr="00C87958" w:rsidRDefault="00E54FB3" w:rsidP="00370D8E">
            <w:pPr>
              <w:pStyle w:val="COMTabletext"/>
            </w:pPr>
            <w:r w:rsidRPr="00C87958">
              <w:t>Discontinuations removed</w:t>
            </w:r>
          </w:p>
        </w:tc>
        <w:tc>
          <w:tcPr>
            <w:tcW w:w="2500" w:type="pct"/>
          </w:tcPr>
          <w:p w14:paraId="5FCBBB56" w14:textId="41D583BA" w:rsidR="00E54FB3" w:rsidRPr="00C87958" w:rsidRDefault="00E54FB3" w:rsidP="00370D8E">
            <w:pPr>
              <w:pStyle w:val="COMTabletext"/>
              <w:jc w:val="center"/>
            </w:pPr>
            <w:r w:rsidRPr="00C87958">
              <w:t>$</w:t>
            </w:r>
            <w:r w:rsidR="00994C8B" w:rsidRPr="00994C8B">
              <w:rPr>
                <w:highlight w:val="black"/>
              </w:rPr>
              <w:t>&amp;&amp;&amp;&amp;</w:t>
            </w:r>
            <w:r w:rsidR="004C0247">
              <w:rPr>
                <w:vertAlign w:val="superscript"/>
              </w:rPr>
              <w:t>1</w:t>
            </w:r>
          </w:p>
        </w:tc>
      </w:tr>
    </w:tbl>
    <w:p w14:paraId="6C50FE38" w14:textId="77777777" w:rsidR="00E54FB3" w:rsidRDefault="00E54FB3" w:rsidP="00370D8E">
      <w:pPr>
        <w:pStyle w:val="COMTablefooter"/>
      </w:pPr>
      <w:r w:rsidRPr="0098262F">
        <w:t>Source:</w:t>
      </w:r>
      <w:r>
        <w:t xml:space="preserve"> Constructed during the evaluation using the Section 4 financial implications Excel workbook</w:t>
      </w:r>
    </w:p>
    <w:p w14:paraId="7A359689" w14:textId="77777777" w:rsidR="00E54FB3" w:rsidRDefault="00E54FB3" w:rsidP="00370D8E">
      <w:pPr>
        <w:pStyle w:val="COMTablefooter"/>
      </w:pPr>
      <w:r>
        <w:t>Abbreviations: C3G, complement 3 glomerulopathy; CKD, chronic kidney disease; Y, Year</w:t>
      </w:r>
    </w:p>
    <w:p w14:paraId="74DD110F" w14:textId="77777777" w:rsidR="00E54FB3" w:rsidRPr="00AC74F8" w:rsidRDefault="00E54FB3" w:rsidP="00370D8E">
      <w:pPr>
        <w:pStyle w:val="COMTablefooter"/>
      </w:pPr>
      <w:r>
        <w:rPr>
          <w:vertAlign w:val="superscript"/>
        </w:rPr>
        <w:t>a</w:t>
      </w:r>
      <w:r w:rsidRPr="00AC74F8">
        <w:t xml:space="preserve"> Smith et al. (2019) reported prevalence rates ranging from 5 per million to 140 per million</w:t>
      </w:r>
    </w:p>
    <w:p w14:paraId="1A1792EF" w14:textId="77777777" w:rsidR="00DC6419" w:rsidRDefault="00E54FB3" w:rsidP="00370D8E">
      <w:pPr>
        <w:pStyle w:val="COMTablefooter"/>
      </w:pPr>
      <w:r>
        <w:rPr>
          <w:vertAlign w:val="superscript"/>
        </w:rPr>
        <w:t>b</w:t>
      </w:r>
      <w:r>
        <w:t xml:space="preserve"> Derived based on a 10% absolute increase or decrease in uptake across all years</w:t>
      </w:r>
      <w:r w:rsidR="00DC6419" w:rsidRPr="00DC6419">
        <w:t xml:space="preserve"> </w:t>
      </w:r>
    </w:p>
    <w:p w14:paraId="5FE46010" w14:textId="74BD37EE" w:rsidR="00E54FB3" w:rsidRPr="00DC6419" w:rsidRDefault="00DC6419" w:rsidP="00370D8E">
      <w:pPr>
        <w:pStyle w:val="COMTablefooter"/>
        <w:rPr>
          <w:i/>
          <w:iCs/>
        </w:rPr>
      </w:pPr>
      <w:r w:rsidRPr="00DC6419">
        <w:rPr>
          <w:i/>
          <w:iCs/>
        </w:rPr>
        <w:t>The redacted values correspond to the following ranges:</w:t>
      </w:r>
    </w:p>
    <w:p w14:paraId="4C167F3D" w14:textId="79825F27" w:rsidR="002A5F8F" w:rsidRPr="00DC6419" w:rsidRDefault="004C0247" w:rsidP="00370D8E">
      <w:pPr>
        <w:pStyle w:val="COMTablefooter"/>
        <w:rPr>
          <w:i/>
          <w:iCs/>
        </w:rPr>
      </w:pPr>
      <w:r w:rsidRPr="00DC6419">
        <w:rPr>
          <w:i/>
          <w:iCs/>
          <w:vertAlign w:val="superscript"/>
        </w:rPr>
        <w:t>1</w:t>
      </w:r>
      <w:r w:rsidR="001C5283">
        <w:rPr>
          <w:i/>
          <w:iCs/>
          <w:vertAlign w:val="superscript"/>
        </w:rPr>
        <w:t xml:space="preserve"> </w:t>
      </w:r>
      <w:r w:rsidRPr="00DC6419">
        <w:rPr>
          <w:i/>
          <w:iCs/>
        </w:rPr>
        <w:t xml:space="preserve">$100 million to </w:t>
      </w:r>
      <w:r w:rsidR="00364110">
        <w:rPr>
          <w:i/>
          <w:iCs/>
        </w:rPr>
        <w:t xml:space="preserve">&lt; </w:t>
      </w:r>
      <w:r w:rsidRPr="00DC6419">
        <w:rPr>
          <w:i/>
          <w:iCs/>
        </w:rPr>
        <w:t>$200 million</w:t>
      </w:r>
    </w:p>
    <w:p w14:paraId="758097FD" w14:textId="42474281" w:rsidR="002A5F8F" w:rsidRPr="00DC6419" w:rsidRDefault="004C0247" w:rsidP="00370D8E">
      <w:pPr>
        <w:pStyle w:val="COMTablefooter"/>
        <w:rPr>
          <w:i/>
          <w:iCs/>
        </w:rPr>
      </w:pPr>
      <w:r w:rsidRPr="00DC6419">
        <w:rPr>
          <w:i/>
          <w:iCs/>
          <w:vertAlign w:val="superscript"/>
        </w:rPr>
        <w:t>2</w:t>
      </w:r>
      <w:r w:rsidR="001C5283">
        <w:rPr>
          <w:i/>
          <w:iCs/>
          <w:vertAlign w:val="superscript"/>
        </w:rPr>
        <w:t xml:space="preserve"> </w:t>
      </w:r>
      <w:r w:rsidR="002A5F8F" w:rsidRPr="00DC6419">
        <w:rPr>
          <w:i/>
          <w:iCs/>
        </w:rPr>
        <w:t xml:space="preserve">$200 million to </w:t>
      </w:r>
      <w:r w:rsidR="00364110">
        <w:rPr>
          <w:i/>
          <w:iCs/>
        </w:rPr>
        <w:t xml:space="preserve">&lt; </w:t>
      </w:r>
      <w:r w:rsidR="002A5F8F" w:rsidRPr="00DC6419">
        <w:rPr>
          <w:i/>
          <w:iCs/>
        </w:rPr>
        <w:t>$300 million</w:t>
      </w:r>
    </w:p>
    <w:p w14:paraId="6153CA81" w14:textId="20F76BF4" w:rsidR="002A5F8F" w:rsidRPr="00DC6419" w:rsidRDefault="004C0247" w:rsidP="00370D8E">
      <w:pPr>
        <w:pStyle w:val="COMTablefooter"/>
        <w:rPr>
          <w:i/>
          <w:iCs/>
        </w:rPr>
      </w:pPr>
      <w:r w:rsidRPr="00DC6419">
        <w:rPr>
          <w:i/>
          <w:iCs/>
          <w:vertAlign w:val="superscript"/>
        </w:rPr>
        <w:t>3</w:t>
      </w:r>
      <w:r w:rsidR="001C5283">
        <w:rPr>
          <w:i/>
          <w:iCs/>
          <w:vertAlign w:val="superscript"/>
        </w:rPr>
        <w:t xml:space="preserve"> </w:t>
      </w:r>
      <w:r w:rsidR="002A5F8F" w:rsidRPr="00DC6419">
        <w:rPr>
          <w:i/>
          <w:iCs/>
        </w:rPr>
        <w:t xml:space="preserve">$300 million to </w:t>
      </w:r>
      <w:r w:rsidR="00364110">
        <w:rPr>
          <w:i/>
          <w:iCs/>
        </w:rPr>
        <w:t xml:space="preserve">&lt; </w:t>
      </w:r>
      <w:r w:rsidR="002A5F8F" w:rsidRPr="00DC6419">
        <w:rPr>
          <w:i/>
          <w:iCs/>
        </w:rPr>
        <w:t>$400 million</w:t>
      </w:r>
    </w:p>
    <w:p w14:paraId="63E942D0" w14:textId="2DC6E245" w:rsidR="002A5F8F" w:rsidRPr="00DC6419" w:rsidRDefault="004C0247" w:rsidP="00370D8E">
      <w:pPr>
        <w:pStyle w:val="COMTablefooter"/>
        <w:rPr>
          <w:i/>
          <w:iCs/>
        </w:rPr>
      </w:pPr>
      <w:r w:rsidRPr="00DC6419">
        <w:rPr>
          <w:i/>
          <w:iCs/>
          <w:vertAlign w:val="superscript"/>
        </w:rPr>
        <w:t>4</w:t>
      </w:r>
      <w:r w:rsidR="001C5283">
        <w:rPr>
          <w:i/>
          <w:iCs/>
          <w:vertAlign w:val="superscript"/>
        </w:rPr>
        <w:t xml:space="preserve"> </w:t>
      </w:r>
      <w:r w:rsidR="002A5F8F" w:rsidRPr="00DC6419">
        <w:rPr>
          <w:i/>
          <w:iCs/>
        </w:rPr>
        <w:t xml:space="preserve">$700 million to </w:t>
      </w:r>
      <w:r w:rsidR="00364110">
        <w:rPr>
          <w:i/>
          <w:iCs/>
        </w:rPr>
        <w:t xml:space="preserve">&lt; </w:t>
      </w:r>
      <w:r w:rsidR="002A5F8F" w:rsidRPr="00DC6419">
        <w:rPr>
          <w:i/>
          <w:iCs/>
        </w:rPr>
        <w:t>$800 million</w:t>
      </w:r>
    </w:p>
    <w:bookmarkEnd w:id="61"/>
    <w:p w14:paraId="57462A24" w14:textId="77777777" w:rsidR="00E54FB3" w:rsidRPr="00C87958" w:rsidRDefault="00E54FB3" w:rsidP="00370D8E">
      <w:pPr>
        <w:pStyle w:val="COMexecsummnumbered"/>
        <w:numPr>
          <w:ilvl w:val="1"/>
          <w:numId w:val="5"/>
        </w:numPr>
      </w:pPr>
      <w:r w:rsidRPr="00C87958">
        <w:t>The estimated cost to the PBS/RPBS was highly sensitive to the assumed incidence and prevalence of C3G.</w:t>
      </w:r>
    </w:p>
    <w:p w14:paraId="2238DEE9" w14:textId="3E6A228B" w:rsidR="00576972" w:rsidRPr="0098262F" w:rsidRDefault="00576972" w:rsidP="00370D8E">
      <w:pPr>
        <w:pStyle w:val="COMESSubsectionheading"/>
      </w:pPr>
      <w:bookmarkStart w:id="62" w:name="_Toc22897648"/>
      <w:bookmarkStart w:id="63" w:name="_Toc209000664"/>
      <w:r w:rsidRPr="0098262F">
        <w:t>Quality Use of Medicines</w:t>
      </w:r>
      <w:bookmarkEnd w:id="62"/>
      <w:bookmarkEnd w:id="63"/>
    </w:p>
    <w:p w14:paraId="604D2BC5" w14:textId="77777777" w:rsidR="00347F9F" w:rsidRPr="00642677" w:rsidRDefault="00347F9F" w:rsidP="00370D8E">
      <w:pPr>
        <w:pStyle w:val="COMexecsummnumbered"/>
        <w:numPr>
          <w:ilvl w:val="1"/>
          <w:numId w:val="5"/>
        </w:numPr>
        <w:rPr>
          <w:color w:val="0066FF"/>
        </w:rPr>
      </w:pPr>
      <w:r>
        <w:t>The submission proposed the following activities to support the quality use of medicines:</w:t>
      </w:r>
    </w:p>
    <w:p w14:paraId="4505DAC0" w14:textId="77777777" w:rsidR="006A1103" w:rsidRPr="00642677" w:rsidRDefault="006A1103" w:rsidP="00370D8E">
      <w:pPr>
        <w:pStyle w:val="COMexecsummbulletlist"/>
        <w:spacing w:after="0"/>
        <w:ind w:hanging="357"/>
      </w:pPr>
      <w:r>
        <w:t xml:space="preserve">Targeted educational materials for nephrologists, focusing on appropriate patient </w:t>
      </w:r>
      <w:r w:rsidRPr="00642677">
        <w:t>selection criteria, diagnostic confirmation of C3G, baseline assessments, and ongoing monitoring protocols.</w:t>
      </w:r>
    </w:p>
    <w:p w14:paraId="0CA5BF29" w14:textId="77777777" w:rsidR="006A1103" w:rsidRPr="00642677" w:rsidRDefault="006A1103" w:rsidP="00370D8E">
      <w:pPr>
        <w:pStyle w:val="COMexecsummbulletlist"/>
        <w:spacing w:after="0"/>
        <w:ind w:hanging="357"/>
      </w:pPr>
      <w:r w:rsidRPr="00642677">
        <w:t>A controlled access scheme to ensure iptacopan is only dispensed through specialised nephrology centres.</w:t>
      </w:r>
    </w:p>
    <w:p w14:paraId="4DA33F57" w14:textId="77777777" w:rsidR="006A1103" w:rsidRPr="00642677" w:rsidRDefault="006A1103" w:rsidP="00370D8E">
      <w:pPr>
        <w:pStyle w:val="COMexecsummbulletlist"/>
        <w:spacing w:after="0"/>
        <w:ind w:hanging="357"/>
      </w:pPr>
      <w:r w:rsidRPr="00642677">
        <w:t>Development of a patient safety card and a patient/caregiver guide to promote treatment adherence and early identification of potential adverse events.</w:t>
      </w:r>
    </w:p>
    <w:p w14:paraId="0AC1D655" w14:textId="77777777" w:rsidR="006A1103" w:rsidRPr="00642677" w:rsidRDefault="006A1103" w:rsidP="00370D8E">
      <w:pPr>
        <w:pStyle w:val="COMexecsummbulletlist"/>
      </w:pPr>
      <w:r w:rsidRPr="00642677">
        <w:t>An annual reminder of mandatory revaccinations to mitigate the risk of infections caused by encapsulated bacteria.</w:t>
      </w:r>
    </w:p>
    <w:p w14:paraId="6015A395" w14:textId="10E5E9AF" w:rsidR="00576972" w:rsidRPr="0098262F" w:rsidRDefault="00576972" w:rsidP="00370D8E">
      <w:pPr>
        <w:pStyle w:val="COMESSubsectionheading"/>
      </w:pPr>
      <w:bookmarkStart w:id="64" w:name="_Toc22897649"/>
      <w:bookmarkStart w:id="65" w:name="_Toc209000665"/>
      <w:r w:rsidRPr="0098262F">
        <w:t>Financial Management – Risk Sharing Arrangements</w:t>
      </w:r>
      <w:bookmarkEnd w:id="64"/>
      <w:bookmarkEnd w:id="65"/>
    </w:p>
    <w:p w14:paraId="25BA2464" w14:textId="1A45733D" w:rsidR="00894CD6" w:rsidRDefault="00B27DE0" w:rsidP="00370D8E">
      <w:pPr>
        <w:pStyle w:val="COMexecsummnumbered"/>
        <w:numPr>
          <w:ilvl w:val="1"/>
          <w:numId w:val="5"/>
        </w:numPr>
      </w:pPr>
      <w:r w:rsidRPr="00642677">
        <w:t>The submission did not propose a risk-sharing arrangement.</w:t>
      </w:r>
    </w:p>
    <w:p w14:paraId="717A70F8" w14:textId="77777777" w:rsidR="009A4A51" w:rsidRPr="00C33D30" w:rsidRDefault="009A4A51" w:rsidP="00370D8E">
      <w:pPr>
        <w:ind w:firstLine="709"/>
        <w:rPr>
          <w:rFonts w:asciiTheme="minorHAnsi" w:hAnsiTheme="minorHAnsi"/>
          <w:i/>
        </w:rPr>
      </w:pPr>
      <w:r w:rsidRPr="00C33D30">
        <w:rPr>
          <w:rFonts w:asciiTheme="minorHAnsi" w:hAnsiTheme="minorHAnsi"/>
          <w:i/>
        </w:rPr>
        <w:t>For more detail on PBAC’s view, see section 7 PBAC outcome.</w:t>
      </w:r>
    </w:p>
    <w:p w14:paraId="372DC20E" w14:textId="77777777" w:rsidR="009A4A51" w:rsidRPr="00B27DE0" w:rsidRDefault="009A4A51" w:rsidP="00370D8E">
      <w:pPr>
        <w:pStyle w:val="COMexecsummnumbered"/>
        <w:ind w:firstLine="0"/>
      </w:pPr>
    </w:p>
    <w:p w14:paraId="60C6385B" w14:textId="484626CE" w:rsidR="00C9608B" w:rsidRDefault="00C9608B" w:rsidP="00370D8E">
      <w:pPr>
        <w:jc w:val="left"/>
      </w:pPr>
    </w:p>
    <w:p w14:paraId="253718C9" w14:textId="77777777" w:rsidR="00C45408" w:rsidRPr="0090150D" w:rsidRDefault="00C45408" w:rsidP="00370D8E">
      <w:pPr>
        <w:pStyle w:val="2-SectionHeading"/>
        <w:numPr>
          <w:ilvl w:val="0"/>
          <w:numId w:val="1"/>
        </w:numPr>
        <w:outlineLvl w:val="0"/>
      </w:pPr>
      <w:bookmarkStart w:id="66" w:name="_Hlk76381249"/>
      <w:r w:rsidRPr="0090150D">
        <w:t>PBAC Outcome</w:t>
      </w:r>
    </w:p>
    <w:p w14:paraId="2DBE3A92" w14:textId="17E95C32" w:rsidR="003C3F9C" w:rsidRPr="0022274D" w:rsidRDefault="003C3F9C" w:rsidP="00370D8E">
      <w:pPr>
        <w:pStyle w:val="COMESnumberedpara"/>
        <w:rPr>
          <w:rFonts w:ascii="Aptos" w:hAnsi="Aptos" w:cs="Aptos"/>
        </w:rPr>
      </w:pPr>
      <w:bookmarkStart w:id="67" w:name="_Hlk111543188"/>
      <w:r>
        <w:t xml:space="preserve">The PBAC </w:t>
      </w:r>
      <w:r w:rsidRPr="003C3F9C">
        <w:t>did not recommend</w:t>
      </w:r>
      <w:r>
        <w:t xml:space="preserve"> iptacopan for treatment of complement 3 glomerulopathy (C3G). The PBAC considered that there is a high clinical need for treatments for C3G, which is a condition that impacts relatively </w:t>
      </w:r>
      <w:r w:rsidRPr="003C3F9C">
        <w:t>young patients and causes decline in kidney function. T</w:t>
      </w:r>
      <w:r>
        <w:t xml:space="preserve">he PBAC considered it </w:t>
      </w:r>
      <w:r w:rsidRPr="003C3F9C">
        <w:t>is possible that iptacopan provides a clinical benefit for some patients in terms of slowing progression to end-stage kidney disease. However, the PBAC noted the clinical benefit was not sufficiently supported as the trial only demonstra</w:t>
      </w:r>
      <w:r>
        <w:t xml:space="preserve">ted statistically significant improvement in the surrogate outcome of change in </w:t>
      </w:r>
      <w:r w:rsidRPr="003C3F9C">
        <w:t xml:space="preserve">proteinuria, with no significant difference in eGFR. The PBAC considered that the modelled outcomes relating to avoidance of long-term dialysis and transplant were improbable and highly </w:t>
      </w:r>
      <w:r>
        <w:t xml:space="preserve">uncertain due to the limited clinical data, reliance on surrogate outcomes, and unsupported assumptions in the economic model. The PBAC considered that the cost-effectiveness of iptacopan had not been established as the ICER was </w:t>
      </w:r>
      <w:r w:rsidR="002324B9">
        <w:t xml:space="preserve">extremely </w:t>
      </w:r>
      <w:r>
        <w:t>high at the requested price despite optimistic inputs to the economic model.</w:t>
      </w:r>
    </w:p>
    <w:p w14:paraId="17032EE8" w14:textId="413D7563" w:rsidR="0022274D" w:rsidRPr="0022274D" w:rsidRDefault="0022274D" w:rsidP="00370D8E">
      <w:pPr>
        <w:pStyle w:val="COMESnumberedpara"/>
        <w:rPr>
          <w:rFonts w:ascii="Aptos" w:hAnsi="Aptos" w:cs="Aptos"/>
        </w:rPr>
      </w:pPr>
      <w:r w:rsidRPr="0022274D">
        <w:rPr>
          <w:snapToGrid w:val="0"/>
          <w:lang w:val="en-GB"/>
        </w:rPr>
        <w:t>The PBAC considered that the primary reason for this outcome was the comparative clinical evidence.</w:t>
      </w:r>
    </w:p>
    <w:bookmarkEnd w:id="67"/>
    <w:p w14:paraId="4229CB06" w14:textId="6DA4E210" w:rsidR="009A5025" w:rsidRPr="00826CED" w:rsidRDefault="00A57396" w:rsidP="00370D8E">
      <w:pPr>
        <w:pStyle w:val="COMESnumberedpara"/>
        <w:numPr>
          <w:ilvl w:val="1"/>
          <w:numId w:val="1"/>
        </w:numPr>
        <w:spacing w:after="120"/>
        <w:rPr>
          <w:snapToGrid w:val="0"/>
          <w:lang w:val="en-GB"/>
        </w:rPr>
      </w:pPr>
      <w:r w:rsidRPr="00826CED">
        <w:rPr>
          <w:snapToGrid w:val="0"/>
        </w:rPr>
        <w:t>The PBAC acknowledged the impact of C3G on individuals who are often children or young adults, working, and raising or starting families. Input</w:t>
      </w:r>
      <w:r w:rsidR="007C24F2" w:rsidRPr="00826CED">
        <w:rPr>
          <w:snapToGrid w:val="0"/>
        </w:rPr>
        <w:t xml:space="preserve"> from individuals, healthcare professionals and organisations</w:t>
      </w:r>
      <w:r w:rsidRPr="00826CED">
        <w:rPr>
          <w:snapToGrid w:val="0"/>
        </w:rPr>
        <w:t xml:space="preserve"> highlighted symptoms of </w:t>
      </w:r>
      <w:r w:rsidR="007C24F2" w:rsidRPr="00826CED">
        <w:rPr>
          <w:snapToGrid w:val="0"/>
        </w:rPr>
        <w:t xml:space="preserve">end stage </w:t>
      </w:r>
      <w:r w:rsidR="005F2E4A" w:rsidRPr="00826CED">
        <w:rPr>
          <w:snapToGrid w:val="0"/>
        </w:rPr>
        <w:t xml:space="preserve">kidney </w:t>
      </w:r>
      <w:r w:rsidR="00524224" w:rsidRPr="00826CED">
        <w:rPr>
          <w:snapToGrid w:val="0"/>
        </w:rPr>
        <w:t>disease</w:t>
      </w:r>
      <w:r w:rsidRPr="00826CED">
        <w:rPr>
          <w:snapToGrid w:val="0"/>
        </w:rPr>
        <w:t xml:space="preserve"> frequently require healthcare visits or hospitalisation and impact their ability to attend school and work, causing significant carer burden. The input from individuals with C3G noted the impact of chronic kidney disease, relapses and treatment burden on their ability to participate in daily activities and their mental health. </w:t>
      </w:r>
      <w:r w:rsidR="00C00E0A">
        <w:t xml:space="preserve">The PBAC considered that there is a high clinical need for treatments for C3G, noting that other treatments </w:t>
      </w:r>
      <w:r w:rsidR="00F42D71" w:rsidRPr="00FD7AA2">
        <w:t xml:space="preserve">are limited to supportive measures </w:t>
      </w:r>
      <w:r w:rsidR="00F42D71">
        <w:t>which do not impact the underlying mechanism of C3G</w:t>
      </w:r>
      <w:r w:rsidR="000B4911">
        <w:t xml:space="preserve">, and most patients </w:t>
      </w:r>
      <w:r w:rsidR="006C605D">
        <w:t>progress to end-stage kidney disease (requiring dialysis or transplant) despite these therapies</w:t>
      </w:r>
      <w:r w:rsidR="00F42D71" w:rsidRPr="00FD7AA2">
        <w:t xml:space="preserve">. </w:t>
      </w:r>
    </w:p>
    <w:p w14:paraId="415EC5C7" w14:textId="77777777" w:rsidR="001F7F1D" w:rsidRDefault="000C67FD" w:rsidP="00370D8E">
      <w:pPr>
        <w:pStyle w:val="COMESnumberedpara"/>
        <w:numPr>
          <w:ilvl w:val="1"/>
          <w:numId w:val="1"/>
        </w:numPr>
        <w:spacing w:after="120"/>
      </w:pPr>
      <w:r w:rsidRPr="001F7F1D">
        <w:rPr>
          <w:snapToGrid w:val="0"/>
          <w:lang w:val="en-GB"/>
        </w:rPr>
        <w:t xml:space="preserve">The </w:t>
      </w:r>
      <w:r w:rsidR="001F7F1D" w:rsidRPr="001F7F1D">
        <w:rPr>
          <w:snapToGrid w:val="0"/>
          <w:lang w:val="en-GB"/>
        </w:rPr>
        <w:t>PBAC noted the</w:t>
      </w:r>
      <w:r w:rsidRPr="001F7F1D">
        <w:rPr>
          <w:snapToGrid w:val="0"/>
          <w:lang w:val="en-GB"/>
        </w:rPr>
        <w:t xml:space="preserve"> </w:t>
      </w:r>
      <w:r w:rsidR="001F7F1D" w:rsidRPr="001F7F1D">
        <w:rPr>
          <w:snapToGrid w:val="0"/>
          <w:lang w:val="en-GB"/>
        </w:rPr>
        <w:t xml:space="preserve">proposed </w:t>
      </w:r>
      <w:r w:rsidRPr="001F7F1D">
        <w:rPr>
          <w:snapToGrid w:val="0"/>
          <w:lang w:val="en-GB"/>
        </w:rPr>
        <w:t>clinical place for iptacopan</w:t>
      </w:r>
      <w:r w:rsidR="001F7F1D" w:rsidRPr="001F7F1D">
        <w:rPr>
          <w:snapToGrid w:val="0"/>
          <w:lang w:val="en-GB"/>
        </w:rPr>
        <w:t xml:space="preserve"> was </w:t>
      </w:r>
      <w:r w:rsidR="00CF186A" w:rsidRPr="006B22A3">
        <w:t xml:space="preserve">as </w:t>
      </w:r>
      <w:r w:rsidR="00CF186A" w:rsidRPr="002176B2">
        <w:t>an add-on to background therapy with an ACEI/ARB, with or without corticosteroids and/or mycophenolate mofetil</w:t>
      </w:r>
      <w:r w:rsidR="001F7F1D" w:rsidRPr="001F7F1D">
        <w:rPr>
          <w:snapToGrid w:val="0"/>
          <w:lang w:val="en-GB"/>
        </w:rPr>
        <w:t xml:space="preserve"> in</w:t>
      </w:r>
      <w:r w:rsidR="001F7F1D" w:rsidRPr="006B22A3">
        <w:t xml:space="preserve"> patients with native kidneys, </w:t>
      </w:r>
      <w:r w:rsidR="001F7F1D">
        <w:t>and as an add-on</w:t>
      </w:r>
      <w:r w:rsidR="001F7F1D" w:rsidRPr="00EF132E">
        <w:t xml:space="preserve"> to standard immunosuppressive regimens</w:t>
      </w:r>
      <w:r w:rsidR="001F7F1D">
        <w:t xml:space="preserve"> i</w:t>
      </w:r>
      <w:r w:rsidR="00CF186A">
        <w:t>n</w:t>
      </w:r>
      <w:r w:rsidR="00CF186A" w:rsidRPr="00EF132E">
        <w:t xml:space="preserve"> patients with disease recurrence following a kidney transplant</w:t>
      </w:r>
      <w:r w:rsidR="001F7F1D">
        <w:t xml:space="preserve">. The PBAC considered that the proposed clinical place was appropriate. </w:t>
      </w:r>
    </w:p>
    <w:p w14:paraId="022DB8A1" w14:textId="791EFA68" w:rsidR="009A5025" w:rsidRPr="00565CF0" w:rsidRDefault="0055079E" w:rsidP="00370D8E">
      <w:pPr>
        <w:pStyle w:val="COMESnumberedpara"/>
        <w:numPr>
          <w:ilvl w:val="1"/>
          <w:numId w:val="1"/>
        </w:numPr>
        <w:spacing w:after="120"/>
      </w:pPr>
      <w:r>
        <w:t>The PBAC noted that th</w:t>
      </w:r>
      <w:r w:rsidR="009A5025" w:rsidRPr="006C0461">
        <w:t>e submission requested that the PBAC consider extending the restriction to include adolescents aged 12 to 17 years</w:t>
      </w:r>
      <w:r>
        <w:t xml:space="preserve">, although </w:t>
      </w:r>
      <w:r w:rsidR="00FA2B2C">
        <w:t xml:space="preserve">the TGA indication is limited to adults and </w:t>
      </w:r>
      <w:r>
        <w:t>no data were presented for this population</w:t>
      </w:r>
      <w:r w:rsidR="00FA2B2C">
        <w:t xml:space="preserve">. The PBAC noted that </w:t>
      </w:r>
      <w:r w:rsidR="009A5025" w:rsidRPr="006C0461">
        <w:t xml:space="preserve">the ongoing APPEAR-C3G trial </w:t>
      </w:r>
      <w:r>
        <w:t>(</w:t>
      </w:r>
      <w:r w:rsidR="009A5025" w:rsidRPr="006C0461">
        <w:t>expected completion in 2026</w:t>
      </w:r>
      <w:r>
        <w:t xml:space="preserve">) </w:t>
      </w:r>
      <w:r w:rsidR="00CF2531">
        <w:t xml:space="preserve">will include </w:t>
      </w:r>
      <w:r w:rsidR="009A2524">
        <w:t xml:space="preserve">results for </w:t>
      </w:r>
      <w:r w:rsidR="006554C2">
        <w:t>the adolescent cohort</w:t>
      </w:r>
      <w:r w:rsidR="009A5025" w:rsidRPr="006C0461">
        <w:t xml:space="preserve">. </w:t>
      </w:r>
      <w:r w:rsidR="00967432">
        <w:t xml:space="preserve">The PBAC noted that </w:t>
      </w:r>
      <w:r w:rsidR="004A0528">
        <w:t xml:space="preserve">disease progression is faster among adult </w:t>
      </w:r>
      <w:r w:rsidR="004A0528">
        <w:lastRenderedPageBreak/>
        <w:t xml:space="preserve">patients diagnosed with C3G compared with </w:t>
      </w:r>
      <w:r w:rsidR="00C42830">
        <w:t>younger</w:t>
      </w:r>
      <w:r w:rsidR="004A0528">
        <w:t xml:space="preserve"> patients</w:t>
      </w:r>
      <w:r w:rsidR="0029668E">
        <w:rPr>
          <w:rStyle w:val="FootnoteReference"/>
        </w:rPr>
        <w:footnoteReference w:id="1"/>
      </w:r>
      <w:r w:rsidR="00DF5EEC">
        <w:t xml:space="preserve"> and therefore the clinical evidence and magnitude of effect may not be </w:t>
      </w:r>
      <w:r w:rsidR="0029668E">
        <w:t xml:space="preserve">directly comparable between adult and </w:t>
      </w:r>
      <w:r w:rsidR="0077018B">
        <w:t xml:space="preserve">adolescent </w:t>
      </w:r>
      <w:r w:rsidR="0029668E">
        <w:t>patients.</w:t>
      </w:r>
      <w:r w:rsidR="009A2524">
        <w:t xml:space="preserve"> The PBAC considered </w:t>
      </w:r>
      <w:r w:rsidR="002D2A30">
        <w:t xml:space="preserve">in the absence of evidence </w:t>
      </w:r>
      <w:r w:rsidR="00A31ED8">
        <w:t xml:space="preserve">of safety and effectiveness </w:t>
      </w:r>
      <w:r w:rsidR="002D2A30">
        <w:t xml:space="preserve">in </w:t>
      </w:r>
      <w:r w:rsidR="00C42830">
        <w:t>adolescent</w:t>
      </w:r>
      <w:r w:rsidR="002D2A30">
        <w:t xml:space="preserve"> patients it would be reasonable for the listing to be limited to adult patients</w:t>
      </w:r>
      <w:r w:rsidR="00155975">
        <w:t xml:space="preserve">, but additional evidence in the adolescent population may </w:t>
      </w:r>
      <w:r w:rsidR="003A718F">
        <w:t xml:space="preserve">support a broader </w:t>
      </w:r>
      <w:r w:rsidR="00A31ED8">
        <w:t>age range</w:t>
      </w:r>
      <w:r w:rsidR="002D2A30">
        <w:t>.</w:t>
      </w:r>
      <w:r w:rsidR="00CC5642">
        <w:t xml:space="preserve"> </w:t>
      </w:r>
    </w:p>
    <w:p w14:paraId="3EF2FB83" w14:textId="0B15CD15" w:rsidR="00300358" w:rsidRPr="00300358" w:rsidRDefault="00145984" w:rsidP="00370D8E">
      <w:pPr>
        <w:numPr>
          <w:ilvl w:val="1"/>
          <w:numId w:val="1"/>
        </w:numPr>
        <w:spacing w:after="120"/>
        <w:rPr>
          <w:rFonts w:asciiTheme="minorHAnsi" w:hAnsiTheme="minorHAnsi"/>
          <w:snapToGrid w:val="0"/>
          <w:lang w:val="en-GB"/>
        </w:rPr>
      </w:pPr>
      <w:r>
        <w:t xml:space="preserve">The PBAC noted that the </w:t>
      </w:r>
      <w:r w:rsidR="00EC69C9">
        <w:t xml:space="preserve">submission proposed </w:t>
      </w:r>
      <w:r w:rsidR="00AF2049">
        <w:t>listings</w:t>
      </w:r>
      <w:r w:rsidR="004A6472">
        <w:t xml:space="preserve"> for</w:t>
      </w:r>
      <w:r w:rsidR="00AF2049">
        <w:t xml:space="preserve"> patients with native kidneys and </w:t>
      </w:r>
      <w:r w:rsidR="004A6472">
        <w:t>for</w:t>
      </w:r>
      <w:r w:rsidR="00AF2049">
        <w:t xml:space="preserve"> those who have received kidney transplants</w:t>
      </w:r>
      <w:r w:rsidR="0012288A" w:rsidRPr="00A81BBC">
        <w:t xml:space="preserve"> with disease recurrence, however no comparative data </w:t>
      </w:r>
      <w:r w:rsidR="00A37CFD">
        <w:t xml:space="preserve">were available </w:t>
      </w:r>
      <w:r w:rsidR="0012288A" w:rsidRPr="00A81BBC">
        <w:t xml:space="preserve">in </w:t>
      </w:r>
      <w:r w:rsidR="008D3013">
        <w:t xml:space="preserve">post-transplant </w:t>
      </w:r>
      <w:r w:rsidR="00F71919">
        <w:t>patient</w:t>
      </w:r>
      <w:r w:rsidR="008D3013">
        <w:t>s</w:t>
      </w:r>
      <w:r w:rsidR="0012288A" w:rsidRPr="00A81BBC">
        <w:t xml:space="preserve">. The </w:t>
      </w:r>
      <w:r w:rsidR="00A37CFD">
        <w:t xml:space="preserve">PBAC </w:t>
      </w:r>
      <w:r w:rsidR="00C741EB">
        <w:t>considered</w:t>
      </w:r>
      <w:r w:rsidR="00A37CFD">
        <w:t xml:space="preserve"> that </w:t>
      </w:r>
      <w:r w:rsidR="00C741EB">
        <w:t>there is a high unmet need in the small group of</w:t>
      </w:r>
      <w:r w:rsidR="0012288A" w:rsidRPr="00A81BBC">
        <w:t xml:space="preserve"> post-transplant patients </w:t>
      </w:r>
      <w:r w:rsidR="00C741EB">
        <w:t xml:space="preserve">and </w:t>
      </w:r>
      <w:r w:rsidR="00623DFD">
        <w:t xml:space="preserve">that </w:t>
      </w:r>
      <w:r w:rsidR="00F30824">
        <w:t>although th</w:t>
      </w:r>
      <w:r w:rsidR="002B459D">
        <w:t>ere w</w:t>
      </w:r>
      <w:r w:rsidR="00E740DE">
        <w:t>ere</w:t>
      </w:r>
      <w:r w:rsidR="002B459D">
        <w:t xml:space="preserve"> no comparative data, the</w:t>
      </w:r>
      <w:r w:rsidR="00C234AD">
        <w:t xml:space="preserve"> </w:t>
      </w:r>
      <w:r w:rsidR="00623DFD">
        <w:t>single-arm studies su</w:t>
      </w:r>
      <w:r w:rsidR="005F14F9">
        <w:t xml:space="preserve">ggested iptacopan </w:t>
      </w:r>
      <w:r w:rsidR="00F43E41">
        <w:t xml:space="preserve">was associated with statistically </w:t>
      </w:r>
      <w:r w:rsidR="00B14A00" w:rsidRPr="003C1E33">
        <w:t>significant reduction in C3 Deposit Score at 12 weeks from baseline</w:t>
      </w:r>
      <w:r w:rsidR="00F43E41">
        <w:t>, and it was biologically plausible that it</w:t>
      </w:r>
      <w:r w:rsidR="00847A43">
        <w:t xml:space="preserve"> </w:t>
      </w:r>
      <w:r w:rsidR="00F43E41">
        <w:t>would</w:t>
      </w:r>
      <w:r w:rsidR="005F14F9">
        <w:t xml:space="preserve"> be </w:t>
      </w:r>
      <w:r w:rsidR="00F43E41">
        <w:t xml:space="preserve">similarly </w:t>
      </w:r>
      <w:r w:rsidR="005F14F9">
        <w:t>effective in these patients</w:t>
      </w:r>
      <w:r w:rsidR="007646DF">
        <w:t xml:space="preserve"> as it is in </w:t>
      </w:r>
      <w:r w:rsidR="00A13154">
        <w:t>patients</w:t>
      </w:r>
      <w:r w:rsidR="007646DF">
        <w:t xml:space="preserve"> with native kidneys</w:t>
      </w:r>
      <w:r w:rsidR="0012288A" w:rsidRPr="00A81BBC">
        <w:t>.</w:t>
      </w:r>
      <w:r w:rsidR="00300358">
        <w:t xml:space="preserve"> The PBAC noted the </w:t>
      </w:r>
      <w:r>
        <w:t xml:space="preserve">proposed criteria for initiation for post-transplant recurrence of C3G were broader than those for native kidney initiation and considered that they should be aligned with the criteria proposed for native kidney initiation in terms of eGFR and UPCR. </w:t>
      </w:r>
      <w:r w:rsidR="00D5278C">
        <w:t xml:space="preserve">The PBAC also considered </w:t>
      </w:r>
      <w:r w:rsidR="00A274DA">
        <w:t xml:space="preserve">that </w:t>
      </w:r>
      <w:r w:rsidR="00831865">
        <w:t>post-transplant</w:t>
      </w:r>
      <w:r w:rsidR="00860E4E">
        <w:t xml:space="preserve"> </w:t>
      </w:r>
      <w:r w:rsidR="00415EA0">
        <w:t xml:space="preserve">patients </w:t>
      </w:r>
      <w:r w:rsidR="00A274DA">
        <w:t xml:space="preserve">should be allowed to initiate iptacopan treatment for recurrent C3G at any point in time. </w:t>
      </w:r>
    </w:p>
    <w:p w14:paraId="751012EA" w14:textId="73958029" w:rsidR="00145984" w:rsidRPr="00145984" w:rsidRDefault="00EC69C9" w:rsidP="00370D8E">
      <w:pPr>
        <w:numPr>
          <w:ilvl w:val="1"/>
          <w:numId w:val="1"/>
        </w:numPr>
        <w:spacing w:after="120"/>
        <w:rPr>
          <w:rFonts w:asciiTheme="minorHAnsi" w:hAnsiTheme="minorHAnsi"/>
          <w:snapToGrid w:val="0"/>
          <w:lang w:val="en-GB"/>
        </w:rPr>
      </w:pPr>
      <w:r>
        <w:t xml:space="preserve">The PBAC considered that the proposed Authority levels </w:t>
      </w:r>
      <w:r w:rsidR="00300358">
        <w:t xml:space="preserve">for the listings </w:t>
      </w:r>
      <w:r>
        <w:t xml:space="preserve">were appropriate (written Authority for initial treatment and streamlined for </w:t>
      </w:r>
      <w:r w:rsidR="00025B76">
        <w:t xml:space="preserve">continuing </w:t>
      </w:r>
      <w:r>
        <w:t>treatment). The PBAC also considered that treatment should be initiated by a nephrologist and</w:t>
      </w:r>
      <w:r w:rsidR="001A670A">
        <w:t xml:space="preserve"> that</w:t>
      </w:r>
      <w:r>
        <w:t xml:space="preserve"> nurse </w:t>
      </w:r>
      <w:r w:rsidR="0078305E">
        <w:t xml:space="preserve">practitioner </w:t>
      </w:r>
      <w:r>
        <w:t xml:space="preserve">prescribing was not appropriate in this indication. </w:t>
      </w:r>
      <w:r w:rsidR="00145984">
        <w:t>The PBAC considered that ongoing monitoring of C3G patients was required and 60</w:t>
      </w:r>
      <w:r w:rsidR="003D04B1">
        <w:t>-</w:t>
      </w:r>
      <w:r w:rsidR="00145984">
        <w:t xml:space="preserve">day prescribing of iptacopan was not appropriate at this time. </w:t>
      </w:r>
    </w:p>
    <w:p w14:paraId="702EB717" w14:textId="765099C5" w:rsidR="008D3013" w:rsidRDefault="001E2E13" w:rsidP="00370D8E">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the </w:t>
      </w:r>
      <w:r w:rsidRPr="00555A91">
        <w:t xml:space="preserve">nominated </w:t>
      </w:r>
      <w:r>
        <w:t>main comparator of “</w:t>
      </w:r>
      <w:r w:rsidRPr="00555A91">
        <w:t>standard of care</w:t>
      </w:r>
      <w:r>
        <w:t xml:space="preserve">” was </w:t>
      </w:r>
      <w:proofErr w:type="gramStart"/>
      <w:r>
        <w:t>appropriate, and</w:t>
      </w:r>
      <w:proofErr w:type="gramEnd"/>
      <w:r>
        <w:t xml:space="preserve"> noted that pegcetacoplan is a </w:t>
      </w:r>
      <w:r w:rsidR="00EB3102">
        <w:t>relevant near-market comparator.</w:t>
      </w:r>
      <w:r w:rsidR="006B75F2">
        <w:t xml:space="preserve"> </w:t>
      </w:r>
      <w:r w:rsidR="00492133">
        <w:t>This submission d</w:t>
      </w:r>
      <w:r w:rsidR="00682BE7">
        <w:t xml:space="preserve">id not present </w:t>
      </w:r>
      <w:r w:rsidR="00721DFE">
        <w:t xml:space="preserve">an indirect comparison </w:t>
      </w:r>
      <w:r w:rsidR="00FC278E">
        <w:t xml:space="preserve">with pegcetacoplan </w:t>
      </w:r>
      <w:r w:rsidR="00721DFE">
        <w:t xml:space="preserve">given limited </w:t>
      </w:r>
      <w:r w:rsidR="003C0ADE">
        <w:t xml:space="preserve">published </w:t>
      </w:r>
      <w:r w:rsidR="00721DFE">
        <w:t>data</w:t>
      </w:r>
      <w:r w:rsidR="003C0ADE">
        <w:t xml:space="preserve"> for </w:t>
      </w:r>
      <w:r w:rsidR="00F9149B">
        <w:t xml:space="preserve">the </w:t>
      </w:r>
      <w:r w:rsidR="00C344DD" w:rsidRPr="00773427">
        <w:t>key trial of pegcetacoplan</w:t>
      </w:r>
      <w:r w:rsidR="00C344DD">
        <w:t xml:space="preserve">, </w:t>
      </w:r>
      <w:r w:rsidR="00C344DD" w:rsidRPr="00773427">
        <w:t>VALIANT</w:t>
      </w:r>
      <w:r w:rsidR="003C0ADE">
        <w:t>.</w:t>
      </w:r>
    </w:p>
    <w:p w14:paraId="7E6EEAB7" w14:textId="14CB8E39" w:rsidR="00EE7CCF" w:rsidRPr="00010248" w:rsidRDefault="00EA1EF9" w:rsidP="00370D8E">
      <w:pPr>
        <w:numPr>
          <w:ilvl w:val="1"/>
          <w:numId w:val="1"/>
        </w:numPr>
        <w:spacing w:after="120"/>
        <w:rPr>
          <w:rFonts w:asciiTheme="minorHAnsi" w:hAnsiTheme="minorHAnsi"/>
          <w:snapToGrid w:val="0"/>
        </w:rPr>
      </w:pPr>
      <w:r w:rsidRPr="00EA1EF9">
        <w:rPr>
          <w:rFonts w:asciiTheme="minorHAnsi" w:hAnsiTheme="minorHAnsi"/>
          <w:snapToGrid w:val="0"/>
        </w:rPr>
        <w:t xml:space="preserve">The </w:t>
      </w:r>
      <w:r>
        <w:rPr>
          <w:rFonts w:asciiTheme="minorHAnsi" w:hAnsiTheme="minorHAnsi"/>
          <w:snapToGrid w:val="0"/>
        </w:rPr>
        <w:t xml:space="preserve">PBAC noted that the </w:t>
      </w:r>
      <w:r w:rsidRPr="00EA1EF9">
        <w:rPr>
          <w:rFonts w:asciiTheme="minorHAnsi" w:hAnsiTheme="minorHAnsi"/>
          <w:snapToGrid w:val="0"/>
        </w:rPr>
        <w:t>submission was based on a head-to-head randomised trial of iptacopan versus placebo in patients with C3G who have native kidneys (APPEAR-C3G)</w:t>
      </w:r>
      <w:r>
        <w:rPr>
          <w:rFonts w:asciiTheme="minorHAnsi" w:hAnsiTheme="minorHAnsi"/>
          <w:snapToGrid w:val="0"/>
        </w:rPr>
        <w:t>, with additional supportive</w:t>
      </w:r>
      <w:r w:rsidRPr="00EA1EF9">
        <w:rPr>
          <w:rFonts w:asciiTheme="minorHAnsi" w:eastAsiaTheme="minorHAnsi" w:hAnsiTheme="minorHAnsi" w:cstheme="minorBidi"/>
          <w:szCs w:val="22"/>
        </w:rPr>
        <w:t xml:space="preserve"> </w:t>
      </w:r>
      <w:r w:rsidRPr="00EA1EF9">
        <w:rPr>
          <w:rFonts w:asciiTheme="minorHAnsi" w:hAnsiTheme="minorHAnsi"/>
          <w:snapToGrid w:val="0"/>
        </w:rPr>
        <w:t>evidence</w:t>
      </w:r>
      <w:r>
        <w:rPr>
          <w:rFonts w:asciiTheme="minorHAnsi" w:hAnsiTheme="minorHAnsi"/>
          <w:snapToGrid w:val="0"/>
        </w:rPr>
        <w:t xml:space="preserve"> from </w:t>
      </w:r>
      <w:r w:rsidR="00C376C4">
        <w:rPr>
          <w:rFonts w:asciiTheme="minorHAnsi" w:hAnsiTheme="minorHAnsi"/>
          <w:snapToGrid w:val="0"/>
        </w:rPr>
        <w:t xml:space="preserve">a single-arm </w:t>
      </w:r>
      <w:r w:rsidRPr="00EA1EF9">
        <w:rPr>
          <w:rFonts w:asciiTheme="minorHAnsi" w:hAnsiTheme="minorHAnsi"/>
          <w:snapToGrid w:val="0"/>
        </w:rPr>
        <w:t xml:space="preserve">study of iptacopan in adult patients with C3G who have native kidneys or recurrent C3G following a kidney transplant (X2202); and a long-term extension study of iptacopan (B12001B) in the subset of patients who rolled over from the APPEAR-C3G trial and the X2202 phase 2 </w:t>
      </w:r>
      <w:r w:rsidRPr="00EA1EF9">
        <w:rPr>
          <w:rFonts w:asciiTheme="minorHAnsi" w:hAnsiTheme="minorHAnsi"/>
          <w:snapToGrid w:val="0"/>
        </w:rPr>
        <w:lastRenderedPageBreak/>
        <w:t>study.</w:t>
      </w:r>
      <w:r w:rsidR="00C376C4">
        <w:rPr>
          <w:rFonts w:asciiTheme="minorHAnsi" w:hAnsiTheme="minorHAnsi"/>
          <w:snapToGrid w:val="0"/>
        </w:rPr>
        <w:t xml:space="preserve"> </w:t>
      </w:r>
      <w:r w:rsidR="00EE7CCF">
        <w:rPr>
          <w:rFonts w:asciiTheme="minorHAnsi" w:hAnsiTheme="minorHAnsi"/>
          <w:snapToGrid w:val="0"/>
        </w:rPr>
        <w:t>The PBAC noted the o</w:t>
      </w:r>
      <w:r w:rsidR="00EE7CCF" w:rsidRPr="00EE7CCF">
        <w:rPr>
          <w:rFonts w:asciiTheme="minorHAnsi" w:hAnsiTheme="minorHAnsi"/>
          <w:snapToGrid w:val="0"/>
        </w:rPr>
        <w:t>utcomes in the key trial and supportive studies were primarily based on short-term changes in proteinuria and eGFR</w:t>
      </w:r>
      <w:r w:rsidR="0067453C">
        <w:rPr>
          <w:rFonts w:asciiTheme="minorHAnsi" w:hAnsiTheme="minorHAnsi"/>
          <w:snapToGrid w:val="0"/>
        </w:rPr>
        <w:t xml:space="preserve">, noting that the comparative data were limited to </w:t>
      </w:r>
      <w:r w:rsidR="00851245">
        <w:rPr>
          <w:rFonts w:asciiTheme="minorHAnsi" w:hAnsiTheme="minorHAnsi"/>
          <w:snapToGrid w:val="0"/>
        </w:rPr>
        <w:t>6 months, after which patient</w:t>
      </w:r>
      <w:r w:rsidR="00802B4A">
        <w:rPr>
          <w:rFonts w:asciiTheme="minorHAnsi" w:hAnsiTheme="minorHAnsi"/>
          <w:snapToGrid w:val="0"/>
        </w:rPr>
        <w:t>s crossed over to iptacopan</w:t>
      </w:r>
      <w:r w:rsidR="00EE7CCF" w:rsidRPr="00EE7CCF">
        <w:rPr>
          <w:rFonts w:asciiTheme="minorHAnsi" w:hAnsiTheme="minorHAnsi"/>
          <w:snapToGrid w:val="0"/>
        </w:rPr>
        <w:t>. The submission</w:t>
      </w:r>
      <w:r w:rsidR="00497D89">
        <w:rPr>
          <w:rFonts w:asciiTheme="minorHAnsi" w:hAnsiTheme="minorHAnsi"/>
          <w:snapToGrid w:val="0"/>
        </w:rPr>
        <w:t xml:space="preserve"> also</w:t>
      </w:r>
      <w:r w:rsidR="00EE7CCF" w:rsidRPr="00EE7CCF">
        <w:rPr>
          <w:rFonts w:asciiTheme="minorHAnsi" w:hAnsiTheme="minorHAnsi"/>
          <w:snapToGrid w:val="0"/>
        </w:rPr>
        <w:t xml:space="preserve"> presented epidemiological evidence supporting the use of reduction in proteinuria and stabilisation in eGFR as surrogate measures for the target clinical outcome of end stage kidney disease</w:t>
      </w:r>
      <w:r w:rsidR="00FA08AC">
        <w:rPr>
          <w:rFonts w:asciiTheme="minorHAnsi" w:hAnsiTheme="minorHAnsi"/>
          <w:snapToGrid w:val="0"/>
        </w:rPr>
        <w:t>, however there w</w:t>
      </w:r>
      <w:r w:rsidR="00FB3112">
        <w:rPr>
          <w:rFonts w:asciiTheme="minorHAnsi" w:hAnsiTheme="minorHAnsi"/>
          <w:snapToGrid w:val="0"/>
        </w:rPr>
        <w:t>ere</w:t>
      </w:r>
      <w:r w:rsidR="00FA08AC">
        <w:rPr>
          <w:rFonts w:asciiTheme="minorHAnsi" w:hAnsiTheme="minorHAnsi"/>
          <w:snapToGrid w:val="0"/>
        </w:rPr>
        <w:t xml:space="preserve"> no direct </w:t>
      </w:r>
      <w:r w:rsidR="00205FB8" w:rsidRPr="00205FB8">
        <w:rPr>
          <w:rFonts w:asciiTheme="minorHAnsi" w:hAnsiTheme="minorHAnsi"/>
          <w:snapToGrid w:val="0"/>
        </w:rPr>
        <w:t>data demonstrating that treatment-related changes in proteinuria or eGFR would result in a quantifiable change in the risk of kidney failure specifically in patients with C3G</w:t>
      </w:r>
      <w:r w:rsidR="00EE7CCF" w:rsidRPr="00EE7CCF">
        <w:rPr>
          <w:rFonts w:asciiTheme="minorHAnsi" w:hAnsiTheme="minorHAnsi"/>
          <w:snapToGrid w:val="0"/>
        </w:rPr>
        <w:t xml:space="preserve">. </w:t>
      </w:r>
      <w:r w:rsidR="00896F24">
        <w:rPr>
          <w:rFonts w:asciiTheme="minorHAnsi" w:hAnsiTheme="minorHAnsi"/>
          <w:snapToGrid w:val="0"/>
        </w:rPr>
        <w:t xml:space="preserve">The PBAC agreed with the ESC that </w:t>
      </w:r>
      <w:r w:rsidR="00B20DC1" w:rsidRPr="00B20DC1">
        <w:rPr>
          <w:rFonts w:asciiTheme="minorHAnsi" w:hAnsiTheme="minorHAnsi"/>
          <w:snapToGrid w:val="0"/>
        </w:rPr>
        <w:t>biological plausibility and epidemiological evidence support proteinuria and eGFR levels as prognostic variables for kidney disease progression</w:t>
      </w:r>
      <w:r w:rsidR="00896F24">
        <w:rPr>
          <w:rFonts w:asciiTheme="minorHAnsi" w:hAnsiTheme="minorHAnsi"/>
          <w:snapToGrid w:val="0"/>
        </w:rPr>
        <w:t>, h</w:t>
      </w:r>
      <w:r w:rsidR="00B20DC1" w:rsidRPr="00B20DC1">
        <w:rPr>
          <w:rFonts w:asciiTheme="minorHAnsi" w:hAnsiTheme="minorHAnsi"/>
          <w:snapToGrid w:val="0"/>
        </w:rPr>
        <w:t>owever, the magnitude by which proteinuria reduction or eGFR stabilisation mitigates progression to ESKD and its associated sequelae remains uncertain.</w:t>
      </w:r>
    </w:p>
    <w:p w14:paraId="08356ACA" w14:textId="6FFB43C0" w:rsidR="003B0C8E" w:rsidRPr="00F71C41" w:rsidRDefault="00F71C41" w:rsidP="00370D8E">
      <w:pPr>
        <w:numPr>
          <w:ilvl w:val="1"/>
          <w:numId w:val="1"/>
        </w:numPr>
        <w:spacing w:after="120"/>
        <w:rPr>
          <w:rFonts w:asciiTheme="minorHAnsi" w:hAnsiTheme="minorHAnsi"/>
          <w:snapToGrid w:val="0"/>
        </w:rPr>
      </w:pPr>
      <w:r>
        <w:rPr>
          <w:rFonts w:asciiTheme="minorHAnsi" w:hAnsiTheme="minorHAnsi"/>
          <w:snapToGrid w:val="0"/>
        </w:rPr>
        <w:t xml:space="preserve">The PBAC noted that </w:t>
      </w:r>
      <w:r w:rsidR="000F2975">
        <w:rPr>
          <w:rFonts w:asciiTheme="minorHAnsi" w:hAnsiTheme="minorHAnsi"/>
          <w:snapToGrid w:val="0"/>
        </w:rPr>
        <w:t xml:space="preserve">in APPEAR-C3G </w:t>
      </w:r>
      <w:r>
        <w:rPr>
          <w:rFonts w:asciiTheme="minorHAnsi" w:hAnsiTheme="minorHAnsi"/>
          <w:snapToGrid w:val="0"/>
        </w:rPr>
        <w:t>t</w:t>
      </w:r>
      <w:r w:rsidR="003B0C8E" w:rsidRPr="00F71C41">
        <w:rPr>
          <w:rFonts w:asciiTheme="minorHAnsi" w:hAnsiTheme="minorHAnsi"/>
          <w:snapToGrid w:val="0"/>
        </w:rPr>
        <w:t>reatment with iptacopan was associated with a statistically significant reduction in 24-hour UPCR compared to placebo at 6 months from baseline</w:t>
      </w:r>
      <w:r>
        <w:rPr>
          <w:rFonts w:asciiTheme="minorHAnsi" w:hAnsiTheme="minorHAnsi"/>
          <w:snapToGrid w:val="0"/>
        </w:rPr>
        <w:t xml:space="preserve">, and </w:t>
      </w:r>
      <w:r w:rsidR="003B0C8E" w:rsidRPr="00F71C41">
        <w:rPr>
          <w:rFonts w:asciiTheme="minorHAnsi" w:hAnsiTheme="minorHAnsi"/>
          <w:snapToGrid w:val="0"/>
        </w:rPr>
        <w:t>effects on proteinuria were sustained at 12 months during the open-label extension period and up to 24 months in the B12001B long-term extension study.</w:t>
      </w:r>
      <w:r>
        <w:rPr>
          <w:rFonts w:asciiTheme="minorHAnsi" w:hAnsiTheme="minorHAnsi"/>
          <w:snapToGrid w:val="0"/>
        </w:rPr>
        <w:t xml:space="preserve"> </w:t>
      </w:r>
      <w:r w:rsidR="00756B77">
        <w:rPr>
          <w:rFonts w:asciiTheme="minorHAnsi" w:hAnsiTheme="minorHAnsi"/>
          <w:snapToGrid w:val="0"/>
        </w:rPr>
        <w:t xml:space="preserve">However, the PBAC noted that </w:t>
      </w:r>
      <w:r w:rsidR="000F2975">
        <w:rPr>
          <w:rFonts w:asciiTheme="minorHAnsi" w:hAnsiTheme="minorHAnsi"/>
          <w:snapToGrid w:val="0"/>
        </w:rPr>
        <w:t xml:space="preserve">although </w:t>
      </w:r>
      <w:r w:rsidR="00756B77">
        <w:rPr>
          <w:rFonts w:asciiTheme="minorHAnsi" w:hAnsiTheme="minorHAnsi"/>
          <w:snapToGrid w:val="0"/>
        </w:rPr>
        <w:t>t</w:t>
      </w:r>
      <w:r w:rsidR="003B0C8E" w:rsidRPr="00F71C41">
        <w:rPr>
          <w:rFonts w:asciiTheme="minorHAnsi" w:hAnsiTheme="minorHAnsi"/>
          <w:snapToGrid w:val="0"/>
        </w:rPr>
        <w:t>reatment with iptacopan was associated with a numerical improvement in eGFR compared to placebo at 6 months, the result did not achieve statistical significance.</w:t>
      </w:r>
      <w:r w:rsidR="003B0C8E" w:rsidRPr="00F71C41">
        <w:rPr>
          <w:rFonts w:asciiTheme="minorHAnsi" w:eastAsiaTheme="minorHAnsi" w:hAnsiTheme="minorHAnsi" w:cstheme="minorBidi"/>
          <w:szCs w:val="22"/>
        </w:rPr>
        <w:t xml:space="preserve"> </w:t>
      </w:r>
      <w:r w:rsidR="003B0C8E" w:rsidRPr="00F71C41">
        <w:rPr>
          <w:rFonts w:asciiTheme="minorHAnsi" w:hAnsiTheme="minorHAnsi"/>
          <w:snapToGrid w:val="0"/>
        </w:rPr>
        <w:t>Longer-term follow-up</w:t>
      </w:r>
      <w:r w:rsidR="00CE2A80">
        <w:rPr>
          <w:rFonts w:asciiTheme="minorHAnsi" w:hAnsiTheme="minorHAnsi"/>
          <w:snapToGrid w:val="0"/>
        </w:rPr>
        <w:t xml:space="preserve"> </w:t>
      </w:r>
      <w:r w:rsidR="003B0C8E" w:rsidRPr="00F71C41">
        <w:rPr>
          <w:rFonts w:asciiTheme="minorHAnsi" w:hAnsiTheme="minorHAnsi"/>
          <w:snapToGrid w:val="0"/>
        </w:rPr>
        <w:t xml:space="preserve">in patients originally randomised to the iptacopan arm </w:t>
      </w:r>
      <w:r w:rsidR="0030233A">
        <w:rPr>
          <w:rFonts w:asciiTheme="minorHAnsi" w:hAnsiTheme="minorHAnsi"/>
          <w:snapToGrid w:val="0"/>
        </w:rPr>
        <w:t xml:space="preserve">appeared to </w:t>
      </w:r>
      <w:r w:rsidR="000D4674">
        <w:rPr>
          <w:rFonts w:asciiTheme="minorHAnsi" w:hAnsiTheme="minorHAnsi"/>
          <w:snapToGrid w:val="0"/>
        </w:rPr>
        <w:t>show a decline in eGFR</w:t>
      </w:r>
      <w:r w:rsidR="00F866AA">
        <w:rPr>
          <w:rFonts w:asciiTheme="minorHAnsi" w:hAnsiTheme="minorHAnsi"/>
          <w:snapToGrid w:val="0"/>
        </w:rPr>
        <w:t xml:space="preserve"> but may </w:t>
      </w:r>
      <w:r w:rsidR="0030233A">
        <w:rPr>
          <w:rFonts w:asciiTheme="minorHAnsi" w:hAnsiTheme="minorHAnsi"/>
          <w:snapToGrid w:val="0"/>
        </w:rPr>
        <w:t xml:space="preserve">have been </w:t>
      </w:r>
      <w:r w:rsidR="003B0C8E" w:rsidRPr="00F71C41">
        <w:rPr>
          <w:rFonts w:asciiTheme="minorHAnsi" w:hAnsiTheme="minorHAnsi"/>
          <w:snapToGrid w:val="0"/>
        </w:rPr>
        <w:t>impact</w:t>
      </w:r>
      <w:r w:rsidR="0030233A">
        <w:rPr>
          <w:rFonts w:asciiTheme="minorHAnsi" w:hAnsiTheme="minorHAnsi"/>
          <w:snapToGrid w:val="0"/>
        </w:rPr>
        <w:t>ed</w:t>
      </w:r>
      <w:r w:rsidR="003B0C8E" w:rsidRPr="00F71C41">
        <w:rPr>
          <w:rFonts w:asciiTheme="minorHAnsi" w:hAnsiTheme="minorHAnsi"/>
          <w:snapToGrid w:val="0"/>
        </w:rPr>
        <w:t xml:space="preserve"> </w:t>
      </w:r>
      <w:r w:rsidR="000F2975">
        <w:rPr>
          <w:rFonts w:asciiTheme="minorHAnsi" w:hAnsiTheme="minorHAnsi"/>
          <w:snapToGrid w:val="0"/>
        </w:rPr>
        <w:t xml:space="preserve">by </w:t>
      </w:r>
      <w:r w:rsidR="003B0C8E" w:rsidRPr="00F71C41">
        <w:rPr>
          <w:rFonts w:asciiTheme="minorHAnsi" w:hAnsiTheme="minorHAnsi"/>
          <w:snapToGrid w:val="0"/>
        </w:rPr>
        <w:t>outlier values</w:t>
      </w:r>
      <w:r w:rsidR="0030233A">
        <w:rPr>
          <w:rFonts w:asciiTheme="minorHAnsi" w:hAnsiTheme="minorHAnsi"/>
          <w:snapToGrid w:val="0"/>
        </w:rPr>
        <w:t xml:space="preserve"> and the small number of patients included</w:t>
      </w:r>
      <w:r w:rsidR="000D4674">
        <w:rPr>
          <w:rFonts w:asciiTheme="minorHAnsi" w:hAnsiTheme="minorHAnsi"/>
          <w:snapToGrid w:val="0"/>
        </w:rPr>
        <w:t xml:space="preserve"> in the analysis</w:t>
      </w:r>
      <w:r w:rsidR="003B0C8E" w:rsidRPr="00F71C41">
        <w:rPr>
          <w:rFonts w:asciiTheme="minorHAnsi" w:hAnsiTheme="minorHAnsi"/>
          <w:snapToGrid w:val="0"/>
        </w:rPr>
        <w:t>. In patients originally randomised to placebo and subsequently switched to iptacopan, eGFR remained stable throughout the trial and extension period.</w:t>
      </w:r>
      <w:r w:rsidR="008F789D">
        <w:rPr>
          <w:rFonts w:asciiTheme="minorHAnsi" w:hAnsiTheme="minorHAnsi"/>
          <w:snapToGrid w:val="0"/>
        </w:rPr>
        <w:t xml:space="preserve"> The PBAC noted that no changes in QoL were demonstrated in the comparative </w:t>
      </w:r>
      <w:r w:rsidR="00DA483A">
        <w:rPr>
          <w:rFonts w:asciiTheme="minorHAnsi" w:hAnsiTheme="minorHAnsi"/>
          <w:snapToGrid w:val="0"/>
        </w:rPr>
        <w:t xml:space="preserve">phase of the APPEAR-C3G study. </w:t>
      </w:r>
    </w:p>
    <w:p w14:paraId="2C6C1670" w14:textId="7958F556" w:rsidR="004245FF" w:rsidRPr="00571542" w:rsidRDefault="006711C0" w:rsidP="00370D8E">
      <w:pPr>
        <w:pStyle w:val="COMESnumberedpara"/>
        <w:rPr>
          <w:snapToGrid w:val="0"/>
        </w:rPr>
      </w:pPr>
      <w:bookmarkStart w:id="68" w:name="_Ref216091620"/>
      <w:r>
        <w:rPr>
          <w:snapToGrid w:val="0"/>
        </w:rPr>
        <w:t>The PBAC also noted a</w:t>
      </w:r>
      <w:r w:rsidR="00EE7CCF" w:rsidRPr="00EE7CCF">
        <w:rPr>
          <w:snapToGrid w:val="0"/>
        </w:rPr>
        <w:t xml:space="preserve">n exploratory analysis of the rate of change in eGFR (slope per year) was conducted by pooling data from the APPEAR-C3G, X2202 and B12001B studies (but using the native kidney cohort of X2202 only) including historical estimates </w:t>
      </w:r>
      <w:r w:rsidR="00EE7CCF" w:rsidRPr="00BC1C05">
        <w:rPr>
          <w:snapToGrid w:val="0"/>
        </w:rPr>
        <w:t>collected for approximately 2 years prior to entry into APPEAR-C3G and X2202.</w:t>
      </w:r>
      <w:r w:rsidRPr="00BC1C05">
        <w:rPr>
          <w:snapToGrid w:val="0"/>
        </w:rPr>
        <w:t xml:space="preserve"> This analysis </w:t>
      </w:r>
      <w:r w:rsidR="00F866AA">
        <w:rPr>
          <w:snapToGrid w:val="0"/>
        </w:rPr>
        <w:t>also informed</w:t>
      </w:r>
      <w:r w:rsidRPr="00BC1C05">
        <w:rPr>
          <w:snapToGrid w:val="0"/>
        </w:rPr>
        <w:t xml:space="preserve"> the economic evaluation of iptacopan. The PBAC </w:t>
      </w:r>
      <w:r w:rsidR="00E70037" w:rsidRPr="00BC1C05">
        <w:rPr>
          <w:snapToGrid w:val="0"/>
        </w:rPr>
        <w:t xml:space="preserve">considered that this pooled analysis was unreliable due to </w:t>
      </w:r>
      <w:r w:rsidR="00E70037" w:rsidRPr="00BC1C05">
        <w:t xml:space="preserve">heterogeneity between the included studies in terms of study design, duration and populations, and due to methodological limitations (pooling of data from non-parallel observation periods) </w:t>
      </w:r>
      <w:r w:rsidR="00BC1C05">
        <w:t xml:space="preserve">and was subject to </w:t>
      </w:r>
      <w:r w:rsidR="00E70037" w:rsidRPr="00BC1C05">
        <w:t xml:space="preserve">potential confounding </w:t>
      </w:r>
      <w:r w:rsidR="00BC1C05">
        <w:t>due to</w:t>
      </w:r>
      <w:r w:rsidR="00E70037" w:rsidRPr="00BC1C05">
        <w:t xml:space="preserve"> substantial differences in use of supportive therapies during the pre- and post-randomisation periods of the analysis</w:t>
      </w:r>
      <w:r w:rsidR="00BC1C05" w:rsidRPr="00BC1C05">
        <w:t xml:space="preserve">. </w:t>
      </w:r>
      <w:r w:rsidR="0026530C">
        <w:t xml:space="preserve">The PBAC considered that </w:t>
      </w:r>
      <w:r w:rsidR="00305BD5">
        <w:t>the evidence provided did not support a differen</w:t>
      </w:r>
      <w:r w:rsidR="00B9638C">
        <w:t>ce</w:t>
      </w:r>
      <w:r w:rsidR="00305BD5">
        <w:t xml:space="preserve"> in eGFR in patients treated with </w:t>
      </w:r>
      <w:r w:rsidR="00B9638C">
        <w:t xml:space="preserve">iptacopan, acknowledging that this may be due to the short duration of the comparative phase of the trial. </w:t>
      </w:r>
      <w:r w:rsidR="004245FF">
        <w:t>Overall, t</w:t>
      </w:r>
      <w:r w:rsidR="004245FF" w:rsidRPr="00571542">
        <w:rPr>
          <w:iCs/>
          <w:snapToGrid w:val="0"/>
        </w:rPr>
        <w:t>he</w:t>
      </w:r>
      <w:r w:rsidR="004245FF" w:rsidRPr="00571542">
        <w:rPr>
          <w:snapToGrid w:val="0"/>
        </w:rPr>
        <w:t xml:space="preserve"> PBAC considered that the claim of superior comparative effectiveness was not adequately supported by the data as it was based on short-term biomarkers (proteinuria reduction), with no </w:t>
      </w:r>
      <w:r w:rsidR="004245FF" w:rsidRPr="00571542">
        <w:rPr>
          <w:snapToGrid w:val="0"/>
        </w:rPr>
        <w:lastRenderedPageBreak/>
        <w:t>demonstrated difference in terms of change in eGFR compared to placebo</w:t>
      </w:r>
      <w:r w:rsidR="004245FF">
        <w:rPr>
          <w:snapToGrid w:val="0"/>
        </w:rPr>
        <w:t xml:space="preserve"> and no long-term data </w:t>
      </w:r>
      <w:r w:rsidR="002A2873">
        <w:rPr>
          <w:snapToGrid w:val="0"/>
        </w:rPr>
        <w:t xml:space="preserve">demonstrating </w:t>
      </w:r>
      <w:r w:rsidR="00670AA6">
        <w:rPr>
          <w:snapToGrid w:val="0"/>
        </w:rPr>
        <w:t>the effect on progression to ESKD</w:t>
      </w:r>
      <w:r w:rsidR="004245FF" w:rsidRPr="00571542">
        <w:rPr>
          <w:snapToGrid w:val="0"/>
        </w:rPr>
        <w:t>.</w:t>
      </w:r>
      <w:bookmarkEnd w:id="68"/>
    </w:p>
    <w:p w14:paraId="0152818E" w14:textId="1118E54E" w:rsidR="004036A6" w:rsidRPr="004036A6" w:rsidRDefault="00742DD8" w:rsidP="00370D8E">
      <w:pPr>
        <w:pStyle w:val="COMESnumberedpara"/>
      </w:pPr>
      <w:r>
        <w:t>The PBAC noted that</w:t>
      </w:r>
      <w:r w:rsidR="00066BA9">
        <w:t xml:space="preserve"> iptacopan was associated with </w:t>
      </w:r>
      <w:r w:rsidR="00184BB3">
        <w:t>a higher rate of adverse events compared with placebo, and an increased risk of serious adverse events</w:t>
      </w:r>
      <w:r w:rsidR="00FA67C8">
        <w:t xml:space="preserve">. The PBAC noted that </w:t>
      </w:r>
      <w:r w:rsidR="002B536E">
        <w:t>adverse events of special interest</w:t>
      </w:r>
      <w:r w:rsidR="00FA67C8">
        <w:t xml:space="preserve"> included an increased risk of the </w:t>
      </w:r>
      <w:r w:rsidR="002B536E">
        <w:t>incidence of infections (serious/severe or caused by encapsulated bacteria) compared to placebo.</w:t>
      </w:r>
      <w:r w:rsidR="00FA67C8">
        <w:t xml:space="preserve"> </w:t>
      </w:r>
      <w:r w:rsidR="007A428A">
        <w:t xml:space="preserve">Overall, the PBAC considered the claim of inferior comparative safety was reasonable. </w:t>
      </w:r>
      <w:r w:rsidR="00FA67C8">
        <w:t xml:space="preserve">The PBAC noted </w:t>
      </w:r>
      <w:r w:rsidR="004036A6">
        <w:t xml:space="preserve">that </w:t>
      </w:r>
      <w:r w:rsidR="004036A6" w:rsidRPr="004036A6">
        <w:t xml:space="preserve">the draft product information for iptacopan included a boxed warning regarding the risk of serious infections caused by encapsulated bacteria, such as </w:t>
      </w:r>
      <w:r w:rsidR="004036A6" w:rsidRPr="004036A6">
        <w:rPr>
          <w:i/>
          <w:iCs/>
        </w:rPr>
        <w:t>Streptococcus pneumoniae</w:t>
      </w:r>
      <w:r w:rsidR="004036A6" w:rsidRPr="004036A6">
        <w:t xml:space="preserve">, </w:t>
      </w:r>
      <w:r w:rsidR="004036A6" w:rsidRPr="004036A6">
        <w:rPr>
          <w:i/>
          <w:iCs/>
        </w:rPr>
        <w:t>Neisseria meningitidis</w:t>
      </w:r>
      <w:r w:rsidR="004036A6" w:rsidRPr="004036A6">
        <w:t xml:space="preserve">, and </w:t>
      </w:r>
      <w:r w:rsidR="004036A6" w:rsidRPr="004036A6">
        <w:rPr>
          <w:i/>
          <w:iCs/>
        </w:rPr>
        <w:t xml:space="preserve">Haemophilus influenzae </w:t>
      </w:r>
      <w:r w:rsidR="004036A6" w:rsidRPr="004036A6">
        <w:t>type B, with recommendations to vaccinate against these bacteria prior to initiation of iptacopan treatment. The PBAC advi</w:t>
      </w:r>
      <w:r w:rsidR="002F5380">
        <w:t>sed it would be</w:t>
      </w:r>
      <w:r w:rsidR="00830EA8">
        <w:t xml:space="preserve"> </w:t>
      </w:r>
      <w:r w:rsidR="00B85D4A">
        <w:t>appropriate</w:t>
      </w:r>
      <w:r w:rsidR="004036A6" w:rsidRPr="004036A6">
        <w:t xml:space="preserve"> to </w:t>
      </w:r>
      <w:r w:rsidR="00830EA8">
        <w:t>extend</w:t>
      </w:r>
      <w:r w:rsidR="002F5380" w:rsidRPr="004036A6">
        <w:t xml:space="preserve"> </w:t>
      </w:r>
      <w:r w:rsidR="004036A6" w:rsidRPr="004036A6">
        <w:t>access to these vaccines on the National Immunisation Program (NIP)</w:t>
      </w:r>
      <w:r w:rsidR="00A05DE6">
        <w:t xml:space="preserve"> </w:t>
      </w:r>
      <w:r w:rsidR="00AA0474">
        <w:t xml:space="preserve">for </w:t>
      </w:r>
      <w:r w:rsidR="00AA0474" w:rsidRPr="00AA0474">
        <w:t>a person who is undergoing treatment, or will commence treatment with iptacopan for a condition specified under the Pharmaceutical Benefits Scheme (PBS)</w:t>
      </w:r>
      <w:r w:rsidR="004036A6" w:rsidRPr="004036A6">
        <w:t>.</w:t>
      </w:r>
      <w:r w:rsidR="00467621">
        <w:t xml:space="preserve"> </w:t>
      </w:r>
    </w:p>
    <w:p w14:paraId="65305FBB" w14:textId="1A9FD0AA" w:rsidR="00FB0711" w:rsidRPr="008A1E71" w:rsidRDefault="00830371" w:rsidP="00370D8E">
      <w:pPr>
        <w:pStyle w:val="COMESnumberedpara"/>
      </w:pPr>
      <w:bookmarkStart w:id="69" w:name="_Ref216102699"/>
      <w:r w:rsidRPr="00830371">
        <w:rPr>
          <w:snapToGrid w:val="0"/>
        </w:rPr>
        <w:t xml:space="preserve">The submission presented a stepped </w:t>
      </w:r>
      <w:r w:rsidR="007027D8">
        <w:rPr>
          <w:snapToGrid w:val="0"/>
        </w:rPr>
        <w:t xml:space="preserve">cost-utility analysis for the </w:t>
      </w:r>
      <w:r w:rsidRPr="00830371">
        <w:rPr>
          <w:snapToGrid w:val="0"/>
        </w:rPr>
        <w:t>economic evaluation of iptacopan compared to placebo</w:t>
      </w:r>
      <w:r w:rsidR="007027D8">
        <w:rPr>
          <w:snapToGrid w:val="0"/>
        </w:rPr>
        <w:t xml:space="preserve">. </w:t>
      </w:r>
      <w:r w:rsidR="007027D8" w:rsidRPr="007027D8">
        <w:rPr>
          <w:snapToGrid w:val="0"/>
        </w:rPr>
        <w:t xml:space="preserve">The </w:t>
      </w:r>
      <w:r w:rsidR="007027D8">
        <w:rPr>
          <w:snapToGrid w:val="0"/>
        </w:rPr>
        <w:t>PBAC noted the ESC advice that</w:t>
      </w:r>
      <w:r w:rsidR="007027D8" w:rsidRPr="007027D8">
        <w:rPr>
          <w:snapToGrid w:val="0"/>
        </w:rPr>
        <w:t xml:space="preserve"> the model structure was </w:t>
      </w:r>
      <w:proofErr w:type="gramStart"/>
      <w:r w:rsidR="007027D8" w:rsidRPr="007027D8">
        <w:rPr>
          <w:snapToGrid w:val="0"/>
        </w:rPr>
        <w:t>similar to</w:t>
      </w:r>
      <w:proofErr w:type="gramEnd"/>
      <w:r w:rsidR="007027D8" w:rsidRPr="007027D8">
        <w:rPr>
          <w:snapToGrid w:val="0"/>
        </w:rPr>
        <w:t xml:space="preserve"> other published models in chronic kidney disease, however </w:t>
      </w:r>
      <w:r w:rsidR="00295734">
        <w:rPr>
          <w:snapToGrid w:val="0"/>
        </w:rPr>
        <w:t>t</w:t>
      </w:r>
      <w:r w:rsidR="009F714F">
        <w:t xml:space="preserve">he </w:t>
      </w:r>
      <w:r w:rsidR="009F714F" w:rsidRPr="00AC7830">
        <w:t>cost-effectiveness estimate should not be considered reliable</w:t>
      </w:r>
      <w:r w:rsidR="009F714F">
        <w:t xml:space="preserve"> as </w:t>
      </w:r>
      <w:r w:rsidR="007027D8" w:rsidRPr="007027D8">
        <w:rPr>
          <w:snapToGrid w:val="0"/>
        </w:rPr>
        <w:t>the model was built around a difference in eGFR decline between treatment arms which was not supported by the key randomised trial for iptacopan</w:t>
      </w:r>
      <w:r w:rsidR="00951D5B">
        <w:rPr>
          <w:snapToGrid w:val="0"/>
        </w:rPr>
        <w:t xml:space="preserve">, which did not demonstrate </w:t>
      </w:r>
      <w:r w:rsidR="007027D8" w:rsidRPr="007027D8">
        <w:rPr>
          <w:snapToGrid w:val="0"/>
        </w:rPr>
        <w:t>a statistically significant improvement eGFR between treatment arms.</w:t>
      </w:r>
      <w:r w:rsidR="00951D5B">
        <w:rPr>
          <w:snapToGrid w:val="0"/>
        </w:rPr>
        <w:t xml:space="preserve"> </w:t>
      </w:r>
      <w:r w:rsidR="001141D5">
        <w:rPr>
          <w:snapToGrid w:val="0"/>
        </w:rPr>
        <w:t xml:space="preserve">The PBAC noted that the </w:t>
      </w:r>
      <w:r w:rsidR="001141D5" w:rsidRPr="001141D5">
        <w:rPr>
          <w:snapToGrid w:val="0"/>
        </w:rPr>
        <w:t xml:space="preserve">change in eGFR over time in the iptacopan arm </w:t>
      </w:r>
      <w:proofErr w:type="gramStart"/>
      <w:r w:rsidR="001141D5" w:rsidRPr="001141D5">
        <w:rPr>
          <w:snapToGrid w:val="0"/>
        </w:rPr>
        <w:t>was based on the assumption</w:t>
      </w:r>
      <w:proofErr w:type="gramEnd"/>
      <w:r w:rsidR="001141D5" w:rsidRPr="001141D5">
        <w:rPr>
          <w:snapToGrid w:val="0"/>
        </w:rPr>
        <w:t xml:space="preserve"> that treatment would prevent all C3G-mediated changes in kidney function</w:t>
      </w:r>
      <w:r w:rsidR="001B1A6B">
        <w:rPr>
          <w:snapToGrid w:val="0"/>
        </w:rPr>
        <w:t>,</w:t>
      </w:r>
      <w:r w:rsidR="001141D5" w:rsidRPr="001141D5">
        <w:rPr>
          <w:snapToGrid w:val="0"/>
        </w:rPr>
        <w:t xml:space="preserve"> with treated patients </w:t>
      </w:r>
      <w:r w:rsidR="00BD0782">
        <w:rPr>
          <w:snapToGrid w:val="0"/>
        </w:rPr>
        <w:t>assumed to have</w:t>
      </w:r>
      <w:r w:rsidR="001141D5" w:rsidRPr="001141D5">
        <w:rPr>
          <w:snapToGrid w:val="0"/>
        </w:rPr>
        <w:t xml:space="preserve"> the same eGFR decline as prospective living kidney donors registered at UK renal treatment centres between 2003-2015 (Fenton 2018). </w:t>
      </w:r>
      <w:r w:rsidR="003E3077">
        <w:rPr>
          <w:snapToGrid w:val="0"/>
        </w:rPr>
        <w:t>The PBAC conside</w:t>
      </w:r>
      <w:r w:rsidR="00707FBE">
        <w:rPr>
          <w:snapToGrid w:val="0"/>
        </w:rPr>
        <w:t>r</w:t>
      </w:r>
      <w:r w:rsidR="003E3077">
        <w:rPr>
          <w:snapToGrid w:val="0"/>
        </w:rPr>
        <w:t xml:space="preserve">ed that this assumption was </w:t>
      </w:r>
      <w:r w:rsidR="00707FBE">
        <w:rPr>
          <w:snapToGrid w:val="0"/>
        </w:rPr>
        <w:t xml:space="preserve">optimistic and not supported by the </w:t>
      </w:r>
      <w:r w:rsidR="004C04E2">
        <w:rPr>
          <w:snapToGrid w:val="0"/>
        </w:rPr>
        <w:t xml:space="preserve">trial </w:t>
      </w:r>
      <w:r w:rsidR="00707FBE">
        <w:rPr>
          <w:snapToGrid w:val="0"/>
        </w:rPr>
        <w:t>data</w:t>
      </w:r>
      <w:r w:rsidR="004C04E2">
        <w:rPr>
          <w:snapToGrid w:val="0"/>
        </w:rPr>
        <w:t xml:space="preserve">. In addition, </w:t>
      </w:r>
      <w:r w:rsidR="00FB0711">
        <w:rPr>
          <w:snapToGrid w:val="0"/>
        </w:rPr>
        <w:t>t</w:t>
      </w:r>
      <w:r w:rsidR="00FB0711" w:rsidRPr="001141D5">
        <w:rPr>
          <w:snapToGrid w:val="0"/>
        </w:rPr>
        <w:t>he submission estimated the change in eGFR over time in the placebo arm based on the mean change in eGFR per year using data reported in the pre-iptacopan period from the pooled analysis of APPEAR-C3G, X2202, B12001B studies.</w:t>
      </w:r>
      <w:r w:rsidR="00FB0711">
        <w:rPr>
          <w:snapToGrid w:val="0"/>
        </w:rPr>
        <w:t xml:space="preserve"> As noted above (</w:t>
      </w:r>
      <w:r w:rsidR="00FB0711">
        <w:rPr>
          <w:snapToGrid w:val="0"/>
        </w:rPr>
        <w:fldChar w:fldCharType="begin"/>
      </w:r>
      <w:r w:rsidR="00FB0711">
        <w:rPr>
          <w:snapToGrid w:val="0"/>
        </w:rPr>
        <w:instrText xml:space="preserve"> REF _Ref216091620 \r \h </w:instrText>
      </w:r>
      <w:r w:rsidR="00FB0711">
        <w:rPr>
          <w:snapToGrid w:val="0"/>
        </w:rPr>
      </w:r>
      <w:r w:rsidR="00FB0711">
        <w:rPr>
          <w:snapToGrid w:val="0"/>
        </w:rPr>
        <w:fldChar w:fldCharType="separate"/>
      </w:r>
      <w:r w:rsidR="00CC1313">
        <w:rPr>
          <w:snapToGrid w:val="0"/>
        </w:rPr>
        <w:t>7.11</w:t>
      </w:r>
      <w:r w:rsidR="00FB0711">
        <w:rPr>
          <w:snapToGrid w:val="0"/>
        </w:rPr>
        <w:fldChar w:fldCharType="end"/>
      </w:r>
      <w:r w:rsidR="00FB0711">
        <w:rPr>
          <w:snapToGrid w:val="0"/>
        </w:rPr>
        <w:t xml:space="preserve">) the PBAC considered this analysis unreliable. </w:t>
      </w:r>
      <w:r w:rsidR="00C635A9">
        <w:rPr>
          <w:snapToGrid w:val="0"/>
        </w:rPr>
        <w:t>Overall, the PBAC acknowledged that</w:t>
      </w:r>
      <w:r w:rsidR="00E84C01">
        <w:rPr>
          <w:snapToGrid w:val="0"/>
        </w:rPr>
        <w:t>, given the limited duration of comparative data</w:t>
      </w:r>
      <w:r w:rsidR="00F638F3">
        <w:rPr>
          <w:snapToGrid w:val="0"/>
        </w:rPr>
        <w:t>,</w:t>
      </w:r>
      <w:r w:rsidR="00E84C01">
        <w:rPr>
          <w:snapToGrid w:val="0"/>
        </w:rPr>
        <w:t xml:space="preserve"> it is difficult to </w:t>
      </w:r>
      <w:r w:rsidR="006F55C2">
        <w:rPr>
          <w:snapToGrid w:val="0"/>
        </w:rPr>
        <w:t>determine the most appropriate inputs for eGFR over time, but considered that the submission’s chosen approach was optimistic and likely to substantially overestimate the treatment benefit for iptacopan.</w:t>
      </w:r>
      <w:bookmarkEnd w:id="69"/>
    </w:p>
    <w:p w14:paraId="54CF01D9" w14:textId="65226C5A" w:rsidR="008A1E71" w:rsidRPr="001141D5" w:rsidRDefault="008A1E71" w:rsidP="00370D8E">
      <w:pPr>
        <w:pStyle w:val="COMESnumberedpara"/>
      </w:pPr>
      <w:r w:rsidRPr="001F365F">
        <w:rPr>
          <w:snapToGrid w:val="0"/>
        </w:rPr>
        <w:t xml:space="preserve">The PBAC noted that utility values were also a major driver of the modelled benefit for iptacopan. </w:t>
      </w:r>
      <w:r w:rsidR="006F55C2" w:rsidRPr="001F365F">
        <w:rPr>
          <w:snapToGrid w:val="0"/>
        </w:rPr>
        <w:t xml:space="preserve">The PBAC noted that </w:t>
      </w:r>
      <w:r w:rsidR="003051CB" w:rsidRPr="001F365F">
        <w:rPr>
          <w:snapToGrid w:val="0"/>
        </w:rPr>
        <w:t>neither utility values from the source used in the submission (</w:t>
      </w:r>
      <w:r w:rsidR="00497443">
        <w:rPr>
          <w:snapToGrid w:val="0"/>
        </w:rPr>
        <w:t>EQ-5D-5L</w:t>
      </w:r>
      <w:r w:rsidR="00751330">
        <w:rPr>
          <w:snapToGrid w:val="0"/>
        </w:rPr>
        <w:t xml:space="preserve"> </w:t>
      </w:r>
      <w:r w:rsidR="00293684" w:rsidRPr="001F365F">
        <w:rPr>
          <w:bCs/>
          <w:snapToGrid w:val="0"/>
        </w:rPr>
        <w:t xml:space="preserve">from </w:t>
      </w:r>
      <w:r w:rsidR="00751330">
        <w:rPr>
          <w:bCs/>
          <w:snapToGrid w:val="0"/>
        </w:rPr>
        <w:t xml:space="preserve">the </w:t>
      </w:r>
      <w:proofErr w:type="gramStart"/>
      <w:r w:rsidR="00751330">
        <w:rPr>
          <w:bCs/>
          <w:snapToGrid w:val="0"/>
        </w:rPr>
        <w:t>general public</w:t>
      </w:r>
      <w:proofErr w:type="gramEnd"/>
      <w:r w:rsidR="00751330">
        <w:rPr>
          <w:bCs/>
          <w:snapToGrid w:val="0"/>
        </w:rPr>
        <w:t xml:space="preserve"> for</w:t>
      </w:r>
      <w:r w:rsidR="003051CB" w:rsidRPr="001F365F">
        <w:rPr>
          <w:bCs/>
          <w:snapToGrid w:val="0"/>
        </w:rPr>
        <w:t xml:space="preserve"> </w:t>
      </w:r>
      <w:r w:rsidR="00293684" w:rsidRPr="001F365F">
        <w:rPr>
          <w:bCs/>
          <w:snapToGrid w:val="0"/>
        </w:rPr>
        <w:t>PH</w:t>
      </w:r>
      <w:r w:rsidR="003051CB" w:rsidRPr="001F365F">
        <w:rPr>
          <w:bCs/>
          <w:snapToGrid w:val="0"/>
        </w:rPr>
        <w:t>1</w:t>
      </w:r>
      <w:r w:rsidR="00751330">
        <w:rPr>
          <w:bCs/>
          <w:snapToGrid w:val="0"/>
        </w:rPr>
        <w:t xml:space="preserve"> health states</w:t>
      </w:r>
      <w:r w:rsidR="003051CB" w:rsidRPr="001F365F">
        <w:rPr>
          <w:bCs/>
          <w:snapToGrid w:val="0"/>
        </w:rPr>
        <w:t xml:space="preserve"> (de Freitas 2023)</w:t>
      </w:r>
      <w:r w:rsidR="00293684" w:rsidRPr="001F365F">
        <w:rPr>
          <w:bCs/>
          <w:snapToGrid w:val="0"/>
        </w:rPr>
        <w:t>) nor the alternative values (</w:t>
      </w:r>
      <w:r w:rsidR="0057072D" w:rsidRPr="001F365F">
        <w:rPr>
          <w:bCs/>
          <w:snapToGrid w:val="0"/>
        </w:rPr>
        <w:t xml:space="preserve">from an </w:t>
      </w:r>
      <w:r w:rsidR="00293684" w:rsidRPr="001F365F">
        <w:rPr>
          <w:bCs/>
          <w:snapToGrid w:val="0"/>
        </w:rPr>
        <w:t>Australian cost of illness study for chronic kidney disease (Deloitte 2023)</w:t>
      </w:r>
      <w:r w:rsidR="0057072D" w:rsidRPr="001F365F">
        <w:rPr>
          <w:bCs/>
          <w:snapToGrid w:val="0"/>
        </w:rPr>
        <w:t>) reflected the C3G population</w:t>
      </w:r>
      <w:r w:rsidR="00293684" w:rsidRPr="001F365F">
        <w:rPr>
          <w:bCs/>
          <w:snapToGrid w:val="0"/>
        </w:rPr>
        <w:t>.</w:t>
      </w:r>
      <w:r w:rsidR="0057072D" w:rsidRPr="001F365F">
        <w:rPr>
          <w:bCs/>
          <w:snapToGrid w:val="0"/>
        </w:rPr>
        <w:t xml:space="preserve"> </w:t>
      </w:r>
      <w:r w:rsidR="00882BFC" w:rsidRPr="001F365F">
        <w:rPr>
          <w:bCs/>
          <w:snapToGrid w:val="0"/>
        </w:rPr>
        <w:t xml:space="preserve">The PBAC considered that the utility values used in the </w:t>
      </w:r>
      <w:r w:rsidR="00F21AAB" w:rsidRPr="001F365F">
        <w:rPr>
          <w:bCs/>
          <w:snapToGrid w:val="0"/>
        </w:rPr>
        <w:t xml:space="preserve">submission appeared extremely low and agreed with the ESC that values from CKD patients were more likely to reflect the </w:t>
      </w:r>
      <w:r w:rsidR="001F365F" w:rsidRPr="001F365F">
        <w:rPr>
          <w:bCs/>
          <w:snapToGrid w:val="0"/>
        </w:rPr>
        <w:t>impact of dialysis and graft failure on QoL</w:t>
      </w:r>
      <w:r w:rsidR="00F372F4">
        <w:rPr>
          <w:bCs/>
          <w:snapToGrid w:val="0"/>
        </w:rPr>
        <w:t xml:space="preserve"> in patients with C3G</w:t>
      </w:r>
      <w:r w:rsidR="001F365F" w:rsidRPr="001F365F">
        <w:rPr>
          <w:bCs/>
          <w:snapToGrid w:val="0"/>
        </w:rPr>
        <w:t xml:space="preserve">. </w:t>
      </w:r>
    </w:p>
    <w:p w14:paraId="0D498BAE" w14:textId="53814CCD" w:rsidR="0022069A" w:rsidRPr="00AC7830" w:rsidRDefault="00DD6ADD" w:rsidP="00370D8E">
      <w:pPr>
        <w:pStyle w:val="COMESnumberedpara"/>
      </w:pPr>
      <w:bookmarkStart w:id="70" w:name="_Ref216113443"/>
      <w:r>
        <w:lastRenderedPageBreak/>
        <w:t xml:space="preserve">The PBAC noted that the base case </w:t>
      </w:r>
      <w:r w:rsidRPr="00ED0860">
        <w:t xml:space="preserve">ICER was </w:t>
      </w:r>
      <w:r w:rsidR="0024008F">
        <w:rPr>
          <w:iCs/>
        </w:rPr>
        <w:t>$</w:t>
      </w:r>
      <w:r w:rsidR="001B59E7" w:rsidRPr="001B59E7">
        <w:rPr>
          <w:iCs/>
        </w:rPr>
        <w:t xml:space="preserve">955,000 to </w:t>
      </w:r>
      <w:r w:rsidR="00364110">
        <w:rPr>
          <w:iCs/>
        </w:rPr>
        <w:t xml:space="preserve">&lt; </w:t>
      </w:r>
      <w:r w:rsidR="001B59E7" w:rsidRPr="001B59E7">
        <w:rPr>
          <w:iCs/>
        </w:rPr>
        <w:t>$1,055,000</w:t>
      </w:r>
      <w:r w:rsidR="001B59E7">
        <w:rPr>
          <w:iCs/>
        </w:rPr>
        <w:t xml:space="preserve"> </w:t>
      </w:r>
      <w:r w:rsidR="004B09B9">
        <w:rPr>
          <w:iCs/>
        </w:rPr>
        <w:t>per QALY gained</w:t>
      </w:r>
      <w:r w:rsidR="002B2BED" w:rsidRPr="00ED0860">
        <w:rPr>
          <w:iCs/>
        </w:rPr>
        <w:t xml:space="preserve"> and this was reduced to </w:t>
      </w:r>
      <w:r w:rsidR="00685EEA" w:rsidRPr="00685EEA">
        <w:t xml:space="preserve">$755,000 to </w:t>
      </w:r>
      <w:r w:rsidR="00364110">
        <w:t xml:space="preserve">&lt; </w:t>
      </w:r>
      <w:r w:rsidR="00685EEA" w:rsidRPr="00685EEA">
        <w:t>$855,000</w:t>
      </w:r>
      <w:r w:rsidR="00685EEA">
        <w:t xml:space="preserve"> </w:t>
      </w:r>
      <w:r w:rsidR="002B2BED" w:rsidRPr="00ED0860">
        <w:t>when productivity costs were</w:t>
      </w:r>
      <w:r w:rsidR="002B2BED">
        <w:t xml:space="preserve"> included, reflecting the impact of C3G on young patients. </w:t>
      </w:r>
      <w:r w:rsidR="00ED0860">
        <w:t>The PBAC also noted that the ICER increased substantially</w:t>
      </w:r>
      <w:r w:rsidR="000E3C21">
        <w:t xml:space="preserve"> </w:t>
      </w:r>
      <w:r w:rsidR="004B09B9">
        <w:t xml:space="preserve">(up to </w:t>
      </w:r>
      <w:r w:rsidR="00364110">
        <w:t xml:space="preserve">&gt; </w:t>
      </w:r>
      <w:r w:rsidR="00EC774F" w:rsidRPr="00EC774F">
        <w:t>$1,055,000</w:t>
      </w:r>
      <w:r w:rsidR="0024008F">
        <w:t xml:space="preserve"> </w:t>
      </w:r>
      <w:r w:rsidR="004B09B9">
        <w:t>per QALY) with</w:t>
      </w:r>
      <w:r w:rsidR="000E3C21">
        <w:t xml:space="preserve"> </w:t>
      </w:r>
      <w:r w:rsidR="000E3C21" w:rsidRPr="000E3C21">
        <w:t>multivariate analyses</w:t>
      </w:r>
      <w:r w:rsidR="0020141A">
        <w:t>,</w:t>
      </w:r>
      <w:r w:rsidR="000E3C21" w:rsidRPr="000E3C21">
        <w:t xml:space="preserve"> demonstra</w:t>
      </w:r>
      <w:r w:rsidR="004B09B9">
        <w:t>ting</w:t>
      </w:r>
      <w:r w:rsidR="000E3C21" w:rsidRPr="000E3C21">
        <w:t xml:space="preserve"> that the estimated cost per QALY gained with iptacopan compared to placebo </w:t>
      </w:r>
      <w:r w:rsidR="0020141A">
        <w:t xml:space="preserve">was highly uncertain and </w:t>
      </w:r>
      <w:r w:rsidR="000E3C21" w:rsidRPr="000E3C21">
        <w:t>could be substantially higher than estimated in the base case</w:t>
      </w:r>
      <w:r w:rsidR="004B09B9">
        <w:t>.</w:t>
      </w:r>
      <w:r w:rsidR="006B75F2">
        <w:t xml:space="preserve"> </w:t>
      </w:r>
      <w:r w:rsidR="00740E27">
        <w:t xml:space="preserve">The PBAC noted the pre-PBAC response comments that the </w:t>
      </w:r>
      <w:r w:rsidR="00BA7545">
        <w:t xml:space="preserve">ESC </w:t>
      </w:r>
      <w:r w:rsidR="00740E27">
        <w:t>respecified base case was overly conservative and not reflective o</w:t>
      </w:r>
      <w:r w:rsidR="00BA7545">
        <w:t>f the treatment effect in the trial or</w:t>
      </w:r>
      <w:r w:rsidR="00A75512">
        <w:t xml:space="preserve"> the utility values of the relevant population</w:t>
      </w:r>
      <w:r w:rsidR="0020141A">
        <w:t>, but considered that the base case was overly optimistic</w:t>
      </w:r>
      <w:r w:rsidR="00A75512">
        <w:t xml:space="preserve">. </w:t>
      </w:r>
      <w:r w:rsidR="0020141A">
        <w:t>The PBAC considered that the cost-effectiveness of iptacopan had not been established as the ICER was very high at the requested price despite optimistic inputs to the economic model.</w:t>
      </w:r>
      <w:bookmarkEnd w:id="70"/>
      <w:r w:rsidR="0020141A">
        <w:t xml:space="preserve"> </w:t>
      </w:r>
    </w:p>
    <w:p w14:paraId="1B9A64B2" w14:textId="0F87C446" w:rsidR="007027D8" w:rsidRPr="007027D8" w:rsidRDefault="00410752" w:rsidP="00370D8E">
      <w:pPr>
        <w:numPr>
          <w:ilvl w:val="1"/>
          <w:numId w:val="1"/>
        </w:numPr>
        <w:spacing w:after="120"/>
        <w:rPr>
          <w:rFonts w:asciiTheme="minorHAnsi" w:hAnsiTheme="minorHAnsi"/>
          <w:snapToGrid w:val="0"/>
        </w:rPr>
      </w:pPr>
      <w:r>
        <w:t xml:space="preserve">The PBAC </w:t>
      </w:r>
      <w:r w:rsidR="005B1231">
        <w:t xml:space="preserve">recalled that it had considered several previous economic models representing progression </w:t>
      </w:r>
      <w:r w:rsidR="004055F8">
        <w:t>to ESKD</w:t>
      </w:r>
      <w:r w:rsidR="006D26E1">
        <w:t xml:space="preserve"> in various indications</w:t>
      </w:r>
      <w:r w:rsidR="004055F8">
        <w:t xml:space="preserve"> and considered that although there are limited trial data</w:t>
      </w:r>
      <w:r w:rsidR="00F36C04">
        <w:t xml:space="preserve"> for iptacopan</w:t>
      </w:r>
      <w:r w:rsidR="004055F8">
        <w:t>, modelling disease progression</w:t>
      </w:r>
      <w:r w:rsidR="00652059">
        <w:t xml:space="preserve"> and treatment benefit</w:t>
      </w:r>
      <w:r w:rsidR="004055F8">
        <w:t xml:space="preserve"> in patients with C3G </w:t>
      </w:r>
      <w:r w:rsidR="003A3ACB">
        <w:t>was feasible</w:t>
      </w:r>
      <w:r w:rsidR="00BE4DF9">
        <w:t xml:space="preserve"> and </w:t>
      </w:r>
      <w:r w:rsidR="00652059">
        <w:t>c</w:t>
      </w:r>
      <w:r w:rsidR="00BE4DF9">
        <w:t xml:space="preserve">ould provide </w:t>
      </w:r>
      <w:r w:rsidR="00652059">
        <w:t xml:space="preserve">confidence </w:t>
      </w:r>
      <w:r w:rsidR="00365904">
        <w:t>in the cost-effectiveness of iptacopan</w:t>
      </w:r>
      <w:r w:rsidR="00C63306">
        <w:t xml:space="preserve"> with a </w:t>
      </w:r>
      <w:r w:rsidR="00F55AD8">
        <w:t xml:space="preserve">more conservative approach </w:t>
      </w:r>
      <w:r w:rsidR="00C63306">
        <w:t xml:space="preserve">to </w:t>
      </w:r>
      <w:r w:rsidR="00F55AD8">
        <w:t>modelling the treatment benefit</w:t>
      </w:r>
      <w:r w:rsidR="00305711">
        <w:t xml:space="preserve">. The PBAC considered that </w:t>
      </w:r>
      <w:r w:rsidR="007E47DD">
        <w:t xml:space="preserve">the very high ICERs </w:t>
      </w:r>
      <w:r w:rsidR="00726173">
        <w:t xml:space="preserve">from the submission </w:t>
      </w:r>
      <w:r w:rsidR="00305711">
        <w:t xml:space="preserve">model </w:t>
      </w:r>
      <w:r w:rsidR="00726173">
        <w:t>reflect the very high price requested for iptacopan</w:t>
      </w:r>
      <w:r w:rsidR="005820A9">
        <w:t xml:space="preserve"> and advised that a price reduction </w:t>
      </w:r>
      <w:r w:rsidR="00E151FC">
        <w:t xml:space="preserve">for iptacopan </w:t>
      </w:r>
      <w:r w:rsidR="005820A9">
        <w:t>would be require</w:t>
      </w:r>
      <w:r w:rsidR="00E151FC">
        <w:t>d to bring the ICER into</w:t>
      </w:r>
      <w:r w:rsidR="005820A9">
        <w:t xml:space="preserve"> </w:t>
      </w:r>
      <w:r w:rsidR="00E151FC">
        <w:t xml:space="preserve">a range </w:t>
      </w:r>
      <w:r w:rsidR="005820A9">
        <w:t>to be considered cost-effective</w:t>
      </w:r>
      <w:r w:rsidR="00726173">
        <w:t>.</w:t>
      </w:r>
      <w:r w:rsidR="00264E4A">
        <w:t xml:space="preserve"> </w:t>
      </w:r>
      <w:r w:rsidR="00726173">
        <w:t xml:space="preserve">The PBAC </w:t>
      </w:r>
      <w:r w:rsidR="009603D1">
        <w:t xml:space="preserve">noted the sponsor’s suggestion in the pre-PBAC response regarding the </w:t>
      </w:r>
      <w:r w:rsidR="008B79BF">
        <w:t xml:space="preserve">cost per patient accepted for </w:t>
      </w:r>
      <w:proofErr w:type="spellStart"/>
      <w:r w:rsidR="008B79BF">
        <w:t>lumasiran</w:t>
      </w:r>
      <w:proofErr w:type="spellEnd"/>
      <w:r w:rsidR="008B79BF">
        <w:t xml:space="preserve"> but considered there </w:t>
      </w:r>
      <w:r w:rsidR="00726173">
        <w:t xml:space="preserve">were substantial differences in the disease course and impacts on patient QoL between C3G and </w:t>
      </w:r>
      <w:r w:rsidR="00305711">
        <w:t>PH1</w:t>
      </w:r>
      <w:r w:rsidR="00E676B1">
        <w:t xml:space="preserve"> and </w:t>
      </w:r>
      <w:r w:rsidR="009603D1">
        <w:t>a similar approach was not reasonable</w:t>
      </w:r>
      <w:r w:rsidR="008B79BF">
        <w:t xml:space="preserve"> for C3G</w:t>
      </w:r>
      <w:r w:rsidR="00305711">
        <w:t xml:space="preserve">. </w:t>
      </w:r>
    </w:p>
    <w:p w14:paraId="105CF537" w14:textId="70DDE9A4" w:rsidR="00C45408" w:rsidRPr="00CE42B4" w:rsidRDefault="005A5744" w:rsidP="00370D8E">
      <w:pPr>
        <w:numPr>
          <w:ilvl w:val="1"/>
          <w:numId w:val="1"/>
        </w:numPr>
        <w:spacing w:after="120"/>
      </w:pPr>
      <w:r>
        <w:rPr>
          <w:rFonts w:asciiTheme="minorHAnsi" w:hAnsiTheme="minorHAnsi"/>
          <w:snapToGrid w:val="0"/>
          <w:lang w:val="en-GB"/>
        </w:rPr>
        <w:t xml:space="preserve">The PBAC noted that the </w:t>
      </w:r>
      <w:r w:rsidR="00CB254E">
        <w:rPr>
          <w:rFonts w:asciiTheme="minorHAnsi" w:hAnsiTheme="minorHAnsi"/>
          <w:snapToGrid w:val="0"/>
          <w:lang w:val="en-GB"/>
        </w:rPr>
        <w:t xml:space="preserve">estimated </w:t>
      </w:r>
      <w:proofErr w:type="gramStart"/>
      <w:r w:rsidR="00CB254E">
        <w:rPr>
          <w:rFonts w:asciiTheme="minorHAnsi" w:hAnsiTheme="minorHAnsi"/>
          <w:snapToGrid w:val="0"/>
          <w:lang w:val="en-GB"/>
        </w:rPr>
        <w:t>financial impact</w:t>
      </w:r>
      <w:proofErr w:type="gramEnd"/>
      <w:r w:rsidR="00CB254E">
        <w:rPr>
          <w:rFonts w:asciiTheme="minorHAnsi" w:hAnsiTheme="minorHAnsi"/>
          <w:snapToGrid w:val="0"/>
          <w:lang w:val="en-GB"/>
        </w:rPr>
        <w:t xml:space="preserve"> of listing iptacopan was </w:t>
      </w:r>
      <w:r w:rsidR="005D7305">
        <w:rPr>
          <w:rFonts w:asciiTheme="minorHAnsi" w:hAnsiTheme="minorHAnsi"/>
          <w:snapToGrid w:val="0"/>
          <w:lang w:val="en-GB"/>
        </w:rPr>
        <w:t xml:space="preserve">sensitive to the </w:t>
      </w:r>
      <w:r>
        <w:rPr>
          <w:rFonts w:asciiTheme="minorHAnsi" w:hAnsiTheme="minorHAnsi"/>
          <w:snapToGrid w:val="0"/>
          <w:lang w:val="en-GB"/>
        </w:rPr>
        <w:t>incidence and prevalence of C3G in Australia</w:t>
      </w:r>
      <w:r w:rsidR="005D7305">
        <w:rPr>
          <w:rFonts w:asciiTheme="minorHAnsi" w:hAnsiTheme="minorHAnsi"/>
          <w:snapToGrid w:val="0"/>
          <w:lang w:val="en-GB"/>
        </w:rPr>
        <w:t>, which</w:t>
      </w:r>
      <w:r>
        <w:rPr>
          <w:rFonts w:asciiTheme="minorHAnsi" w:hAnsiTheme="minorHAnsi"/>
          <w:snapToGrid w:val="0"/>
          <w:lang w:val="en-GB"/>
        </w:rPr>
        <w:t xml:space="preserve"> are uncertain</w:t>
      </w:r>
      <w:r w:rsidR="009C7B1E">
        <w:rPr>
          <w:rFonts w:asciiTheme="minorHAnsi" w:hAnsiTheme="minorHAnsi"/>
          <w:snapToGrid w:val="0"/>
          <w:lang w:val="en-GB"/>
        </w:rPr>
        <w:t xml:space="preserve">, with limited data to inform these values. </w:t>
      </w:r>
      <w:r w:rsidR="00A6784D">
        <w:rPr>
          <w:rFonts w:asciiTheme="minorHAnsi" w:hAnsiTheme="minorHAnsi"/>
          <w:snapToGrid w:val="0"/>
          <w:lang w:val="en-GB"/>
        </w:rPr>
        <w:t xml:space="preserve">The PBAC </w:t>
      </w:r>
      <w:r w:rsidR="00732C52">
        <w:rPr>
          <w:rFonts w:asciiTheme="minorHAnsi" w:hAnsiTheme="minorHAnsi"/>
          <w:snapToGrid w:val="0"/>
          <w:lang w:val="en-GB"/>
        </w:rPr>
        <w:t xml:space="preserve">considered that the estimated prevalence of 8.8 per million appeared </w:t>
      </w:r>
      <w:proofErr w:type="gramStart"/>
      <w:r w:rsidR="00732C52">
        <w:rPr>
          <w:rFonts w:asciiTheme="minorHAnsi" w:hAnsiTheme="minorHAnsi"/>
          <w:snapToGrid w:val="0"/>
          <w:lang w:val="en-GB"/>
        </w:rPr>
        <w:t>reasonable, but</w:t>
      </w:r>
      <w:proofErr w:type="gramEnd"/>
      <w:r w:rsidR="00732C52">
        <w:rPr>
          <w:rFonts w:asciiTheme="minorHAnsi" w:hAnsiTheme="minorHAnsi"/>
          <w:snapToGrid w:val="0"/>
          <w:lang w:val="en-GB"/>
        </w:rPr>
        <w:t xml:space="preserve"> noted that </w:t>
      </w:r>
      <w:r w:rsidR="001D2260">
        <w:rPr>
          <w:rFonts w:asciiTheme="minorHAnsi" w:hAnsiTheme="minorHAnsi"/>
          <w:snapToGrid w:val="0"/>
          <w:lang w:val="en-GB"/>
        </w:rPr>
        <w:t xml:space="preserve">other sources </w:t>
      </w:r>
      <w:r w:rsidR="002B3539">
        <w:rPr>
          <w:rFonts w:asciiTheme="minorHAnsi" w:hAnsiTheme="minorHAnsi"/>
          <w:snapToGrid w:val="0"/>
          <w:lang w:val="en-GB"/>
        </w:rPr>
        <w:t>(</w:t>
      </w:r>
      <w:r w:rsidR="002B3539" w:rsidRPr="00AC74F8">
        <w:t>Smith et al.</w:t>
      </w:r>
      <w:r w:rsidR="002B3539">
        <w:t xml:space="preserve"> </w:t>
      </w:r>
      <w:r w:rsidR="002B3539" w:rsidRPr="00AC74F8">
        <w:t>2019)</w:t>
      </w:r>
      <w:r w:rsidR="002B3539">
        <w:t xml:space="preserve"> </w:t>
      </w:r>
      <w:r w:rsidR="001D2260">
        <w:rPr>
          <w:rFonts w:asciiTheme="minorHAnsi" w:hAnsiTheme="minorHAnsi"/>
          <w:snapToGrid w:val="0"/>
          <w:lang w:val="en-GB"/>
        </w:rPr>
        <w:t xml:space="preserve">suggest that prevalence may be </w:t>
      </w:r>
      <w:proofErr w:type="gramStart"/>
      <w:r w:rsidR="001D2260">
        <w:rPr>
          <w:rFonts w:asciiTheme="minorHAnsi" w:hAnsiTheme="minorHAnsi"/>
          <w:snapToGrid w:val="0"/>
          <w:lang w:val="en-GB"/>
        </w:rPr>
        <w:t>substantially higher</w:t>
      </w:r>
      <w:proofErr w:type="gramEnd"/>
      <w:r w:rsidR="002B3539">
        <w:rPr>
          <w:rFonts w:asciiTheme="minorHAnsi" w:hAnsiTheme="minorHAnsi"/>
          <w:snapToGrid w:val="0"/>
          <w:lang w:val="en-GB"/>
        </w:rPr>
        <w:t xml:space="preserve">. </w:t>
      </w:r>
      <w:r w:rsidR="000958D9">
        <w:rPr>
          <w:rFonts w:asciiTheme="minorHAnsi" w:hAnsiTheme="minorHAnsi"/>
          <w:snapToGrid w:val="0"/>
          <w:lang w:val="en-GB"/>
        </w:rPr>
        <w:t>The PBAC also considered that the discontinuation rate was unclear</w:t>
      </w:r>
      <w:r w:rsidR="003160CC">
        <w:rPr>
          <w:rFonts w:asciiTheme="minorHAnsi" w:hAnsiTheme="minorHAnsi"/>
          <w:snapToGrid w:val="0"/>
          <w:lang w:val="en-GB"/>
        </w:rPr>
        <w:t xml:space="preserve"> as it was unlikely that the trial discontinuation rate would apply </w:t>
      </w:r>
      <w:r w:rsidR="00F46341">
        <w:rPr>
          <w:rFonts w:asciiTheme="minorHAnsi" w:hAnsiTheme="minorHAnsi"/>
          <w:snapToGrid w:val="0"/>
          <w:lang w:val="en-GB"/>
        </w:rPr>
        <w:t xml:space="preserve">in the longer term. </w:t>
      </w:r>
      <w:r w:rsidR="00EF57EA">
        <w:rPr>
          <w:rFonts w:asciiTheme="minorHAnsi" w:hAnsiTheme="minorHAnsi"/>
          <w:snapToGrid w:val="0"/>
          <w:lang w:val="en-GB"/>
        </w:rPr>
        <w:t xml:space="preserve">The PBAC also considered that it was unclear whether the </w:t>
      </w:r>
      <w:r w:rsidR="008E38E0">
        <w:rPr>
          <w:rFonts w:asciiTheme="minorHAnsi" w:hAnsiTheme="minorHAnsi"/>
          <w:snapToGrid w:val="0"/>
          <w:lang w:val="en-GB"/>
        </w:rPr>
        <w:t xml:space="preserve">restriction criterion limiting continuing treatment to patients with a response to treatment would </w:t>
      </w:r>
      <w:r w:rsidR="000B3F23">
        <w:rPr>
          <w:rFonts w:asciiTheme="minorHAnsi" w:hAnsiTheme="minorHAnsi"/>
          <w:snapToGrid w:val="0"/>
          <w:lang w:val="en-GB"/>
        </w:rPr>
        <w:t xml:space="preserve">result in patients </w:t>
      </w:r>
      <w:r w:rsidR="00BF307B">
        <w:rPr>
          <w:rFonts w:asciiTheme="minorHAnsi" w:hAnsiTheme="minorHAnsi"/>
          <w:snapToGrid w:val="0"/>
          <w:lang w:val="en-GB"/>
        </w:rPr>
        <w:t xml:space="preserve">discontinuing treatment, as there were no specific measures proposed. Given the </w:t>
      </w:r>
      <w:proofErr w:type="gramStart"/>
      <w:r w:rsidR="00BF307B">
        <w:rPr>
          <w:rFonts w:asciiTheme="minorHAnsi" w:hAnsiTheme="minorHAnsi"/>
          <w:snapToGrid w:val="0"/>
          <w:lang w:val="en-GB"/>
        </w:rPr>
        <w:t>high level</w:t>
      </w:r>
      <w:proofErr w:type="gramEnd"/>
      <w:r w:rsidR="00BF307B">
        <w:rPr>
          <w:rFonts w:asciiTheme="minorHAnsi" w:hAnsiTheme="minorHAnsi"/>
          <w:snapToGrid w:val="0"/>
          <w:lang w:val="en-GB"/>
        </w:rPr>
        <w:t xml:space="preserve"> of uncertainty in the </w:t>
      </w:r>
      <w:r w:rsidR="00293924">
        <w:rPr>
          <w:rFonts w:asciiTheme="minorHAnsi" w:hAnsiTheme="minorHAnsi"/>
          <w:snapToGrid w:val="0"/>
          <w:lang w:val="en-GB"/>
        </w:rPr>
        <w:t xml:space="preserve">size of the population and the duration of treatment, the PBAC considered a risk-sharing arrangement would </w:t>
      </w:r>
      <w:proofErr w:type="gramStart"/>
      <w:r w:rsidR="00293924">
        <w:rPr>
          <w:rFonts w:asciiTheme="minorHAnsi" w:hAnsiTheme="minorHAnsi"/>
          <w:snapToGrid w:val="0"/>
          <w:lang w:val="en-GB"/>
        </w:rPr>
        <w:t>likely be</w:t>
      </w:r>
      <w:proofErr w:type="gramEnd"/>
      <w:r w:rsidR="00293924">
        <w:rPr>
          <w:rFonts w:asciiTheme="minorHAnsi" w:hAnsiTheme="minorHAnsi"/>
          <w:snapToGrid w:val="0"/>
          <w:lang w:val="en-GB"/>
        </w:rPr>
        <w:t xml:space="preserve"> required, to address the risk of use in </w:t>
      </w:r>
      <w:r w:rsidR="00B424E3">
        <w:rPr>
          <w:rFonts w:asciiTheme="minorHAnsi" w:hAnsiTheme="minorHAnsi"/>
          <w:snapToGrid w:val="0"/>
          <w:lang w:val="en-GB"/>
        </w:rPr>
        <w:t xml:space="preserve">a much larger population than expected, or for longer than expected. </w:t>
      </w:r>
    </w:p>
    <w:p w14:paraId="75112FE0" w14:textId="18C2A794" w:rsidR="00C45408" w:rsidRPr="00C6512B" w:rsidRDefault="00C45408" w:rsidP="00370D8E">
      <w:pPr>
        <w:pStyle w:val="COMESnumberedpara"/>
        <w:rPr>
          <w:bCs/>
          <w:snapToGrid w:val="0"/>
          <w:lang w:val="en-GB"/>
        </w:rPr>
      </w:pPr>
      <w:r w:rsidRPr="00C6512B">
        <w:rPr>
          <w:snapToGrid w:val="0"/>
          <w:lang w:val="en-GB"/>
        </w:rPr>
        <w:t xml:space="preserve">The PBAC considered a resubmission for </w:t>
      </w:r>
      <w:r w:rsidR="008B79BF">
        <w:rPr>
          <w:snapToGrid w:val="0"/>
          <w:lang w:val="en-GB"/>
        </w:rPr>
        <w:t>iptacopan</w:t>
      </w:r>
      <w:r w:rsidRPr="00C6512B">
        <w:rPr>
          <w:snapToGrid w:val="0"/>
          <w:lang w:val="en-GB"/>
        </w:rPr>
        <w:t xml:space="preserve"> should </w:t>
      </w:r>
      <w:r w:rsidR="00FB3A5E">
        <w:rPr>
          <w:snapToGrid w:val="0"/>
          <w:lang w:val="en-GB"/>
        </w:rPr>
        <w:t xml:space="preserve">include a revised economic model using </w:t>
      </w:r>
      <w:r w:rsidR="00DF2B45">
        <w:rPr>
          <w:snapToGrid w:val="0"/>
          <w:lang w:val="en-GB"/>
        </w:rPr>
        <w:t xml:space="preserve">a </w:t>
      </w:r>
      <w:r w:rsidR="00FB3A5E">
        <w:rPr>
          <w:snapToGrid w:val="0"/>
          <w:lang w:val="en-GB"/>
        </w:rPr>
        <w:t>more conservative</w:t>
      </w:r>
      <w:r w:rsidR="00DF2B45">
        <w:rPr>
          <w:snapToGrid w:val="0"/>
          <w:lang w:val="en-GB"/>
        </w:rPr>
        <w:t xml:space="preserve"> approach to estimating the long-term benefits from iptacopan</w:t>
      </w:r>
      <w:r w:rsidR="00473F3F">
        <w:rPr>
          <w:snapToGrid w:val="0"/>
          <w:lang w:val="en-GB"/>
        </w:rPr>
        <w:t xml:space="preserve"> (as per paragraph </w:t>
      </w:r>
      <w:r w:rsidR="00473F3F">
        <w:rPr>
          <w:snapToGrid w:val="0"/>
          <w:lang w:val="en-GB"/>
        </w:rPr>
        <w:fldChar w:fldCharType="begin"/>
      </w:r>
      <w:r w:rsidR="00473F3F">
        <w:rPr>
          <w:snapToGrid w:val="0"/>
          <w:lang w:val="en-GB"/>
        </w:rPr>
        <w:instrText xml:space="preserve"> REF _Ref216102699 \r \h </w:instrText>
      </w:r>
      <w:r w:rsidR="00473F3F">
        <w:rPr>
          <w:snapToGrid w:val="0"/>
          <w:lang w:val="en-GB"/>
        </w:rPr>
      </w:r>
      <w:r w:rsidR="00473F3F">
        <w:rPr>
          <w:snapToGrid w:val="0"/>
          <w:lang w:val="en-GB"/>
        </w:rPr>
        <w:fldChar w:fldCharType="separate"/>
      </w:r>
      <w:r w:rsidR="00CC1313">
        <w:rPr>
          <w:snapToGrid w:val="0"/>
          <w:lang w:val="en-GB"/>
        </w:rPr>
        <w:t>7.13</w:t>
      </w:r>
      <w:r w:rsidR="00473F3F">
        <w:rPr>
          <w:snapToGrid w:val="0"/>
          <w:lang w:val="en-GB"/>
        </w:rPr>
        <w:fldChar w:fldCharType="end"/>
      </w:r>
      <w:r w:rsidR="00473F3F">
        <w:rPr>
          <w:snapToGrid w:val="0"/>
          <w:lang w:val="en-GB"/>
        </w:rPr>
        <w:t>)</w:t>
      </w:r>
      <w:r w:rsidR="00C81CE8">
        <w:rPr>
          <w:snapToGrid w:val="0"/>
          <w:lang w:val="en-GB"/>
        </w:rPr>
        <w:t>, and resulting in a</w:t>
      </w:r>
      <w:r w:rsidR="00150A8D">
        <w:rPr>
          <w:snapToGrid w:val="0"/>
          <w:lang w:val="en-GB"/>
        </w:rPr>
        <w:t xml:space="preserve"> lower</w:t>
      </w:r>
      <w:r w:rsidR="00C81CE8">
        <w:rPr>
          <w:snapToGrid w:val="0"/>
          <w:lang w:val="en-GB"/>
        </w:rPr>
        <w:t xml:space="preserve"> ICER</w:t>
      </w:r>
      <w:r w:rsidR="00473F3F">
        <w:rPr>
          <w:snapToGrid w:val="0"/>
          <w:lang w:val="en-GB"/>
        </w:rPr>
        <w:t xml:space="preserve"> (as per paragraph</w:t>
      </w:r>
      <w:r w:rsidR="00115DB8">
        <w:rPr>
          <w:snapToGrid w:val="0"/>
          <w:lang w:val="en-GB"/>
        </w:rPr>
        <w:t xml:space="preserve"> </w:t>
      </w:r>
      <w:r w:rsidR="008A4224">
        <w:rPr>
          <w:snapToGrid w:val="0"/>
          <w:lang w:val="en-GB"/>
        </w:rPr>
        <w:fldChar w:fldCharType="begin"/>
      </w:r>
      <w:r w:rsidR="008A4224">
        <w:rPr>
          <w:snapToGrid w:val="0"/>
          <w:lang w:val="en-GB"/>
        </w:rPr>
        <w:instrText xml:space="preserve"> REF _Ref216113443 \r \h </w:instrText>
      </w:r>
      <w:r w:rsidR="008A4224">
        <w:rPr>
          <w:snapToGrid w:val="0"/>
          <w:lang w:val="en-GB"/>
        </w:rPr>
      </w:r>
      <w:r w:rsidR="008A4224">
        <w:rPr>
          <w:snapToGrid w:val="0"/>
          <w:lang w:val="en-GB"/>
        </w:rPr>
        <w:fldChar w:fldCharType="separate"/>
      </w:r>
      <w:r w:rsidR="00CC1313">
        <w:rPr>
          <w:snapToGrid w:val="0"/>
          <w:lang w:val="en-GB"/>
        </w:rPr>
        <w:t>7.15</w:t>
      </w:r>
      <w:r w:rsidR="008A4224">
        <w:rPr>
          <w:snapToGrid w:val="0"/>
          <w:lang w:val="en-GB"/>
        </w:rPr>
        <w:fldChar w:fldCharType="end"/>
      </w:r>
      <w:r w:rsidR="008A4224">
        <w:rPr>
          <w:snapToGrid w:val="0"/>
          <w:lang w:val="en-GB"/>
        </w:rPr>
        <w:t>)</w:t>
      </w:r>
      <w:r w:rsidR="00C81CE8">
        <w:rPr>
          <w:snapToGrid w:val="0"/>
          <w:lang w:val="en-GB"/>
        </w:rPr>
        <w:t xml:space="preserve">. </w:t>
      </w:r>
      <w:r w:rsidRPr="00C6512B">
        <w:rPr>
          <w:bCs/>
          <w:snapToGrid w:val="0"/>
          <w:lang w:val="en-GB"/>
        </w:rPr>
        <w:t xml:space="preserve">The resubmission may </w:t>
      </w:r>
      <w:proofErr w:type="gramStart"/>
      <w:r w:rsidRPr="00C6512B">
        <w:rPr>
          <w:bCs/>
          <w:snapToGrid w:val="0"/>
          <w:lang w:val="en-GB"/>
        </w:rPr>
        <w:t>be lodged</w:t>
      </w:r>
      <w:proofErr w:type="gramEnd"/>
      <w:r w:rsidRPr="00C6512B">
        <w:rPr>
          <w:bCs/>
          <w:snapToGrid w:val="0"/>
          <w:lang w:val="en-GB"/>
        </w:rPr>
        <w:t xml:space="preserve"> at any future standard due date for PBAC submissions using the standard re-entry pathway.</w:t>
      </w:r>
    </w:p>
    <w:p w14:paraId="2A992D25" w14:textId="4D662B1C" w:rsidR="00C45408" w:rsidRPr="007D4707" w:rsidRDefault="00C45408" w:rsidP="00370D8E">
      <w:pPr>
        <w:numPr>
          <w:ilvl w:val="1"/>
          <w:numId w:val="1"/>
        </w:numPr>
        <w:spacing w:after="120"/>
        <w:rPr>
          <w:rFonts w:asciiTheme="minorHAnsi" w:hAnsiTheme="minorHAnsi"/>
          <w:bCs/>
          <w:snapToGrid w:val="0"/>
          <w:lang w:val="en-GB"/>
        </w:rPr>
      </w:pPr>
      <w:bookmarkStart w:id="71" w:name="_Hlk215671593"/>
      <w:r w:rsidRPr="00525B39">
        <w:rPr>
          <w:rFonts w:asciiTheme="minorHAnsi" w:hAnsiTheme="minorHAnsi"/>
          <w:bCs/>
          <w:snapToGrid w:val="0"/>
          <w:lang w:val="en-GB"/>
        </w:rPr>
        <w:lastRenderedPageBreak/>
        <w:t>The PBAC noted that this submission is eligible for an Independent Review.</w:t>
      </w:r>
      <w:bookmarkEnd w:id="71"/>
      <w:r w:rsidRPr="00525B39">
        <w:rPr>
          <w:rFonts w:asciiTheme="minorHAnsi" w:hAnsiTheme="minorHAnsi"/>
          <w:bCs/>
          <w:snapToGrid w:val="0"/>
          <w:lang w:val="en-GB"/>
        </w:rPr>
        <w:t xml:space="preserve"> </w:t>
      </w:r>
    </w:p>
    <w:p w14:paraId="5165ADB8" w14:textId="77777777" w:rsidR="00C45408" w:rsidRPr="00525B39" w:rsidRDefault="00C45408" w:rsidP="00370D8E">
      <w:pPr>
        <w:spacing w:before="240"/>
        <w:rPr>
          <w:rFonts w:asciiTheme="minorHAnsi" w:hAnsiTheme="minorHAnsi"/>
          <w:b/>
          <w:bCs/>
          <w:snapToGrid w:val="0"/>
          <w:lang w:val="en-GB"/>
        </w:rPr>
      </w:pPr>
      <w:bookmarkStart w:id="72" w:name="_Hlk215671651"/>
      <w:r w:rsidRPr="00525B39">
        <w:rPr>
          <w:rFonts w:asciiTheme="minorHAnsi" w:hAnsiTheme="minorHAnsi"/>
          <w:b/>
          <w:bCs/>
          <w:snapToGrid w:val="0"/>
          <w:lang w:val="en-GB"/>
        </w:rPr>
        <w:t>Outcome:</w:t>
      </w:r>
    </w:p>
    <w:p w14:paraId="44C65E69" w14:textId="16B070C5" w:rsidR="00C45408" w:rsidRPr="00525B39" w:rsidRDefault="00C45408" w:rsidP="00370D8E">
      <w:pPr>
        <w:rPr>
          <w:rFonts w:asciiTheme="minorHAnsi" w:hAnsiTheme="minorHAnsi"/>
          <w:bCs/>
          <w:snapToGrid w:val="0"/>
          <w:lang w:val="en-GB"/>
        </w:rPr>
      </w:pPr>
      <w:r>
        <w:rPr>
          <w:rFonts w:asciiTheme="minorHAnsi" w:hAnsiTheme="minorHAnsi"/>
          <w:bCs/>
          <w:snapToGrid w:val="0"/>
          <w:lang w:val="en-GB"/>
        </w:rPr>
        <w:t>Not recommended</w:t>
      </w:r>
    </w:p>
    <w:bookmarkEnd w:id="66"/>
    <w:bookmarkEnd w:id="72"/>
    <w:p w14:paraId="58F37E1B" w14:textId="6BE18A39" w:rsidR="00C9608B" w:rsidRPr="00934F14" w:rsidRDefault="00C9608B" w:rsidP="00370D8E">
      <w:pPr>
        <w:rPr>
          <w:rFonts w:asciiTheme="minorHAnsi" w:hAnsiTheme="minorHAnsi"/>
          <w:b/>
          <w:bCs/>
          <w:snapToGrid w:val="0"/>
        </w:rPr>
      </w:pPr>
    </w:p>
    <w:p w14:paraId="605BB386" w14:textId="77777777" w:rsidR="003C6848" w:rsidRDefault="003C6848" w:rsidP="00370D8E">
      <w:pPr>
        <w:pStyle w:val="COMH1numbered"/>
        <w:numPr>
          <w:ilvl w:val="0"/>
          <w:numId w:val="0"/>
        </w:numPr>
        <w:ind w:left="720" w:hanging="720"/>
        <w:rPr>
          <w:bCs/>
          <w:lang w:val="en-GB"/>
        </w:rPr>
      </w:pPr>
      <w:r w:rsidRPr="00C07617">
        <w:t>9</w:t>
      </w:r>
      <w:r w:rsidRPr="00C07617">
        <w:tab/>
        <w:t>Context for Decision</w:t>
      </w:r>
    </w:p>
    <w:p w14:paraId="39030DCC" w14:textId="77777777" w:rsidR="003C6848" w:rsidRPr="00311EEF" w:rsidRDefault="003C6848" w:rsidP="00370D8E">
      <w:pPr>
        <w:spacing w:after="120"/>
        <w:ind w:left="720"/>
        <w:rPr>
          <w:rFonts w:asciiTheme="minorHAnsi" w:hAnsiTheme="minorHAnsi"/>
          <w:bCs/>
          <w:lang w:val="en-GB"/>
        </w:rPr>
      </w:pPr>
      <w:r w:rsidRPr="00311EEF">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311EEF">
        <w:rPr>
          <w:rFonts w:asciiTheme="minorHAnsi" w:hAnsiTheme="minorHAnsi"/>
          <w:bCs/>
          <w:lang w:val="en-GB"/>
        </w:rPr>
        <w:t>be made</w:t>
      </w:r>
      <w:proofErr w:type="gramEnd"/>
      <w:r w:rsidRPr="00311EEF">
        <w:rPr>
          <w:rFonts w:asciiTheme="minorHAnsi" w:hAnsiTheme="minorHAnsi"/>
          <w:bCs/>
          <w:lang w:val="en-GB"/>
        </w:rPr>
        <w:t xml:space="preserve"> available through the PBS. The PBAC welcomes applications containing </w:t>
      </w:r>
      <w:proofErr w:type="gramStart"/>
      <w:r w:rsidRPr="00311EEF">
        <w:rPr>
          <w:rFonts w:asciiTheme="minorHAnsi" w:hAnsiTheme="minorHAnsi"/>
          <w:bCs/>
          <w:lang w:val="en-GB"/>
        </w:rPr>
        <w:t>new information</w:t>
      </w:r>
      <w:proofErr w:type="gramEnd"/>
      <w:r w:rsidRPr="00311EEF">
        <w:rPr>
          <w:rFonts w:asciiTheme="minorHAnsi" w:hAnsiTheme="minorHAnsi"/>
          <w:bCs/>
          <w:lang w:val="en-GB"/>
        </w:rPr>
        <w:t xml:space="preserve"> at any time.</w:t>
      </w:r>
    </w:p>
    <w:p w14:paraId="45351716" w14:textId="77777777" w:rsidR="003C6848" w:rsidRPr="00311EEF" w:rsidRDefault="003C6848" w:rsidP="00370D8E">
      <w:pPr>
        <w:pStyle w:val="COMH1numbered"/>
        <w:numPr>
          <w:ilvl w:val="0"/>
          <w:numId w:val="0"/>
        </w:numPr>
        <w:ind w:left="720" w:hanging="720"/>
      </w:pPr>
      <w:r w:rsidRPr="00311EEF">
        <w:t>10</w:t>
      </w:r>
      <w:r>
        <w:tab/>
      </w:r>
      <w:r w:rsidRPr="00311EEF">
        <w:t>Sponsor’s Comment</w:t>
      </w:r>
    </w:p>
    <w:p w14:paraId="189F43E6" w14:textId="780707FE" w:rsidR="005E797F" w:rsidRPr="0020220B" w:rsidRDefault="42C197B6" w:rsidP="00370D8E">
      <w:pPr>
        <w:spacing w:after="120"/>
        <w:ind w:left="720"/>
        <w:rPr>
          <w:rFonts w:asciiTheme="minorHAnsi" w:hAnsiTheme="minorHAnsi"/>
          <w:bCs/>
          <w:lang w:val="en-GB"/>
        </w:rPr>
      </w:pPr>
      <w:r w:rsidRPr="0020220B">
        <w:rPr>
          <w:rFonts w:asciiTheme="minorHAnsi" w:hAnsiTheme="minorHAnsi"/>
          <w:bCs/>
          <w:lang w:val="en-GB"/>
        </w:rPr>
        <w:t>Novartis is disappointed with the PBAC’s decision not to recommend iptacopan (</w:t>
      </w:r>
      <w:proofErr w:type="spellStart"/>
      <w:r w:rsidRPr="0020220B">
        <w:rPr>
          <w:rFonts w:asciiTheme="minorHAnsi" w:hAnsiTheme="minorHAnsi"/>
          <w:bCs/>
          <w:lang w:val="en-GB"/>
        </w:rPr>
        <w:t>Fabhalta</w:t>
      </w:r>
      <w:proofErr w:type="spellEnd"/>
      <w:r w:rsidRPr="0020220B">
        <w:rPr>
          <w:rFonts w:asciiTheme="minorHAnsi" w:hAnsiTheme="minorHAnsi"/>
          <w:bCs/>
          <w:lang w:val="en-GB"/>
        </w:rPr>
        <w:t>®) for C3G. While we welcome the PBAC’s acknowledgment of the significant burden and unmet need, C3G is an ultra</w:t>
      </w:r>
      <w:r w:rsidRPr="0020220B">
        <w:rPr>
          <w:rFonts w:ascii="Cambria Math" w:hAnsi="Cambria Math" w:cs="Cambria Math"/>
          <w:bCs/>
          <w:lang w:val="en-GB"/>
        </w:rPr>
        <w:t>‑</w:t>
      </w:r>
      <w:r w:rsidRPr="0020220B">
        <w:rPr>
          <w:rFonts w:asciiTheme="minorHAnsi" w:hAnsiTheme="minorHAnsi"/>
          <w:bCs/>
          <w:lang w:val="en-GB"/>
        </w:rPr>
        <w:t>rare disease that typically affects younger people and leads to progressive kidney decline, making it critical that the value of iptacopan (</w:t>
      </w:r>
      <w:proofErr w:type="spellStart"/>
      <w:r w:rsidRPr="0020220B">
        <w:rPr>
          <w:rFonts w:asciiTheme="minorHAnsi" w:hAnsiTheme="minorHAnsi"/>
          <w:bCs/>
          <w:lang w:val="en-GB"/>
        </w:rPr>
        <w:t>Fabhalta</w:t>
      </w:r>
      <w:proofErr w:type="spellEnd"/>
      <w:r w:rsidRPr="0020220B">
        <w:rPr>
          <w:rFonts w:cs="Calibri"/>
          <w:bCs/>
          <w:lang w:val="en-GB"/>
        </w:rPr>
        <w:t>®</w:t>
      </w:r>
      <w:r w:rsidRPr="0020220B">
        <w:rPr>
          <w:rFonts w:asciiTheme="minorHAnsi" w:hAnsiTheme="minorHAnsi"/>
          <w:bCs/>
          <w:lang w:val="en-GB"/>
        </w:rPr>
        <w:t xml:space="preserve">) </w:t>
      </w:r>
      <w:proofErr w:type="gramStart"/>
      <w:r w:rsidRPr="0020220B">
        <w:rPr>
          <w:rFonts w:asciiTheme="minorHAnsi" w:hAnsiTheme="minorHAnsi"/>
          <w:bCs/>
          <w:lang w:val="en-GB"/>
        </w:rPr>
        <w:t>is appropriately recognised</w:t>
      </w:r>
      <w:proofErr w:type="gramEnd"/>
      <w:r w:rsidRPr="0020220B">
        <w:rPr>
          <w:rFonts w:asciiTheme="minorHAnsi" w:hAnsiTheme="minorHAnsi"/>
          <w:bCs/>
          <w:lang w:val="en-GB"/>
        </w:rPr>
        <w:t xml:space="preserve"> for Australian patients and the healthcare system.</w:t>
      </w:r>
    </w:p>
    <w:p w14:paraId="02874DF6" w14:textId="6482698E" w:rsidR="005E797F" w:rsidRPr="0020220B" w:rsidRDefault="42C197B6" w:rsidP="00370D8E">
      <w:pPr>
        <w:spacing w:after="120"/>
        <w:ind w:left="720"/>
        <w:rPr>
          <w:rFonts w:asciiTheme="minorHAnsi" w:hAnsiTheme="minorHAnsi"/>
          <w:bCs/>
          <w:lang w:val="en-GB"/>
        </w:rPr>
      </w:pPr>
      <w:proofErr w:type="gramStart"/>
      <w:r w:rsidRPr="0020220B">
        <w:rPr>
          <w:rFonts w:asciiTheme="minorHAnsi" w:hAnsiTheme="minorHAnsi"/>
          <w:bCs/>
          <w:lang w:val="en-GB"/>
        </w:rPr>
        <w:t>At this time</w:t>
      </w:r>
      <w:proofErr w:type="gramEnd"/>
      <w:r w:rsidRPr="0020220B">
        <w:rPr>
          <w:rFonts w:asciiTheme="minorHAnsi" w:hAnsiTheme="minorHAnsi"/>
          <w:bCs/>
          <w:lang w:val="en-GB"/>
        </w:rPr>
        <w:t>, pursuit of a PBS listing does not appear to be viable. However, we remain committed to supporting Australian C3G patients and plan to provide access through alternative pathways where possible.</w:t>
      </w:r>
    </w:p>
    <w:p w14:paraId="46EF28A2" w14:textId="68A2D050" w:rsidR="00753B29" w:rsidRPr="000D4BDE" w:rsidRDefault="42C197B6" w:rsidP="00370D8E">
      <w:pPr>
        <w:spacing w:after="120"/>
        <w:ind w:left="720"/>
        <w:rPr>
          <w:rFonts w:asciiTheme="minorHAnsi" w:hAnsiTheme="minorHAnsi"/>
          <w:bCs/>
          <w:lang w:val="en-GB"/>
        </w:rPr>
      </w:pPr>
      <w:r w:rsidRPr="0020220B">
        <w:rPr>
          <w:rFonts w:asciiTheme="minorHAnsi" w:hAnsiTheme="minorHAnsi"/>
          <w:bCs/>
          <w:lang w:val="en-GB"/>
        </w:rPr>
        <w:t xml:space="preserve">We </w:t>
      </w:r>
      <w:proofErr w:type="gramStart"/>
      <w:r w:rsidRPr="0020220B">
        <w:rPr>
          <w:rFonts w:asciiTheme="minorHAnsi" w:hAnsiTheme="minorHAnsi"/>
          <w:bCs/>
          <w:lang w:val="en-GB"/>
        </w:rPr>
        <w:t>sincerely thank</w:t>
      </w:r>
      <w:proofErr w:type="gramEnd"/>
      <w:r w:rsidRPr="0020220B">
        <w:rPr>
          <w:rFonts w:asciiTheme="minorHAnsi" w:hAnsiTheme="minorHAnsi"/>
          <w:bCs/>
          <w:lang w:val="en-GB"/>
        </w:rPr>
        <w:t xml:space="preserve"> patients, clinicians, and organisations for their valuable contributions to the PBAC process.</w:t>
      </w:r>
    </w:p>
    <w:sectPr w:rsidR="00753B29" w:rsidRPr="000D4BDE" w:rsidSect="00DA1CF6">
      <w:headerReference w:type="even" r:id="rId26"/>
      <w:headerReference w:type="default" r:id="rId27"/>
      <w:footerReference w:type="even" r:id="rId28"/>
      <w:footerReference w:type="default" r:id="rId29"/>
      <w:headerReference w:type="first" r:id="rId30"/>
      <w:footerReference w:type="first" r:id="rId31"/>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3EDC" w14:textId="77777777" w:rsidR="00F06C60" w:rsidRDefault="00F06C60" w:rsidP="00124A51">
      <w:r>
        <w:separator/>
      </w:r>
    </w:p>
    <w:p w14:paraId="56CF5F7A" w14:textId="77777777" w:rsidR="00F06C60" w:rsidRDefault="00F06C60"/>
    <w:p w14:paraId="6C8EB830" w14:textId="77777777" w:rsidR="00F06C60" w:rsidRDefault="00F06C60"/>
    <w:p w14:paraId="3A3D06B8" w14:textId="77777777" w:rsidR="00F06C60" w:rsidRDefault="00F06C60"/>
    <w:p w14:paraId="52378F4B" w14:textId="77777777" w:rsidR="00F06C60" w:rsidRDefault="00F06C60"/>
  </w:endnote>
  <w:endnote w:type="continuationSeparator" w:id="0">
    <w:p w14:paraId="4A7253E5" w14:textId="77777777" w:rsidR="00F06C60" w:rsidRDefault="00F06C60" w:rsidP="00124A51">
      <w:r>
        <w:continuationSeparator/>
      </w:r>
    </w:p>
    <w:p w14:paraId="1F095A33" w14:textId="77777777" w:rsidR="00F06C60" w:rsidRDefault="00F06C60"/>
    <w:p w14:paraId="44D6207B" w14:textId="77777777" w:rsidR="00F06C60" w:rsidRDefault="00F06C60"/>
    <w:p w14:paraId="65A8F33C" w14:textId="77777777" w:rsidR="00F06C60" w:rsidRDefault="00F06C60"/>
    <w:p w14:paraId="1D883BDC" w14:textId="77777777" w:rsidR="00F06C60" w:rsidRDefault="00F06C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77350" w14:textId="60CC13DA" w:rsidR="00EF2D9A" w:rsidRDefault="000D0874">
    <w:pPr>
      <w:pStyle w:val="Footer"/>
    </w:pPr>
    <w:r>
      <w:rPr>
        <w:noProof/>
      </w:rPr>
      <mc:AlternateContent>
        <mc:Choice Requires="wps">
          <w:drawing>
            <wp:anchor distT="0" distB="0" distL="0" distR="0" simplePos="0" relativeHeight="251669509" behindDoc="0" locked="0" layoutInCell="1" allowOverlap="1" wp14:anchorId="102274BB" wp14:editId="43C084EA">
              <wp:simplePos x="635" y="635"/>
              <wp:positionH relativeFrom="page">
                <wp:align>center</wp:align>
              </wp:positionH>
              <wp:positionV relativeFrom="page">
                <wp:align>bottom</wp:align>
              </wp:positionV>
              <wp:extent cx="622300" cy="376555"/>
              <wp:effectExtent l="0" t="0" r="6350" b="0"/>
              <wp:wrapNone/>
              <wp:docPr id="338524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3D0042" w14:textId="013FB74D" w:rsidR="000D0874" w:rsidRPr="000D0874" w:rsidRDefault="000D0874" w:rsidP="000D0874">
                          <w:pPr>
                            <w:rPr>
                              <w:rFonts w:ascii="Aptos" w:eastAsia="Aptos" w:hAnsi="Aptos" w:cs="Aptos"/>
                              <w:noProof/>
                              <w:color w:val="FF0000"/>
                            </w:rPr>
                          </w:pPr>
                          <w:r w:rsidRPr="000D087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274BB"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A3D0042" w14:textId="013FB74D" w:rsidR="000D0874" w:rsidRPr="000D0874" w:rsidRDefault="000D0874" w:rsidP="000D0874">
                    <w:pPr>
                      <w:rPr>
                        <w:rFonts w:ascii="Aptos" w:eastAsia="Aptos" w:hAnsi="Aptos" w:cs="Aptos"/>
                        <w:noProof/>
                        <w:color w:val="FF0000"/>
                      </w:rPr>
                    </w:pPr>
                    <w:r w:rsidRPr="000D087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6A683FEC" w:rsidR="00D843F2" w:rsidRDefault="000D0874" w:rsidP="00753B29">
    <w:pPr>
      <w:jc w:val="center"/>
    </w:pPr>
    <w:r>
      <w:rPr>
        <w:noProof/>
      </w:rPr>
      <mc:AlternateContent>
        <mc:Choice Requires="wps">
          <w:drawing>
            <wp:anchor distT="0" distB="0" distL="0" distR="0" simplePos="0" relativeHeight="251670533" behindDoc="0" locked="0" layoutInCell="1" allowOverlap="1" wp14:anchorId="3C692417" wp14:editId="2CD5E6B4">
              <wp:simplePos x="914400" y="9410700"/>
              <wp:positionH relativeFrom="page">
                <wp:align>center</wp:align>
              </wp:positionH>
              <wp:positionV relativeFrom="page">
                <wp:align>bottom</wp:align>
              </wp:positionV>
              <wp:extent cx="622300" cy="376555"/>
              <wp:effectExtent l="0" t="0" r="6350" b="0"/>
              <wp:wrapNone/>
              <wp:docPr id="130788732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947968" w14:textId="0F02623A" w:rsidR="000D0874" w:rsidRPr="000D0874" w:rsidRDefault="000D0874" w:rsidP="000D0874">
                          <w:pPr>
                            <w:rPr>
                              <w:rFonts w:ascii="Aptos" w:eastAsia="Aptos" w:hAnsi="Aptos" w:cs="Aptos"/>
                              <w:noProof/>
                              <w:color w:val="FF0000"/>
                            </w:rPr>
                          </w:pPr>
                          <w:r w:rsidRPr="000D087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92417"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4947968" w14:textId="0F02623A" w:rsidR="000D0874" w:rsidRPr="000D0874" w:rsidRDefault="000D0874" w:rsidP="000D0874">
                    <w:pPr>
                      <w:rPr>
                        <w:rFonts w:ascii="Aptos" w:eastAsia="Aptos" w:hAnsi="Aptos" w:cs="Aptos"/>
                        <w:noProof/>
                        <w:color w:val="FF0000"/>
                      </w:rPr>
                    </w:pPr>
                    <w:r w:rsidRPr="000D0874">
                      <w:rPr>
                        <w:rFonts w:ascii="Aptos" w:eastAsia="Aptos" w:hAnsi="Aptos" w:cs="Aptos"/>
                        <w:noProof/>
                        <w:color w:val="FF0000"/>
                      </w:rPr>
                      <w:t>OFFICIAL</w:t>
                    </w:r>
                  </w:p>
                </w:txbxContent>
              </v:textbox>
              <w10:wrap anchorx="page" anchory="page"/>
            </v:shape>
          </w:pict>
        </mc:Fallback>
      </mc:AlternateContent>
    </w:r>
  </w:p>
  <w:p w14:paraId="37484CD3" w14:textId="3783B503" w:rsidR="00D843F2" w:rsidRPr="007C1CD9" w:rsidRDefault="00CC1313"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0606" w14:textId="4743A797" w:rsidR="00EF2D9A" w:rsidRDefault="000D0874">
    <w:pPr>
      <w:pStyle w:val="Footer"/>
    </w:pPr>
    <w:r>
      <w:rPr>
        <w:noProof/>
      </w:rPr>
      <mc:AlternateContent>
        <mc:Choice Requires="wps">
          <w:drawing>
            <wp:anchor distT="0" distB="0" distL="0" distR="0" simplePos="0" relativeHeight="251668485" behindDoc="0" locked="0" layoutInCell="1" allowOverlap="1" wp14:anchorId="09811A4F" wp14:editId="3C340454">
              <wp:simplePos x="635" y="635"/>
              <wp:positionH relativeFrom="page">
                <wp:align>center</wp:align>
              </wp:positionH>
              <wp:positionV relativeFrom="page">
                <wp:align>bottom</wp:align>
              </wp:positionV>
              <wp:extent cx="622300" cy="376555"/>
              <wp:effectExtent l="0" t="0" r="6350" b="0"/>
              <wp:wrapNone/>
              <wp:docPr id="162313943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0EB040" w14:textId="5F8C6941" w:rsidR="000D0874" w:rsidRPr="000D0874" w:rsidRDefault="000D0874" w:rsidP="000D0874">
                          <w:pPr>
                            <w:rPr>
                              <w:rFonts w:ascii="Aptos" w:eastAsia="Aptos" w:hAnsi="Aptos" w:cs="Aptos"/>
                              <w:noProof/>
                              <w:color w:val="FF0000"/>
                            </w:rPr>
                          </w:pPr>
                          <w:r w:rsidRPr="000D087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811A4F"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450EB040" w14:textId="5F8C6941" w:rsidR="000D0874" w:rsidRPr="000D0874" w:rsidRDefault="000D0874" w:rsidP="000D0874">
                    <w:pPr>
                      <w:rPr>
                        <w:rFonts w:ascii="Aptos" w:eastAsia="Aptos" w:hAnsi="Aptos" w:cs="Aptos"/>
                        <w:noProof/>
                        <w:color w:val="FF0000"/>
                      </w:rPr>
                    </w:pPr>
                    <w:r w:rsidRPr="000D0874">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B8C9A" w14:textId="77777777" w:rsidR="00F06C60" w:rsidRDefault="00F06C60" w:rsidP="00124A51">
      <w:r>
        <w:separator/>
      </w:r>
    </w:p>
    <w:p w14:paraId="3C2DE8A8" w14:textId="77777777" w:rsidR="00F06C60" w:rsidRDefault="00F06C60"/>
    <w:p w14:paraId="4843407C" w14:textId="77777777" w:rsidR="00F06C60" w:rsidRDefault="00F06C60"/>
    <w:p w14:paraId="570DAB83" w14:textId="77777777" w:rsidR="00F06C60" w:rsidRDefault="00F06C60"/>
    <w:p w14:paraId="4279B1F5" w14:textId="77777777" w:rsidR="00F06C60" w:rsidRDefault="00F06C60"/>
  </w:footnote>
  <w:footnote w:type="continuationSeparator" w:id="0">
    <w:p w14:paraId="6EC1E4E8" w14:textId="77777777" w:rsidR="00F06C60" w:rsidRDefault="00F06C60" w:rsidP="00124A51">
      <w:r>
        <w:continuationSeparator/>
      </w:r>
    </w:p>
    <w:p w14:paraId="1F778F6B" w14:textId="77777777" w:rsidR="00F06C60" w:rsidRDefault="00F06C60"/>
    <w:p w14:paraId="48C5CE84" w14:textId="77777777" w:rsidR="00F06C60" w:rsidRDefault="00F06C60"/>
    <w:p w14:paraId="67908534" w14:textId="77777777" w:rsidR="00F06C60" w:rsidRDefault="00F06C60"/>
    <w:p w14:paraId="2E530145" w14:textId="77777777" w:rsidR="00F06C60" w:rsidRDefault="00F06C60"/>
  </w:footnote>
  <w:footnote w:id="1">
    <w:p w14:paraId="38CDA9E3" w14:textId="1F02BE79" w:rsidR="0029668E" w:rsidRPr="005E2FE6" w:rsidRDefault="0029668E">
      <w:pPr>
        <w:pStyle w:val="FootnoteText"/>
        <w:rPr>
          <w:b/>
          <w:bCs/>
        </w:rPr>
      </w:pPr>
      <w:r>
        <w:rPr>
          <w:rStyle w:val="FootnoteReference"/>
        </w:rPr>
        <w:footnoteRef/>
      </w:r>
      <w:r>
        <w:t xml:space="preserve"> </w:t>
      </w:r>
      <w:r w:rsidR="005E2FE6" w:rsidRPr="005E2FE6">
        <w:t xml:space="preserve">C3 glomerulonephritis and dense deposit disease share a similar disease course in a large United States cohort of patients with C3 glomerulopathy, </w:t>
      </w:r>
      <w:r w:rsidRPr="005E2FE6">
        <w:t>Ki</w:t>
      </w:r>
      <w:r>
        <w:t>dney International (2018) 93, 977-985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942BB" w14:textId="6D858623" w:rsidR="00EF2D9A" w:rsidRDefault="000D0874">
    <w:pPr>
      <w:pStyle w:val="Header"/>
    </w:pPr>
    <w:r>
      <w:rPr>
        <w:noProof/>
      </w:rPr>
      <mc:AlternateContent>
        <mc:Choice Requires="wps">
          <w:drawing>
            <wp:anchor distT="0" distB="0" distL="0" distR="0" simplePos="0" relativeHeight="251666437" behindDoc="0" locked="0" layoutInCell="1" allowOverlap="1" wp14:anchorId="3677D697" wp14:editId="14741A4A">
              <wp:simplePos x="635" y="635"/>
              <wp:positionH relativeFrom="page">
                <wp:align>center</wp:align>
              </wp:positionH>
              <wp:positionV relativeFrom="page">
                <wp:align>top</wp:align>
              </wp:positionV>
              <wp:extent cx="622300" cy="376555"/>
              <wp:effectExtent l="0" t="0" r="6350" b="4445"/>
              <wp:wrapNone/>
              <wp:docPr id="3730060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47ACD7" w14:textId="78BE81A7" w:rsidR="000D0874" w:rsidRPr="000D0874" w:rsidRDefault="000D0874" w:rsidP="000D0874">
                          <w:pPr>
                            <w:rPr>
                              <w:rFonts w:ascii="Aptos" w:eastAsia="Aptos" w:hAnsi="Aptos" w:cs="Aptos"/>
                              <w:noProof/>
                              <w:color w:val="FF0000"/>
                            </w:rPr>
                          </w:pPr>
                          <w:r w:rsidRPr="000D087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7D697"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2047ACD7" w14:textId="78BE81A7" w:rsidR="000D0874" w:rsidRPr="000D0874" w:rsidRDefault="000D0874" w:rsidP="000D0874">
                    <w:pPr>
                      <w:rPr>
                        <w:rFonts w:ascii="Aptos" w:eastAsia="Aptos" w:hAnsi="Aptos" w:cs="Aptos"/>
                        <w:noProof/>
                        <w:color w:val="FF0000"/>
                      </w:rPr>
                    </w:pPr>
                    <w:r w:rsidRPr="000D087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943B" w14:textId="276E8316" w:rsidR="00D843F2" w:rsidRDefault="000D0874" w:rsidP="003C6848">
    <w:pPr>
      <w:pStyle w:val="Header"/>
    </w:pPr>
    <w:r>
      <w:rPr>
        <w:noProof/>
      </w:rPr>
      <mc:AlternateContent>
        <mc:Choice Requires="wps">
          <w:drawing>
            <wp:anchor distT="0" distB="0" distL="0" distR="0" simplePos="0" relativeHeight="251667461" behindDoc="0" locked="0" layoutInCell="1" allowOverlap="1" wp14:anchorId="55A7AFB8" wp14:editId="27DF82C2">
              <wp:simplePos x="914400" y="914400"/>
              <wp:positionH relativeFrom="page">
                <wp:align>center</wp:align>
              </wp:positionH>
              <wp:positionV relativeFrom="page">
                <wp:align>top</wp:align>
              </wp:positionV>
              <wp:extent cx="622300" cy="376555"/>
              <wp:effectExtent l="0" t="0" r="6350" b="4445"/>
              <wp:wrapNone/>
              <wp:docPr id="531535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6B9AE40" w14:textId="6C5E8046" w:rsidR="000D0874" w:rsidRPr="000D0874" w:rsidRDefault="000D0874" w:rsidP="000D0874">
                          <w:pPr>
                            <w:rPr>
                              <w:rFonts w:ascii="Aptos" w:eastAsia="Aptos" w:hAnsi="Aptos" w:cs="Aptos"/>
                              <w:noProof/>
                              <w:color w:val="FF0000"/>
                            </w:rPr>
                          </w:pPr>
                          <w:r w:rsidRPr="000D087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A7AFB8"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6B9AE40" w14:textId="6C5E8046" w:rsidR="000D0874" w:rsidRPr="000D0874" w:rsidRDefault="000D0874" w:rsidP="000D0874">
                    <w:pPr>
                      <w:rPr>
                        <w:rFonts w:ascii="Aptos" w:eastAsia="Aptos" w:hAnsi="Aptos" w:cs="Aptos"/>
                        <w:noProof/>
                        <w:color w:val="FF0000"/>
                      </w:rPr>
                    </w:pPr>
                    <w:r w:rsidRPr="000D0874">
                      <w:rPr>
                        <w:rFonts w:ascii="Aptos" w:eastAsia="Aptos" w:hAnsi="Aptos" w:cs="Aptos"/>
                        <w:noProof/>
                        <w:color w:val="FF0000"/>
                      </w:rPr>
                      <w:t>OFFICIAL</w:t>
                    </w:r>
                  </w:p>
                </w:txbxContent>
              </v:textbox>
              <w10:wrap anchorx="page" anchory="page"/>
            </v:shape>
          </w:pict>
        </mc:Fallback>
      </mc:AlternateContent>
    </w:r>
    <w:r w:rsidR="003C6848">
      <w:t>Public Summary Document</w:t>
    </w:r>
    <w:r w:rsidR="003F609A">
      <w:t xml:space="preserve"> – </w:t>
    </w:r>
    <w:r w:rsidR="00D60DC6">
      <w:t>November</w:t>
    </w:r>
    <w:r w:rsidR="00D843F2" w:rsidRPr="00B94414">
      <w:t xml:space="preserve"> 202</w:t>
    </w:r>
    <w:r w:rsidR="00D60DC6">
      <w:t>5</w:t>
    </w:r>
    <w:r w:rsidR="00D843F2" w:rsidRPr="00B94414">
      <w:t xml:space="preserve"> PBAC Meeting</w:t>
    </w:r>
  </w:p>
  <w:p w14:paraId="1FE76C58" w14:textId="77777777" w:rsidR="00D1079F" w:rsidRPr="008C7ECB" w:rsidRDefault="00D1079F" w:rsidP="003C6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AE1B" w14:textId="70678CDF" w:rsidR="00EF2D9A" w:rsidRDefault="000D0874">
    <w:pPr>
      <w:pStyle w:val="Header"/>
    </w:pPr>
    <w:r>
      <w:rPr>
        <w:noProof/>
      </w:rPr>
      <mc:AlternateContent>
        <mc:Choice Requires="wps">
          <w:drawing>
            <wp:anchor distT="0" distB="0" distL="0" distR="0" simplePos="0" relativeHeight="251665413" behindDoc="0" locked="0" layoutInCell="1" allowOverlap="1" wp14:anchorId="4F9431A2" wp14:editId="65BC7C17">
              <wp:simplePos x="635" y="635"/>
              <wp:positionH relativeFrom="page">
                <wp:align>center</wp:align>
              </wp:positionH>
              <wp:positionV relativeFrom="page">
                <wp:align>top</wp:align>
              </wp:positionV>
              <wp:extent cx="622300" cy="376555"/>
              <wp:effectExtent l="0" t="0" r="6350" b="4445"/>
              <wp:wrapNone/>
              <wp:docPr id="17249951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A8D16A" w14:textId="3A76C72C" w:rsidR="000D0874" w:rsidRPr="000D0874" w:rsidRDefault="000D0874" w:rsidP="000D0874">
                          <w:pPr>
                            <w:rPr>
                              <w:rFonts w:ascii="Aptos" w:eastAsia="Aptos" w:hAnsi="Aptos" w:cs="Aptos"/>
                              <w:noProof/>
                              <w:color w:val="FF0000"/>
                            </w:rPr>
                          </w:pPr>
                          <w:r w:rsidRPr="000D087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9431A2"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FA8D16A" w14:textId="3A76C72C" w:rsidR="000D0874" w:rsidRPr="000D0874" w:rsidRDefault="000D0874" w:rsidP="000D0874">
                    <w:pPr>
                      <w:rPr>
                        <w:rFonts w:ascii="Aptos" w:eastAsia="Aptos" w:hAnsi="Aptos" w:cs="Aptos"/>
                        <w:noProof/>
                        <w:color w:val="FF0000"/>
                      </w:rPr>
                    </w:pPr>
                    <w:r w:rsidRPr="000D0874">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EC6F2"/>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710CFE"/>
    <w:multiLevelType w:val="hybridMultilevel"/>
    <w:tmpl w:val="1E1EE00C"/>
    <w:lvl w:ilvl="0" w:tplc="BACA76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1990C01"/>
    <w:multiLevelType w:val="hybridMultilevel"/>
    <w:tmpl w:val="55FC04D6"/>
    <w:lvl w:ilvl="0" w:tplc="2AEE6040">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BF5FD3"/>
    <w:multiLevelType w:val="hybridMultilevel"/>
    <w:tmpl w:val="AF8C3C9A"/>
    <w:lvl w:ilvl="0" w:tplc="D7D45A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211306"/>
    <w:multiLevelType w:val="hybridMultilevel"/>
    <w:tmpl w:val="13AC3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1651BE"/>
    <w:multiLevelType w:val="hybridMultilevel"/>
    <w:tmpl w:val="F4AE590C"/>
    <w:lvl w:ilvl="0" w:tplc="575CE2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9" w15:restartNumberingAfterBreak="0">
    <w:nsid w:val="10AF3C78"/>
    <w:multiLevelType w:val="hybridMultilevel"/>
    <w:tmpl w:val="19FEA6B4"/>
    <w:lvl w:ilvl="0" w:tplc="CE32EA32">
      <w:start w:val="1"/>
      <w:numFmt w:val="bullet"/>
      <w:lvlText w:val="-"/>
      <w:lvlJc w:val="left"/>
      <w:pPr>
        <w:tabs>
          <w:tab w:val="num" w:pos="720"/>
        </w:tabs>
        <w:ind w:left="720" w:hanging="360"/>
      </w:pPr>
      <w:rPr>
        <w:rFonts w:ascii="Calibri" w:hAnsi="Calibri" w:hint="default"/>
      </w:rPr>
    </w:lvl>
    <w:lvl w:ilvl="1" w:tplc="06AEA212">
      <w:start w:val="1"/>
      <w:numFmt w:val="bullet"/>
      <w:lvlText w:val="-"/>
      <w:lvlJc w:val="left"/>
      <w:pPr>
        <w:tabs>
          <w:tab w:val="num" w:pos="1440"/>
        </w:tabs>
        <w:ind w:left="1440" w:hanging="360"/>
      </w:pPr>
      <w:rPr>
        <w:rFonts w:ascii="Calibri" w:hAnsi="Calibri" w:hint="default"/>
      </w:rPr>
    </w:lvl>
    <w:lvl w:ilvl="2" w:tplc="04522E6C" w:tentative="1">
      <w:start w:val="1"/>
      <w:numFmt w:val="bullet"/>
      <w:lvlText w:val="-"/>
      <w:lvlJc w:val="left"/>
      <w:pPr>
        <w:tabs>
          <w:tab w:val="num" w:pos="2160"/>
        </w:tabs>
        <w:ind w:left="2160" w:hanging="360"/>
      </w:pPr>
      <w:rPr>
        <w:rFonts w:ascii="Calibri" w:hAnsi="Calibri" w:hint="default"/>
      </w:rPr>
    </w:lvl>
    <w:lvl w:ilvl="3" w:tplc="400C5F9E" w:tentative="1">
      <w:start w:val="1"/>
      <w:numFmt w:val="bullet"/>
      <w:lvlText w:val="-"/>
      <w:lvlJc w:val="left"/>
      <w:pPr>
        <w:tabs>
          <w:tab w:val="num" w:pos="2880"/>
        </w:tabs>
        <w:ind w:left="2880" w:hanging="360"/>
      </w:pPr>
      <w:rPr>
        <w:rFonts w:ascii="Calibri" w:hAnsi="Calibri" w:hint="default"/>
      </w:rPr>
    </w:lvl>
    <w:lvl w:ilvl="4" w:tplc="B0E4CF7E" w:tentative="1">
      <w:start w:val="1"/>
      <w:numFmt w:val="bullet"/>
      <w:lvlText w:val="-"/>
      <w:lvlJc w:val="left"/>
      <w:pPr>
        <w:tabs>
          <w:tab w:val="num" w:pos="3600"/>
        </w:tabs>
        <w:ind w:left="3600" w:hanging="360"/>
      </w:pPr>
      <w:rPr>
        <w:rFonts w:ascii="Calibri" w:hAnsi="Calibri" w:hint="default"/>
      </w:rPr>
    </w:lvl>
    <w:lvl w:ilvl="5" w:tplc="9E5CD77E" w:tentative="1">
      <w:start w:val="1"/>
      <w:numFmt w:val="bullet"/>
      <w:lvlText w:val="-"/>
      <w:lvlJc w:val="left"/>
      <w:pPr>
        <w:tabs>
          <w:tab w:val="num" w:pos="4320"/>
        </w:tabs>
        <w:ind w:left="4320" w:hanging="360"/>
      </w:pPr>
      <w:rPr>
        <w:rFonts w:ascii="Calibri" w:hAnsi="Calibri" w:hint="default"/>
      </w:rPr>
    </w:lvl>
    <w:lvl w:ilvl="6" w:tplc="846ED2D2" w:tentative="1">
      <w:start w:val="1"/>
      <w:numFmt w:val="bullet"/>
      <w:lvlText w:val="-"/>
      <w:lvlJc w:val="left"/>
      <w:pPr>
        <w:tabs>
          <w:tab w:val="num" w:pos="5040"/>
        </w:tabs>
        <w:ind w:left="5040" w:hanging="360"/>
      </w:pPr>
      <w:rPr>
        <w:rFonts w:ascii="Calibri" w:hAnsi="Calibri" w:hint="default"/>
      </w:rPr>
    </w:lvl>
    <w:lvl w:ilvl="7" w:tplc="7A208ABE" w:tentative="1">
      <w:start w:val="1"/>
      <w:numFmt w:val="bullet"/>
      <w:lvlText w:val="-"/>
      <w:lvlJc w:val="left"/>
      <w:pPr>
        <w:tabs>
          <w:tab w:val="num" w:pos="5760"/>
        </w:tabs>
        <w:ind w:left="5760" w:hanging="360"/>
      </w:pPr>
      <w:rPr>
        <w:rFonts w:ascii="Calibri" w:hAnsi="Calibri" w:hint="default"/>
      </w:rPr>
    </w:lvl>
    <w:lvl w:ilvl="8" w:tplc="3A60E748"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18C90BFD"/>
    <w:multiLevelType w:val="hybridMultilevel"/>
    <w:tmpl w:val="307C5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B219F8"/>
    <w:multiLevelType w:val="hybridMultilevel"/>
    <w:tmpl w:val="DC8A135A"/>
    <w:lvl w:ilvl="0" w:tplc="4F38898A">
      <w:start w:val="1"/>
      <w:numFmt w:val="bullet"/>
      <w:pStyle w:val="COMESmainissue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B6274A"/>
    <w:multiLevelType w:val="hybridMultilevel"/>
    <w:tmpl w:val="4882FECC"/>
    <w:lvl w:ilvl="0" w:tplc="5E24E306">
      <w:start w:val="1"/>
      <w:numFmt w:val="decimal"/>
      <w:lvlText w:val="%1."/>
      <w:lvlJc w:val="left"/>
      <w:pPr>
        <w:ind w:left="1778" w:hanging="360"/>
      </w:pPr>
      <w:rPr>
        <w:b w:val="0"/>
        <w:bCs w:val="0"/>
        <w:i/>
        <w:iCs/>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7714AD2"/>
    <w:multiLevelType w:val="hybridMultilevel"/>
    <w:tmpl w:val="E264BBC4"/>
    <w:lvl w:ilvl="0" w:tplc="399A3B2E">
      <w:numFmt w:val="bullet"/>
      <w:lvlText w:val="-"/>
      <w:lvlJc w:val="left"/>
      <w:pPr>
        <w:ind w:left="1080" w:hanging="360"/>
      </w:pPr>
      <w:rPr>
        <w:rFonts w:ascii="Calibri" w:eastAsia="Calibri" w:hAnsi="Calibri" w:cs="Calibri" w:hint="default"/>
      </w:rPr>
    </w:lvl>
    <w:lvl w:ilvl="1" w:tplc="FFFFFFFF">
      <w:numFmt w:val="bullet"/>
      <w:lvlText w:val="-"/>
      <w:lvlJc w:val="left"/>
      <w:pPr>
        <w:ind w:left="1800" w:hanging="360"/>
      </w:pPr>
      <w:rPr>
        <w:rFonts w:ascii="Calibri" w:eastAsia="Calibr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46AD7"/>
    <w:multiLevelType w:val="hybridMultilevel"/>
    <w:tmpl w:val="D5C697E6"/>
    <w:lvl w:ilvl="0" w:tplc="CFE87BE0">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Templateinstructions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157F8"/>
    <w:multiLevelType w:val="hybridMultilevel"/>
    <w:tmpl w:val="BCB27BAE"/>
    <w:lvl w:ilvl="0" w:tplc="5D5CFDE0">
      <w:start w:val="1"/>
      <w:numFmt w:val="bullet"/>
      <w:pStyle w:val="PBAC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D81459"/>
    <w:multiLevelType w:val="hybridMultilevel"/>
    <w:tmpl w:val="81587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3D1086"/>
    <w:multiLevelType w:val="multilevel"/>
    <w:tmpl w:val="4F562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A37202"/>
    <w:multiLevelType w:val="hybridMultilevel"/>
    <w:tmpl w:val="198C61D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F1793F"/>
    <w:multiLevelType w:val="hybridMultilevel"/>
    <w:tmpl w:val="1F927906"/>
    <w:lvl w:ilvl="0" w:tplc="89CAAFFE">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26" w15:restartNumberingAfterBreak="0">
    <w:nsid w:val="5E7C7333"/>
    <w:multiLevelType w:val="hybridMultilevel"/>
    <w:tmpl w:val="36E8E2B2"/>
    <w:lvl w:ilvl="0" w:tplc="7A22DC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895006"/>
    <w:multiLevelType w:val="hybridMultilevel"/>
    <w:tmpl w:val="8F68F2EC"/>
    <w:lvl w:ilvl="0" w:tplc="2AEE6040">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626930BE"/>
    <w:multiLevelType w:val="hybridMultilevel"/>
    <w:tmpl w:val="6478B908"/>
    <w:lvl w:ilvl="0" w:tplc="761A2F44">
      <w:start w:val="6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1F5076"/>
    <w:multiLevelType w:val="hybridMultilevel"/>
    <w:tmpl w:val="B622D54E"/>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66227995"/>
    <w:multiLevelType w:val="hybridMultilevel"/>
    <w:tmpl w:val="5C22E2A4"/>
    <w:lvl w:ilvl="0" w:tplc="60F2BBD2">
      <w:start w:val="1"/>
      <w:numFmt w:val="bullet"/>
      <w:lvlText w:val="•"/>
      <w:lvlJc w:val="left"/>
      <w:pPr>
        <w:tabs>
          <w:tab w:val="num" w:pos="720"/>
        </w:tabs>
        <w:ind w:left="720" w:hanging="360"/>
      </w:pPr>
      <w:rPr>
        <w:rFonts w:ascii="Arial" w:hAnsi="Arial" w:hint="default"/>
      </w:rPr>
    </w:lvl>
    <w:lvl w:ilvl="1" w:tplc="0B0AFA9A">
      <w:start w:val="1"/>
      <w:numFmt w:val="bullet"/>
      <w:lvlText w:val="•"/>
      <w:lvlJc w:val="left"/>
      <w:pPr>
        <w:tabs>
          <w:tab w:val="num" w:pos="1440"/>
        </w:tabs>
        <w:ind w:left="1440" w:hanging="360"/>
      </w:pPr>
      <w:rPr>
        <w:rFonts w:ascii="Arial" w:hAnsi="Arial" w:hint="default"/>
      </w:rPr>
    </w:lvl>
    <w:lvl w:ilvl="2" w:tplc="A7CE179C" w:tentative="1">
      <w:start w:val="1"/>
      <w:numFmt w:val="bullet"/>
      <w:lvlText w:val="•"/>
      <w:lvlJc w:val="left"/>
      <w:pPr>
        <w:tabs>
          <w:tab w:val="num" w:pos="2160"/>
        </w:tabs>
        <w:ind w:left="2160" w:hanging="360"/>
      </w:pPr>
      <w:rPr>
        <w:rFonts w:ascii="Arial" w:hAnsi="Arial" w:hint="default"/>
      </w:rPr>
    </w:lvl>
    <w:lvl w:ilvl="3" w:tplc="00004366" w:tentative="1">
      <w:start w:val="1"/>
      <w:numFmt w:val="bullet"/>
      <w:lvlText w:val="•"/>
      <w:lvlJc w:val="left"/>
      <w:pPr>
        <w:tabs>
          <w:tab w:val="num" w:pos="2880"/>
        </w:tabs>
        <w:ind w:left="2880" w:hanging="360"/>
      </w:pPr>
      <w:rPr>
        <w:rFonts w:ascii="Arial" w:hAnsi="Arial" w:hint="default"/>
      </w:rPr>
    </w:lvl>
    <w:lvl w:ilvl="4" w:tplc="1B4C7540" w:tentative="1">
      <w:start w:val="1"/>
      <w:numFmt w:val="bullet"/>
      <w:lvlText w:val="•"/>
      <w:lvlJc w:val="left"/>
      <w:pPr>
        <w:tabs>
          <w:tab w:val="num" w:pos="3600"/>
        </w:tabs>
        <w:ind w:left="3600" w:hanging="360"/>
      </w:pPr>
      <w:rPr>
        <w:rFonts w:ascii="Arial" w:hAnsi="Arial" w:hint="default"/>
      </w:rPr>
    </w:lvl>
    <w:lvl w:ilvl="5" w:tplc="842276A8" w:tentative="1">
      <w:start w:val="1"/>
      <w:numFmt w:val="bullet"/>
      <w:lvlText w:val="•"/>
      <w:lvlJc w:val="left"/>
      <w:pPr>
        <w:tabs>
          <w:tab w:val="num" w:pos="4320"/>
        </w:tabs>
        <w:ind w:left="4320" w:hanging="360"/>
      </w:pPr>
      <w:rPr>
        <w:rFonts w:ascii="Arial" w:hAnsi="Arial" w:hint="default"/>
      </w:rPr>
    </w:lvl>
    <w:lvl w:ilvl="6" w:tplc="7F660A98" w:tentative="1">
      <w:start w:val="1"/>
      <w:numFmt w:val="bullet"/>
      <w:lvlText w:val="•"/>
      <w:lvlJc w:val="left"/>
      <w:pPr>
        <w:tabs>
          <w:tab w:val="num" w:pos="5040"/>
        </w:tabs>
        <w:ind w:left="5040" w:hanging="360"/>
      </w:pPr>
      <w:rPr>
        <w:rFonts w:ascii="Arial" w:hAnsi="Arial" w:hint="default"/>
      </w:rPr>
    </w:lvl>
    <w:lvl w:ilvl="7" w:tplc="E8A25380" w:tentative="1">
      <w:start w:val="1"/>
      <w:numFmt w:val="bullet"/>
      <w:lvlText w:val="•"/>
      <w:lvlJc w:val="left"/>
      <w:pPr>
        <w:tabs>
          <w:tab w:val="num" w:pos="5760"/>
        </w:tabs>
        <w:ind w:left="5760" w:hanging="360"/>
      </w:pPr>
      <w:rPr>
        <w:rFonts w:ascii="Arial" w:hAnsi="Arial" w:hint="default"/>
      </w:rPr>
    </w:lvl>
    <w:lvl w:ilvl="8" w:tplc="EEA4BC4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FA3C06"/>
    <w:multiLevelType w:val="hybridMultilevel"/>
    <w:tmpl w:val="DFB26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E8771CA"/>
    <w:multiLevelType w:val="hybridMultilevel"/>
    <w:tmpl w:val="666A72DA"/>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37" w15:restartNumberingAfterBreak="0">
    <w:nsid w:val="72207378"/>
    <w:multiLevelType w:val="hybridMultilevel"/>
    <w:tmpl w:val="98022DAA"/>
    <w:lvl w:ilvl="0" w:tplc="C0283C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4D033C"/>
    <w:multiLevelType w:val="multilevel"/>
    <w:tmpl w:val="455EBB82"/>
    <w:lvl w:ilvl="0">
      <w:start w:val="1"/>
      <w:numFmt w:val="decimal"/>
      <w:pStyle w:val="COMESH2"/>
      <w:lvlText w:val="%1"/>
      <w:lvlJc w:val="left"/>
      <w:pPr>
        <w:ind w:left="720" w:hanging="720"/>
      </w:pPr>
      <w:rPr>
        <w:rFonts w:ascii="Calibri" w:hAnsi="Calibri" w:hint="default"/>
        <w:b/>
        <w:i w:val="0"/>
      </w:rPr>
    </w:lvl>
    <w:lvl w:ilvl="1">
      <w:start w:val="1"/>
      <w:numFmt w:val="decimal"/>
      <w:pStyle w:val="COMESnumberedpara"/>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38"/>
  </w:num>
  <w:num w:numId="2" w16cid:durableId="917793048">
    <w:abstractNumId w:val="18"/>
  </w:num>
  <w:num w:numId="3" w16cid:durableId="220360847">
    <w:abstractNumId w:val="31"/>
  </w:num>
  <w:num w:numId="4" w16cid:durableId="268196418">
    <w:abstractNumId w:val="17"/>
  </w:num>
  <w:num w:numId="5" w16cid:durableId="1048839230">
    <w:abstractNumId w:val="38"/>
  </w:num>
  <w:num w:numId="6" w16cid:durableId="374349641">
    <w:abstractNumId w:val="0"/>
  </w:num>
  <w:num w:numId="7" w16cid:durableId="1681078653">
    <w:abstractNumId w:val="11"/>
  </w:num>
  <w:num w:numId="8" w16cid:durableId="18014609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1154770">
    <w:abstractNumId w:val="24"/>
  </w:num>
  <w:num w:numId="10" w16cid:durableId="1464889234">
    <w:abstractNumId w:val="6"/>
  </w:num>
  <w:num w:numId="11" w16cid:durableId="1985162509">
    <w:abstractNumId w:val="10"/>
  </w:num>
  <w:num w:numId="12" w16cid:durableId="1373577229">
    <w:abstractNumId w:val="21"/>
  </w:num>
  <w:num w:numId="13" w16cid:durableId="1615359814">
    <w:abstractNumId w:val="20"/>
  </w:num>
  <w:num w:numId="14" w16cid:durableId="583103925">
    <w:abstractNumId w:val="15"/>
  </w:num>
  <w:num w:numId="15" w16cid:durableId="324548822">
    <w:abstractNumId w:val="19"/>
  </w:num>
  <w:num w:numId="16" w16cid:durableId="1116602793">
    <w:abstractNumId w:val="27"/>
  </w:num>
  <w:num w:numId="17" w16cid:durableId="1235779075">
    <w:abstractNumId w:val="3"/>
  </w:num>
  <w:num w:numId="18" w16cid:durableId="2008897957">
    <w:abstractNumId w:val="29"/>
  </w:num>
  <w:num w:numId="19" w16cid:durableId="261576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96910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2095193">
    <w:abstractNumId w:val="7"/>
  </w:num>
  <w:num w:numId="22" w16cid:durableId="2089226346">
    <w:abstractNumId w:val="4"/>
  </w:num>
  <w:num w:numId="23" w16cid:durableId="105732797">
    <w:abstractNumId w:val="2"/>
  </w:num>
  <w:num w:numId="24" w16cid:durableId="570509799">
    <w:abstractNumId w:val="36"/>
  </w:num>
  <w:num w:numId="25" w16cid:durableId="1852840001">
    <w:abstractNumId w:val="26"/>
  </w:num>
  <w:num w:numId="26" w16cid:durableId="1065296586">
    <w:abstractNumId w:val="37"/>
  </w:num>
  <w:num w:numId="27" w16cid:durableId="126240624">
    <w:abstractNumId w:val="33"/>
  </w:num>
  <w:num w:numId="28" w16cid:durableId="213351360">
    <w:abstractNumId w:val="38"/>
  </w:num>
  <w:num w:numId="29" w16cid:durableId="576717659">
    <w:abstractNumId w:val="38"/>
  </w:num>
  <w:num w:numId="30" w16cid:durableId="21245425">
    <w:abstractNumId w:val="38"/>
  </w:num>
  <w:num w:numId="31" w16cid:durableId="1463428426">
    <w:abstractNumId w:val="32"/>
  </w:num>
  <w:num w:numId="32" w16cid:durableId="644748134">
    <w:abstractNumId w:val="9"/>
  </w:num>
  <w:num w:numId="33" w16cid:durableId="1283026983">
    <w:abstractNumId w:val="38"/>
  </w:num>
  <w:num w:numId="34" w16cid:durableId="1808013516">
    <w:abstractNumId w:val="11"/>
  </w:num>
  <w:num w:numId="35" w16cid:durableId="1115251036">
    <w:abstractNumId w:val="30"/>
  </w:num>
  <w:num w:numId="36" w16cid:durableId="363988700">
    <w:abstractNumId w:val="34"/>
  </w:num>
  <w:num w:numId="37" w16cid:durableId="408699874">
    <w:abstractNumId w:val="23"/>
  </w:num>
  <w:num w:numId="38" w16cid:durableId="1569418770">
    <w:abstractNumId w:val="5"/>
  </w:num>
  <w:num w:numId="39" w16cid:durableId="705176722">
    <w:abstractNumId w:val="1"/>
  </w:num>
  <w:num w:numId="40" w16cid:durableId="1926569401">
    <w:abstractNumId w:val="14"/>
  </w:num>
  <w:num w:numId="41" w16cid:durableId="1979457665">
    <w:abstractNumId w:val="16"/>
  </w:num>
  <w:num w:numId="42" w16cid:durableId="2038313566">
    <w:abstractNumId w:val="12"/>
  </w:num>
  <w:num w:numId="43" w16cid:durableId="129744317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997201">
    <w:abstractNumId w:val="35"/>
  </w:num>
  <w:num w:numId="45" w16cid:durableId="1690060539">
    <w:abstractNumId w:val="22"/>
  </w:num>
  <w:num w:numId="46" w16cid:durableId="341587399">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32"/>
    <w:rsid w:val="00000077"/>
    <w:rsid w:val="00000211"/>
    <w:rsid w:val="0000023C"/>
    <w:rsid w:val="00000781"/>
    <w:rsid w:val="00000790"/>
    <w:rsid w:val="000007C8"/>
    <w:rsid w:val="00000BD1"/>
    <w:rsid w:val="0000110B"/>
    <w:rsid w:val="00001247"/>
    <w:rsid w:val="00001A17"/>
    <w:rsid w:val="00001FAF"/>
    <w:rsid w:val="0000217B"/>
    <w:rsid w:val="000021F7"/>
    <w:rsid w:val="000024DC"/>
    <w:rsid w:val="00002641"/>
    <w:rsid w:val="00002862"/>
    <w:rsid w:val="000028EB"/>
    <w:rsid w:val="00002C96"/>
    <w:rsid w:val="000031D0"/>
    <w:rsid w:val="00003499"/>
    <w:rsid w:val="00003581"/>
    <w:rsid w:val="0000374A"/>
    <w:rsid w:val="000037B0"/>
    <w:rsid w:val="0000389F"/>
    <w:rsid w:val="000039B7"/>
    <w:rsid w:val="00003ADF"/>
    <w:rsid w:val="000045C7"/>
    <w:rsid w:val="000056B9"/>
    <w:rsid w:val="00005A88"/>
    <w:rsid w:val="00005A9A"/>
    <w:rsid w:val="000062C8"/>
    <w:rsid w:val="0000639A"/>
    <w:rsid w:val="0000658C"/>
    <w:rsid w:val="000073C8"/>
    <w:rsid w:val="0000744B"/>
    <w:rsid w:val="000076FA"/>
    <w:rsid w:val="000079A0"/>
    <w:rsid w:val="00007DD4"/>
    <w:rsid w:val="00007FA3"/>
    <w:rsid w:val="00010248"/>
    <w:rsid w:val="00010595"/>
    <w:rsid w:val="00010BD1"/>
    <w:rsid w:val="000110EE"/>
    <w:rsid w:val="000112AF"/>
    <w:rsid w:val="0001193F"/>
    <w:rsid w:val="00011A53"/>
    <w:rsid w:val="00012188"/>
    <w:rsid w:val="00012A18"/>
    <w:rsid w:val="0001303A"/>
    <w:rsid w:val="00013247"/>
    <w:rsid w:val="00013361"/>
    <w:rsid w:val="0001462C"/>
    <w:rsid w:val="000146FB"/>
    <w:rsid w:val="00014827"/>
    <w:rsid w:val="0001508B"/>
    <w:rsid w:val="00015742"/>
    <w:rsid w:val="00015886"/>
    <w:rsid w:val="00015CD1"/>
    <w:rsid w:val="00015DA8"/>
    <w:rsid w:val="00015F29"/>
    <w:rsid w:val="000162EF"/>
    <w:rsid w:val="0001664F"/>
    <w:rsid w:val="000167E0"/>
    <w:rsid w:val="00016B4B"/>
    <w:rsid w:val="00016D4C"/>
    <w:rsid w:val="00016EC1"/>
    <w:rsid w:val="000173E3"/>
    <w:rsid w:val="000174EC"/>
    <w:rsid w:val="0001785D"/>
    <w:rsid w:val="00017912"/>
    <w:rsid w:val="00017BB3"/>
    <w:rsid w:val="0002010D"/>
    <w:rsid w:val="000201A3"/>
    <w:rsid w:val="00020375"/>
    <w:rsid w:val="000204F7"/>
    <w:rsid w:val="000207C9"/>
    <w:rsid w:val="0002085F"/>
    <w:rsid w:val="00020F05"/>
    <w:rsid w:val="00021065"/>
    <w:rsid w:val="000213CC"/>
    <w:rsid w:val="000218C2"/>
    <w:rsid w:val="00021A8B"/>
    <w:rsid w:val="00022149"/>
    <w:rsid w:val="0002225F"/>
    <w:rsid w:val="00022793"/>
    <w:rsid w:val="000227C8"/>
    <w:rsid w:val="0002298F"/>
    <w:rsid w:val="00022A7A"/>
    <w:rsid w:val="00023053"/>
    <w:rsid w:val="00023763"/>
    <w:rsid w:val="0002387B"/>
    <w:rsid w:val="00023B3D"/>
    <w:rsid w:val="00023FDC"/>
    <w:rsid w:val="000242AA"/>
    <w:rsid w:val="00024569"/>
    <w:rsid w:val="00024801"/>
    <w:rsid w:val="00024A00"/>
    <w:rsid w:val="00024CED"/>
    <w:rsid w:val="00024D18"/>
    <w:rsid w:val="00024D58"/>
    <w:rsid w:val="00024E4E"/>
    <w:rsid w:val="00024EB0"/>
    <w:rsid w:val="00024EB5"/>
    <w:rsid w:val="00025654"/>
    <w:rsid w:val="00025B76"/>
    <w:rsid w:val="000261A4"/>
    <w:rsid w:val="00026F28"/>
    <w:rsid w:val="000271A7"/>
    <w:rsid w:val="0002740D"/>
    <w:rsid w:val="000274B8"/>
    <w:rsid w:val="00027FFE"/>
    <w:rsid w:val="00030113"/>
    <w:rsid w:val="0003044A"/>
    <w:rsid w:val="00030650"/>
    <w:rsid w:val="00030817"/>
    <w:rsid w:val="000308F3"/>
    <w:rsid w:val="00030E86"/>
    <w:rsid w:val="000313F3"/>
    <w:rsid w:val="000317CC"/>
    <w:rsid w:val="00031A7B"/>
    <w:rsid w:val="00031DE1"/>
    <w:rsid w:val="000321B1"/>
    <w:rsid w:val="000327E3"/>
    <w:rsid w:val="00032909"/>
    <w:rsid w:val="000329F0"/>
    <w:rsid w:val="00032CA3"/>
    <w:rsid w:val="00032F3B"/>
    <w:rsid w:val="00033348"/>
    <w:rsid w:val="000335B8"/>
    <w:rsid w:val="00033863"/>
    <w:rsid w:val="000339F6"/>
    <w:rsid w:val="00033C63"/>
    <w:rsid w:val="00034034"/>
    <w:rsid w:val="00034081"/>
    <w:rsid w:val="0003453A"/>
    <w:rsid w:val="00034542"/>
    <w:rsid w:val="00034975"/>
    <w:rsid w:val="00034B10"/>
    <w:rsid w:val="00034E2B"/>
    <w:rsid w:val="00034F3E"/>
    <w:rsid w:val="0003538F"/>
    <w:rsid w:val="0003562D"/>
    <w:rsid w:val="0003576A"/>
    <w:rsid w:val="00035DC0"/>
    <w:rsid w:val="00036829"/>
    <w:rsid w:val="00036A41"/>
    <w:rsid w:val="000370A0"/>
    <w:rsid w:val="00037130"/>
    <w:rsid w:val="000374F9"/>
    <w:rsid w:val="0004003E"/>
    <w:rsid w:val="000402B1"/>
    <w:rsid w:val="00040386"/>
    <w:rsid w:val="00040498"/>
    <w:rsid w:val="00040538"/>
    <w:rsid w:val="00040662"/>
    <w:rsid w:val="00040895"/>
    <w:rsid w:val="00040C64"/>
    <w:rsid w:val="00040F2A"/>
    <w:rsid w:val="0004105D"/>
    <w:rsid w:val="000410A0"/>
    <w:rsid w:val="000413EB"/>
    <w:rsid w:val="00041584"/>
    <w:rsid w:val="0004202B"/>
    <w:rsid w:val="00042DCC"/>
    <w:rsid w:val="0004312F"/>
    <w:rsid w:val="000435EE"/>
    <w:rsid w:val="00043C37"/>
    <w:rsid w:val="000443EF"/>
    <w:rsid w:val="00044507"/>
    <w:rsid w:val="000446B4"/>
    <w:rsid w:val="00044BD1"/>
    <w:rsid w:val="00044DA3"/>
    <w:rsid w:val="00045017"/>
    <w:rsid w:val="000453FC"/>
    <w:rsid w:val="0004551F"/>
    <w:rsid w:val="00045A2B"/>
    <w:rsid w:val="00045AD4"/>
    <w:rsid w:val="00045C46"/>
    <w:rsid w:val="0004640D"/>
    <w:rsid w:val="000467E1"/>
    <w:rsid w:val="0004698F"/>
    <w:rsid w:val="00046D64"/>
    <w:rsid w:val="00046D7E"/>
    <w:rsid w:val="00046EA3"/>
    <w:rsid w:val="000472C6"/>
    <w:rsid w:val="0004738A"/>
    <w:rsid w:val="00047710"/>
    <w:rsid w:val="00047F1B"/>
    <w:rsid w:val="000508C2"/>
    <w:rsid w:val="00051639"/>
    <w:rsid w:val="000516B5"/>
    <w:rsid w:val="000517C9"/>
    <w:rsid w:val="00051B5D"/>
    <w:rsid w:val="00051EBB"/>
    <w:rsid w:val="0005210E"/>
    <w:rsid w:val="00052605"/>
    <w:rsid w:val="00052C09"/>
    <w:rsid w:val="000533EB"/>
    <w:rsid w:val="0005360C"/>
    <w:rsid w:val="00053738"/>
    <w:rsid w:val="000539D0"/>
    <w:rsid w:val="00053AC5"/>
    <w:rsid w:val="00053E31"/>
    <w:rsid w:val="00053ECA"/>
    <w:rsid w:val="00053F88"/>
    <w:rsid w:val="00054021"/>
    <w:rsid w:val="00054621"/>
    <w:rsid w:val="000546D7"/>
    <w:rsid w:val="00054853"/>
    <w:rsid w:val="00054A8D"/>
    <w:rsid w:val="00054AE3"/>
    <w:rsid w:val="00054C08"/>
    <w:rsid w:val="00055021"/>
    <w:rsid w:val="000550CE"/>
    <w:rsid w:val="000552B0"/>
    <w:rsid w:val="00055C06"/>
    <w:rsid w:val="00055C46"/>
    <w:rsid w:val="00055FCA"/>
    <w:rsid w:val="0005624C"/>
    <w:rsid w:val="00056AC1"/>
    <w:rsid w:val="00056DDF"/>
    <w:rsid w:val="00056ECF"/>
    <w:rsid w:val="00057517"/>
    <w:rsid w:val="000575C5"/>
    <w:rsid w:val="000604B7"/>
    <w:rsid w:val="000604DF"/>
    <w:rsid w:val="000605B9"/>
    <w:rsid w:val="00060678"/>
    <w:rsid w:val="000606D9"/>
    <w:rsid w:val="00060A13"/>
    <w:rsid w:val="000610AA"/>
    <w:rsid w:val="00061229"/>
    <w:rsid w:val="00061991"/>
    <w:rsid w:val="00061C7B"/>
    <w:rsid w:val="00061D30"/>
    <w:rsid w:val="00062324"/>
    <w:rsid w:val="0006252E"/>
    <w:rsid w:val="00062DD6"/>
    <w:rsid w:val="000632B5"/>
    <w:rsid w:val="0006337F"/>
    <w:rsid w:val="000635CA"/>
    <w:rsid w:val="000645FB"/>
    <w:rsid w:val="00064893"/>
    <w:rsid w:val="000653B5"/>
    <w:rsid w:val="00065676"/>
    <w:rsid w:val="000657C6"/>
    <w:rsid w:val="000657C8"/>
    <w:rsid w:val="00065DE9"/>
    <w:rsid w:val="00065EE9"/>
    <w:rsid w:val="00065F7E"/>
    <w:rsid w:val="00066077"/>
    <w:rsid w:val="000662A9"/>
    <w:rsid w:val="0006632C"/>
    <w:rsid w:val="00066360"/>
    <w:rsid w:val="000663AE"/>
    <w:rsid w:val="0006662C"/>
    <w:rsid w:val="00066729"/>
    <w:rsid w:val="0006681B"/>
    <w:rsid w:val="000669D8"/>
    <w:rsid w:val="00066A75"/>
    <w:rsid w:val="00066AD3"/>
    <w:rsid w:val="00066AF8"/>
    <w:rsid w:val="00066BA9"/>
    <w:rsid w:val="000672A4"/>
    <w:rsid w:val="000676A5"/>
    <w:rsid w:val="000676C0"/>
    <w:rsid w:val="000677DD"/>
    <w:rsid w:val="00067EF0"/>
    <w:rsid w:val="00070253"/>
    <w:rsid w:val="00070ED3"/>
    <w:rsid w:val="00070F11"/>
    <w:rsid w:val="00071248"/>
    <w:rsid w:val="0007137A"/>
    <w:rsid w:val="000718FB"/>
    <w:rsid w:val="00071C95"/>
    <w:rsid w:val="00071EE4"/>
    <w:rsid w:val="0007209E"/>
    <w:rsid w:val="000720B9"/>
    <w:rsid w:val="00072E56"/>
    <w:rsid w:val="00073403"/>
    <w:rsid w:val="000735CA"/>
    <w:rsid w:val="0007376A"/>
    <w:rsid w:val="000737F7"/>
    <w:rsid w:val="00073947"/>
    <w:rsid w:val="00073D2A"/>
    <w:rsid w:val="000740DE"/>
    <w:rsid w:val="00074264"/>
    <w:rsid w:val="00074825"/>
    <w:rsid w:val="000757F9"/>
    <w:rsid w:val="00075B15"/>
    <w:rsid w:val="00075BB1"/>
    <w:rsid w:val="0007672F"/>
    <w:rsid w:val="00076B54"/>
    <w:rsid w:val="00077265"/>
    <w:rsid w:val="00077316"/>
    <w:rsid w:val="000774F0"/>
    <w:rsid w:val="0007754B"/>
    <w:rsid w:val="000775D3"/>
    <w:rsid w:val="00077652"/>
    <w:rsid w:val="0007787B"/>
    <w:rsid w:val="00077B13"/>
    <w:rsid w:val="00077B90"/>
    <w:rsid w:val="00077C96"/>
    <w:rsid w:val="00077FA3"/>
    <w:rsid w:val="0008030D"/>
    <w:rsid w:val="00080396"/>
    <w:rsid w:val="0008060A"/>
    <w:rsid w:val="000808F3"/>
    <w:rsid w:val="00080909"/>
    <w:rsid w:val="0008104D"/>
    <w:rsid w:val="000810BD"/>
    <w:rsid w:val="000812CA"/>
    <w:rsid w:val="000817E0"/>
    <w:rsid w:val="0008186C"/>
    <w:rsid w:val="00081E63"/>
    <w:rsid w:val="000821D5"/>
    <w:rsid w:val="00082226"/>
    <w:rsid w:val="0008258D"/>
    <w:rsid w:val="0008259F"/>
    <w:rsid w:val="00083128"/>
    <w:rsid w:val="0008318E"/>
    <w:rsid w:val="000833B4"/>
    <w:rsid w:val="00083A45"/>
    <w:rsid w:val="00083AEA"/>
    <w:rsid w:val="00083E99"/>
    <w:rsid w:val="000843A0"/>
    <w:rsid w:val="000843E7"/>
    <w:rsid w:val="000846EA"/>
    <w:rsid w:val="00084FA8"/>
    <w:rsid w:val="00085181"/>
    <w:rsid w:val="000856C5"/>
    <w:rsid w:val="00085C31"/>
    <w:rsid w:val="0008616E"/>
    <w:rsid w:val="000863BE"/>
    <w:rsid w:val="0008711E"/>
    <w:rsid w:val="0008723F"/>
    <w:rsid w:val="000872A0"/>
    <w:rsid w:val="000873C5"/>
    <w:rsid w:val="00087CDD"/>
    <w:rsid w:val="0009011E"/>
    <w:rsid w:val="000902D9"/>
    <w:rsid w:val="0009077C"/>
    <w:rsid w:val="00090863"/>
    <w:rsid w:val="00090943"/>
    <w:rsid w:val="00090C7E"/>
    <w:rsid w:val="000911AC"/>
    <w:rsid w:val="00091229"/>
    <w:rsid w:val="000912BA"/>
    <w:rsid w:val="000918A2"/>
    <w:rsid w:val="000918E4"/>
    <w:rsid w:val="00091A9E"/>
    <w:rsid w:val="0009249B"/>
    <w:rsid w:val="000924FF"/>
    <w:rsid w:val="0009253C"/>
    <w:rsid w:val="00092600"/>
    <w:rsid w:val="0009262B"/>
    <w:rsid w:val="00092953"/>
    <w:rsid w:val="0009327F"/>
    <w:rsid w:val="000932B9"/>
    <w:rsid w:val="00093310"/>
    <w:rsid w:val="000934D9"/>
    <w:rsid w:val="00093706"/>
    <w:rsid w:val="00093834"/>
    <w:rsid w:val="00093B20"/>
    <w:rsid w:val="000942F1"/>
    <w:rsid w:val="0009445C"/>
    <w:rsid w:val="0009448F"/>
    <w:rsid w:val="00095200"/>
    <w:rsid w:val="00095251"/>
    <w:rsid w:val="0009567E"/>
    <w:rsid w:val="0009571C"/>
    <w:rsid w:val="000958B1"/>
    <w:rsid w:val="000958D9"/>
    <w:rsid w:val="00095B40"/>
    <w:rsid w:val="00095BB1"/>
    <w:rsid w:val="00095E65"/>
    <w:rsid w:val="00095FE5"/>
    <w:rsid w:val="0009600D"/>
    <w:rsid w:val="000960B9"/>
    <w:rsid w:val="000961AB"/>
    <w:rsid w:val="00096284"/>
    <w:rsid w:val="000962B3"/>
    <w:rsid w:val="00096352"/>
    <w:rsid w:val="000964C2"/>
    <w:rsid w:val="000969A2"/>
    <w:rsid w:val="00096C6C"/>
    <w:rsid w:val="00096F80"/>
    <w:rsid w:val="00097B22"/>
    <w:rsid w:val="00097F6A"/>
    <w:rsid w:val="000A096A"/>
    <w:rsid w:val="000A0C32"/>
    <w:rsid w:val="000A0D10"/>
    <w:rsid w:val="000A123D"/>
    <w:rsid w:val="000A150C"/>
    <w:rsid w:val="000A1912"/>
    <w:rsid w:val="000A1BC0"/>
    <w:rsid w:val="000A1F85"/>
    <w:rsid w:val="000A2073"/>
    <w:rsid w:val="000A2784"/>
    <w:rsid w:val="000A2F9E"/>
    <w:rsid w:val="000A3278"/>
    <w:rsid w:val="000A35BD"/>
    <w:rsid w:val="000A3699"/>
    <w:rsid w:val="000A39D2"/>
    <w:rsid w:val="000A3E47"/>
    <w:rsid w:val="000A4AFA"/>
    <w:rsid w:val="000A4BA0"/>
    <w:rsid w:val="000A4FA1"/>
    <w:rsid w:val="000A51B1"/>
    <w:rsid w:val="000A5218"/>
    <w:rsid w:val="000A522B"/>
    <w:rsid w:val="000A597D"/>
    <w:rsid w:val="000A5C9B"/>
    <w:rsid w:val="000A6039"/>
    <w:rsid w:val="000A61EC"/>
    <w:rsid w:val="000A6465"/>
    <w:rsid w:val="000A6AF8"/>
    <w:rsid w:val="000A73A8"/>
    <w:rsid w:val="000A7453"/>
    <w:rsid w:val="000A7509"/>
    <w:rsid w:val="000A7B5C"/>
    <w:rsid w:val="000A7B6A"/>
    <w:rsid w:val="000A7CB3"/>
    <w:rsid w:val="000A7D08"/>
    <w:rsid w:val="000A7E2D"/>
    <w:rsid w:val="000A7FA1"/>
    <w:rsid w:val="000B0011"/>
    <w:rsid w:val="000B0121"/>
    <w:rsid w:val="000B0670"/>
    <w:rsid w:val="000B0B55"/>
    <w:rsid w:val="000B0E75"/>
    <w:rsid w:val="000B0F3F"/>
    <w:rsid w:val="000B0F44"/>
    <w:rsid w:val="000B10A8"/>
    <w:rsid w:val="000B1525"/>
    <w:rsid w:val="000B184F"/>
    <w:rsid w:val="000B1D0F"/>
    <w:rsid w:val="000B24D2"/>
    <w:rsid w:val="000B2CAB"/>
    <w:rsid w:val="000B2DCB"/>
    <w:rsid w:val="000B2F4F"/>
    <w:rsid w:val="000B2F8F"/>
    <w:rsid w:val="000B39BB"/>
    <w:rsid w:val="000B3E64"/>
    <w:rsid w:val="000B3F23"/>
    <w:rsid w:val="000B46C4"/>
    <w:rsid w:val="000B4834"/>
    <w:rsid w:val="000B4911"/>
    <w:rsid w:val="000B4C0A"/>
    <w:rsid w:val="000B4EC5"/>
    <w:rsid w:val="000B4ECA"/>
    <w:rsid w:val="000B502E"/>
    <w:rsid w:val="000B5093"/>
    <w:rsid w:val="000B52E9"/>
    <w:rsid w:val="000B555F"/>
    <w:rsid w:val="000B5CE0"/>
    <w:rsid w:val="000B66AE"/>
    <w:rsid w:val="000B6A99"/>
    <w:rsid w:val="000B6CAC"/>
    <w:rsid w:val="000B725E"/>
    <w:rsid w:val="000B7612"/>
    <w:rsid w:val="000B78AE"/>
    <w:rsid w:val="000B7E5A"/>
    <w:rsid w:val="000C017B"/>
    <w:rsid w:val="000C03CE"/>
    <w:rsid w:val="000C0506"/>
    <w:rsid w:val="000C0511"/>
    <w:rsid w:val="000C05D9"/>
    <w:rsid w:val="000C0759"/>
    <w:rsid w:val="000C0905"/>
    <w:rsid w:val="000C1202"/>
    <w:rsid w:val="000C16B1"/>
    <w:rsid w:val="000C2A07"/>
    <w:rsid w:val="000C2BA0"/>
    <w:rsid w:val="000C3C5D"/>
    <w:rsid w:val="000C3DF9"/>
    <w:rsid w:val="000C3E42"/>
    <w:rsid w:val="000C4A67"/>
    <w:rsid w:val="000C4CF2"/>
    <w:rsid w:val="000C4E97"/>
    <w:rsid w:val="000C51A3"/>
    <w:rsid w:val="000C5347"/>
    <w:rsid w:val="000C5486"/>
    <w:rsid w:val="000C5C73"/>
    <w:rsid w:val="000C5EF5"/>
    <w:rsid w:val="000C6036"/>
    <w:rsid w:val="000C645D"/>
    <w:rsid w:val="000C64B2"/>
    <w:rsid w:val="000C6713"/>
    <w:rsid w:val="000C67FD"/>
    <w:rsid w:val="000C69BE"/>
    <w:rsid w:val="000C6A69"/>
    <w:rsid w:val="000C6C2E"/>
    <w:rsid w:val="000C6E48"/>
    <w:rsid w:val="000C6FF6"/>
    <w:rsid w:val="000C71F4"/>
    <w:rsid w:val="000C7A37"/>
    <w:rsid w:val="000C7B45"/>
    <w:rsid w:val="000C7BFF"/>
    <w:rsid w:val="000D0874"/>
    <w:rsid w:val="000D0E08"/>
    <w:rsid w:val="000D104A"/>
    <w:rsid w:val="000D105D"/>
    <w:rsid w:val="000D11F4"/>
    <w:rsid w:val="000D14DB"/>
    <w:rsid w:val="000D1895"/>
    <w:rsid w:val="000D1A85"/>
    <w:rsid w:val="000D1BFC"/>
    <w:rsid w:val="000D1D5D"/>
    <w:rsid w:val="000D1E5A"/>
    <w:rsid w:val="000D1EB2"/>
    <w:rsid w:val="000D2612"/>
    <w:rsid w:val="000D281A"/>
    <w:rsid w:val="000D2848"/>
    <w:rsid w:val="000D2950"/>
    <w:rsid w:val="000D2F37"/>
    <w:rsid w:val="000D326A"/>
    <w:rsid w:val="000D3465"/>
    <w:rsid w:val="000D385A"/>
    <w:rsid w:val="000D3D2D"/>
    <w:rsid w:val="000D3D5A"/>
    <w:rsid w:val="000D408C"/>
    <w:rsid w:val="000D4674"/>
    <w:rsid w:val="000D4BDE"/>
    <w:rsid w:val="000D4FA3"/>
    <w:rsid w:val="000D508B"/>
    <w:rsid w:val="000D51FB"/>
    <w:rsid w:val="000D5A90"/>
    <w:rsid w:val="000D5D32"/>
    <w:rsid w:val="000D5D37"/>
    <w:rsid w:val="000D615C"/>
    <w:rsid w:val="000D6593"/>
    <w:rsid w:val="000D6CD5"/>
    <w:rsid w:val="000D7460"/>
    <w:rsid w:val="000D77D1"/>
    <w:rsid w:val="000D7984"/>
    <w:rsid w:val="000D7D64"/>
    <w:rsid w:val="000D7E48"/>
    <w:rsid w:val="000D7EA2"/>
    <w:rsid w:val="000E04EF"/>
    <w:rsid w:val="000E0640"/>
    <w:rsid w:val="000E0C94"/>
    <w:rsid w:val="000E135D"/>
    <w:rsid w:val="000E1383"/>
    <w:rsid w:val="000E157D"/>
    <w:rsid w:val="000E15D0"/>
    <w:rsid w:val="000E16C4"/>
    <w:rsid w:val="000E2378"/>
    <w:rsid w:val="000E3C21"/>
    <w:rsid w:val="000E3E06"/>
    <w:rsid w:val="000E403B"/>
    <w:rsid w:val="000E487D"/>
    <w:rsid w:val="000E522A"/>
    <w:rsid w:val="000E52DC"/>
    <w:rsid w:val="000E540C"/>
    <w:rsid w:val="000E5422"/>
    <w:rsid w:val="000E55E0"/>
    <w:rsid w:val="000E6087"/>
    <w:rsid w:val="000E636F"/>
    <w:rsid w:val="000E648D"/>
    <w:rsid w:val="000E68B1"/>
    <w:rsid w:val="000E68B3"/>
    <w:rsid w:val="000E692C"/>
    <w:rsid w:val="000E6A42"/>
    <w:rsid w:val="000E6FC6"/>
    <w:rsid w:val="000E708A"/>
    <w:rsid w:val="000E7717"/>
    <w:rsid w:val="000E7CBA"/>
    <w:rsid w:val="000F00BA"/>
    <w:rsid w:val="000F01D7"/>
    <w:rsid w:val="000F1518"/>
    <w:rsid w:val="000F1600"/>
    <w:rsid w:val="000F163B"/>
    <w:rsid w:val="000F169E"/>
    <w:rsid w:val="000F1AAE"/>
    <w:rsid w:val="000F1ADD"/>
    <w:rsid w:val="000F1E88"/>
    <w:rsid w:val="000F1ECB"/>
    <w:rsid w:val="000F22D8"/>
    <w:rsid w:val="000F2920"/>
    <w:rsid w:val="000F2975"/>
    <w:rsid w:val="000F2E97"/>
    <w:rsid w:val="000F2F0A"/>
    <w:rsid w:val="000F316A"/>
    <w:rsid w:val="000F3232"/>
    <w:rsid w:val="000F32F6"/>
    <w:rsid w:val="000F35E5"/>
    <w:rsid w:val="000F38C0"/>
    <w:rsid w:val="000F3A3D"/>
    <w:rsid w:val="000F3BEE"/>
    <w:rsid w:val="000F3C74"/>
    <w:rsid w:val="000F4335"/>
    <w:rsid w:val="000F4480"/>
    <w:rsid w:val="000F44D2"/>
    <w:rsid w:val="000F450F"/>
    <w:rsid w:val="000F4BB8"/>
    <w:rsid w:val="000F4D7C"/>
    <w:rsid w:val="000F4D89"/>
    <w:rsid w:val="000F4FA9"/>
    <w:rsid w:val="000F53A0"/>
    <w:rsid w:val="000F53FB"/>
    <w:rsid w:val="000F54A3"/>
    <w:rsid w:val="000F5941"/>
    <w:rsid w:val="000F5B0B"/>
    <w:rsid w:val="000F5C3E"/>
    <w:rsid w:val="000F5E42"/>
    <w:rsid w:val="000F6430"/>
    <w:rsid w:val="000F6EF4"/>
    <w:rsid w:val="000F7127"/>
    <w:rsid w:val="000F765A"/>
    <w:rsid w:val="000F7703"/>
    <w:rsid w:val="000F7A26"/>
    <w:rsid w:val="000F7B54"/>
    <w:rsid w:val="001000B3"/>
    <w:rsid w:val="001000C8"/>
    <w:rsid w:val="00100D86"/>
    <w:rsid w:val="00100F8A"/>
    <w:rsid w:val="001010C0"/>
    <w:rsid w:val="0010118D"/>
    <w:rsid w:val="00101F15"/>
    <w:rsid w:val="00103295"/>
    <w:rsid w:val="00103416"/>
    <w:rsid w:val="0010356E"/>
    <w:rsid w:val="00103735"/>
    <w:rsid w:val="00103846"/>
    <w:rsid w:val="00104305"/>
    <w:rsid w:val="0010452E"/>
    <w:rsid w:val="001045B1"/>
    <w:rsid w:val="001045B2"/>
    <w:rsid w:val="00104775"/>
    <w:rsid w:val="0010479C"/>
    <w:rsid w:val="001049EB"/>
    <w:rsid w:val="00104C1E"/>
    <w:rsid w:val="00104DD8"/>
    <w:rsid w:val="00104F46"/>
    <w:rsid w:val="00105092"/>
    <w:rsid w:val="001058EF"/>
    <w:rsid w:val="001058F6"/>
    <w:rsid w:val="00105AE2"/>
    <w:rsid w:val="00105CAB"/>
    <w:rsid w:val="00105DAD"/>
    <w:rsid w:val="00105FAA"/>
    <w:rsid w:val="001060C6"/>
    <w:rsid w:val="001061D0"/>
    <w:rsid w:val="001062F7"/>
    <w:rsid w:val="00106B80"/>
    <w:rsid w:val="00106DA0"/>
    <w:rsid w:val="00107365"/>
    <w:rsid w:val="00107617"/>
    <w:rsid w:val="0010771A"/>
    <w:rsid w:val="00107890"/>
    <w:rsid w:val="00107963"/>
    <w:rsid w:val="0011032E"/>
    <w:rsid w:val="00110A1B"/>
    <w:rsid w:val="00110DE3"/>
    <w:rsid w:val="00111575"/>
    <w:rsid w:val="00111D03"/>
    <w:rsid w:val="00111F99"/>
    <w:rsid w:val="001121F1"/>
    <w:rsid w:val="001124AA"/>
    <w:rsid w:val="00112633"/>
    <w:rsid w:val="00112DE3"/>
    <w:rsid w:val="00113037"/>
    <w:rsid w:val="0011348B"/>
    <w:rsid w:val="00113EAA"/>
    <w:rsid w:val="00113F47"/>
    <w:rsid w:val="001141D5"/>
    <w:rsid w:val="0011433C"/>
    <w:rsid w:val="001143E3"/>
    <w:rsid w:val="00114A38"/>
    <w:rsid w:val="00114A74"/>
    <w:rsid w:val="001153B9"/>
    <w:rsid w:val="00115982"/>
    <w:rsid w:val="00115DB8"/>
    <w:rsid w:val="001168D0"/>
    <w:rsid w:val="00116C53"/>
    <w:rsid w:val="00116FD5"/>
    <w:rsid w:val="00117057"/>
    <w:rsid w:val="00117724"/>
    <w:rsid w:val="00117D98"/>
    <w:rsid w:val="00120224"/>
    <w:rsid w:val="00120823"/>
    <w:rsid w:val="00120E3C"/>
    <w:rsid w:val="0012100A"/>
    <w:rsid w:val="00121169"/>
    <w:rsid w:val="001213C7"/>
    <w:rsid w:val="00121799"/>
    <w:rsid w:val="00121A2E"/>
    <w:rsid w:val="001222FC"/>
    <w:rsid w:val="001224DB"/>
    <w:rsid w:val="001225FD"/>
    <w:rsid w:val="00122654"/>
    <w:rsid w:val="0012288A"/>
    <w:rsid w:val="00122C3A"/>
    <w:rsid w:val="00122D9C"/>
    <w:rsid w:val="00122DCD"/>
    <w:rsid w:val="00123222"/>
    <w:rsid w:val="0012337A"/>
    <w:rsid w:val="00123902"/>
    <w:rsid w:val="00123921"/>
    <w:rsid w:val="00123D8D"/>
    <w:rsid w:val="001242C7"/>
    <w:rsid w:val="001243F3"/>
    <w:rsid w:val="0012465B"/>
    <w:rsid w:val="001246D5"/>
    <w:rsid w:val="00124A51"/>
    <w:rsid w:val="00125656"/>
    <w:rsid w:val="00125ADC"/>
    <w:rsid w:val="00125B90"/>
    <w:rsid w:val="00125EDB"/>
    <w:rsid w:val="00126621"/>
    <w:rsid w:val="00126746"/>
    <w:rsid w:val="0012675D"/>
    <w:rsid w:val="001267B2"/>
    <w:rsid w:val="001268D1"/>
    <w:rsid w:val="00126993"/>
    <w:rsid w:val="00126B1D"/>
    <w:rsid w:val="00126FB2"/>
    <w:rsid w:val="00127187"/>
    <w:rsid w:val="001271EF"/>
    <w:rsid w:val="001275B1"/>
    <w:rsid w:val="00127748"/>
    <w:rsid w:val="00127C8B"/>
    <w:rsid w:val="00127EA1"/>
    <w:rsid w:val="001301E9"/>
    <w:rsid w:val="0013085B"/>
    <w:rsid w:val="0013095A"/>
    <w:rsid w:val="00130C06"/>
    <w:rsid w:val="00131197"/>
    <w:rsid w:val="00131229"/>
    <w:rsid w:val="00131D82"/>
    <w:rsid w:val="00132B22"/>
    <w:rsid w:val="00132BA3"/>
    <w:rsid w:val="00132F88"/>
    <w:rsid w:val="00132FCD"/>
    <w:rsid w:val="001330CE"/>
    <w:rsid w:val="00133694"/>
    <w:rsid w:val="001336CE"/>
    <w:rsid w:val="00133AAF"/>
    <w:rsid w:val="00133C51"/>
    <w:rsid w:val="00133CDB"/>
    <w:rsid w:val="00133D36"/>
    <w:rsid w:val="001341DD"/>
    <w:rsid w:val="001349FE"/>
    <w:rsid w:val="00135226"/>
    <w:rsid w:val="001355B0"/>
    <w:rsid w:val="00135F96"/>
    <w:rsid w:val="001363EF"/>
    <w:rsid w:val="0013641F"/>
    <w:rsid w:val="001369C6"/>
    <w:rsid w:val="00136D26"/>
    <w:rsid w:val="00136D5A"/>
    <w:rsid w:val="00136FAA"/>
    <w:rsid w:val="00136FAD"/>
    <w:rsid w:val="0013700E"/>
    <w:rsid w:val="001371E2"/>
    <w:rsid w:val="001375BE"/>
    <w:rsid w:val="00137645"/>
    <w:rsid w:val="0013768F"/>
    <w:rsid w:val="0014015A"/>
    <w:rsid w:val="00140769"/>
    <w:rsid w:val="00140CDE"/>
    <w:rsid w:val="00140D67"/>
    <w:rsid w:val="00140E99"/>
    <w:rsid w:val="00141B08"/>
    <w:rsid w:val="00141EC2"/>
    <w:rsid w:val="00141FA3"/>
    <w:rsid w:val="001426A7"/>
    <w:rsid w:val="00142957"/>
    <w:rsid w:val="0014297C"/>
    <w:rsid w:val="00142B95"/>
    <w:rsid w:val="00142CF0"/>
    <w:rsid w:val="00142F36"/>
    <w:rsid w:val="00142F48"/>
    <w:rsid w:val="00142F53"/>
    <w:rsid w:val="001431EC"/>
    <w:rsid w:val="00143B82"/>
    <w:rsid w:val="00143CC6"/>
    <w:rsid w:val="00143F67"/>
    <w:rsid w:val="0014403D"/>
    <w:rsid w:val="00144089"/>
    <w:rsid w:val="00144252"/>
    <w:rsid w:val="00144CEC"/>
    <w:rsid w:val="001450E8"/>
    <w:rsid w:val="00145234"/>
    <w:rsid w:val="001452A0"/>
    <w:rsid w:val="001454DA"/>
    <w:rsid w:val="00145540"/>
    <w:rsid w:val="001456B0"/>
    <w:rsid w:val="00145778"/>
    <w:rsid w:val="00145984"/>
    <w:rsid w:val="00146991"/>
    <w:rsid w:val="00146F70"/>
    <w:rsid w:val="00147539"/>
    <w:rsid w:val="00147A6A"/>
    <w:rsid w:val="00150A8D"/>
    <w:rsid w:val="00150B6C"/>
    <w:rsid w:val="00150DD8"/>
    <w:rsid w:val="00151472"/>
    <w:rsid w:val="0015185C"/>
    <w:rsid w:val="00151AF3"/>
    <w:rsid w:val="00151B2D"/>
    <w:rsid w:val="00151E96"/>
    <w:rsid w:val="0015230B"/>
    <w:rsid w:val="0015230E"/>
    <w:rsid w:val="001523DB"/>
    <w:rsid w:val="00152FD1"/>
    <w:rsid w:val="00153080"/>
    <w:rsid w:val="001539AA"/>
    <w:rsid w:val="00153D6E"/>
    <w:rsid w:val="00154610"/>
    <w:rsid w:val="001547AB"/>
    <w:rsid w:val="00154973"/>
    <w:rsid w:val="00154BEE"/>
    <w:rsid w:val="0015523A"/>
    <w:rsid w:val="001553CF"/>
    <w:rsid w:val="00155882"/>
    <w:rsid w:val="00155975"/>
    <w:rsid w:val="00155B12"/>
    <w:rsid w:val="00155D81"/>
    <w:rsid w:val="0015614A"/>
    <w:rsid w:val="001563E1"/>
    <w:rsid w:val="00156ABD"/>
    <w:rsid w:val="00156B57"/>
    <w:rsid w:val="00156C97"/>
    <w:rsid w:val="00156D9E"/>
    <w:rsid w:val="00156DEA"/>
    <w:rsid w:val="00156F8F"/>
    <w:rsid w:val="00157130"/>
    <w:rsid w:val="0015751F"/>
    <w:rsid w:val="0015760C"/>
    <w:rsid w:val="001576B1"/>
    <w:rsid w:val="001601BF"/>
    <w:rsid w:val="0016047B"/>
    <w:rsid w:val="001604E4"/>
    <w:rsid w:val="00160670"/>
    <w:rsid w:val="001606DC"/>
    <w:rsid w:val="00160709"/>
    <w:rsid w:val="00160746"/>
    <w:rsid w:val="00160A4C"/>
    <w:rsid w:val="0016146F"/>
    <w:rsid w:val="00161581"/>
    <w:rsid w:val="00161756"/>
    <w:rsid w:val="00161D64"/>
    <w:rsid w:val="00161FDB"/>
    <w:rsid w:val="00162103"/>
    <w:rsid w:val="00162389"/>
    <w:rsid w:val="0016272B"/>
    <w:rsid w:val="00162913"/>
    <w:rsid w:val="00162B8D"/>
    <w:rsid w:val="001637D6"/>
    <w:rsid w:val="00163809"/>
    <w:rsid w:val="00163C35"/>
    <w:rsid w:val="00163C36"/>
    <w:rsid w:val="00163EFF"/>
    <w:rsid w:val="00163F66"/>
    <w:rsid w:val="001640FC"/>
    <w:rsid w:val="00164390"/>
    <w:rsid w:val="0016478E"/>
    <w:rsid w:val="00164B14"/>
    <w:rsid w:val="00164CC1"/>
    <w:rsid w:val="00164CC4"/>
    <w:rsid w:val="00164E84"/>
    <w:rsid w:val="0016525F"/>
    <w:rsid w:val="00165298"/>
    <w:rsid w:val="0016553E"/>
    <w:rsid w:val="00165EC4"/>
    <w:rsid w:val="00165FB3"/>
    <w:rsid w:val="001661FB"/>
    <w:rsid w:val="001666F3"/>
    <w:rsid w:val="00166BCF"/>
    <w:rsid w:val="00166D86"/>
    <w:rsid w:val="001671A0"/>
    <w:rsid w:val="00167469"/>
    <w:rsid w:val="0016767F"/>
    <w:rsid w:val="00167DFB"/>
    <w:rsid w:val="00167E2B"/>
    <w:rsid w:val="0017033A"/>
    <w:rsid w:val="00170561"/>
    <w:rsid w:val="00170876"/>
    <w:rsid w:val="001708D3"/>
    <w:rsid w:val="001711FD"/>
    <w:rsid w:val="0017139A"/>
    <w:rsid w:val="00171FA3"/>
    <w:rsid w:val="001733A1"/>
    <w:rsid w:val="00173565"/>
    <w:rsid w:val="00173664"/>
    <w:rsid w:val="00173789"/>
    <w:rsid w:val="0017380C"/>
    <w:rsid w:val="00173B07"/>
    <w:rsid w:val="0017439F"/>
    <w:rsid w:val="001745B6"/>
    <w:rsid w:val="00174803"/>
    <w:rsid w:val="001751FA"/>
    <w:rsid w:val="001757E6"/>
    <w:rsid w:val="00175BFD"/>
    <w:rsid w:val="00175E83"/>
    <w:rsid w:val="00176383"/>
    <w:rsid w:val="00176470"/>
    <w:rsid w:val="001769E2"/>
    <w:rsid w:val="00176B78"/>
    <w:rsid w:val="00176C05"/>
    <w:rsid w:val="00176C52"/>
    <w:rsid w:val="00176FBF"/>
    <w:rsid w:val="0017765E"/>
    <w:rsid w:val="00177A6C"/>
    <w:rsid w:val="00177D10"/>
    <w:rsid w:val="00177E9C"/>
    <w:rsid w:val="00180BA0"/>
    <w:rsid w:val="00180F1D"/>
    <w:rsid w:val="0018162B"/>
    <w:rsid w:val="00181C10"/>
    <w:rsid w:val="00181D9C"/>
    <w:rsid w:val="00182504"/>
    <w:rsid w:val="00182C18"/>
    <w:rsid w:val="00182D0D"/>
    <w:rsid w:val="0018321C"/>
    <w:rsid w:val="00183479"/>
    <w:rsid w:val="001834B1"/>
    <w:rsid w:val="0018360A"/>
    <w:rsid w:val="001837FF"/>
    <w:rsid w:val="00183896"/>
    <w:rsid w:val="00183D77"/>
    <w:rsid w:val="001846EE"/>
    <w:rsid w:val="001848C4"/>
    <w:rsid w:val="00184A47"/>
    <w:rsid w:val="00184B0E"/>
    <w:rsid w:val="00184BB3"/>
    <w:rsid w:val="001850E0"/>
    <w:rsid w:val="00185297"/>
    <w:rsid w:val="001861DB"/>
    <w:rsid w:val="0018642D"/>
    <w:rsid w:val="00186E7E"/>
    <w:rsid w:val="0018752F"/>
    <w:rsid w:val="0018764D"/>
    <w:rsid w:val="0018792E"/>
    <w:rsid w:val="00187AA9"/>
    <w:rsid w:val="00187DE9"/>
    <w:rsid w:val="00187FBF"/>
    <w:rsid w:val="0019012C"/>
    <w:rsid w:val="001903B3"/>
    <w:rsid w:val="00190607"/>
    <w:rsid w:val="0019076E"/>
    <w:rsid w:val="001915F1"/>
    <w:rsid w:val="00191877"/>
    <w:rsid w:val="00191B45"/>
    <w:rsid w:val="00191C3B"/>
    <w:rsid w:val="00191F4E"/>
    <w:rsid w:val="001922C2"/>
    <w:rsid w:val="00192F17"/>
    <w:rsid w:val="00193784"/>
    <w:rsid w:val="00193838"/>
    <w:rsid w:val="00193EFE"/>
    <w:rsid w:val="00194988"/>
    <w:rsid w:val="00194AD8"/>
    <w:rsid w:val="00194C4F"/>
    <w:rsid w:val="00195222"/>
    <w:rsid w:val="00195452"/>
    <w:rsid w:val="0019552A"/>
    <w:rsid w:val="001958AD"/>
    <w:rsid w:val="0019627C"/>
    <w:rsid w:val="00196646"/>
    <w:rsid w:val="00196907"/>
    <w:rsid w:val="00196EFD"/>
    <w:rsid w:val="00197162"/>
    <w:rsid w:val="001975D8"/>
    <w:rsid w:val="0019770B"/>
    <w:rsid w:val="0019773D"/>
    <w:rsid w:val="00197CAA"/>
    <w:rsid w:val="001A04E3"/>
    <w:rsid w:val="001A0B5E"/>
    <w:rsid w:val="001A0E09"/>
    <w:rsid w:val="001A0E22"/>
    <w:rsid w:val="001A0F3D"/>
    <w:rsid w:val="001A0F88"/>
    <w:rsid w:val="001A1357"/>
    <w:rsid w:val="001A178E"/>
    <w:rsid w:val="001A1C5B"/>
    <w:rsid w:val="001A2640"/>
    <w:rsid w:val="001A270A"/>
    <w:rsid w:val="001A2D89"/>
    <w:rsid w:val="001A3D95"/>
    <w:rsid w:val="001A3FDF"/>
    <w:rsid w:val="001A419C"/>
    <w:rsid w:val="001A43FA"/>
    <w:rsid w:val="001A47C5"/>
    <w:rsid w:val="001A4867"/>
    <w:rsid w:val="001A49D4"/>
    <w:rsid w:val="001A4D68"/>
    <w:rsid w:val="001A4DF6"/>
    <w:rsid w:val="001A4F31"/>
    <w:rsid w:val="001A55D2"/>
    <w:rsid w:val="001A59FB"/>
    <w:rsid w:val="001A5E9E"/>
    <w:rsid w:val="001A632E"/>
    <w:rsid w:val="001A6354"/>
    <w:rsid w:val="001A6366"/>
    <w:rsid w:val="001A670A"/>
    <w:rsid w:val="001A6E91"/>
    <w:rsid w:val="001A757C"/>
    <w:rsid w:val="001A76B5"/>
    <w:rsid w:val="001A7A55"/>
    <w:rsid w:val="001A7AE8"/>
    <w:rsid w:val="001B0A59"/>
    <w:rsid w:val="001B0CEB"/>
    <w:rsid w:val="001B0EEA"/>
    <w:rsid w:val="001B1047"/>
    <w:rsid w:val="001B1A6B"/>
    <w:rsid w:val="001B1A9E"/>
    <w:rsid w:val="001B204E"/>
    <w:rsid w:val="001B2372"/>
    <w:rsid w:val="001B2615"/>
    <w:rsid w:val="001B2BD3"/>
    <w:rsid w:val="001B2C03"/>
    <w:rsid w:val="001B32D0"/>
    <w:rsid w:val="001B3443"/>
    <w:rsid w:val="001B3C6E"/>
    <w:rsid w:val="001B41B5"/>
    <w:rsid w:val="001B443F"/>
    <w:rsid w:val="001B4521"/>
    <w:rsid w:val="001B489E"/>
    <w:rsid w:val="001B4D20"/>
    <w:rsid w:val="001B516E"/>
    <w:rsid w:val="001B59E7"/>
    <w:rsid w:val="001B5DC1"/>
    <w:rsid w:val="001B5FBF"/>
    <w:rsid w:val="001B6E73"/>
    <w:rsid w:val="001B7068"/>
    <w:rsid w:val="001B7501"/>
    <w:rsid w:val="001B75CE"/>
    <w:rsid w:val="001B7CC4"/>
    <w:rsid w:val="001B7F84"/>
    <w:rsid w:val="001C02C2"/>
    <w:rsid w:val="001C0CCE"/>
    <w:rsid w:val="001C1498"/>
    <w:rsid w:val="001C1A2C"/>
    <w:rsid w:val="001C1DBA"/>
    <w:rsid w:val="001C252F"/>
    <w:rsid w:val="001C2A51"/>
    <w:rsid w:val="001C2A9B"/>
    <w:rsid w:val="001C328A"/>
    <w:rsid w:val="001C3DD6"/>
    <w:rsid w:val="001C3EAB"/>
    <w:rsid w:val="001C4299"/>
    <w:rsid w:val="001C45B3"/>
    <w:rsid w:val="001C4874"/>
    <w:rsid w:val="001C5221"/>
    <w:rsid w:val="001C5283"/>
    <w:rsid w:val="001C5C27"/>
    <w:rsid w:val="001C5C2E"/>
    <w:rsid w:val="001C5EB4"/>
    <w:rsid w:val="001C5F94"/>
    <w:rsid w:val="001C65A1"/>
    <w:rsid w:val="001C68FE"/>
    <w:rsid w:val="001C6B82"/>
    <w:rsid w:val="001C6CB1"/>
    <w:rsid w:val="001C6D6A"/>
    <w:rsid w:val="001C6E66"/>
    <w:rsid w:val="001C6EF6"/>
    <w:rsid w:val="001C71EA"/>
    <w:rsid w:val="001C7351"/>
    <w:rsid w:val="001C7FAF"/>
    <w:rsid w:val="001D01C4"/>
    <w:rsid w:val="001D0B99"/>
    <w:rsid w:val="001D1100"/>
    <w:rsid w:val="001D1391"/>
    <w:rsid w:val="001D1776"/>
    <w:rsid w:val="001D1B1E"/>
    <w:rsid w:val="001D1D08"/>
    <w:rsid w:val="001D2260"/>
    <w:rsid w:val="001D25D7"/>
    <w:rsid w:val="001D2D5C"/>
    <w:rsid w:val="001D3153"/>
    <w:rsid w:val="001D3836"/>
    <w:rsid w:val="001D427F"/>
    <w:rsid w:val="001D4681"/>
    <w:rsid w:val="001D4853"/>
    <w:rsid w:val="001D491E"/>
    <w:rsid w:val="001D4A5B"/>
    <w:rsid w:val="001D4D19"/>
    <w:rsid w:val="001D50B2"/>
    <w:rsid w:val="001D531D"/>
    <w:rsid w:val="001D53B0"/>
    <w:rsid w:val="001D5795"/>
    <w:rsid w:val="001D5930"/>
    <w:rsid w:val="001D5AD8"/>
    <w:rsid w:val="001D67B2"/>
    <w:rsid w:val="001D6C24"/>
    <w:rsid w:val="001D70DF"/>
    <w:rsid w:val="001D71F4"/>
    <w:rsid w:val="001D72FD"/>
    <w:rsid w:val="001D7607"/>
    <w:rsid w:val="001D7645"/>
    <w:rsid w:val="001D7681"/>
    <w:rsid w:val="001D7814"/>
    <w:rsid w:val="001D7DD9"/>
    <w:rsid w:val="001E0213"/>
    <w:rsid w:val="001E0994"/>
    <w:rsid w:val="001E0D54"/>
    <w:rsid w:val="001E1423"/>
    <w:rsid w:val="001E172B"/>
    <w:rsid w:val="001E1E86"/>
    <w:rsid w:val="001E2214"/>
    <w:rsid w:val="001E229C"/>
    <w:rsid w:val="001E238E"/>
    <w:rsid w:val="001E2483"/>
    <w:rsid w:val="001E29DA"/>
    <w:rsid w:val="001E2B1E"/>
    <w:rsid w:val="001E2B6D"/>
    <w:rsid w:val="001E2C38"/>
    <w:rsid w:val="001E2CFF"/>
    <w:rsid w:val="001E2E13"/>
    <w:rsid w:val="001E2F24"/>
    <w:rsid w:val="001E30D4"/>
    <w:rsid w:val="001E31CA"/>
    <w:rsid w:val="001E32F0"/>
    <w:rsid w:val="001E3323"/>
    <w:rsid w:val="001E34DF"/>
    <w:rsid w:val="001E3884"/>
    <w:rsid w:val="001E3922"/>
    <w:rsid w:val="001E3D1A"/>
    <w:rsid w:val="001E44DE"/>
    <w:rsid w:val="001E4575"/>
    <w:rsid w:val="001E4E9F"/>
    <w:rsid w:val="001E505C"/>
    <w:rsid w:val="001E52EB"/>
    <w:rsid w:val="001E565E"/>
    <w:rsid w:val="001E5BD1"/>
    <w:rsid w:val="001E5FBD"/>
    <w:rsid w:val="001E61D2"/>
    <w:rsid w:val="001E64E3"/>
    <w:rsid w:val="001E6729"/>
    <w:rsid w:val="001E6C9C"/>
    <w:rsid w:val="001E6CFF"/>
    <w:rsid w:val="001E72DF"/>
    <w:rsid w:val="001E740C"/>
    <w:rsid w:val="001E745B"/>
    <w:rsid w:val="001E75B7"/>
    <w:rsid w:val="001E7A53"/>
    <w:rsid w:val="001E7E8B"/>
    <w:rsid w:val="001E7E91"/>
    <w:rsid w:val="001E7F92"/>
    <w:rsid w:val="001E7FA5"/>
    <w:rsid w:val="001F000B"/>
    <w:rsid w:val="001F108D"/>
    <w:rsid w:val="001F1235"/>
    <w:rsid w:val="001F1CB3"/>
    <w:rsid w:val="001F1F26"/>
    <w:rsid w:val="001F2470"/>
    <w:rsid w:val="001F247F"/>
    <w:rsid w:val="001F2970"/>
    <w:rsid w:val="001F2E40"/>
    <w:rsid w:val="001F3482"/>
    <w:rsid w:val="001F35B1"/>
    <w:rsid w:val="001F365F"/>
    <w:rsid w:val="001F368A"/>
    <w:rsid w:val="001F38B5"/>
    <w:rsid w:val="001F3B0C"/>
    <w:rsid w:val="001F3C64"/>
    <w:rsid w:val="001F4081"/>
    <w:rsid w:val="001F4313"/>
    <w:rsid w:val="001F44EE"/>
    <w:rsid w:val="001F47A9"/>
    <w:rsid w:val="001F4B59"/>
    <w:rsid w:val="001F4E0E"/>
    <w:rsid w:val="001F5000"/>
    <w:rsid w:val="001F5117"/>
    <w:rsid w:val="001F58F1"/>
    <w:rsid w:val="001F6492"/>
    <w:rsid w:val="001F652E"/>
    <w:rsid w:val="001F6D4A"/>
    <w:rsid w:val="001F6DA9"/>
    <w:rsid w:val="001F7361"/>
    <w:rsid w:val="001F7365"/>
    <w:rsid w:val="001F78DC"/>
    <w:rsid w:val="001F7F1D"/>
    <w:rsid w:val="0020017C"/>
    <w:rsid w:val="00200340"/>
    <w:rsid w:val="00200C11"/>
    <w:rsid w:val="002011B0"/>
    <w:rsid w:val="0020141A"/>
    <w:rsid w:val="0020189B"/>
    <w:rsid w:val="00201BF7"/>
    <w:rsid w:val="00201FE6"/>
    <w:rsid w:val="0020220B"/>
    <w:rsid w:val="00202333"/>
    <w:rsid w:val="00202511"/>
    <w:rsid w:val="0020279D"/>
    <w:rsid w:val="00203181"/>
    <w:rsid w:val="002031BF"/>
    <w:rsid w:val="002034E9"/>
    <w:rsid w:val="00203783"/>
    <w:rsid w:val="0020385F"/>
    <w:rsid w:val="002041EE"/>
    <w:rsid w:val="0020428F"/>
    <w:rsid w:val="00205370"/>
    <w:rsid w:val="00205788"/>
    <w:rsid w:val="00205E93"/>
    <w:rsid w:val="00205FB8"/>
    <w:rsid w:val="0020675A"/>
    <w:rsid w:val="002068A0"/>
    <w:rsid w:val="00206968"/>
    <w:rsid w:val="00206B8E"/>
    <w:rsid w:val="00206E5A"/>
    <w:rsid w:val="00207021"/>
    <w:rsid w:val="0020732F"/>
    <w:rsid w:val="00207838"/>
    <w:rsid w:val="00207D00"/>
    <w:rsid w:val="002101ED"/>
    <w:rsid w:val="002105C1"/>
    <w:rsid w:val="002107EB"/>
    <w:rsid w:val="00210BBA"/>
    <w:rsid w:val="00210DA1"/>
    <w:rsid w:val="002116FD"/>
    <w:rsid w:val="00212EF2"/>
    <w:rsid w:val="00213B2B"/>
    <w:rsid w:val="00213EF5"/>
    <w:rsid w:val="0021414D"/>
    <w:rsid w:val="00214155"/>
    <w:rsid w:val="00214676"/>
    <w:rsid w:val="00214B87"/>
    <w:rsid w:val="002152A1"/>
    <w:rsid w:val="00215672"/>
    <w:rsid w:val="0021576D"/>
    <w:rsid w:val="0021587A"/>
    <w:rsid w:val="00216106"/>
    <w:rsid w:val="00216482"/>
    <w:rsid w:val="002167C8"/>
    <w:rsid w:val="00216BF5"/>
    <w:rsid w:val="00216F04"/>
    <w:rsid w:val="00216F5C"/>
    <w:rsid w:val="002170C2"/>
    <w:rsid w:val="002171F2"/>
    <w:rsid w:val="0021726E"/>
    <w:rsid w:val="002174B1"/>
    <w:rsid w:val="0021768F"/>
    <w:rsid w:val="002176B2"/>
    <w:rsid w:val="002179D1"/>
    <w:rsid w:val="00217C3E"/>
    <w:rsid w:val="00217C48"/>
    <w:rsid w:val="00217D95"/>
    <w:rsid w:val="00217DBB"/>
    <w:rsid w:val="00217F93"/>
    <w:rsid w:val="00220103"/>
    <w:rsid w:val="002202B6"/>
    <w:rsid w:val="0022069A"/>
    <w:rsid w:val="00220C8F"/>
    <w:rsid w:val="0022113F"/>
    <w:rsid w:val="00221ADA"/>
    <w:rsid w:val="00221D8C"/>
    <w:rsid w:val="00221DE5"/>
    <w:rsid w:val="00221E5F"/>
    <w:rsid w:val="002221E2"/>
    <w:rsid w:val="00222209"/>
    <w:rsid w:val="002226A8"/>
    <w:rsid w:val="00222725"/>
    <w:rsid w:val="0022274D"/>
    <w:rsid w:val="00222B7F"/>
    <w:rsid w:val="00223B49"/>
    <w:rsid w:val="00223D5A"/>
    <w:rsid w:val="00223D84"/>
    <w:rsid w:val="002241CD"/>
    <w:rsid w:val="00224459"/>
    <w:rsid w:val="00224525"/>
    <w:rsid w:val="002246B5"/>
    <w:rsid w:val="00224C43"/>
    <w:rsid w:val="00224D49"/>
    <w:rsid w:val="00224DC9"/>
    <w:rsid w:val="00224DD4"/>
    <w:rsid w:val="002250A0"/>
    <w:rsid w:val="002252E3"/>
    <w:rsid w:val="002256E4"/>
    <w:rsid w:val="0022601E"/>
    <w:rsid w:val="00226B71"/>
    <w:rsid w:val="00226EA4"/>
    <w:rsid w:val="00227038"/>
    <w:rsid w:val="002270A2"/>
    <w:rsid w:val="002275A2"/>
    <w:rsid w:val="002278A0"/>
    <w:rsid w:val="00230165"/>
    <w:rsid w:val="00230763"/>
    <w:rsid w:val="0023085C"/>
    <w:rsid w:val="002309CC"/>
    <w:rsid w:val="00231524"/>
    <w:rsid w:val="00231A21"/>
    <w:rsid w:val="00231BA9"/>
    <w:rsid w:val="00231BE4"/>
    <w:rsid w:val="00231DF0"/>
    <w:rsid w:val="0023209F"/>
    <w:rsid w:val="002324B9"/>
    <w:rsid w:val="0023271A"/>
    <w:rsid w:val="00232BCC"/>
    <w:rsid w:val="002334FD"/>
    <w:rsid w:val="00233924"/>
    <w:rsid w:val="00233C01"/>
    <w:rsid w:val="00233C35"/>
    <w:rsid w:val="0023413C"/>
    <w:rsid w:val="002342B2"/>
    <w:rsid w:val="002342C7"/>
    <w:rsid w:val="002346F0"/>
    <w:rsid w:val="00234E87"/>
    <w:rsid w:val="00235F24"/>
    <w:rsid w:val="00235F60"/>
    <w:rsid w:val="0023629D"/>
    <w:rsid w:val="00236661"/>
    <w:rsid w:val="002369C7"/>
    <w:rsid w:val="002369D9"/>
    <w:rsid w:val="002369EA"/>
    <w:rsid w:val="00236CDC"/>
    <w:rsid w:val="0023716C"/>
    <w:rsid w:val="002371F0"/>
    <w:rsid w:val="00237255"/>
    <w:rsid w:val="0023769D"/>
    <w:rsid w:val="00237984"/>
    <w:rsid w:val="00237C53"/>
    <w:rsid w:val="0024008F"/>
    <w:rsid w:val="00240107"/>
    <w:rsid w:val="00240146"/>
    <w:rsid w:val="002411D9"/>
    <w:rsid w:val="002412FA"/>
    <w:rsid w:val="002418BE"/>
    <w:rsid w:val="00241C20"/>
    <w:rsid w:val="002424AF"/>
    <w:rsid w:val="002427B0"/>
    <w:rsid w:val="002429C9"/>
    <w:rsid w:val="00242C1B"/>
    <w:rsid w:val="00242CAB"/>
    <w:rsid w:val="0024320C"/>
    <w:rsid w:val="002432C1"/>
    <w:rsid w:val="002439DC"/>
    <w:rsid w:val="00243D1B"/>
    <w:rsid w:val="00243EB5"/>
    <w:rsid w:val="00243F4A"/>
    <w:rsid w:val="002441D2"/>
    <w:rsid w:val="00244B48"/>
    <w:rsid w:val="00244C9B"/>
    <w:rsid w:val="00244DC8"/>
    <w:rsid w:val="00244E58"/>
    <w:rsid w:val="002458BA"/>
    <w:rsid w:val="00245CE9"/>
    <w:rsid w:val="00245CEA"/>
    <w:rsid w:val="002460DC"/>
    <w:rsid w:val="00246335"/>
    <w:rsid w:val="0024636C"/>
    <w:rsid w:val="002469C0"/>
    <w:rsid w:val="00246CB7"/>
    <w:rsid w:val="002470F2"/>
    <w:rsid w:val="002471BE"/>
    <w:rsid w:val="002476F8"/>
    <w:rsid w:val="00247763"/>
    <w:rsid w:val="00247925"/>
    <w:rsid w:val="00247DE3"/>
    <w:rsid w:val="00247E24"/>
    <w:rsid w:val="00247EB8"/>
    <w:rsid w:val="002501FD"/>
    <w:rsid w:val="00250631"/>
    <w:rsid w:val="0025093A"/>
    <w:rsid w:val="00250AF3"/>
    <w:rsid w:val="00250F71"/>
    <w:rsid w:val="00250FBC"/>
    <w:rsid w:val="00251006"/>
    <w:rsid w:val="00251542"/>
    <w:rsid w:val="002516A7"/>
    <w:rsid w:val="00251B69"/>
    <w:rsid w:val="00251D03"/>
    <w:rsid w:val="0025202E"/>
    <w:rsid w:val="002520E8"/>
    <w:rsid w:val="00252126"/>
    <w:rsid w:val="0025213D"/>
    <w:rsid w:val="002521E0"/>
    <w:rsid w:val="002524D5"/>
    <w:rsid w:val="002528C2"/>
    <w:rsid w:val="00252F24"/>
    <w:rsid w:val="00252F9D"/>
    <w:rsid w:val="00253009"/>
    <w:rsid w:val="002537AF"/>
    <w:rsid w:val="00253B1D"/>
    <w:rsid w:val="0025464E"/>
    <w:rsid w:val="00254780"/>
    <w:rsid w:val="00254DCF"/>
    <w:rsid w:val="0025534B"/>
    <w:rsid w:val="0025549F"/>
    <w:rsid w:val="00255BB7"/>
    <w:rsid w:val="00255D02"/>
    <w:rsid w:val="002560CD"/>
    <w:rsid w:val="0025622A"/>
    <w:rsid w:val="002566A6"/>
    <w:rsid w:val="00256B90"/>
    <w:rsid w:val="00257406"/>
    <w:rsid w:val="00257541"/>
    <w:rsid w:val="00257549"/>
    <w:rsid w:val="00257737"/>
    <w:rsid w:val="00257A39"/>
    <w:rsid w:val="00257AC4"/>
    <w:rsid w:val="00257BBE"/>
    <w:rsid w:val="00257D35"/>
    <w:rsid w:val="0026017A"/>
    <w:rsid w:val="0026047A"/>
    <w:rsid w:val="00260DE7"/>
    <w:rsid w:val="00260F77"/>
    <w:rsid w:val="00261664"/>
    <w:rsid w:val="00261DA8"/>
    <w:rsid w:val="00261EEF"/>
    <w:rsid w:val="002620D3"/>
    <w:rsid w:val="002622B2"/>
    <w:rsid w:val="0026250A"/>
    <w:rsid w:val="00262A1A"/>
    <w:rsid w:val="00262A87"/>
    <w:rsid w:val="002631ED"/>
    <w:rsid w:val="002632AE"/>
    <w:rsid w:val="0026335F"/>
    <w:rsid w:val="0026368D"/>
    <w:rsid w:val="00263E6C"/>
    <w:rsid w:val="00263EEF"/>
    <w:rsid w:val="00264D26"/>
    <w:rsid w:val="00264E4A"/>
    <w:rsid w:val="00264E80"/>
    <w:rsid w:val="002652C5"/>
    <w:rsid w:val="0026530C"/>
    <w:rsid w:val="002659E7"/>
    <w:rsid w:val="00265A99"/>
    <w:rsid w:val="002666D3"/>
    <w:rsid w:val="00266A2D"/>
    <w:rsid w:val="00266A41"/>
    <w:rsid w:val="00266D77"/>
    <w:rsid w:val="00267642"/>
    <w:rsid w:val="00267AEA"/>
    <w:rsid w:val="002700E6"/>
    <w:rsid w:val="00270273"/>
    <w:rsid w:val="0027061C"/>
    <w:rsid w:val="0027075A"/>
    <w:rsid w:val="00270FC8"/>
    <w:rsid w:val="00271271"/>
    <w:rsid w:val="00271953"/>
    <w:rsid w:val="002720D0"/>
    <w:rsid w:val="00272370"/>
    <w:rsid w:val="0027294B"/>
    <w:rsid w:val="00272AAB"/>
    <w:rsid w:val="00272D20"/>
    <w:rsid w:val="00272D36"/>
    <w:rsid w:val="00272EB7"/>
    <w:rsid w:val="002730C9"/>
    <w:rsid w:val="00273467"/>
    <w:rsid w:val="002738A3"/>
    <w:rsid w:val="00273BF2"/>
    <w:rsid w:val="00273EB4"/>
    <w:rsid w:val="0027458E"/>
    <w:rsid w:val="00274682"/>
    <w:rsid w:val="00274C25"/>
    <w:rsid w:val="00275158"/>
    <w:rsid w:val="00275C5A"/>
    <w:rsid w:val="0027611B"/>
    <w:rsid w:val="0027625B"/>
    <w:rsid w:val="0027671C"/>
    <w:rsid w:val="002767D6"/>
    <w:rsid w:val="0027686C"/>
    <w:rsid w:val="00276BB7"/>
    <w:rsid w:val="00276D72"/>
    <w:rsid w:val="0028028B"/>
    <w:rsid w:val="002806B6"/>
    <w:rsid w:val="00280E45"/>
    <w:rsid w:val="00281014"/>
    <w:rsid w:val="002811C9"/>
    <w:rsid w:val="00281372"/>
    <w:rsid w:val="00281DBE"/>
    <w:rsid w:val="00282010"/>
    <w:rsid w:val="00282185"/>
    <w:rsid w:val="002822B5"/>
    <w:rsid w:val="00282817"/>
    <w:rsid w:val="00282888"/>
    <w:rsid w:val="002835BE"/>
    <w:rsid w:val="00283928"/>
    <w:rsid w:val="00283D22"/>
    <w:rsid w:val="0028466F"/>
    <w:rsid w:val="002846E1"/>
    <w:rsid w:val="0028482C"/>
    <w:rsid w:val="00284AB6"/>
    <w:rsid w:val="00285BCE"/>
    <w:rsid w:val="00285EBB"/>
    <w:rsid w:val="00286055"/>
    <w:rsid w:val="00286501"/>
    <w:rsid w:val="0028657A"/>
    <w:rsid w:val="0028665D"/>
    <w:rsid w:val="00286CD0"/>
    <w:rsid w:val="00287AF0"/>
    <w:rsid w:val="00287F75"/>
    <w:rsid w:val="002901B0"/>
    <w:rsid w:val="002909D9"/>
    <w:rsid w:val="00290F09"/>
    <w:rsid w:val="00291172"/>
    <w:rsid w:val="002916AC"/>
    <w:rsid w:val="0029196D"/>
    <w:rsid w:val="00291EB0"/>
    <w:rsid w:val="0029230D"/>
    <w:rsid w:val="00292351"/>
    <w:rsid w:val="00292630"/>
    <w:rsid w:val="002929E1"/>
    <w:rsid w:val="00292EC2"/>
    <w:rsid w:val="002934B7"/>
    <w:rsid w:val="00293684"/>
    <w:rsid w:val="00293924"/>
    <w:rsid w:val="00293AF1"/>
    <w:rsid w:val="00294201"/>
    <w:rsid w:val="0029428A"/>
    <w:rsid w:val="002942B3"/>
    <w:rsid w:val="00294691"/>
    <w:rsid w:val="00294DF1"/>
    <w:rsid w:val="00294F7B"/>
    <w:rsid w:val="00295734"/>
    <w:rsid w:val="00295DAA"/>
    <w:rsid w:val="00295DCA"/>
    <w:rsid w:val="002962C8"/>
    <w:rsid w:val="0029649B"/>
    <w:rsid w:val="0029668E"/>
    <w:rsid w:val="00296DA9"/>
    <w:rsid w:val="00296FE0"/>
    <w:rsid w:val="002974C1"/>
    <w:rsid w:val="00297529"/>
    <w:rsid w:val="002978E0"/>
    <w:rsid w:val="00297CF2"/>
    <w:rsid w:val="00297D12"/>
    <w:rsid w:val="002A0212"/>
    <w:rsid w:val="002A02CC"/>
    <w:rsid w:val="002A0854"/>
    <w:rsid w:val="002A09A5"/>
    <w:rsid w:val="002A0B3F"/>
    <w:rsid w:val="002A0E3C"/>
    <w:rsid w:val="002A1017"/>
    <w:rsid w:val="002A1486"/>
    <w:rsid w:val="002A14AB"/>
    <w:rsid w:val="002A15BB"/>
    <w:rsid w:val="002A18FC"/>
    <w:rsid w:val="002A193C"/>
    <w:rsid w:val="002A235A"/>
    <w:rsid w:val="002A2411"/>
    <w:rsid w:val="002A24F2"/>
    <w:rsid w:val="002A2873"/>
    <w:rsid w:val="002A2968"/>
    <w:rsid w:val="002A29CB"/>
    <w:rsid w:val="002A2AAD"/>
    <w:rsid w:val="002A2ADE"/>
    <w:rsid w:val="002A2C06"/>
    <w:rsid w:val="002A2D87"/>
    <w:rsid w:val="002A2F50"/>
    <w:rsid w:val="002A2F97"/>
    <w:rsid w:val="002A360C"/>
    <w:rsid w:val="002A38F3"/>
    <w:rsid w:val="002A4030"/>
    <w:rsid w:val="002A409A"/>
    <w:rsid w:val="002A4983"/>
    <w:rsid w:val="002A4C03"/>
    <w:rsid w:val="002A4C12"/>
    <w:rsid w:val="002A4CF3"/>
    <w:rsid w:val="002A57DE"/>
    <w:rsid w:val="002A59A1"/>
    <w:rsid w:val="002A5AEC"/>
    <w:rsid w:val="002A5AF8"/>
    <w:rsid w:val="002A5D57"/>
    <w:rsid w:val="002A5DB0"/>
    <w:rsid w:val="002A5F8F"/>
    <w:rsid w:val="002A6679"/>
    <w:rsid w:val="002A66CD"/>
    <w:rsid w:val="002A69C3"/>
    <w:rsid w:val="002A69D0"/>
    <w:rsid w:val="002A6B3C"/>
    <w:rsid w:val="002A742E"/>
    <w:rsid w:val="002A77F5"/>
    <w:rsid w:val="002A7943"/>
    <w:rsid w:val="002A7D5C"/>
    <w:rsid w:val="002B05A1"/>
    <w:rsid w:val="002B09A4"/>
    <w:rsid w:val="002B1C1F"/>
    <w:rsid w:val="002B222D"/>
    <w:rsid w:val="002B2285"/>
    <w:rsid w:val="002B231B"/>
    <w:rsid w:val="002B25F3"/>
    <w:rsid w:val="002B2702"/>
    <w:rsid w:val="002B2723"/>
    <w:rsid w:val="002B2BBA"/>
    <w:rsid w:val="002B2BED"/>
    <w:rsid w:val="002B2F8F"/>
    <w:rsid w:val="002B30BB"/>
    <w:rsid w:val="002B3539"/>
    <w:rsid w:val="002B3747"/>
    <w:rsid w:val="002B3803"/>
    <w:rsid w:val="002B3D8B"/>
    <w:rsid w:val="002B420F"/>
    <w:rsid w:val="002B4279"/>
    <w:rsid w:val="002B432F"/>
    <w:rsid w:val="002B459D"/>
    <w:rsid w:val="002B4B7F"/>
    <w:rsid w:val="002B5076"/>
    <w:rsid w:val="002B5210"/>
    <w:rsid w:val="002B536E"/>
    <w:rsid w:val="002B5E3C"/>
    <w:rsid w:val="002B6036"/>
    <w:rsid w:val="002B62B3"/>
    <w:rsid w:val="002B64F3"/>
    <w:rsid w:val="002B6754"/>
    <w:rsid w:val="002B6CCE"/>
    <w:rsid w:val="002B6F91"/>
    <w:rsid w:val="002B7847"/>
    <w:rsid w:val="002B78EF"/>
    <w:rsid w:val="002B7967"/>
    <w:rsid w:val="002C010B"/>
    <w:rsid w:val="002C021C"/>
    <w:rsid w:val="002C0285"/>
    <w:rsid w:val="002C09D5"/>
    <w:rsid w:val="002C1176"/>
    <w:rsid w:val="002C1CF4"/>
    <w:rsid w:val="002C1E48"/>
    <w:rsid w:val="002C2510"/>
    <w:rsid w:val="002C2775"/>
    <w:rsid w:val="002C27C1"/>
    <w:rsid w:val="002C29EC"/>
    <w:rsid w:val="002C2DD1"/>
    <w:rsid w:val="002C36E3"/>
    <w:rsid w:val="002C37D0"/>
    <w:rsid w:val="002C3F38"/>
    <w:rsid w:val="002C43C4"/>
    <w:rsid w:val="002C4664"/>
    <w:rsid w:val="002C49C2"/>
    <w:rsid w:val="002C4E5A"/>
    <w:rsid w:val="002C4EF3"/>
    <w:rsid w:val="002C5099"/>
    <w:rsid w:val="002C52B0"/>
    <w:rsid w:val="002C5567"/>
    <w:rsid w:val="002C5889"/>
    <w:rsid w:val="002C5D5A"/>
    <w:rsid w:val="002C5F15"/>
    <w:rsid w:val="002C669A"/>
    <w:rsid w:val="002C6DA2"/>
    <w:rsid w:val="002C71CE"/>
    <w:rsid w:val="002D00F9"/>
    <w:rsid w:val="002D0126"/>
    <w:rsid w:val="002D08F8"/>
    <w:rsid w:val="002D0EE0"/>
    <w:rsid w:val="002D11D3"/>
    <w:rsid w:val="002D1CC1"/>
    <w:rsid w:val="002D21D2"/>
    <w:rsid w:val="002D2A30"/>
    <w:rsid w:val="002D2CE5"/>
    <w:rsid w:val="002D2E11"/>
    <w:rsid w:val="002D3366"/>
    <w:rsid w:val="002D341D"/>
    <w:rsid w:val="002D38C4"/>
    <w:rsid w:val="002D3A11"/>
    <w:rsid w:val="002D4116"/>
    <w:rsid w:val="002D476A"/>
    <w:rsid w:val="002D4D52"/>
    <w:rsid w:val="002D4E04"/>
    <w:rsid w:val="002D4E89"/>
    <w:rsid w:val="002D577C"/>
    <w:rsid w:val="002D580D"/>
    <w:rsid w:val="002D5976"/>
    <w:rsid w:val="002D5AAD"/>
    <w:rsid w:val="002D620C"/>
    <w:rsid w:val="002D6A34"/>
    <w:rsid w:val="002D6BA8"/>
    <w:rsid w:val="002D7832"/>
    <w:rsid w:val="002D7C7F"/>
    <w:rsid w:val="002D7EB9"/>
    <w:rsid w:val="002D7FE7"/>
    <w:rsid w:val="002E08E3"/>
    <w:rsid w:val="002E0FEA"/>
    <w:rsid w:val="002E103A"/>
    <w:rsid w:val="002E1071"/>
    <w:rsid w:val="002E1422"/>
    <w:rsid w:val="002E15B9"/>
    <w:rsid w:val="002E1784"/>
    <w:rsid w:val="002E2158"/>
    <w:rsid w:val="002E21C6"/>
    <w:rsid w:val="002E2319"/>
    <w:rsid w:val="002E2398"/>
    <w:rsid w:val="002E27C6"/>
    <w:rsid w:val="002E29CA"/>
    <w:rsid w:val="002E30B8"/>
    <w:rsid w:val="002E409A"/>
    <w:rsid w:val="002E489A"/>
    <w:rsid w:val="002E4A77"/>
    <w:rsid w:val="002E4F02"/>
    <w:rsid w:val="002E4FEF"/>
    <w:rsid w:val="002E506D"/>
    <w:rsid w:val="002E6557"/>
    <w:rsid w:val="002E675B"/>
    <w:rsid w:val="002E69FA"/>
    <w:rsid w:val="002E7722"/>
    <w:rsid w:val="002E7935"/>
    <w:rsid w:val="002E7A4F"/>
    <w:rsid w:val="002F05A0"/>
    <w:rsid w:val="002F0667"/>
    <w:rsid w:val="002F07BA"/>
    <w:rsid w:val="002F0A57"/>
    <w:rsid w:val="002F0DA9"/>
    <w:rsid w:val="002F1008"/>
    <w:rsid w:val="002F1014"/>
    <w:rsid w:val="002F112D"/>
    <w:rsid w:val="002F17E8"/>
    <w:rsid w:val="002F18CC"/>
    <w:rsid w:val="002F1E3B"/>
    <w:rsid w:val="002F2717"/>
    <w:rsid w:val="002F422E"/>
    <w:rsid w:val="002F4453"/>
    <w:rsid w:val="002F5380"/>
    <w:rsid w:val="002F561F"/>
    <w:rsid w:val="002F5955"/>
    <w:rsid w:val="002F643C"/>
    <w:rsid w:val="002F695A"/>
    <w:rsid w:val="002F69C7"/>
    <w:rsid w:val="002F6C2B"/>
    <w:rsid w:val="002F71C0"/>
    <w:rsid w:val="002F74F1"/>
    <w:rsid w:val="00300358"/>
    <w:rsid w:val="00300560"/>
    <w:rsid w:val="00300E4A"/>
    <w:rsid w:val="00301017"/>
    <w:rsid w:val="00301082"/>
    <w:rsid w:val="00301161"/>
    <w:rsid w:val="003011EB"/>
    <w:rsid w:val="0030136D"/>
    <w:rsid w:val="003014E6"/>
    <w:rsid w:val="0030155F"/>
    <w:rsid w:val="003015E2"/>
    <w:rsid w:val="00301B88"/>
    <w:rsid w:val="00301D54"/>
    <w:rsid w:val="00301ECA"/>
    <w:rsid w:val="00301FD2"/>
    <w:rsid w:val="0030233A"/>
    <w:rsid w:val="00302A69"/>
    <w:rsid w:val="00302BC2"/>
    <w:rsid w:val="003031BD"/>
    <w:rsid w:val="0030367E"/>
    <w:rsid w:val="00303D8E"/>
    <w:rsid w:val="003041EA"/>
    <w:rsid w:val="00304531"/>
    <w:rsid w:val="003051CB"/>
    <w:rsid w:val="003056D8"/>
    <w:rsid w:val="00305711"/>
    <w:rsid w:val="0030587B"/>
    <w:rsid w:val="00305BD5"/>
    <w:rsid w:val="00305FCA"/>
    <w:rsid w:val="00306D98"/>
    <w:rsid w:val="0030786C"/>
    <w:rsid w:val="00307963"/>
    <w:rsid w:val="00307A2F"/>
    <w:rsid w:val="00307CB8"/>
    <w:rsid w:val="0031031A"/>
    <w:rsid w:val="003103C6"/>
    <w:rsid w:val="003105C4"/>
    <w:rsid w:val="003105EE"/>
    <w:rsid w:val="00310755"/>
    <w:rsid w:val="003108A7"/>
    <w:rsid w:val="00310981"/>
    <w:rsid w:val="00310A20"/>
    <w:rsid w:val="00311397"/>
    <w:rsid w:val="00311BB6"/>
    <w:rsid w:val="00311C29"/>
    <w:rsid w:val="00311D9B"/>
    <w:rsid w:val="00312016"/>
    <w:rsid w:val="003124D9"/>
    <w:rsid w:val="00312594"/>
    <w:rsid w:val="00312635"/>
    <w:rsid w:val="00312C2C"/>
    <w:rsid w:val="0031327F"/>
    <w:rsid w:val="003132E3"/>
    <w:rsid w:val="00313768"/>
    <w:rsid w:val="00313FAB"/>
    <w:rsid w:val="003146AB"/>
    <w:rsid w:val="003148C5"/>
    <w:rsid w:val="00315352"/>
    <w:rsid w:val="0031536F"/>
    <w:rsid w:val="00315498"/>
    <w:rsid w:val="00315689"/>
    <w:rsid w:val="00315A2F"/>
    <w:rsid w:val="00315BBE"/>
    <w:rsid w:val="00315F94"/>
    <w:rsid w:val="003160CC"/>
    <w:rsid w:val="00316474"/>
    <w:rsid w:val="003166B0"/>
    <w:rsid w:val="00317941"/>
    <w:rsid w:val="00317BA3"/>
    <w:rsid w:val="00317E4B"/>
    <w:rsid w:val="003201BC"/>
    <w:rsid w:val="00320356"/>
    <w:rsid w:val="003204EF"/>
    <w:rsid w:val="00320E29"/>
    <w:rsid w:val="00320FE9"/>
    <w:rsid w:val="003213A9"/>
    <w:rsid w:val="00321B43"/>
    <w:rsid w:val="00321D18"/>
    <w:rsid w:val="00322039"/>
    <w:rsid w:val="003220A2"/>
    <w:rsid w:val="00322107"/>
    <w:rsid w:val="00322355"/>
    <w:rsid w:val="003225A1"/>
    <w:rsid w:val="003227EC"/>
    <w:rsid w:val="00322846"/>
    <w:rsid w:val="00322AE0"/>
    <w:rsid w:val="003232CD"/>
    <w:rsid w:val="00323E61"/>
    <w:rsid w:val="0032402A"/>
    <w:rsid w:val="00324215"/>
    <w:rsid w:val="003251DF"/>
    <w:rsid w:val="003254E0"/>
    <w:rsid w:val="00325A20"/>
    <w:rsid w:val="00325E3F"/>
    <w:rsid w:val="0032634D"/>
    <w:rsid w:val="003264FF"/>
    <w:rsid w:val="0032676B"/>
    <w:rsid w:val="00326C35"/>
    <w:rsid w:val="00326D39"/>
    <w:rsid w:val="00326DA7"/>
    <w:rsid w:val="003270E4"/>
    <w:rsid w:val="003272E1"/>
    <w:rsid w:val="003273C3"/>
    <w:rsid w:val="00330DAA"/>
    <w:rsid w:val="00330F5C"/>
    <w:rsid w:val="003313D6"/>
    <w:rsid w:val="00332766"/>
    <w:rsid w:val="003327B2"/>
    <w:rsid w:val="00332B27"/>
    <w:rsid w:val="00332CBD"/>
    <w:rsid w:val="00333134"/>
    <w:rsid w:val="0033325A"/>
    <w:rsid w:val="003336E1"/>
    <w:rsid w:val="00333832"/>
    <w:rsid w:val="00333EDA"/>
    <w:rsid w:val="0033521F"/>
    <w:rsid w:val="0033573C"/>
    <w:rsid w:val="0033596B"/>
    <w:rsid w:val="00335C3B"/>
    <w:rsid w:val="003363E1"/>
    <w:rsid w:val="00336434"/>
    <w:rsid w:val="003366C9"/>
    <w:rsid w:val="00336EB5"/>
    <w:rsid w:val="003371B0"/>
    <w:rsid w:val="003372D8"/>
    <w:rsid w:val="00337327"/>
    <w:rsid w:val="00340426"/>
    <w:rsid w:val="00340693"/>
    <w:rsid w:val="00340DF1"/>
    <w:rsid w:val="00341273"/>
    <w:rsid w:val="0034130F"/>
    <w:rsid w:val="00341AF9"/>
    <w:rsid w:val="00341BEC"/>
    <w:rsid w:val="0034202B"/>
    <w:rsid w:val="003420FD"/>
    <w:rsid w:val="0034312C"/>
    <w:rsid w:val="0034341C"/>
    <w:rsid w:val="00343B88"/>
    <w:rsid w:val="003440DB"/>
    <w:rsid w:val="0034422D"/>
    <w:rsid w:val="00344409"/>
    <w:rsid w:val="00344CCA"/>
    <w:rsid w:val="00344DBC"/>
    <w:rsid w:val="003451D7"/>
    <w:rsid w:val="00345236"/>
    <w:rsid w:val="003458AB"/>
    <w:rsid w:val="00345DAA"/>
    <w:rsid w:val="003466A1"/>
    <w:rsid w:val="003468FA"/>
    <w:rsid w:val="00346946"/>
    <w:rsid w:val="0034703B"/>
    <w:rsid w:val="003471CB"/>
    <w:rsid w:val="00347B24"/>
    <w:rsid w:val="00347B25"/>
    <w:rsid w:val="00347B6C"/>
    <w:rsid w:val="00347F9F"/>
    <w:rsid w:val="0035001E"/>
    <w:rsid w:val="0035016B"/>
    <w:rsid w:val="00350E3E"/>
    <w:rsid w:val="003517F9"/>
    <w:rsid w:val="00351BA9"/>
    <w:rsid w:val="00351DCE"/>
    <w:rsid w:val="003525DF"/>
    <w:rsid w:val="0035280A"/>
    <w:rsid w:val="003528DA"/>
    <w:rsid w:val="00352E93"/>
    <w:rsid w:val="00353151"/>
    <w:rsid w:val="003531B0"/>
    <w:rsid w:val="00353268"/>
    <w:rsid w:val="003534C6"/>
    <w:rsid w:val="00353BC0"/>
    <w:rsid w:val="00354068"/>
    <w:rsid w:val="003540AF"/>
    <w:rsid w:val="0035443B"/>
    <w:rsid w:val="00354487"/>
    <w:rsid w:val="003545DB"/>
    <w:rsid w:val="00354723"/>
    <w:rsid w:val="00354F64"/>
    <w:rsid w:val="0035506D"/>
    <w:rsid w:val="003552C9"/>
    <w:rsid w:val="00355C7B"/>
    <w:rsid w:val="00355DCC"/>
    <w:rsid w:val="00355F55"/>
    <w:rsid w:val="00355F91"/>
    <w:rsid w:val="0035620E"/>
    <w:rsid w:val="00356231"/>
    <w:rsid w:val="003567A3"/>
    <w:rsid w:val="003568B7"/>
    <w:rsid w:val="003568C0"/>
    <w:rsid w:val="003575BE"/>
    <w:rsid w:val="00357876"/>
    <w:rsid w:val="00357964"/>
    <w:rsid w:val="003579D2"/>
    <w:rsid w:val="00360345"/>
    <w:rsid w:val="003610E6"/>
    <w:rsid w:val="003615A7"/>
    <w:rsid w:val="003619C4"/>
    <w:rsid w:val="00361A05"/>
    <w:rsid w:val="003624C4"/>
    <w:rsid w:val="003624C9"/>
    <w:rsid w:val="003630FF"/>
    <w:rsid w:val="0036332A"/>
    <w:rsid w:val="00363B00"/>
    <w:rsid w:val="00364110"/>
    <w:rsid w:val="00364A68"/>
    <w:rsid w:val="00364DAF"/>
    <w:rsid w:val="00365159"/>
    <w:rsid w:val="00365316"/>
    <w:rsid w:val="003653CF"/>
    <w:rsid w:val="003654AC"/>
    <w:rsid w:val="0036567A"/>
    <w:rsid w:val="00365858"/>
    <w:rsid w:val="00365904"/>
    <w:rsid w:val="00365AAC"/>
    <w:rsid w:val="0036631A"/>
    <w:rsid w:val="00366734"/>
    <w:rsid w:val="00366B8B"/>
    <w:rsid w:val="00366C7C"/>
    <w:rsid w:val="00366CA8"/>
    <w:rsid w:val="00367010"/>
    <w:rsid w:val="003672A4"/>
    <w:rsid w:val="003674C1"/>
    <w:rsid w:val="00367514"/>
    <w:rsid w:val="003703CA"/>
    <w:rsid w:val="00370410"/>
    <w:rsid w:val="00370A7F"/>
    <w:rsid w:val="00370D8E"/>
    <w:rsid w:val="003710CF"/>
    <w:rsid w:val="00371112"/>
    <w:rsid w:val="00371152"/>
    <w:rsid w:val="00371195"/>
    <w:rsid w:val="00371324"/>
    <w:rsid w:val="0037137C"/>
    <w:rsid w:val="0037147A"/>
    <w:rsid w:val="0037225C"/>
    <w:rsid w:val="0037358A"/>
    <w:rsid w:val="0037374E"/>
    <w:rsid w:val="003746E7"/>
    <w:rsid w:val="00374793"/>
    <w:rsid w:val="00374DCF"/>
    <w:rsid w:val="003750F6"/>
    <w:rsid w:val="00375316"/>
    <w:rsid w:val="00375BE2"/>
    <w:rsid w:val="003760FC"/>
    <w:rsid w:val="00376276"/>
    <w:rsid w:val="003766CE"/>
    <w:rsid w:val="00376886"/>
    <w:rsid w:val="003772D5"/>
    <w:rsid w:val="0037759F"/>
    <w:rsid w:val="00377D78"/>
    <w:rsid w:val="00380410"/>
    <w:rsid w:val="0038042D"/>
    <w:rsid w:val="00380AB4"/>
    <w:rsid w:val="00380E9B"/>
    <w:rsid w:val="003810AB"/>
    <w:rsid w:val="00381339"/>
    <w:rsid w:val="0038155D"/>
    <w:rsid w:val="003816E4"/>
    <w:rsid w:val="0038216D"/>
    <w:rsid w:val="00382229"/>
    <w:rsid w:val="003822A5"/>
    <w:rsid w:val="00382487"/>
    <w:rsid w:val="003825CA"/>
    <w:rsid w:val="00382AE1"/>
    <w:rsid w:val="00383342"/>
    <w:rsid w:val="0038365C"/>
    <w:rsid w:val="0038369B"/>
    <w:rsid w:val="00383B78"/>
    <w:rsid w:val="00384C1C"/>
    <w:rsid w:val="003859EF"/>
    <w:rsid w:val="00385A9D"/>
    <w:rsid w:val="00385BF4"/>
    <w:rsid w:val="00385CF3"/>
    <w:rsid w:val="00387121"/>
    <w:rsid w:val="00387B0C"/>
    <w:rsid w:val="00387F68"/>
    <w:rsid w:val="003901F0"/>
    <w:rsid w:val="003902B1"/>
    <w:rsid w:val="0039086A"/>
    <w:rsid w:val="00390A54"/>
    <w:rsid w:val="00390D02"/>
    <w:rsid w:val="0039104A"/>
    <w:rsid w:val="00391250"/>
    <w:rsid w:val="00391640"/>
    <w:rsid w:val="0039179C"/>
    <w:rsid w:val="003917E4"/>
    <w:rsid w:val="00391D6C"/>
    <w:rsid w:val="00393B2F"/>
    <w:rsid w:val="00393D96"/>
    <w:rsid w:val="0039411E"/>
    <w:rsid w:val="00394794"/>
    <w:rsid w:val="003949DA"/>
    <w:rsid w:val="003953D5"/>
    <w:rsid w:val="003958C5"/>
    <w:rsid w:val="00395BD2"/>
    <w:rsid w:val="00395C44"/>
    <w:rsid w:val="00395C76"/>
    <w:rsid w:val="003962A6"/>
    <w:rsid w:val="00396569"/>
    <w:rsid w:val="00396640"/>
    <w:rsid w:val="00396896"/>
    <w:rsid w:val="00396FD0"/>
    <w:rsid w:val="003970E9"/>
    <w:rsid w:val="0039751E"/>
    <w:rsid w:val="003976E1"/>
    <w:rsid w:val="00397946"/>
    <w:rsid w:val="00397C34"/>
    <w:rsid w:val="003A034E"/>
    <w:rsid w:val="003A08C2"/>
    <w:rsid w:val="003A1246"/>
    <w:rsid w:val="003A1421"/>
    <w:rsid w:val="003A14A5"/>
    <w:rsid w:val="003A163F"/>
    <w:rsid w:val="003A16CC"/>
    <w:rsid w:val="003A1A7A"/>
    <w:rsid w:val="003A1E4B"/>
    <w:rsid w:val="003A2392"/>
    <w:rsid w:val="003A2831"/>
    <w:rsid w:val="003A329D"/>
    <w:rsid w:val="003A38EE"/>
    <w:rsid w:val="003A3ACB"/>
    <w:rsid w:val="003A3CB6"/>
    <w:rsid w:val="003A3ED1"/>
    <w:rsid w:val="003A444D"/>
    <w:rsid w:val="003A44CF"/>
    <w:rsid w:val="003A44DB"/>
    <w:rsid w:val="003A455F"/>
    <w:rsid w:val="003A4A90"/>
    <w:rsid w:val="003A4C14"/>
    <w:rsid w:val="003A50B5"/>
    <w:rsid w:val="003A57D6"/>
    <w:rsid w:val="003A6012"/>
    <w:rsid w:val="003A61BE"/>
    <w:rsid w:val="003A63D1"/>
    <w:rsid w:val="003A641F"/>
    <w:rsid w:val="003A6624"/>
    <w:rsid w:val="003A66B2"/>
    <w:rsid w:val="003A6F66"/>
    <w:rsid w:val="003A710A"/>
    <w:rsid w:val="003A718F"/>
    <w:rsid w:val="003A7261"/>
    <w:rsid w:val="003B0488"/>
    <w:rsid w:val="003B088D"/>
    <w:rsid w:val="003B0C8E"/>
    <w:rsid w:val="003B0F9C"/>
    <w:rsid w:val="003B1D27"/>
    <w:rsid w:val="003B1DDD"/>
    <w:rsid w:val="003B2B85"/>
    <w:rsid w:val="003B342C"/>
    <w:rsid w:val="003B34FF"/>
    <w:rsid w:val="003B38D8"/>
    <w:rsid w:val="003B3971"/>
    <w:rsid w:val="003B3C67"/>
    <w:rsid w:val="003B4444"/>
    <w:rsid w:val="003B4BCE"/>
    <w:rsid w:val="003B4C43"/>
    <w:rsid w:val="003B535F"/>
    <w:rsid w:val="003B55D1"/>
    <w:rsid w:val="003B5965"/>
    <w:rsid w:val="003B5B61"/>
    <w:rsid w:val="003B758B"/>
    <w:rsid w:val="003B7B83"/>
    <w:rsid w:val="003B7CC1"/>
    <w:rsid w:val="003B7ED0"/>
    <w:rsid w:val="003B7FDF"/>
    <w:rsid w:val="003C03E6"/>
    <w:rsid w:val="003C0585"/>
    <w:rsid w:val="003C08BE"/>
    <w:rsid w:val="003C0ADE"/>
    <w:rsid w:val="003C0E16"/>
    <w:rsid w:val="003C1344"/>
    <w:rsid w:val="003C1541"/>
    <w:rsid w:val="003C1654"/>
    <w:rsid w:val="003C1B53"/>
    <w:rsid w:val="003C1E33"/>
    <w:rsid w:val="003C22F3"/>
    <w:rsid w:val="003C2706"/>
    <w:rsid w:val="003C2DEA"/>
    <w:rsid w:val="003C31C1"/>
    <w:rsid w:val="003C3399"/>
    <w:rsid w:val="003C38E9"/>
    <w:rsid w:val="003C3961"/>
    <w:rsid w:val="003C399B"/>
    <w:rsid w:val="003C3F9C"/>
    <w:rsid w:val="003C44A8"/>
    <w:rsid w:val="003C4F7C"/>
    <w:rsid w:val="003C51B9"/>
    <w:rsid w:val="003C5542"/>
    <w:rsid w:val="003C5599"/>
    <w:rsid w:val="003C5DEF"/>
    <w:rsid w:val="003C6381"/>
    <w:rsid w:val="003C652A"/>
    <w:rsid w:val="003C66EA"/>
    <w:rsid w:val="003C6848"/>
    <w:rsid w:val="003C6AB3"/>
    <w:rsid w:val="003C70ED"/>
    <w:rsid w:val="003C78F5"/>
    <w:rsid w:val="003C797C"/>
    <w:rsid w:val="003C7C0F"/>
    <w:rsid w:val="003C7C15"/>
    <w:rsid w:val="003C7C48"/>
    <w:rsid w:val="003C7D19"/>
    <w:rsid w:val="003C7D2F"/>
    <w:rsid w:val="003C7D69"/>
    <w:rsid w:val="003D04B1"/>
    <w:rsid w:val="003D0A1C"/>
    <w:rsid w:val="003D0ABE"/>
    <w:rsid w:val="003D0C19"/>
    <w:rsid w:val="003D0C5A"/>
    <w:rsid w:val="003D0E22"/>
    <w:rsid w:val="003D0FB7"/>
    <w:rsid w:val="003D141A"/>
    <w:rsid w:val="003D155A"/>
    <w:rsid w:val="003D1828"/>
    <w:rsid w:val="003D1CB0"/>
    <w:rsid w:val="003D1DE4"/>
    <w:rsid w:val="003D1E9A"/>
    <w:rsid w:val="003D1EDE"/>
    <w:rsid w:val="003D21C4"/>
    <w:rsid w:val="003D2306"/>
    <w:rsid w:val="003D2422"/>
    <w:rsid w:val="003D2430"/>
    <w:rsid w:val="003D28AD"/>
    <w:rsid w:val="003D2A73"/>
    <w:rsid w:val="003D2A8D"/>
    <w:rsid w:val="003D31AE"/>
    <w:rsid w:val="003D32BC"/>
    <w:rsid w:val="003D33BA"/>
    <w:rsid w:val="003D357A"/>
    <w:rsid w:val="003D3660"/>
    <w:rsid w:val="003D36B9"/>
    <w:rsid w:val="003D39A1"/>
    <w:rsid w:val="003D3FBF"/>
    <w:rsid w:val="003D4267"/>
    <w:rsid w:val="003D4A30"/>
    <w:rsid w:val="003D4EB1"/>
    <w:rsid w:val="003D5B1E"/>
    <w:rsid w:val="003D5BD5"/>
    <w:rsid w:val="003D5E0D"/>
    <w:rsid w:val="003D5F3F"/>
    <w:rsid w:val="003D6097"/>
    <w:rsid w:val="003D64AF"/>
    <w:rsid w:val="003D68D1"/>
    <w:rsid w:val="003D6DAA"/>
    <w:rsid w:val="003D71F6"/>
    <w:rsid w:val="003D7339"/>
    <w:rsid w:val="003D7452"/>
    <w:rsid w:val="003D76AA"/>
    <w:rsid w:val="003D7770"/>
    <w:rsid w:val="003D79BB"/>
    <w:rsid w:val="003D7C45"/>
    <w:rsid w:val="003D7C67"/>
    <w:rsid w:val="003D7C98"/>
    <w:rsid w:val="003D7CEC"/>
    <w:rsid w:val="003D7D9D"/>
    <w:rsid w:val="003D7EA0"/>
    <w:rsid w:val="003E0543"/>
    <w:rsid w:val="003E09B6"/>
    <w:rsid w:val="003E105B"/>
    <w:rsid w:val="003E1772"/>
    <w:rsid w:val="003E1B56"/>
    <w:rsid w:val="003E1F13"/>
    <w:rsid w:val="003E2120"/>
    <w:rsid w:val="003E2224"/>
    <w:rsid w:val="003E2463"/>
    <w:rsid w:val="003E2D82"/>
    <w:rsid w:val="003E2FB2"/>
    <w:rsid w:val="003E3077"/>
    <w:rsid w:val="003E309C"/>
    <w:rsid w:val="003E398E"/>
    <w:rsid w:val="003E3A71"/>
    <w:rsid w:val="003E3C49"/>
    <w:rsid w:val="003E553E"/>
    <w:rsid w:val="003E5603"/>
    <w:rsid w:val="003E5D27"/>
    <w:rsid w:val="003E6172"/>
    <w:rsid w:val="003E6284"/>
    <w:rsid w:val="003E6428"/>
    <w:rsid w:val="003E65CA"/>
    <w:rsid w:val="003E6836"/>
    <w:rsid w:val="003E6B6A"/>
    <w:rsid w:val="003E6D7D"/>
    <w:rsid w:val="003E749E"/>
    <w:rsid w:val="003E758B"/>
    <w:rsid w:val="003E7BC4"/>
    <w:rsid w:val="003E7DA8"/>
    <w:rsid w:val="003F0216"/>
    <w:rsid w:val="003F0A71"/>
    <w:rsid w:val="003F0BEF"/>
    <w:rsid w:val="003F120D"/>
    <w:rsid w:val="003F146E"/>
    <w:rsid w:val="003F1663"/>
    <w:rsid w:val="003F17DB"/>
    <w:rsid w:val="003F1F37"/>
    <w:rsid w:val="003F261A"/>
    <w:rsid w:val="003F269A"/>
    <w:rsid w:val="003F26C6"/>
    <w:rsid w:val="003F3314"/>
    <w:rsid w:val="003F345E"/>
    <w:rsid w:val="003F34F2"/>
    <w:rsid w:val="003F3958"/>
    <w:rsid w:val="003F399A"/>
    <w:rsid w:val="003F3D75"/>
    <w:rsid w:val="003F4156"/>
    <w:rsid w:val="003F43D1"/>
    <w:rsid w:val="003F4565"/>
    <w:rsid w:val="003F5050"/>
    <w:rsid w:val="003F522F"/>
    <w:rsid w:val="003F53F5"/>
    <w:rsid w:val="003F5538"/>
    <w:rsid w:val="003F5996"/>
    <w:rsid w:val="003F5A26"/>
    <w:rsid w:val="003F5ADF"/>
    <w:rsid w:val="003F5F31"/>
    <w:rsid w:val="003F5FEE"/>
    <w:rsid w:val="003F6059"/>
    <w:rsid w:val="003F609A"/>
    <w:rsid w:val="003F62D9"/>
    <w:rsid w:val="003F63C0"/>
    <w:rsid w:val="003F6EFA"/>
    <w:rsid w:val="003F6F70"/>
    <w:rsid w:val="003F7553"/>
    <w:rsid w:val="003F7758"/>
    <w:rsid w:val="003F77FA"/>
    <w:rsid w:val="003F7831"/>
    <w:rsid w:val="003F7929"/>
    <w:rsid w:val="003F7DA9"/>
    <w:rsid w:val="003F7E24"/>
    <w:rsid w:val="003F7E80"/>
    <w:rsid w:val="00400332"/>
    <w:rsid w:val="0040062C"/>
    <w:rsid w:val="0040091D"/>
    <w:rsid w:val="00400AB8"/>
    <w:rsid w:val="00400B29"/>
    <w:rsid w:val="00401847"/>
    <w:rsid w:val="004019A1"/>
    <w:rsid w:val="00401AA9"/>
    <w:rsid w:val="004023E1"/>
    <w:rsid w:val="004025F4"/>
    <w:rsid w:val="004027DF"/>
    <w:rsid w:val="00402812"/>
    <w:rsid w:val="00403664"/>
    <w:rsid w:val="004036A6"/>
    <w:rsid w:val="0040504B"/>
    <w:rsid w:val="0040518D"/>
    <w:rsid w:val="0040534F"/>
    <w:rsid w:val="004055F8"/>
    <w:rsid w:val="00405780"/>
    <w:rsid w:val="004059F4"/>
    <w:rsid w:val="00405B61"/>
    <w:rsid w:val="00405FA8"/>
    <w:rsid w:val="00406430"/>
    <w:rsid w:val="00406AE5"/>
    <w:rsid w:val="00406F66"/>
    <w:rsid w:val="00407322"/>
    <w:rsid w:val="00407758"/>
    <w:rsid w:val="004077FA"/>
    <w:rsid w:val="00407C57"/>
    <w:rsid w:val="00407FE5"/>
    <w:rsid w:val="004101B0"/>
    <w:rsid w:val="00410326"/>
    <w:rsid w:val="00410541"/>
    <w:rsid w:val="00410708"/>
    <w:rsid w:val="00410752"/>
    <w:rsid w:val="004108BF"/>
    <w:rsid w:val="00410970"/>
    <w:rsid w:val="00410EC7"/>
    <w:rsid w:val="00410F42"/>
    <w:rsid w:val="00411532"/>
    <w:rsid w:val="004118D5"/>
    <w:rsid w:val="00411AB2"/>
    <w:rsid w:val="00411B02"/>
    <w:rsid w:val="00411B39"/>
    <w:rsid w:val="00411F6E"/>
    <w:rsid w:val="00412221"/>
    <w:rsid w:val="00412442"/>
    <w:rsid w:val="004127A7"/>
    <w:rsid w:val="0041317C"/>
    <w:rsid w:val="0041336C"/>
    <w:rsid w:val="00413412"/>
    <w:rsid w:val="00413596"/>
    <w:rsid w:val="00413A1E"/>
    <w:rsid w:val="00413C29"/>
    <w:rsid w:val="0041403D"/>
    <w:rsid w:val="00414125"/>
    <w:rsid w:val="004143DD"/>
    <w:rsid w:val="00414476"/>
    <w:rsid w:val="0041460C"/>
    <w:rsid w:val="00414C2E"/>
    <w:rsid w:val="00414DD3"/>
    <w:rsid w:val="004151CF"/>
    <w:rsid w:val="0041546F"/>
    <w:rsid w:val="0041548C"/>
    <w:rsid w:val="00415AD2"/>
    <w:rsid w:val="00415BDE"/>
    <w:rsid w:val="00415EA0"/>
    <w:rsid w:val="004161DF"/>
    <w:rsid w:val="00416364"/>
    <w:rsid w:val="0041644E"/>
    <w:rsid w:val="00416517"/>
    <w:rsid w:val="00416629"/>
    <w:rsid w:val="004169B4"/>
    <w:rsid w:val="00416B04"/>
    <w:rsid w:val="00416B6F"/>
    <w:rsid w:val="004170EF"/>
    <w:rsid w:val="004172EA"/>
    <w:rsid w:val="004173CD"/>
    <w:rsid w:val="0042047F"/>
    <w:rsid w:val="0042088C"/>
    <w:rsid w:val="00420AA6"/>
    <w:rsid w:val="00420B9F"/>
    <w:rsid w:val="00420E09"/>
    <w:rsid w:val="00420E7A"/>
    <w:rsid w:val="00420FE4"/>
    <w:rsid w:val="0042192C"/>
    <w:rsid w:val="004219FE"/>
    <w:rsid w:val="00421AC1"/>
    <w:rsid w:val="00422260"/>
    <w:rsid w:val="00422785"/>
    <w:rsid w:val="00422A19"/>
    <w:rsid w:val="004236DE"/>
    <w:rsid w:val="00423F9C"/>
    <w:rsid w:val="0042413F"/>
    <w:rsid w:val="0042416C"/>
    <w:rsid w:val="004245FF"/>
    <w:rsid w:val="00424640"/>
    <w:rsid w:val="00424832"/>
    <w:rsid w:val="00424BA2"/>
    <w:rsid w:val="004250B5"/>
    <w:rsid w:val="00425521"/>
    <w:rsid w:val="00425A3F"/>
    <w:rsid w:val="00426008"/>
    <w:rsid w:val="00427160"/>
    <w:rsid w:val="004273C6"/>
    <w:rsid w:val="00427699"/>
    <w:rsid w:val="004276CC"/>
    <w:rsid w:val="004278CD"/>
    <w:rsid w:val="004278F3"/>
    <w:rsid w:val="00427EC8"/>
    <w:rsid w:val="00430427"/>
    <w:rsid w:val="00430730"/>
    <w:rsid w:val="00430E70"/>
    <w:rsid w:val="004315C1"/>
    <w:rsid w:val="004319C8"/>
    <w:rsid w:val="004319F8"/>
    <w:rsid w:val="00431DBE"/>
    <w:rsid w:val="00431DDF"/>
    <w:rsid w:val="00431E27"/>
    <w:rsid w:val="00431E55"/>
    <w:rsid w:val="004321F6"/>
    <w:rsid w:val="0043235D"/>
    <w:rsid w:val="00432AE4"/>
    <w:rsid w:val="00433044"/>
    <w:rsid w:val="00433112"/>
    <w:rsid w:val="0043343E"/>
    <w:rsid w:val="00433490"/>
    <w:rsid w:val="00433764"/>
    <w:rsid w:val="00434088"/>
    <w:rsid w:val="004341BD"/>
    <w:rsid w:val="00434338"/>
    <w:rsid w:val="004345FA"/>
    <w:rsid w:val="00434608"/>
    <w:rsid w:val="00435A8B"/>
    <w:rsid w:val="00435E92"/>
    <w:rsid w:val="00436073"/>
    <w:rsid w:val="00436662"/>
    <w:rsid w:val="00436849"/>
    <w:rsid w:val="004369B7"/>
    <w:rsid w:val="00436B11"/>
    <w:rsid w:val="00436DB8"/>
    <w:rsid w:val="00437586"/>
    <w:rsid w:val="004375B9"/>
    <w:rsid w:val="0043771F"/>
    <w:rsid w:val="00440A33"/>
    <w:rsid w:val="00440C85"/>
    <w:rsid w:val="004415F4"/>
    <w:rsid w:val="00441CBB"/>
    <w:rsid w:val="00441E5A"/>
    <w:rsid w:val="004428D0"/>
    <w:rsid w:val="00442A42"/>
    <w:rsid w:val="00442BA1"/>
    <w:rsid w:val="00442EB8"/>
    <w:rsid w:val="00443ADD"/>
    <w:rsid w:val="00443C1B"/>
    <w:rsid w:val="00443CE2"/>
    <w:rsid w:val="0044408D"/>
    <w:rsid w:val="00444185"/>
    <w:rsid w:val="004443A7"/>
    <w:rsid w:val="0044442C"/>
    <w:rsid w:val="0044486D"/>
    <w:rsid w:val="00444B73"/>
    <w:rsid w:val="0044562F"/>
    <w:rsid w:val="00445941"/>
    <w:rsid w:val="00445A0C"/>
    <w:rsid w:val="004464EB"/>
    <w:rsid w:val="00447693"/>
    <w:rsid w:val="004476FC"/>
    <w:rsid w:val="00447C5D"/>
    <w:rsid w:val="00447D26"/>
    <w:rsid w:val="00447DFC"/>
    <w:rsid w:val="004505E9"/>
    <w:rsid w:val="00450F3F"/>
    <w:rsid w:val="00451832"/>
    <w:rsid w:val="00451A57"/>
    <w:rsid w:val="004520AB"/>
    <w:rsid w:val="00452BD2"/>
    <w:rsid w:val="00452CE6"/>
    <w:rsid w:val="00452D9F"/>
    <w:rsid w:val="00452E05"/>
    <w:rsid w:val="00452EC6"/>
    <w:rsid w:val="00453921"/>
    <w:rsid w:val="00453EB2"/>
    <w:rsid w:val="004540ED"/>
    <w:rsid w:val="00454857"/>
    <w:rsid w:val="004548C0"/>
    <w:rsid w:val="00454D22"/>
    <w:rsid w:val="00455323"/>
    <w:rsid w:val="00455A01"/>
    <w:rsid w:val="00455BC3"/>
    <w:rsid w:val="00455D45"/>
    <w:rsid w:val="0045658F"/>
    <w:rsid w:val="00456F75"/>
    <w:rsid w:val="004571E2"/>
    <w:rsid w:val="004574CD"/>
    <w:rsid w:val="00457512"/>
    <w:rsid w:val="0045765F"/>
    <w:rsid w:val="00457C96"/>
    <w:rsid w:val="00460165"/>
    <w:rsid w:val="004608C4"/>
    <w:rsid w:val="00460AB9"/>
    <w:rsid w:val="004611DD"/>
    <w:rsid w:val="00461E6B"/>
    <w:rsid w:val="00462272"/>
    <w:rsid w:val="00462540"/>
    <w:rsid w:val="00462A97"/>
    <w:rsid w:val="00462B1A"/>
    <w:rsid w:val="004639F5"/>
    <w:rsid w:val="00463DDE"/>
    <w:rsid w:val="00464595"/>
    <w:rsid w:val="0046478E"/>
    <w:rsid w:val="00464AED"/>
    <w:rsid w:val="00464B97"/>
    <w:rsid w:val="00464BF3"/>
    <w:rsid w:val="00464DAB"/>
    <w:rsid w:val="00464F6B"/>
    <w:rsid w:val="0046524B"/>
    <w:rsid w:val="00465724"/>
    <w:rsid w:val="004658B5"/>
    <w:rsid w:val="00465C7E"/>
    <w:rsid w:val="00465D87"/>
    <w:rsid w:val="00466B8C"/>
    <w:rsid w:val="00467584"/>
    <w:rsid w:val="004675EB"/>
    <w:rsid w:val="00467621"/>
    <w:rsid w:val="00467DAF"/>
    <w:rsid w:val="0047033F"/>
    <w:rsid w:val="00470759"/>
    <w:rsid w:val="00470A3E"/>
    <w:rsid w:val="00470FB1"/>
    <w:rsid w:val="00471423"/>
    <w:rsid w:val="0047186A"/>
    <w:rsid w:val="00471B27"/>
    <w:rsid w:val="00471DB5"/>
    <w:rsid w:val="00471EA5"/>
    <w:rsid w:val="004723BE"/>
    <w:rsid w:val="004726F7"/>
    <w:rsid w:val="0047295B"/>
    <w:rsid w:val="00472A79"/>
    <w:rsid w:val="004739F9"/>
    <w:rsid w:val="00473A86"/>
    <w:rsid w:val="00473F19"/>
    <w:rsid w:val="00473F3F"/>
    <w:rsid w:val="00474C90"/>
    <w:rsid w:val="00474D15"/>
    <w:rsid w:val="00475359"/>
    <w:rsid w:val="004756DE"/>
    <w:rsid w:val="00475C67"/>
    <w:rsid w:val="00475E22"/>
    <w:rsid w:val="00476831"/>
    <w:rsid w:val="004769B7"/>
    <w:rsid w:val="00476AF6"/>
    <w:rsid w:val="00476D54"/>
    <w:rsid w:val="00477224"/>
    <w:rsid w:val="004776C0"/>
    <w:rsid w:val="004776DD"/>
    <w:rsid w:val="00477AF2"/>
    <w:rsid w:val="00477DEA"/>
    <w:rsid w:val="0048088E"/>
    <w:rsid w:val="00480CFC"/>
    <w:rsid w:val="00480F2B"/>
    <w:rsid w:val="00480F56"/>
    <w:rsid w:val="0048114C"/>
    <w:rsid w:val="00481156"/>
    <w:rsid w:val="004811D0"/>
    <w:rsid w:val="00481366"/>
    <w:rsid w:val="00481908"/>
    <w:rsid w:val="0048194E"/>
    <w:rsid w:val="00481B87"/>
    <w:rsid w:val="00481F40"/>
    <w:rsid w:val="00481FA0"/>
    <w:rsid w:val="004820CB"/>
    <w:rsid w:val="00482665"/>
    <w:rsid w:val="00482720"/>
    <w:rsid w:val="004835E7"/>
    <w:rsid w:val="00483652"/>
    <w:rsid w:val="00483863"/>
    <w:rsid w:val="0048428C"/>
    <w:rsid w:val="004845BC"/>
    <w:rsid w:val="0048505B"/>
    <w:rsid w:val="004850FD"/>
    <w:rsid w:val="00485187"/>
    <w:rsid w:val="004859E1"/>
    <w:rsid w:val="00485D30"/>
    <w:rsid w:val="004867BD"/>
    <w:rsid w:val="004867E2"/>
    <w:rsid w:val="004868BD"/>
    <w:rsid w:val="00486F4A"/>
    <w:rsid w:val="004876C3"/>
    <w:rsid w:val="00487763"/>
    <w:rsid w:val="00487F04"/>
    <w:rsid w:val="0049018B"/>
    <w:rsid w:val="004903BA"/>
    <w:rsid w:val="0049085F"/>
    <w:rsid w:val="00490B17"/>
    <w:rsid w:val="00490D9F"/>
    <w:rsid w:val="00491353"/>
    <w:rsid w:val="00491752"/>
    <w:rsid w:val="0049178C"/>
    <w:rsid w:val="00491A5E"/>
    <w:rsid w:val="00491B3A"/>
    <w:rsid w:val="00492133"/>
    <w:rsid w:val="00492218"/>
    <w:rsid w:val="00492520"/>
    <w:rsid w:val="00492534"/>
    <w:rsid w:val="00492A85"/>
    <w:rsid w:val="00492C25"/>
    <w:rsid w:val="00492CFD"/>
    <w:rsid w:val="00492D6B"/>
    <w:rsid w:val="00492EE6"/>
    <w:rsid w:val="00492F38"/>
    <w:rsid w:val="00493106"/>
    <w:rsid w:val="00493A3E"/>
    <w:rsid w:val="00493B09"/>
    <w:rsid w:val="00493FE2"/>
    <w:rsid w:val="00494207"/>
    <w:rsid w:val="0049447C"/>
    <w:rsid w:val="0049449D"/>
    <w:rsid w:val="0049498E"/>
    <w:rsid w:val="00494DD5"/>
    <w:rsid w:val="00495D3F"/>
    <w:rsid w:val="004962D2"/>
    <w:rsid w:val="00496483"/>
    <w:rsid w:val="004967AB"/>
    <w:rsid w:val="004968D9"/>
    <w:rsid w:val="00496AD7"/>
    <w:rsid w:val="00496DE2"/>
    <w:rsid w:val="00497082"/>
    <w:rsid w:val="0049709A"/>
    <w:rsid w:val="004972EE"/>
    <w:rsid w:val="00497443"/>
    <w:rsid w:val="0049764A"/>
    <w:rsid w:val="00497A87"/>
    <w:rsid w:val="00497D89"/>
    <w:rsid w:val="004A0056"/>
    <w:rsid w:val="004A01CC"/>
    <w:rsid w:val="004A03E8"/>
    <w:rsid w:val="004A0528"/>
    <w:rsid w:val="004A085B"/>
    <w:rsid w:val="004A0A8B"/>
    <w:rsid w:val="004A0C92"/>
    <w:rsid w:val="004A0DA1"/>
    <w:rsid w:val="004A0E50"/>
    <w:rsid w:val="004A0E59"/>
    <w:rsid w:val="004A1002"/>
    <w:rsid w:val="004A13D6"/>
    <w:rsid w:val="004A142A"/>
    <w:rsid w:val="004A2550"/>
    <w:rsid w:val="004A2999"/>
    <w:rsid w:val="004A2CBB"/>
    <w:rsid w:val="004A38A1"/>
    <w:rsid w:val="004A3D0A"/>
    <w:rsid w:val="004A429F"/>
    <w:rsid w:val="004A4A7B"/>
    <w:rsid w:val="004A4B43"/>
    <w:rsid w:val="004A52E9"/>
    <w:rsid w:val="004A5FF9"/>
    <w:rsid w:val="004A6040"/>
    <w:rsid w:val="004A6472"/>
    <w:rsid w:val="004A6597"/>
    <w:rsid w:val="004A7419"/>
    <w:rsid w:val="004A7848"/>
    <w:rsid w:val="004A793B"/>
    <w:rsid w:val="004A7B69"/>
    <w:rsid w:val="004A7C4B"/>
    <w:rsid w:val="004A7FD6"/>
    <w:rsid w:val="004B0136"/>
    <w:rsid w:val="004B0236"/>
    <w:rsid w:val="004B09B9"/>
    <w:rsid w:val="004B0BA0"/>
    <w:rsid w:val="004B184D"/>
    <w:rsid w:val="004B1B6C"/>
    <w:rsid w:val="004B1CB4"/>
    <w:rsid w:val="004B1F12"/>
    <w:rsid w:val="004B1F71"/>
    <w:rsid w:val="004B263B"/>
    <w:rsid w:val="004B29B0"/>
    <w:rsid w:val="004B2B6A"/>
    <w:rsid w:val="004B2C42"/>
    <w:rsid w:val="004B2F18"/>
    <w:rsid w:val="004B3C36"/>
    <w:rsid w:val="004B3DDB"/>
    <w:rsid w:val="004B4016"/>
    <w:rsid w:val="004B4113"/>
    <w:rsid w:val="004B44FD"/>
    <w:rsid w:val="004B4C07"/>
    <w:rsid w:val="004B5593"/>
    <w:rsid w:val="004B5854"/>
    <w:rsid w:val="004B58E3"/>
    <w:rsid w:val="004B5B2D"/>
    <w:rsid w:val="004B5CFC"/>
    <w:rsid w:val="004B5EB9"/>
    <w:rsid w:val="004B66BE"/>
    <w:rsid w:val="004B6DFC"/>
    <w:rsid w:val="004B6F79"/>
    <w:rsid w:val="004B70C2"/>
    <w:rsid w:val="004B72AA"/>
    <w:rsid w:val="004B774D"/>
    <w:rsid w:val="004C0247"/>
    <w:rsid w:val="004C040E"/>
    <w:rsid w:val="004C04E2"/>
    <w:rsid w:val="004C0A25"/>
    <w:rsid w:val="004C0F66"/>
    <w:rsid w:val="004C13FF"/>
    <w:rsid w:val="004C1601"/>
    <w:rsid w:val="004C17C2"/>
    <w:rsid w:val="004C1BE1"/>
    <w:rsid w:val="004C1D6D"/>
    <w:rsid w:val="004C1FA0"/>
    <w:rsid w:val="004C1FAC"/>
    <w:rsid w:val="004C24B8"/>
    <w:rsid w:val="004C27C5"/>
    <w:rsid w:val="004C2AC2"/>
    <w:rsid w:val="004C31EB"/>
    <w:rsid w:val="004C35F9"/>
    <w:rsid w:val="004C3B02"/>
    <w:rsid w:val="004C4073"/>
    <w:rsid w:val="004C4AED"/>
    <w:rsid w:val="004C4C5B"/>
    <w:rsid w:val="004C4D61"/>
    <w:rsid w:val="004C4ED9"/>
    <w:rsid w:val="004C5D82"/>
    <w:rsid w:val="004C62FD"/>
    <w:rsid w:val="004C661F"/>
    <w:rsid w:val="004C6E04"/>
    <w:rsid w:val="004C6E32"/>
    <w:rsid w:val="004C74B2"/>
    <w:rsid w:val="004C7720"/>
    <w:rsid w:val="004C7D9A"/>
    <w:rsid w:val="004D0072"/>
    <w:rsid w:val="004D04FE"/>
    <w:rsid w:val="004D056D"/>
    <w:rsid w:val="004D07C8"/>
    <w:rsid w:val="004D08CB"/>
    <w:rsid w:val="004D0D56"/>
    <w:rsid w:val="004D0FED"/>
    <w:rsid w:val="004D1978"/>
    <w:rsid w:val="004D22A9"/>
    <w:rsid w:val="004D2502"/>
    <w:rsid w:val="004D2621"/>
    <w:rsid w:val="004D2645"/>
    <w:rsid w:val="004D27C9"/>
    <w:rsid w:val="004D2847"/>
    <w:rsid w:val="004D2AF9"/>
    <w:rsid w:val="004D2C2D"/>
    <w:rsid w:val="004D2D6E"/>
    <w:rsid w:val="004D3046"/>
    <w:rsid w:val="004D39F3"/>
    <w:rsid w:val="004D4576"/>
    <w:rsid w:val="004D4B31"/>
    <w:rsid w:val="004D4BF1"/>
    <w:rsid w:val="004D4D09"/>
    <w:rsid w:val="004D4D70"/>
    <w:rsid w:val="004D4F42"/>
    <w:rsid w:val="004D4F4B"/>
    <w:rsid w:val="004D50D6"/>
    <w:rsid w:val="004D56C6"/>
    <w:rsid w:val="004D5C2C"/>
    <w:rsid w:val="004D5D32"/>
    <w:rsid w:val="004D60E1"/>
    <w:rsid w:val="004D6624"/>
    <w:rsid w:val="004D69B5"/>
    <w:rsid w:val="004D6A2C"/>
    <w:rsid w:val="004D6B1B"/>
    <w:rsid w:val="004D6DF0"/>
    <w:rsid w:val="004D6E59"/>
    <w:rsid w:val="004D717D"/>
    <w:rsid w:val="004D7227"/>
    <w:rsid w:val="004D72E1"/>
    <w:rsid w:val="004D7638"/>
    <w:rsid w:val="004D7B12"/>
    <w:rsid w:val="004D7B5E"/>
    <w:rsid w:val="004D7BD2"/>
    <w:rsid w:val="004D7EA0"/>
    <w:rsid w:val="004E01DE"/>
    <w:rsid w:val="004E0E7F"/>
    <w:rsid w:val="004E0EB8"/>
    <w:rsid w:val="004E1085"/>
    <w:rsid w:val="004E1145"/>
    <w:rsid w:val="004E1513"/>
    <w:rsid w:val="004E18E9"/>
    <w:rsid w:val="004E1A40"/>
    <w:rsid w:val="004E1C4A"/>
    <w:rsid w:val="004E21F0"/>
    <w:rsid w:val="004E2352"/>
    <w:rsid w:val="004E2ADC"/>
    <w:rsid w:val="004E2F34"/>
    <w:rsid w:val="004E3116"/>
    <w:rsid w:val="004E321B"/>
    <w:rsid w:val="004E3A47"/>
    <w:rsid w:val="004E3B47"/>
    <w:rsid w:val="004E41E2"/>
    <w:rsid w:val="004E4233"/>
    <w:rsid w:val="004E426E"/>
    <w:rsid w:val="004E43B2"/>
    <w:rsid w:val="004E441C"/>
    <w:rsid w:val="004E4B9D"/>
    <w:rsid w:val="004E4F7F"/>
    <w:rsid w:val="004E5336"/>
    <w:rsid w:val="004E540F"/>
    <w:rsid w:val="004E569B"/>
    <w:rsid w:val="004E5AC6"/>
    <w:rsid w:val="004E67D2"/>
    <w:rsid w:val="004E70B9"/>
    <w:rsid w:val="004E728A"/>
    <w:rsid w:val="004E7D81"/>
    <w:rsid w:val="004E7E18"/>
    <w:rsid w:val="004E7E85"/>
    <w:rsid w:val="004F0087"/>
    <w:rsid w:val="004F00F9"/>
    <w:rsid w:val="004F0BD9"/>
    <w:rsid w:val="004F1094"/>
    <w:rsid w:val="004F1158"/>
    <w:rsid w:val="004F1CC4"/>
    <w:rsid w:val="004F1D02"/>
    <w:rsid w:val="004F2679"/>
    <w:rsid w:val="004F2C58"/>
    <w:rsid w:val="004F2F21"/>
    <w:rsid w:val="004F3532"/>
    <w:rsid w:val="004F3A4A"/>
    <w:rsid w:val="004F3DE5"/>
    <w:rsid w:val="004F3ED8"/>
    <w:rsid w:val="004F419F"/>
    <w:rsid w:val="004F4743"/>
    <w:rsid w:val="004F49DD"/>
    <w:rsid w:val="004F4A77"/>
    <w:rsid w:val="004F6848"/>
    <w:rsid w:val="004F6913"/>
    <w:rsid w:val="004F69E8"/>
    <w:rsid w:val="004F6A55"/>
    <w:rsid w:val="004F6A71"/>
    <w:rsid w:val="004F6EEE"/>
    <w:rsid w:val="004F7169"/>
    <w:rsid w:val="004F71F8"/>
    <w:rsid w:val="004F7865"/>
    <w:rsid w:val="004F7D99"/>
    <w:rsid w:val="00500454"/>
    <w:rsid w:val="00500903"/>
    <w:rsid w:val="0050097C"/>
    <w:rsid w:val="005009B9"/>
    <w:rsid w:val="00500A6D"/>
    <w:rsid w:val="00500D80"/>
    <w:rsid w:val="005010BA"/>
    <w:rsid w:val="0050174E"/>
    <w:rsid w:val="00501854"/>
    <w:rsid w:val="00501D57"/>
    <w:rsid w:val="00501E18"/>
    <w:rsid w:val="00502154"/>
    <w:rsid w:val="00502178"/>
    <w:rsid w:val="0050219B"/>
    <w:rsid w:val="00502CC2"/>
    <w:rsid w:val="00502D37"/>
    <w:rsid w:val="0050300F"/>
    <w:rsid w:val="00503746"/>
    <w:rsid w:val="00503D9D"/>
    <w:rsid w:val="00503E60"/>
    <w:rsid w:val="00503E72"/>
    <w:rsid w:val="00503F17"/>
    <w:rsid w:val="00503F3A"/>
    <w:rsid w:val="005042CE"/>
    <w:rsid w:val="0050469B"/>
    <w:rsid w:val="0050489B"/>
    <w:rsid w:val="005049E3"/>
    <w:rsid w:val="00504B72"/>
    <w:rsid w:val="00505F75"/>
    <w:rsid w:val="0050673C"/>
    <w:rsid w:val="00506928"/>
    <w:rsid w:val="00506C02"/>
    <w:rsid w:val="00506D1F"/>
    <w:rsid w:val="00506D7F"/>
    <w:rsid w:val="00506DD5"/>
    <w:rsid w:val="005070F4"/>
    <w:rsid w:val="005077EF"/>
    <w:rsid w:val="00507F5A"/>
    <w:rsid w:val="00507FF2"/>
    <w:rsid w:val="00510471"/>
    <w:rsid w:val="00510CDF"/>
    <w:rsid w:val="00510E0D"/>
    <w:rsid w:val="00510F0E"/>
    <w:rsid w:val="00511AD5"/>
    <w:rsid w:val="00511DC7"/>
    <w:rsid w:val="00511EBD"/>
    <w:rsid w:val="00511F35"/>
    <w:rsid w:val="00512B37"/>
    <w:rsid w:val="00512D5B"/>
    <w:rsid w:val="00512F07"/>
    <w:rsid w:val="005130C0"/>
    <w:rsid w:val="0051360C"/>
    <w:rsid w:val="00513652"/>
    <w:rsid w:val="00513F6A"/>
    <w:rsid w:val="005142C5"/>
    <w:rsid w:val="0051443A"/>
    <w:rsid w:val="0051482D"/>
    <w:rsid w:val="00514DAA"/>
    <w:rsid w:val="0051501B"/>
    <w:rsid w:val="0051522D"/>
    <w:rsid w:val="005152B5"/>
    <w:rsid w:val="005156FD"/>
    <w:rsid w:val="0051587D"/>
    <w:rsid w:val="00515886"/>
    <w:rsid w:val="00515BD1"/>
    <w:rsid w:val="00515DFD"/>
    <w:rsid w:val="005161C6"/>
    <w:rsid w:val="0051621E"/>
    <w:rsid w:val="005166DE"/>
    <w:rsid w:val="00516858"/>
    <w:rsid w:val="0051688C"/>
    <w:rsid w:val="005170C3"/>
    <w:rsid w:val="005177C1"/>
    <w:rsid w:val="00517A01"/>
    <w:rsid w:val="0052039D"/>
    <w:rsid w:val="0052046E"/>
    <w:rsid w:val="005206C3"/>
    <w:rsid w:val="00520960"/>
    <w:rsid w:val="0052123C"/>
    <w:rsid w:val="00521319"/>
    <w:rsid w:val="005217CD"/>
    <w:rsid w:val="00522556"/>
    <w:rsid w:val="00522579"/>
    <w:rsid w:val="00522999"/>
    <w:rsid w:val="00522A1A"/>
    <w:rsid w:val="00522BC8"/>
    <w:rsid w:val="00522E0E"/>
    <w:rsid w:val="005235FF"/>
    <w:rsid w:val="005237E5"/>
    <w:rsid w:val="0052391A"/>
    <w:rsid w:val="00523C28"/>
    <w:rsid w:val="00523EAE"/>
    <w:rsid w:val="00524224"/>
    <w:rsid w:val="00524D17"/>
    <w:rsid w:val="00524D2F"/>
    <w:rsid w:val="0052517A"/>
    <w:rsid w:val="00525FF3"/>
    <w:rsid w:val="005265A0"/>
    <w:rsid w:val="005269ED"/>
    <w:rsid w:val="00526CAD"/>
    <w:rsid w:val="00526EFE"/>
    <w:rsid w:val="00527307"/>
    <w:rsid w:val="0052731D"/>
    <w:rsid w:val="005273E3"/>
    <w:rsid w:val="005273F0"/>
    <w:rsid w:val="005276E5"/>
    <w:rsid w:val="0052777C"/>
    <w:rsid w:val="00527A6F"/>
    <w:rsid w:val="00527AA4"/>
    <w:rsid w:val="00527F06"/>
    <w:rsid w:val="005301E3"/>
    <w:rsid w:val="00530852"/>
    <w:rsid w:val="00531349"/>
    <w:rsid w:val="0053176B"/>
    <w:rsid w:val="005321F8"/>
    <w:rsid w:val="00532ACB"/>
    <w:rsid w:val="00532F72"/>
    <w:rsid w:val="00533687"/>
    <w:rsid w:val="00533984"/>
    <w:rsid w:val="00533EF2"/>
    <w:rsid w:val="005341B3"/>
    <w:rsid w:val="005344E4"/>
    <w:rsid w:val="00534E9C"/>
    <w:rsid w:val="00534F68"/>
    <w:rsid w:val="0053534B"/>
    <w:rsid w:val="00535E09"/>
    <w:rsid w:val="00535F48"/>
    <w:rsid w:val="00536857"/>
    <w:rsid w:val="00536934"/>
    <w:rsid w:val="005369DD"/>
    <w:rsid w:val="00536F42"/>
    <w:rsid w:val="005370E3"/>
    <w:rsid w:val="00537182"/>
    <w:rsid w:val="0053732E"/>
    <w:rsid w:val="005405AA"/>
    <w:rsid w:val="00540652"/>
    <w:rsid w:val="0054082F"/>
    <w:rsid w:val="005408AC"/>
    <w:rsid w:val="00541DCD"/>
    <w:rsid w:val="00541DD3"/>
    <w:rsid w:val="00541EDD"/>
    <w:rsid w:val="005420D5"/>
    <w:rsid w:val="005422FD"/>
    <w:rsid w:val="0054248A"/>
    <w:rsid w:val="00542590"/>
    <w:rsid w:val="00542743"/>
    <w:rsid w:val="005428AE"/>
    <w:rsid w:val="00542989"/>
    <w:rsid w:val="00542C2D"/>
    <w:rsid w:val="00543326"/>
    <w:rsid w:val="00543604"/>
    <w:rsid w:val="005438A4"/>
    <w:rsid w:val="00543B9D"/>
    <w:rsid w:val="00543D75"/>
    <w:rsid w:val="0054445F"/>
    <w:rsid w:val="0054453C"/>
    <w:rsid w:val="005445FD"/>
    <w:rsid w:val="00544835"/>
    <w:rsid w:val="00544C77"/>
    <w:rsid w:val="00544E3C"/>
    <w:rsid w:val="0054506B"/>
    <w:rsid w:val="005450F6"/>
    <w:rsid w:val="0054550A"/>
    <w:rsid w:val="0054572E"/>
    <w:rsid w:val="00545847"/>
    <w:rsid w:val="005458E7"/>
    <w:rsid w:val="00545A3B"/>
    <w:rsid w:val="00545AE0"/>
    <w:rsid w:val="00545B56"/>
    <w:rsid w:val="00545BC6"/>
    <w:rsid w:val="00545C9D"/>
    <w:rsid w:val="00545FE4"/>
    <w:rsid w:val="00546664"/>
    <w:rsid w:val="0054684F"/>
    <w:rsid w:val="00546979"/>
    <w:rsid w:val="00546B47"/>
    <w:rsid w:val="00546B89"/>
    <w:rsid w:val="00546FAC"/>
    <w:rsid w:val="0054732A"/>
    <w:rsid w:val="005478BD"/>
    <w:rsid w:val="005479E3"/>
    <w:rsid w:val="00547D18"/>
    <w:rsid w:val="00547DE2"/>
    <w:rsid w:val="005500F2"/>
    <w:rsid w:val="00550392"/>
    <w:rsid w:val="005504F2"/>
    <w:rsid w:val="0055051A"/>
    <w:rsid w:val="0055079E"/>
    <w:rsid w:val="00550AE3"/>
    <w:rsid w:val="00550F79"/>
    <w:rsid w:val="005515B0"/>
    <w:rsid w:val="00551629"/>
    <w:rsid w:val="00551985"/>
    <w:rsid w:val="0055259A"/>
    <w:rsid w:val="005527A3"/>
    <w:rsid w:val="005528FC"/>
    <w:rsid w:val="00552A13"/>
    <w:rsid w:val="00552BD3"/>
    <w:rsid w:val="005532A0"/>
    <w:rsid w:val="005542F7"/>
    <w:rsid w:val="0055443E"/>
    <w:rsid w:val="00554454"/>
    <w:rsid w:val="00554477"/>
    <w:rsid w:val="0055481E"/>
    <w:rsid w:val="005550C0"/>
    <w:rsid w:val="00555109"/>
    <w:rsid w:val="0055562F"/>
    <w:rsid w:val="00555917"/>
    <w:rsid w:val="00555A91"/>
    <w:rsid w:val="0055608F"/>
    <w:rsid w:val="00556502"/>
    <w:rsid w:val="00556B35"/>
    <w:rsid w:val="0055741A"/>
    <w:rsid w:val="00557E2C"/>
    <w:rsid w:val="00557EA2"/>
    <w:rsid w:val="00557F3B"/>
    <w:rsid w:val="0056075F"/>
    <w:rsid w:val="00560DE8"/>
    <w:rsid w:val="00560F9F"/>
    <w:rsid w:val="005610DF"/>
    <w:rsid w:val="005611B7"/>
    <w:rsid w:val="0056159C"/>
    <w:rsid w:val="005618D4"/>
    <w:rsid w:val="0056198B"/>
    <w:rsid w:val="00561C5E"/>
    <w:rsid w:val="00561D05"/>
    <w:rsid w:val="00561ED5"/>
    <w:rsid w:val="00562101"/>
    <w:rsid w:val="00562326"/>
    <w:rsid w:val="00562F54"/>
    <w:rsid w:val="0056396A"/>
    <w:rsid w:val="00563A06"/>
    <w:rsid w:val="00563B11"/>
    <w:rsid w:val="00563CCC"/>
    <w:rsid w:val="00563F43"/>
    <w:rsid w:val="005646CE"/>
    <w:rsid w:val="00564867"/>
    <w:rsid w:val="005648F6"/>
    <w:rsid w:val="00565C79"/>
    <w:rsid w:val="00565CF0"/>
    <w:rsid w:val="00565DF0"/>
    <w:rsid w:val="00565E83"/>
    <w:rsid w:val="00565ED8"/>
    <w:rsid w:val="00565F94"/>
    <w:rsid w:val="0056696F"/>
    <w:rsid w:val="00566A4D"/>
    <w:rsid w:val="00566B28"/>
    <w:rsid w:val="00567227"/>
    <w:rsid w:val="0056725A"/>
    <w:rsid w:val="00567290"/>
    <w:rsid w:val="005674BA"/>
    <w:rsid w:val="00567597"/>
    <w:rsid w:val="005675FE"/>
    <w:rsid w:val="005676E6"/>
    <w:rsid w:val="00567A06"/>
    <w:rsid w:val="00570207"/>
    <w:rsid w:val="0057072D"/>
    <w:rsid w:val="005707EC"/>
    <w:rsid w:val="00570AC5"/>
    <w:rsid w:val="005713C7"/>
    <w:rsid w:val="00571542"/>
    <w:rsid w:val="00571693"/>
    <w:rsid w:val="00571FEC"/>
    <w:rsid w:val="00572269"/>
    <w:rsid w:val="0057244A"/>
    <w:rsid w:val="005727A9"/>
    <w:rsid w:val="005727B4"/>
    <w:rsid w:val="00572868"/>
    <w:rsid w:val="00572948"/>
    <w:rsid w:val="00572F26"/>
    <w:rsid w:val="00573112"/>
    <w:rsid w:val="00573547"/>
    <w:rsid w:val="005735F5"/>
    <w:rsid w:val="005736D9"/>
    <w:rsid w:val="00573726"/>
    <w:rsid w:val="00573F40"/>
    <w:rsid w:val="0057441B"/>
    <w:rsid w:val="0057480E"/>
    <w:rsid w:val="00574B6B"/>
    <w:rsid w:val="005750C5"/>
    <w:rsid w:val="005752DE"/>
    <w:rsid w:val="0057564B"/>
    <w:rsid w:val="00575D44"/>
    <w:rsid w:val="00575D60"/>
    <w:rsid w:val="00575D8D"/>
    <w:rsid w:val="00575DA0"/>
    <w:rsid w:val="00575DDB"/>
    <w:rsid w:val="00575F7D"/>
    <w:rsid w:val="005768EE"/>
    <w:rsid w:val="00576972"/>
    <w:rsid w:val="005769AF"/>
    <w:rsid w:val="00576B56"/>
    <w:rsid w:val="00577187"/>
    <w:rsid w:val="00577248"/>
    <w:rsid w:val="0057744D"/>
    <w:rsid w:val="00580C93"/>
    <w:rsid w:val="00580E28"/>
    <w:rsid w:val="0058137C"/>
    <w:rsid w:val="0058160D"/>
    <w:rsid w:val="00581D9E"/>
    <w:rsid w:val="00581FD9"/>
    <w:rsid w:val="005820A9"/>
    <w:rsid w:val="00582B20"/>
    <w:rsid w:val="00583699"/>
    <w:rsid w:val="00583821"/>
    <w:rsid w:val="005839B3"/>
    <w:rsid w:val="00583BA7"/>
    <w:rsid w:val="00583C8E"/>
    <w:rsid w:val="00583F5B"/>
    <w:rsid w:val="00584762"/>
    <w:rsid w:val="00584C22"/>
    <w:rsid w:val="005856BE"/>
    <w:rsid w:val="00585CDD"/>
    <w:rsid w:val="00585FB2"/>
    <w:rsid w:val="00587058"/>
    <w:rsid w:val="00587550"/>
    <w:rsid w:val="0058787C"/>
    <w:rsid w:val="00587EB0"/>
    <w:rsid w:val="00587F8C"/>
    <w:rsid w:val="0059036C"/>
    <w:rsid w:val="00590F01"/>
    <w:rsid w:val="005911C9"/>
    <w:rsid w:val="00591432"/>
    <w:rsid w:val="005914E0"/>
    <w:rsid w:val="00591957"/>
    <w:rsid w:val="0059203A"/>
    <w:rsid w:val="00592705"/>
    <w:rsid w:val="0059298B"/>
    <w:rsid w:val="00592BD2"/>
    <w:rsid w:val="00592F3B"/>
    <w:rsid w:val="005931B6"/>
    <w:rsid w:val="005941D7"/>
    <w:rsid w:val="00594494"/>
    <w:rsid w:val="00594529"/>
    <w:rsid w:val="005945A4"/>
    <w:rsid w:val="00594EB8"/>
    <w:rsid w:val="0059522B"/>
    <w:rsid w:val="0059524D"/>
    <w:rsid w:val="00595ADD"/>
    <w:rsid w:val="0059616C"/>
    <w:rsid w:val="005964E8"/>
    <w:rsid w:val="0059669A"/>
    <w:rsid w:val="00596C92"/>
    <w:rsid w:val="00596DA3"/>
    <w:rsid w:val="00596F33"/>
    <w:rsid w:val="005975C9"/>
    <w:rsid w:val="00597BF9"/>
    <w:rsid w:val="005A0514"/>
    <w:rsid w:val="005A0C11"/>
    <w:rsid w:val="005A1ED3"/>
    <w:rsid w:val="005A2098"/>
    <w:rsid w:val="005A2145"/>
    <w:rsid w:val="005A2430"/>
    <w:rsid w:val="005A2456"/>
    <w:rsid w:val="005A2497"/>
    <w:rsid w:val="005A309A"/>
    <w:rsid w:val="005A3376"/>
    <w:rsid w:val="005A3440"/>
    <w:rsid w:val="005A373D"/>
    <w:rsid w:val="005A3835"/>
    <w:rsid w:val="005A3967"/>
    <w:rsid w:val="005A3A55"/>
    <w:rsid w:val="005A4505"/>
    <w:rsid w:val="005A4940"/>
    <w:rsid w:val="005A4AA9"/>
    <w:rsid w:val="005A5172"/>
    <w:rsid w:val="005A5227"/>
    <w:rsid w:val="005A5429"/>
    <w:rsid w:val="005A5744"/>
    <w:rsid w:val="005A59A7"/>
    <w:rsid w:val="005A59E1"/>
    <w:rsid w:val="005A5B46"/>
    <w:rsid w:val="005A5C11"/>
    <w:rsid w:val="005A5D1A"/>
    <w:rsid w:val="005A5E5B"/>
    <w:rsid w:val="005A7B8E"/>
    <w:rsid w:val="005B02B4"/>
    <w:rsid w:val="005B0718"/>
    <w:rsid w:val="005B0B58"/>
    <w:rsid w:val="005B0D6F"/>
    <w:rsid w:val="005B1231"/>
    <w:rsid w:val="005B1921"/>
    <w:rsid w:val="005B1D6C"/>
    <w:rsid w:val="005B24DC"/>
    <w:rsid w:val="005B2631"/>
    <w:rsid w:val="005B3804"/>
    <w:rsid w:val="005B4151"/>
    <w:rsid w:val="005B4407"/>
    <w:rsid w:val="005B4E53"/>
    <w:rsid w:val="005B4E92"/>
    <w:rsid w:val="005B4F36"/>
    <w:rsid w:val="005B57CB"/>
    <w:rsid w:val="005B5857"/>
    <w:rsid w:val="005B5865"/>
    <w:rsid w:val="005B5A20"/>
    <w:rsid w:val="005B6083"/>
    <w:rsid w:val="005B642D"/>
    <w:rsid w:val="005B687E"/>
    <w:rsid w:val="005B6D5A"/>
    <w:rsid w:val="005B7009"/>
    <w:rsid w:val="005B7098"/>
    <w:rsid w:val="005B713E"/>
    <w:rsid w:val="005B7287"/>
    <w:rsid w:val="005B7448"/>
    <w:rsid w:val="005B7E5E"/>
    <w:rsid w:val="005C02AB"/>
    <w:rsid w:val="005C0A8E"/>
    <w:rsid w:val="005C0E54"/>
    <w:rsid w:val="005C10BC"/>
    <w:rsid w:val="005C19C4"/>
    <w:rsid w:val="005C19FE"/>
    <w:rsid w:val="005C1B83"/>
    <w:rsid w:val="005C1F0F"/>
    <w:rsid w:val="005C21EE"/>
    <w:rsid w:val="005C2336"/>
    <w:rsid w:val="005C23FF"/>
    <w:rsid w:val="005C25FF"/>
    <w:rsid w:val="005C29EA"/>
    <w:rsid w:val="005C2A9F"/>
    <w:rsid w:val="005C2AB8"/>
    <w:rsid w:val="005C2D55"/>
    <w:rsid w:val="005C3306"/>
    <w:rsid w:val="005C3458"/>
    <w:rsid w:val="005C346B"/>
    <w:rsid w:val="005C3767"/>
    <w:rsid w:val="005C3A71"/>
    <w:rsid w:val="005C3D38"/>
    <w:rsid w:val="005C3FF6"/>
    <w:rsid w:val="005C4031"/>
    <w:rsid w:val="005C4215"/>
    <w:rsid w:val="005C470B"/>
    <w:rsid w:val="005C4C1E"/>
    <w:rsid w:val="005C4D57"/>
    <w:rsid w:val="005C5ABC"/>
    <w:rsid w:val="005C5C35"/>
    <w:rsid w:val="005C5FEF"/>
    <w:rsid w:val="005C6688"/>
    <w:rsid w:val="005C680B"/>
    <w:rsid w:val="005C6B41"/>
    <w:rsid w:val="005C74BF"/>
    <w:rsid w:val="005C781C"/>
    <w:rsid w:val="005D044D"/>
    <w:rsid w:val="005D0731"/>
    <w:rsid w:val="005D0932"/>
    <w:rsid w:val="005D0ABD"/>
    <w:rsid w:val="005D0D18"/>
    <w:rsid w:val="005D0E65"/>
    <w:rsid w:val="005D10C8"/>
    <w:rsid w:val="005D1520"/>
    <w:rsid w:val="005D18AD"/>
    <w:rsid w:val="005D21AD"/>
    <w:rsid w:val="005D26B4"/>
    <w:rsid w:val="005D2BDA"/>
    <w:rsid w:val="005D2FC7"/>
    <w:rsid w:val="005D3243"/>
    <w:rsid w:val="005D369F"/>
    <w:rsid w:val="005D393A"/>
    <w:rsid w:val="005D3C99"/>
    <w:rsid w:val="005D3DE6"/>
    <w:rsid w:val="005D4269"/>
    <w:rsid w:val="005D450B"/>
    <w:rsid w:val="005D451C"/>
    <w:rsid w:val="005D4A3E"/>
    <w:rsid w:val="005D4EDB"/>
    <w:rsid w:val="005D5571"/>
    <w:rsid w:val="005D615A"/>
    <w:rsid w:val="005D6324"/>
    <w:rsid w:val="005D7305"/>
    <w:rsid w:val="005D79A6"/>
    <w:rsid w:val="005E0048"/>
    <w:rsid w:val="005E0EFE"/>
    <w:rsid w:val="005E0F51"/>
    <w:rsid w:val="005E143A"/>
    <w:rsid w:val="005E1572"/>
    <w:rsid w:val="005E16E7"/>
    <w:rsid w:val="005E1995"/>
    <w:rsid w:val="005E1F4A"/>
    <w:rsid w:val="005E1F8E"/>
    <w:rsid w:val="005E20CC"/>
    <w:rsid w:val="005E21D2"/>
    <w:rsid w:val="005E2407"/>
    <w:rsid w:val="005E242A"/>
    <w:rsid w:val="005E2F23"/>
    <w:rsid w:val="005E2FE6"/>
    <w:rsid w:val="005E4183"/>
    <w:rsid w:val="005E45AA"/>
    <w:rsid w:val="005E464A"/>
    <w:rsid w:val="005E4F83"/>
    <w:rsid w:val="005E5189"/>
    <w:rsid w:val="005E52C2"/>
    <w:rsid w:val="005E5915"/>
    <w:rsid w:val="005E5A01"/>
    <w:rsid w:val="005E5A44"/>
    <w:rsid w:val="005E5F88"/>
    <w:rsid w:val="005E60C5"/>
    <w:rsid w:val="005E61E6"/>
    <w:rsid w:val="005E6CBC"/>
    <w:rsid w:val="005E6CC6"/>
    <w:rsid w:val="005E72EE"/>
    <w:rsid w:val="005E72FF"/>
    <w:rsid w:val="005E73C0"/>
    <w:rsid w:val="005E797F"/>
    <w:rsid w:val="005F0579"/>
    <w:rsid w:val="005F05B7"/>
    <w:rsid w:val="005F07ED"/>
    <w:rsid w:val="005F0DE2"/>
    <w:rsid w:val="005F1154"/>
    <w:rsid w:val="005F14F9"/>
    <w:rsid w:val="005F153C"/>
    <w:rsid w:val="005F162D"/>
    <w:rsid w:val="005F1C3E"/>
    <w:rsid w:val="005F1EA7"/>
    <w:rsid w:val="005F22CA"/>
    <w:rsid w:val="005F2706"/>
    <w:rsid w:val="005F2E4A"/>
    <w:rsid w:val="005F316A"/>
    <w:rsid w:val="005F3A9D"/>
    <w:rsid w:val="005F3B0E"/>
    <w:rsid w:val="005F3BA7"/>
    <w:rsid w:val="005F3FC7"/>
    <w:rsid w:val="005F4324"/>
    <w:rsid w:val="005F4B54"/>
    <w:rsid w:val="005F4E6C"/>
    <w:rsid w:val="005F5128"/>
    <w:rsid w:val="005F539B"/>
    <w:rsid w:val="005F55F3"/>
    <w:rsid w:val="005F5ACD"/>
    <w:rsid w:val="005F5B80"/>
    <w:rsid w:val="005F632E"/>
    <w:rsid w:val="005F69C8"/>
    <w:rsid w:val="005F6A8F"/>
    <w:rsid w:val="005F6BB7"/>
    <w:rsid w:val="005F70EF"/>
    <w:rsid w:val="005F7588"/>
    <w:rsid w:val="006006B5"/>
    <w:rsid w:val="00600BDA"/>
    <w:rsid w:val="0060111F"/>
    <w:rsid w:val="006015EB"/>
    <w:rsid w:val="00601938"/>
    <w:rsid w:val="00601A45"/>
    <w:rsid w:val="00601ECC"/>
    <w:rsid w:val="00601F92"/>
    <w:rsid w:val="006021DB"/>
    <w:rsid w:val="006024B2"/>
    <w:rsid w:val="006028D3"/>
    <w:rsid w:val="006031A4"/>
    <w:rsid w:val="00603394"/>
    <w:rsid w:val="0060356E"/>
    <w:rsid w:val="00603DB9"/>
    <w:rsid w:val="00604607"/>
    <w:rsid w:val="00604927"/>
    <w:rsid w:val="00604E4D"/>
    <w:rsid w:val="00604FAE"/>
    <w:rsid w:val="00604FD1"/>
    <w:rsid w:val="00604FF2"/>
    <w:rsid w:val="00605568"/>
    <w:rsid w:val="0060674E"/>
    <w:rsid w:val="00606FBA"/>
    <w:rsid w:val="006071FF"/>
    <w:rsid w:val="00607669"/>
    <w:rsid w:val="006076F4"/>
    <w:rsid w:val="006077F4"/>
    <w:rsid w:val="00607ADC"/>
    <w:rsid w:val="00607AFD"/>
    <w:rsid w:val="006103E4"/>
    <w:rsid w:val="006107DA"/>
    <w:rsid w:val="00610DB5"/>
    <w:rsid w:val="00611156"/>
    <w:rsid w:val="0061118C"/>
    <w:rsid w:val="006114DB"/>
    <w:rsid w:val="0061159D"/>
    <w:rsid w:val="006118A1"/>
    <w:rsid w:val="006118B0"/>
    <w:rsid w:val="00611AD7"/>
    <w:rsid w:val="00611B12"/>
    <w:rsid w:val="00611E07"/>
    <w:rsid w:val="00612007"/>
    <w:rsid w:val="00612393"/>
    <w:rsid w:val="00612995"/>
    <w:rsid w:val="006129D3"/>
    <w:rsid w:val="00612F97"/>
    <w:rsid w:val="0061345D"/>
    <w:rsid w:val="00613476"/>
    <w:rsid w:val="00613853"/>
    <w:rsid w:val="00613E10"/>
    <w:rsid w:val="00614E07"/>
    <w:rsid w:val="00614FAE"/>
    <w:rsid w:val="0061549B"/>
    <w:rsid w:val="00615A40"/>
    <w:rsid w:val="00615B33"/>
    <w:rsid w:val="00615B5B"/>
    <w:rsid w:val="00615CAA"/>
    <w:rsid w:val="00616634"/>
    <w:rsid w:val="00616802"/>
    <w:rsid w:val="00616AAA"/>
    <w:rsid w:val="00616DC4"/>
    <w:rsid w:val="00617318"/>
    <w:rsid w:val="006174C6"/>
    <w:rsid w:val="00617731"/>
    <w:rsid w:val="00617E12"/>
    <w:rsid w:val="00617F73"/>
    <w:rsid w:val="00620372"/>
    <w:rsid w:val="006206E7"/>
    <w:rsid w:val="00620BC6"/>
    <w:rsid w:val="00620C25"/>
    <w:rsid w:val="00621367"/>
    <w:rsid w:val="00621477"/>
    <w:rsid w:val="0062171C"/>
    <w:rsid w:val="0062185D"/>
    <w:rsid w:val="00621ADA"/>
    <w:rsid w:val="00621F24"/>
    <w:rsid w:val="0062206D"/>
    <w:rsid w:val="00622120"/>
    <w:rsid w:val="00622334"/>
    <w:rsid w:val="00622373"/>
    <w:rsid w:val="0062293E"/>
    <w:rsid w:val="00622A27"/>
    <w:rsid w:val="00622B62"/>
    <w:rsid w:val="00622D27"/>
    <w:rsid w:val="00623159"/>
    <w:rsid w:val="0062324E"/>
    <w:rsid w:val="00623378"/>
    <w:rsid w:val="00623453"/>
    <w:rsid w:val="0062359C"/>
    <w:rsid w:val="006237A7"/>
    <w:rsid w:val="00623DFD"/>
    <w:rsid w:val="00623F7B"/>
    <w:rsid w:val="00624044"/>
    <w:rsid w:val="006244E8"/>
    <w:rsid w:val="00624BD4"/>
    <w:rsid w:val="00625E83"/>
    <w:rsid w:val="00626121"/>
    <w:rsid w:val="00626160"/>
    <w:rsid w:val="006261F9"/>
    <w:rsid w:val="006264A3"/>
    <w:rsid w:val="006268D6"/>
    <w:rsid w:val="00627338"/>
    <w:rsid w:val="00630140"/>
    <w:rsid w:val="006301B6"/>
    <w:rsid w:val="006308BD"/>
    <w:rsid w:val="00630907"/>
    <w:rsid w:val="0063135B"/>
    <w:rsid w:val="0063158F"/>
    <w:rsid w:val="00631D6B"/>
    <w:rsid w:val="00631ECF"/>
    <w:rsid w:val="00632183"/>
    <w:rsid w:val="006322D4"/>
    <w:rsid w:val="00632EA0"/>
    <w:rsid w:val="00632FFC"/>
    <w:rsid w:val="006330A1"/>
    <w:rsid w:val="006336DA"/>
    <w:rsid w:val="006336E4"/>
    <w:rsid w:val="00633BE2"/>
    <w:rsid w:val="00633DFB"/>
    <w:rsid w:val="00634079"/>
    <w:rsid w:val="00634630"/>
    <w:rsid w:val="0063479F"/>
    <w:rsid w:val="00634CE2"/>
    <w:rsid w:val="00635181"/>
    <w:rsid w:val="006353F0"/>
    <w:rsid w:val="00635734"/>
    <w:rsid w:val="0063578B"/>
    <w:rsid w:val="006357B5"/>
    <w:rsid w:val="0063597E"/>
    <w:rsid w:val="00635FC0"/>
    <w:rsid w:val="006360BA"/>
    <w:rsid w:val="006361FB"/>
    <w:rsid w:val="006364A1"/>
    <w:rsid w:val="00636736"/>
    <w:rsid w:val="0063678E"/>
    <w:rsid w:val="00637201"/>
    <w:rsid w:val="0063724A"/>
    <w:rsid w:val="00637A9B"/>
    <w:rsid w:val="00637BFD"/>
    <w:rsid w:val="00637C5C"/>
    <w:rsid w:val="0064006F"/>
    <w:rsid w:val="006409FC"/>
    <w:rsid w:val="00640CC9"/>
    <w:rsid w:val="00640E3E"/>
    <w:rsid w:val="00640F62"/>
    <w:rsid w:val="00640F7F"/>
    <w:rsid w:val="00640FB3"/>
    <w:rsid w:val="00641409"/>
    <w:rsid w:val="00641B3E"/>
    <w:rsid w:val="00641C4E"/>
    <w:rsid w:val="00641CA4"/>
    <w:rsid w:val="00641FB3"/>
    <w:rsid w:val="00642007"/>
    <w:rsid w:val="00642080"/>
    <w:rsid w:val="00642583"/>
    <w:rsid w:val="006425EC"/>
    <w:rsid w:val="00642647"/>
    <w:rsid w:val="0064265D"/>
    <w:rsid w:val="00642FA9"/>
    <w:rsid w:val="006434EB"/>
    <w:rsid w:val="00643834"/>
    <w:rsid w:val="006441EA"/>
    <w:rsid w:val="0064434C"/>
    <w:rsid w:val="006451C7"/>
    <w:rsid w:val="00645231"/>
    <w:rsid w:val="00645E4A"/>
    <w:rsid w:val="00646040"/>
    <w:rsid w:val="00646189"/>
    <w:rsid w:val="006462A3"/>
    <w:rsid w:val="0064660F"/>
    <w:rsid w:val="00646719"/>
    <w:rsid w:val="00646A34"/>
    <w:rsid w:val="006471CC"/>
    <w:rsid w:val="006472FE"/>
    <w:rsid w:val="0064735F"/>
    <w:rsid w:val="00647373"/>
    <w:rsid w:val="0064737E"/>
    <w:rsid w:val="00647383"/>
    <w:rsid w:val="00647605"/>
    <w:rsid w:val="006476DA"/>
    <w:rsid w:val="0064777B"/>
    <w:rsid w:val="0064786C"/>
    <w:rsid w:val="00647A29"/>
    <w:rsid w:val="00647B70"/>
    <w:rsid w:val="00650287"/>
    <w:rsid w:val="006504B7"/>
    <w:rsid w:val="0065079F"/>
    <w:rsid w:val="00650F85"/>
    <w:rsid w:val="006515DA"/>
    <w:rsid w:val="00652059"/>
    <w:rsid w:val="00652372"/>
    <w:rsid w:val="006526AE"/>
    <w:rsid w:val="006529A5"/>
    <w:rsid w:val="00652A28"/>
    <w:rsid w:val="0065307A"/>
    <w:rsid w:val="0065310A"/>
    <w:rsid w:val="006531BE"/>
    <w:rsid w:val="0065379F"/>
    <w:rsid w:val="00653875"/>
    <w:rsid w:val="00654025"/>
    <w:rsid w:val="006540DA"/>
    <w:rsid w:val="00654237"/>
    <w:rsid w:val="006554C2"/>
    <w:rsid w:val="00655A0D"/>
    <w:rsid w:val="00655AD1"/>
    <w:rsid w:val="00655AE0"/>
    <w:rsid w:val="0065610D"/>
    <w:rsid w:val="00656188"/>
    <w:rsid w:val="00656628"/>
    <w:rsid w:val="00657150"/>
    <w:rsid w:val="0065715A"/>
    <w:rsid w:val="006572AD"/>
    <w:rsid w:val="0065761F"/>
    <w:rsid w:val="00657789"/>
    <w:rsid w:val="00657F23"/>
    <w:rsid w:val="00660230"/>
    <w:rsid w:val="00660309"/>
    <w:rsid w:val="00660722"/>
    <w:rsid w:val="0066083A"/>
    <w:rsid w:val="00660C41"/>
    <w:rsid w:val="006610F1"/>
    <w:rsid w:val="006612EE"/>
    <w:rsid w:val="00661C6B"/>
    <w:rsid w:val="006620AE"/>
    <w:rsid w:val="00662230"/>
    <w:rsid w:val="00662491"/>
    <w:rsid w:val="00662787"/>
    <w:rsid w:val="00662BE9"/>
    <w:rsid w:val="00662D3E"/>
    <w:rsid w:val="00663526"/>
    <w:rsid w:val="00663595"/>
    <w:rsid w:val="00663784"/>
    <w:rsid w:val="00663986"/>
    <w:rsid w:val="00663B35"/>
    <w:rsid w:val="00663DCC"/>
    <w:rsid w:val="00663E20"/>
    <w:rsid w:val="0066401A"/>
    <w:rsid w:val="006643DE"/>
    <w:rsid w:val="0066497C"/>
    <w:rsid w:val="006653EB"/>
    <w:rsid w:val="00665784"/>
    <w:rsid w:val="00665914"/>
    <w:rsid w:val="00665E8A"/>
    <w:rsid w:val="0066606D"/>
    <w:rsid w:val="006660CF"/>
    <w:rsid w:val="0066619C"/>
    <w:rsid w:val="006662C0"/>
    <w:rsid w:val="00666380"/>
    <w:rsid w:val="00666739"/>
    <w:rsid w:val="00666818"/>
    <w:rsid w:val="00666C93"/>
    <w:rsid w:val="00667658"/>
    <w:rsid w:val="00667875"/>
    <w:rsid w:val="00667BE3"/>
    <w:rsid w:val="00670249"/>
    <w:rsid w:val="00670493"/>
    <w:rsid w:val="00670AA6"/>
    <w:rsid w:val="00670B93"/>
    <w:rsid w:val="00671004"/>
    <w:rsid w:val="006711C0"/>
    <w:rsid w:val="00671351"/>
    <w:rsid w:val="00671513"/>
    <w:rsid w:val="00671872"/>
    <w:rsid w:val="006718C2"/>
    <w:rsid w:val="00671A2B"/>
    <w:rsid w:val="00671AEC"/>
    <w:rsid w:val="00672027"/>
    <w:rsid w:val="00672646"/>
    <w:rsid w:val="00672837"/>
    <w:rsid w:val="006739A2"/>
    <w:rsid w:val="00673C20"/>
    <w:rsid w:val="006742C7"/>
    <w:rsid w:val="0067453C"/>
    <w:rsid w:val="00674D18"/>
    <w:rsid w:val="00674E42"/>
    <w:rsid w:val="00675273"/>
    <w:rsid w:val="006752A7"/>
    <w:rsid w:val="00675444"/>
    <w:rsid w:val="00675694"/>
    <w:rsid w:val="00675994"/>
    <w:rsid w:val="006759E7"/>
    <w:rsid w:val="00675AA0"/>
    <w:rsid w:val="00676155"/>
    <w:rsid w:val="00676563"/>
    <w:rsid w:val="00676B5A"/>
    <w:rsid w:val="00677489"/>
    <w:rsid w:val="00677913"/>
    <w:rsid w:val="00677D9E"/>
    <w:rsid w:val="00677FB0"/>
    <w:rsid w:val="006806BF"/>
    <w:rsid w:val="0068070F"/>
    <w:rsid w:val="0068074D"/>
    <w:rsid w:val="006813CD"/>
    <w:rsid w:val="006813F8"/>
    <w:rsid w:val="00682112"/>
    <w:rsid w:val="006821C4"/>
    <w:rsid w:val="006825DB"/>
    <w:rsid w:val="00682BA6"/>
    <w:rsid w:val="00682BE7"/>
    <w:rsid w:val="00682D20"/>
    <w:rsid w:val="00684679"/>
    <w:rsid w:val="0068484C"/>
    <w:rsid w:val="00684AA8"/>
    <w:rsid w:val="00684C83"/>
    <w:rsid w:val="00685615"/>
    <w:rsid w:val="0068569D"/>
    <w:rsid w:val="00685723"/>
    <w:rsid w:val="00685944"/>
    <w:rsid w:val="00685CBD"/>
    <w:rsid w:val="00685EEA"/>
    <w:rsid w:val="006862BC"/>
    <w:rsid w:val="006864C2"/>
    <w:rsid w:val="006864F8"/>
    <w:rsid w:val="00686878"/>
    <w:rsid w:val="00686957"/>
    <w:rsid w:val="00686BF4"/>
    <w:rsid w:val="00686D27"/>
    <w:rsid w:val="00686D7A"/>
    <w:rsid w:val="00686F42"/>
    <w:rsid w:val="00686FAF"/>
    <w:rsid w:val="006872BA"/>
    <w:rsid w:val="0068769C"/>
    <w:rsid w:val="00687828"/>
    <w:rsid w:val="00687C88"/>
    <w:rsid w:val="0069000D"/>
    <w:rsid w:val="00690363"/>
    <w:rsid w:val="00690675"/>
    <w:rsid w:val="00690795"/>
    <w:rsid w:val="0069104E"/>
    <w:rsid w:val="006914B4"/>
    <w:rsid w:val="0069153F"/>
    <w:rsid w:val="00691648"/>
    <w:rsid w:val="006916E3"/>
    <w:rsid w:val="006917D7"/>
    <w:rsid w:val="00691D0D"/>
    <w:rsid w:val="00691E5D"/>
    <w:rsid w:val="0069237B"/>
    <w:rsid w:val="00692845"/>
    <w:rsid w:val="00692E27"/>
    <w:rsid w:val="00693411"/>
    <w:rsid w:val="006934A9"/>
    <w:rsid w:val="006938A0"/>
    <w:rsid w:val="00693EDA"/>
    <w:rsid w:val="006940A7"/>
    <w:rsid w:val="0069434C"/>
    <w:rsid w:val="00694A39"/>
    <w:rsid w:val="00694AE6"/>
    <w:rsid w:val="00694F44"/>
    <w:rsid w:val="0069571A"/>
    <w:rsid w:val="0069581D"/>
    <w:rsid w:val="00695890"/>
    <w:rsid w:val="00695B68"/>
    <w:rsid w:val="0069611F"/>
    <w:rsid w:val="00696A19"/>
    <w:rsid w:val="00696EE6"/>
    <w:rsid w:val="00696EF9"/>
    <w:rsid w:val="00696F00"/>
    <w:rsid w:val="00696F51"/>
    <w:rsid w:val="00697589"/>
    <w:rsid w:val="006975A8"/>
    <w:rsid w:val="006979A5"/>
    <w:rsid w:val="00697E94"/>
    <w:rsid w:val="006A0151"/>
    <w:rsid w:val="006A016F"/>
    <w:rsid w:val="006A01C9"/>
    <w:rsid w:val="006A0336"/>
    <w:rsid w:val="006A052D"/>
    <w:rsid w:val="006A0DC1"/>
    <w:rsid w:val="006A0DF7"/>
    <w:rsid w:val="006A0F7A"/>
    <w:rsid w:val="006A1103"/>
    <w:rsid w:val="006A119C"/>
    <w:rsid w:val="006A12D5"/>
    <w:rsid w:val="006A14AC"/>
    <w:rsid w:val="006A1579"/>
    <w:rsid w:val="006A188D"/>
    <w:rsid w:val="006A2155"/>
    <w:rsid w:val="006A2619"/>
    <w:rsid w:val="006A2A1D"/>
    <w:rsid w:val="006A2DA4"/>
    <w:rsid w:val="006A3CF7"/>
    <w:rsid w:val="006A4321"/>
    <w:rsid w:val="006A43D9"/>
    <w:rsid w:val="006A440B"/>
    <w:rsid w:val="006A4413"/>
    <w:rsid w:val="006A533D"/>
    <w:rsid w:val="006A57A6"/>
    <w:rsid w:val="006A5D5F"/>
    <w:rsid w:val="006A5D60"/>
    <w:rsid w:val="006A603D"/>
    <w:rsid w:val="006A6137"/>
    <w:rsid w:val="006A6448"/>
    <w:rsid w:val="006A65BD"/>
    <w:rsid w:val="006A65BE"/>
    <w:rsid w:val="006A67AE"/>
    <w:rsid w:val="006A6B99"/>
    <w:rsid w:val="006A749A"/>
    <w:rsid w:val="006A7B67"/>
    <w:rsid w:val="006A7E5F"/>
    <w:rsid w:val="006A7FA9"/>
    <w:rsid w:val="006B0164"/>
    <w:rsid w:val="006B06D6"/>
    <w:rsid w:val="006B078E"/>
    <w:rsid w:val="006B088C"/>
    <w:rsid w:val="006B08FF"/>
    <w:rsid w:val="006B0AE7"/>
    <w:rsid w:val="006B0D13"/>
    <w:rsid w:val="006B1649"/>
    <w:rsid w:val="006B18BD"/>
    <w:rsid w:val="006B1B5A"/>
    <w:rsid w:val="006B1CB8"/>
    <w:rsid w:val="006B1FF3"/>
    <w:rsid w:val="006B22A3"/>
    <w:rsid w:val="006B22DE"/>
    <w:rsid w:val="006B23CE"/>
    <w:rsid w:val="006B25C0"/>
    <w:rsid w:val="006B261B"/>
    <w:rsid w:val="006B273C"/>
    <w:rsid w:val="006B2C70"/>
    <w:rsid w:val="006B2C90"/>
    <w:rsid w:val="006B2E58"/>
    <w:rsid w:val="006B35D7"/>
    <w:rsid w:val="006B35E6"/>
    <w:rsid w:val="006B3AB6"/>
    <w:rsid w:val="006B465A"/>
    <w:rsid w:val="006B4B6D"/>
    <w:rsid w:val="006B5A4E"/>
    <w:rsid w:val="006B5F50"/>
    <w:rsid w:val="006B6DD0"/>
    <w:rsid w:val="006B6E9C"/>
    <w:rsid w:val="006B739F"/>
    <w:rsid w:val="006B75C1"/>
    <w:rsid w:val="006B75F2"/>
    <w:rsid w:val="006B7C43"/>
    <w:rsid w:val="006B7E0F"/>
    <w:rsid w:val="006B7ED1"/>
    <w:rsid w:val="006B7F26"/>
    <w:rsid w:val="006C012A"/>
    <w:rsid w:val="006C0399"/>
    <w:rsid w:val="006C0461"/>
    <w:rsid w:val="006C0575"/>
    <w:rsid w:val="006C09C7"/>
    <w:rsid w:val="006C10CE"/>
    <w:rsid w:val="006C1108"/>
    <w:rsid w:val="006C11CB"/>
    <w:rsid w:val="006C1202"/>
    <w:rsid w:val="006C1F90"/>
    <w:rsid w:val="006C2454"/>
    <w:rsid w:val="006C2906"/>
    <w:rsid w:val="006C29A3"/>
    <w:rsid w:val="006C2A8E"/>
    <w:rsid w:val="006C2BD9"/>
    <w:rsid w:val="006C2E48"/>
    <w:rsid w:val="006C3255"/>
    <w:rsid w:val="006C3651"/>
    <w:rsid w:val="006C3D43"/>
    <w:rsid w:val="006C3F26"/>
    <w:rsid w:val="006C4A00"/>
    <w:rsid w:val="006C4CAE"/>
    <w:rsid w:val="006C5550"/>
    <w:rsid w:val="006C57A5"/>
    <w:rsid w:val="006C5BBC"/>
    <w:rsid w:val="006C605D"/>
    <w:rsid w:val="006C6889"/>
    <w:rsid w:val="006C699F"/>
    <w:rsid w:val="006C6C21"/>
    <w:rsid w:val="006C6CE5"/>
    <w:rsid w:val="006C6F8E"/>
    <w:rsid w:val="006C7335"/>
    <w:rsid w:val="006C762C"/>
    <w:rsid w:val="006D007A"/>
    <w:rsid w:val="006D076F"/>
    <w:rsid w:val="006D0A75"/>
    <w:rsid w:val="006D0D17"/>
    <w:rsid w:val="006D1B8F"/>
    <w:rsid w:val="006D2686"/>
    <w:rsid w:val="006D26E1"/>
    <w:rsid w:val="006D27E0"/>
    <w:rsid w:val="006D2F65"/>
    <w:rsid w:val="006D30C1"/>
    <w:rsid w:val="006D338A"/>
    <w:rsid w:val="006D3545"/>
    <w:rsid w:val="006D3992"/>
    <w:rsid w:val="006D3A04"/>
    <w:rsid w:val="006D3C7D"/>
    <w:rsid w:val="006D3E29"/>
    <w:rsid w:val="006D3FC8"/>
    <w:rsid w:val="006D410C"/>
    <w:rsid w:val="006D4184"/>
    <w:rsid w:val="006D41CD"/>
    <w:rsid w:val="006D4602"/>
    <w:rsid w:val="006D4659"/>
    <w:rsid w:val="006D4CE1"/>
    <w:rsid w:val="006D4E1C"/>
    <w:rsid w:val="006D5BF7"/>
    <w:rsid w:val="006D5D5F"/>
    <w:rsid w:val="006D68FB"/>
    <w:rsid w:val="006D6A13"/>
    <w:rsid w:val="006D6A93"/>
    <w:rsid w:val="006D6DC7"/>
    <w:rsid w:val="006D6F1B"/>
    <w:rsid w:val="006D7033"/>
    <w:rsid w:val="006D71DE"/>
    <w:rsid w:val="006D783F"/>
    <w:rsid w:val="006D7B2F"/>
    <w:rsid w:val="006E1150"/>
    <w:rsid w:val="006E134C"/>
    <w:rsid w:val="006E167B"/>
    <w:rsid w:val="006E169A"/>
    <w:rsid w:val="006E203D"/>
    <w:rsid w:val="006E215C"/>
    <w:rsid w:val="006E2726"/>
    <w:rsid w:val="006E2868"/>
    <w:rsid w:val="006E2CAF"/>
    <w:rsid w:val="006E2F4D"/>
    <w:rsid w:val="006E3067"/>
    <w:rsid w:val="006E3390"/>
    <w:rsid w:val="006E33BE"/>
    <w:rsid w:val="006E380E"/>
    <w:rsid w:val="006E3927"/>
    <w:rsid w:val="006E3B4D"/>
    <w:rsid w:val="006E3FA8"/>
    <w:rsid w:val="006E4421"/>
    <w:rsid w:val="006E46DB"/>
    <w:rsid w:val="006E4703"/>
    <w:rsid w:val="006E47A5"/>
    <w:rsid w:val="006E49FE"/>
    <w:rsid w:val="006E5111"/>
    <w:rsid w:val="006E51E4"/>
    <w:rsid w:val="006E523B"/>
    <w:rsid w:val="006E5310"/>
    <w:rsid w:val="006E53E5"/>
    <w:rsid w:val="006E56D9"/>
    <w:rsid w:val="006E5961"/>
    <w:rsid w:val="006E5B58"/>
    <w:rsid w:val="006E5C1B"/>
    <w:rsid w:val="006E5C6E"/>
    <w:rsid w:val="006E5ED4"/>
    <w:rsid w:val="006E60AC"/>
    <w:rsid w:val="006E6713"/>
    <w:rsid w:val="006E671E"/>
    <w:rsid w:val="006E6A16"/>
    <w:rsid w:val="006E76A6"/>
    <w:rsid w:val="006E78EB"/>
    <w:rsid w:val="006E7E97"/>
    <w:rsid w:val="006E7FC9"/>
    <w:rsid w:val="006F0161"/>
    <w:rsid w:val="006F030F"/>
    <w:rsid w:val="006F0C5E"/>
    <w:rsid w:val="006F0E0A"/>
    <w:rsid w:val="006F10AF"/>
    <w:rsid w:val="006F115E"/>
    <w:rsid w:val="006F1182"/>
    <w:rsid w:val="006F12B2"/>
    <w:rsid w:val="006F1546"/>
    <w:rsid w:val="006F16A4"/>
    <w:rsid w:val="006F1909"/>
    <w:rsid w:val="006F1A3F"/>
    <w:rsid w:val="006F1BE3"/>
    <w:rsid w:val="006F2954"/>
    <w:rsid w:val="006F2BA0"/>
    <w:rsid w:val="006F306C"/>
    <w:rsid w:val="006F3A8C"/>
    <w:rsid w:val="006F3FC0"/>
    <w:rsid w:val="006F42C4"/>
    <w:rsid w:val="006F4931"/>
    <w:rsid w:val="006F49F8"/>
    <w:rsid w:val="006F4E49"/>
    <w:rsid w:val="006F5364"/>
    <w:rsid w:val="006F53F8"/>
    <w:rsid w:val="006F55C2"/>
    <w:rsid w:val="006F5793"/>
    <w:rsid w:val="006F5AF1"/>
    <w:rsid w:val="006F6150"/>
    <w:rsid w:val="006F61A0"/>
    <w:rsid w:val="006F63A5"/>
    <w:rsid w:val="006F652D"/>
    <w:rsid w:val="006F66E8"/>
    <w:rsid w:val="006F68C8"/>
    <w:rsid w:val="006F6A47"/>
    <w:rsid w:val="006F6E68"/>
    <w:rsid w:val="006F7276"/>
    <w:rsid w:val="006F73C9"/>
    <w:rsid w:val="006F764C"/>
    <w:rsid w:val="006F7994"/>
    <w:rsid w:val="00700174"/>
    <w:rsid w:val="00700310"/>
    <w:rsid w:val="007007DF"/>
    <w:rsid w:val="0070142B"/>
    <w:rsid w:val="0070157C"/>
    <w:rsid w:val="00701612"/>
    <w:rsid w:val="00701730"/>
    <w:rsid w:val="00701AA5"/>
    <w:rsid w:val="00701D7E"/>
    <w:rsid w:val="007022C8"/>
    <w:rsid w:val="0070276E"/>
    <w:rsid w:val="00702793"/>
    <w:rsid w:val="007027D8"/>
    <w:rsid w:val="00702F8F"/>
    <w:rsid w:val="00703229"/>
    <w:rsid w:val="00703931"/>
    <w:rsid w:val="007039B2"/>
    <w:rsid w:val="00704289"/>
    <w:rsid w:val="007043D2"/>
    <w:rsid w:val="00704ACC"/>
    <w:rsid w:val="00705649"/>
    <w:rsid w:val="00705917"/>
    <w:rsid w:val="00705C88"/>
    <w:rsid w:val="00705DB0"/>
    <w:rsid w:val="00705F0C"/>
    <w:rsid w:val="00706728"/>
    <w:rsid w:val="007079FC"/>
    <w:rsid w:val="00707A41"/>
    <w:rsid w:val="00707ED1"/>
    <w:rsid w:val="00707FBE"/>
    <w:rsid w:val="00710137"/>
    <w:rsid w:val="00710360"/>
    <w:rsid w:val="00710500"/>
    <w:rsid w:val="007106F2"/>
    <w:rsid w:val="00711A36"/>
    <w:rsid w:val="00711AE8"/>
    <w:rsid w:val="0071250A"/>
    <w:rsid w:val="007125D3"/>
    <w:rsid w:val="007136BC"/>
    <w:rsid w:val="00713895"/>
    <w:rsid w:val="00713D4D"/>
    <w:rsid w:val="007140D6"/>
    <w:rsid w:val="00714266"/>
    <w:rsid w:val="0071435C"/>
    <w:rsid w:val="007145F7"/>
    <w:rsid w:val="007146F9"/>
    <w:rsid w:val="0071495E"/>
    <w:rsid w:val="00714AB3"/>
    <w:rsid w:val="00714C26"/>
    <w:rsid w:val="00714FEE"/>
    <w:rsid w:val="0071529C"/>
    <w:rsid w:val="0071552A"/>
    <w:rsid w:val="0071566D"/>
    <w:rsid w:val="007156AE"/>
    <w:rsid w:val="0071571B"/>
    <w:rsid w:val="0071618C"/>
    <w:rsid w:val="0071637B"/>
    <w:rsid w:val="00716FB7"/>
    <w:rsid w:val="007170DA"/>
    <w:rsid w:val="007171D7"/>
    <w:rsid w:val="007172AD"/>
    <w:rsid w:val="00717506"/>
    <w:rsid w:val="00717546"/>
    <w:rsid w:val="00717987"/>
    <w:rsid w:val="00720207"/>
    <w:rsid w:val="00720283"/>
    <w:rsid w:val="0072058C"/>
    <w:rsid w:val="00720801"/>
    <w:rsid w:val="00720AB2"/>
    <w:rsid w:val="00720C84"/>
    <w:rsid w:val="00720E90"/>
    <w:rsid w:val="007213D5"/>
    <w:rsid w:val="007216B1"/>
    <w:rsid w:val="00721DFE"/>
    <w:rsid w:val="00722348"/>
    <w:rsid w:val="007226D1"/>
    <w:rsid w:val="0072279E"/>
    <w:rsid w:val="00722A67"/>
    <w:rsid w:val="00722B1B"/>
    <w:rsid w:val="00722C7A"/>
    <w:rsid w:val="00722F20"/>
    <w:rsid w:val="00723AD3"/>
    <w:rsid w:val="00723CCA"/>
    <w:rsid w:val="00723DCD"/>
    <w:rsid w:val="00723EAD"/>
    <w:rsid w:val="0072416F"/>
    <w:rsid w:val="00724456"/>
    <w:rsid w:val="00724D1F"/>
    <w:rsid w:val="00725072"/>
    <w:rsid w:val="00725E80"/>
    <w:rsid w:val="00726173"/>
    <w:rsid w:val="00726471"/>
    <w:rsid w:val="00726713"/>
    <w:rsid w:val="00726936"/>
    <w:rsid w:val="00727243"/>
    <w:rsid w:val="00727594"/>
    <w:rsid w:val="0072762F"/>
    <w:rsid w:val="00727A10"/>
    <w:rsid w:val="00727BA9"/>
    <w:rsid w:val="00727C94"/>
    <w:rsid w:val="00727EC8"/>
    <w:rsid w:val="0073081E"/>
    <w:rsid w:val="00731A59"/>
    <w:rsid w:val="00731ADC"/>
    <w:rsid w:val="00731B0A"/>
    <w:rsid w:val="00731EAE"/>
    <w:rsid w:val="007320D6"/>
    <w:rsid w:val="00732896"/>
    <w:rsid w:val="00732BE6"/>
    <w:rsid w:val="00732C52"/>
    <w:rsid w:val="00732FAB"/>
    <w:rsid w:val="00733073"/>
    <w:rsid w:val="00733544"/>
    <w:rsid w:val="00733B87"/>
    <w:rsid w:val="00733BB4"/>
    <w:rsid w:val="0073409A"/>
    <w:rsid w:val="007340A4"/>
    <w:rsid w:val="00734200"/>
    <w:rsid w:val="007347BC"/>
    <w:rsid w:val="00734BEB"/>
    <w:rsid w:val="00734DA9"/>
    <w:rsid w:val="00735033"/>
    <w:rsid w:val="007350EC"/>
    <w:rsid w:val="007351DC"/>
    <w:rsid w:val="00735328"/>
    <w:rsid w:val="007353F8"/>
    <w:rsid w:val="00735A8D"/>
    <w:rsid w:val="00735AD9"/>
    <w:rsid w:val="00735EA0"/>
    <w:rsid w:val="0073646C"/>
    <w:rsid w:val="0073677D"/>
    <w:rsid w:val="0073685B"/>
    <w:rsid w:val="00736FEB"/>
    <w:rsid w:val="0073777F"/>
    <w:rsid w:val="00737D38"/>
    <w:rsid w:val="00737D3B"/>
    <w:rsid w:val="007405C9"/>
    <w:rsid w:val="00740C81"/>
    <w:rsid w:val="00740D42"/>
    <w:rsid w:val="00740E27"/>
    <w:rsid w:val="007410D5"/>
    <w:rsid w:val="00741E4F"/>
    <w:rsid w:val="0074280D"/>
    <w:rsid w:val="00742C73"/>
    <w:rsid w:val="00742DD8"/>
    <w:rsid w:val="00743F82"/>
    <w:rsid w:val="00743F89"/>
    <w:rsid w:val="007441BB"/>
    <w:rsid w:val="007449BF"/>
    <w:rsid w:val="0074571F"/>
    <w:rsid w:val="00745B46"/>
    <w:rsid w:val="00746029"/>
    <w:rsid w:val="00746240"/>
    <w:rsid w:val="007463FE"/>
    <w:rsid w:val="00746477"/>
    <w:rsid w:val="00746BC0"/>
    <w:rsid w:val="0074709B"/>
    <w:rsid w:val="00747141"/>
    <w:rsid w:val="007475D7"/>
    <w:rsid w:val="00747861"/>
    <w:rsid w:val="00747A87"/>
    <w:rsid w:val="00747EBC"/>
    <w:rsid w:val="00747EE5"/>
    <w:rsid w:val="007502A8"/>
    <w:rsid w:val="00750838"/>
    <w:rsid w:val="007508B6"/>
    <w:rsid w:val="0075094F"/>
    <w:rsid w:val="00750C26"/>
    <w:rsid w:val="00750C81"/>
    <w:rsid w:val="007510B4"/>
    <w:rsid w:val="00751330"/>
    <w:rsid w:val="00751EA8"/>
    <w:rsid w:val="00752142"/>
    <w:rsid w:val="007523F9"/>
    <w:rsid w:val="007524BA"/>
    <w:rsid w:val="00752F1A"/>
    <w:rsid w:val="00752F93"/>
    <w:rsid w:val="0075357E"/>
    <w:rsid w:val="007538F2"/>
    <w:rsid w:val="00753B29"/>
    <w:rsid w:val="00753CE8"/>
    <w:rsid w:val="00754959"/>
    <w:rsid w:val="00754A72"/>
    <w:rsid w:val="00755139"/>
    <w:rsid w:val="00755187"/>
    <w:rsid w:val="007554FE"/>
    <w:rsid w:val="00755A9F"/>
    <w:rsid w:val="00755CBD"/>
    <w:rsid w:val="00755DD5"/>
    <w:rsid w:val="00755F80"/>
    <w:rsid w:val="00756118"/>
    <w:rsid w:val="00756B77"/>
    <w:rsid w:val="00756D23"/>
    <w:rsid w:val="00756F7B"/>
    <w:rsid w:val="007573E8"/>
    <w:rsid w:val="00757556"/>
    <w:rsid w:val="00760599"/>
    <w:rsid w:val="007607B9"/>
    <w:rsid w:val="0076086D"/>
    <w:rsid w:val="00760BE9"/>
    <w:rsid w:val="00760C4E"/>
    <w:rsid w:val="00760DC9"/>
    <w:rsid w:val="00760F21"/>
    <w:rsid w:val="00760F41"/>
    <w:rsid w:val="00760F9E"/>
    <w:rsid w:val="007616E6"/>
    <w:rsid w:val="00761FCA"/>
    <w:rsid w:val="00762747"/>
    <w:rsid w:val="007627BE"/>
    <w:rsid w:val="007629AB"/>
    <w:rsid w:val="0076318F"/>
    <w:rsid w:val="00763769"/>
    <w:rsid w:val="007646DF"/>
    <w:rsid w:val="00764859"/>
    <w:rsid w:val="00764F03"/>
    <w:rsid w:val="00765062"/>
    <w:rsid w:val="007650F9"/>
    <w:rsid w:val="00765435"/>
    <w:rsid w:val="0076569A"/>
    <w:rsid w:val="0076575F"/>
    <w:rsid w:val="007659AA"/>
    <w:rsid w:val="00765B1A"/>
    <w:rsid w:val="00765C58"/>
    <w:rsid w:val="00765C99"/>
    <w:rsid w:val="00765DC1"/>
    <w:rsid w:val="00765DDE"/>
    <w:rsid w:val="00766115"/>
    <w:rsid w:val="007664C1"/>
    <w:rsid w:val="00766516"/>
    <w:rsid w:val="00766ADD"/>
    <w:rsid w:val="00766BF0"/>
    <w:rsid w:val="00766CC0"/>
    <w:rsid w:val="00766CEB"/>
    <w:rsid w:val="00767266"/>
    <w:rsid w:val="00770064"/>
    <w:rsid w:val="0077018B"/>
    <w:rsid w:val="00770248"/>
    <w:rsid w:val="00770497"/>
    <w:rsid w:val="007706EE"/>
    <w:rsid w:val="007709AA"/>
    <w:rsid w:val="00770B3E"/>
    <w:rsid w:val="00770B82"/>
    <w:rsid w:val="00771196"/>
    <w:rsid w:val="00771669"/>
    <w:rsid w:val="0077208E"/>
    <w:rsid w:val="00772975"/>
    <w:rsid w:val="00772FD8"/>
    <w:rsid w:val="007730AB"/>
    <w:rsid w:val="00773325"/>
    <w:rsid w:val="00773427"/>
    <w:rsid w:val="00774149"/>
    <w:rsid w:val="007745E2"/>
    <w:rsid w:val="007748E5"/>
    <w:rsid w:val="00774ABE"/>
    <w:rsid w:val="00774EED"/>
    <w:rsid w:val="00775014"/>
    <w:rsid w:val="00775227"/>
    <w:rsid w:val="0077539B"/>
    <w:rsid w:val="007756D3"/>
    <w:rsid w:val="0077578D"/>
    <w:rsid w:val="00775D38"/>
    <w:rsid w:val="00775FFD"/>
    <w:rsid w:val="0077629A"/>
    <w:rsid w:val="00776390"/>
    <w:rsid w:val="007766C5"/>
    <w:rsid w:val="00776828"/>
    <w:rsid w:val="00776A29"/>
    <w:rsid w:val="00776D71"/>
    <w:rsid w:val="00776FCC"/>
    <w:rsid w:val="007772BA"/>
    <w:rsid w:val="00777335"/>
    <w:rsid w:val="00777538"/>
    <w:rsid w:val="00777821"/>
    <w:rsid w:val="00777C57"/>
    <w:rsid w:val="00777C64"/>
    <w:rsid w:val="00777D33"/>
    <w:rsid w:val="00777ED6"/>
    <w:rsid w:val="0078006E"/>
    <w:rsid w:val="0078018F"/>
    <w:rsid w:val="00780325"/>
    <w:rsid w:val="007806B4"/>
    <w:rsid w:val="00780CD9"/>
    <w:rsid w:val="00780DD0"/>
    <w:rsid w:val="007813AB"/>
    <w:rsid w:val="007819AC"/>
    <w:rsid w:val="00781AD2"/>
    <w:rsid w:val="00781CBA"/>
    <w:rsid w:val="007821EB"/>
    <w:rsid w:val="00782519"/>
    <w:rsid w:val="00782884"/>
    <w:rsid w:val="0078305E"/>
    <w:rsid w:val="00783715"/>
    <w:rsid w:val="00783D71"/>
    <w:rsid w:val="00784082"/>
    <w:rsid w:val="007843F2"/>
    <w:rsid w:val="0078447E"/>
    <w:rsid w:val="007844F3"/>
    <w:rsid w:val="0078459E"/>
    <w:rsid w:val="007846FA"/>
    <w:rsid w:val="00784C78"/>
    <w:rsid w:val="0078577D"/>
    <w:rsid w:val="00785A9F"/>
    <w:rsid w:val="007863D1"/>
    <w:rsid w:val="00786B02"/>
    <w:rsid w:val="007870BC"/>
    <w:rsid w:val="0078743E"/>
    <w:rsid w:val="00787877"/>
    <w:rsid w:val="00787B0F"/>
    <w:rsid w:val="00787C97"/>
    <w:rsid w:val="0079014A"/>
    <w:rsid w:val="00790322"/>
    <w:rsid w:val="00790C23"/>
    <w:rsid w:val="00790C9B"/>
    <w:rsid w:val="00790D47"/>
    <w:rsid w:val="00791F92"/>
    <w:rsid w:val="00791FEC"/>
    <w:rsid w:val="007922BE"/>
    <w:rsid w:val="007923DC"/>
    <w:rsid w:val="007925DF"/>
    <w:rsid w:val="0079285A"/>
    <w:rsid w:val="00792A93"/>
    <w:rsid w:val="00793162"/>
    <w:rsid w:val="007935FD"/>
    <w:rsid w:val="007939C4"/>
    <w:rsid w:val="00793A3D"/>
    <w:rsid w:val="00793E81"/>
    <w:rsid w:val="00793F78"/>
    <w:rsid w:val="007940F1"/>
    <w:rsid w:val="007942B6"/>
    <w:rsid w:val="00794BAB"/>
    <w:rsid w:val="00794D41"/>
    <w:rsid w:val="00794D50"/>
    <w:rsid w:val="00794F9C"/>
    <w:rsid w:val="007957E8"/>
    <w:rsid w:val="00795B16"/>
    <w:rsid w:val="00795D4F"/>
    <w:rsid w:val="00795DEA"/>
    <w:rsid w:val="00796092"/>
    <w:rsid w:val="007963D6"/>
    <w:rsid w:val="00796501"/>
    <w:rsid w:val="007965D0"/>
    <w:rsid w:val="00796D98"/>
    <w:rsid w:val="00796F2D"/>
    <w:rsid w:val="0079753C"/>
    <w:rsid w:val="00797834"/>
    <w:rsid w:val="00797928"/>
    <w:rsid w:val="00797DCB"/>
    <w:rsid w:val="007A006A"/>
    <w:rsid w:val="007A085E"/>
    <w:rsid w:val="007A08AA"/>
    <w:rsid w:val="007A0A12"/>
    <w:rsid w:val="007A0BFB"/>
    <w:rsid w:val="007A12F9"/>
    <w:rsid w:val="007A132D"/>
    <w:rsid w:val="007A1345"/>
    <w:rsid w:val="007A1B5F"/>
    <w:rsid w:val="007A1B7B"/>
    <w:rsid w:val="007A1C5C"/>
    <w:rsid w:val="007A1E85"/>
    <w:rsid w:val="007A23A0"/>
    <w:rsid w:val="007A2481"/>
    <w:rsid w:val="007A2613"/>
    <w:rsid w:val="007A28F9"/>
    <w:rsid w:val="007A2DDB"/>
    <w:rsid w:val="007A428A"/>
    <w:rsid w:val="007A4619"/>
    <w:rsid w:val="007A500D"/>
    <w:rsid w:val="007A505B"/>
    <w:rsid w:val="007A54AF"/>
    <w:rsid w:val="007A5ADC"/>
    <w:rsid w:val="007A6D23"/>
    <w:rsid w:val="007A6EF1"/>
    <w:rsid w:val="007A70BA"/>
    <w:rsid w:val="007A7109"/>
    <w:rsid w:val="007A7131"/>
    <w:rsid w:val="007A71DA"/>
    <w:rsid w:val="007A7274"/>
    <w:rsid w:val="007A7A81"/>
    <w:rsid w:val="007B0012"/>
    <w:rsid w:val="007B08BB"/>
    <w:rsid w:val="007B0B70"/>
    <w:rsid w:val="007B0D68"/>
    <w:rsid w:val="007B1C31"/>
    <w:rsid w:val="007B1DBF"/>
    <w:rsid w:val="007B251D"/>
    <w:rsid w:val="007B2BBD"/>
    <w:rsid w:val="007B2DED"/>
    <w:rsid w:val="007B3533"/>
    <w:rsid w:val="007B3AC5"/>
    <w:rsid w:val="007B4792"/>
    <w:rsid w:val="007B4966"/>
    <w:rsid w:val="007B4D5D"/>
    <w:rsid w:val="007B4F58"/>
    <w:rsid w:val="007B528D"/>
    <w:rsid w:val="007B5C78"/>
    <w:rsid w:val="007B5E4E"/>
    <w:rsid w:val="007B63CA"/>
    <w:rsid w:val="007B6457"/>
    <w:rsid w:val="007B6A55"/>
    <w:rsid w:val="007B6B3E"/>
    <w:rsid w:val="007B6EBE"/>
    <w:rsid w:val="007B6FDF"/>
    <w:rsid w:val="007B6FE9"/>
    <w:rsid w:val="007B775D"/>
    <w:rsid w:val="007B77D1"/>
    <w:rsid w:val="007B7EAB"/>
    <w:rsid w:val="007B7F9B"/>
    <w:rsid w:val="007C00F6"/>
    <w:rsid w:val="007C04CC"/>
    <w:rsid w:val="007C054E"/>
    <w:rsid w:val="007C07C7"/>
    <w:rsid w:val="007C1026"/>
    <w:rsid w:val="007C1193"/>
    <w:rsid w:val="007C157F"/>
    <w:rsid w:val="007C171E"/>
    <w:rsid w:val="007C175D"/>
    <w:rsid w:val="007C1A52"/>
    <w:rsid w:val="007C1CD9"/>
    <w:rsid w:val="007C1DF4"/>
    <w:rsid w:val="007C21F1"/>
    <w:rsid w:val="007C24F2"/>
    <w:rsid w:val="007C25BA"/>
    <w:rsid w:val="007C27D5"/>
    <w:rsid w:val="007C2F2B"/>
    <w:rsid w:val="007C3098"/>
    <w:rsid w:val="007C32EF"/>
    <w:rsid w:val="007C361D"/>
    <w:rsid w:val="007C39F5"/>
    <w:rsid w:val="007C3A3B"/>
    <w:rsid w:val="007C4AF7"/>
    <w:rsid w:val="007C4B84"/>
    <w:rsid w:val="007C53BB"/>
    <w:rsid w:val="007C59DA"/>
    <w:rsid w:val="007C5C69"/>
    <w:rsid w:val="007C5C6F"/>
    <w:rsid w:val="007C5DBE"/>
    <w:rsid w:val="007C61FF"/>
    <w:rsid w:val="007C6512"/>
    <w:rsid w:val="007C6A47"/>
    <w:rsid w:val="007C6CAA"/>
    <w:rsid w:val="007C70FF"/>
    <w:rsid w:val="007C78FF"/>
    <w:rsid w:val="007C7AF2"/>
    <w:rsid w:val="007C7C25"/>
    <w:rsid w:val="007D004F"/>
    <w:rsid w:val="007D035F"/>
    <w:rsid w:val="007D06B2"/>
    <w:rsid w:val="007D06FC"/>
    <w:rsid w:val="007D0B38"/>
    <w:rsid w:val="007D0EAB"/>
    <w:rsid w:val="007D1063"/>
    <w:rsid w:val="007D10E8"/>
    <w:rsid w:val="007D1D10"/>
    <w:rsid w:val="007D20BA"/>
    <w:rsid w:val="007D2A6D"/>
    <w:rsid w:val="007D2FD4"/>
    <w:rsid w:val="007D32D8"/>
    <w:rsid w:val="007D3592"/>
    <w:rsid w:val="007D3840"/>
    <w:rsid w:val="007D3E27"/>
    <w:rsid w:val="007D4B61"/>
    <w:rsid w:val="007D53FE"/>
    <w:rsid w:val="007D5440"/>
    <w:rsid w:val="007D580A"/>
    <w:rsid w:val="007D5CC7"/>
    <w:rsid w:val="007D63CF"/>
    <w:rsid w:val="007D649B"/>
    <w:rsid w:val="007D69EB"/>
    <w:rsid w:val="007D6B80"/>
    <w:rsid w:val="007D6BCF"/>
    <w:rsid w:val="007D72E2"/>
    <w:rsid w:val="007D7542"/>
    <w:rsid w:val="007D7AA1"/>
    <w:rsid w:val="007D7DB1"/>
    <w:rsid w:val="007E05FC"/>
    <w:rsid w:val="007E0D70"/>
    <w:rsid w:val="007E1081"/>
    <w:rsid w:val="007E128F"/>
    <w:rsid w:val="007E1604"/>
    <w:rsid w:val="007E186A"/>
    <w:rsid w:val="007E241C"/>
    <w:rsid w:val="007E2592"/>
    <w:rsid w:val="007E2777"/>
    <w:rsid w:val="007E295B"/>
    <w:rsid w:val="007E298E"/>
    <w:rsid w:val="007E2F1A"/>
    <w:rsid w:val="007E2F9F"/>
    <w:rsid w:val="007E3182"/>
    <w:rsid w:val="007E355C"/>
    <w:rsid w:val="007E3656"/>
    <w:rsid w:val="007E397C"/>
    <w:rsid w:val="007E3D65"/>
    <w:rsid w:val="007E47DD"/>
    <w:rsid w:val="007E4C22"/>
    <w:rsid w:val="007E50A3"/>
    <w:rsid w:val="007E521C"/>
    <w:rsid w:val="007E5389"/>
    <w:rsid w:val="007E55E7"/>
    <w:rsid w:val="007E59BA"/>
    <w:rsid w:val="007E6175"/>
    <w:rsid w:val="007E62A1"/>
    <w:rsid w:val="007E63F8"/>
    <w:rsid w:val="007E646E"/>
    <w:rsid w:val="007E6716"/>
    <w:rsid w:val="007E6AA7"/>
    <w:rsid w:val="007E6CB5"/>
    <w:rsid w:val="007E7163"/>
    <w:rsid w:val="007E74E1"/>
    <w:rsid w:val="007E7507"/>
    <w:rsid w:val="007E768D"/>
    <w:rsid w:val="007E7E9D"/>
    <w:rsid w:val="007F0432"/>
    <w:rsid w:val="007F1017"/>
    <w:rsid w:val="007F22A6"/>
    <w:rsid w:val="007F2C01"/>
    <w:rsid w:val="007F2DC8"/>
    <w:rsid w:val="007F31A9"/>
    <w:rsid w:val="007F3276"/>
    <w:rsid w:val="007F337D"/>
    <w:rsid w:val="007F3683"/>
    <w:rsid w:val="007F38A0"/>
    <w:rsid w:val="007F3B2B"/>
    <w:rsid w:val="007F41B5"/>
    <w:rsid w:val="007F4A3F"/>
    <w:rsid w:val="007F4A61"/>
    <w:rsid w:val="007F4A92"/>
    <w:rsid w:val="007F5169"/>
    <w:rsid w:val="007F5255"/>
    <w:rsid w:val="007F56CC"/>
    <w:rsid w:val="007F5729"/>
    <w:rsid w:val="007F57DF"/>
    <w:rsid w:val="007F5C05"/>
    <w:rsid w:val="007F5FDD"/>
    <w:rsid w:val="007F61C2"/>
    <w:rsid w:val="007F6207"/>
    <w:rsid w:val="007F6237"/>
    <w:rsid w:val="007F69A0"/>
    <w:rsid w:val="007F6E78"/>
    <w:rsid w:val="007F7114"/>
    <w:rsid w:val="007F7519"/>
    <w:rsid w:val="00800760"/>
    <w:rsid w:val="00800892"/>
    <w:rsid w:val="00800A76"/>
    <w:rsid w:val="00800B6D"/>
    <w:rsid w:val="00800F04"/>
    <w:rsid w:val="008011FC"/>
    <w:rsid w:val="008013F1"/>
    <w:rsid w:val="0080166B"/>
    <w:rsid w:val="00801998"/>
    <w:rsid w:val="00802855"/>
    <w:rsid w:val="00802A72"/>
    <w:rsid w:val="00802B4A"/>
    <w:rsid w:val="00802EC8"/>
    <w:rsid w:val="00803464"/>
    <w:rsid w:val="00803A81"/>
    <w:rsid w:val="00804217"/>
    <w:rsid w:val="0080463E"/>
    <w:rsid w:val="00804693"/>
    <w:rsid w:val="008046B5"/>
    <w:rsid w:val="00805142"/>
    <w:rsid w:val="00805496"/>
    <w:rsid w:val="0080566B"/>
    <w:rsid w:val="0080568C"/>
    <w:rsid w:val="00805739"/>
    <w:rsid w:val="00805E05"/>
    <w:rsid w:val="00805FCE"/>
    <w:rsid w:val="0080607B"/>
    <w:rsid w:val="0080637F"/>
    <w:rsid w:val="008065BD"/>
    <w:rsid w:val="00806918"/>
    <w:rsid w:val="00806C6E"/>
    <w:rsid w:val="008070C9"/>
    <w:rsid w:val="00807194"/>
    <w:rsid w:val="00807277"/>
    <w:rsid w:val="00807776"/>
    <w:rsid w:val="00807A8B"/>
    <w:rsid w:val="00807CFF"/>
    <w:rsid w:val="00807D29"/>
    <w:rsid w:val="00807E41"/>
    <w:rsid w:val="00810414"/>
    <w:rsid w:val="00810AC4"/>
    <w:rsid w:val="008111E9"/>
    <w:rsid w:val="00811361"/>
    <w:rsid w:val="00811383"/>
    <w:rsid w:val="0081202E"/>
    <w:rsid w:val="008120E1"/>
    <w:rsid w:val="00812149"/>
    <w:rsid w:val="00812A4B"/>
    <w:rsid w:val="00812C47"/>
    <w:rsid w:val="00812CAC"/>
    <w:rsid w:val="008130B0"/>
    <w:rsid w:val="0081311B"/>
    <w:rsid w:val="008132C3"/>
    <w:rsid w:val="008136DC"/>
    <w:rsid w:val="00814051"/>
    <w:rsid w:val="0081419E"/>
    <w:rsid w:val="008149B0"/>
    <w:rsid w:val="00814E12"/>
    <w:rsid w:val="00814ED0"/>
    <w:rsid w:val="0081517B"/>
    <w:rsid w:val="00815182"/>
    <w:rsid w:val="008151E8"/>
    <w:rsid w:val="008152D8"/>
    <w:rsid w:val="00815708"/>
    <w:rsid w:val="00815859"/>
    <w:rsid w:val="00815CA5"/>
    <w:rsid w:val="00815EE9"/>
    <w:rsid w:val="00816068"/>
    <w:rsid w:val="00816361"/>
    <w:rsid w:val="008163EC"/>
    <w:rsid w:val="008166EF"/>
    <w:rsid w:val="00816FEF"/>
    <w:rsid w:val="0081728F"/>
    <w:rsid w:val="008175CF"/>
    <w:rsid w:val="00817861"/>
    <w:rsid w:val="008205ED"/>
    <w:rsid w:val="00820A8C"/>
    <w:rsid w:val="00820E0A"/>
    <w:rsid w:val="00820F49"/>
    <w:rsid w:val="008215FB"/>
    <w:rsid w:val="00821896"/>
    <w:rsid w:val="008220CC"/>
    <w:rsid w:val="00822262"/>
    <w:rsid w:val="0082238D"/>
    <w:rsid w:val="00822966"/>
    <w:rsid w:val="00822E8E"/>
    <w:rsid w:val="00823174"/>
    <w:rsid w:val="008235B4"/>
    <w:rsid w:val="00823685"/>
    <w:rsid w:val="00823976"/>
    <w:rsid w:val="00823C26"/>
    <w:rsid w:val="00823E5E"/>
    <w:rsid w:val="00824719"/>
    <w:rsid w:val="00824851"/>
    <w:rsid w:val="008248D2"/>
    <w:rsid w:val="00824FA6"/>
    <w:rsid w:val="00825304"/>
    <w:rsid w:val="0082537D"/>
    <w:rsid w:val="00825627"/>
    <w:rsid w:val="00825751"/>
    <w:rsid w:val="008263DD"/>
    <w:rsid w:val="008264EB"/>
    <w:rsid w:val="008268CE"/>
    <w:rsid w:val="00826CED"/>
    <w:rsid w:val="00827135"/>
    <w:rsid w:val="0082743F"/>
    <w:rsid w:val="0082754A"/>
    <w:rsid w:val="008279BD"/>
    <w:rsid w:val="00827C23"/>
    <w:rsid w:val="00827CDF"/>
    <w:rsid w:val="0083006D"/>
    <w:rsid w:val="00830371"/>
    <w:rsid w:val="00830824"/>
    <w:rsid w:val="00830EA8"/>
    <w:rsid w:val="00831837"/>
    <w:rsid w:val="00831865"/>
    <w:rsid w:val="00831982"/>
    <w:rsid w:val="00831AF7"/>
    <w:rsid w:val="00831E2F"/>
    <w:rsid w:val="0083235A"/>
    <w:rsid w:val="00832AC2"/>
    <w:rsid w:val="00832D9D"/>
    <w:rsid w:val="00833061"/>
    <w:rsid w:val="0083340B"/>
    <w:rsid w:val="00833543"/>
    <w:rsid w:val="00833815"/>
    <w:rsid w:val="00833B05"/>
    <w:rsid w:val="008341E3"/>
    <w:rsid w:val="00834282"/>
    <w:rsid w:val="008349C4"/>
    <w:rsid w:val="00834AC8"/>
    <w:rsid w:val="00834D06"/>
    <w:rsid w:val="008357C1"/>
    <w:rsid w:val="00835E7C"/>
    <w:rsid w:val="00835F9D"/>
    <w:rsid w:val="008362B4"/>
    <w:rsid w:val="00836576"/>
    <w:rsid w:val="008371C1"/>
    <w:rsid w:val="00837613"/>
    <w:rsid w:val="00837B7E"/>
    <w:rsid w:val="0084004A"/>
    <w:rsid w:val="008401DA"/>
    <w:rsid w:val="008404E2"/>
    <w:rsid w:val="008406BF"/>
    <w:rsid w:val="008409A3"/>
    <w:rsid w:val="00840CA2"/>
    <w:rsid w:val="00840CDF"/>
    <w:rsid w:val="00840D02"/>
    <w:rsid w:val="00840E21"/>
    <w:rsid w:val="00840E2B"/>
    <w:rsid w:val="0084169B"/>
    <w:rsid w:val="008418CE"/>
    <w:rsid w:val="00842108"/>
    <w:rsid w:val="00842131"/>
    <w:rsid w:val="00842665"/>
    <w:rsid w:val="00842671"/>
    <w:rsid w:val="008428E3"/>
    <w:rsid w:val="00842BC5"/>
    <w:rsid w:val="0084374F"/>
    <w:rsid w:val="00843938"/>
    <w:rsid w:val="008439FD"/>
    <w:rsid w:val="008443BD"/>
    <w:rsid w:val="00844A22"/>
    <w:rsid w:val="00845070"/>
    <w:rsid w:val="00845C4F"/>
    <w:rsid w:val="00845F19"/>
    <w:rsid w:val="00846E5E"/>
    <w:rsid w:val="00847293"/>
    <w:rsid w:val="0084741E"/>
    <w:rsid w:val="008475A7"/>
    <w:rsid w:val="00847703"/>
    <w:rsid w:val="00847791"/>
    <w:rsid w:val="00847A43"/>
    <w:rsid w:val="00847D48"/>
    <w:rsid w:val="00847DF5"/>
    <w:rsid w:val="00847E76"/>
    <w:rsid w:val="00847FBB"/>
    <w:rsid w:val="00850D53"/>
    <w:rsid w:val="00850D96"/>
    <w:rsid w:val="00851245"/>
    <w:rsid w:val="0085153B"/>
    <w:rsid w:val="008516C4"/>
    <w:rsid w:val="008522CD"/>
    <w:rsid w:val="00852815"/>
    <w:rsid w:val="00852EFB"/>
    <w:rsid w:val="0085309D"/>
    <w:rsid w:val="00853303"/>
    <w:rsid w:val="00853B45"/>
    <w:rsid w:val="00854260"/>
    <w:rsid w:val="008544EB"/>
    <w:rsid w:val="00854866"/>
    <w:rsid w:val="00854ADF"/>
    <w:rsid w:val="00854C54"/>
    <w:rsid w:val="00854DA3"/>
    <w:rsid w:val="00854E4E"/>
    <w:rsid w:val="0085600F"/>
    <w:rsid w:val="00856897"/>
    <w:rsid w:val="00856E9A"/>
    <w:rsid w:val="00857B40"/>
    <w:rsid w:val="00860365"/>
    <w:rsid w:val="00860482"/>
    <w:rsid w:val="0086075D"/>
    <w:rsid w:val="00860928"/>
    <w:rsid w:val="00860D09"/>
    <w:rsid w:val="00860D26"/>
    <w:rsid w:val="00860D79"/>
    <w:rsid w:val="00860E4E"/>
    <w:rsid w:val="00861611"/>
    <w:rsid w:val="00861DF7"/>
    <w:rsid w:val="00862443"/>
    <w:rsid w:val="00862502"/>
    <w:rsid w:val="00862CC1"/>
    <w:rsid w:val="00862FAE"/>
    <w:rsid w:val="008636C2"/>
    <w:rsid w:val="0086371F"/>
    <w:rsid w:val="00863E70"/>
    <w:rsid w:val="008642A7"/>
    <w:rsid w:val="0086450B"/>
    <w:rsid w:val="00864568"/>
    <w:rsid w:val="00864609"/>
    <w:rsid w:val="00864DB1"/>
    <w:rsid w:val="0086537D"/>
    <w:rsid w:val="0086554C"/>
    <w:rsid w:val="00865C4F"/>
    <w:rsid w:val="00865FEB"/>
    <w:rsid w:val="00865FF8"/>
    <w:rsid w:val="008660D4"/>
    <w:rsid w:val="00866369"/>
    <w:rsid w:val="0086671F"/>
    <w:rsid w:val="00866A1C"/>
    <w:rsid w:val="00866AD1"/>
    <w:rsid w:val="00866F94"/>
    <w:rsid w:val="0086765B"/>
    <w:rsid w:val="0086797C"/>
    <w:rsid w:val="00867B22"/>
    <w:rsid w:val="00867B23"/>
    <w:rsid w:val="00867F5B"/>
    <w:rsid w:val="00867F7A"/>
    <w:rsid w:val="00870464"/>
    <w:rsid w:val="00870748"/>
    <w:rsid w:val="00870837"/>
    <w:rsid w:val="008708F1"/>
    <w:rsid w:val="0087125E"/>
    <w:rsid w:val="0087133B"/>
    <w:rsid w:val="00871611"/>
    <w:rsid w:val="00871866"/>
    <w:rsid w:val="00871A38"/>
    <w:rsid w:val="00871FA9"/>
    <w:rsid w:val="008723BF"/>
    <w:rsid w:val="0087251B"/>
    <w:rsid w:val="00872809"/>
    <w:rsid w:val="008728E9"/>
    <w:rsid w:val="00872A6F"/>
    <w:rsid w:val="008732E0"/>
    <w:rsid w:val="00873610"/>
    <w:rsid w:val="00873727"/>
    <w:rsid w:val="00873899"/>
    <w:rsid w:val="00874136"/>
    <w:rsid w:val="00874AD1"/>
    <w:rsid w:val="00874BB3"/>
    <w:rsid w:val="00874FD9"/>
    <w:rsid w:val="00875331"/>
    <w:rsid w:val="008753DA"/>
    <w:rsid w:val="00875421"/>
    <w:rsid w:val="00875465"/>
    <w:rsid w:val="008759CC"/>
    <w:rsid w:val="00875AF4"/>
    <w:rsid w:val="0087632C"/>
    <w:rsid w:val="0087693F"/>
    <w:rsid w:val="00876DC2"/>
    <w:rsid w:val="00876FB1"/>
    <w:rsid w:val="00877640"/>
    <w:rsid w:val="00880161"/>
    <w:rsid w:val="0088062B"/>
    <w:rsid w:val="00880C1B"/>
    <w:rsid w:val="00880D76"/>
    <w:rsid w:val="00881717"/>
    <w:rsid w:val="008823E5"/>
    <w:rsid w:val="00882874"/>
    <w:rsid w:val="00882BFC"/>
    <w:rsid w:val="00882E3C"/>
    <w:rsid w:val="0088308A"/>
    <w:rsid w:val="0088369B"/>
    <w:rsid w:val="00883787"/>
    <w:rsid w:val="00884302"/>
    <w:rsid w:val="0088430B"/>
    <w:rsid w:val="0088473C"/>
    <w:rsid w:val="008850BA"/>
    <w:rsid w:val="00885596"/>
    <w:rsid w:val="008855E4"/>
    <w:rsid w:val="00885EE7"/>
    <w:rsid w:val="00885FD8"/>
    <w:rsid w:val="00886330"/>
    <w:rsid w:val="00886A13"/>
    <w:rsid w:val="00886CD2"/>
    <w:rsid w:val="00886D39"/>
    <w:rsid w:val="00887051"/>
    <w:rsid w:val="008879A9"/>
    <w:rsid w:val="00887D03"/>
    <w:rsid w:val="00887E82"/>
    <w:rsid w:val="00887ECD"/>
    <w:rsid w:val="008900A1"/>
    <w:rsid w:val="00890B64"/>
    <w:rsid w:val="00890B65"/>
    <w:rsid w:val="00890D07"/>
    <w:rsid w:val="00890D93"/>
    <w:rsid w:val="00890E51"/>
    <w:rsid w:val="0089171C"/>
    <w:rsid w:val="00891A55"/>
    <w:rsid w:val="00891A62"/>
    <w:rsid w:val="00891A97"/>
    <w:rsid w:val="00891E6F"/>
    <w:rsid w:val="00892555"/>
    <w:rsid w:val="008926A6"/>
    <w:rsid w:val="0089275D"/>
    <w:rsid w:val="00892A36"/>
    <w:rsid w:val="00892BF4"/>
    <w:rsid w:val="00893239"/>
    <w:rsid w:val="00893AA3"/>
    <w:rsid w:val="00893FD8"/>
    <w:rsid w:val="0089420E"/>
    <w:rsid w:val="00894489"/>
    <w:rsid w:val="0089477E"/>
    <w:rsid w:val="00894AA9"/>
    <w:rsid w:val="00894CD6"/>
    <w:rsid w:val="00894F2E"/>
    <w:rsid w:val="008963A5"/>
    <w:rsid w:val="00896924"/>
    <w:rsid w:val="00896938"/>
    <w:rsid w:val="00896A29"/>
    <w:rsid w:val="00896C91"/>
    <w:rsid w:val="00896D5D"/>
    <w:rsid w:val="00896F24"/>
    <w:rsid w:val="00897667"/>
    <w:rsid w:val="008978FD"/>
    <w:rsid w:val="008A05CA"/>
    <w:rsid w:val="008A08FD"/>
    <w:rsid w:val="008A0FB6"/>
    <w:rsid w:val="008A18A6"/>
    <w:rsid w:val="008A194A"/>
    <w:rsid w:val="008A1AAB"/>
    <w:rsid w:val="008A1E71"/>
    <w:rsid w:val="008A2BDC"/>
    <w:rsid w:val="008A2D50"/>
    <w:rsid w:val="008A308B"/>
    <w:rsid w:val="008A30D1"/>
    <w:rsid w:val="008A3158"/>
    <w:rsid w:val="008A3330"/>
    <w:rsid w:val="008A3363"/>
    <w:rsid w:val="008A3371"/>
    <w:rsid w:val="008A37FF"/>
    <w:rsid w:val="008A3B43"/>
    <w:rsid w:val="008A3C3E"/>
    <w:rsid w:val="008A3D64"/>
    <w:rsid w:val="008A40BA"/>
    <w:rsid w:val="008A41B2"/>
    <w:rsid w:val="008A4224"/>
    <w:rsid w:val="008A4739"/>
    <w:rsid w:val="008A4AA2"/>
    <w:rsid w:val="008A50D6"/>
    <w:rsid w:val="008A539A"/>
    <w:rsid w:val="008A5D2B"/>
    <w:rsid w:val="008A6184"/>
    <w:rsid w:val="008A63F8"/>
    <w:rsid w:val="008A71CA"/>
    <w:rsid w:val="008A7717"/>
    <w:rsid w:val="008A79DE"/>
    <w:rsid w:val="008B0C37"/>
    <w:rsid w:val="008B0C66"/>
    <w:rsid w:val="008B0D59"/>
    <w:rsid w:val="008B1757"/>
    <w:rsid w:val="008B1A4F"/>
    <w:rsid w:val="008B1C33"/>
    <w:rsid w:val="008B1F4A"/>
    <w:rsid w:val="008B29F2"/>
    <w:rsid w:val="008B2DFB"/>
    <w:rsid w:val="008B2F3E"/>
    <w:rsid w:val="008B2F5E"/>
    <w:rsid w:val="008B4009"/>
    <w:rsid w:val="008B491A"/>
    <w:rsid w:val="008B4A08"/>
    <w:rsid w:val="008B4B6F"/>
    <w:rsid w:val="008B5819"/>
    <w:rsid w:val="008B5AB9"/>
    <w:rsid w:val="008B5FF0"/>
    <w:rsid w:val="008B69EB"/>
    <w:rsid w:val="008B6F79"/>
    <w:rsid w:val="008B73AF"/>
    <w:rsid w:val="008B782A"/>
    <w:rsid w:val="008B782B"/>
    <w:rsid w:val="008B7992"/>
    <w:rsid w:val="008B79BF"/>
    <w:rsid w:val="008B79D6"/>
    <w:rsid w:val="008B7C3D"/>
    <w:rsid w:val="008B7D2C"/>
    <w:rsid w:val="008B7D7E"/>
    <w:rsid w:val="008C0297"/>
    <w:rsid w:val="008C06C5"/>
    <w:rsid w:val="008C0C93"/>
    <w:rsid w:val="008C0E82"/>
    <w:rsid w:val="008C1014"/>
    <w:rsid w:val="008C10AD"/>
    <w:rsid w:val="008C1B34"/>
    <w:rsid w:val="008C1F65"/>
    <w:rsid w:val="008C22E4"/>
    <w:rsid w:val="008C3474"/>
    <w:rsid w:val="008C35C7"/>
    <w:rsid w:val="008C3780"/>
    <w:rsid w:val="008C38C1"/>
    <w:rsid w:val="008C3A1D"/>
    <w:rsid w:val="008C3BA7"/>
    <w:rsid w:val="008C4060"/>
    <w:rsid w:val="008C44E7"/>
    <w:rsid w:val="008C4D80"/>
    <w:rsid w:val="008C5211"/>
    <w:rsid w:val="008C5610"/>
    <w:rsid w:val="008C56A3"/>
    <w:rsid w:val="008C5739"/>
    <w:rsid w:val="008C5889"/>
    <w:rsid w:val="008C5C51"/>
    <w:rsid w:val="008C621F"/>
    <w:rsid w:val="008C6520"/>
    <w:rsid w:val="008C6A9B"/>
    <w:rsid w:val="008C6B56"/>
    <w:rsid w:val="008C7282"/>
    <w:rsid w:val="008C763F"/>
    <w:rsid w:val="008C77DD"/>
    <w:rsid w:val="008C7A9A"/>
    <w:rsid w:val="008C7CA6"/>
    <w:rsid w:val="008C7ECB"/>
    <w:rsid w:val="008D07B8"/>
    <w:rsid w:val="008D08B6"/>
    <w:rsid w:val="008D0A78"/>
    <w:rsid w:val="008D0C72"/>
    <w:rsid w:val="008D0F6E"/>
    <w:rsid w:val="008D14C8"/>
    <w:rsid w:val="008D167D"/>
    <w:rsid w:val="008D173D"/>
    <w:rsid w:val="008D1865"/>
    <w:rsid w:val="008D1B68"/>
    <w:rsid w:val="008D1C87"/>
    <w:rsid w:val="008D1F2D"/>
    <w:rsid w:val="008D206C"/>
    <w:rsid w:val="008D217D"/>
    <w:rsid w:val="008D21FE"/>
    <w:rsid w:val="008D2C08"/>
    <w:rsid w:val="008D3013"/>
    <w:rsid w:val="008D356A"/>
    <w:rsid w:val="008D36FD"/>
    <w:rsid w:val="008D37FA"/>
    <w:rsid w:val="008D3967"/>
    <w:rsid w:val="008D3B86"/>
    <w:rsid w:val="008D3D33"/>
    <w:rsid w:val="008D3E73"/>
    <w:rsid w:val="008D43FD"/>
    <w:rsid w:val="008D468E"/>
    <w:rsid w:val="008D4755"/>
    <w:rsid w:val="008D48BD"/>
    <w:rsid w:val="008D4908"/>
    <w:rsid w:val="008D4C04"/>
    <w:rsid w:val="008D4C3D"/>
    <w:rsid w:val="008D4CB3"/>
    <w:rsid w:val="008D5032"/>
    <w:rsid w:val="008D54BE"/>
    <w:rsid w:val="008D58BA"/>
    <w:rsid w:val="008D599F"/>
    <w:rsid w:val="008D5B13"/>
    <w:rsid w:val="008D5BD6"/>
    <w:rsid w:val="008D5C88"/>
    <w:rsid w:val="008D6219"/>
    <w:rsid w:val="008D6832"/>
    <w:rsid w:val="008D6FB0"/>
    <w:rsid w:val="008D743C"/>
    <w:rsid w:val="008E0622"/>
    <w:rsid w:val="008E09C8"/>
    <w:rsid w:val="008E0B39"/>
    <w:rsid w:val="008E0D3C"/>
    <w:rsid w:val="008E1B6F"/>
    <w:rsid w:val="008E1B9E"/>
    <w:rsid w:val="008E1EF4"/>
    <w:rsid w:val="008E222C"/>
    <w:rsid w:val="008E22BF"/>
    <w:rsid w:val="008E255A"/>
    <w:rsid w:val="008E2924"/>
    <w:rsid w:val="008E2A36"/>
    <w:rsid w:val="008E2B23"/>
    <w:rsid w:val="008E38E0"/>
    <w:rsid w:val="008E3E19"/>
    <w:rsid w:val="008E3EC5"/>
    <w:rsid w:val="008E3F6B"/>
    <w:rsid w:val="008E4308"/>
    <w:rsid w:val="008E436B"/>
    <w:rsid w:val="008E4559"/>
    <w:rsid w:val="008E47A2"/>
    <w:rsid w:val="008E4D17"/>
    <w:rsid w:val="008E50EE"/>
    <w:rsid w:val="008E540A"/>
    <w:rsid w:val="008E55AB"/>
    <w:rsid w:val="008E56A8"/>
    <w:rsid w:val="008E683A"/>
    <w:rsid w:val="008E6B21"/>
    <w:rsid w:val="008E6B77"/>
    <w:rsid w:val="008E6C2A"/>
    <w:rsid w:val="008E6E0A"/>
    <w:rsid w:val="008E6FEA"/>
    <w:rsid w:val="008E7348"/>
    <w:rsid w:val="008E740C"/>
    <w:rsid w:val="008E77B3"/>
    <w:rsid w:val="008F051C"/>
    <w:rsid w:val="008F0657"/>
    <w:rsid w:val="008F07D8"/>
    <w:rsid w:val="008F0A98"/>
    <w:rsid w:val="008F0B91"/>
    <w:rsid w:val="008F120A"/>
    <w:rsid w:val="008F1877"/>
    <w:rsid w:val="008F21B0"/>
    <w:rsid w:val="008F24FB"/>
    <w:rsid w:val="008F27E0"/>
    <w:rsid w:val="008F28BA"/>
    <w:rsid w:val="008F2B05"/>
    <w:rsid w:val="008F3011"/>
    <w:rsid w:val="008F3077"/>
    <w:rsid w:val="008F335D"/>
    <w:rsid w:val="008F345D"/>
    <w:rsid w:val="008F3834"/>
    <w:rsid w:val="008F3C64"/>
    <w:rsid w:val="008F3C66"/>
    <w:rsid w:val="008F3CE0"/>
    <w:rsid w:val="008F48EB"/>
    <w:rsid w:val="008F4A98"/>
    <w:rsid w:val="008F4B45"/>
    <w:rsid w:val="008F4F0B"/>
    <w:rsid w:val="008F50F4"/>
    <w:rsid w:val="008F55D4"/>
    <w:rsid w:val="008F57BC"/>
    <w:rsid w:val="008F6421"/>
    <w:rsid w:val="008F659F"/>
    <w:rsid w:val="008F66EB"/>
    <w:rsid w:val="008F6DC1"/>
    <w:rsid w:val="008F74F3"/>
    <w:rsid w:val="008F789D"/>
    <w:rsid w:val="008F7A2A"/>
    <w:rsid w:val="008F7CB5"/>
    <w:rsid w:val="0090004D"/>
    <w:rsid w:val="00900D0C"/>
    <w:rsid w:val="00900EA7"/>
    <w:rsid w:val="00900EF8"/>
    <w:rsid w:val="00900F28"/>
    <w:rsid w:val="00901284"/>
    <w:rsid w:val="00901BE5"/>
    <w:rsid w:val="00902125"/>
    <w:rsid w:val="00902AA2"/>
    <w:rsid w:val="0090319F"/>
    <w:rsid w:val="009038C8"/>
    <w:rsid w:val="00903A3B"/>
    <w:rsid w:val="00903A52"/>
    <w:rsid w:val="00903A73"/>
    <w:rsid w:val="009046C4"/>
    <w:rsid w:val="009049C4"/>
    <w:rsid w:val="00904A7E"/>
    <w:rsid w:val="00904BEF"/>
    <w:rsid w:val="00904ED6"/>
    <w:rsid w:val="009054A1"/>
    <w:rsid w:val="00905BAF"/>
    <w:rsid w:val="00905BC6"/>
    <w:rsid w:val="00905E96"/>
    <w:rsid w:val="00905F01"/>
    <w:rsid w:val="009062A5"/>
    <w:rsid w:val="00906763"/>
    <w:rsid w:val="00906854"/>
    <w:rsid w:val="00906FDA"/>
    <w:rsid w:val="00907382"/>
    <w:rsid w:val="00907699"/>
    <w:rsid w:val="00907CF1"/>
    <w:rsid w:val="00907EAC"/>
    <w:rsid w:val="00910033"/>
    <w:rsid w:val="00910041"/>
    <w:rsid w:val="00910517"/>
    <w:rsid w:val="00910FA7"/>
    <w:rsid w:val="00911272"/>
    <w:rsid w:val="00911339"/>
    <w:rsid w:val="00911503"/>
    <w:rsid w:val="00911B65"/>
    <w:rsid w:val="00911EA6"/>
    <w:rsid w:val="0091226F"/>
    <w:rsid w:val="00912E14"/>
    <w:rsid w:val="00913167"/>
    <w:rsid w:val="009135D6"/>
    <w:rsid w:val="00913602"/>
    <w:rsid w:val="00913679"/>
    <w:rsid w:val="00913F2B"/>
    <w:rsid w:val="009145EB"/>
    <w:rsid w:val="009146C9"/>
    <w:rsid w:val="009146DB"/>
    <w:rsid w:val="00914C77"/>
    <w:rsid w:val="00914D69"/>
    <w:rsid w:val="00915151"/>
    <w:rsid w:val="009154BA"/>
    <w:rsid w:val="009155F7"/>
    <w:rsid w:val="009157AF"/>
    <w:rsid w:val="00915804"/>
    <w:rsid w:val="00915EFE"/>
    <w:rsid w:val="00916608"/>
    <w:rsid w:val="009167C3"/>
    <w:rsid w:val="009174D5"/>
    <w:rsid w:val="00917BE3"/>
    <w:rsid w:val="00917F49"/>
    <w:rsid w:val="00920595"/>
    <w:rsid w:val="009205F8"/>
    <w:rsid w:val="00920B77"/>
    <w:rsid w:val="00920F5C"/>
    <w:rsid w:val="009211FB"/>
    <w:rsid w:val="00921514"/>
    <w:rsid w:val="00921ACB"/>
    <w:rsid w:val="00921E77"/>
    <w:rsid w:val="00922076"/>
    <w:rsid w:val="00922519"/>
    <w:rsid w:val="0092369B"/>
    <w:rsid w:val="0092409B"/>
    <w:rsid w:val="00924176"/>
    <w:rsid w:val="00924271"/>
    <w:rsid w:val="0092469C"/>
    <w:rsid w:val="0092483F"/>
    <w:rsid w:val="0092495E"/>
    <w:rsid w:val="0092537C"/>
    <w:rsid w:val="009253FA"/>
    <w:rsid w:val="00925597"/>
    <w:rsid w:val="0092622F"/>
    <w:rsid w:val="00926771"/>
    <w:rsid w:val="00926940"/>
    <w:rsid w:val="00926B38"/>
    <w:rsid w:val="00926C86"/>
    <w:rsid w:val="00926D40"/>
    <w:rsid w:val="0092731E"/>
    <w:rsid w:val="0092746C"/>
    <w:rsid w:val="00927763"/>
    <w:rsid w:val="00927A06"/>
    <w:rsid w:val="00927F4A"/>
    <w:rsid w:val="00930B87"/>
    <w:rsid w:val="00930BC2"/>
    <w:rsid w:val="00930F33"/>
    <w:rsid w:val="0093126D"/>
    <w:rsid w:val="00931E63"/>
    <w:rsid w:val="00931ECC"/>
    <w:rsid w:val="00931FFD"/>
    <w:rsid w:val="0093230F"/>
    <w:rsid w:val="009325A3"/>
    <w:rsid w:val="009326AD"/>
    <w:rsid w:val="009328F1"/>
    <w:rsid w:val="00932E03"/>
    <w:rsid w:val="009330D5"/>
    <w:rsid w:val="00933A3F"/>
    <w:rsid w:val="00933F5B"/>
    <w:rsid w:val="00934988"/>
    <w:rsid w:val="00934A72"/>
    <w:rsid w:val="00934F14"/>
    <w:rsid w:val="009350AB"/>
    <w:rsid w:val="00935247"/>
    <w:rsid w:val="00935CFD"/>
    <w:rsid w:val="00935D6A"/>
    <w:rsid w:val="00936189"/>
    <w:rsid w:val="00936B86"/>
    <w:rsid w:val="00937089"/>
    <w:rsid w:val="0094016C"/>
    <w:rsid w:val="00940314"/>
    <w:rsid w:val="009408D2"/>
    <w:rsid w:val="00940B34"/>
    <w:rsid w:val="009414C9"/>
    <w:rsid w:val="009416D0"/>
    <w:rsid w:val="009419B7"/>
    <w:rsid w:val="009421A4"/>
    <w:rsid w:val="009428F2"/>
    <w:rsid w:val="00942940"/>
    <w:rsid w:val="00942E2D"/>
    <w:rsid w:val="00943768"/>
    <w:rsid w:val="00943DEC"/>
    <w:rsid w:val="00944378"/>
    <w:rsid w:val="009445DE"/>
    <w:rsid w:val="009445E5"/>
    <w:rsid w:val="00944671"/>
    <w:rsid w:val="009447A1"/>
    <w:rsid w:val="009449DA"/>
    <w:rsid w:val="00944BDD"/>
    <w:rsid w:val="00944F8A"/>
    <w:rsid w:val="00945247"/>
    <w:rsid w:val="00945530"/>
    <w:rsid w:val="009459FE"/>
    <w:rsid w:val="00945B3F"/>
    <w:rsid w:val="00946186"/>
    <w:rsid w:val="0094630C"/>
    <w:rsid w:val="0094663C"/>
    <w:rsid w:val="009466C8"/>
    <w:rsid w:val="00946C1F"/>
    <w:rsid w:val="00947ACA"/>
    <w:rsid w:val="00947D1C"/>
    <w:rsid w:val="009505B6"/>
    <w:rsid w:val="00950C4C"/>
    <w:rsid w:val="00950F9F"/>
    <w:rsid w:val="009510A2"/>
    <w:rsid w:val="00951D5B"/>
    <w:rsid w:val="009520AA"/>
    <w:rsid w:val="009523E2"/>
    <w:rsid w:val="00952B75"/>
    <w:rsid w:val="00953257"/>
    <w:rsid w:val="009533A7"/>
    <w:rsid w:val="009533EF"/>
    <w:rsid w:val="00953506"/>
    <w:rsid w:val="0095391B"/>
    <w:rsid w:val="00953D83"/>
    <w:rsid w:val="00954609"/>
    <w:rsid w:val="0095474C"/>
    <w:rsid w:val="00955584"/>
    <w:rsid w:val="009556F5"/>
    <w:rsid w:val="00955DC0"/>
    <w:rsid w:val="0095641E"/>
    <w:rsid w:val="009566F5"/>
    <w:rsid w:val="009567B9"/>
    <w:rsid w:val="00956CAB"/>
    <w:rsid w:val="00957299"/>
    <w:rsid w:val="00957453"/>
    <w:rsid w:val="00957A6D"/>
    <w:rsid w:val="00957D92"/>
    <w:rsid w:val="009603D1"/>
    <w:rsid w:val="00960447"/>
    <w:rsid w:val="009609A0"/>
    <w:rsid w:val="009609CC"/>
    <w:rsid w:val="00960FDF"/>
    <w:rsid w:val="00961273"/>
    <w:rsid w:val="00961AD5"/>
    <w:rsid w:val="00961C50"/>
    <w:rsid w:val="009622A3"/>
    <w:rsid w:val="009624BC"/>
    <w:rsid w:val="009627B1"/>
    <w:rsid w:val="00962875"/>
    <w:rsid w:val="00962C15"/>
    <w:rsid w:val="00962CB9"/>
    <w:rsid w:val="00962D82"/>
    <w:rsid w:val="00962E67"/>
    <w:rsid w:val="009634E9"/>
    <w:rsid w:val="00963BE1"/>
    <w:rsid w:val="00964312"/>
    <w:rsid w:val="00964796"/>
    <w:rsid w:val="009647B2"/>
    <w:rsid w:val="00964F79"/>
    <w:rsid w:val="0096547A"/>
    <w:rsid w:val="009654C8"/>
    <w:rsid w:val="00965B8A"/>
    <w:rsid w:val="00965D3A"/>
    <w:rsid w:val="00965F32"/>
    <w:rsid w:val="00966063"/>
    <w:rsid w:val="009665C9"/>
    <w:rsid w:val="00966602"/>
    <w:rsid w:val="009667B3"/>
    <w:rsid w:val="009668A1"/>
    <w:rsid w:val="009670C5"/>
    <w:rsid w:val="00967432"/>
    <w:rsid w:val="00967EC5"/>
    <w:rsid w:val="00970354"/>
    <w:rsid w:val="00970541"/>
    <w:rsid w:val="0097071F"/>
    <w:rsid w:val="00971586"/>
    <w:rsid w:val="009716B7"/>
    <w:rsid w:val="009717AC"/>
    <w:rsid w:val="00971DA8"/>
    <w:rsid w:val="00971E4E"/>
    <w:rsid w:val="00971E65"/>
    <w:rsid w:val="00972418"/>
    <w:rsid w:val="00972873"/>
    <w:rsid w:val="00972F3D"/>
    <w:rsid w:val="0097374F"/>
    <w:rsid w:val="0097396B"/>
    <w:rsid w:val="00973A85"/>
    <w:rsid w:val="009741F2"/>
    <w:rsid w:val="00974424"/>
    <w:rsid w:val="009747C6"/>
    <w:rsid w:val="009749B4"/>
    <w:rsid w:val="00974B6B"/>
    <w:rsid w:val="00974BFE"/>
    <w:rsid w:val="00974D87"/>
    <w:rsid w:val="009751C1"/>
    <w:rsid w:val="0097556E"/>
    <w:rsid w:val="00975CA2"/>
    <w:rsid w:val="00976251"/>
    <w:rsid w:val="009768CF"/>
    <w:rsid w:val="00976EAA"/>
    <w:rsid w:val="009770F2"/>
    <w:rsid w:val="00977AFF"/>
    <w:rsid w:val="00977E98"/>
    <w:rsid w:val="00977F27"/>
    <w:rsid w:val="0098001B"/>
    <w:rsid w:val="0098020F"/>
    <w:rsid w:val="00980B5A"/>
    <w:rsid w:val="00980EC1"/>
    <w:rsid w:val="00981169"/>
    <w:rsid w:val="009811F1"/>
    <w:rsid w:val="00981526"/>
    <w:rsid w:val="009815C4"/>
    <w:rsid w:val="00982154"/>
    <w:rsid w:val="00982599"/>
    <w:rsid w:val="0098262F"/>
    <w:rsid w:val="00982F89"/>
    <w:rsid w:val="00983552"/>
    <w:rsid w:val="00983923"/>
    <w:rsid w:val="00983CE1"/>
    <w:rsid w:val="00983E57"/>
    <w:rsid w:val="00983F2E"/>
    <w:rsid w:val="00984530"/>
    <w:rsid w:val="0098468C"/>
    <w:rsid w:val="009847ED"/>
    <w:rsid w:val="0098492E"/>
    <w:rsid w:val="009849D8"/>
    <w:rsid w:val="00984A99"/>
    <w:rsid w:val="00984FC5"/>
    <w:rsid w:val="00984FF3"/>
    <w:rsid w:val="00985A84"/>
    <w:rsid w:val="00985DE2"/>
    <w:rsid w:val="0098632F"/>
    <w:rsid w:val="009865C6"/>
    <w:rsid w:val="0098675D"/>
    <w:rsid w:val="009878CE"/>
    <w:rsid w:val="009879C4"/>
    <w:rsid w:val="00987BA4"/>
    <w:rsid w:val="009901DE"/>
    <w:rsid w:val="00990A86"/>
    <w:rsid w:val="00990FFE"/>
    <w:rsid w:val="009915D9"/>
    <w:rsid w:val="00991717"/>
    <w:rsid w:val="00991B93"/>
    <w:rsid w:val="00991C59"/>
    <w:rsid w:val="00991C87"/>
    <w:rsid w:val="00991CCF"/>
    <w:rsid w:val="00992305"/>
    <w:rsid w:val="009926E0"/>
    <w:rsid w:val="0099278A"/>
    <w:rsid w:val="00992964"/>
    <w:rsid w:val="00992CE9"/>
    <w:rsid w:val="00992DF3"/>
    <w:rsid w:val="00992FD6"/>
    <w:rsid w:val="00992FE7"/>
    <w:rsid w:val="00993008"/>
    <w:rsid w:val="0099327A"/>
    <w:rsid w:val="00993A97"/>
    <w:rsid w:val="00994420"/>
    <w:rsid w:val="0099451E"/>
    <w:rsid w:val="00994A19"/>
    <w:rsid w:val="00994BA0"/>
    <w:rsid w:val="00994C8B"/>
    <w:rsid w:val="00994E1B"/>
    <w:rsid w:val="009950A5"/>
    <w:rsid w:val="009952AA"/>
    <w:rsid w:val="0099549D"/>
    <w:rsid w:val="00996B1A"/>
    <w:rsid w:val="00996DDC"/>
    <w:rsid w:val="0099770E"/>
    <w:rsid w:val="00997A7D"/>
    <w:rsid w:val="009A09DE"/>
    <w:rsid w:val="009A0C68"/>
    <w:rsid w:val="009A0FED"/>
    <w:rsid w:val="009A1635"/>
    <w:rsid w:val="009A18F6"/>
    <w:rsid w:val="009A19CB"/>
    <w:rsid w:val="009A247A"/>
    <w:rsid w:val="009A2524"/>
    <w:rsid w:val="009A2872"/>
    <w:rsid w:val="009A2914"/>
    <w:rsid w:val="009A293E"/>
    <w:rsid w:val="009A2B08"/>
    <w:rsid w:val="009A2DCC"/>
    <w:rsid w:val="009A2FB3"/>
    <w:rsid w:val="009A3060"/>
    <w:rsid w:val="009A3D45"/>
    <w:rsid w:val="009A41A3"/>
    <w:rsid w:val="009A428D"/>
    <w:rsid w:val="009A442D"/>
    <w:rsid w:val="009A4458"/>
    <w:rsid w:val="009A471C"/>
    <w:rsid w:val="009A4A51"/>
    <w:rsid w:val="009A4E76"/>
    <w:rsid w:val="009A4FA6"/>
    <w:rsid w:val="009A5025"/>
    <w:rsid w:val="009A5026"/>
    <w:rsid w:val="009A514B"/>
    <w:rsid w:val="009A53A5"/>
    <w:rsid w:val="009A5576"/>
    <w:rsid w:val="009A5990"/>
    <w:rsid w:val="009A5ABC"/>
    <w:rsid w:val="009A5CFD"/>
    <w:rsid w:val="009A5F65"/>
    <w:rsid w:val="009A5FBA"/>
    <w:rsid w:val="009A625C"/>
    <w:rsid w:val="009A6511"/>
    <w:rsid w:val="009A66F8"/>
    <w:rsid w:val="009A6A48"/>
    <w:rsid w:val="009A6F5B"/>
    <w:rsid w:val="009A73F9"/>
    <w:rsid w:val="009A7F10"/>
    <w:rsid w:val="009A7F3E"/>
    <w:rsid w:val="009B1072"/>
    <w:rsid w:val="009B10AC"/>
    <w:rsid w:val="009B15B3"/>
    <w:rsid w:val="009B1661"/>
    <w:rsid w:val="009B19E3"/>
    <w:rsid w:val="009B1C0A"/>
    <w:rsid w:val="009B1D7D"/>
    <w:rsid w:val="009B1E9A"/>
    <w:rsid w:val="009B23B7"/>
    <w:rsid w:val="009B38E0"/>
    <w:rsid w:val="009B3E26"/>
    <w:rsid w:val="009B3FDD"/>
    <w:rsid w:val="009B4140"/>
    <w:rsid w:val="009B4AF2"/>
    <w:rsid w:val="009B4C4F"/>
    <w:rsid w:val="009B503C"/>
    <w:rsid w:val="009B572C"/>
    <w:rsid w:val="009B5CBE"/>
    <w:rsid w:val="009B5EAA"/>
    <w:rsid w:val="009B636A"/>
    <w:rsid w:val="009B6949"/>
    <w:rsid w:val="009B6D75"/>
    <w:rsid w:val="009B6ED0"/>
    <w:rsid w:val="009B7063"/>
    <w:rsid w:val="009C00C2"/>
    <w:rsid w:val="009C01CE"/>
    <w:rsid w:val="009C0D4D"/>
    <w:rsid w:val="009C10FA"/>
    <w:rsid w:val="009C1271"/>
    <w:rsid w:val="009C1739"/>
    <w:rsid w:val="009C1AF3"/>
    <w:rsid w:val="009C1C56"/>
    <w:rsid w:val="009C2668"/>
    <w:rsid w:val="009C2C8C"/>
    <w:rsid w:val="009C2FF4"/>
    <w:rsid w:val="009C3241"/>
    <w:rsid w:val="009C3295"/>
    <w:rsid w:val="009C3706"/>
    <w:rsid w:val="009C37AD"/>
    <w:rsid w:val="009C3A3A"/>
    <w:rsid w:val="009C408E"/>
    <w:rsid w:val="009C426B"/>
    <w:rsid w:val="009C47AC"/>
    <w:rsid w:val="009C5203"/>
    <w:rsid w:val="009C52D0"/>
    <w:rsid w:val="009C5378"/>
    <w:rsid w:val="009C5763"/>
    <w:rsid w:val="009C59A9"/>
    <w:rsid w:val="009C5C4B"/>
    <w:rsid w:val="009C654A"/>
    <w:rsid w:val="009C6A1A"/>
    <w:rsid w:val="009C6CEA"/>
    <w:rsid w:val="009C6DEE"/>
    <w:rsid w:val="009C7165"/>
    <w:rsid w:val="009C78E4"/>
    <w:rsid w:val="009C7B1E"/>
    <w:rsid w:val="009C7B85"/>
    <w:rsid w:val="009C7C9F"/>
    <w:rsid w:val="009D0117"/>
    <w:rsid w:val="009D0254"/>
    <w:rsid w:val="009D06AD"/>
    <w:rsid w:val="009D0802"/>
    <w:rsid w:val="009D0B0A"/>
    <w:rsid w:val="009D0C79"/>
    <w:rsid w:val="009D1A64"/>
    <w:rsid w:val="009D2764"/>
    <w:rsid w:val="009D33AA"/>
    <w:rsid w:val="009D3684"/>
    <w:rsid w:val="009D397D"/>
    <w:rsid w:val="009D3A01"/>
    <w:rsid w:val="009D3D5C"/>
    <w:rsid w:val="009D4625"/>
    <w:rsid w:val="009D4CEA"/>
    <w:rsid w:val="009D4FF2"/>
    <w:rsid w:val="009D5238"/>
    <w:rsid w:val="009D5B91"/>
    <w:rsid w:val="009D632A"/>
    <w:rsid w:val="009D6AAB"/>
    <w:rsid w:val="009D6BCE"/>
    <w:rsid w:val="009D7459"/>
    <w:rsid w:val="009D789A"/>
    <w:rsid w:val="009D792E"/>
    <w:rsid w:val="009D7DAA"/>
    <w:rsid w:val="009D7E97"/>
    <w:rsid w:val="009E02E9"/>
    <w:rsid w:val="009E041A"/>
    <w:rsid w:val="009E0DFE"/>
    <w:rsid w:val="009E1E8B"/>
    <w:rsid w:val="009E206F"/>
    <w:rsid w:val="009E2713"/>
    <w:rsid w:val="009E2E19"/>
    <w:rsid w:val="009E31F6"/>
    <w:rsid w:val="009E380F"/>
    <w:rsid w:val="009E388D"/>
    <w:rsid w:val="009E3DCF"/>
    <w:rsid w:val="009E404F"/>
    <w:rsid w:val="009E450E"/>
    <w:rsid w:val="009E49CE"/>
    <w:rsid w:val="009E4C07"/>
    <w:rsid w:val="009E4F44"/>
    <w:rsid w:val="009E51F9"/>
    <w:rsid w:val="009E55E8"/>
    <w:rsid w:val="009E69F5"/>
    <w:rsid w:val="009E6A4C"/>
    <w:rsid w:val="009E6E53"/>
    <w:rsid w:val="009E6EB8"/>
    <w:rsid w:val="009E71B4"/>
    <w:rsid w:val="009E726C"/>
    <w:rsid w:val="009E7458"/>
    <w:rsid w:val="009E75A0"/>
    <w:rsid w:val="009E777F"/>
    <w:rsid w:val="009E7CE8"/>
    <w:rsid w:val="009E7E3E"/>
    <w:rsid w:val="009E7E49"/>
    <w:rsid w:val="009F01FD"/>
    <w:rsid w:val="009F051C"/>
    <w:rsid w:val="009F0689"/>
    <w:rsid w:val="009F078F"/>
    <w:rsid w:val="009F0E53"/>
    <w:rsid w:val="009F116E"/>
    <w:rsid w:val="009F12C9"/>
    <w:rsid w:val="009F1B31"/>
    <w:rsid w:val="009F1FF4"/>
    <w:rsid w:val="009F20E3"/>
    <w:rsid w:val="009F2611"/>
    <w:rsid w:val="009F2E04"/>
    <w:rsid w:val="009F3057"/>
    <w:rsid w:val="009F317D"/>
    <w:rsid w:val="009F341E"/>
    <w:rsid w:val="009F343E"/>
    <w:rsid w:val="009F354B"/>
    <w:rsid w:val="009F3E42"/>
    <w:rsid w:val="009F3EA5"/>
    <w:rsid w:val="009F43C9"/>
    <w:rsid w:val="009F49E0"/>
    <w:rsid w:val="009F4AF6"/>
    <w:rsid w:val="009F575A"/>
    <w:rsid w:val="009F59DF"/>
    <w:rsid w:val="009F5AA3"/>
    <w:rsid w:val="009F6120"/>
    <w:rsid w:val="009F6449"/>
    <w:rsid w:val="009F693C"/>
    <w:rsid w:val="009F714F"/>
    <w:rsid w:val="009F73C3"/>
    <w:rsid w:val="009F7A46"/>
    <w:rsid w:val="009F7F06"/>
    <w:rsid w:val="00A008BA"/>
    <w:rsid w:val="00A00983"/>
    <w:rsid w:val="00A00AC9"/>
    <w:rsid w:val="00A00B95"/>
    <w:rsid w:val="00A00D76"/>
    <w:rsid w:val="00A00DCD"/>
    <w:rsid w:val="00A01137"/>
    <w:rsid w:val="00A01184"/>
    <w:rsid w:val="00A01449"/>
    <w:rsid w:val="00A018D1"/>
    <w:rsid w:val="00A01A8E"/>
    <w:rsid w:val="00A01ACD"/>
    <w:rsid w:val="00A01B87"/>
    <w:rsid w:val="00A01FF4"/>
    <w:rsid w:val="00A025B7"/>
    <w:rsid w:val="00A029E5"/>
    <w:rsid w:val="00A03315"/>
    <w:rsid w:val="00A037C2"/>
    <w:rsid w:val="00A03D43"/>
    <w:rsid w:val="00A04380"/>
    <w:rsid w:val="00A04786"/>
    <w:rsid w:val="00A05003"/>
    <w:rsid w:val="00A05472"/>
    <w:rsid w:val="00A05C32"/>
    <w:rsid w:val="00A05DE6"/>
    <w:rsid w:val="00A0653F"/>
    <w:rsid w:val="00A0654E"/>
    <w:rsid w:val="00A06B7B"/>
    <w:rsid w:val="00A0748D"/>
    <w:rsid w:val="00A07738"/>
    <w:rsid w:val="00A078DF"/>
    <w:rsid w:val="00A07F2C"/>
    <w:rsid w:val="00A07F93"/>
    <w:rsid w:val="00A100F3"/>
    <w:rsid w:val="00A102F6"/>
    <w:rsid w:val="00A104AD"/>
    <w:rsid w:val="00A109BF"/>
    <w:rsid w:val="00A10B76"/>
    <w:rsid w:val="00A10C4D"/>
    <w:rsid w:val="00A10DB8"/>
    <w:rsid w:val="00A11459"/>
    <w:rsid w:val="00A11717"/>
    <w:rsid w:val="00A119E8"/>
    <w:rsid w:val="00A11BDD"/>
    <w:rsid w:val="00A11CD0"/>
    <w:rsid w:val="00A11F5B"/>
    <w:rsid w:val="00A120CC"/>
    <w:rsid w:val="00A123D8"/>
    <w:rsid w:val="00A12A65"/>
    <w:rsid w:val="00A13154"/>
    <w:rsid w:val="00A1344D"/>
    <w:rsid w:val="00A137C5"/>
    <w:rsid w:val="00A13948"/>
    <w:rsid w:val="00A14295"/>
    <w:rsid w:val="00A1442E"/>
    <w:rsid w:val="00A1454F"/>
    <w:rsid w:val="00A146D0"/>
    <w:rsid w:val="00A14746"/>
    <w:rsid w:val="00A149D8"/>
    <w:rsid w:val="00A150A3"/>
    <w:rsid w:val="00A150DF"/>
    <w:rsid w:val="00A1555B"/>
    <w:rsid w:val="00A155C5"/>
    <w:rsid w:val="00A15F63"/>
    <w:rsid w:val="00A16366"/>
    <w:rsid w:val="00A16373"/>
    <w:rsid w:val="00A16739"/>
    <w:rsid w:val="00A16AD8"/>
    <w:rsid w:val="00A16DCE"/>
    <w:rsid w:val="00A16DFE"/>
    <w:rsid w:val="00A1710B"/>
    <w:rsid w:val="00A17A85"/>
    <w:rsid w:val="00A20069"/>
    <w:rsid w:val="00A2021E"/>
    <w:rsid w:val="00A20417"/>
    <w:rsid w:val="00A205DF"/>
    <w:rsid w:val="00A20603"/>
    <w:rsid w:val="00A20A44"/>
    <w:rsid w:val="00A20D1B"/>
    <w:rsid w:val="00A219BE"/>
    <w:rsid w:val="00A21C95"/>
    <w:rsid w:val="00A21CF3"/>
    <w:rsid w:val="00A220C4"/>
    <w:rsid w:val="00A22798"/>
    <w:rsid w:val="00A22864"/>
    <w:rsid w:val="00A22C21"/>
    <w:rsid w:val="00A2310B"/>
    <w:rsid w:val="00A232D2"/>
    <w:rsid w:val="00A234C1"/>
    <w:rsid w:val="00A23528"/>
    <w:rsid w:val="00A23BE8"/>
    <w:rsid w:val="00A24813"/>
    <w:rsid w:val="00A2485A"/>
    <w:rsid w:val="00A24866"/>
    <w:rsid w:val="00A24896"/>
    <w:rsid w:val="00A24928"/>
    <w:rsid w:val="00A24AA6"/>
    <w:rsid w:val="00A25039"/>
    <w:rsid w:val="00A250AE"/>
    <w:rsid w:val="00A25E5B"/>
    <w:rsid w:val="00A263FD"/>
    <w:rsid w:val="00A26807"/>
    <w:rsid w:val="00A26824"/>
    <w:rsid w:val="00A26A5F"/>
    <w:rsid w:val="00A26C33"/>
    <w:rsid w:val="00A274DA"/>
    <w:rsid w:val="00A2773D"/>
    <w:rsid w:val="00A27AEC"/>
    <w:rsid w:val="00A30639"/>
    <w:rsid w:val="00A3104B"/>
    <w:rsid w:val="00A31ED8"/>
    <w:rsid w:val="00A31F02"/>
    <w:rsid w:val="00A320DB"/>
    <w:rsid w:val="00A32465"/>
    <w:rsid w:val="00A32F59"/>
    <w:rsid w:val="00A32F9F"/>
    <w:rsid w:val="00A3340F"/>
    <w:rsid w:val="00A334EA"/>
    <w:rsid w:val="00A337EE"/>
    <w:rsid w:val="00A340EB"/>
    <w:rsid w:val="00A343A1"/>
    <w:rsid w:val="00A343FF"/>
    <w:rsid w:val="00A3468B"/>
    <w:rsid w:val="00A347AA"/>
    <w:rsid w:val="00A348CE"/>
    <w:rsid w:val="00A34D63"/>
    <w:rsid w:val="00A3505C"/>
    <w:rsid w:val="00A350D4"/>
    <w:rsid w:val="00A356FF"/>
    <w:rsid w:val="00A35ADE"/>
    <w:rsid w:val="00A35D16"/>
    <w:rsid w:val="00A36370"/>
    <w:rsid w:val="00A36605"/>
    <w:rsid w:val="00A36682"/>
    <w:rsid w:val="00A37679"/>
    <w:rsid w:val="00A37BCD"/>
    <w:rsid w:val="00A37CFD"/>
    <w:rsid w:val="00A37D90"/>
    <w:rsid w:val="00A37D91"/>
    <w:rsid w:val="00A37F7E"/>
    <w:rsid w:val="00A402DD"/>
    <w:rsid w:val="00A4032E"/>
    <w:rsid w:val="00A4078B"/>
    <w:rsid w:val="00A41689"/>
    <w:rsid w:val="00A417A0"/>
    <w:rsid w:val="00A41E5E"/>
    <w:rsid w:val="00A420E0"/>
    <w:rsid w:val="00A42592"/>
    <w:rsid w:val="00A42719"/>
    <w:rsid w:val="00A42755"/>
    <w:rsid w:val="00A427FA"/>
    <w:rsid w:val="00A428E7"/>
    <w:rsid w:val="00A42B4F"/>
    <w:rsid w:val="00A42BA1"/>
    <w:rsid w:val="00A431ED"/>
    <w:rsid w:val="00A435FF"/>
    <w:rsid w:val="00A436AB"/>
    <w:rsid w:val="00A438D1"/>
    <w:rsid w:val="00A43BC2"/>
    <w:rsid w:val="00A43C59"/>
    <w:rsid w:val="00A44985"/>
    <w:rsid w:val="00A44A57"/>
    <w:rsid w:val="00A44AFD"/>
    <w:rsid w:val="00A45286"/>
    <w:rsid w:val="00A45C91"/>
    <w:rsid w:val="00A46125"/>
    <w:rsid w:val="00A4621D"/>
    <w:rsid w:val="00A46542"/>
    <w:rsid w:val="00A46B13"/>
    <w:rsid w:val="00A46F3B"/>
    <w:rsid w:val="00A47111"/>
    <w:rsid w:val="00A4768E"/>
    <w:rsid w:val="00A477B3"/>
    <w:rsid w:val="00A478FA"/>
    <w:rsid w:val="00A47A08"/>
    <w:rsid w:val="00A5042D"/>
    <w:rsid w:val="00A50A49"/>
    <w:rsid w:val="00A50ECD"/>
    <w:rsid w:val="00A511E4"/>
    <w:rsid w:val="00A513E0"/>
    <w:rsid w:val="00A518F3"/>
    <w:rsid w:val="00A520FC"/>
    <w:rsid w:val="00A52706"/>
    <w:rsid w:val="00A52729"/>
    <w:rsid w:val="00A52C00"/>
    <w:rsid w:val="00A5309C"/>
    <w:rsid w:val="00A53675"/>
    <w:rsid w:val="00A54271"/>
    <w:rsid w:val="00A5466C"/>
    <w:rsid w:val="00A54E4C"/>
    <w:rsid w:val="00A55268"/>
    <w:rsid w:val="00A55431"/>
    <w:rsid w:val="00A55CE0"/>
    <w:rsid w:val="00A564D7"/>
    <w:rsid w:val="00A56A61"/>
    <w:rsid w:val="00A56B6A"/>
    <w:rsid w:val="00A56DFB"/>
    <w:rsid w:val="00A57048"/>
    <w:rsid w:val="00A570F6"/>
    <w:rsid w:val="00A57101"/>
    <w:rsid w:val="00A57396"/>
    <w:rsid w:val="00A578DC"/>
    <w:rsid w:val="00A57AFA"/>
    <w:rsid w:val="00A57D01"/>
    <w:rsid w:val="00A60120"/>
    <w:rsid w:val="00A6065D"/>
    <w:rsid w:val="00A60694"/>
    <w:rsid w:val="00A608B9"/>
    <w:rsid w:val="00A60D7B"/>
    <w:rsid w:val="00A60F61"/>
    <w:rsid w:val="00A61049"/>
    <w:rsid w:val="00A61D8A"/>
    <w:rsid w:val="00A61E4A"/>
    <w:rsid w:val="00A623BA"/>
    <w:rsid w:val="00A62A13"/>
    <w:rsid w:val="00A62E2D"/>
    <w:rsid w:val="00A63F97"/>
    <w:rsid w:val="00A640E2"/>
    <w:rsid w:val="00A6418F"/>
    <w:rsid w:val="00A642FD"/>
    <w:rsid w:val="00A64416"/>
    <w:rsid w:val="00A64B88"/>
    <w:rsid w:val="00A64CE5"/>
    <w:rsid w:val="00A64D65"/>
    <w:rsid w:val="00A6569B"/>
    <w:rsid w:val="00A65BB3"/>
    <w:rsid w:val="00A66151"/>
    <w:rsid w:val="00A661AF"/>
    <w:rsid w:val="00A6665A"/>
    <w:rsid w:val="00A6666D"/>
    <w:rsid w:val="00A66834"/>
    <w:rsid w:val="00A66D6C"/>
    <w:rsid w:val="00A67103"/>
    <w:rsid w:val="00A6725B"/>
    <w:rsid w:val="00A67456"/>
    <w:rsid w:val="00A677B9"/>
    <w:rsid w:val="00A6784D"/>
    <w:rsid w:val="00A67931"/>
    <w:rsid w:val="00A679A5"/>
    <w:rsid w:val="00A67CD3"/>
    <w:rsid w:val="00A67E2A"/>
    <w:rsid w:val="00A70219"/>
    <w:rsid w:val="00A705C4"/>
    <w:rsid w:val="00A70605"/>
    <w:rsid w:val="00A70967"/>
    <w:rsid w:val="00A70C7E"/>
    <w:rsid w:val="00A70DEE"/>
    <w:rsid w:val="00A70E87"/>
    <w:rsid w:val="00A71266"/>
    <w:rsid w:val="00A7156A"/>
    <w:rsid w:val="00A718B8"/>
    <w:rsid w:val="00A71B9B"/>
    <w:rsid w:val="00A71C44"/>
    <w:rsid w:val="00A71CC7"/>
    <w:rsid w:val="00A71E47"/>
    <w:rsid w:val="00A7203C"/>
    <w:rsid w:val="00A720A5"/>
    <w:rsid w:val="00A725E9"/>
    <w:rsid w:val="00A73134"/>
    <w:rsid w:val="00A7365A"/>
    <w:rsid w:val="00A73775"/>
    <w:rsid w:val="00A73902"/>
    <w:rsid w:val="00A73D4C"/>
    <w:rsid w:val="00A74674"/>
    <w:rsid w:val="00A75168"/>
    <w:rsid w:val="00A752B6"/>
    <w:rsid w:val="00A75512"/>
    <w:rsid w:val="00A7556E"/>
    <w:rsid w:val="00A756B4"/>
    <w:rsid w:val="00A75D12"/>
    <w:rsid w:val="00A76001"/>
    <w:rsid w:val="00A76295"/>
    <w:rsid w:val="00A76935"/>
    <w:rsid w:val="00A76ADD"/>
    <w:rsid w:val="00A76DF6"/>
    <w:rsid w:val="00A76E66"/>
    <w:rsid w:val="00A77584"/>
    <w:rsid w:val="00A777B2"/>
    <w:rsid w:val="00A77F6C"/>
    <w:rsid w:val="00A8003E"/>
    <w:rsid w:val="00A80457"/>
    <w:rsid w:val="00A8054B"/>
    <w:rsid w:val="00A808A4"/>
    <w:rsid w:val="00A80EE3"/>
    <w:rsid w:val="00A81BBC"/>
    <w:rsid w:val="00A81DDB"/>
    <w:rsid w:val="00A81F68"/>
    <w:rsid w:val="00A82194"/>
    <w:rsid w:val="00A825D4"/>
    <w:rsid w:val="00A826D8"/>
    <w:rsid w:val="00A8271D"/>
    <w:rsid w:val="00A8276F"/>
    <w:rsid w:val="00A828F6"/>
    <w:rsid w:val="00A8290A"/>
    <w:rsid w:val="00A82B73"/>
    <w:rsid w:val="00A82E52"/>
    <w:rsid w:val="00A83114"/>
    <w:rsid w:val="00A83188"/>
    <w:rsid w:val="00A8333A"/>
    <w:rsid w:val="00A8337F"/>
    <w:rsid w:val="00A83827"/>
    <w:rsid w:val="00A8461A"/>
    <w:rsid w:val="00A84BE2"/>
    <w:rsid w:val="00A84C2C"/>
    <w:rsid w:val="00A85291"/>
    <w:rsid w:val="00A85B9D"/>
    <w:rsid w:val="00A85F37"/>
    <w:rsid w:val="00A8627B"/>
    <w:rsid w:val="00A86444"/>
    <w:rsid w:val="00A864D3"/>
    <w:rsid w:val="00A86536"/>
    <w:rsid w:val="00A865B3"/>
    <w:rsid w:val="00A865D5"/>
    <w:rsid w:val="00A86B2D"/>
    <w:rsid w:val="00A86D6E"/>
    <w:rsid w:val="00A86E29"/>
    <w:rsid w:val="00A86E8B"/>
    <w:rsid w:val="00A8715C"/>
    <w:rsid w:val="00A87164"/>
    <w:rsid w:val="00A871A9"/>
    <w:rsid w:val="00A87ADE"/>
    <w:rsid w:val="00A901A0"/>
    <w:rsid w:val="00A904CF"/>
    <w:rsid w:val="00A905E3"/>
    <w:rsid w:val="00A90861"/>
    <w:rsid w:val="00A90BD5"/>
    <w:rsid w:val="00A90C62"/>
    <w:rsid w:val="00A90E41"/>
    <w:rsid w:val="00A91391"/>
    <w:rsid w:val="00A918A7"/>
    <w:rsid w:val="00A918D0"/>
    <w:rsid w:val="00A91FAD"/>
    <w:rsid w:val="00A92289"/>
    <w:rsid w:val="00A922BF"/>
    <w:rsid w:val="00A9235A"/>
    <w:rsid w:val="00A92E6E"/>
    <w:rsid w:val="00A93072"/>
    <w:rsid w:val="00A9353C"/>
    <w:rsid w:val="00A9361F"/>
    <w:rsid w:val="00A938BD"/>
    <w:rsid w:val="00A93953"/>
    <w:rsid w:val="00A93FE4"/>
    <w:rsid w:val="00A941C6"/>
    <w:rsid w:val="00A94C9A"/>
    <w:rsid w:val="00A94F5F"/>
    <w:rsid w:val="00A95194"/>
    <w:rsid w:val="00A9527F"/>
    <w:rsid w:val="00A959D8"/>
    <w:rsid w:val="00A95B38"/>
    <w:rsid w:val="00A95B9D"/>
    <w:rsid w:val="00A960BF"/>
    <w:rsid w:val="00A962F9"/>
    <w:rsid w:val="00A96383"/>
    <w:rsid w:val="00A96C53"/>
    <w:rsid w:val="00A96E7F"/>
    <w:rsid w:val="00A97017"/>
    <w:rsid w:val="00A9709C"/>
    <w:rsid w:val="00A976D1"/>
    <w:rsid w:val="00AA0474"/>
    <w:rsid w:val="00AA0D3F"/>
    <w:rsid w:val="00AA113D"/>
    <w:rsid w:val="00AA1E8A"/>
    <w:rsid w:val="00AA20D8"/>
    <w:rsid w:val="00AA2170"/>
    <w:rsid w:val="00AA24AA"/>
    <w:rsid w:val="00AA26DA"/>
    <w:rsid w:val="00AA2911"/>
    <w:rsid w:val="00AA2D65"/>
    <w:rsid w:val="00AA2DAE"/>
    <w:rsid w:val="00AA3603"/>
    <w:rsid w:val="00AA3A91"/>
    <w:rsid w:val="00AA3D54"/>
    <w:rsid w:val="00AA4302"/>
    <w:rsid w:val="00AA4453"/>
    <w:rsid w:val="00AA45F9"/>
    <w:rsid w:val="00AA4DB1"/>
    <w:rsid w:val="00AA536D"/>
    <w:rsid w:val="00AA566B"/>
    <w:rsid w:val="00AA5A06"/>
    <w:rsid w:val="00AA6547"/>
    <w:rsid w:val="00AA682D"/>
    <w:rsid w:val="00AA6840"/>
    <w:rsid w:val="00AA6BD5"/>
    <w:rsid w:val="00AA6BD8"/>
    <w:rsid w:val="00AA6C7D"/>
    <w:rsid w:val="00AA6F18"/>
    <w:rsid w:val="00AA6F19"/>
    <w:rsid w:val="00AA7238"/>
    <w:rsid w:val="00AA76A6"/>
    <w:rsid w:val="00AA7714"/>
    <w:rsid w:val="00AA7BC2"/>
    <w:rsid w:val="00AA7BF7"/>
    <w:rsid w:val="00AA7C05"/>
    <w:rsid w:val="00AA7FD6"/>
    <w:rsid w:val="00AB0025"/>
    <w:rsid w:val="00AB00C8"/>
    <w:rsid w:val="00AB042A"/>
    <w:rsid w:val="00AB1003"/>
    <w:rsid w:val="00AB11AD"/>
    <w:rsid w:val="00AB150B"/>
    <w:rsid w:val="00AB191C"/>
    <w:rsid w:val="00AB19EF"/>
    <w:rsid w:val="00AB207D"/>
    <w:rsid w:val="00AB22C5"/>
    <w:rsid w:val="00AB2495"/>
    <w:rsid w:val="00AB2D34"/>
    <w:rsid w:val="00AB3394"/>
    <w:rsid w:val="00AB3430"/>
    <w:rsid w:val="00AB348C"/>
    <w:rsid w:val="00AB37B9"/>
    <w:rsid w:val="00AB3852"/>
    <w:rsid w:val="00AB3A3C"/>
    <w:rsid w:val="00AB3B31"/>
    <w:rsid w:val="00AB415E"/>
    <w:rsid w:val="00AB4AD1"/>
    <w:rsid w:val="00AB4B89"/>
    <w:rsid w:val="00AB4C04"/>
    <w:rsid w:val="00AB4C0A"/>
    <w:rsid w:val="00AB56AD"/>
    <w:rsid w:val="00AB59F8"/>
    <w:rsid w:val="00AB5ADB"/>
    <w:rsid w:val="00AB5C0D"/>
    <w:rsid w:val="00AB5E07"/>
    <w:rsid w:val="00AB5EE7"/>
    <w:rsid w:val="00AB6F3F"/>
    <w:rsid w:val="00AB7B15"/>
    <w:rsid w:val="00AB7B19"/>
    <w:rsid w:val="00AB7CFA"/>
    <w:rsid w:val="00AC0443"/>
    <w:rsid w:val="00AC08C2"/>
    <w:rsid w:val="00AC0D43"/>
    <w:rsid w:val="00AC11CC"/>
    <w:rsid w:val="00AC1330"/>
    <w:rsid w:val="00AC1E24"/>
    <w:rsid w:val="00AC2169"/>
    <w:rsid w:val="00AC2661"/>
    <w:rsid w:val="00AC272C"/>
    <w:rsid w:val="00AC2C7F"/>
    <w:rsid w:val="00AC3495"/>
    <w:rsid w:val="00AC34FC"/>
    <w:rsid w:val="00AC3589"/>
    <w:rsid w:val="00AC3929"/>
    <w:rsid w:val="00AC3A13"/>
    <w:rsid w:val="00AC3CC3"/>
    <w:rsid w:val="00AC4586"/>
    <w:rsid w:val="00AC4D8F"/>
    <w:rsid w:val="00AC4DEF"/>
    <w:rsid w:val="00AC4EE3"/>
    <w:rsid w:val="00AC501E"/>
    <w:rsid w:val="00AC516B"/>
    <w:rsid w:val="00AC5B42"/>
    <w:rsid w:val="00AC5B48"/>
    <w:rsid w:val="00AC61CE"/>
    <w:rsid w:val="00AC6726"/>
    <w:rsid w:val="00AC688D"/>
    <w:rsid w:val="00AC6AC1"/>
    <w:rsid w:val="00AC7218"/>
    <w:rsid w:val="00AC76A0"/>
    <w:rsid w:val="00AC7809"/>
    <w:rsid w:val="00AC7830"/>
    <w:rsid w:val="00AC7C30"/>
    <w:rsid w:val="00AC7D95"/>
    <w:rsid w:val="00AD0351"/>
    <w:rsid w:val="00AD040A"/>
    <w:rsid w:val="00AD050B"/>
    <w:rsid w:val="00AD0830"/>
    <w:rsid w:val="00AD0BA7"/>
    <w:rsid w:val="00AD1450"/>
    <w:rsid w:val="00AD1558"/>
    <w:rsid w:val="00AD15E8"/>
    <w:rsid w:val="00AD16EC"/>
    <w:rsid w:val="00AD1A1D"/>
    <w:rsid w:val="00AD1C18"/>
    <w:rsid w:val="00AD1CE4"/>
    <w:rsid w:val="00AD1F06"/>
    <w:rsid w:val="00AD356D"/>
    <w:rsid w:val="00AD35F4"/>
    <w:rsid w:val="00AD363C"/>
    <w:rsid w:val="00AD3BBD"/>
    <w:rsid w:val="00AD3E5E"/>
    <w:rsid w:val="00AD3F0C"/>
    <w:rsid w:val="00AD41D4"/>
    <w:rsid w:val="00AD4BCB"/>
    <w:rsid w:val="00AD53F4"/>
    <w:rsid w:val="00AD5422"/>
    <w:rsid w:val="00AD5ED2"/>
    <w:rsid w:val="00AD6502"/>
    <w:rsid w:val="00AD6512"/>
    <w:rsid w:val="00AD6808"/>
    <w:rsid w:val="00AD6D1C"/>
    <w:rsid w:val="00AD7108"/>
    <w:rsid w:val="00AD769E"/>
    <w:rsid w:val="00AD7822"/>
    <w:rsid w:val="00AD7A1A"/>
    <w:rsid w:val="00AE016D"/>
    <w:rsid w:val="00AE0284"/>
    <w:rsid w:val="00AE036F"/>
    <w:rsid w:val="00AE0695"/>
    <w:rsid w:val="00AE0A68"/>
    <w:rsid w:val="00AE180E"/>
    <w:rsid w:val="00AE1AFE"/>
    <w:rsid w:val="00AE208B"/>
    <w:rsid w:val="00AE20DE"/>
    <w:rsid w:val="00AE222F"/>
    <w:rsid w:val="00AE2283"/>
    <w:rsid w:val="00AE28F5"/>
    <w:rsid w:val="00AE310A"/>
    <w:rsid w:val="00AE335F"/>
    <w:rsid w:val="00AE3935"/>
    <w:rsid w:val="00AE3D7D"/>
    <w:rsid w:val="00AE3E35"/>
    <w:rsid w:val="00AE3E7E"/>
    <w:rsid w:val="00AE467B"/>
    <w:rsid w:val="00AE468D"/>
    <w:rsid w:val="00AE4DA5"/>
    <w:rsid w:val="00AE5414"/>
    <w:rsid w:val="00AE59DE"/>
    <w:rsid w:val="00AE5F96"/>
    <w:rsid w:val="00AE5FD3"/>
    <w:rsid w:val="00AE62D3"/>
    <w:rsid w:val="00AE636A"/>
    <w:rsid w:val="00AE729A"/>
    <w:rsid w:val="00AE7467"/>
    <w:rsid w:val="00AE751C"/>
    <w:rsid w:val="00AE7A62"/>
    <w:rsid w:val="00AE7E53"/>
    <w:rsid w:val="00AE7F0B"/>
    <w:rsid w:val="00AF1184"/>
    <w:rsid w:val="00AF1315"/>
    <w:rsid w:val="00AF19BF"/>
    <w:rsid w:val="00AF2049"/>
    <w:rsid w:val="00AF217A"/>
    <w:rsid w:val="00AF238D"/>
    <w:rsid w:val="00AF2841"/>
    <w:rsid w:val="00AF2B86"/>
    <w:rsid w:val="00AF2DC3"/>
    <w:rsid w:val="00AF2EE4"/>
    <w:rsid w:val="00AF326C"/>
    <w:rsid w:val="00AF3325"/>
    <w:rsid w:val="00AF3916"/>
    <w:rsid w:val="00AF3A42"/>
    <w:rsid w:val="00AF3BDC"/>
    <w:rsid w:val="00AF3F35"/>
    <w:rsid w:val="00AF3F62"/>
    <w:rsid w:val="00AF40B4"/>
    <w:rsid w:val="00AF4AA6"/>
    <w:rsid w:val="00AF52A6"/>
    <w:rsid w:val="00AF5755"/>
    <w:rsid w:val="00AF5970"/>
    <w:rsid w:val="00AF5DDE"/>
    <w:rsid w:val="00AF5F06"/>
    <w:rsid w:val="00AF631E"/>
    <w:rsid w:val="00AF649B"/>
    <w:rsid w:val="00AF67A2"/>
    <w:rsid w:val="00AF6D6F"/>
    <w:rsid w:val="00AF7B65"/>
    <w:rsid w:val="00AF7D74"/>
    <w:rsid w:val="00B001A7"/>
    <w:rsid w:val="00B00281"/>
    <w:rsid w:val="00B00D02"/>
    <w:rsid w:val="00B0114D"/>
    <w:rsid w:val="00B013B9"/>
    <w:rsid w:val="00B019BC"/>
    <w:rsid w:val="00B01EAB"/>
    <w:rsid w:val="00B020E8"/>
    <w:rsid w:val="00B02974"/>
    <w:rsid w:val="00B02C6B"/>
    <w:rsid w:val="00B0304F"/>
    <w:rsid w:val="00B033E5"/>
    <w:rsid w:val="00B03483"/>
    <w:rsid w:val="00B034FC"/>
    <w:rsid w:val="00B03510"/>
    <w:rsid w:val="00B03A63"/>
    <w:rsid w:val="00B03B9E"/>
    <w:rsid w:val="00B03D7F"/>
    <w:rsid w:val="00B045F4"/>
    <w:rsid w:val="00B04B5D"/>
    <w:rsid w:val="00B04D4C"/>
    <w:rsid w:val="00B0512F"/>
    <w:rsid w:val="00B0539D"/>
    <w:rsid w:val="00B05414"/>
    <w:rsid w:val="00B0554F"/>
    <w:rsid w:val="00B05713"/>
    <w:rsid w:val="00B05727"/>
    <w:rsid w:val="00B058A0"/>
    <w:rsid w:val="00B05E6E"/>
    <w:rsid w:val="00B06493"/>
    <w:rsid w:val="00B06589"/>
    <w:rsid w:val="00B068DD"/>
    <w:rsid w:val="00B072C1"/>
    <w:rsid w:val="00B07559"/>
    <w:rsid w:val="00B076DC"/>
    <w:rsid w:val="00B07B56"/>
    <w:rsid w:val="00B07D19"/>
    <w:rsid w:val="00B07E54"/>
    <w:rsid w:val="00B07FBF"/>
    <w:rsid w:val="00B10B88"/>
    <w:rsid w:val="00B10C3F"/>
    <w:rsid w:val="00B10FD7"/>
    <w:rsid w:val="00B119DB"/>
    <w:rsid w:val="00B12470"/>
    <w:rsid w:val="00B12632"/>
    <w:rsid w:val="00B1273D"/>
    <w:rsid w:val="00B1291B"/>
    <w:rsid w:val="00B129A4"/>
    <w:rsid w:val="00B12A1A"/>
    <w:rsid w:val="00B12A5F"/>
    <w:rsid w:val="00B13122"/>
    <w:rsid w:val="00B1394E"/>
    <w:rsid w:val="00B13C29"/>
    <w:rsid w:val="00B13E0B"/>
    <w:rsid w:val="00B13F72"/>
    <w:rsid w:val="00B1453B"/>
    <w:rsid w:val="00B148D8"/>
    <w:rsid w:val="00B14A00"/>
    <w:rsid w:val="00B150F2"/>
    <w:rsid w:val="00B15272"/>
    <w:rsid w:val="00B15C93"/>
    <w:rsid w:val="00B1639A"/>
    <w:rsid w:val="00B163BA"/>
    <w:rsid w:val="00B163CF"/>
    <w:rsid w:val="00B16603"/>
    <w:rsid w:val="00B16E23"/>
    <w:rsid w:val="00B173FC"/>
    <w:rsid w:val="00B17A9C"/>
    <w:rsid w:val="00B17CEB"/>
    <w:rsid w:val="00B20113"/>
    <w:rsid w:val="00B201A4"/>
    <w:rsid w:val="00B201D1"/>
    <w:rsid w:val="00B20742"/>
    <w:rsid w:val="00B20C54"/>
    <w:rsid w:val="00B20DC1"/>
    <w:rsid w:val="00B20F3B"/>
    <w:rsid w:val="00B20F51"/>
    <w:rsid w:val="00B21131"/>
    <w:rsid w:val="00B213A6"/>
    <w:rsid w:val="00B21951"/>
    <w:rsid w:val="00B21C62"/>
    <w:rsid w:val="00B222A7"/>
    <w:rsid w:val="00B22478"/>
    <w:rsid w:val="00B22DAA"/>
    <w:rsid w:val="00B235B0"/>
    <w:rsid w:val="00B239EB"/>
    <w:rsid w:val="00B242F4"/>
    <w:rsid w:val="00B24BD3"/>
    <w:rsid w:val="00B24DF6"/>
    <w:rsid w:val="00B255B6"/>
    <w:rsid w:val="00B25758"/>
    <w:rsid w:val="00B2597E"/>
    <w:rsid w:val="00B25ABC"/>
    <w:rsid w:val="00B25D69"/>
    <w:rsid w:val="00B264EC"/>
    <w:rsid w:val="00B265F1"/>
    <w:rsid w:val="00B26696"/>
    <w:rsid w:val="00B26DDD"/>
    <w:rsid w:val="00B273F1"/>
    <w:rsid w:val="00B2741F"/>
    <w:rsid w:val="00B27A61"/>
    <w:rsid w:val="00B27D99"/>
    <w:rsid w:val="00B27DE0"/>
    <w:rsid w:val="00B300F5"/>
    <w:rsid w:val="00B30B67"/>
    <w:rsid w:val="00B30FDC"/>
    <w:rsid w:val="00B31A9C"/>
    <w:rsid w:val="00B31C9A"/>
    <w:rsid w:val="00B32EA0"/>
    <w:rsid w:val="00B3310A"/>
    <w:rsid w:val="00B3361C"/>
    <w:rsid w:val="00B33943"/>
    <w:rsid w:val="00B33A65"/>
    <w:rsid w:val="00B34D67"/>
    <w:rsid w:val="00B34FE2"/>
    <w:rsid w:val="00B35082"/>
    <w:rsid w:val="00B35166"/>
    <w:rsid w:val="00B3555C"/>
    <w:rsid w:val="00B357D8"/>
    <w:rsid w:val="00B360F4"/>
    <w:rsid w:val="00B36538"/>
    <w:rsid w:val="00B36A00"/>
    <w:rsid w:val="00B36A1E"/>
    <w:rsid w:val="00B3792B"/>
    <w:rsid w:val="00B37B33"/>
    <w:rsid w:val="00B37BFC"/>
    <w:rsid w:val="00B37FFD"/>
    <w:rsid w:val="00B40352"/>
    <w:rsid w:val="00B40358"/>
    <w:rsid w:val="00B40461"/>
    <w:rsid w:val="00B40E6D"/>
    <w:rsid w:val="00B41614"/>
    <w:rsid w:val="00B41AB4"/>
    <w:rsid w:val="00B41B3F"/>
    <w:rsid w:val="00B41D95"/>
    <w:rsid w:val="00B4202B"/>
    <w:rsid w:val="00B424E3"/>
    <w:rsid w:val="00B42522"/>
    <w:rsid w:val="00B42851"/>
    <w:rsid w:val="00B42BFD"/>
    <w:rsid w:val="00B42F80"/>
    <w:rsid w:val="00B43507"/>
    <w:rsid w:val="00B435CB"/>
    <w:rsid w:val="00B43FA7"/>
    <w:rsid w:val="00B4424A"/>
    <w:rsid w:val="00B44B1E"/>
    <w:rsid w:val="00B457CD"/>
    <w:rsid w:val="00B45942"/>
    <w:rsid w:val="00B460D7"/>
    <w:rsid w:val="00B46418"/>
    <w:rsid w:val="00B46596"/>
    <w:rsid w:val="00B465EC"/>
    <w:rsid w:val="00B46BF7"/>
    <w:rsid w:val="00B4700E"/>
    <w:rsid w:val="00B47214"/>
    <w:rsid w:val="00B47594"/>
    <w:rsid w:val="00B475A1"/>
    <w:rsid w:val="00B47650"/>
    <w:rsid w:val="00B4777A"/>
    <w:rsid w:val="00B47EA0"/>
    <w:rsid w:val="00B47F69"/>
    <w:rsid w:val="00B504BA"/>
    <w:rsid w:val="00B505C8"/>
    <w:rsid w:val="00B50CF3"/>
    <w:rsid w:val="00B50DB8"/>
    <w:rsid w:val="00B51994"/>
    <w:rsid w:val="00B51AC0"/>
    <w:rsid w:val="00B51B54"/>
    <w:rsid w:val="00B51D92"/>
    <w:rsid w:val="00B51E04"/>
    <w:rsid w:val="00B521C5"/>
    <w:rsid w:val="00B52256"/>
    <w:rsid w:val="00B53149"/>
    <w:rsid w:val="00B53654"/>
    <w:rsid w:val="00B53905"/>
    <w:rsid w:val="00B53A59"/>
    <w:rsid w:val="00B53ED3"/>
    <w:rsid w:val="00B543F6"/>
    <w:rsid w:val="00B54496"/>
    <w:rsid w:val="00B546DB"/>
    <w:rsid w:val="00B54781"/>
    <w:rsid w:val="00B549A0"/>
    <w:rsid w:val="00B54B5B"/>
    <w:rsid w:val="00B54FC4"/>
    <w:rsid w:val="00B54FC6"/>
    <w:rsid w:val="00B550AA"/>
    <w:rsid w:val="00B5562E"/>
    <w:rsid w:val="00B55667"/>
    <w:rsid w:val="00B55770"/>
    <w:rsid w:val="00B55862"/>
    <w:rsid w:val="00B55D65"/>
    <w:rsid w:val="00B56305"/>
    <w:rsid w:val="00B563C5"/>
    <w:rsid w:val="00B56911"/>
    <w:rsid w:val="00B569B7"/>
    <w:rsid w:val="00B56D54"/>
    <w:rsid w:val="00B57000"/>
    <w:rsid w:val="00B57661"/>
    <w:rsid w:val="00B600E5"/>
    <w:rsid w:val="00B6068C"/>
    <w:rsid w:val="00B6079F"/>
    <w:rsid w:val="00B60939"/>
    <w:rsid w:val="00B60A44"/>
    <w:rsid w:val="00B60AFD"/>
    <w:rsid w:val="00B61694"/>
    <w:rsid w:val="00B6199F"/>
    <w:rsid w:val="00B61B47"/>
    <w:rsid w:val="00B61D68"/>
    <w:rsid w:val="00B61EAA"/>
    <w:rsid w:val="00B62601"/>
    <w:rsid w:val="00B62715"/>
    <w:rsid w:val="00B62D67"/>
    <w:rsid w:val="00B62F95"/>
    <w:rsid w:val="00B632AD"/>
    <w:rsid w:val="00B6350E"/>
    <w:rsid w:val="00B63D6A"/>
    <w:rsid w:val="00B640FC"/>
    <w:rsid w:val="00B64404"/>
    <w:rsid w:val="00B6496F"/>
    <w:rsid w:val="00B64A4F"/>
    <w:rsid w:val="00B64D60"/>
    <w:rsid w:val="00B64D68"/>
    <w:rsid w:val="00B65177"/>
    <w:rsid w:val="00B65611"/>
    <w:rsid w:val="00B65808"/>
    <w:rsid w:val="00B65ABB"/>
    <w:rsid w:val="00B65BA7"/>
    <w:rsid w:val="00B65EA9"/>
    <w:rsid w:val="00B6608F"/>
    <w:rsid w:val="00B66090"/>
    <w:rsid w:val="00B66199"/>
    <w:rsid w:val="00B665A6"/>
    <w:rsid w:val="00B66979"/>
    <w:rsid w:val="00B66E5A"/>
    <w:rsid w:val="00B66F4E"/>
    <w:rsid w:val="00B670B0"/>
    <w:rsid w:val="00B67825"/>
    <w:rsid w:val="00B67841"/>
    <w:rsid w:val="00B678FB"/>
    <w:rsid w:val="00B67BD9"/>
    <w:rsid w:val="00B704E5"/>
    <w:rsid w:val="00B7050F"/>
    <w:rsid w:val="00B70978"/>
    <w:rsid w:val="00B70E8E"/>
    <w:rsid w:val="00B7171F"/>
    <w:rsid w:val="00B71A4D"/>
    <w:rsid w:val="00B72364"/>
    <w:rsid w:val="00B7242D"/>
    <w:rsid w:val="00B72B20"/>
    <w:rsid w:val="00B72BF3"/>
    <w:rsid w:val="00B72F48"/>
    <w:rsid w:val="00B7332F"/>
    <w:rsid w:val="00B73359"/>
    <w:rsid w:val="00B73969"/>
    <w:rsid w:val="00B73F3C"/>
    <w:rsid w:val="00B73FC0"/>
    <w:rsid w:val="00B7449A"/>
    <w:rsid w:val="00B74BF3"/>
    <w:rsid w:val="00B74E8E"/>
    <w:rsid w:val="00B75606"/>
    <w:rsid w:val="00B75FB3"/>
    <w:rsid w:val="00B760F1"/>
    <w:rsid w:val="00B7633B"/>
    <w:rsid w:val="00B76475"/>
    <w:rsid w:val="00B766FF"/>
    <w:rsid w:val="00B76C92"/>
    <w:rsid w:val="00B76F21"/>
    <w:rsid w:val="00B77613"/>
    <w:rsid w:val="00B77643"/>
    <w:rsid w:val="00B77841"/>
    <w:rsid w:val="00B778FA"/>
    <w:rsid w:val="00B7796C"/>
    <w:rsid w:val="00B779EE"/>
    <w:rsid w:val="00B77CCF"/>
    <w:rsid w:val="00B77EC9"/>
    <w:rsid w:val="00B804E0"/>
    <w:rsid w:val="00B807DA"/>
    <w:rsid w:val="00B80D63"/>
    <w:rsid w:val="00B80EFD"/>
    <w:rsid w:val="00B81234"/>
    <w:rsid w:val="00B814E9"/>
    <w:rsid w:val="00B8177F"/>
    <w:rsid w:val="00B818A4"/>
    <w:rsid w:val="00B81C6A"/>
    <w:rsid w:val="00B81CD0"/>
    <w:rsid w:val="00B83739"/>
    <w:rsid w:val="00B838A3"/>
    <w:rsid w:val="00B83959"/>
    <w:rsid w:val="00B84092"/>
    <w:rsid w:val="00B84117"/>
    <w:rsid w:val="00B8456F"/>
    <w:rsid w:val="00B8472A"/>
    <w:rsid w:val="00B85127"/>
    <w:rsid w:val="00B8528D"/>
    <w:rsid w:val="00B856D3"/>
    <w:rsid w:val="00B858F0"/>
    <w:rsid w:val="00B85AA2"/>
    <w:rsid w:val="00B85D37"/>
    <w:rsid w:val="00B85D4A"/>
    <w:rsid w:val="00B8649C"/>
    <w:rsid w:val="00B8695D"/>
    <w:rsid w:val="00B86D8C"/>
    <w:rsid w:val="00B873D1"/>
    <w:rsid w:val="00B8741B"/>
    <w:rsid w:val="00B877F4"/>
    <w:rsid w:val="00B879B4"/>
    <w:rsid w:val="00B87A2C"/>
    <w:rsid w:val="00B87F0A"/>
    <w:rsid w:val="00B90484"/>
    <w:rsid w:val="00B90BFF"/>
    <w:rsid w:val="00B90D53"/>
    <w:rsid w:val="00B90F18"/>
    <w:rsid w:val="00B9166E"/>
    <w:rsid w:val="00B91BBA"/>
    <w:rsid w:val="00B9204C"/>
    <w:rsid w:val="00B92360"/>
    <w:rsid w:val="00B9240E"/>
    <w:rsid w:val="00B924D4"/>
    <w:rsid w:val="00B9260F"/>
    <w:rsid w:val="00B9283B"/>
    <w:rsid w:val="00B9289B"/>
    <w:rsid w:val="00B92B3D"/>
    <w:rsid w:val="00B92D0B"/>
    <w:rsid w:val="00B94391"/>
    <w:rsid w:val="00B94414"/>
    <w:rsid w:val="00B94945"/>
    <w:rsid w:val="00B94B93"/>
    <w:rsid w:val="00B94C43"/>
    <w:rsid w:val="00B94DD6"/>
    <w:rsid w:val="00B9509E"/>
    <w:rsid w:val="00B95105"/>
    <w:rsid w:val="00B95335"/>
    <w:rsid w:val="00B95910"/>
    <w:rsid w:val="00B96200"/>
    <w:rsid w:val="00B96389"/>
    <w:rsid w:val="00B9638C"/>
    <w:rsid w:val="00B9665A"/>
    <w:rsid w:val="00B96BD9"/>
    <w:rsid w:val="00B96FC2"/>
    <w:rsid w:val="00B972BC"/>
    <w:rsid w:val="00BA0042"/>
    <w:rsid w:val="00BA0C4B"/>
    <w:rsid w:val="00BA0E9C"/>
    <w:rsid w:val="00BA0EE2"/>
    <w:rsid w:val="00BA0F24"/>
    <w:rsid w:val="00BA1186"/>
    <w:rsid w:val="00BA11FD"/>
    <w:rsid w:val="00BA19D9"/>
    <w:rsid w:val="00BA19F3"/>
    <w:rsid w:val="00BA21C4"/>
    <w:rsid w:val="00BA2404"/>
    <w:rsid w:val="00BA26FA"/>
    <w:rsid w:val="00BA2B8D"/>
    <w:rsid w:val="00BA2CBA"/>
    <w:rsid w:val="00BA2F00"/>
    <w:rsid w:val="00BA3014"/>
    <w:rsid w:val="00BA322D"/>
    <w:rsid w:val="00BA3CA5"/>
    <w:rsid w:val="00BA3D70"/>
    <w:rsid w:val="00BA3F9D"/>
    <w:rsid w:val="00BA4333"/>
    <w:rsid w:val="00BA4471"/>
    <w:rsid w:val="00BA4BEA"/>
    <w:rsid w:val="00BA5417"/>
    <w:rsid w:val="00BA56D5"/>
    <w:rsid w:val="00BA5BDF"/>
    <w:rsid w:val="00BA5DE3"/>
    <w:rsid w:val="00BA63FA"/>
    <w:rsid w:val="00BA6811"/>
    <w:rsid w:val="00BA69AC"/>
    <w:rsid w:val="00BA6AD8"/>
    <w:rsid w:val="00BA7063"/>
    <w:rsid w:val="00BA7363"/>
    <w:rsid w:val="00BA7545"/>
    <w:rsid w:val="00BA784F"/>
    <w:rsid w:val="00BA7FB6"/>
    <w:rsid w:val="00BB00B3"/>
    <w:rsid w:val="00BB0152"/>
    <w:rsid w:val="00BB0922"/>
    <w:rsid w:val="00BB0BDD"/>
    <w:rsid w:val="00BB0FF3"/>
    <w:rsid w:val="00BB13EB"/>
    <w:rsid w:val="00BB1430"/>
    <w:rsid w:val="00BB176C"/>
    <w:rsid w:val="00BB1D16"/>
    <w:rsid w:val="00BB1D49"/>
    <w:rsid w:val="00BB22FD"/>
    <w:rsid w:val="00BB249A"/>
    <w:rsid w:val="00BB279E"/>
    <w:rsid w:val="00BB2892"/>
    <w:rsid w:val="00BB28EE"/>
    <w:rsid w:val="00BB2A73"/>
    <w:rsid w:val="00BB2ABD"/>
    <w:rsid w:val="00BB2E3D"/>
    <w:rsid w:val="00BB30A1"/>
    <w:rsid w:val="00BB3A45"/>
    <w:rsid w:val="00BB3E73"/>
    <w:rsid w:val="00BB419E"/>
    <w:rsid w:val="00BB42B6"/>
    <w:rsid w:val="00BB4855"/>
    <w:rsid w:val="00BB490E"/>
    <w:rsid w:val="00BB49D8"/>
    <w:rsid w:val="00BB4ACC"/>
    <w:rsid w:val="00BB4DA0"/>
    <w:rsid w:val="00BB4FC2"/>
    <w:rsid w:val="00BB5222"/>
    <w:rsid w:val="00BB5554"/>
    <w:rsid w:val="00BB577D"/>
    <w:rsid w:val="00BB579B"/>
    <w:rsid w:val="00BB63E7"/>
    <w:rsid w:val="00BB703E"/>
    <w:rsid w:val="00BB730A"/>
    <w:rsid w:val="00BB732D"/>
    <w:rsid w:val="00BB73FC"/>
    <w:rsid w:val="00BB7405"/>
    <w:rsid w:val="00BB7600"/>
    <w:rsid w:val="00BB7DC2"/>
    <w:rsid w:val="00BC0009"/>
    <w:rsid w:val="00BC082C"/>
    <w:rsid w:val="00BC0B6A"/>
    <w:rsid w:val="00BC1294"/>
    <w:rsid w:val="00BC160E"/>
    <w:rsid w:val="00BC1702"/>
    <w:rsid w:val="00BC1A28"/>
    <w:rsid w:val="00BC1C05"/>
    <w:rsid w:val="00BC26E3"/>
    <w:rsid w:val="00BC2A65"/>
    <w:rsid w:val="00BC2BFC"/>
    <w:rsid w:val="00BC322B"/>
    <w:rsid w:val="00BC33DA"/>
    <w:rsid w:val="00BC35B5"/>
    <w:rsid w:val="00BC3631"/>
    <w:rsid w:val="00BC36A9"/>
    <w:rsid w:val="00BC3A39"/>
    <w:rsid w:val="00BC3A5E"/>
    <w:rsid w:val="00BC48D6"/>
    <w:rsid w:val="00BC5515"/>
    <w:rsid w:val="00BC56DE"/>
    <w:rsid w:val="00BC591F"/>
    <w:rsid w:val="00BC6230"/>
    <w:rsid w:val="00BC63CB"/>
    <w:rsid w:val="00BC67E6"/>
    <w:rsid w:val="00BC6B61"/>
    <w:rsid w:val="00BC71F9"/>
    <w:rsid w:val="00BC7600"/>
    <w:rsid w:val="00BC7D6D"/>
    <w:rsid w:val="00BD0317"/>
    <w:rsid w:val="00BD056D"/>
    <w:rsid w:val="00BD0782"/>
    <w:rsid w:val="00BD0B33"/>
    <w:rsid w:val="00BD16B1"/>
    <w:rsid w:val="00BD206B"/>
    <w:rsid w:val="00BD2108"/>
    <w:rsid w:val="00BD23E1"/>
    <w:rsid w:val="00BD28D9"/>
    <w:rsid w:val="00BD2BE4"/>
    <w:rsid w:val="00BD2D66"/>
    <w:rsid w:val="00BD2E9D"/>
    <w:rsid w:val="00BD3663"/>
    <w:rsid w:val="00BD40D0"/>
    <w:rsid w:val="00BD40D5"/>
    <w:rsid w:val="00BD428A"/>
    <w:rsid w:val="00BD4C29"/>
    <w:rsid w:val="00BD5275"/>
    <w:rsid w:val="00BD559A"/>
    <w:rsid w:val="00BD5879"/>
    <w:rsid w:val="00BD5D63"/>
    <w:rsid w:val="00BD65C3"/>
    <w:rsid w:val="00BD68A3"/>
    <w:rsid w:val="00BD6938"/>
    <w:rsid w:val="00BD6CF3"/>
    <w:rsid w:val="00BD6E27"/>
    <w:rsid w:val="00BD7720"/>
    <w:rsid w:val="00BD793B"/>
    <w:rsid w:val="00BD7E54"/>
    <w:rsid w:val="00BD7F72"/>
    <w:rsid w:val="00BE024E"/>
    <w:rsid w:val="00BE08A4"/>
    <w:rsid w:val="00BE0AD1"/>
    <w:rsid w:val="00BE0ECA"/>
    <w:rsid w:val="00BE0ED2"/>
    <w:rsid w:val="00BE1CD1"/>
    <w:rsid w:val="00BE1D9E"/>
    <w:rsid w:val="00BE1E11"/>
    <w:rsid w:val="00BE2180"/>
    <w:rsid w:val="00BE21F2"/>
    <w:rsid w:val="00BE2278"/>
    <w:rsid w:val="00BE24AB"/>
    <w:rsid w:val="00BE3BCE"/>
    <w:rsid w:val="00BE4275"/>
    <w:rsid w:val="00BE4938"/>
    <w:rsid w:val="00BE4DF9"/>
    <w:rsid w:val="00BE516C"/>
    <w:rsid w:val="00BE5436"/>
    <w:rsid w:val="00BE5A91"/>
    <w:rsid w:val="00BE5AA2"/>
    <w:rsid w:val="00BE65AD"/>
    <w:rsid w:val="00BE68B1"/>
    <w:rsid w:val="00BE6AE7"/>
    <w:rsid w:val="00BE6AFF"/>
    <w:rsid w:val="00BE6BC2"/>
    <w:rsid w:val="00BE72D8"/>
    <w:rsid w:val="00BE7893"/>
    <w:rsid w:val="00BE7E8D"/>
    <w:rsid w:val="00BF0440"/>
    <w:rsid w:val="00BF062A"/>
    <w:rsid w:val="00BF06AE"/>
    <w:rsid w:val="00BF09A5"/>
    <w:rsid w:val="00BF0A0B"/>
    <w:rsid w:val="00BF0F95"/>
    <w:rsid w:val="00BF1145"/>
    <w:rsid w:val="00BF145D"/>
    <w:rsid w:val="00BF17C2"/>
    <w:rsid w:val="00BF2162"/>
    <w:rsid w:val="00BF22FF"/>
    <w:rsid w:val="00BF2433"/>
    <w:rsid w:val="00BF2777"/>
    <w:rsid w:val="00BF2C4C"/>
    <w:rsid w:val="00BF2E6E"/>
    <w:rsid w:val="00BF307B"/>
    <w:rsid w:val="00BF356B"/>
    <w:rsid w:val="00BF3C26"/>
    <w:rsid w:val="00BF4545"/>
    <w:rsid w:val="00BF4ECD"/>
    <w:rsid w:val="00BF4F49"/>
    <w:rsid w:val="00BF5082"/>
    <w:rsid w:val="00BF5495"/>
    <w:rsid w:val="00BF55B0"/>
    <w:rsid w:val="00BF57E8"/>
    <w:rsid w:val="00BF5960"/>
    <w:rsid w:val="00BF5CDC"/>
    <w:rsid w:val="00BF5CF9"/>
    <w:rsid w:val="00BF5EA3"/>
    <w:rsid w:val="00BF6151"/>
    <w:rsid w:val="00BF61C9"/>
    <w:rsid w:val="00BF697A"/>
    <w:rsid w:val="00BF6C94"/>
    <w:rsid w:val="00BF6DBF"/>
    <w:rsid w:val="00BF721E"/>
    <w:rsid w:val="00BF7307"/>
    <w:rsid w:val="00BF7870"/>
    <w:rsid w:val="00BF7A6B"/>
    <w:rsid w:val="00BF7D54"/>
    <w:rsid w:val="00BF7F7D"/>
    <w:rsid w:val="00C00424"/>
    <w:rsid w:val="00C0049C"/>
    <w:rsid w:val="00C00BB0"/>
    <w:rsid w:val="00C00E0A"/>
    <w:rsid w:val="00C01101"/>
    <w:rsid w:val="00C01A37"/>
    <w:rsid w:val="00C01CBC"/>
    <w:rsid w:val="00C01E78"/>
    <w:rsid w:val="00C027AD"/>
    <w:rsid w:val="00C02AE6"/>
    <w:rsid w:val="00C02D36"/>
    <w:rsid w:val="00C034C6"/>
    <w:rsid w:val="00C036C8"/>
    <w:rsid w:val="00C03B20"/>
    <w:rsid w:val="00C03BEF"/>
    <w:rsid w:val="00C04759"/>
    <w:rsid w:val="00C0507B"/>
    <w:rsid w:val="00C055E9"/>
    <w:rsid w:val="00C05E66"/>
    <w:rsid w:val="00C061C5"/>
    <w:rsid w:val="00C0645C"/>
    <w:rsid w:val="00C06531"/>
    <w:rsid w:val="00C06907"/>
    <w:rsid w:val="00C06B80"/>
    <w:rsid w:val="00C06B83"/>
    <w:rsid w:val="00C07C27"/>
    <w:rsid w:val="00C101F5"/>
    <w:rsid w:val="00C102FC"/>
    <w:rsid w:val="00C1056F"/>
    <w:rsid w:val="00C1081A"/>
    <w:rsid w:val="00C1173C"/>
    <w:rsid w:val="00C1179F"/>
    <w:rsid w:val="00C1214B"/>
    <w:rsid w:val="00C126AE"/>
    <w:rsid w:val="00C127B9"/>
    <w:rsid w:val="00C12869"/>
    <w:rsid w:val="00C128FA"/>
    <w:rsid w:val="00C12C14"/>
    <w:rsid w:val="00C12D44"/>
    <w:rsid w:val="00C1306D"/>
    <w:rsid w:val="00C13338"/>
    <w:rsid w:val="00C133B1"/>
    <w:rsid w:val="00C13625"/>
    <w:rsid w:val="00C143AD"/>
    <w:rsid w:val="00C1483D"/>
    <w:rsid w:val="00C14A8C"/>
    <w:rsid w:val="00C15F04"/>
    <w:rsid w:val="00C16B11"/>
    <w:rsid w:val="00C16B9B"/>
    <w:rsid w:val="00C16EF2"/>
    <w:rsid w:val="00C175CC"/>
    <w:rsid w:val="00C176EB"/>
    <w:rsid w:val="00C179B3"/>
    <w:rsid w:val="00C17BCC"/>
    <w:rsid w:val="00C17E3F"/>
    <w:rsid w:val="00C20003"/>
    <w:rsid w:val="00C20095"/>
    <w:rsid w:val="00C200AA"/>
    <w:rsid w:val="00C20257"/>
    <w:rsid w:val="00C202D0"/>
    <w:rsid w:val="00C20486"/>
    <w:rsid w:val="00C20E48"/>
    <w:rsid w:val="00C214E3"/>
    <w:rsid w:val="00C22EB9"/>
    <w:rsid w:val="00C234AD"/>
    <w:rsid w:val="00C234B5"/>
    <w:rsid w:val="00C234B8"/>
    <w:rsid w:val="00C237ED"/>
    <w:rsid w:val="00C2389E"/>
    <w:rsid w:val="00C239AC"/>
    <w:rsid w:val="00C23A1A"/>
    <w:rsid w:val="00C23C56"/>
    <w:rsid w:val="00C23DC3"/>
    <w:rsid w:val="00C23E11"/>
    <w:rsid w:val="00C240E9"/>
    <w:rsid w:val="00C2447A"/>
    <w:rsid w:val="00C2450C"/>
    <w:rsid w:val="00C24632"/>
    <w:rsid w:val="00C246FD"/>
    <w:rsid w:val="00C24A50"/>
    <w:rsid w:val="00C2501A"/>
    <w:rsid w:val="00C25418"/>
    <w:rsid w:val="00C25538"/>
    <w:rsid w:val="00C25D9C"/>
    <w:rsid w:val="00C25EA6"/>
    <w:rsid w:val="00C27407"/>
    <w:rsid w:val="00C2778B"/>
    <w:rsid w:val="00C277A5"/>
    <w:rsid w:val="00C27EDD"/>
    <w:rsid w:val="00C3026A"/>
    <w:rsid w:val="00C3091B"/>
    <w:rsid w:val="00C312C6"/>
    <w:rsid w:val="00C315AA"/>
    <w:rsid w:val="00C31649"/>
    <w:rsid w:val="00C31C76"/>
    <w:rsid w:val="00C3286D"/>
    <w:rsid w:val="00C32A38"/>
    <w:rsid w:val="00C32BD0"/>
    <w:rsid w:val="00C32DBE"/>
    <w:rsid w:val="00C33262"/>
    <w:rsid w:val="00C333B9"/>
    <w:rsid w:val="00C33A0E"/>
    <w:rsid w:val="00C33B12"/>
    <w:rsid w:val="00C33D92"/>
    <w:rsid w:val="00C3434C"/>
    <w:rsid w:val="00C344DD"/>
    <w:rsid w:val="00C348C8"/>
    <w:rsid w:val="00C35488"/>
    <w:rsid w:val="00C357FB"/>
    <w:rsid w:val="00C3606B"/>
    <w:rsid w:val="00C365CA"/>
    <w:rsid w:val="00C366E3"/>
    <w:rsid w:val="00C36B3A"/>
    <w:rsid w:val="00C3713D"/>
    <w:rsid w:val="00C3734C"/>
    <w:rsid w:val="00C376C4"/>
    <w:rsid w:val="00C376D9"/>
    <w:rsid w:val="00C3780A"/>
    <w:rsid w:val="00C37E58"/>
    <w:rsid w:val="00C40232"/>
    <w:rsid w:val="00C40385"/>
    <w:rsid w:val="00C40407"/>
    <w:rsid w:val="00C40D40"/>
    <w:rsid w:val="00C410A5"/>
    <w:rsid w:val="00C414E8"/>
    <w:rsid w:val="00C416F5"/>
    <w:rsid w:val="00C41768"/>
    <w:rsid w:val="00C41CFF"/>
    <w:rsid w:val="00C422CD"/>
    <w:rsid w:val="00C42384"/>
    <w:rsid w:val="00C42642"/>
    <w:rsid w:val="00C42830"/>
    <w:rsid w:val="00C428E0"/>
    <w:rsid w:val="00C42925"/>
    <w:rsid w:val="00C42F12"/>
    <w:rsid w:val="00C42FF1"/>
    <w:rsid w:val="00C439D7"/>
    <w:rsid w:val="00C43D16"/>
    <w:rsid w:val="00C440A7"/>
    <w:rsid w:val="00C447D3"/>
    <w:rsid w:val="00C45030"/>
    <w:rsid w:val="00C45408"/>
    <w:rsid w:val="00C4555D"/>
    <w:rsid w:val="00C4572B"/>
    <w:rsid w:val="00C459E9"/>
    <w:rsid w:val="00C45E1E"/>
    <w:rsid w:val="00C46080"/>
    <w:rsid w:val="00C4651E"/>
    <w:rsid w:val="00C46796"/>
    <w:rsid w:val="00C468DA"/>
    <w:rsid w:val="00C46F7D"/>
    <w:rsid w:val="00C47288"/>
    <w:rsid w:val="00C474F8"/>
    <w:rsid w:val="00C475AA"/>
    <w:rsid w:val="00C507D4"/>
    <w:rsid w:val="00C517A9"/>
    <w:rsid w:val="00C51D79"/>
    <w:rsid w:val="00C5230E"/>
    <w:rsid w:val="00C5232E"/>
    <w:rsid w:val="00C527C7"/>
    <w:rsid w:val="00C52DAE"/>
    <w:rsid w:val="00C52E80"/>
    <w:rsid w:val="00C52E8B"/>
    <w:rsid w:val="00C53656"/>
    <w:rsid w:val="00C53C98"/>
    <w:rsid w:val="00C53D55"/>
    <w:rsid w:val="00C53E52"/>
    <w:rsid w:val="00C54751"/>
    <w:rsid w:val="00C54897"/>
    <w:rsid w:val="00C55C19"/>
    <w:rsid w:val="00C560D1"/>
    <w:rsid w:val="00C566A5"/>
    <w:rsid w:val="00C568E7"/>
    <w:rsid w:val="00C56E3A"/>
    <w:rsid w:val="00C56FCF"/>
    <w:rsid w:val="00C572F6"/>
    <w:rsid w:val="00C5753B"/>
    <w:rsid w:val="00C57799"/>
    <w:rsid w:val="00C5798D"/>
    <w:rsid w:val="00C57B6C"/>
    <w:rsid w:val="00C6051C"/>
    <w:rsid w:val="00C6054B"/>
    <w:rsid w:val="00C6093F"/>
    <w:rsid w:val="00C60A49"/>
    <w:rsid w:val="00C60C1E"/>
    <w:rsid w:val="00C61A59"/>
    <w:rsid w:val="00C61D7C"/>
    <w:rsid w:val="00C62138"/>
    <w:rsid w:val="00C624E1"/>
    <w:rsid w:val="00C62669"/>
    <w:rsid w:val="00C626E6"/>
    <w:rsid w:val="00C628A6"/>
    <w:rsid w:val="00C62FEB"/>
    <w:rsid w:val="00C63306"/>
    <w:rsid w:val="00C6354E"/>
    <w:rsid w:val="00C635A9"/>
    <w:rsid w:val="00C63AB8"/>
    <w:rsid w:val="00C63C03"/>
    <w:rsid w:val="00C64004"/>
    <w:rsid w:val="00C6413C"/>
    <w:rsid w:val="00C64344"/>
    <w:rsid w:val="00C64451"/>
    <w:rsid w:val="00C64A37"/>
    <w:rsid w:val="00C64C34"/>
    <w:rsid w:val="00C65108"/>
    <w:rsid w:val="00C65399"/>
    <w:rsid w:val="00C65576"/>
    <w:rsid w:val="00C657FE"/>
    <w:rsid w:val="00C65B88"/>
    <w:rsid w:val="00C65E2E"/>
    <w:rsid w:val="00C66165"/>
    <w:rsid w:val="00C6626C"/>
    <w:rsid w:val="00C66298"/>
    <w:rsid w:val="00C66CA9"/>
    <w:rsid w:val="00C670D3"/>
    <w:rsid w:val="00C672AE"/>
    <w:rsid w:val="00C678BC"/>
    <w:rsid w:val="00C67B34"/>
    <w:rsid w:val="00C7052B"/>
    <w:rsid w:val="00C7060A"/>
    <w:rsid w:val="00C70A3F"/>
    <w:rsid w:val="00C7128E"/>
    <w:rsid w:val="00C714C1"/>
    <w:rsid w:val="00C7151A"/>
    <w:rsid w:val="00C717E3"/>
    <w:rsid w:val="00C719F2"/>
    <w:rsid w:val="00C71F60"/>
    <w:rsid w:val="00C72241"/>
    <w:rsid w:val="00C7296F"/>
    <w:rsid w:val="00C72CDF"/>
    <w:rsid w:val="00C72E39"/>
    <w:rsid w:val="00C73301"/>
    <w:rsid w:val="00C73A40"/>
    <w:rsid w:val="00C73AA1"/>
    <w:rsid w:val="00C73B92"/>
    <w:rsid w:val="00C73C96"/>
    <w:rsid w:val="00C73DCA"/>
    <w:rsid w:val="00C741EB"/>
    <w:rsid w:val="00C74260"/>
    <w:rsid w:val="00C750C8"/>
    <w:rsid w:val="00C75417"/>
    <w:rsid w:val="00C7560F"/>
    <w:rsid w:val="00C75672"/>
    <w:rsid w:val="00C75B45"/>
    <w:rsid w:val="00C76096"/>
    <w:rsid w:val="00C762D8"/>
    <w:rsid w:val="00C7634B"/>
    <w:rsid w:val="00C76587"/>
    <w:rsid w:val="00C76ADB"/>
    <w:rsid w:val="00C76B00"/>
    <w:rsid w:val="00C76BDE"/>
    <w:rsid w:val="00C775DB"/>
    <w:rsid w:val="00C77A49"/>
    <w:rsid w:val="00C77FF3"/>
    <w:rsid w:val="00C80293"/>
    <w:rsid w:val="00C80A0E"/>
    <w:rsid w:val="00C80F9C"/>
    <w:rsid w:val="00C81669"/>
    <w:rsid w:val="00C81CE8"/>
    <w:rsid w:val="00C8213F"/>
    <w:rsid w:val="00C822F4"/>
    <w:rsid w:val="00C82EA3"/>
    <w:rsid w:val="00C8303F"/>
    <w:rsid w:val="00C83331"/>
    <w:rsid w:val="00C83541"/>
    <w:rsid w:val="00C835BC"/>
    <w:rsid w:val="00C8366D"/>
    <w:rsid w:val="00C83CB6"/>
    <w:rsid w:val="00C83D51"/>
    <w:rsid w:val="00C84590"/>
    <w:rsid w:val="00C84790"/>
    <w:rsid w:val="00C85016"/>
    <w:rsid w:val="00C85154"/>
    <w:rsid w:val="00C85A28"/>
    <w:rsid w:val="00C85A70"/>
    <w:rsid w:val="00C85CCF"/>
    <w:rsid w:val="00C85D83"/>
    <w:rsid w:val="00C86172"/>
    <w:rsid w:val="00C8623D"/>
    <w:rsid w:val="00C8655B"/>
    <w:rsid w:val="00C86CBE"/>
    <w:rsid w:val="00C874F0"/>
    <w:rsid w:val="00C87526"/>
    <w:rsid w:val="00C87958"/>
    <w:rsid w:val="00C8797A"/>
    <w:rsid w:val="00C87B7D"/>
    <w:rsid w:val="00C87F8C"/>
    <w:rsid w:val="00C900B8"/>
    <w:rsid w:val="00C90197"/>
    <w:rsid w:val="00C907B2"/>
    <w:rsid w:val="00C90C71"/>
    <w:rsid w:val="00C90E44"/>
    <w:rsid w:val="00C9163F"/>
    <w:rsid w:val="00C91AD9"/>
    <w:rsid w:val="00C91FD1"/>
    <w:rsid w:val="00C9211D"/>
    <w:rsid w:val="00C9234A"/>
    <w:rsid w:val="00C92544"/>
    <w:rsid w:val="00C931CF"/>
    <w:rsid w:val="00C932CA"/>
    <w:rsid w:val="00C934BF"/>
    <w:rsid w:val="00C9368D"/>
    <w:rsid w:val="00C938CF"/>
    <w:rsid w:val="00C94053"/>
    <w:rsid w:val="00C94D79"/>
    <w:rsid w:val="00C953E0"/>
    <w:rsid w:val="00C956F5"/>
    <w:rsid w:val="00C95A07"/>
    <w:rsid w:val="00C95AF1"/>
    <w:rsid w:val="00C95BD4"/>
    <w:rsid w:val="00C95D5A"/>
    <w:rsid w:val="00C9607A"/>
    <w:rsid w:val="00C9608B"/>
    <w:rsid w:val="00C96227"/>
    <w:rsid w:val="00C9624D"/>
    <w:rsid w:val="00C96553"/>
    <w:rsid w:val="00C969DA"/>
    <w:rsid w:val="00C96A64"/>
    <w:rsid w:val="00C971CD"/>
    <w:rsid w:val="00C975E6"/>
    <w:rsid w:val="00C9765E"/>
    <w:rsid w:val="00C977A1"/>
    <w:rsid w:val="00C97D51"/>
    <w:rsid w:val="00CA01E3"/>
    <w:rsid w:val="00CA0631"/>
    <w:rsid w:val="00CA0EE9"/>
    <w:rsid w:val="00CA1625"/>
    <w:rsid w:val="00CA1763"/>
    <w:rsid w:val="00CA1912"/>
    <w:rsid w:val="00CA22F9"/>
    <w:rsid w:val="00CA2385"/>
    <w:rsid w:val="00CA2C77"/>
    <w:rsid w:val="00CA32D6"/>
    <w:rsid w:val="00CA33C5"/>
    <w:rsid w:val="00CA442E"/>
    <w:rsid w:val="00CA444F"/>
    <w:rsid w:val="00CA4A4B"/>
    <w:rsid w:val="00CA4FC9"/>
    <w:rsid w:val="00CA5245"/>
    <w:rsid w:val="00CA5288"/>
    <w:rsid w:val="00CA5E6E"/>
    <w:rsid w:val="00CA639F"/>
    <w:rsid w:val="00CA649B"/>
    <w:rsid w:val="00CA6777"/>
    <w:rsid w:val="00CA6B29"/>
    <w:rsid w:val="00CA6C2A"/>
    <w:rsid w:val="00CA71F4"/>
    <w:rsid w:val="00CA720E"/>
    <w:rsid w:val="00CA76B3"/>
    <w:rsid w:val="00CA76D4"/>
    <w:rsid w:val="00CA7B08"/>
    <w:rsid w:val="00CA7B09"/>
    <w:rsid w:val="00CA7B3F"/>
    <w:rsid w:val="00CB01F9"/>
    <w:rsid w:val="00CB0468"/>
    <w:rsid w:val="00CB08F0"/>
    <w:rsid w:val="00CB0BBA"/>
    <w:rsid w:val="00CB0C88"/>
    <w:rsid w:val="00CB128A"/>
    <w:rsid w:val="00CB12A5"/>
    <w:rsid w:val="00CB1B08"/>
    <w:rsid w:val="00CB1CAC"/>
    <w:rsid w:val="00CB1D96"/>
    <w:rsid w:val="00CB1DD7"/>
    <w:rsid w:val="00CB2407"/>
    <w:rsid w:val="00CB254E"/>
    <w:rsid w:val="00CB2630"/>
    <w:rsid w:val="00CB2867"/>
    <w:rsid w:val="00CB2F2A"/>
    <w:rsid w:val="00CB3204"/>
    <w:rsid w:val="00CB3640"/>
    <w:rsid w:val="00CB3C89"/>
    <w:rsid w:val="00CB3CDC"/>
    <w:rsid w:val="00CB402E"/>
    <w:rsid w:val="00CB4679"/>
    <w:rsid w:val="00CB46B7"/>
    <w:rsid w:val="00CB4846"/>
    <w:rsid w:val="00CB5B1A"/>
    <w:rsid w:val="00CB5BA2"/>
    <w:rsid w:val="00CB5DE0"/>
    <w:rsid w:val="00CB63AB"/>
    <w:rsid w:val="00CB6957"/>
    <w:rsid w:val="00CB6B22"/>
    <w:rsid w:val="00CB6D1B"/>
    <w:rsid w:val="00CB7098"/>
    <w:rsid w:val="00CB7586"/>
    <w:rsid w:val="00CB760F"/>
    <w:rsid w:val="00CB7B49"/>
    <w:rsid w:val="00CB7D9B"/>
    <w:rsid w:val="00CB7F5F"/>
    <w:rsid w:val="00CB7F82"/>
    <w:rsid w:val="00CC0670"/>
    <w:rsid w:val="00CC0739"/>
    <w:rsid w:val="00CC0DFA"/>
    <w:rsid w:val="00CC0F22"/>
    <w:rsid w:val="00CC1313"/>
    <w:rsid w:val="00CC1A8B"/>
    <w:rsid w:val="00CC1B39"/>
    <w:rsid w:val="00CC1BFA"/>
    <w:rsid w:val="00CC21CC"/>
    <w:rsid w:val="00CC25C3"/>
    <w:rsid w:val="00CC2E9F"/>
    <w:rsid w:val="00CC30D0"/>
    <w:rsid w:val="00CC3311"/>
    <w:rsid w:val="00CC35EA"/>
    <w:rsid w:val="00CC37AF"/>
    <w:rsid w:val="00CC3848"/>
    <w:rsid w:val="00CC44BC"/>
    <w:rsid w:val="00CC49D9"/>
    <w:rsid w:val="00CC4F11"/>
    <w:rsid w:val="00CC5024"/>
    <w:rsid w:val="00CC5642"/>
    <w:rsid w:val="00CC6172"/>
    <w:rsid w:val="00CC6424"/>
    <w:rsid w:val="00CC655B"/>
    <w:rsid w:val="00CC6D5E"/>
    <w:rsid w:val="00CC7637"/>
    <w:rsid w:val="00CC7B5A"/>
    <w:rsid w:val="00CC7C21"/>
    <w:rsid w:val="00CC7C6D"/>
    <w:rsid w:val="00CC7DB3"/>
    <w:rsid w:val="00CD0200"/>
    <w:rsid w:val="00CD0544"/>
    <w:rsid w:val="00CD0590"/>
    <w:rsid w:val="00CD074B"/>
    <w:rsid w:val="00CD0870"/>
    <w:rsid w:val="00CD12C4"/>
    <w:rsid w:val="00CD16BB"/>
    <w:rsid w:val="00CD1EB1"/>
    <w:rsid w:val="00CD2214"/>
    <w:rsid w:val="00CD2BD4"/>
    <w:rsid w:val="00CD2D32"/>
    <w:rsid w:val="00CD3021"/>
    <w:rsid w:val="00CD305F"/>
    <w:rsid w:val="00CD3383"/>
    <w:rsid w:val="00CD33EC"/>
    <w:rsid w:val="00CD3F77"/>
    <w:rsid w:val="00CD40BD"/>
    <w:rsid w:val="00CD4242"/>
    <w:rsid w:val="00CD46EB"/>
    <w:rsid w:val="00CD51FC"/>
    <w:rsid w:val="00CD547F"/>
    <w:rsid w:val="00CD5BB9"/>
    <w:rsid w:val="00CD5F32"/>
    <w:rsid w:val="00CD620A"/>
    <w:rsid w:val="00CD6329"/>
    <w:rsid w:val="00CD635C"/>
    <w:rsid w:val="00CD6ADC"/>
    <w:rsid w:val="00CD6C43"/>
    <w:rsid w:val="00CD6DC1"/>
    <w:rsid w:val="00CD6FA6"/>
    <w:rsid w:val="00CD717A"/>
    <w:rsid w:val="00CD7193"/>
    <w:rsid w:val="00CD72BF"/>
    <w:rsid w:val="00CD77F7"/>
    <w:rsid w:val="00CD77FA"/>
    <w:rsid w:val="00CD7C04"/>
    <w:rsid w:val="00CD7DEC"/>
    <w:rsid w:val="00CD7FCE"/>
    <w:rsid w:val="00CE0163"/>
    <w:rsid w:val="00CE01B3"/>
    <w:rsid w:val="00CE088A"/>
    <w:rsid w:val="00CE0A17"/>
    <w:rsid w:val="00CE15B3"/>
    <w:rsid w:val="00CE1E66"/>
    <w:rsid w:val="00CE29D3"/>
    <w:rsid w:val="00CE2A80"/>
    <w:rsid w:val="00CE2F5C"/>
    <w:rsid w:val="00CE3145"/>
    <w:rsid w:val="00CE3368"/>
    <w:rsid w:val="00CE35DB"/>
    <w:rsid w:val="00CE3742"/>
    <w:rsid w:val="00CE38C8"/>
    <w:rsid w:val="00CE4209"/>
    <w:rsid w:val="00CE4366"/>
    <w:rsid w:val="00CE4431"/>
    <w:rsid w:val="00CE496A"/>
    <w:rsid w:val="00CE524B"/>
    <w:rsid w:val="00CE524F"/>
    <w:rsid w:val="00CE5543"/>
    <w:rsid w:val="00CE5805"/>
    <w:rsid w:val="00CE58CC"/>
    <w:rsid w:val="00CE59C0"/>
    <w:rsid w:val="00CE5DB4"/>
    <w:rsid w:val="00CE60FE"/>
    <w:rsid w:val="00CE6274"/>
    <w:rsid w:val="00CE68C0"/>
    <w:rsid w:val="00CE6BC0"/>
    <w:rsid w:val="00CE7543"/>
    <w:rsid w:val="00CE77B6"/>
    <w:rsid w:val="00CE7BF5"/>
    <w:rsid w:val="00CF0498"/>
    <w:rsid w:val="00CF0505"/>
    <w:rsid w:val="00CF076D"/>
    <w:rsid w:val="00CF0AB2"/>
    <w:rsid w:val="00CF0D32"/>
    <w:rsid w:val="00CF0D3B"/>
    <w:rsid w:val="00CF186A"/>
    <w:rsid w:val="00CF1A11"/>
    <w:rsid w:val="00CF2439"/>
    <w:rsid w:val="00CF2474"/>
    <w:rsid w:val="00CF250B"/>
    <w:rsid w:val="00CF2531"/>
    <w:rsid w:val="00CF25BF"/>
    <w:rsid w:val="00CF2A08"/>
    <w:rsid w:val="00CF2B8D"/>
    <w:rsid w:val="00CF36A9"/>
    <w:rsid w:val="00CF3A1B"/>
    <w:rsid w:val="00CF4107"/>
    <w:rsid w:val="00CF456B"/>
    <w:rsid w:val="00CF49E1"/>
    <w:rsid w:val="00CF4FBC"/>
    <w:rsid w:val="00CF50CD"/>
    <w:rsid w:val="00CF5231"/>
    <w:rsid w:val="00CF5879"/>
    <w:rsid w:val="00CF5A22"/>
    <w:rsid w:val="00CF5B43"/>
    <w:rsid w:val="00CF5FD5"/>
    <w:rsid w:val="00CF6022"/>
    <w:rsid w:val="00CF6609"/>
    <w:rsid w:val="00CF678C"/>
    <w:rsid w:val="00CF6C85"/>
    <w:rsid w:val="00CF77F8"/>
    <w:rsid w:val="00CF7C99"/>
    <w:rsid w:val="00CF7E3A"/>
    <w:rsid w:val="00CF7E6E"/>
    <w:rsid w:val="00D001F2"/>
    <w:rsid w:val="00D002B8"/>
    <w:rsid w:val="00D0064C"/>
    <w:rsid w:val="00D00BAD"/>
    <w:rsid w:val="00D00D1E"/>
    <w:rsid w:val="00D015B2"/>
    <w:rsid w:val="00D01728"/>
    <w:rsid w:val="00D01A7D"/>
    <w:rsid w:val="00D01E36"/>
    <w:rsid w:val="00D02113"/>
    <w:rsid w:val="00D02296"/>
    <w:rsid w:val="00D0259A"/>
    <w:rsid w:val="00D0262E"/>
    <w:rsid w:val="00D02F77"/>
    <w:rsid w:val="00D03203"/>
    <w:rsid w:val="00D03526"/>
    <w:rsid w:val="00D03679"/>
    <w:rsid w:val="00D0399C"/>
    <w:rsid w:val="00D04554"/>
    <w:rsid w:val="00D046D5"/>
    <w:rsid w:val="00D053E2"/>
    <w:rsid w:val="00D0574A"/>
    <w:rsid w:val="00D05C8A"/>
    <w:rsid w:val="00D05D29"/>
    <w:rsid w:val="00D05E3D"/>
    <w:rsid w:val="00D05FA1"/>
    <w:rsid w:val="00D06139"/>
    <w:rsid w:val="00D06598"/>
    <w:rsid w:val="00D06BC2"/>
    <w:rsid w:val="00D06FA7"/>
    <w:rsid w:val="00D0723D"/>
    <w:rsid w:val="00D07B15"/>
    <w:rsid w:val="00D10423"/>
    <w:rsid w:val="00D104B6"/>
    <w:rsid w:val="00D1079F"/>
    <w:rsid w:val="00D107DC"/>
    <w:rsid w:val="00D10820"/>
    <w:rsid w:val="00D108C3"/>
    <w:rsid w:val="00D110BD"/>
    <w:rsid w:val="00D11918"/>
    <w:rsid w:val="00D1210E"/>
    <w:rsid w:val="00D12110"/>
    <w:rsid w:val="00D12364"/>
    <w:rsid w:val="00D127B5"/>
    <w:rsid w:val="00D12A5B"/>
    <w:rsid w:val="00D12B0D"/>
    <w:rsid w:val="00D12CE9"/>
    <w:rsid w:val="00D12D98"/>
    <w:rsid w:val="00D12DD3"/>
    <w:rsid w:val="00D13075"/>
    <w:rsid w:val="00D1311F"/>
    <w:rsid w:val="00D131AD"/>
    <w:rsid w:val="00D1355A"/>
    <w:rsid w:val="00D13675"/>
    <w:rsid w:val="00D13C65"/>
    <w:rsid w:val="00D141E1"/>
    <w:rsid w:val="00D14B81"/>
    <w:rsid w:val="00D14FCF"/>
    <w:rsid w:val="00D150F7"/>
    <w:rsid w:val="00D15314"/>
    <w:rsid w:val="00D15383"/>
    <w:rsid w:val="00D153EB"/>
    <w:rsid w:val="00D1540F"/>
    <w:rsid w:val="00D15594"/>
    <w:rsid w:val="00D159C2"/>
    <w:rsid w:val="00D15B48"/>
    <w:rsid w:val="00D15BF0"/>
    <w:rsid w:val="00D15C11"/>
    <w:rsid w:val="00D15E6F"/>
    <w:rsid w:val="00D15E9F"/>
    <w:rsid w:val="00D164B7"/>
    <w:rsid w:val="00D1663E"/>
    <w:rsid w:val="00D16A86"/>
    <w:rsid w:val="00D16B1D"/>
    <w:rsid w:val="00D16BFD"/>
    <w:rsid w:val="00D16C68"/>
    <w:rsid w:val="00D16DB6"/>
    <w:rsid w:val="00D1765B"/>
    <w:rsid w:val="00D176C1"/>
    <w:rsid w:val="00D17D6C"/>
    <w:rsid w:val="00D17E1D"/>
    <w:rsid w:val="00D20419"/>
    <w:rsid w:val="00D208D9"/>
    <w:rsid w:val="00D20B33"/>
    <w:rsid w:val="00D20E11"/>
    <w:rsid w:val="00D2155B"/>
    <w:rsid w:val="00D21925"/>
    <w:rsid w:val="00D21BB4"/>
    <w:rsid w:val="00D220D5"/>
    <w:rsid w:val="00D22207"/>
    <w:rsid w:val="00D22FE8"/>
    <w:rsid w:val="00D23428"/>
    <w:rsid w:val="00D23577"/>
    <w:rsid w:val="00D2364E"/>
    <w:rsid w:val="00D236A2"/>
    <w:rsid w:val="00D237DD"/>
    <w:rsid w:val="00D23B6B"/>
    <w:rsid w:val="00D23D11"/>
    <w:rsid w:val="00D244B6"/>
    <w:rsid w:val="00D245D9"/>
    <w:rsid w:val="00D246B8"/>
    <w:rsid w:val="00D24ACA"/>
    <w:rsid w:val="00D24B8C"/>
    <w:rsid w:val="00D24BA3"/>
    <w:rsid w:val="00D24DCE"/>
    <w:rsid w:val="00D2556A"/>
    <w:rsid w:val="00D25840"/>
    <w:rsid w:val="00D26432"/>
    <w:rsid w:val="00D26491"/>
    <w:rsid w:val="00D26A57"/>
    <w:rsid w:val="00D272AD"/>
    <w:rsid w:val="00D2754D"/>
    <w:rsid w:val="00D27A67"/>
    <w:rsid w:val="00D27B27"/>
    <w:rsid w:val="00D27B91"/>
    <w:rsid w:val="00D306B9"/>
    <w:rsid w:val="00D307D9"/>
    <w:rsid w:val="00D308B2"/>
    <w:rsid w:val="00D30D46"/>
    <w:rsid w:val="00D30D5B"/>
    <w:rsid w:val="00D31096"/>
    <w:rsid w:val="00D3117C"/>
    <w:rsid w:val="00D31AB1"/>
    <w:rsid w:val="00D31B8D"/>
    <w:rsid w:val="00D31BC3"/>
    <w:rsid w:val="00D320CC"/>
    <w:rsid w:val="00D32254"/>
    <w:rsid w:val="00D3251F"/>
    <w:rsid w:val="00D326ED"/>
    <w:rsid w:val="00D327A5"/>
    <w:rsid w:val="00D32AFF"/>
    <w:rsid w:val="00D32F27"/>
    <w:rsid w:val="00D33257"/>
    <w:rsid w:val="00D33319"/>
    <w:rsid w:val="00D33398"/>
    <w:rsid w:val="00D333A2"/>
    <w:rsid w:val="00D33446"/>
    <w:rsid w:val="00D336A2"/>
    <w:rsid w:val="00D3380E"/>
    <w:rsid w:val="00D3393D"/>
    <w:rsid w:val="00D33A3A"/>
    <w:rsid w:val="00D33B95"/>
    <w:rsid w:val="00D33BE9"/>
    <w:rsid w:val="00D33F4B"/>
    <w:rsid w:val="00D33F93"/>
    <w:rsid w:val="00D34512"/>
    <w:rsid w:val="00D34B06"/>
    <w:rsid w:val="00D34B75"/>
    <w:rsid w:val="00D34D60"/>
    <w:rsid w:val="00D35189"/>
    <w:rsid w:val="00D35779"/>
    <w:rsid w:val="00D357FF"/>
    <w:rsid w:val="00D36020"/>
    <w:rsid w:val="00D36466"/>
    <w:rsid w:val="00D36841"/>
    <w:rsid w:val="00D369B5"/>
    <w:rsid w:val="00D3745A"/>
    <w:rsid w:val="00D37743"/>
    <w:rsid w:val="00D37C17"/>
    <w:rsid w:val="00D37D18"/>
    <w:rsid w:val="00D37E5A"/>
    <w:rsid w:val="00D40587"/>
    <w:rsid w:val="00D405C0"/>
    <w:rsid w:val="00D40918"/>
    <w:rsid w:val="00D40B9C"/>
    <w:rsid w:val="00D40C1C"/>
    <w:rsid w:val="00D4125A"/>
    <w:rsid w:val="00D414F2"/>
    <w:rsid w:val="00D41603"/>
    <w:rsid w:val="00D41669"/>
    <w:rsid w:val="00D423CE"/>
    <w:rsid w:val="00D424C7"/>
    <w:rsid w:val="00D424C9"/>
    <w:rsid w:val="00D42530"/>
    <w:rsid w:val="00D428F5"/>
    <w:rsid w:val="00D42E9B"/>
    <w:rsid w:val="00D42FC2"/>
    <w:rsid w:val="00D4325A"/>
    <w:rsid w:val="00D43277"/>
    <w:rsid w:val="00D43B2A"/>
    <w:rsid w:val="00D43B80"/>
    <w:rsid w:val="00D43BAA"/>
    <w:rsid w:val="00D43CF1"/>
    <w:rsid w:val="00D43D83"/>
    <w:rsid w:val="00D43E27"/>
    <w:rsid w:val="00D4405C"/>
    <w:rsid w:val="00D446CC"/>
    <w:rsid w:val="00D450A6"/>
    <w:rsid w:val="00D45796"/>
    <w:rsid w:val="00D4585F"/>
    <w:rsid w:val="00D4601C"/>
    <w:rsid w:val="00D47488"/>
    <w:rsid w:val="00D47575"/>
    <w:rsid w:val="00D50FD8"/>
    <w:rsid w:val="00D5128F"/>
    <w:rsid w:val="00D513C1"/>
    <w:rsid w:val="00D514FB"/>
    <w:rsid w:val="00D5156E"/>
    <w:rsid w:val="00D51D71"/>
    <w:rsid w:val="00D523D7"/>
    <w:rsid w:val="00D5243B"/>
    <w:rsid w:val="00D5249A"/>
    <w:rsid w:val="00D52748"/>
    <w:rsid w:val="00D5278C"/>
    <w:rsid w:val="00D52AC6"/>
    <w:rsid w:val="00D52AEB"/>
    <w:rsid w:val="00D52E6F"/>
    <w:rsid w:val="00D531FE"/>
    <w:rsid w:val="00D533EC"/>
    <w:rsid w:val="00D53453"/>
    <w:rsid w:val="00D53C82"/>
    <w:rsid w:val="00D53D4A"/>
    <w:rsid w:val="00D53F0A"/>
    <w:rsid w:val="00D540B1"/>
    <w:rsid w:val="00D5423A"/>
    <w:rsid w:val="00D5444C"/>
    <w:rsid w:val="00D55D41"/>
    <w:rsid w:val="00D563A2"/>
    <w:rsid w:val="00D56759"/>
    <w:rsid w:val="00D567C7"/>
    <w:rsid w:val="00D569F7"/>
    <w:rsid w:val="00D56A95"/>
    <w:rsid w:val="00D57418"/>
    <w:rsid w:val="00D57741"/>
    <w:rsid w:val="00D57A39"/>
    <w:rsid w:val="00D57D3B"/>
    <w:rsid w:val="00D6076E"/>
    <w:rsid w:val="00D607F1"/>
    <w:rsid w:val="00D60DC6"/>
    <w:rsid w:val="00D610E2"/>
    <w:rsid w:val="00D610EB"/>
    <w:rsid w:val="00D61157"/>
    <w:rsid w:val="00D61189"/>
    <w:rsid w:val="00D6182E"/>
    <w:rsid w:val="00D61A84"/>
    <w:rsid w:val="00D62122"/>
    <w:rsid w:val="00D6221E"/>
    <w:rsid w:val="00D626D5"/>
    <w:rsid w:val="00D62853"/>
    <w:rsid w:val="00D62BA9"/>
    <w:rsid w:val="00D62DB3"/>
    <w:rsid w:val="00D62DFA"/>
    <w:rsid w:val="00D62EF5"/>
    <w:rsid w:val="00D631BA"/>
    <w:rsid w:val="00D65376"/>
    <w:rsid w:val="00D65865"/>
    <w:rsid w:val="00D66B35"/>
    <w:rsid w:val="00D66C59"/>
    <w:rsid w:val="00D66D8F"/>
    <w:rsid w:val="00D678C2"/>
    <w:rsid w:val="00D67D0C"/>
    <w:rsid w:val="00D67DA2"/>
    <w:rsid w:val="00D70089"/>
    <w:rsid w:val="00D70F16"/>
    <w:rsid w:val="00D70F38"/>
    <w:rsid w:val="00D711AA"/>
    <w:rsid w:val="00D71ABB"/>
    <w:rsid w:val="00D71C8E"/>
    <w:rsid w:val="00D722FA"/>
    <w:rsid w:val="00D72338"/>
    <w:rsid w:val="00D72617"/>
    <w:rsid w:val="00D72DA7"/>
    <w:rsid w:val="00D72F4E"/>
    <w:rsid w:val="00D72F57"/>
    <w:rsid w:val="00D730EC"/>
    <w:rsid w:val="00D73198"/>
    <w:rsid w:val="00D73AE5"/>
    <w:rsid w:val="00D73B28"/>
    <w:rsid w:val="00D73C77"/>
    <w:rsid w:val="00D7425D"/>
    <w:rsid w:val="00D74394"/>
    <w:rsid w:val="00D74E89"/>
    <w:rsid w:val="00D7505E"/>
    <w:rsid w:val="00D75663"/>
    <w:rsid w:val="00D758A0"/>
    <w:rsid w:val="00D75F26"/>
    <w:rsid w:val="00D761B4"/>
    <w:rsid w:val="00D761E2"/>
    <w:rsid w:val="00D762E4"/>
    <w:rsid w:val="00D76A44"/>
    <w:rsid w:val="00D76F7F"/>
    <w:rsid w:val="00D76FBC"/>
    <w:rsid w:val="00D7721C"/>
    <w:rsid w:val="00D7759C"/>
    <w:rsid w:val="00D77A02"/>
    <w:rsid w:val="00D77BB1"/>
    <w:rsid w:val="00D77DD9"/>
    <w:rsid w:val="00D77FDB"/>
    <w:rsid w:val="00D8048F"/>
    <w:rsid w:val="00D80589"/>
    <w:rsid w:val="00D80AF6"/>
    <w:rsid w:val="00D80BED"/>
    <w:rsid w:val="00D80CCC"/>
    <w:rsid w:val="00D815EF"/>
    <w:rsid w:val="00D8180D"/>
    <w:rsid w:val="00D81949"/>
    <w:rsid w:val="00D81C0A"/>
    <w:rsid w:val="00D81F26"/>
    <w:rsid w:val="00D822E2"/>
    <w:rsid w:val="00D823AD"/>
    <w:rsid w:val="00D833AE"/>
    <w:rsid w:val="00D835F3"/>
    <w:rsid w:val="00D84038"/>
    <w:rsid w:val="00D843F2"/>
    <w:rsid w:val="00D84569"/>
    <w:rsid w:val="00D851F8"/>
    <w:rsid w:val="00D85CC1"/>
    <w:rsid w:val="00D8609D"/>
    <w:rsid w:val="00D86231"/>
    <w:rsid w:val="00D86716"/>
    <w:rsid w:val="00D86C03"/>
    <w:rsid w:val="00D86E8D"/>
    <w:rsid w:val="00D86E96"/>
    <w:rsid w:val="00D86F42"/>
    <w:rsid w:val="00D87687"/>
    <w:rsid w:val="00D876BC"/>
    <w:rsid w:val="00D877B2"/>
    <w:rsid w:val="00D90A85"/>
    <w:rsid w:val="00D911AC"/>
    <w:rsid w:val="00D91260"/>
    <w:rsid w:val="00D912AB"/>
    <w:rsid w:val="00D91485"/>
    <w:rsid w:val="00D91642"/>
    <w:rsid w:val="00D91923"/>
    <w:rsid w:val="00D91A4C"/>
    <w:rsid w:val="00D91A75"/>
    <w:rsid w:val="00D91FA2"/>
    <w:rsid w:val="00D92B91"/>
    <w:rsid w:val="00D92D9D"/>
    <w:rsid w:val="00D933BE"/>
    <w:rsid w:val="00D9360E"/>
    <w:rsid w:val="00D93753"/>
    <w:rsid w:val="00D938F4"/>
    <w:rsid w:val="00D93AEA"/>
    <w:rsid w:val="00D944A0"/>
    <w:rsid w:val="00D947AE"/>
    <w:rsid w:val="00D94933"/>
    <w:rsid w:val="00D94E50"/>
    <w:rsid w:val="00D95258"/>
    <w:rsid w:val="00D95902"/>
    <w:rsid w:val="00D959AC"/>
    <w:rsid w:val="00D959D1"/>
    <w:rsid w:val="00D95EF6"/>
    <w:rsid w:val="00D95FA4"/>
    <w:rsid w:val="00D962EE"/>
    <w:rsid w:val="00D96F7B"/>
    <w:rsid w:val="00D97672"/>
    <w:rsid w:val="00D97813"/>
    <w:rsid w:val="00D97CA6"/>
    <w:rsid w:val="00D97DFE"/>
    <w:rsid w:val="00D97F20"/>
    <w:rsid w:val="00DA0449"/>
    <w:rsid w:val="00DA0ABF"/>
    <w:rsid w:val="00DA0AFD"/>
    <w:rsid w:val="00DA0CB4"/>
    <w:rsid w:val="00DA0FDC"/>
    <w:rsid w:val="00DA12A2"/>
    <w:rsid w:val="00DA12A7"/>
    <w:rsid w:val="00DA1573"/>
    <w:rsid w:val="00DA1CF6"/>
    <w:rsid w:val="00DA1F6A"/>
    <w:rsid w:val="00DA22A9"/>
    <w:rsid w:val="00DA22D7"/>
    <w:rsid w:val="00DA25BD"/>
    <w:rsid w:val="00DA26AC"/>
    <w:rsid w:val="00DA2757"/>
    <w:rsid w:val="00DA292F"/>
    <w:rsid w:val="00DA2D03"/>
    <w:rsid w:val="00DA2EDF"/>
    <w:rsid w:val="00DA3167"/>
    <w:rsid w:val="00DA3292"/>
    <w:rsid w:val="00DA3EA8"/>
    <w:rsid w:val="00DA459D"/>
    <w:rsid w:val="00DA4682"/>
    <w:rsid w:val="00DA46D0"/>
    <w:rsid w:val="00DA4722"/>
    <w:rsid w:val="00DA483A"/>
    <w:rsid w:val="00DA484D"/>
    <w:rsid w:val="00DA4BA7"/>
    <w:rsid w:val="00DA4DC3"/>
    <w:rsid w:val="00DA5301"/>
    <w:rsid w:val="00DA56EE"/>
    <w:rsid w:val="00DA5E97"/>
    <w:rsid w:val="00DA6DE6"/>
    <w:rsid w:val="00DA7035"/>
    <w:rsid w:val="00DA70F2"/>
    <w:rsid w:val="00DA7264"/>
    <w:rsid w:val="00DA77A5"/>
    <w:rsid w:val="00DB0E36"/>
    <w:rsid w:val="00DB0FF6"/>
    <w:rsid w:val="00DB1037"/>
    <w:rsid w:val="00DB1558"/>
    <w:rsid w:val="00DB1883"/>
    <w:rsid w:val="00DB2723"/>
    <w:rsid w:val="00DB2774"/>
    <w:rsid w:val="00DB2EA2"/>
    <w:rsid w:val="00DB308D"/>
    <w:rsid w:val="00DB31C9"/>
    <w:rsid w:val="00DB3263"/>
    <w:rsid w:val="00DB38FF"/>
    <w:rsid w:val="00DB393B"/>
    <w:rsid w:val="00DB3DBF"/>
    <w:rsid w:val="00DB45C8"/>
    <w:rsid w:val="00DB4646"/>
    <w:rsid w:val="00DB484F"/>
    <w:rsid w:val="00DB4EC6"/>
    <w:rsid w:val="00DB52B1"/>
    <w:rsid w:val="00DB5512"/>
    <w:rsid w:val="00DB58A7"/>
    <w:rsid w:val="00DB5D9E"/>
    <w:rsid w:val="00DB7666"/>
    <w:rsid w:val="00DB7EB4"/>
    <w:rsid w:val="00DB7F98"/>
    <w:rsid w:val="00DC0364"/>
    <w:rsid w:val="00DC048A"/>
    <w:rsid w:val="00DC04F6"/>
    <w:rsid w:val="00DC0690"/>
    <w:rsid w:val="00DC0761"/>
    <w:rsid w:val="00DC089A"/>
    <w:rsid w:val="00DC096D"/>
    <w:rsid w:val="00DC09B9"/>
    <w:rsid w:val="00DC0A5D"/>
    <w:rsid w:val="00DC0E5C"/>
    <w:rsid w:val="00DC1AD2"/>
    <w:rsid w:val="00DC1C61"/>
    <w:rsid w:val="00DC1D65"/>
    <w:rsid w:val="00DC1FC0"/>
    <w:rsid w:val="00DC269E"/>
    <w:rsid w:val="00DC2A5C"/>
    <w:rsid w:val="00DC2A97"/>
    <w:rsid w:val="00DC31CF"/>
    <w:rsid w:val="00DC31D7"/>
    <w:rsid w:val="00DC32C0"/>
    <w:rsid w:val="00DC39AB"/>
    <w:rsid w:val="00DC3C57"/>
    <w:rsid w:val="00DC3EF8"/>
    <w:rsid w:val="00DC42D0"/>
    <w:rsid w:val="00DC4B39"/>
    <w:rsid w:val="00DC4E13"/>
    <w:rsid w:val="00DC5501"/>
    <w:rsid w:val="00DC5DE4"/>
    <w:rsid w:val="00DC6000"/>
    <w:rsid w:val="00DC6170"/>
    <w:rsid w:val="00DC6419"/>
    <w:rsid w:val="00DC6420"/>
    <w:rsid w:val="00DC67BF"/>
    <w:rsid w:val="00DC6AC1"/>
    <w:rsid w:val="00DC7154"/>
    <w:rsid w:val="00DC73D3"/>
    <w:rsid w:val="00DC7426"/>
    <w:rsid w:val="00DC7574"/>
    <w:rsid w:val="00DC7A07"/>
    <w:rsid w:val="00DC7DB4"/>
    <w:rsid w:val="00DC7E8A"/>
    <w:rsid w:val="00DD0908"/>
    <w:rsid w:val="00DD0EED"/>
    <w:rsid w:val="00DD0F78"/>
    <w:rsid w:val="00DD1217"/>
    <w:rsid w:val="00DD12DD"/>
    <w:rsid w:val="00DD14CF"/>
    <w:rsid w:val="00DD15E9"/>
    <w:rsid w:val="00DD25AE"/>
    <w:rsid w:val="00DD273C"/>
    <w:rsid w:val="00DD2A29"/>
    <w:rsid w:val="00DD34C4"/>
    <w:rsid w:val="00DD3538"/>
    <w:rsid w:val="00DD36EE"/>
    <w:rsid w:val="00DD37C6"/>
    <w:rsid w:val="00DD3938"/>
    <w:rsid w:val="00DD3F28"/>
    <w:rsid w:val="00DD4446"/>
    <w:rsid w:val="00DD4537"/>
    <w:rsid w:val="00DD4E15"/>
    <w:rsid w:val="00DD5530"/>
    <w:rsid w:val="00DD5698"/>
    <w:rsid w:val="00DD5706"/>
    <w:rsid w:val="00DD5C6D"/>
    <w:rsid w:val="00DD66A4"/>
    <w:rsid w:val="00DD6728"/>
    <w:rsid w:val="00DD6ADD"/>
    <w:rsid w:val="00DD6BE5"/>
    <w:rsid w:val="00DD726C"/>
    <w:rsid w:val="00DD749E"/>
    <w:rsid w:val="00DD74D5"/>
    <w:rsid w:val="00DD7D16"/>
    <w:rsid w:val="00DD7EE9"/>
    <w:rsid w:val="00DE0079"/>
    <w:rsid w:val="00DE08EA"/>
    <w:rsid w:val="00DE0F07"/>
    <w:rsid w:val="00DE10B8"/>
    <w:rsid w:val="00DE145A"/>
    <w:rsid w:val="00DE174A"/>
    <w:rsid w:val="00DE1ED8"/>
    <w:rsid w:val="00DE2304"/>
    <w:rsid w:val="00DE24AF"/>
    <w:rsid w:val="00DE2F90"/>
    <w:rsid w:val="00DE3013"/>
    <w:rsid w:val="00DE3138"/>
    <w:rsid w:val="00DE3602"/>
    <w:rsid w:val="00DE37F8"/>
    <w:rsid w:val="00DE38A1"/>
    <w:rsid w:val="00DE3E19"/>
    <w:rsid w:val="00DE3E75"/>
    <w:rsid w:val="00DE3FCD"/>
    <w:rsid w:val="00DE4225"/>
    <w:rsid w:val="00DE4273"/>
    <w:rsid w:val="00DE4989"/>
    <w:rsid w:val="00DE4CB7"/>
    <w:rsid w:val="00DE4FCB"/>
    <w:rsid w:val="00DE5878"/>
    <w:rsid w:val="00DE5D07"/>
    <w:rsid w:val="00DE6857"/>
    <w:rsid w:val="00DE6F2A"/>
    <w:rsid w:val="00DE7009"/>
    <w:rsid w:val="00DE72A7"/>
    <w:rsid w:val="00DE752C"/>
    <w:rsid w:val="00DE7832"/>
    <w:rsid w:val="00DE7B2D"/>
    <w:rsid w:val="00DE7D9B"/>
    <w:rsid w:val="00DE7F95"/>
    <w:rsid w:val="00DF0510"/>
    <w:rsid w:val="00DF0FEF"/>
    <w:rsid w:val="00DF18FC"/>
    <w:rsid w:val="00DF1CEE"/>
    <w:rsid w:val="00DF2071"/>
    <w:rsid w:val="00DF271B"/>
    <w:rsid w:val="00DF27A1"/>
    <w:rsid w:val="00DF2831"/>
    <w:rsid w:val="00DF2846"/>
    <w:rsid w:val="00DF2B45"/>
    <w:rsid w:val="00DF4789"/>
    <w:rsid w:val="00DF486F"/>
    <w:rsid w:val="00DF496F"/>
    <w:rsid w:val="00DF4B71"/>
    <w:rsid w:val="00DF4B99"/>
    <w:rsid w:val="00DF4D01"/>
    <w:rsid w:val="00DF5D2B"/>
    <w:rsid w:val="00DF5DED"/>
    <w:rsid w:val="00DF5EEC"/>
    <w:rsid w:val="00DF6341"/>
    <w:rsid w:val="00DF641E"/>
    <w:rsid w:val="00DF6AD8"/>
    <w:rsid w:val="00DF7378"/>
    <w:rsid w:val="00DF7750"/>
    <w:rsid w:val="00DF7F37"/>
    <w:rsid w:val="00E0085D"/>
    <w:rsid w:val="00E00B65"/>
    <w:rsid w:val="00E00E8E"/>
    <w:rsid w:val="00E00EB1"/>
    <w:rsid w:val="00E0114D"/>
    <w:rsid w:val="00E014FD"/>
    <w:rsid w:val="00E01587"/>
    <w:rsid w:val="00E01745"/>
    <w:rsid w:val="00E019AF"/>
    <w:rsid w:val="00E01A01"/>
    <w:rsid w:val="00E01ECF"/>
    <w:rsid w:val="00E02304"/>
    <w:rsid w:val="00E023B1"/>
    <w:rsid w:val="00E0247C"/>
    <w:rsid w:val="00E02593"/>
    <w:rsid w:val="00E034A2"/>
    <w:rsid w:val="00E035EF"/>
    <w:rsid w:val="00E03770"/>
    <w:rsid w:val="00E03A67"/>
    <w:rsid w:val="00E03D2E"/>
    <w:rsid w:val="00E03E74"/>
    <w:rsid w:val="00E04607"/>
    <w:rsid w:val="00E05630"/>
    <w:rsid w:val="00E0574C"/>
    <w:rsid w:val="00E06095"/>
    <w:rsid w:val="00E06667"/>
    <w:rsid w:val="00E067A9"/>
    <w:rsid w:val="00E06DBB"/>
    <w:rsid w:val="00E07D85"/>
    <w:rsid w:val="00E07F9F"/>
    <w:rsid w:val="00E10149"/>
    <w:rsid w:val="00E11340"/>
    <w:rsid w:val="00E11710"/>
    <w:rsid w:val="00E11A35"/>
    <w:rsid w:val="00E1207C"/>
    <w:rsid w:val="00E121AF"/>
    <w:rsid w:val="00E122A1"/>
    <w:rsid w:val="00E131A8"/>
    <w:rsid w:val="00E13BFE"/>
    <w:rsid w:val="00E13CCD"/>
    <w:rsid w:val="00E13F24"/>
    <w:rsid w:val="00E13F99"/>
    <w:rsid w:val="00E144A1"/>
    <w:rsid w:val="00E14622"/>
    <w:rsid w:val="00E146D7"/>
    <w:rsid w:val="00E147BD"/>
    <w:rsid w:val="00E14ECC"/>
    <w:rsid w:val="00E151FC"/>
    <w:rsid w:val="00E15BCC"/>
    <w:rsid w:val="00E15D87"/>
    <w:rsid w:val="00E16372"/>
    <w:rsid w:val="00E16732"/>
    <w:rsid w:val="00E16850"/>
    <w:rsid w:val="00E16AD8"/>
    <w:rsid w:val="00E16BF6"/>
    <w:rsid w:val="00E173B3"/>
    <w:rsid w:val="00E17AEC"/>
    <w:rsid w:val="00E17B58"/>
    <w:rsid w:val="00E17C19"/>
    <w:rsid w:val="00E17FFA"/>
    <w:rsid w:val="00E20061"/>
    <w:rsid w:val="00E204A2"/>
    <w:rsid w:val="00E20E4D"/>
    <w:rsid w:val="00E20ED6"/>
    <w:rsid w:val="00E21267"/>
    <w:rsid w:val="00E21358"/>
    <w:rsid w:val="00E213EB"/>
    <w:rsid w:val="00E21434"/>
    <w:rsid w:val="00E2190B"/>
    <w:rsid w:val="00E21DDD"/>
    <w:rsid w:val="00E21E39"/>
    <w:rsid w:val="00E21E8D"/>
    <w:rsid w:val="00E2249B"/>
    <w:rsid w:val="00E22740"/>
    <w:rsid w:val="00E22A0D"/>
    <w:rsid w:val="00E22BA9"/>
    <w:rsid w:val="00E2404B"/>
    <w:rsid w:val="00E2408E"/>
    <w:rsid w:val="00E244F6"/>
    <w:rsid w:val="00E2566F"/>
    <w:rsid w:val="00E258DB"/>
    <w:rsid w:val="00E25A83"/>
    <w:rsid w:val="00E25DD2"/>
    <w:rsid w:val="00E260F4"/>
    <w:rsid w:val="00E2658A"/>
    <w:rsid w:val="00E26681"/>
    <w:rsid w:val="00E2696B"/>
    <w:rsid w:val="00E26D01"/>
    <w:rsid w:val="00E26D64"/>
    <w:rsid w:val="00E276E6"/>
    <w:rsid w:val="00E2771E"/>
    <w:rsid w:val="00E27B51"/>
    <w:rsid w:val="00E30BFA"/>
    <w:rsid w:val="00E311EF"/>
    <w:rsid w:val="00E31B3D"/>
    <w:rsid w:val="00E31CA3"/>
    <w:rsid w:val="00E32180"/>
    <w:rsid w:val="00E321B9"/>
    <w:rsid w:val="00E32653"/>
    <w:rsid w:val="00E32840"/>
    <w:rsid w:val="00E329A5"/>
    <w:rsid w:val="00E32D8C"/>
    <w:rsid w:val="00E333E3"/>
    <w:rsid w:val="00E33AF2"/>
    <w:rsid w:val="00E33B21"/>
    <w:rsid w:val="00E33BE7"/>
    <w:rsid w:val="00E3407A"/>
    <w:rsid w:val="00E34948"/>
    <w:rsid w:val="00E34C4B"/>
    <w:rsid w:val="00E34CBE"/>
    <w:rsid w:val="00E34F2B"/>
    <w:rsid w:val="00E351F0"/>
    <w:rsid w:val="00E356C9"/>
    <w:rsid w:val="00E35FB8"/>
    <w:rsid w:val="00E360C7"/>
    <w:rsid w:val="00E361D4"/>
    <w:rsid w:val="00E368D4"/>
    <w:rsid w:val="00E36950"/>
    <w:rsid w:val="00E36AC5"/>
    <w:rsid w:val="00E37569"/>
    <w:rsid w:val="00E37791"/>
    <w:rsid w:val="00E401B2"/>
    <w:rsid w:val="00E403AA"/>
    <w:rsid w:val="00E409BE"/>
    <w:rsid w:val="00E40BDD"/>
    <w:rsid w:val="00E40FD5"/>
    <w:rsid w:val="00E41281"/>
    <w:rsid w:val="00E41A0D"/>
    <w:rsid w:val="00E41E30"/>
    <w:rsid w:val="00E423ED"/>
    <w:rsid w:val="00E42E64"/>
    <w:rsid w:val="00E42F73"/>
    <w:rsid w:val="00E43031"/>
    <w:rsid w:val="00E43242"/>
    <w:rsid w:val="00E43637"/>
    <w:rsid w:val="00E43786"/>
    <w:rsid w:val="00E43D70"/>
    <w:rsid w:val="00E443C3"/>
    <w:rsid w:val="00E446B3"/>
    <w:rsid w:val="00E44AFF"/>
    <w:rsid w:val="00E44B14"/>
    <w:rsid w:val="00E453C9"/>
    <w:rsid w:val="00E45B55"/>
    <w:rsid w:val="00E45D0E"/>
    <w:rsid w:val="00E45F64"/>
    <w:rsid w:val="00E466F3"/>
    <w:rsid w:val="00E46844"/>
    <w:rsid w:val="00E4690F"/>
    <w:rsid w:val="00E472D2"/>
    <w:rsid w:val="00E47348"/>
    <w:rsid w:val="00E476DE"/>
    <w:rsid w:val="00E47730"/>
    <w:rsid w:val="00E47AB3"/>
    <w:rsid w:val="00E47B2C"/>
    <w:rsid w:val="00E47B7C"/>
    <w:rsid w:val="00E5045D"/>
    <w:rsid w:val="00E50609"/>
    <w:rsid w:val="00E508C0"/>
    <w:rsid w:val="00E50C95"/>
    <w:rsid w:val="00E514AE"/>
    <w:rsid w:val="00E51560"/>
    <w:rsid w:val="00E516FC"/>
    <w:rsid w:val="00E51821"/>
    <w:rsid w:val="00E51A6B"/>
    <w:rsid w:val="00E51F04"/>
    <w:rsid w:val="00E51F8E"/>
    <w:rsid w:val="00E52549"/>
    <w:rsid w:val="00E52910"/>
    <w:rsid w:val="00E52A1A"/>
    <w:rsid w:val="00E52B41"/>
    <w:rsid w:val="00E52BD3"/>
    <w:rsid w:val="00E52BFC"/>
    <w:rsid w:val="00E52D11"/>
    <w:rsid w:val="00E52E79"/>
    <w:rsid w:val="00E5300D"/>
    <w:rsid w:val="00E53103"/>
    <w:rsid w:val="00E5395C"/>
    <w:rsid w:val="00E53B1D"/>
    <w:rsid w:val="00E53B60"/>
    <w:rsid w:val="00E53D90"/>
    <w:rsid w:val="00E53E73"/>
    <w:rsid w:val="00E53F9E"/>
    <w:rsid w:val="00E53FC8"/>
    <w:rsid w:val="00E54054"/>
    <w:rsid w:val="00E54347"/>
    <w:rsid w:val="00E54FB3"/>
    <w:rsid w:val="00E550E9"/>
    <w:rsid w:val="00E55424"/>
    <w:rsid w:val="00E55915"/>
    <w:rsid w:val="00E559C3"/>
    <w:rsid w:val="00E55A00"/>
    <w:rsid w:val="00E55BB5"/>
    <w:rsid w:val="00E563DE"/>
    <w:rsid w:val="00E57720"/>
    <w:rsid w:val="00E605E3"/>
    <w:rsid w:val="00E606C5"/>
    <w:rsid w:val="00E606E3"/>
    <w:rsid w:val="00E60FBA"/>
    <w:rsid w:val="00E611DF"/>
    <w:rsid w:val="00E615BE"/>
    <w:rsid w:val="00E624DE"/>
    <w:rsid w:val="00E625A3"/>
    <w:rsid w:val="00E626F5"/>
    <w:rsid w:val="00E6295C"/>
    <w:rsid w:val="00E62BF6"/>
    <w:rsid w:val="00E6307A"/>
    <w:rsid w:val="00E633FF"/>
    <w:rsid w:val="00E634FE"/>
    <w:rsid w:val="00E6392C"/>
    <w:rsid w:val="00E63A73"/>
    <w:rsid w:val="00E63EBE"/>
    <w:rsid w:val="00E64434"/>
    <w:rsid w:val="00E6523E"/>
    <w:rsid w:val="00E65744"/>
    <w:rsid w:val="00E657BB"/>
    <w:rsid w:val="00E6582D"/>
    <w:rsid w:val="00E65E79"/>
    <w:rsid w:val="00E66779"/>
    <w:rsid w:val="00E66949"/>
    <w:rsid w:val="00E66BA2"/>
    <w:rsid w:val="00E67046"/>
    <w:rsid w:val="00E67416"/>
    <w:rsid w:val="00E676B1"/>
    <w:rsid w:val="00E67710"/>
    <w:rsid w:val="00E67C57"/>
    <w:rsid w:val="00E70037"/>
    <w:rsid w:val="00E70676"/>
    <w:rsid w:val="00E70DCC"/>
    <w:rsid w:val="00E70F1E"/>
    <w:rsid w:val="00E710B7"/>
    <w:rsid w:val="00E71361"/>
    <w:rsid w:val="00E71899"/>
    <w:rsid w:val="00E718B6"/>
    <w:rsid w:val="00E71BD8"/>
    <w:rsid w:val="00E723BA"/>
    <w:rsid w:val="00E727E7"/>
    <w:rsid w:val="00E72803"/>
    <w:rsid w:val="00E73581"/>
    <w:rsid w:val="00E73D54"/>
    <w:rsid w:val="00E73E8E"/>
    <w:rsid w:val="00E740DE"/>
    <w:rsid w:val="00E74296"/>
    <w:rsid w:val="00E742D0"/>
    <w:rsid w:val="00E74413"/>
    <w:rsid w:val="00E74A85"/>
    <w:rsid w:val="00E74EFB"/>
    <w:rsid w:val="00E74F04"/>
    <w:rsid w:val="00E74FC4"/>
    <w:rsid w:val="00E7501B"/>
    <w:rsid w:val="00E750E8"/>
    <w:rsid w:val="00E75568"/>
    <w:rsid w:val="00E75A15"/>
    <w:rsid w:val="00E7615C"/>
    <w:rsid w:val="00E7629A"/>
    <w:rsid w:val="00E7647B"/>
    <w:rsid w:val="00E764A3"/>
    <w:rsid w:val="00E76704"/>
    <w:rsid w:val="00E7706C"/>
    <w:rsid w:val="00E7746F"/>
    <w:rsid w:val="00E777E3"/>
    <w:rsid w:val="00E77CE1"/>
    <w:rsid w:val="00E801F5"/>
    <w:rsid w:val="00E802F1"/>
    <w:rsid w:val="00E804B2"/>
    <w:rsid w:val="00E80CBE"/>
    <w:rsid w:val="00E80CE1"/>
    <w:rsid w:val="00E80CF1"/>
    <w:rsid w:val="00E80D27"/>
    <w:rsid w:val="00E80D96"/>
    <w:rsid w:val="00E80E81"/>
    <w:rsid w:val="00E80F96"/>
    <w:rsid w:val="00E810AE"/>
    <w:rsid w:val="00E8110E"/>
    <w:rsid w:val="00E814E4"/>
    <w:rsid w:val="00E8178E"/>
    <w:rsid w:val="00E81DBB"/>
    <w:rsid w:val="00E81F10"/>
    <w:rsid w:val="00E82239"/>
    <w:rsid w:val="00E823F0"/>
    <w:rsid w:val="00E82487"/>
    <w:rsid w:val="00E824E4"/>
    <w:rsid w:val="00E826DD"/>
    <w:rsid w:val="00E82E6F"/>
    <w:rsid w:val="00E833F7"/>
    <w:rsid w:val="00E83AAB"/>
    <w:rsid w:val="00E83BDF"/>
    <w:rsid w:val="00E83C48"/>
    <w:rsid w:val="00E83D21"/>
    <w:rsid w:val="00E84218"/>
    <w:rsid w:val="00E84289"/>
    <w:rsid w:val="00E8474B"/>
    <w:rsid w:val="00E84C01"/>
    <w:rsid w:val="00E84F84"/>
    <w:rsid w:val="00E8507C"/>
    <w:rsid w:val="00E8516E"/>
    <w:rsid w:val="00E85177"/>
    <w:rsid w:val="00E853D4"/>
    <w:rsid w:val="00E8603C"/>
    <w:rsid w:val="00E86051"/>
    <w:rsid w:val="00E86173"/>
    <w:rsid w:val="00E86B58"/>
    <w:rsid w:val="00E86E1F"/>
    <w:rsid w:val="00E86F49"/>
    <w:rsid w:val="00E86FCC"/>
    <w:rsid w:val="00E872B1"/>
    <w:rsid w:val="00E87A1D"/>
    <w:rsid w:val="00E87A73"/>
    <w:rsid w:val="00E87EAD"/>
    <w:rsid w:val="00E9060D"/>
    <w:rsid w:val="00E907BA"/>
    <w:rsid w:val="00E9094A"/>
    <w:rsid w:val="00E90D98"/>
    <w:rsid w:val="00E90EC9"/>
    <w:rsid w:val="00E912D6"/>
    <w:rsid w:val="00E91448"/>
    <w:rsid w:val="00E914B9"/>
    <w:rsid w:val="00E917FB"/>
    <w:rsid w:val="00E91981"/>
    <w:rsid w:val="00E91D35"/>
    <w:rsid w:val="00E922CC"/>
    <w:rsid w:val="00E9232E"/>
    <w:rsid w:val="00E9234F"/>
    <w:rsid w:val="00E926A5"/>
    <w:rsid w:val="00E92B47"/>
    <w:rsid w:val="00E92D01"/>
    <w:rsid w:val="00E92F0F"/>
    <w:rsid w:val="00E93DE7"/>
    <w:rsid w:val="00E93F2D"/>
    <w:rsid w:val="00E9489B"/>
    <w:rsid w:val="00E94B76"/>
    <w:rsid w:val="00E94BA8"/>
    <w:rsid w:val="00E95004"/>
    <w:rsid w:val="00E95009"/>
    <w:rsid w:val="00E954DF"/>
    <w:rsid w:val="00E959F4"/>
    <w:rsid w:val="00E95DDE"/>
    <w:rsid w:val="00E95E44"/>
    <w:rsid w:val="00E95E8F"/>
    <w:rsid w:val="00E962CC"/>
    <w:rsid w:val="00E96757"/>
    <w:rsid w:val="00E96DF3"/>
    <w:rsid w:val="00E96DF5"/>
    <w:rsid w:val="00E96EFE"/>
    <w:rsid w:val="00E975D5"/>
    <w:rsid w:val="00E9763F"/>
    <w:rsid w:val="00E97936"/>
    <w:rsid w:val="00E97CE2"/>
    <w:rsid w:val="00EA0202"/>
    <w:rsid w:val="00EA08CF"/>
    <w:rsid w:val="00EA0DAC"/>
    <w:rsid w:val="00EA14C3"/>
    <w:rsid w:val="00EA1546"/>
    <w:rsid w:val="00EA17C3"/>
    <w:rsid w:val="00EA1B26"/>
    <w:rsid w:val="00EA1EF9"/>
    <w:rsid w:val="00EA2576"/>
    <w:rsid w:val="00EA28E4"/>
    <w:rsid w:val="00EA2908"/>
    <w:rsid w:val="00EA2CAA"/>
    <w:rsid w:val="00EA3014"/>
    <w:rsid w:val="00EA3087"/>
    <w:rsid w:val="00EA3864"/>
    <w:rsid w:val="00EA43B2"/>
    <w:rsid w:val="00EA4456"/>
    <w:rsid w:val="00EA455E"/>
    <w:rsid w:val="00EA5A69"/>
    <w:rsid w:val="00EA5D08"/>
    <w:rsid w:val="00EA5D37"/>
    <w:rsid w:val="00EA6176"/>
    <w:rsid w:val="00EA6464"/>
    <w:rsid w:val="00EA6519"/>
    <w:rsid w:val="00EA65B8"/>
    <w:rsid w:val="00EA6994"/>
    <w:rsid w:val="00EA699E"/>
    <w:rsid w:val="00EA73B5"/>
    <w:rsid w:val="00EA791E"/>
    <w:rsid w:val="00EA7BB1"/>
    <w:rsid w:val="00EA7F1C"/>
    <w:rsid w:val="00EA7F7E"/>
    <w:rsid w:val="00EB03FC"/>
    <w:rsid w:val="00EB0ECE"/>
    <w:rsid w:val="00EB1243"/>
    <w:rsid w:val="00EB15B6"/>
    <w:rsid w:val="00EB172E"/>
    <w:rsid w:val="00EB1E9D"/>
    <w:rsid w:val="00EB1ECB"/>
    <w:rsid w:val="00EB264B"/>
    <w:rsid w:val="00EB278E"/>
    <w:rsid w:val="00EB27BB"/>
    <w:rsid w:val="00EB2AB5"/>
    <w:rsid w:val="00EB3102"/>
    <w:rsid w:val="00EB35A1"/>
    <w:rsid w:val="00EB3788"/>
    <w:rsid w:val="00EB37BB"/>
    <w:rsid w:val="00EB3D06"/>
    <w:rsid w:val="00EB4391"/>
    <w:rsid w:val="00EB4916"/>
    <w:rsid w:val="00EB496B"/>
    <w:rsid w:val="00EB4F88"/>
    <w:rsid w:val="00EB5380"/>
    <w:rsid w:val="00EB53A8"/>
    <w:rsid w:val="00EB53DD"/>
    <w:rsid w:val="00EB5948"/>
    <w:rsid w:val="00EB6201"/>
    <w:rsid w:val="00EB625A"/>
    <w:rsid w:val="00EB6275"/>
    <w:rsid w:val="00EB63D6"/>
    <w:rsid w:val="00EB643A"/>
    <w:rsid w:val="00EB67E9"/>
    <w:rsid w:val="00EB694B"/>
    <w:rsid w:val="00EB6F8D"/>
    <w:rsid w:val="00EB71E5"/>
    <w:rsid w:val="00EB75B0"/>
    <w:rsid w:val="00EB7731"/>
    <w:rsid w:val="00EB777D"/>
    <w:rsid w:val="00EB79F0"/>
    <w:rsid w:val="00EB7B1D"/>
    <w:rsid w:val="00EB7DCD"/>
    <w:rsid w:val="00EC00C9"/>
    <w:rsid w:val="00EC0D4E"/>
    <w:rsid w:val="00EC0DD9"/>
    <w:rsid w:val="00EC0F42"/>
    <w:rsid w:val="00EC1839"/>
    <w:rsid w:val="00EC1ADD"/>
    <w:rsid w:val="00EC214C"/>
    <w:rsid w:val="00EC2153"/>
    <w:rsid w:val="00EC251F"/>
    <w:rsid w:val="00EC2649"/>
    <w:rsid w:val="00EC2B70"/>
    <w:rsid w:val="00EC3101"/>
    <w:rsid w:val="00EC31ED"/>
    <w:rsid w:val="00EC324B"/>
    <w:rsid w:val="00EC3BA2"/>
    <w:rsid w:val="00EC3C17"/>
    <w:rsid w:val="00EC3C71"/>
    <w:rsid w:val="00EC3CD1"/>
    <w:rsid w:val="00EC5836"/>
    <w:rsid w:val="00EC58CB"/>
    <w:rsid w:val="00EC58D8"/>
    <w:rsid w:val="00EC5C15"/>
    <w:rsid w:val="00EC6211"/>
    <w:rsid w:val="00EC6485"/>
    <w:rsid w:val="00EC688C"/>
    <w:rsid w:val="00EC69C9"/>
    <w:rsid w:val="00EC774F"/>
    <w:rsid w:val="00EC7890"/>
    <w:rsid w:val="00ED0717"/>
    <w:rsid w:val="00ED0860"/>
    <w:rsid w:val="00ED0AEB"/>
    <w:rsid w:val="00ED0B04"/>
    <w:rsid w:val="00ED0CBB"/>
    <w:rsid w:val="00ED12E3"/>
    <w:rsid w:val="00ED1D35"/>
    <w:rsid w:val="00ED237E"/>
    <w:rsid w:val="00ED3241"/>
    <w:rsid w:val="00ED44DF"/>
    <w:rsid w:val="00ED4525"/>
    <w:rsid w:val="00ED4B04"/>
    <w:rsid w:val="00ED4B32"/>
    <w:rsid w:val="00ED4D4D"/>
    <w:rsid w:val="00ED4F71"/>
    <w:rsid w:val="00ED506D"/>
    <w:rsid w:val="00ED559B"/>
    <w:rsid w:val="00ED57EA"/>
    <w:rsid w:val="00ED5BD4"/>
    <w:rsid w:val="00ED65EF"/>
    <w:rsid w:val="00ED6AB1"/>
    <w:rsid w:val="00EE0092"/>
    <w:rsid w:val="00EE00A4"/>
    <w:rsid w:val="00EE013F"/>
    <w:rsid w:val="00EE0516"/>
    <w:rsid w:val="00EE07D3"/>
    <w:rsid w:val="00EE0F68"/>
    <w:rsid w:val="00EE11FC"/>
    <w:rsid w:val="00EE1749"/>
    <w:rsid w:val="00EE1996"/>
    <w:rsid w:val="00EE1C01"/>
    <w:rsid w:val="00EE22AF"/>
    <w:rsid w:val="00EE276E"/>
    <w:rsid w:val="00EE2B70"/>
    <w:rsid w:val="00EE3280"/>
    <w:rsid w:val="00EE37BB"/>
    <w:rsid w:val="00EE38EC"/>
    <w:rsid w:val="00EE3B3C"/>
    <w:rsid w:val="00EE471A"/>
    <w:rsid w:val="00EE4760"/>
    <w:rsid w:val="00EE47A3"/>
    <w:rsid w:val="00EE47FD"/>
    <w:rsid w:val="00EE48BF"/>
    <w:rsid w:val="00EE5181"/>
    <w:rsid w:val="00EE557B"/>
    <w:rsid w:val="00EE57E9"/>
    <w:rsid w:val="00EE5870"/>
    <w:rsid w:val="00EE5CCE"/>
    <w:rsid w:val="00EE5F0D"/>
    <w:rsid w:val="00EE6560"/>
    <w:rsid w:val="00EE6717"/>
    <w:rsid w:val="00EE7434"/>
    <w:rsid w:val="00EE7CCF"/>
    <w:rsid w:val="00EE7CF0"/>
    <w:rsid w:val="00EE7DB5"/>
    <w:rsid w:val="00EF0171"/>
    <w:rsid w:val="00EF02F8"/>
    <w:rsid w:val="00EF0453"/>
    <w:rsid w:val="00EF04C2"/>
    <w:rsid w:val="00EF132E"/>
    <w:rsid w:val="00EF137B"/>
    <w:rsid w:val="00EF13C8"/>
    <w:rsid w:val="00EF148C"/>
    <w:rsid w:val="00EF1A92"/>
    <w:rsid w:val="00EF1B25"/>
    <w:rsid w:val="00EF1DA0"/>
    <w:rsid w:val="00EF20AA"/>
    <w:rsid w:val="00EF20BA"/>
    <w:rsid w:val="00EF26F5"/>
    <w:rsid w:val="00EF2793"/>
    <w:rsid w:val="00EF2A3E"/>
    <w:rsid w:val="00EF2D9A"/>
    <w:rsid w:val="00EF3285"/>
    <w:rsid w:val="00EF34F0"/>
    <w:rsid w:val="00EF3720"/>
    <w:rsid w:val="00EF3C4C"/>
    <w:rsid w:val="00EF3F99"/>
    <w:rsid w:val="00EF40CD"/>
    <w:rsid w:val="00EF441A"/>
    <w:rsid w:val="00EF44AD"/>
    <w:rsid w:val="00EF45A3"/>
    <w:rsid w:val="00EF4747"/>
    <w:rsid w:val="00EF47F9"/>
    <w:rsid w:val="00EF47FA"/>
    <w:rsid w:val="00EF4AAF"/>
    <w:rsid w:val="00EF4AF2"/>
    <w:rsid w:val="00EF4BF8"/>
    <w:rsid w:val="00EF57EA"/>
    <w:rsid w:val="00EF6238"/>
    <w:rsid w:val="00EF624A"/>
    <w:rsid w:val="00EF6488"/>
    <w:rsid w:val="00EF67A9"/>
    <w:rsid w:val="00EF6F28"/>
    <w:rsid w:val="00EF7087"/>
    <w:rsid w:val="00EF7D55"/>
    <w:rsid w:val="00EF7E4E"/>
    <w:rsid w:val="00EF7E81"/>
    <w:rsid w:val="00F00047"/>
    <w:rsid w:val="00F00F5F"/>
    <w:rsid w:val="00F0135D"/>
    <w:rsid w:val="00F01647"/>
    <w:rsid w:val="00F018DB"/>
    <w:rsid w:val="00F021C2"/>
    <w:rsid w:val="00F021E9"/>
    <w:rsid w:val="00F02253"/>
    <w:rsid w:val="00F024B9"/>
    <w:rsid w:val="00F02FF4"/>
    <w:rsid w:val="00F0324F"/>
    <w:rsid w:val="00F0343D"/>
    <w:rsid w:val="00F035F0"/>
    <w:rsid w:val="00F03C2E"/>
    <w:rsid w:val="00F04323"/>
    <w:rsid w:val="00F048B6"/>
    <w:rsid w:val="00F04A66"/>
    <w:rsid w:val="00F04B4B"/>
    <w:rsid w:val="00F04C39"/>
    <w:rsid w:val="00F04E82"/>
    <w:rsid w:val="00F0516C"/>
    <w:rsid w:val="00F0517A"/>
    <w:rsid w:val="00F05753"/>
    <w:rsid w:val="00F057EF"/>
    <w:rsid w:val="00F05D32"/>
    <w:rsid w:val="00F067A2"/>
    <w:rsid w:val="00F069A0"/>
    <w:rsid w:val="00F06AB3"/>
    <w:rsid w:val="00F06C60"/>
    <w:rsid w:val="00F06CDE"/>
    <w:rsid w:val="00F07089"/>
    <w:rsid w:val="00F070D3"/>
    <w:rsid w:val="00F071EE"/>
    <w:rsid w:val="00F07B9E"/>
    <w:rsid w:val="00F1025C"/>
    <w:rsid w:val="00F104A7"/>
    <w:rsid w:val="00F106F8"/>
    <w:rsid w:val="00F10F79"/>
    <w:rsid w:val="00F1106C"/>
    <w:rsid w:val="00F1116F"/>
    <w:rsid w:val="00F11511"/>
    <w:rsid w:val="00F115B1"/>
    <w:rsid w:val="00F1172D"/>
    <w:rsid w:val="00F1173B"/>
    <w:rsid w:val="00F11A47"/>
    <w:rsid w:val="00F11D60"/>
    <w:rsid w:val="00F12133"/>
    <w:rsid w:val="00F1217E"/>
    <w:rsid w:val="00F1263A"/>
    <w:rsid w:val="00F12710"/>
    <w:rsid w:val="00F12F69"/>
    <w:rsid w:val="00F138F3"/>
    <w:rsid w:val="00F139C5"/>
    <w:rsid w:val="00F13F47"/>
    <w:rsid w:val="00F13FC5"/>
    <w:rsid w:val="00F14928"/>
    <w:rsid w:val="00F15012"/>
    <w:rsid w:val="00F150B8"/>
    <w:rsid w:val="00F153D0"/>
    <w:rsid w:val="00F15557"/>
    <w:rsid w:val="00F15676"/>
    <w:rsid w:val="00F15B77"/>
    <w:rsid w:val="00F166C8"/>
    <w:rsid w:val="00F16A54"/>
    <w:rsid w:val="00F16A61"/>
    <w:rsid w:val="00F16E02"/>
    <w:rsid w:val="00F17052"/>
    <w:rsid w:val="00F1717D"/>
    <w:rsid w:val="00F17228"/>
    <w:rsid w:val="00F17AD3"/>
    <w:rsid w:val="00F203DF"/>
    <w:rsid w:val="00F20870"/>
    <w:rsid w:val="00F209BB"/>
    <w:rsid w:val="00F20D7B"/>
    <w:rsid w:val="00F21236"/>
    <w:rsid w:val="00F216DE"/>
    <w:rsid w:val="00F21740"/>
    <w:rsid w:val="00F2196E"/>
    <w:rsid w:val="00F2198E"/>
    <w:rsid w:val="00F21AAB"/>
    <w:rsid w:val="00F220D2"/>
    <w:rsid w:val="00F2225F"/>
    <w:rsid w:val="00F2253A"/>
    <w:rsid w:val="00F22A60"/>
    <w:rsid w:val="00F22B64"/>
    <w:rsid w:val="00F2364D"/>
    <w:rsid w:val="00F239DF"/>
    <w:rsid w:val="00F240E2"/>
    <w:rsid w:val="00F243AA"/>
    <w:rsid w:val="00F244D6"/>
    <w:rsid w:val="00F24837"/>
    <w:rsid w:val="00F24C32"/>
    <w:rsid w:val="00F24FA7"/>
    <w:rsid w:val="00F25659"/>
    <w:rsid w:val="00F256D0"/>
    <w:rsid w:val="00F2575F"/>
    <w:rsid w:val="00F2581D"/>
    <w:rsid w:val="00F25D77"/>
    <w:rsid w:val="00F2627E"/>
    <w:rsid w:val="00F26719"/>
    <w:rsid w:val="00F27125"/>
    <w:rsid w:val="00F27406"/>
    <w:rsid w:val="00F27565"/>
    <w:rsid w:val="00F27CA1"/>
    <w:rsid w:val="00F27F9B"/>
    <w:rsid w:val="00F30824"/>
    <w:rsid w:val="00F30AAD"/>
    <w:rsid w:val="00F30B77"/>
    <w:rsid w:val="00F30D57"/>
    <w:rsid w:val="00F30F8D"/>
    <w:rsid w:val="00F310D4"/>
    <w:rsid w:val="00F31124"/>
    <w:rsid w:val="00F31626"/>
    <w:rsid w:val="00F3198A"/>
    <w:rsid w:val="00F31A13"/>
    <w:rsid w:val="00F31A1D"/>
    <w:rsid w:val="00F31A3E"/>
    <w:rsid w:val="00F31AA2"/>
    <w:rsid w:val="00F31AA6"/>
    <w:rsid w:val="00F31BE8"/>
    <w:rsid w:val="00F31D5A"/>
    <w:rsid w:val="00F332CB"/>
    <w:rsid w:val="00F334FE"/>
    <w:rsid w:val="00F33975"/>
    <w:rsid w:val="00F33A1D"/>
    <w:rsid w:val="00F33B58"/>
    <w:rsid w:val="00F33D6A"/>
    <w:rsid w:val="00F33DE9"/>
    <w:rsid w:val="00F33DF1"/>
    <w:rsid w:val="00F33FCF"/>
    <w:rsid w:val="00F3417C"/>
    <w:rsid w:val="00F34511"/>
    <w:rsid w:val="00F347DF"/>
    <w:rsid w:val="00F34C60"/>
    <w:rsid w:val="00F34D01"/>
    <w:rsid w:val="00F34EDA"/>
    <w:rsid w:val="00F34EE9"/>
    <w:rsid w:val="00F34FFC"/>
    <w:rsid w:val="00F35340"/>
    <w:rsid w:val="00F35B62"/>
    <w:rsid w:val="00F35CBB"/>
    <w:rsid w:val="00F35E6D"/>
    <w:rsid w:val="00F3619A"/>
    <w:rsid w:val="00F36256"/>
    <w:rsid w:val="00F3635D"/>
    <w:rsid w:val="00F36C04"/>
    <w:rsid w:val="00F370DC"/>
    <w:rsid w:val="00F371EF"/>
    <w:rsid w:val="00F3724A"/>
    <w:rsid w:val="00F3726D"/>
    <w:rsid w:val="00F372F4"/>
    <w:rsid w:val="00F373AA"/>
    <w:rsid w:val="00F375AA"/>
    <w:rsid w:val="00F3770B"/>
    <w:rsid w:val="00F377E9"/>
    <w:rsid w:val="00F37E5C"/>
    <w:rsid w:val="00F37F69"/>
    <w:rsid w:val="00F400D7"/>
    <w:rsid w:val="00F40408"/>
    <w:rsid w:val="00F406C8"/>
    <w:rsid w:val="00F40AAA"/>
    <w:rsid w:val="00F40BA7"/>
    <w:rsid w:val="00F40F9D"/>
    <w:rsid w:val="00F4115B"/>
    <w:rsid w:val="00F4157E"/>
    <w:rsid w:val="00F416C9"/>
    <w:rsid w:val="00F41ACD"/>
    <w:rsid w:val="00F423AD"/>
    <w:rsid w:val="00F42875"/>
    <w:rsid w:val="00F42D67"/>
    <w:rsid w:val="00F42D71"/>
    <w:rsid w:val="00F42E92"/>
    <w:rsid w:val="00F42EFA"/>
    <w:rsid w:val="00F43343"/>
    <w:rsid w:val="00F433BE"/>
    <w:rsid w:val="00F43905"/>
    <w:rsid w:val="00F43E41"/>
    <w:rsid w:val="00F43F77"/>
    <w:rsid w:val="00F44491"/>
    <w:rsid w:val="00F44562"/>
    <w:rsid w:val="00F446CF"/>
    <w:rsid w:val="00F4472C"/>
    <w:rsid w:val="00F44C51"/>
    <w:rsid w:val="00F44D2F"/>
    <w:rsid w:val="00F44FAD"/>
    <w:rsid w:val="00F451D3"/>
    <w:rsid w:val="00F453F2"/>
    <w:rsid w:val="00F45749"/>
    <w:rsid w:val="00F4611B"/>
    <w:rsid w:val="00F4612E"/>
    <w:rsid w:val="00F46341"/>
    <w:rsid w:val="00F466DC"/>
    <w:rsid w:val="00F46855"/>
    <w:rsid w:val="00F46BEB"/>
    <w:rsid w:val="00F46CB6"/>
    <w:rsid w:val="00F4756D"/>
    <w:rsid w:val="00F47851"/>
    <w:rsid w:val="00F47DE8"/>
    <w:rsid w:val="00F5005D"/>
    <w:rsid w:val="00F501F0"/>
    <w:rsid w:val="00F50BF1"/>
    <w:rsid w:val="00F5129E"/>
    <w:rsid w:val="00F51B97"/>
    <w:rsid w:val="00F52294"/>
    <w:rsid w:val="00F5275E"/>
    <w:rsid w:val="00F52E76"/>
    <w:rsid w:val="00F532FB"/>
    <w:rsid w:val="00F533C6"/>
    <w:rsid w:val="00F53A8B"/>
    <w:rsid w:val="00F53BED"/>
    <w:rsid w:val="00F53DCB"/>
    <w:rsid w:val="00F53FE2"/>
    <w:rsid w:val="00F542C1"/>
    <w:rsid w:val="00F54BAE"/>
    <w:rsid w:val="00F550A0"/>
    <w:rsid w:val="00F550E3"/>
    <w:rsid w:val="00F552B9"/>
    <w:rsid w:val="00F5581C"/>
    <w:rsid w:val="00F55AD8"/>
    <w:rsid w:val="00F55E73"/>
    <w:rsid w:val="00F55EDA"/>
    <w:rsid w:val="00F56497"/>
    <w:rsid w:val="00F568F9"/>
    <w:rsid w:val="00F56A84"/>
    <w:rsid w:val="00F56B90"/>
    <w:rsid w:val="00F56C80"/>
    <w:rsid w:val="00F572B7"/>
    <w:rsid w:val="00F572CB"/>
    <w:rsid w:val="00F57430"/>
    <w:rsid w:val="00F578B1"/>
    <w:rsid w:val="00F57E87"/>
    <w:rsid w:val="00F60092"/>
    <w:rsid w:val="00F607F4"/>
    <w:rsid w:val="00F60AA6"/>
    <w:rsid w:val="00F60F3D"/>
    <w:rsid w:val="00F61233"/>
    <w:rsid w:val="00F616C2"/>
    <w:rsid w:val="00F61C18"/>
    <w:rsid w:val="00F61C55"/>
    <w:rsid w:val="00F61CE6"/>
    <w:rsid w:val="00F6202A"/>
    <w:rsid w:val="00F6220D"/>
    <w:rsid w:val="00F6240E"/>
    <w:rsid w:val="00F62BB9"/>
    <w:rsid w:val="00F62FDE"/>
    <w:rsid w:val="00F632C7"/>
    <w:rsid w:val="00F63422"/>
    <w:rsid w:val="00F638F3"/>
    <w:rsid w:val="00F6475F"/>
    <w:rsid w:val="00F64C62"/>
    <w:rsid w:val="00F65304"/>
    <w:rsid w:val="00F65411"/>
    <w:rsid w:val="00F65E57"/>
    <w:rsid w:val="00F65F4B"/>
    <w:rsid w:val="00F66077"/>
    <w:rsid w:val="00F66AFC"/>
    <w:rsid w:val="00F66CA8"/>
    <w:rsid w:val="00F66D9D"/>
    <w:rsid w:val="00F66E1E"/>
    <w:rsid w:val="00F67A69"/>
    <w:rsid w:val="00F67F07"/>
    <w:rsid w:val="00F70AC4"/>
    <w:rsid w:val="00F70BFF"/>
    <w:rsid w:val="00F70C9D"/>
    <w:rsid w:val="00F70E2E"/>
    <w:rsid w:val="00F71919"/>
    <w:rsid w:val="00F71978"/>
    <w:rsid w:val="00F71C41"/>
    <w:rsid w:val="00F71EA7"/>
    <w:rsid w:val="00F71EA9"/>
    <w:rsid w:val="00F724B6"/>
    <w:rsid w:val="00F726E5"/>
    <w:rsid w:val="00F72B0B"/>
    <w:rsid w:val="00F72CC9"/>
    <w:rsid w:val="00F73043"/>
    <w:rsid w:val="00F73E08"/>
    <w:rsid w:val="00F743F3"/>
    <w:rsid w:val="00F74437"/>
    <w:rsid w:val="00F74993"/>
    <w:rsid w:val="00F749FC"/>
    <w:rsid w:val="00F74A1F"/>
    <w:rsid w:val="00F74A91"/>
    <w:rsid w:val="00F74CD9"/>
    <w:rsid w:val="00F74D41"/>
    <w:rsid w:val="00F74F7D"/>
    <w:rsid w:val="00F76176"/>
    <w:rsid w:val="00F76182"/>
    <w:rsid w:val="00F7621D"/>
    <w:rsid w:val="00F764FE"/>
    <w:rsid w:val="00F76721"/>
    <w:rsid w:val="00F76938"/>
    <w:rsid w:val="00F76B9D"/>
    <w:rsid w:val="00F77035"/>
    <w:rsid w:val="00F77391"/>
    <w:rsid w:val="00F777AC"/>
    <w:rsid w:val="00F77888"/>
    <w:rsid w:val="00F778A9"/>
    <w:rsid w:val="00F804C5"/>
    <w:rsid w:val="00F806EE"/>
    <w:rsid w:val="00F80A7B"/>
    <w:rsid w:val="00F80D4A"/>
    <w:rsid w:val="00F80E31"/>
    <w:rsid w:val="00F80E5D"/>
    <w:rsid w:val="00F81153"/>
    <w:rsid w:val="00F812A1"/>
    <w:rsid w:val="00F81AC6"/>
    <w:rsid w:val="00F81E78"/>
    <w:rsid w:val="00F81E96"/>
    <w:rsid w:val="00F82069"/>
    <w:rsid w:val="00F824EA"/>
    <w:rsid w:val="00F826D0"/>
    <w:rsid w:val="00F82B0D"/>
    <w:rsid w:val="00F835C9"/>
    <w:rsid w:val="00F83916"/>
    <w:rsid w:val="00F844FE"/>
    <w:rsid w:val="00F84A72"/>
    <w:rsid w:val="00F851CE"/>
    <w:rsid w:val="00F85254"/>
    <w:rsid w:val="00F85367"/>
    <w:rsid w:val="00F8539C"/>
    <w:rsid w:val="00F853F4"/>
    <w:rsid w:val="00F85AE9"/>
    <w:rsid w:val="00F85E40"/>
    <w:rsid w:val="00F86429"/>
    <w:rsid w:val="00F86619"/>
    <w:rsid w:val="00F866AA"/>
    <w:rsid w:val="00F86AAD"/>
    <w:rsid w:val="00F87543"/>
    <w:rsid w:val="00F87A2F"/>
    <w:rsid w:val="00F87E3A"/>
    <w:rsid w:val="00F90742"/>
    <w:rsid w:val="00F909AF"/>
    <w:rsid w:val="00F91219"/>
    <w:rsid w:val="00F9149B"/>
    <w:rsid w:val="00F917D1"/>
    <w:rsid w:val="00F91B12"/>
    <w:rsid w:val="00F92444"/>
    <w:rsid w:val="00F92506"/>
    <w:rsid w:val="00F92709"/>
    <w:rsid w:val="00F92A77"/>
    <w:rsid w:val="00F92A86"/>
    <w:rsid w:val="00F92EA5"/>
    <w:rsid w:val="00F92F4D"/>
    <w:rsid w:val="00F930D3"/>
    <w:rsid w:val="00F93471"/>
    <w:rsid w:val="00F9393E"/>
    <w:rsid w:val="00F93CAA"/>
    <w:rsid w:val="00F94302"/>
    <w:rsid w:val="00F94823"/>
    <w:rsid w:val="00F9486D"/>
    <w:rsid w:val="00F94DCF"/>
    <w:rsid w:val="00F95286"/>
    <w:rsid w:val="00F95C51"/>
    <w:rsid w:val="00F95EB6"/>
    <w:rsid w:val="00F96144"/>
    <w:rsid w:val="00F9624F"/>
    <w:rsid w:val="00F96476"/>
    <w:rsid w:val="00F9675B"/>
    <w:rsid w:val="00F96F79"/>
    <w:rsid w:val="00F96FD0"/>
    <w:rsid w:val="00F97011"/>
    <w:rsid w:val="00F97292"/>
    <w:rsid w:val="00F977AF"/>
    <w:rsid w:val="00F97A78"/>
    <w:rsid w:val="00FA0152"/>
    <w:rsid w:val="00FA08AC"/>
    <w:rsid w:val="00FA0B20"/>
    <w:rsid w:val="00FA0C61"/>
    <w:rsid w:val="00FA102A"/>
    <w:rsid w:val="00FA1222"/>
    <w:rsid w:val="00FA1D00"/>
    <w:rsid w:val="00FA1D81"/>
    <w:rsid w:val="00FA214B"/>
    <w:rsid w:val="00FA242B"/>
    <w:rsid w:val="00FA24E7"/>
    <w:rsid w:val="00FA2A52"/>
    <w:rsid w:val="00FA2B2C"/>
    <w:rsid w:val="00FA2DC7"/>
    <w:rsid w:val="00FA3553"/>
    <w:rsid w:val="00FA3BD1"/>
    <w:rsid w:val="00FA4006"/>
    <w:rsid w:val="00FA4628"/>
    <w:rsid w:val="00FA4723"/>
    <w:rsid w:val="00FA5ADC"/>
    <w:rsid w:val="00FA5EE6"/>
    <w:rsid w:val="00FA67BB"/>
    <w:rsid w:val="00FA67C8"/>
    <w:rsid w:val="00FA7956"/>
    <w:rsid w:val="00FB024D"/>
    <w:rsid w:val="00FB034F"/>
    <w:rsid w:val="00FB056A"/>
    <w:rsid w:val="00FB05E8"/>
    <w:rsid w:val="00FB0711"/>
    <w:rsid w:val="00FB0824"/>
    <w:rsid w:val="00FB0904"/>
    <w:rsid w:val="00FB094E"/>
    <w:rsid w:val="00FB0A91"/>
    <w:rsid w:val="00FB0D90"/>
    <w:rsid w:val="00FB0DD8"/>
    <w:rsid w:val="00FB1051"/>
    <w:rsid w:val="00FB138C"/>
    <w:rsid w:val="00FB16C9"/>
    <w:rsid w:val="00FB2052"/>
    <w:rsid w:val="00FB2A79"/>
    <w:rsid w:val="00FB2F05"/>
    <w:rsid w:val="00FB2FCB"/>
    <w:rsid w:val="00FB3112"/>
    <w:rsid w:val="00FB32C3"/>
    <w:rsid w:val="00FB349B"/>
    <w:rsid w:val="00FB3A5E"/>
    <w:rsid w:val="00FB3BA1"/>
    <w:rsid w:val="00FB3E3C"/>
    <w:rsid w:val="00FB40AB"/>
    <w:rsid w:val="00FB4602"/>
    <w:rsid w:val="00FB46BB"/>
    <w:rsid w:val="00FB479C"/>
    <w:rsid w:val="00FB4B52"/>
    <w:rsid w:val="00FB4C9C"/>
    <w:rsid w:val="00FB4F87"/>
    <w:rsid w:val="00FB5991"/>
    <w:rsid w:val="00FB5BE7"/>
    <w:rsid w:val="00FB5D49"/>
    <w:rsid w:val="00FB645C"/>
    <w:rsid w:val="00FB6528"/>
    <w:rsid w:val="00FB6A19"/>
    <w:rsid w:val="00FB6B63"/>
    <w:rsid w:val="00FB6CC8"/>
    <w:rsid w:val="00FB6EAA"/>
    <w:rsid w:val="00FB6EEB"/>
    <w:rsid w:val="00FB728C"/>
    <w:rsid w:val="00FB731E"/>
    <w:rsid w:val="00FB7321"/>
    <w:rsid w:val="00FB73ED"/>
    <w:rsid w:val="00FB77DE"/>
    <w:rsid w:val="00FB799D"/>
    <w:rsid w:val="00FB7B90"/>
    <w:rsid w:val="00FB7C55"/>
    <w:rsid w:val="00FB7F08"/>
    <w:rsid w:val="00FC026B"/>
    <w:rsid w:val="00FC0D9A"/>
    <w:rsid w:val="00FC1074"/>
    <w:rsid w:val="00FC124F"/>
    <w:rsid w:val="00FC1884"/>
    <w:rsid w:val="00FC1E35"/>
    <w:rsid w:val="00FC278E"/>
    <w:rsid w:val="00FC3287"/>
    <w:rsid w:val="00FC371D"/>
    <w:rsid w:val="00FC38E8"/>
    <w:rsid w:val="00FC3931"/>
    <w:rsid w:val="00FC3F86"/>
    <w:rsid w:val="00FC3FA1"/>
    <w:rsid w:val="00FC486A"/>
    <w:rsid w:val="00FC49E9"/>
    <w:rsid w:val="00FC4B52"/>
    <w:rsid w:val="00FC4D9F"/>
    <w:rsid w:val="00FC4EA0"/>
    <w:rsid w:val="00FC537C"/>
    <w:rsid w:val="00FC539E"/>
    <w:rsid w:val="00FC5456"/>
    <w:rsid w:val="00FC599E"/>
    <w:rsid w:val="00FC5C6C"/>
    <w:rsid w:val="00FC5F0B"/>
    <w:rsid w:val="00FC606A"/>
    <w:rsid w:val="00FC6344"/>
    <w:rsid w:val="00FC6681"/>
    <w:rsid w:val="00FC679F"/>
    <w:rsid w:val="00FC775F"/>
    <w:rsid w:val="00FC797F"/>
    <w:rsid w:val="00FC7EFA"/>
    <w:rsid w:val="00FC7F27"/>
    <w:rsid w:val="00FD0038"/>
    <w:rsid w:val="00FD0167"/>
    <w:rsid w:val="00FD040D"/>
    <w:rsid w:val="00FD0630"/>
    <w:rsid w:val="00FD19F0"/>
    <w:rsid w:val="00FD2100"/>
    <w:rsid w:val="00FD21AA"/>
    <w:rsid w:val="00FD2595"/>
    <w:rsid w:val="00FD28BB"/>
    <w:rsid w:val="00FD29DD"/>
    <w:rsid w:val="00FD2D72"/>
    <w:rsid w:val="00FD2E8F"/>
    <w:rsid w:val="00FD33D3"/>
    <w:rsid w:val="00FD417B"/>
    <w:rsid w:val="00FD436C"/>
    <w:rsid w:val="00FD446D"/>
    <w:rsid w:val="00FD4776"/>
    <w:rsid w:val="00FD4F2C"/>
    <w:rsid w:val="00FD50DA"/>
    <w:rsid w:val="00FD50FD"/>
    <w:rsid w:val="00FD553D"/>
    <w:rsid w:val="00FD5558"/>
    <w:rsid w:val="00FD56E5"/>
    <w:rsid w:val="00FD5C34"/>
    <w:rsid w:val="00FD5F79"/>
    <w:rsid w:val="00FD5FE5"/>
    <w:rsid w:val="00FD60DA"/>
    <w:rsid w:val="00FD62B7"/>
    <w:rsid w:val="00FD6394"/>
    <w:rsid w:val="00FD67C5"/>
    <w:rsid w:val="00FD67E5"/>
    <w:rsid w:val="00FD6870"/>
    <w:rsid w:val="00FD6D79"/>
    <w:rsid w:val="00FD6F34"/>
    <w:rsid w:val="00FD7127"/>
    <w:rsid w:val="00FD7221"/>
    <w:rsid w:val="00FD7319"/>
    <w:rsid w:val="00FD7392"/>
    <w:rsid w:val="00FD76BC"/>
    <w:rsid w:val="00FD7846"/>
    <w:rsid w:val="00FD7AA2"/>
    <w:rsid w:val="00FD7B0A"/>
    <w:rsid w:val="00FD7D43"/>
    <w:rsid w:val="00FE00C8"/>
    <w:rsid w:val="00FE027D"/>
    <w:rsid w:val="00FE0AE2"/>
    <w:rsid w:val="00FE0E6C"/>
    <w:rsid w:val="00FE19F7"/>
    <w:rsid w:val="00FE1CDC"/>
    <w:rsid w:val="00FE1F0B"/>
    <w:rsid w:val="00FE288C"/>
    <w:rsid w:val="00FE2937"/>
    <w:rsid w:val="00FE312D"/>
    <w:rsid w:val="00FE3ABD"/>
    <w:rsid w:val="00FE40FD"/>
    <w:rsid w:val="00FE4135"/>
    <w:rsid w:val="00FE4159"/>
    <w:rsid w:val="00FE4498"/>
    <w:rsid w:val="00FE4704"/>
    <w:rsid w:val="00FE4A6C"/>
    <w:rsid w:val="00FE4F48"/>
    <w:rsid w:val="00FE5055"/>
    <w:rsid w:val="00FE522A"/>
    <w:rsid w:val="00FE53AC"/>
    <w:rsid w:val="00FE5645"/>
    <w:rsid w:val="00FE5BFE"/>
    <w:rsid w:val="00FE600A"/>
    <w:rsid w:val="00FE6367"/>
    <w:rsid w:val="00FE6374"/>
    <w:rsid w:val="00FE63E3"/>
    <w:rsid w:val="00FE68BF"/>
    <w:rsid w:val="00FE6A04"/>
    <w:rsid w:val="00FE6BBD"/>
    <w:rsid w:val="00FE6D32"/>
    <w:rsid w:val="00FE6FA5"/>
    <w:rsid w:val="00FE70C3"/>
    <w:rsid w:val="00FE7656"/>
    <w:rsid w:val="00FE76B2"/>
    <w:rsid w:val="00FE78B6"/>
    <w:rsid w:val="00FE7B1C"/>
    <w:rsid w:val="00FE7D51"/>
    <w:rsid w:val="00FE7F06"/>
    <w:rsid w:val="00FF02CD"/>
    <w:rsid w:val="00FF0EBF"/>
    <w:rsid w:val="00FF17B8"/>
    <w:rsid w:val="00FF1A8B"/>
    <w:rsid w:val="00FF1B29"/>
    <w:rsid w:val="00FF1D57"/>
    <w:rsid w:val="00FF1D87"/>
    <w:rsid w:val="00FF1EAD"/>
    <w:rsid w:val="00FF1EBF"/>
    <w:rsid w:val="00FF2160"/>
    <w:rsid w:val="00FF283F"/>
    <w:rsid w:val="00FF2A3D"/>
    <w:rsid w:val="00FF2AD9"/>
    <w:rsid w:val="00FF2C00"/>
    <w:rsid w:val="00FF2DBE"/>
    <w:rsid w:val="00FF2FBE"/>
    <w:rsid w:val="00FF2FBF"/>
    <w:rsid w:val="00FF307B"/>
    <w:rsid w:val="00FF359F"/>
    <w:rsid w:val="00FF3DCF"/>
    <w:rsid w:val="00FF4114"/>
    <w:rsid w:val="00FF45BC"/>
    <w:rsid w:val="00FF492C"/>
    <w:rsid w:val="00FF4A21"/>
    <w:rsid w:val="00FF4E7F"/>
    <w:rsid w:val="00FF5118"/>
    <w:rsid w:val="00FF5164"/>
    <w:rsid w:val="00FF538F"/>
    <w:rsid w:val="00FF543D"/>
    <w:rsid w:val="00FF5AA3"/>
    <w:rsid w:val="00FF5AD8"/>
    <w:rsid w:val="00FF648D"/>
    <w:rsid w:val="00FF7070"/>
    <w:rsid w:val="00FF7203"/>
    <w:rsid w:val="00FF757E"/>
    <w:rsid w:val="047D8C4B"/>
    <w:rsid w:val="1948F071"/>
    <w:rsid w:val="2961C467"/>
    <w:rsid w:val="2B046925"/>
    <w:rsid w:val="2F87F49D"/>
    <w:rsid w:val="2FB2DE1D"/>
    <w:rsid w:val="345CE10E"/>
    <w:rsid w:val="42C197B6"/>
    <w:rsid w:val="64592271"/>
    <w:rsid w:val="73AE2485"/>
    <w:rsid w:val="73E8FC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86A"/>
    <w:pPr>
      <w:jc w:val="both"/>
    </w:pPr>
    <w:rPr>
      <w:rFonts w:ascii="Calibri" w:hAnsi="Calibri" w:cs="Arial"/>
      <w:sz w:val="24"/>
      <w:szCs w:val="24"/>
    </w:rPr>
  </w:style>
  <w:style w:type="paragraph" w:styleId="Heading1">
    <w:name w:val="heading 1"/>
    <w:aliases w:val="PBAC Heading 1 Numbered"/>
    <w:basedOn w:val="Normal"/>
    <w:next w:val="Normal"/>
    <w:link w:val="Heading1Char"/>
    <w:uiPriority w:val="9"/>
    <w:qFormat/>
    <w:rsid w:val="001B204E"/>
    <w:pPr>
      <w:ind w:left="720" w:hanging="720"/>
      <w:outlineLvl w:val="0"/>
    </w:pPr>
    <w:rPr>
      <w:b/>
      <w:caps/>
      <w:sz w:val="32"/>
    </w:rPr>
  </w:style>
  <w:style w:type="paragraph" w:styleId="Heading2">
    <w:name w:val="heading 2"/>
    <w:aliases w:val="PBAC Heading 2 Numbered"/>
    <w:basedOn w:val="Normal"/>
    <w:next w:val="Normal"/>
    <w:link w:val="Heading2Char"/>
    <w:uiPriority w:val="9"/>
    <w:qFormat/>
    <w:rsid w:val="001B204E"/>
    <w:pPr>
      <w:outlineLvl w:val="1"/>
    </w:pPr>
    <w:rPr>
      <w:b/>
      <w:i/>
      <w:sz w:val="28"/>
    </w:rPr>
  </w:style>
  <w:style w:type="paragraph" w:styleId="Heading3">
    <w:name w:val="heading 3"/>
    <w:aliases w:val="PBAC Heading 3 Numbered,X.X.X Sub sub heading,3 bullet,b,2,NICE Heading 3,Heading 3 SED,~MinorSubHeading,TESTETS,Multilevel 3"/>
    <w:basedOn w:val="Normal"/>
    <w:next w:val="Normal"/>
    <w:link w:val="Heading3Char"/>
    <w:uiPriority w:val="9"/>
    <w:qFormat/>
    <w:rsid w:val="001F7361"/>
    <w:pPr>
      <w:outlineLvl w:val="2"/>
    </w:pPr>
    <w:rPr>
      <w:u w:val="single"/>
    </w:rPr>
  </w:style>
  <w:style w:type="paragraph" w:styleId="Heading4">
    <w:name w:val="heading 4"/>
    <w:aliases w:val="PBAC Heading 4 Numbered"/>
    <w:basedOn w:val="Normal"/>
    <w:next w:val="Normal"/>
    <w:link w:val="Heading4Char"/>
    <w:uiPriority w:val="9"/>
    <w:qFormat/>
    <w:rsid w:val="00124A51"/>
    <w:pPr>
      <w:keepNext/>
      <w:spacing w:before="240" w:after="60"/>
      <w:outlineLvl w:val="3"/>
    </w:pPr>
    <w:rPr>
      <w:b/>
      <w:bCs/>
      <w:i/>
      <w:sz w:val="26"/>
      <w:szCs w:val="28"/>
    </w:rPr>
  </w:style>
  <w:style w:type="paragraph" w:styleId="Heading5">
    <w:name w:val="heading 5"/>
    <w:aliases w:val="PBAC Heading 5 numbered"/>
    <w:basedOn w:val="Normal"/>
    <w:next w:val="Normal"/>
    <w:link w:val="Heading5Char"/>
    <w:uiPriority w:val="9"/>
    <w:qFormat/>
    <w:rsid w:val="00124A51"/>
    <w:pPr>
      <w:spacing w:before="240" w:after="60"/>
      <w:outlineLvl w:val="4"/>
    </w:pPr>
    <w:rPr>
      <w:b/>
      <w:bCs/>
      <w:iCs/>
      <w:sz w:val="26"/>
      <w:szCs w:val="26"/>
    </w:rPr>
  </w:style>
  <w:style w:type="paragraph" w:styleId="Heading6">
    <w:name w:val="heading 6"/>
    <w:basedOn w:val="Normal"/>
    <w:next w:val="Normal"/>
    <w:link w:val="Heading6Char"/>
    <w:uiPriority w:val="9"/>
    <w:qFormat/>
    <w:rsid w:val="00124A51"/>
    <w:pPr>
      <w:spacing w:before="240" w:after="60"/>
      <w:outlineLvl w:val="5"/>
    </w:pPr>
    <w:rPr>
      <w:b/>
      <w:bCs/>
      <w:i/>
    </w:rPr>
  </w:style>
  <w:style w:type="paragraph" w:styleId="Heading7">
    <w:name w:val="heading 7"/>
    <w:basedOn w:val="Normal"/>
    <w:next w:val="Normal"/>
    <w:link w:val="Heading7Char"/>
    <w:uiPriority w:val="9"/>
    <w:qFormat/>
    <w:rsid w:val="00124A51"/>
    <w:pPr>
      <w:keepNext/>
      <w:jc w:val="center"/>
      <w:outlineLvl w:val="6"/>
    </w:pPr>
    <w:rPr>
      <w:b/>
      <w:sz w:val="20"/>
    </w:rPr>
  </w:style>
  <w:style w:type="paragraph" w:styleId="Heading8">
    <w:name w:val="heading 8"/>
    <w:basedOn w:val="Normal"/>
    <w:next w:val="Normal"/>
    <w:link w:val="Heading8Char"/>
    <w:uiPriority w:val="9"/>
    <w:qFormat/>
    <w:rsid w:val="00124A51"/>
    <w:pPr>
      <w:keepNext/>
      <w:jc w:val="right"/>
      <w:outlineLvl w:val="7"/>
    </w:pPr>
    <w:rPr>
      <w:b/>
    </w:rPr>
  </w:style>
  <w:style w:type="paragraph" w:styleId="Heading9">
    <w:name w:val="heading 9"/>
    <w:basedOn w:val="Normal"/>
    <w:next w:val="Normal"/>
    <w:link w:val="Heading9Char"/>
    <w:uiPriority w:val="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BAC Heading 2 Numbered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
    <w:rsid w:val="00124A51"/>
    <w:rPr>
      <w:rFonts w:ascii="Arial" w:hAnsi="Arial"/>
      <w:b/>
      <w:snapToGrid w:val="0"/>
      <w:lang w:eastAsia="en-US"/>
    </w:rPr>
  </w:style>
  <w:style w:type="character" w:customStyle="1" w:styleId="Heading8Char">
    <w:name w:val="Heading 8 Char"/>
    <w:basedOn w:val="DefaultParagraphFont"/>
    <w:link w:val="Heading8"/>
    <w:uiPriority w:val="9"/>
    <w:rsid w:val="00124A51"/>
    <w:rPr>
      <w:b/>
      <w:snapToGrid w:val="0"/>
      <w:sz w:val="24"/>
      <w:lang w:eastAsia="en-US"/>
    </w:rPr>
  </w:style>
  <w:style w:type="character" w:customStyle="1" w:styleId="Heading9Char">
    <w:name w:val="Heading 9 Char"/>
    <w:basedOn w:val="DefaultParagraphFont"/>
    <w:link w:val="Heading9"/>
    <w:uiPriority w:val="9"/>
    <w:rsid w:val="00124A51"/>
    <w:rPr>
      <w:rFonts w:ascii="Arial" w:hAnsi="Arial"/>
      <w:b/>
      <w:snapToGrid w:val="0"/>
      <w:color w:val="000000"/>
      <w:lang w:eastAsia="en-US"/>
    </w:rPr>
  </w:style>
  <w:style w:type="paragraph" w:customStyle="1" w:styleId="COMTableheadingrow">
    <w:name w:val="COM Table heading row"/>
    <w:basedOn w:val="Normal"/>
    <w:next w:val="COMTabletext"/>
    <w:qFormat/>
    <w:rsid w:val="00F46BEB"/>
    <w:pPr>
      <w:keepNext/>
      <w:keepLines/>
      <w:jc w:val="left"/>
    </w:pPr>
    <w:rPr>
      <w:rFonts w:ascii="Arial Narrow" w:hAnsi="Arial Narrow"/>
      <w:b/>
      <w:bCs/>
      <w:sz w:val="20"/>
      <w:szCs w:val="20"/>
    </w:rPr>
  </w:style>
  <w:style w:type="paragraph" w:customStyle="1" w:styleId="COMBodyH2Numbered">
    <w:name w:val="COM Body H2 Numbered"/>
    <w:basedOn w:val="Heading2"/>
    <w:qFormat/>
    <w:rsid w:val="00CF6C85"/>
    <w:pPr>
      <w:keepNext/>
      <w:spacing w:after="240"/>
    </w:pPr>
  </w:style>
  <w:style w:type="paragraph" w:customStyle="1" w:styleId="COMBodyH1Numbered">
    <w:name w:val="COM Body H1 Numbered"/>
    <w:basedOn w:val="COMESH2"/>
    <w:qFormat/>
    <w:rsid w:val="00684679"/>
    <w:pPr>
      <w:numPr>
        <w:numId w:val="0"/>
      </w:numPr>
    </w:pPr>
  </w:style>
  <w:style w:type="paragraph" w:customStyle="1" w:styleId="COMBodyH3">
    <w:name w:val="COM Body H3"/>
    <w:basedOn w:val="Normal"/>
    <w:qFormat/>
    <w:rsid w:val="00252F9D"/>
    <w:pPr>
      <w:keepNext/>
      <w:spacing w:after="180"/>
      <w:outlineLvl w:val="2"/>
    </w:pPr>
    <w:rPr>
      <w:b/>
      <w:sz w:val="28"/>
      <w:szCs w:val="28"/>
    </w:rPr>
  </w:style>
  <w:style w:type="paragraph" w:styleId="BodyText">
    <w:name w:val="Body Text"/>
    <w:basedOn w:val="Normal"/>
    <w:link w:val="BodyTextChar"/>
    <w:uiPriority w:val="1"/>
    <w:rsid w:val="004B3DDB"/>
    <w:pPr>
      <w:jc w:val="left"/>
    </w:pPr>
  </w:style>
  <w:style w:type="character" w:customStyle="1" w:styleId="BodyTextChar">
    <w:name w:val="Body Text Char"/>
    <w:basedOn w:val="DefaultParagraphFont"/>
    <w:link w:val="BodyText"/>
    <w:uiPriority w:val="1"/>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PBAC ES Paragraph,Figure_name,Numbered Indented Text,Bullet- First level,List NUmber,Listenabsatz1"/>
    <w:link w:val="ListParagraphChar"/>
    <w:uiPriority w:val="34"/>
    <w:qFormat/>
    <w:rsid w:val="004C3B02"/>
    <w:pPr>
      <w:numPr>
        <w:numId w:val="4"/>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PBAC ES Paragraph Char,Figure_name Char"/>
    <w:basedOn w:val="DefaultParagraphFont"/>
    <w:link w:val="ListParagraph"/>
    <w:uiPriority w:val="34"/>
    <w:qFormat/>
    <w:locked/>
    <w:rsid w:val="004C3B02"/>
    <w:rPr>
      <w:rFonts w:asciiTheme="minorHAnsi" w:hAnsiTheme="minorHAnsi" w:cs="Arial"/>
      <w:snapToGrid w:val="0"/>
      <w:sz w:val="24"/>
      <w:szCs w:val="24"/>
    </w:rPr>
  </w:style>
  <w:style w:type="paragraph" w:styleId="Header">
    <w:name w:val="header"/>
    <w:basedOn w:val="Normal"/>
    <w:link w:val="HeaderChar"/>
    <w:qFormat/>
    <w:rsid w:val="00B94414"/>
    <w:pPr>
      <w:keepNext/>
      <w:tabs>
        <w:tab w:val="center" w:pos="4513"/>
        <w:tab w:val="right" w:pos="9026"/>
      </w:tabs>
      <w:jc w:val="center"/>
    </w:pPr>
    <w:rPr>
      <w:rFonts w:asciiTheme="minorHAnsi" w:hAnsiTheme="minorHAnsi"/>
      <w:i/>
      <w:iCs/>
      <w:color w:val="808080"/>
    </w:rPr>
  </w:style>
  <w:style w:type="character" w:customStyle="1" w:styleId="HeaderChar">
    <w:name w:val="Header Char"/>
    <w:basedOn w:val="DefaultParagraphFont"/>
    <w:link w:val="Header"/>
    <w:rsid w:val="00B94414"/>
    <w:rPr>
      <w:rFonts w:asciiTheme="minorHAnsi" w:hAnsiTheme="minorHAnsi" w:cs="Arial"/>
      <w:i/>
      <w:iCs/>
      <w:color w:val="808080"/>
      <w:sz w:val="24"/>
      <w:szCs w:val="24"/>
    </w:rPr>
  </w:style>
  <w:style w:type="table" w:styleId="TableGrid">
    <w:name w:val="Table Grid"/>
    <w:aliases w:val="Summary box,Table Gridbeth,CMA Table Template,ASD Table,RTI AMCP Table,new style,Conclusion box,Table Grid nm,PBAC table,HTAtableplain,MSD Table Grid,Header Table,NICE instructions,Source table_,HealthConsult,Dossier table,Summary Table,统计型"/>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8467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customStyle="1" w:styleId="Templateinstructionsbulletpoints">
    <w:name w:val="Template instructions bullet points"/>
    <w:basedOn w:val="ListParagraph"/>
    <w:rsid w:val="00B70E8E"/>
    <w:pPr>
      <w:numPr>
        <w:numId w:val="2"/>
      </w:numPr>
      <w:contextualSpacing/>
    </w:p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D92D9D"/>
    <w:pPr>
      <w:keepNext/>
      <w:keepLines/>
    </w:pPr>
    <w:rPr>
      <w:rFonts w:ascii="Arial Narrow" w:eastAsiaTheme="majorEastAsia" w:hAnsi="Arial Narrow" w:cstheme="majorBidi"/>
      <w:bCs/>
      <w:szCs w:val="24"/>
    </w:rPr>
  </w:style>
  <w:style w:type="paragraph" w:customStyle="1" w:styleId="COMBodybulletlist">
    <w:name w:val="COM Body bullet list"/>
    <w:basedOn w:val="Normal"/>
    <w:link w:val="COMBodybulletlistChar"/>
    <w:qFormat/>
    <w:rsid w:val="00994A19"/>
    <w:pPr>
      <w:numPr>
        <w:numId w:val="6"/>
      </w:numPr>
      <w:contextualSpacing/>
    </w:pPr>
  </w:style>
  <w:style w:type="paragraph" w:customStyle="1" w:styleId="COMESH2">
    <w:name w:val="COM ES H2"/>
    <w:next w:val="COMESnumberedpara"/>
    <w:qFormat/>
    <w:rsid w:val="004C3B02"/>
    <w:pPr>
      <w:keepNext/>
      <w:numPr>
        <w:numId w:val="33"/>
      </w:numPr>
      <w:spacing w:before="240" w:after="120"/>
      <w:outlineLvl w:val="0"/>
    </w:pPr>
    <w:rPr>
      <w:rFonts w:asciiTheme="minorHAnsi" w:hAnsiTheme="minorHAnsi" w:cs="Arial"/>
      <w:b/>
      <w:snapToGrid w:val="0"/>
      <w:sz w:val="32"/>
      <w:szCs w:val="32"/>
    </w:rPr>
  </w:style>
  <w:style w:type="paragraph" w:customStyle="1" w:styleId="COMH1-notnumbered">
    <w:name w:val="COM H1 - not numbered"/>
    <w:next w:val="COMESH2"/>
    <w:link w:val="COMH1-notnumberedChar"/>
    <w:qFormat/>
    <w:rsid w:val="00684679"/>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H1-notnumberedChar">
    <w:name w:val="COM H1 - not numbered Char"/>
    <w:basedOn w:val="DefaultParagraphFont"/>
    <w:link w:val="COMH1-notnumbered"/>
    <w:rsid w:val="00684679"/>
    <w:rPr>
      <w:rFonts w:asciiTheme="minorHAnsi" w:eastAsiaTheme="majorEastAsia" w:hAnsiTheme="minorHAnsi" w:cstheme="majorBidi"/>
      <w:b/>
      <w:spacing w:val="5"/>
      <w:kern w:val="28"/>
      <w:sz w:val="36"/>
      <w:szCs w:val="36"/>
    </w:rPr>
  </w:style>
  <w:style w:type="paragraph" w:customStyle="1" w:styleId="COMTableFigurecaption">
    <w:name w:val="COM Table/Figure caption"/>
    <w:next w:val="Normal"/>
    <w:link w:val="COMTableFigurecaptionChar"/>
    <w:qFormat/>
    <w:rsid w:val="004C3B02"/>
    <w:pPr>
      <w:keepNext/>
    </w:pPr>
    <w:rPr>
      <w:rFonts w:ascii="Arial Narrow" w:eastAsiaTheme="majorEastAsia" w:hAnsi="Arial Narrow" w:cstheme="majorBidi"/>
      <w:b/>
      <w:bCs/>
      <w:szCs w:val="24"/>
    </w:rPr>
  </w:style>
  <w:style w:type="character" w:customStyle="1" w:styleId="COMTableFigurecaptionChar">
    <w:name w:val="COM Table/Figure caption Char"/>
    <w:basedOn w:val="DefaultParagraphFont"/>
    <w:link w:val="COMTableFigurecaption"/>
    <w:rsid w:val="004C3B02"/>
    <w:rPr>
      <w:rFonts w:ascii="Arial Narrow" w:eastAsiaTheme="majorEastAsia" w:hAnsi="Arial Narrow" w:cstheme="majorBidi"/>
      <w:b/>
      <w:bCs/>
      <w:szCs w:val="24"/>
    </w:rPr>
  </w:style>
  <w:style w:type="paragraph" w:customStyle="1" w:styleId="COMESnumberedpara">
    <w:name w:val="COM ES numbered para"/>
    <w:link w:val="COMESnumberedparaChar"/>
    <w:qFormat/>
    <w:rsid w:val="004C3B02"/>
    <w:pPr>
      <w:numPr>
        <w:ilvl w:val="1"/>
        <w:numId w:val="33"/>
      </w:numPr>
      <w:spacing w:before="60" w:after="60"/>
      <w:jc w:val="both"/>
    </w:pPr>
    <w:rPr>
      <w:rFonts w:asciiTheme="minorHAnsi" w:eastAsiaTheme="minorHAnsi" w:hAnsiTheme="minorHAnsi" w:cstheme="minorBidi"/>
      <w:sz w:val="24"/>
      <w:szCs w:val="22"/>
    </w:rPr>
  </w:style>
  <w:style w:type="character" w:customStyle="1" w:styleId="COMESnumberedparaChar">
    <w:name w:val="COM ES numbered para Char"/>
    <w:basedOn w:val="ListParagraphChar"/>
    <w:link w:val="COMESnumberedpara"/>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COMTablefooter">
    <w:name w:val="COM Table footer"/>
    <w:basedOn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ESSubsectionheading">
    <w:name w:val="COM ES Subsection heading"/>
    <w:basedOn w:val="Heading2"/>
    <w:next w:val="COMESnumberedpara"/>
    <w:link w:val="COMESSubsectionheadingChar"/>
    <w:autoRedefine/>
    <w:qFormat/>
    <w:rsid w:val="00E7706C"/>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COMESSubsectionheadingChar">
    <w:name w:val="COM ES Subsection heading Char"/>
    <w:basedOn w:val="Heading2Char"/>
    <w:link w:val="COMESSubsectionheading"/>
    <w:rsid w:val="00E7706C"/>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COMCICheadings">
    <w:name w:val="COM CIC headings"/>
    <w:basedOn w:val="Heading3"/>
    <w:next w:val="COMESnumberedpara"/>
    <w:link w:val="COMCICheadings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COMCICheadingsChar">
    <w:name w:val="COM CIC headings Char"/>
    <w:basedOn w:val="DefaultParagraphFont"/>
    <w:link w:val="COMCICheadings"/>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COMTabletextChar">
    <w:name w:val="COM Table text Char"/>
    <w:basedOn w:val="DefaultParagraphFont"/>
    <w:link w:val="COMTabletext"/>
    <w:rsid w:val="00D92D9D"/>
    <w:rPr>
      <w:rFonts w:ascii="Arial Narrow" w:eastAsiaTheme="majorEastAsia" w:hAnsi="Arial Narrow" w:cstheme="majorBidi"/>
      <w:bCs/>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character" w:customStyle="1" w:styleId="COMBodybulletlistChar">
    <w:name w:val="COM Body bullet list Char"/>
    <w:basedOn w:val="DefaultParagraphFont"/>
    <w:link w:val="COMBodybulletlist"/>
    <w:rsid w:val="00994A19"/>
    <w:rPr>
      <w:rFonts w:ascii="Calibri" w:hAnsi="Calibri" w:cs="Arial"/>
      <w:sz w:val="24"/>
      <w:szCs w:val="24"/>
    </w:rPr>
  </w:style>
  <w:style w:type="paragraph" w:customStyle="1" w:styleId="COMESbulletlist">
    <w:name w:val="COM ES bullet list"/>
    <w:basedOn w:val="ListParagraph"/>
    <w:link w:val="COMESbulletlistChar"/>
    <w:qFormat/>
    <w:rsid w:val="00DB38FF"/>
    <w:pPr>
      <w:ind w:left="1134" w:hanging="425"/>
    </w:pPr>
  </w:style>
  <w:style w:type="character" w:customStyle="1" w:styleId="COMESbulletlistChar">
    <w:name w:val="COM ES bullet list Char"/>
    <w:basedOn w:val="DefaultParagraphFont"/>
    <w:link w:val="COMESbulletlist"/>
    <w:rsid w:val="00DB38FF"/>
    <w:rPr>
      <w:rFonts w:asciiTheme="minorHAnsi" w:hAnsiTheme="minorHAnsi" w:cs="Arial"/>
      <w:snapToGrid w:val="0"/>
      <w:sz w:val="24"/>
      <w:szCs w:val="24"/>
    </w:rPr>
  </w:style>
  <w:style w:type="paragraph" w:customStyle="1" w:styleId="COMBodytext">
    <w:name w:val="COM Body text"/>
    <w:basedOn w:val="Normal"/>
    <w:qFormat/>
    <w:rsid w:val="00994A19"/>
  </w:style>
  <w:style w:type="character" w:styleId="UnresolvedMention">
    <w:name w:val="Unresolved Mention"/>
    <w:basedOn w:val="DefaultParagraphFont"/>
    <w:uiPriority w:val="99"/>
    <w:unhideWhenUsed/>
    <w:rsid w:val="00684679"/>
    <w:rPr>
      <w:color w:val="605E5C"/>
      <w:shd w:val="clear" w:color="auto" w:fill="E1DFDD"/>
    </w:rPr>
  </w:style>
  <w:style w:type="paragraph" w:customStyle="1" w:styleId="COMBodyH4">
    <w:name w:val="COM Body H4"/>
    <w:basedOn w:val="Normal"/>
    <w:next w:val="COMBodytext"/>
    <w:link w:val="COMBodyH4Char"/>
    <w:qFormat/>
    <w:rsid w:val="00466B8C"/>
    <w:pPr>
      <w:keepNext/>
      <w:spacing w:after="120"/>
      <w:outlineLvl w:val="3"/>
    </w:pPr>
    <w:rPr>
      <w:b/>
      <w:i/>
    </w:rPr>
  </w:style>
  <w:style w:type="character" w:customStyle="1" w:styleId="COMBodyH4Char">
    <w:name w:val="COM Body H4 Char"/>
    <w:basedOn w:val="DefaultParagraphFont"/>
    <w:link w:val="COMBodyH4"/>
    <w:rsid w:val="00466B8C"/>
    <w:rPr>
      <w:rFonts w:ascii="Calibri" w:hAnsi="Calibri" w:cs="Arial"/>
      <w:b/>
      <w:i/>
      <w:sz w:val="24"/>
      <w:szCs w:val="24"/>
    </w:rPr>
  </w:style>
  <w:style w:type="paragraph" w:customStyle="1" w:styleId="COMESmainissuesbullets">
    <w:name w:val="COM ES main issues bullets"/>
    <w:basedOn w:val="Normal"/>
    <w:link w:val="COMESmainissuesbulletsChar"/>
    <w:qFormat/>
    <w:rsid w:val="005914E0"/>
    <w:pPr>
      <w:numPr>
        <w:numId w:val="34"/>
      </w:numPr>
      <w:spacing w:after="120"/>
    </w:pPr>
    <w:rPr>
      <w:rFonts w:asciiTheme="minorHAnsi" w:hAnsiTheme="minorHAnsi"/>
      <w:snapToGrid w:val="0"/>
    </w:rPr>
  </w:style>
  <w:style w:type="character" w:customStyle="1" w:styleId="COMESmainissuesbulletsChar">
    <w:name w:val="COM ES main issues bullets Char"/>
    <w:basedOn w:val="DefaultParagraphFont"/>
    <w:link w:val="COMESmainissuesbullets"/>
    <w:rsid w:val="005914E0"/>
    <w:rPr>
      <w:rFonts w:asciiTheme="minorHAnsi" w:hAnsiTheme="minorHAnsi" w:cs="Arial"/>
      <w:snapToGrid w:val="0"/>
      <w:sz w:val="24"/>
      <w:szCs w:val="24"/>
    </w:rPr>
  </w:style>
  <w:style w:type="paragraph" w:customStyle="1" w:styleId="COMESH2-notnumbered">
    <w:name w:val="COM ES H2-not numbered"/>
    <w:basedOn w:val="COMESH2"/>
    <w:next w:val="COMBodytext"/>
    <w:qFormat/>
    <w:rsid w:val="00111F99"/>
    <w:pPr>
      <w:numPr>
        <w:numId w:val="0"/>
      </w:numPr>
    </w:pPr>
  </w:style>
  <w:style w:type="character" w:styleId="CommentReference">
    <w:name w:val="annotation reference"/>
    <w:aliases w:val="Table Title"/>
    <w:basedOn w:val="DefaultParagraphFont"/>
    <w:uiPriority w:val="99"/>
    <w:unhideWhenUsed/>
    <w:qFormat/>
    <w:rsid w:val="004D056D"/>
    <w:rPr>
      <w:sz w:val="16"/>
      <w:szCs w:val="16"/>
    </w:rPr>
  </w:style>
  <w:style w:type="paragraph" w:styleId="CommentText">
    <w:name w:val="annotation text"/>
    <w:basedOn w:val="Normal"/>
    <w:link w:val="CommentTextChar"/>
    <w:unhideWhenUsed/>
    <w:rsid w:val="004D056D"/>
    <w:rPr>
      <w:sz w:val="20"/>
      <w:szCs w:val="20"/>
    </w:rPr>
  </w:style>
  <w:style w:type="character" w:customStyle="1" w:styleId="CommentTextChar">
    <w:name w:val="Comment Text Char"/>
    <w:basedOn w:val="DefaultParagraphFont"/>
    <w:link w:val="CommentText"/>
    <w:rsid w:val="004D056D"/>
    <w:rPr>
      <w:rFonts w:ascii="Calibri" w:hAnsi="Calibri" w:cs="Arial"/>
    </w:rPr>
  </w:style>
  <w:style w:type="paragraph" w:styleId="CommentSubject">
    <w:name w:val="annotation subject"/>
    <w:basedOn w:val="CommentText"/>
    <w:next w:val="CommentText"/>
    <w:link w:val="CommentSubjectChar"/>
    <w:uiPriority w:val="99"/>
    <w:semiHidden/>
    <w:unhideWhenUsed/>
    <w:rsid w:val="004D056D"/>
    <w:rPr>
      <w:b/>
      <w:bCs/>
    </w:rPr>
  </w:style>
  <w:style w:type="character" w:customStyle="1" w:styleId="CommentSubjectChar">
    <w:name w:val="Comment Subject Char"/>
    <w:basedOn w:val="CommentTextChar"/>
    <w:link w:val="CommentSubject"/>
    <w:uiPriority w:val="99"/>
    <w:semiHidden/>
    <w:rsid w:val="004D056D"/>
    <w:rPr>
      <w:rFonts w:ascii="Calibri" w:hAnsi="Calibri" w:cs="Arial"/>
      <w:b/>
      <w:bCs/>
    </w:rPr>
  </w:style>
  <w:style w:type="paragraph" w:styleId="Footer">
    <w:name w:val="footer"/>
    <w:basedOn w:val="Normal"/>
    <w:link w:val="FooterChar"/>
    <w:uiPriority w:val="99"/>
    <w:unhideWhenUsed/>
    <w:rsid w:val="00D60DC6"/>
    <w:pPr>
      <w:tabs>
        <w:tab w:val="center" w:pos="4513"/>
        <w:tab w:val="right" w:pos="9026"/>
      </w:tabs>
    </w:pPr>
  </w:style>
  <w:style w:type="character" w:customStyle="1" w:styleId="FooterChar">
    <w:name w:val="Footer Char"/>
    <w:basedOn w:val="DefaultParagraphFont"/>
    <w:link w:val="Footer"/>
    <w:uiPriority w:val="99"/>
    <w:rsid w:val="00D60DC6"/>
    <w:rPr>
      <w:rFonts w:ascii="Calibri" w:hAnsi="Calibri" w:cs="Arial"/>
      <w:sz w:val="24"/>
      <w:szCs w:val="24"/>
    </w:rPr>
  </w:style>
  <w:style w:type="paragraph" w:customStyle="1" w:styleId="TableText">
    <w:name w:val="Table Text"/>
    <w:link w:val="TableTextChar"/>
    <w:qFormat/>
    <w:rsid w:val="009A1635"/>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9A1635"/>
    <w:rPr>
      <w:rFonts w:ascii="Arial Narrow" w:eastAsiaTheme="majorEastAsia" w:hAnsi="Arial Narrow" w:cstheme="majorBidi"/>
      <w:bCs/>
      <w:szCs w:val="24"/>
    </w:rPr>
  </w:style>
  <w:style w:type="character" w:customStyle="1" w:styleId="Heading1Char">
    <w:name w:val="Heading 1 Char"/>
    <w:aliases w:val="PBAC Heading 1 Numbered Char"/>
    <w:basedOn w:val="DefaultParagraphFont"/>
    <w:link w:val="Heading1"/>
    <w:uiPriority w:val="9"/>
    <w:rsid w:val="00F35340"/>
    <w:rPr>
      <w:rFonts w:ascii="Calibri" w:hAnsi="Calibri" w:cs="Arial"/>
      <w:b/>
      <w:caps/>
      <w:sz w:val="32"/>
      <w:szCs w:val="24"/>
    </w:rPr>
  </w:style>
  <w:style w:type="character" w:customStyle="1" w:styleId="Heading3Char">
    <w:name w:val="Heading 3 Char"/>
    <w:aliases w:val="PBAC Heading 3 Numbered Char,X.X.X Sub sub heading Char,3 bullet Char,b Char,2 Char,NICE Heading 3 Char,Heading 3 SED Char,~MinorSubHeading Char,TESTETS Char,Multilevel 3 Char"/>
    <w:basedOn w:val="DefaultParagraphFont"/>
    <w:link w:val="Heading3"/>
    <w:uiPriority w:val="9"/>
    <w:rsid w:val="00F35340"/>
    <w:rPr>
      <w:rFonts w:ascii="Calibri" w:hAnsi="Calibri" w:cs="Arial"/>
      <w:sz w:val="24"/>
      <w:szCs w:val="24"/>
      <w:u w:val="single"/>
    </w:rPr>
  </w:style>
  <w:style w:type="character" w:customStyle="1" w:styleId="Heading4Char">
    <w:name w:val="Heading 4 Char"/>
    <w:aliases w:val="PBAC Heading 4 Numbered Char"/>
    <w:basedOn w:val="DefaultParagraphFont"/>
    <w:link w:val="Heading4"/>
    <w:uiPriority w:val="9"/>
    <w:rsid w:val="00F35340"/>
    <w:rPr>
      <w:rFonts w:ascii="Calibri" w:hAnsi="Calibri" w:cs="Arial"/>
      <w:b/>
      <w:bCs/>
      <w:i/>
      <w:sz w:val="26"/>
      <w:szCs w:val="28"/>
    </w:rPr>
  </w:style>
  <w:style w:type="character" w:customStyle="1" w:styleId="Heading5Char">
    <w:name w:val="Heading 5 Char"/>
    <w:aliases w:val="PBAC Heading 5 numbered Char"/>
    <w:basedOn w:val="DefaultParagraphFont"/>
    <w:link w:val="Heading5"/>
    <w:uiPriority w:val="9"/>
    <w:rsid w:val="00F35340"/>
    <w:rPr>
      <w:rFonts w:ascii="Calibri" w:hAnsi="Calibri" w:cs="Arial"/>
      <w:b/>
      <w:bCs/>
      <w:iCs/>
      <w:sz w:val="26"/>
      <w:szCs w:val="26"/>
    </w:rPr>
  </w:style>
  <w:style w:type="character" w:customStyle="1" w:styleId="Heading6Char">
    <w:name w:val="Heading 6 Char"/>
    <w:basedOn w:val="DefaultParagraphFont"/>
    <w:link w:val="Heading6"/>
    <w:uiPriority w:val="9"/>
    <w:rsid w:val="00F35340"/>
    <w:rPr>
      <w:rFonts w:ascii="Calibri" w:hAnsi="Calibri" w:cs="Arial"/>
      <w:b/>
      <w:bCs/>
      <w:i/>
      <w:sz w:val="24"/>
      <w:szCs w:val="24"/>
    </w:rPr>
  </w:style>
  <w:style w:type="paragraph" w:styleId="Title">
    <w:name w:val="Title"/>
    <w:basedOn w:val="Normal"/>
    <w:next w:val="Normal"/>
    <w:link w:val="TitleChar"/>
    <w:uiPriority w:val="10"/>
    <w:qFormat/>
    <w:rsid w:val="00F35340"/>
    <w:pPr>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5340"/>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F35340"/>
    <w:pPr>
      <w:numPr>
        <w:ilvl w:val="1"/>
      </w:numPr>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5340"/>
    <w:rPr>
      <w:rFonts w:ascii="Calibri" w:eastAsiaTheme="majorEastAsia" w:hAnsi="Calibr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F35340"/>
    <w:pPr>
      <w:spacing w:before="160"/>
      <w:jc w:val="center"/>
    </w:pPr>
    <w:rPr>
      <w:rFonts w:eastAsiaTheme="minorHAnsi" w:cs="Calibr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35340"/>
    <w:rPr>
      <w:rFonts w:ascii="Calibri" w:eastAsiaTheme="minorHAnsi" w:hAnsi="Calibri" w:cs="Calibr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F35340"/>
    <w:rPr>
      <w:i/>
      <w:iCs/>
      <w:color w:val="365F91" w:themeColor="accent1" w:themeShade="BF"/>
    </w:rPr>
  </w:style>
  <w:style w:type="paragraph" w:styleId="IntenseQuote">
    <w:name w:val="Intense Quote"/>
    <w:basedOn w:val="Normal"/>
    <w:next w:val="Normal"/>
    <w:link w:val="IntenseQuoteChar"/>
    <w:uiPriority w:val="30"/>
    <w:qFormat/>
    <w:rsid w:val="00F35340"/>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cs="Calibr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35340"/>
    <w:rPr>
      <w:rFonts w:ascii="Calibri" w:eastAsiaTheme="minorHAnsi" w:hAnsi="Calibri" w:cs="Calibri"/>
      <w:i/>
      <w:iCs/>
      <w:color w:val="365F91"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F35340"/>
    <w:rPr>
      <w:b/>
      <w:bCs/>
      <w:smallCaps/>
      <w:color w:val="365F91" w:themeColor="accent1" w:themeShade="BF"/>
      <w:spacing w:val="5"/>
    </w:rPr>
  </w:style>
  <w:style w:type="paragraph" w:customStyle="1" w:styleId="PBACTblFignote">
    <w:name w:val="PBAC Tbl/Fig note"/>
    <w:rsid w:val="00F35340"/>
    <w:pPr>
      <w:keepLines/>
      <w:spacing w:after="360"/>
      <w:contextualSpacing/>
      <w:textboxTightWrap w:val="allLines"/>
    </w:pPr>
    <w:rPr>
      <w:rFonts w:ascii="Arial Narrow" w:hAnsi="Arial Narrow" w:cs="Arial"/>
      <w:sz w:val="18"/>
      <w:szCs w:val="24"/>
      <w:lang w:eastAsia="en-GB"/>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rsid w:val="00F35340"/>
    <w:pPr>
      <w:keepNext/>
      <w:spacing w:before="240" w:after="120"/>
      <w:ind w:left="1418" w:hanging="1418"/>
      <w:contextualSpacing/>
    </w:pPr>
    <w:rPr>
      <w:rFonts w:ascii="Arial Narrow" w:hAnsi="Arial Narrow"/>
      <w:b/>
      <w:color w:val="000000" w:themeColor="text1"/>
      <w:lang w:eastAsia="en-GB"/>
    </w:rPr>
  </w:style>
  <w:style w:type="paragraph" w:customStyle="1" w:styleId="PBACTabletext">
    <w:name w:val="PBAC Table text"/>
    <w:link w:val="PBACTabletextChar"/>
    <w:rsid w:val="00F35340"/>
    <w:pPr>
      <w:keepNext/>
      <w:keepLines/>
      <w:suppressLineNumbers/>
      <w:textboxTightWrap w:val="allLines"/>
    </w:pPr>
    <w:rPr>
      <w:rFonts w:ascii="Arial Narrow" w:hAnsi="Arial Narrow" w:cs="Arial"/>
      <w:szCs w:val="24"/>
      <w:lang w:eastAsia="en-GB"/>
    </w:rPr>
  </w:style>
  <w:style w:type="character" w:customStyle="1" w:styleId="PBACTabletextChar">
    <w:name w:val="PBAC Table text Char"/>
    <w:basedOn w:val="DefaultParagraphFont"/>
    <w:link w:val="PBACTabletext"/>
    <w:rsid w:val="00F35340"/>
    <w:rPr>
      <w:rFonts w:ascii="Arial Narrow" w:hAnsi="Arial Narrow" w:cs="Arial"/>
      <w:szCs w:val="24"/>
      <w:lang w:eastAsia="en-GB"/>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locked/>
    <w:rsid w:val="00F35340"/>
    <w:rPr>
      <w:rFonts w:ascii="Arial Narrow" w:hAnsi="Arial Narrow" w:cs="Arial"/>
      <w:b/>
      <w:color w:val="000000" w:themeColor="text1"/>
      <w:sz w:val="24"/>
      <w:szCs w:val="24"/>
      <w:lang w:eastAsia="en-GB"/>
    </w:rPr>
  </w:style>
  <w:style w:type="table" w:customStyle="1" w:styleId="C-Table">
    <w:name w:val="C-Table"/>
    <w:basedOn w:val="TableNormal"/>
    <w:rsid w:val="00F35340"/>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OMBody">
    <w:name w:val="COM Body"/>
    <w:basedOn w:val="Normal"/>
    <w:link w:val="COMBodyChar"/>
    <w:qFormat/>
    <w:rsid w:val="00F35340"/>
  </w:style>
  <w:style w:type="character" w:customStyle="1" w:styleId="COMBodyChar">
    <w:name w:val="COM Body Char"/>
    <w:basedOn w:val="DefaultParagraphFont"/>
    <w:link w:val="COMBody"/>
    <w:rsid w:val="00F35340"/>
    <w:rPr>
      <w:rFonts w:ascii="Calibri" w:hAnsi="Calibri" w:cs="Arial"/>
      <w:sz w:val="24"/>
      <w:szCs w:val="24"/>
    </w:rPr>
  </w:style>
  <w:style w:type="paragraph" w:customStyle="1" w:styleId="TableFooter">
    <w:name w:val="Table Footer"/>
    <w:basedOn w:val="Normal"/>
    <w:link w:val="TableFooterChar"/>
    <w:qFormat/>
    <w:rsid w:val="00F35340"/>
    <w:pPr>
      <w:widowControl w:val="0"/>
    </w:pPr>
    <w:rPr>
      <w:rFonts w:ascii="Arial Narrow" w:hAnsi="Arial Narrow"/>
      <w:snapToGrid w:val="0"/>
      <w:sz w:val="18"/>
      <w:szCs w:val="22"/>
      <w:lang w:eastAsia="en-US"/>
    </w:rPr>
  </w:style>
  <w:style w:type="character" w:customStyle="1" w:styleId="TableFooterChar">
    <w:name w:val="Table Footer Char"/>
    <w:link w:val="TableFooter"/>
    <w:rsid w:val="00F35340"/>
    <w:rPr>
      <w:rFonts w:ascii="Arial Narrow" w:hAnsi="Arial Narrow" w:cs="Arial"/>
      <w:snapToGrid w:val="0"/>
      <w:sz w:val="18"/>
      <w:szCs w:val="22"/>
      <w:lang w:eastAsia="en-US"/>
    </w:rPr>
  </w:style>
  <w:style w:type="paragraph" w:customStyle="1" w:styleId="Tabletext0">
    <w:name w:val="Table text"/>
    <w:basedOn w:val="Normal"/>
    <w:link w:val="TabletextChar0"/>
    <w:uiPriority w:val="99"/>
    <w:qFormat/>
    <w:rsid w:val="00F35340"/>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F35340"/>
    <w:rPr>
      <w:rFonts w:ascii="Arial Narrow" w:hAnsi="Arial Narrow"/>
      <w:szCs w:val="22"/>
      <w:lang w:eastAsia="en-US"/>
    </w:rPr>
  </w:style>
  <w:style w:type="paragraph" w:customStyle="1" w:styleId="PBACH5">
    <w:name w:val="PBAC H5"/>
    <w:basedOn w:val="Heading5"/>
    <w:next w:val="Normal"/>
    <w:rsid w:val="00F35340"/>
    <w:pPr>
      <w:spacing w:after="120"/>
      <w:jc w:val="left"/>
    </w:pPr>
    <w:rPr>
      <w:bCs w:val="0"/>
      <w:i/>
      <w:iCs w:val="0"/>
      <w:sz w:val="24"/>
      <w:szCs w:val="24"/>
      <w:lang w:eastAsia="en-GB"/>
    </w:rPr>
  </w:style>
  <w:style w:type="paragraph" w:customStyle="1" w:styleId="TableHeading">
    <w:name w:val="Table Heading"/>
    <w:basedOn w:val="Normal"/>
    <w:link w:val="TableHeadingChar"/>
    <w:rsid w:val="00F35340"/>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F35340"/>
    <w:rPr>
      <w:rFonts w:ascii="Arial Narrow" w:eastAsiaTheme="minorHAnsi" w:hAnsi="Arial Narrow" w:cstheme="minorBidi"/>
      <w:b/>
      <w:szCs w:val="22"/>
      <w:lang w:eastAsia="en-US"/>
    </w:rPr>
  </w:style>
  <w:style w:type="paragraph" w:customStyle="1" w:styleId="NormalText">
    <w:name w:val="Normal Text"/>
    <w:basedOn w:val="Normal"/>
    <w:link w:val="NormalTextChar"/>
    <w:uiPriority w:val="1"/>
    <w:rsid w:val="00F35340"/>
    <w:pPr>
      <w:spacing w:after="240" w:line="276" w:lineRule="auto"/>
      <w:jc w:val="left"/>
    </w:pPr>
    <w:rPr>
      <w:rFonts w:ascii="Arial" w:hAnsi="Arial" w:cs="Times New Roman"/>
      <w:color w:val="1F497D"/>
      <w:sz w:val="21"/>
      <w:szCs w:val="21"/>
      <w:lang w:val="en-GB" w:eastAsia="en-US"/>
    </w:rPr>
  </w:style>
  <w:style w:type="character" w:customStyle="1" w:styleId="NormalTextChar">
    <w:name w:val="Normal Text Char"/>
    <w:link w:val="NormalText"/>
    <w:uiPriority w:val="1"/>
    <w:rsid w:val="00F35340"/>
    <w:rPr>
      <w:rFonts w:ascii="Arial" w:hAnsi="Arial"/>
      <w:color w:val="1F497D"/>
      <w:sz w:val="21"/>
      <w:szCs w:val="21"/>
      <w:lang w:val="en-GB" w:eastAsia="en-US"/>
    </w:rPr>
  </w:style>
  <w:style w:type="paragraph" w:customStyle="1" w:styleId="PBACTableText0">
    <w:name w:val="PBAC Table Text"/>
    <w:basedOn w:val="Normal"/>
    <w:link w:val="PBACTableTextChar0"/>
    <w:uiPriority w:val="2"/>
    <w:rsid w:val="00F35340"/>
    <w:pPr>
      <w:spacing w:before="40" w:after="40"/>
      <w:jc w:val="left"/>
    </w:pPr>
    <w:rPr>
      <w:rFonts w:ascii="Aptos Narrow" w:hAnsi="Aptos Narrow" w:cs="Times New Roman"/>
      <w:sz w:val="20"/>
      <w:szCs w:val="20"/>
      <w:lang w:eastAsia="en-US"/>
    </w:rPr>
  </w:style>
  <w:style w:type="character" w:customStyle="1" w:styleId="PBACTableTextChar0">
    <w:name w:val="PBAC Table Text Char"/>
    <w:basedOn w:val="DefaultParagraphFont"/>
    <w:link w:val="PBACTableText0"/>
    <w:uiPriority w:val="2"/>
    <w:rsid w:val="00F35340"/>
    <w:rPr>
      <w:rFonts w:ascii="Aptos Narrow" w:hAnsi="Aptos Narrow"/>
      <w:lang w:eastAsia="en-US"/>
    </w:rPr>
  </w:style>
  <w:style w:type="paragraph" w:styleId="NoSpacing">
    <w:name w:val="No Spacing"/>
    <w:aliases w:val="PBAC Table Footnote"/>
    <w:uiPriority w:val="1"/>
    <w:rsid w:val="00F35340"/>
    <w:pPr>
      <w:spacing w:after="120"/>
    </w:pPr>
    <w:rPr>
      <w:rFonts w:ascii="Aptos" w:eastAsiaTheme="minorHAnsi" w:hAnsi="Aptos" w:cs="Arial"/>
      <w:sz w:val="16"/>
      <w:lang w:val="en-US" w:eastAsia="en-US"/>
    </w:rPr>
  </w:style>
  <w:style w:type="paragraph" w:customStyle="1" w:styleId="PBACTableHeading">
    <w:name w:val="PBAC Table Heading"/>
    <w:basedOn w:val="PBACTableText0"/>
    <w:uiPriority w:val="2"/>
    <w:rsid w:val="00F35340"/>
    <w:pPr>
      <w:spacing w:before="0" w:after="0"/>
    </w:pPr>
    <w:rPr>
      <w:rFonts w:eastAsiaTheme="minorHAnsi" w:cs="Arial"/>
      <w:b/>
    </w:rPr>
  </w:style>
  <w:style w:type="paragraph" w:customStyle="1" w:styleId="PBACcaption">
    <w:name w:val="PBAC caption"/>
    <w:basedOn w:val="Normal"/>
    <w:link w:val="PBACcaptionChar"/>
    <w:uiPriority w:val="2"/>
    <w:rsid w:val="00F35340"/>
    <w:pPr>
      <w:jc w:val="left"/>
    </w:pPr>
    <w:rPr>
      <w:rFonts w:ascii="Aptos" w:eastAsiaTheme="minorHAnsi" w:hAnsi="Aptos"/>
      <w:b/>
      <w:sz w:val="22"/>
      <w:szCs w:val="22"/>
      <w:lang w:eastAsia="en-US"/>
    </w:rPr>
  </w:style>
  <w:style w:type="character" w:customStyle="1" w:styleId="PBACcaptionChar">
    <w:name w:val="PBAC caption Char"/>
    <w:basedOn w:val="DefaultParagraphFont"/>
    <w:link w:val="PBACcaption"/>
    <w:uiPriority w:val="2"/>
    <w:rsid w:val="00F35340"/>
    <w:rPr>
      <w:rFonts w:ascii="Aptos" w:eastAsiaTheme="minorHAnsi" w:hAnsi="Aptos" w:cs="Arial"/>
      <w:b/>
      <w:sz w:val="22"/>
      <w:szCs w:val="22"/>
      <w:lang w:eastAsia="en-US"/>
    </w:rPr>
  </w:style>
  <w:style w:type="paragraph" w:customStyle="1" w:styleId="PBACbullet">
    <w:name w:val="PBAC bullet"/>
    <w:basedOn w:val="Normal"/>
    <w:link w:val="PBACbulletChar"/>
    <w:uiPriority w:val="1"/>
    <w:rsid w:val="00F35340"/>
    <w:pPr>
      <w:numPr>
        <w:numId w:val="13"/>
      </w:numPr>
      <w:spacing w:after="160"/>
      <w:contextualSpacing/>
      <w:jc w:val="left"/>
    </w:pPr>
    <w:rPr>
      <w:rFonts w:ascii="Aptos" w:eastAsiaTheme="minorHAnsi" w:hAnsi="Aptos"/>
      <w:sz w:val="22"/>
      <w:szCs w:val="20"/>
      <w:lang w:eastAsia="en-US"/>
    </w:rPr>
  </w:style>
  <w:style w:type="character" w:customStyle="1" w:styleId="PBACbulletChar">
    <w:name w:val="PBAC bullet Char"/>
    <w:basedOn w:val="DefaultParagraphFont"/>
    <w:link w:val="PBACbullet"/>
    <w:uiPriority w:val="1"/>
    <w:rsid w:val="00F35340"/>
    <w:rPr>
      <w:rFonts w:ascii="Aptos" w:eastAsiaTheme="minorHAnsi" w:hAnsi="Aptos" w:cs="Arial"/>
      <w:sz w:val="22"/>
      <w:lang w:eastAsia="en-US"/>
    </w:rPr>
  </w:style>
  <w:style w:type="paragraph" w:customStyle="1" w:styleId="COMH3">
    <w:name w:val="COM H3"/>
    <w:basedOn w:val="Normal"/>
    <w:next w:val="Normal"/>
    <w:link w:val="COMH3Char"/>
    <w:qFormat/>
    <w:rsid w:val="00F44FAD"/>
    <w:pPr>
      <w:keepNext/>
      <w:spacing w:after="120"/>
    </w:pPr>
    <w:rPr>
      <w:b/>
      <w:iCs/>
      <w:sz w:val="28"/>
    </w:rPr>
  </w:style>
  <w:style w:type="character" w:customStyle="1" w:styleId="COMH3Char">
    <w:name w:val="COM H3 Char"/>
    <w:basedOn w:val="DefaultParagraphFont"/>
    <w:link w:val="COMH3"/>
    <w:rsid w:val="00F44FAD"/>
    <w:rPr>
      <w:rFonts w:ascii="Calibri" w:hAnsi="Calibri" w:cs="Arial"/>
      <w:b/>
      <w:iCs/>
      <w:sz w:val="28"/>
      <w:szCs w:val="24"/>
    </w:rPr>
  </w:style>
  <w:style w:type="paragraph" w:customStyle="1" w:styleId="TableFigureCaption">
    <w:name w:val="Table/Figure Caption"/>
    <w:next w:val="Normal"/>
    <w:link w:val="TableFigureCaptionChar"/>
    <w:qFormat/>
    <w:rsid w:val="00053738"/>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053738"/>
    <w:rPr>
      <w:rFonts w:ascii="Arial Narrow" w:eastAsiaTheme="majorEastAsia" w:hAnsi="Arial Narrow" w:cstheme="majorBidi"/>
      <w:b/>
      <w:bCs/>
      <w:szCs w:val="24"/>
    </w:rPr>
  </w:style>
  <w:style w:type="paragraph" w:customStyle="1" w:styleId="COMtablefigcaption">
    <w:name w:val="COM table/fig caption"/>
    <w:next w:val="COMTableheadingrow"/>
    <w:link w:val="COMtablefigcaptionChar"/>
    <w:qFormat/>
    <w:rsid w:val="007709AA"/>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709AA"/>
    <w:rPr>
      <w:rFonts w:ascii="Arial Narrow" w:eastAsiaTheme="majorEastAsia" w:hAnsi="Arial Narrow" w:cstheme="majorBidi"/>
      <w:b/>
      <w:bCs/>
      <w:szCs w:val="24"/>
    </w:rPr>
  </w:style>
  <w:style w:type="paragraph" w:customStyle="1" w:styleId="COMCICsubheading">
    <w:name w:val="COM CIC subheading"/>
    <w:basedOn w:val="Normal"/>
    <w:link w:val="COMCICsubheadingChar"/>
    <w:qFormat/>
    <w:rsid w:val="00655AD1"/>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655AD1"/>
    <w:rPr>
      <w:rFonts w:asciiTheme="minorHAnsi" w:eastAsiaTheme="majorEastAsia" w:hAnsiTheme="minorHAnsi" w:cstheme="majorBidi"/>
      <w:b/>
      <w:color w:val="000000" w:themeColor="text1"/>
      <w:sz w:val="24"/>
      <w:szCs w:val="24"/>
    </w:rPr>
  </w:style>
  <w:style w:type="paragraph" w:customStyle="1" w:styleId="COMH2-numbered">
    <w:name w:val="COM H2 - numbered"/>
    <w:basedOn w:val="Heading2"/>
    <w:next w:val="COMBody"/>
    <w:qFormat/>
    <w:rsid w:val="00655AD1"/>
    <w:pPr>
      <w:keepNext/>
      <w:spacing w:after="120"/>
    </w:pPr>
  </w:style>
  <w:style w:type="paragraph" w:customStyle="1" w:styleId="Bulletpoints">
    <w:name w:val="Bullet points"/>
    <w:basedOn w:val="Normal"/>
    <w:rsid w:val="00655AD1"/>
    <w:pPr>
      <w:spacing w:after="120"/>
      <w:ind w:left="720" w:hanging="360"/>
      <w:contextualSpacing/>
      <w:jc w:val="left"/>
    </w:pPr>
    <w:rPr>
      <w:rFonts w:asciiTheme="minorHAnsi" w:hAnsiTheme="minorHAnsi"/>
      <w:snapToGrid w:val="0"/>
    </w:rPr>
  </w:style>
  <w:style w:type="paragraph" w:customStyle="1" w:styleId="COMheadingnotforTOC">
    <w:name w:val="COM heading not for TOC"/>
    <w:qFormat/>
    <w:rsid w:val="00655AD1"/>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655AD1"/>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655AD1"/>
    <w:pPr>
      <w:keepNext/>
      <w:spacing w:before="240" w:after="120"/>
      <w:ind w:left="720" w:hanging="7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655AD1"/>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655AD1"/>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655AD1"/>
    <w:pPr>
      <w:spacing w:before="60" w:after="60"/>
      <w:ind w:left="720" w:hanging="7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655AD1"/>
    <w:rPr>
      <w:rFonts w:asciiTheme="minorHAnsi" w:eastAsiaTheme="minorHAnsi" w:hAnsiTheme="minorHAnsi" w:cstheme="minorBidi"/>
      <w:sz w:val="24"/>
      <w:szCs w:val="22"/>
    </w:rPr>
  </w:style>
  <w:style w:type="paragraph" w:customStyle="1" w:styleId="COMbodybulletlist0">
    <w:name w:val="COM body bullet list"/>
    <w:basedOn w:val="Normal"/>
    <w:link w:val="COMbodybulletlistChar0"/>
    <w:qFormat/>
    <w:rsid w:val="00655AD1"/>
    <w:pPr>
      <w:tabs>
        <w:tab w:val="num" w:pos="360"/>
      </w:tabs>
      <w:ind w:left="360" w:hanging="360"/>
      <w:contextualSpacing/>
    </w:pPr>
  </w:style>
  <w:style w:type="character" w:customStyle="1" w:styleId="COMbodybulletlistChar0">
    <w:name w:val="COM body bullet list Char"/>
    <w:basedOn w:val="DefaultParagraphFont"/>
    <w:link w:val="COMbodybulletlist0"/>
    <w:rsid w:val="00655AD1"/>
    <w:rPr>
      <w:rFonts w:ascii="Calibri" w:hAnsi="Calibri" w:cs="Arial"/>
      <w:sz w:val="24"/>
      <w:szCs w:val="24"/>
    </w:rPr>
  </w:style>
  <w:style w:type="paragraph" w:customStyle="1" w:styleId="COMexecsummbulletlist">
    <w:name w:val="COM exec summ bullet list"/>
    <w:basedOn w:val="Normal"/>
    <w:link w:val="COMexecsummbulletlistChar"/>
    <w:qFormat/>
    <w:rsid w:val="00655AD1"/>
    <w:pPr>
      <w:numPr>
        <w:numId w:val="15"/>
      </w:numPr>
      <w:spacing w:after="120"/>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655AD1"/>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655AD1"/>
    <w:pPr>
      <w:spacing w:after="120"/>
      <w:ind w:left="720" w:hanging="36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655AD1"/>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655AD1"/>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55AD1"/>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655AD1"/>
    <w:pPr>
      <w:keepNext/>
      <w:spacing w:before="120" w:after="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655AD1"/>
    <w:rPr>
      <w:rFonts w:asciiTheme="minorHAnsi" w:eastAsiaTheme="majorEastAsia" w:hAnsiTheme="minorHAnsi" w:cstheme="majorBidi"/>
      <w:b/>
      <w:i/>
      <w:snapToGrid/>
      <w:spacing w:val="5"/>
      <w:kern w:val="28"/>
      <w:sz w:val="28"/>
      <w:szCs w:val="36"/>
      <w:lang w:eastAsia="en-US"/>
    </w:rPr>
  </w:style>
  <w:style w:type="paragraph" w:customStyle="1" w:styleId="COMH4">
    <w:name w:val="COM H4"/>
    <w:basedOn w:val="Normal"/>
    <w:link w:val="COMH4Char"/>
    <w:qFormat/>
    <w:rsid w:val="00655AD1"/>
    <w:pPr>
      <w:keepNext/>
      <w:spacing w:after="120"/>
    </w:pPr>
    <w:rPr>
      <w:b/>
      <w:i/>
    </w:rPr>
  </w:style>
  <w:style w:type="character" w:customStyle="1" w:styleId="COMH4Char">
    <w:name w:val="COM H4 Char"/>
    <w:basedOn w:val="DefaultParagraphFont"/>
    <w:link w:val="COMH4"/>
    <w:rsid w:val="00655AD1"/>
    <w:rPr>
      <w:rFonts w:ascii="Calibri" w:hAnsi="Calibri" w:cs="Arial"/>
      <w:b/>
      <w:i/>
      <w:sz w:val="24"/>
      <w:szCs w:val="24"/>
    </w:rPr>
  </w:style>
  <w:style w:type="character" w:styleId="Mention">
    <w:name w:val="Mention"/>
    <w:basedOn w:val="DefaultParagraphFont"/>
    <w:uiPriority w:val="99"/>
    <w:unhideWhenUsed/>
    <w:rsid w:val="0026250A"/>
    <w:rPr>
      <w:color w:val="2B579A"/>
      <w:shd w:val="clear" w:color="auto" w:fill="E1DFDD"/>
    </w:rPr>
  </w:style>
  <w:style w:type="character" w:customStyle="1" w:styleId="cf01">
    <w:name w:val="cf01"/>
    <w:basedOn w:val="DefaultParagraphFont"/>
    <w:rsid w:val="0026250A"/>
    <w:rPr>
      <w:rFonts w:ascii="Segoe UI" w:hAnsi="Segoe UI" w:cs="Segoe UI" w:hint="default"/>
      <w:sz w:val="18"/>
      <w:szCs w:val="18"/>
    </w:rPr>
  </w:style>
  <w:style w:type="paragraph" w:customStyle="1" w:styleId="pf1">
    <w:name w:val="pf1"/>
    <w:basedOn w:val="Normal"/>
    <w:rsid w:val="0026250A"/>
    <w:pPr>
      <w:spacing w:before="100" w:beforeAutospacing="1" w:after="100" w:afterAutospacing="1"/>
      <w:jc w:val="left"/>
    </w:pPr>
    <w:rPr>
      <w:rFonts w:ascii="Times New Roman" w:hAnsi="Times New Roman" w:cs="Times New Roman"/>
    </w:rPr>
  </w:style>
  <w:style w:type="paragraph" w:customStyle="1" w:styleId="pf0">
    <w:name w:val="pf0"/>
    <w:basedOn w:val="Normal"/>
    <w:rsid w:val="0026250A"/>
    <w:pPr>
      <w:spacing w:before="100" w:beforeAutospacing="1" w:after="100" w:afterAutospacing="1"/>
      <w:jc w:val="left"/>
    </w:pPr>
    <w:rPr>
      <w:rFonts w:ascii="Times New Roman" w:hAnsi="Times New Roman" w:cs="Times New Roman"/>
    </w:rPr>
  </w:style>
  <w:style w:type="character" w:customStyle="1" w:styleId="cf11">
    <w:name w:val="cf11"/>
    <w:basedOn w:val="DefaultParagraphFont"/>
    <w:rsid w:val="0026250A"/>
    <w:rPr>
      <w:rFonts w:ascii="Segoe UI" w:hAnsi="Segoe UI" w:cs="Segoe UI" w:hint="default"/>
      <w:sz w:val="18"/>
      <w:szCs w:val="18"/>
      <w:vertAlign w:val="superscript"/>
    </w:rPr>
  </w:style>
  <w:style w:type="paragraph" w:customStyle="1" w:styleId="PBACHeading1">
    <w:name w:val="PBAC Heading 1"/>
    <w:qFormat/>
    <w:rsid w:val="005F3BA7"/>
    <w:pPr>
      <w:ind w:left="720" w:hanging="720"/>
      <w:outlineLvl w:val="0"/>
    </w:pPr>
    <w:rPr>
      <w:rFonts w:ascii="Calibri" w:hAnsi="Calibri" w:cs="Calibri"/>
      <w:b/>
      <w:snapToGrid w:val="0"/>
      <w:sz w:val="32"/>
      <w:szCs w:val="32"/>
      <w:lang w:eastAsia="en-US"/>
    </w:rPr>
  </w:style>
  <w:style w:type="paragraph" w:customStyle="1" w:styleId="3-SubsectionHeading">
    <w:name w:val="3-Subsection Heading"/>
    <w:basedOn w:val="Heading2"/>
    <w:next w:val="Normal"/>
    <w:link w:val="3-SubsectionHeadingChar"/>
    <w:qFormat/>
    <w:rsid w:val="00411532"/>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411532"/>
    <w:rPr>
      <w:rFonts w:asciiTheme="minorHAnsi" w:eastAsiaTheme="majorEastAsia" w:hAnsiTheme="minorHAnsi" w:cstheme="majorBidi"/>
      <w:b/>
      <w:i/>
      <w:snapToGrid/>
      <w:color w:val="365F91" w:themeColor="accent1" w:themeShade="BF"/>
      <w:spacing w:val="5"/>
      <w:kern w:val="28"/>
      <w:sz w:val="28"/>
      <w:szCs w:val="36"/>
      <w:lang w:eastAsia="en-US"/>
    </w:rPr>
  </w:style>
  <w:style w:type="paragraph" w:customStyle="1" w:styleId="2-SectionHeading">
    <w:name w:val="2-Section Heading"/>
    <w:qFormat/>
    <w:rsid w:val="00C45408"/>
    <w:pPr>
      <w:keepNext/>
      <w:spacing w:before="240" w:after="120"/>
      <w:outlineLvl w:val="1"/>
    </w:pPr>
    <w:rPr>
      <w:rFonts w:asciiTheme="minorHAnsi" w:hAnsiTheme="minorHAnsi" w:cs="Arial"/>
      <w:b/>
      <w:snapToGrid w:val="0"/>
      <w:sz w:val="32"/>
      <w:szCs w:val="32"/>
    </w:rPr>
  </w:style>
  <w:style w:type="paragraph" w:styleId="FootnoteText">
    <w:name w:val="footnote text"/>
    <w:basedOn w:val="Normal"/>
    <w:link w:val="FootnoteTextChar"/>
    <w:semiHidden/>
    <w:unhideWhenUsed/>
    <w:rsid w:val="0029668E"/>
    <w:rPr>
      <w:sz w:val="20"/>
      <w:szCs w:val="20"/>
    </w:rPr>
  </w:style>
  <w:style w:type="character" w:customStyle="1" w:styleId="FootnoteTextChar">
    <w:name w:val="Footnote Text Char"/>
    <w:basedOn w:val="DefaultParagraphFont"/>
    <w:link w:val="FootnoteText"/>
    <w:semiHidden/>
    <w:rsid w:val="0029668E"/>
    <w:rPr>
      <w:rFonts w:ascii="Calibri" w:hAnsi="Calibri" w:cs="Arial"/>
    </w:rPr>
  </w:style>
  <w:style w:type="character" w:styleId="FootnoteReference">
    <w:name w:val="footnote reference"/>
    <w:basedOn w:val="DefaultParagraphFont"/>
    <w:semiHidden/>
    <w:unhideWhenUsed/>
    <w:rsid w:val="0029668E"/>
    <w:rPr>
      <w:vertAlign w:val="superscript"/>
    </w:rPr>
  </w:style>
  <w:style w:type="paragraph" w:customStyle="1" w:styleId="Numberbullet2">
    <w:name w:val="Number bullet 2"/>
    <w:basedOn w:val="ListBullet2"/>
    <w:qFormat/>
    <w:rsid w:val="003C6848"/>
    <w:pPr>
      <w:numPr>
        <w:ilvl w:val="1"/>
        <w:numId w:val="46"/>
      </w:numPr>
      <w:spacing w:before="120" w:after="180" w:line="240" w:lineRule="atLeast"/>
      <w:ind w:left="0" w:firstLine="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3C6848"/>
    <w:pPr>
      <w:numPr>
        <w:ilvl w:val="2"/>
        <w:numId w:val="46"/>
      </w:numPr>
      <w:spacing w:before="120" w:after="180" w:line="240" w:lineRule="atLeast"/>
      <w:ind w:left="0" w:firstLine="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3C6848"/>
    <w:pPr>
      <w:numPr>
        <w:numId w:val="46"/>
      </w:numPr>
    </w:pPr>
  </w:style>
  <w:style w:type="paragraph" w:customStyle="1" w:styleId="COMH1numbered">
    <w:name w:val="COM H1 numbered"/>
    <w:next w:val="Normal"/>
    <w:link w:val="COMH1numberedChar"/>
    <w:qFormat/>
    <w:rsid w:val="003C6848"/>
    <w:pPr>
      <w:keepNext/>
      <w:numPr>
        <w:numId w:val="46"/>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3C6848"/>
    <w:rPr>
      <w:rFonts w:asciiTheme="minorHAnsi" w:hAnsiTheme="minorHAnsi" w:cs="Arial"/>
      <w:b/>
      <w:snapToGrid w:val="0"/>
      <w:sz w:val="32"/>
      <w:szCs w:val="32"/>
    </w:rPr>
  </w:style>
  <w:style w:type="paragraph" w:styleId="ListBullet2">
    <w:name w:val="List Bullet 2"/>
    <w:basedOn w:val="Normal"/>
    <w:semiHidden/>
    <w:unhideWhenUsed/>
    <w:rsid w:val="003C6848"/>
    <w:pPr>
      <w:contextualSpacing/>
    </w:pPr>
  </w:style>
  <w:style w:type="paragraph" w:styleId="ListBullet3">
    <w:name w:val="List Bullet 3"/>
    <w:basedOn w:val="Normal"/>
    <w:semiHidden/>
    <w:unhideWhenUsed/>
    <w:rsid w:val="003C6848"/>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905946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52693535">
      <w:bodyDiv w:val="1"/>
      <w:marLeft w:val="0"/>
      <w:marRight w:val="0"/>
      <w:marTop w:val="0"/>
      <w:marBottom w:val="0"/>
      <w:divBdr>
        <w:top w:val="none" w:sz="0" w:space="0" w:color="auto"/>
        <w:left w:val="none" w:sz="0" w:space="0" w:color="auto"/>
        <w:bottom w:val="none" w:sz="0" w:space="0" w:color="auto"/>
        <w:right w:val="none" w:sz="0" w:space="0" w:color="auto"/>
      </w:divBdr>
    </w:div>
    <w:div w:id="595138743">
      <w:bodyDiv w:val="1"/>
      <w:marLeft w:val="0"/>
      <w:marRight w:val="0"/>
      <w:marTop w:val="0"/>
      <w:marBottom w:val="0"/>
      <w:divBdr>
        <w:top w:val="none" w:sz="0" w:space="0" w:color="auto"/>
        <w:left w:val="none" w:sz="0" w:space="0" w:color="auto"/>
        <w:bottom w:val="none" w:sz="0" w:space="0" w:color="auto"/>
        <w:right w:val="none" w:sz="0" w:space="0" w:color="auto"/>
      </w:divBdr>
    </w:div>
    <w:div w:id="61316866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48257601">
      <w:bodyDiv w:val="1"/>
      <w:marLeft w:val="0"/>
      <w:marRight w:val="0"/>
      <w:marTop w:val="0"/>
      <w:marBottom w:val="0"/>
      <w:divBdr>
        <w:top w:val="none" w:sz="0" w:space="0" w:color="auto"/>
        <w:left w:val="none" w:sz="0" w:space="0" w:color="auto"/>
        <w:bottom w:val="none" w:sz="0" w:space="0" w:color="auto"/>
        <w:right w:val="none" w:sz="0" w:space="0" w:color="auto"/>
      </w:divBdr>
      <w:divsChild>
        <w:div w:id="1082727271">
          <w:marLeft w:val="1080"/>
          <w:marRight w:val="0"/>
          <w:marTop w:val="1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84457769">
      <w:bodyDiv w:val="1"/>
      <w:marLeft w:val="0"/>
      <w:marRight w:val="0"/>
      <w:marTop w:val="0"/>
      <w:marBottom w:val="0"/>
      <w:divBdr>
        <w:top w:val="none" w:sz="0" w:space="0" w:color="auto"/>
        <w:left w:val="none" w:sz="0" w:space="0" w:color="auto"/>
        <w:bottom w:val="none" w:sz="0" w:space="0" w:color="auto"/>
        <w:right w:val="none" w:sz="0" w:space="0" w:color="auto"/>
      </w:divBdr>
      <w:divsChild>
        <w:div w:id="878318602">
          <w:marLeft w:val="1267"/>
          <w:marRight w:val="0"/>
          <w:marTop w:val="0"/>
          <w:marBottom w:val="12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vicesaustralia.gov.au/hpos" TargetMode="External"/><Relationship Id="rId18" Type="http://schemas.openxmlformats.org/officeDocument/2006/relationships/image" Target="media/image5.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pbs.gov.au/industry/listing/elements/pbac-meetings/psd/2021-11/files/dapagliflozin-ckd-psd-nov-2021.pdf" TargetMode="External"/><Relationship Id="rId7" Type="http://schemas.openxmlformats.org/officeDocument/2006/relationships/settings" Target="settings.xml"/><Relationship Id="rId12" Type="http://schemas.openxmlformats.org/officeDocument/2006/relationships/hyperlink" Target="http://www.servicesaustralia.gov.au/hpos" TargetMode="External"/><Relationship Id="rId17" Type="http://schemas.openxmlformats.org/officeDocument/2006/relationships/image" Target="media/image4.jpeg"/><Relationship Id="rId25" Type="http://schemas.openxmlformats.org/officeDocument/2006/relationships/hyperlink" Target="https://www.pbs.gov.au/industry/listing/elements/pbac-meetings/psd/2018-07/files/tolvaptan-psd-july-2018.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pbs.gov.au/industry/listing/elements/pbac-meetings/psd/2023-03/files/finerenone-psd-03-2023.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vicesaustralia.gov.au" TargetMode="External"/><Relationship Id="rId24" Type="http://schemas.openxmlformats.org/officeDocument/2006/relationships/hyperlink" Target="https://www.pbs.gov.au/industry/listing/elements/pbac-meetings/psd/2025-03/files/lumasiran-psd-march-2025.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pbs.gov.au/industry/listing/elements/pbac-meetings/psd/2023-11/files/empagliflozin-psd-nov-2023.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bs.gov.au/industry/listing/elements/pbac-meetings/psd/2022-07/files/finerenone-psd-july-2022.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pbs.gov.au/industry/listing/elements/pbac-meetings/psd/2022-03/files/dapagliflozin-psd-march-2022.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D2FA6546-A98A-460F-81EE-285894E2A8FC}">
  <ds:schemaRefs>
    <ds:schemaRef ds:uri="7f856f8d-13b3-495a-9a4b-41f8182eda4c"/>
    <ds:schemaRef ds:uri="http://purl.org/dc/dcmitype/"/>
    <ds:schemaRef ds:uri="http://schemas.microsoft.com/office/infopath/2007/PartnerControls"/>
    <ds:schemaRef ds:uri="http://purl.org/dc/terms/"/>
    <ds:schemaRef ds:uri="72f95629-adac-4ec1-8738-e1cec852b92b"/>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2D33E4DB-19B9-44C5-92F3-AA356E4689DF}">
  <ds:schemaRefs>
    <ds:schemaRef ds:uri="http://schemas.microsoft.com/sharepoint/v3/contenttype/forms"/>
  </ds:schemaRefs>
</ds:datastoreItem>
</file>

<file path=customXml/itemProps4.xml><?xml version="1.0" encoding="utf-8"?>
<ds:datastoreItem xmlns:ds="http://schemas.openxmlformats.org/officeDocument/2006/customXml" ds:itemID="{C4819BF6-0ADD-4529-841D-313C695A6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9bec58-8084-492e-8360-0e1cfe36408c}" enabled="1" method="Standard" siteId="{f35a6974-607f-47d4-82d7-ff31d7dc53a5}" removed="0"/>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52</Pages>
  <Words>21172</Words>
  <Characters>122307</Characters>
  <Application>Microsoft Office Word</Application>
  <DocSecurity>0</DocSecurity>
  <Lines>3136</Lines>
  <Paragraphs>1793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141686</CharactersWithSpaces>
  <SharedDoc>false</SharedDoc>
  <HLinks>
    <vt:vector size="60" baseType="variant">
      <vt:variant>
        <vt:i4>5570651</vt:i4>
      </vt:variant>
      <vt:variant>
        <vt:i4>150</vt:i4>
      </vt:variant>
      <vt:variant>
        <vt:i4>0</vt:i4>
      </vt:variant>
      <vt:variant>
        <vt:i4>5</vt:i4>
      </vt:variant>
      <vt:variant>
        <vt:lpwstr>https://www.pbs.gov.au/industry/listing/elements/pbac-meetings/psd/2018-07/files/tolvaptan-psd-july-2018.pdf</vt:lpwstr>
      </vt:variant>
      <vt:variant>
        <vt:lpwstr/>
      </vt:variant>
      <vt:variant>
        <vt:i4>5701725</vt:i4>
      </vt:variant>
      <vt:variant>
        <vt:i4>147</vt:i4>
      </vt:variant>
      <vt:variant>
        <vt:i4>0</vt:i4>
      </vt:variant>
      <vt:variant>
        <vt:i4>5</vt:i4>
      </vt:variant>
      <vt:variant>
        <vt:lpwstr>https://www.pbs.gov.au/industry/listing/elements/pbac-meetings/psd/2025-03/files/lumasiran-psd-march-2025.pdf</vt:lpwstr>
      </vt:variant>
      <vt:variant>
        <vt:lpwstr/>
      </vt:variant>
      <vt:variant>
        <vt:i4>3604525</vt:i4>
      </vt:variant>
      <vt:variant>
        <vt:i4>144</vt:i4>
      </vt:variant>
      <vt:variant>
        <vt:i4>0</vt:i4>
      </vt:variant>
      <vt:variant>
        <vt:i4>5</vt:i4>
      </vt:variant>
      <vt:variant>
        <vt:lpwstr>https://www.pbs.gov.au/industry/listing/elements/pbac-meetings/psd/2023-11/files/empagliflozin-psd-nov-2023.pdf</vt:lpwstr>
      </vt:variant>
      <vt:variant>
        <vt:lpwstr/>
      </vt:variant>
      <vt:variant>
        <vt:i4>5963853</vt:i4>
      </vt:variant>
      <vt:variant>
        <vt:i4>141</vt:i4>
      </vt:variant>
      <vt:variant>
        <vt:i4>0</vt:i4>
      </vt:variant>
      <vt:variant>
        <vt:i4>5</vt:i4>
      </vt:variant>
      <vt:variant>
        <vt:lpwstr>https://www.pbs.gov.au/industry/listing/elements/pbac-meetings/psd/2022-03/files/dapagliflozin-psd-march-2022.pdf</vt:lpwstr>
      </vt:variant>
      <vt:variant>
        <vt:lpwstr/>
      </vt:variant>
      <vt:variant>
        <vt:i4>3211367</vt:i4>
      </vt:variant>
      <vt:variant>
        <vt:i4>138</vt:i4>
      </vt:variant>
      <vt:variant>
        <vt:i4>0</vt:i4>
      </vt:variant>
      <vt:variant>
        <vt:i4>5</vt:i4>
      </vt:variant>
      <vt:variant>
        <vt:lpwstr>https://www.pbs.gov.au/industry/listing/elements/pbac-meetings/psd/2021-11/files/dapagliflozin-ckd-psd-nov-2021.pdf</vt:lpwstr>
      </vt:variant>
      <vt:variant>
        <vt:lpwstr/>
      </vt:variant>
      <vt:variant>
        <vt:i4>6291575</vt:i4>
      </vt:variant>
      <vt:variant>
        <vt:i4>135</vt:i4>
      </vt:variant>
      <vt:variant>
        <vt:i4>0</vt:i4>
      </vt:variant>
      <vt:variant>
        <vt:i4>5</vt:i4>
      </vt:variant>
      <vt:variant>
        <vt:lpwstr>https://www.pbs.gov.au/industry/listing/elements/pbac-meetings/psd/2023-03/files/finerenone-psd-03-2023.pdf</vt:lpwstr>
      </vt:variant>
      <vt:variant>
        <vt:lpwstr/>
      </vt:variant>
      <vt:variant>
        <vt:i4>5963841</vt:i4>
      </vt:variant>
      <vt:variant>
        <vt:i4>132</vt:i4>
      </vt:variant>
      <vt:variant>
        <vt:i4>0</vt:i4>
      </vt:variant>
      <vt:variant>
        <vt:i4>5</vt:i4>
      </vt:variant>
      <vt:variant>
        <vt:lpwstr>https://www.pbs.gov.au/industry/listing/elements/pbac-meetings/psd/2022-07/files/finerenone-psd-july-2022.pdf</vt:lpwstr>
      </vt:variant>
      <vt:variant>
        <vt:lpwstr/>
      </vt:variant>
      <vt:variant>
        <vt:i4>1507399</vt:i4>
      </vt:variant>
      <vt:variant>
        <vt:i4>21</vt:i4>
      </vt:variant>
      <vt:variant>
        <vt:i4>0</vt:i4>
      </vt:variant>
      <vt:variant>
        <vt:i4>5</vt:i4>
      </vt:variant>
      <vt:variant>
        <vt:lpwstr>http://www.servicesaustralia.gov.au/hpos</vt:lpwstr>
      </vt:variant>
      <vt:variant>
        <vt:lpwstr/>
      </vt:variant>
      <vt:variant>
        <vt:i4>1507399</vt:i4>
      </vt:variant>
      <vt:variant>
        <vt:i4>18</vt:i4>
      </vt:variant>
      <vt:variant>
        <vt:i4>0</vt:i4>
      </vt:variant>
      <vt:variant>
        <vt:i4>5</vt:i4>
      </vt:variant>
      <vt:variant>
        <vt:lpwstr>http://www.servicesaustralia.gov.au/hpos</vt:lpwstr>
      </vt:variant>
      <vt:variant>
        <vt:lpwstr/>
      </vt:variant>
      <vt:variant>
        <vt:i4>1310784</vt:i4>
      </vt:variant>
      <vt:variant>
        <vt:i4>15</vt:i4>
      </vt:variant>
      <vt:variant>
        <vt:i4>0</vt:i4>
      </vt:variant>
      <vt:variant>
        <vt:i4>5</vt:i4>
      </vt:variant>
      <vt:variant>
        <vt:lpwstr>http://www.servicesaustralia.gov.au/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2026-03-02T05:15:00Z</dcterms:created>
  <dcterms:modified xsi:type="dcterms:W3CDTF">2026-03-02T05:15:00Z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66d15650,163b9eda,32b0f34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60bf246b,2048c2d,4df4c6da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SiteId">
    <vt:lpwstr>34a3929c-73cf-4954-abfe-147dc3517892</vt:lpwstr>
  </property>
  <property fmtid="{D5CDD505-2E9C-101B-9397-08002B2CF9AE}" pid="9" name="MSIP_Label_7cd3e8b9-ffed-43a8-b7f4-cc2fa0382d36_Removed">
    <vt:lpwstr>False</vt:lpwstr>
  </property>
  <property fmtid="{D5CDD505-2E9C-101B-9397-08002B2CF9AE}" pid="10" name="MSIP_Label_0f488380-630a-4f55-a077-a19445e3f360_ActionId">
    <vt:lpwstr>99b48bc1-88b2-4ade-b3be-166f290009a0</vt:lpwstr>
  </property>
  <property fmtid="{D5CDD505-2E9C-101B-9397-08002B2CF9AE}" pid="11" name="MSIP_Label_7cd3e8b9-ffed-43a8-b7f4-cc2fa0382d36_Method">
    <vt:lpwstr>Privileged</vt:lpwstr>
  </property>
  <property fmtid="{D5CDD505-2E9C-101B-9397-08002B2CF9AE}" pid="12" name="MSIP_Label_7cd3e8b9-ffed-43a8-b7f4-cc2fa0382d36_Tag">
    <vt:lpwstr>10, 0, 1, 1</vt:lpwstr>
  </property>
  <property fmtid="{D5CDD505-2E9C-101B-9397-08002B2CF9AE}" pid="13" name="MSIP_Label_0f488380-630a-4f55-a077-a19445e3f360_ContentBits">
    <vt:lpwstr>0</vt:lpwstr>
  </property>
  <property fmtid="{D5CDD505-2E9C-101B-9397-08002B2CF9AE}" pid="14" name="MSIP_Label_7cd3e8b9-ffed-43a8-b7f4-cc2fa0382d36_ActionId">
    <vt:lpwstr>2b7363bd-7e06-4bd2-9543-802111587167</vt:lpwstr>
  </property>
  <property fmtid="{D5CDD505-2E9C-101B-9397-08002B2CF9AE}" pid="15" name="MediaServiceImageTags">
    <vt:lpwstr/>
  </property>
  <property fmtid="{D5CDD505-2E9C-101B-9397-08002B2CF9AE}" pid="16" name="MSIP_Label_0f488380-630a-4f55-a077-a19445e3f360_SiteId">
    <vt:lpwstr>b6e377cf-9db3-46cb-91a2-fad9605bb15c</vt:lpwstr>
  </property>
  <property fmtid="{D5CDD505-2E9C-101B-9397-08002B2CF9AE}" pid="17" name="ContentTypeId">
    <vt:lpwstr>0x0101007FED174C5281F747A8037A05221D6DBD</vt:lpwstr>
  </property>
  <property fmtid="{D5CDD505-2E9C-101B-9397-08002B2CF9AE}" pid="18" name="MSIP_Label_0f488380-630a-4f55-a077-a19445e3f360_Method">
    <vt:lpwstr>Standard</vt:lpwstr>
  </property>
  <property fmtid="{D5CDD505-2E9C-101B-9397-08002B2CF9AE}" pid="19" name="MSIP_Label_7cd3e8b9-ffed-43a8-b7f4-cc2fa0382d36_ContentBits">
    <vt:lpwstr>3</vt:lpwstr>
  </property>
  <property fmtid="{D5CDD505-2E9C-101B-9397-08002B2CF9AE}" pid="20" name="MSIP_Label_0f488380-630a-4f55-a077-a19445e3f360_Name">
    <vt:lpwstr>OFFICIAL - INTERNAL</vt:lpwstr>
  </property>
  <property fmtid="{D5CDD505-2E9C-101B-9397-08002B2CF9AE}" pid="21" name="MSIP_Label_0f488380-630a-4f55-a077-a19445e3f360_Tag">
    <vt:lpwstr>10, 3, 0, 1</vt:lpwstr>
  </property>
  <property fmtid="{D5CDD505-2E9C-101B-9397-08002B2CF9AE}" pid="22" name="docLang">
    <vt:lpwstr>en</vt:lpwstr>
  </property>
  <property fmtid="{D5CDD505-2E9C-101B-9397-08002B2CF9AE}" pid="23" name="MSIP_Label_7cd3e8b9-ffed-43a8-b7f4-cc2fa0382d36_Name">
    <vt:lpwstr>O</vt:lpwstr>
  </property>
  <property fmtid="{D5CDD505-2E9C-101B-9397-08002B2CF9AE}" pid="24" name="MSIP_Label_7cd3e8b9-ffed-43a8-b7f4-cc2fa0382d36_Extended_MSFT_Method">
    <vt:lpwstr>Standard</vt:lpwstr>
  </property>
  <property fmtid="{D5CDD505-2E9C-101B-9397-08002B2CF9AE}" pid="25" name="MSIP_Label_7cd3e8b9-ffed-43a8-b7f4-cc2fa0382d36_Enabled">
    <vt:lpwstr>true</vt:lpwstr>
  </property>
  <property fmtid="{D5CDD505-2E9C-101B-9397-08002B2CF9AE}" pid="26" name="MSIP_Label_7cd3e8b9-ffed-43a8-b7f4-cc2fa0382d36_SetDate">
    <vt:lpwstr>2026-02-19T04:00:59Z</vt:lpwstr>
  </property>
  <property fmtid="{D5CDD505-2E9C-101B-9397-08002B2CF9AE}" pid="27" name="MSIP_Label_0f488380-630a-4f55-a077-a19445e3f360_Enabled">
    <vt:lpwstr>true</vt:lpwstr>
  </property>
  <property fmtid="{D5CDD505-2E9C-101B-9397-08002B2CF9AE}" pid="28" name="MSIP_Label_0f488380-630a-4f55-a077-a19445e3f360_SetDate">
    <vt:lpwstr>2025-10-19T10:18:26Z</vt:lpwstr>
  </property>
</Properties>
</file>