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F5C0" w14:textId="77777777" w:rsidR="00237162" w:rsidRPr="0098262F" w:rsidRDefault="00237162" w:rsidP="00237162">
      <w:pPr>
        <w:pStyle w:val="1-MainHeading"/>
      </w:pPr>
      <w:bookmarkStart w:id="0" w:name="_Toc208997645"/>
      <w:r>
        <w:t>5</w:t>
      </w:r>
      <w:r w:rsidRPr="0098262F">
        <w:t>.</w:t>
      </w:r>
      <w:r>
        <w:t>06</w:t>
      </w:r>
      <w:r w:rsidRPr="0098262F">
        <w:tab/>
      </w:r>
      <w:r>
        <w:t>GLYCOPYRRONIUM</w:t>
      </w:r>
      <w:r w:rsidRPr="0098262F">
        <w:t>,</w:t>
      </w:r>
      <w:r w:rsidRPr="0098262F">
        <w:br/>
      </w:r>
      <w:r>
        <w:t>Cream containing glycopyrronium (as bromide) 8 mg per g (2.2 mg per actuation), 50 g</w:t>
      </w:r>
      <w:r>
        <w:cr/>
      </w:r>
      <w:r w:rsidRPr="00FE3B86">
        <w:t>Axhidrox</w:t>
      </w:r>
      <w:r w:rsidRPr="0098262F">
        <w:rPr>
          <w:vertAlign w:val="superscript"/>
        </w:rPr>
        <w:t>®</w:t>
      </w:r>
      <w:r w:rsidRPr="0098262F">
        <w:t>,</w:t>
      </w:r>
      <w:r w:rsidRPr="0098262F">
        <w:br/>
      </w:r>
      <w:r>
        <w:t>Actor Pharmaceuticals Pty Ltd</w:t>
      </w:r>
      <w:r w:rsidRPr="0098262F">
        <w:t xml:space="preserve">. </w:t>
      </w:r>
    </w:p>
    <w:p w14:paraId="11C00795" w14:textId="3DFB6D23" w:rsidR="00B50DB8" w:rsidRPr="0098262F" w:rsidRDefault="00B50DB8" w:rsidP="00784264">
      <w:pPr>
        <w:pStyle w:val="2-SectionHeading"/>
      </w:pPr>
      <w:bookmarkStart w:id="1" w:name="_Toc208997647"/>
      <w:bookmarkEnd w:id="0"/>
      <w:r w:rsidRPr="00784264">
        <w:t>Purpose</w:t>
      </w:r>
      <w:r w:rsidRPr="0098262F">
        <w:t xml:space="preserve"> of </w:t>
      </w:r>
      <w:r w:rsidR="00CD7193" w:rsidRPr="0098262F">
        <w:t>s</w:t>
      </w:r>
      <w:r w:rsidR="00BB3A45" w:rsidRPr="0098262F">
        <w:t>ubmission</w:t>
      </w:r>
      <w:bookmarkEnd w:id="1"/>
    </w:p>
    <w:p w14:paraId="19414AA1" w14:textId="288A749B" w:rsidR="002C2775" w:rsidRPr="0098262F" w:rsidRDefault="007170DA" w:rsidP="004D6DEB">
      <w:pPr>
        <w:pStyle w:val="3-BodyText"/>
      </w:pPr>
      <w:r w:rsidRPr="002721B7">
        <w:t>The</w:t>
      </w:r>
      <w:r w:rsidRPr="0098262F">
        <w:t xml:space="preserve"> </w:t>
      </w:r>
      <w:r w:rsidR="00F73E08" w:rsidRPr="0098262F">
        <w:t xml:space="preserve">Category </w:t>
      </w:r>
      <w:r w:rsidR="00656775">
        <w:t>2</w:t>
      </w:r>
      <w:r w:rsidR="00F73E08" w:rsidRPr="0098262F">
        <w:t xml:space="preserve"> </w:t>
      </w:r>
      <w:r w:rsidRPr="0098262F">
        <w:t xml:space="preserve">submission requested </w:t>
      </w:r>
      <w:r w:rsidR="008B1757" w:rsidRPr="0098262F">
        <w:t xml:space="preserve">Authority Required listing for </w:t>
      </w:r>
      <w:r w:rsidR="00656775">
        <w:t>glycopyrronium bromide cream</w:t>
      </w:r>
      <w:r w:rsidR="00A677E7">
        <w:t xml:space="preserve"> (GPB)</w:t>
      </w:r>
      <w:r w:rsidR="00656775">
        <w:t xml:space="preserve"> for </w:t>
      </w:r>
      <w:r w:rsidR="0050174E" w:rsidRPr="0098262F">
        <w:t xml:space="preserve">the </w:t>
      </w:r>
      <w:r w:rsidR="008B1757" w:rsidRPr="0098262F">
        <w:t xml:space="preserve">treatment of </w:t>
      </w:r>
      <w:r w:rsidR="00656775">
        <w:t xml:space="preserve">patients with severe primary axillary hyperhidrosis (PAHH). </w:t>
      </w:r>
    </w:p>
    <w:p w14:paraId="4E9FBCB5" w14:textId="07B2DE2C" w:rsidR="00C2778B" w:rsidRPr="00465EE4" w:rsidRDefault="005750C5" w:rsidP="002721B7">
      <w:pPr>
        <w:pStyle w:val="3-BodyText"/>
      </w:pPr>
      <w:r w:rsidRPr="00465EE4">
        <w:t>Listing was requested on the basis of a</w:t>
      </w:r>
      <w:r w:rsidR="00F635ED" w:rsidRPr="00465EE4">
        <w:t xml:space="preserve"> </w:t>
      </w:r>
      <w:r w:rsidR="00795CF8" w:rsidRPr="00465EE4">
        <w:t>comparison versus</w:t>
      </w:r>
      <w:r w:rsidR="00F635ED" w:rsidRPr="00465EE4">
        <w:t xml:space="preserve"> botulinum toxin type A purified neurotoxin complex (BTA) and administration costs.</w:t>
      </w:r>
      <w:r w:rsidRPr="00465EE4">
        <w:t xml:space="preserve"> </w:t>
      </w:r>
    </w:p>
    <w:p w14:paraId="3718DE61" w14:textId="6B12CA41" w:rsidR="008B1757" w:rsidRPr="0098262F" w:rsidRDefault="00696EF9" w:rsidP="004A6040">
      <w:pPr>
        <w:pStyle w:val="TableFigureHeading"/>
        <w:rPr>
          <w:rStyle w:val="CommentReference"/>
          <w:b/>
          <w:szCs w:val="24"/>
        </w:rPr>
      </w:pPr>
      <w:r w:rsidRPr="0098262F">
        <w:t xml:space="preserve">Table </w:t>
      </w:r>
      <w:r w:rsidR="007C24FD">
        <w:fldChar w:fldCharType="begin" w:fldLock="1"/>
      </w:r>
      <w:r w:rsidR="007C24FD">
        <w:instrText xml:space="preserve"> SEQ Table \* ARABIC </w:instrText>
      </w:r>
      <w:r w:rsidR="007C24FD">
        <w:fldChar w:fldCharType="separate"/>
      </w:r>
      <w:r w:rsidR="004D6DEB">
        <w:rPr>
          <w:noProof/>
        </w:rPr>
        <w:t>1</w:t>
      </w:r>
      <w:r w:rsidR="007C24FD">
        <w:rPr>
          <w:noProof/>
        </w:rPr>
        <w:fldChar w:fldCharType="end"/>
      </w:r>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315"/>
        <w:gridCol w:w="7702"/>
      </w:tblGrid>
      <w:tr w:rsidR="008B1757" w:rsidRPr="00006DD3" w14:paraId="569F5103" w14:textId="77777777" w:rsidTr="00006DD3">
        <w:trPr>
          <w:cantSplit/>
          <w:tblHeader/>
        </w:trPr>
        <w:tc>
          <w:tcPr>
            <w:tcW w:w="729" w:type="pct"/>
          </w:tcPr>
          <w:p w14:paraId="501803FB" w14:textId="77777777" w:rsidR="008B1757" w:rsidRPr="00006DD3" w:rsidRDefault="008B1757" w:rsidP="00914B95">
            <w:pPr>
              <w:pStyle w:val="Tabletext"/>
              <w:rPr>
                <w:b/>
                <w:bCs/>
              </w:rPr>
            </w:pPr>
            <w:r w:rsidRPr="00006DD3">
              <w:rPr>
                <w:b/>
                <w:bCs/>
              </w:rPr>
              <w:t>Component</w:t>
            </w:r>
          </w:p>
        </w:tc>
        <w:tc>
          <w:tcPr>
            <w:tcW w:w="4271" w:type="pct"/>
          </w:tcPr>
          <w:p w14:paraId="445D9EBB" w14:textId="77777777" w:rsidR="008B1757" w:rsidRPr="00006DD3" w:rsidRDefault="008B1757" w:rsidP="00914B95">
            <w:pPr>
              <w:pStyle w:val="Tabletext"/>
              <w:rPr>
                <w:b/>
                <w:bCs/>
              </w:rPr>
            </w:pPr>
            <w:r w:rsidRPr="00006DD3">
              <w:rPr>
                <w:b/>
                <w:bCs/>
              </w:rPr>
              <w:t>Description</w:t>
            </w:r>
          </w:p>
        </w:tc>
      </w:tr>
      <w:tr w:rsidR="008B1757" w:rsidRPr="00914B95" w14:paraId="2EB546E2" w14:textId="77777777" w:rsidTr="00006DD3">
        <w:trPr>
          <w:cantSplit/>
        </w:trPr>
        <w:tc>
          <w:tcPr>
            <w:tcW w:w="729" w:type="pct"/>
          </w:tcPr>
          <w:p w14:paraId="38F3BB34" w14:textId="77777777" w:rsidR="008B1757" w:rsidRPr="00914B95" w:rsidRDefault="008B1757" w:rsidP="00914B95">
            <w:pPr>
              <w:pStyle w:val="Tabletext"/>
            </w:pPr>
            <w:r w:rsidRPr="00914B95">
              <w:t>Population</w:t>
            </w:r>
          </w:p>
        </w:tc>
        <w:tc>
          <w:tcPr>
            <w:tcW w:w="4271" w:type="pct"/>
          </w:tcPr>
          <w:p w14:paraId="79618EEE" w14:textId="54D8304B" w:rsidR="00233C01" w:rsidRPr="00914B95" w:rsidRDefault="00656775" w:rsidP="00914B95">
            <w:pPr>
              <w:pStyle w:val="Tabletext"/>
            </w:pPr>
            <w:r w:rsidRPr="00914B95">
              <w:t>Patients aged 18 years and older</w:t>
            </w:r>
            <w:r w:rsidR="00800EAF">
              <w:t xml:space="preserve"> </w:t>
            </w:r>
            <w:r w:rsidRPr="00914B95">
              <w:t>with severe primary axillary hyperhidrosis (PAHH)</w:t>
            </w:r>
          </w:p>
        </w:tc>
      </w:tr>
      <w:tr w:rsidR="008B1757" w:rsidRPr="00914B95" w14:paraId="0CA523AF" w14:textId="77777777" w:rsidTr="00006DD3">
        <w:trPr>
          <w:cantSplit/>
        </w:trPr>
        <w:tc>
          <w:tcPr>
            <w:tcW w:w="729" w:type="pct"/>
          </w:tcPr>
          <w:p w14:paraId="7B6D20D8" w14:textId="77777777" w:rsidR="008B1757" w:rsidRPr="00914B95" w:rsidRDefault="008B1757" w:rsidP="00914B95">
            <w:pPr>
              <w:pStyle w:val="Tabletext"/>
            </w:pPr>
            <w:r w:rsidRPr="00914B95">
              <w:t>Intervention</w:t>
            </w:r>
          </w:p>
        </w:tc>
        <w:tc>
          <w:tcPr>
            <w:tcW w:w="4271" w:type="pct"/>
          </w:tcPr>
          <w:p w14:paraId="2491E905" w14:textId="2CAABBC2" w:rsidR="00233C01" w:rsidRPr="00914B95" w:rsidRDefault="00656775" w:rsidP="00914B95">
            <w:pPr>
              <w:pStyle w:val="Tabletext"/>
            </w:pPr>
            <w:r w:rsidRPr="00914B95">
              <w:t xml:space="preserve">Glycopyrronium [as bromide]) </w:t>
            </w:r>
            <w:r w:rsidR="00BA3737">
              <w:t>c</w:t>
            </w:r>
            <w:r w:rsidRPr="00914B95">
              <w:t>ream; two pump actuations applied to each axilla evenly, once a day, preferably in the evening, for 4 weeks. From the 5th week on, the frequency of application may be reduced to twice a week.</w:t>
            </w:r>
          </w:p>
        </w:tc>
      </w:tr>
      <w:tr w:rsidR="008B1757" w:rsidRPr="00914B95" w14:paraId="0F81EBE4" w14:textId="77777777" w:rsidTr="00006DD3">
        <w:trPr>
          <w:cantSplit/>
        </w:trPr>
        <w:tc>
          <w:tcPr>
            <w:tcW w:w="729" w:type="pct"/>
          </w:tcPr>
          <w:p w14:paraId="3656B343" w14:textId="77777777" w:rsidR="008B1757" w:rsidRPr="00914B95" w:rsidRDefault="008B1757" w:rsidP="00914B95">
            <w:pPr>
              <w:pStyle w:val="Tabletext"/>
            </w:pPr>
            <w:r w:rsidRPr="00914B95">
              <w:t>Comparator</w:t>
            </w:r>
          </w:p>
        </w:tc>
        <w:tc>
          <w:tcPr>
            <w:tcW w:w="4271" w:type="pct"/>
          </w:tcPr>
          <w:p w14:paraId="7F5BE607" w14:textId="0F15807D" w:rsidR="00656775" w:rsidRPr="00914B95" w:rsidRDefault="00656775" w:rsidP="00914B95">
            <w:pPr>
              <w:pStyle w:val="Tabletext"/>
            </w:pPr>
            <w:r w:rsidRPr="00914B95">
              <w:t>Primary comparator:</w:t>
            </w:r>
          </w:p>
          <w:p w14:paraId="03948492" w14:textId="20D777D8" w:rsidR="00656775" w:rsidRPr="00914B95" w:rsidRDefault="00656775" w:rsidP="00914B95">
            <w:pPr>
              <w:pStyle w:val="Tabletext"/>
            </w:pPr>
            <w:r w:rsidRPr="00914B95">
              <w:t xml:space="preserve">Botulinum toxin type A purified neurotoxin complex (Botox®); For each axilla, usually 50 U (2.0 mL) injected intradermally and evenly distributed in 10-15 sites approximately 1-2 cm apart within the hyperhidrotic area. </w:t>
            </w:r>
          </w:p>
          <w:p w14:paraId="73AE8969" w14:textId="46EEF2DB" w:rsidR="00656775" w:rsidRPr="00914B95" w:rsidRDefault="00656775" w:rsidP="00914B95">
            <w:pPr>
              <w:pStyle w:val="Tabletext"/>
            </w:pPr>
            <w:r w:rsidRPr="00914B95">
              <w:t>Secondary comparator:</w:t>
            </w:r>
          </w:p>
          <w:p w14:paraId="3727DE24" w14:textId="09DA8014" w:rsidR="00233C01" w:rsidRPr="00914B95" w:rsidRDefault="00656775" w:rsidP="00914B95">
            <w:pPr>
              <w:pStyle w:val="Tabletext"/>
            </w:pPr>
            <w:r w:rsidRPr="00914B95">
              <w:t>Placebo, representing ‘no treatment’</w:t>
            </w:r>
          </w:p>
        </w:tc>
      </w:tr>
      <w:tr w:rsidR="008B1757" w:rsidRPr="00914B95" w14:paraId="02F86F0D" w14:textId="77777777" w:rsidTr="00006DD3">
        <w:trPr>
          <w:cantSplit/>
        </w:trPr>
        <w:tc>
          <w:tcPr>
            <w:tcW w:w="729" w:type="pct"/>
          </w:tcPr>
          <w:p w14:paraId="06433105" w14:textId="77777777" w:rsidR="008B1757" w:rsidRPr="00914B95" w:rsidRDefault="008B1757" w:rsidP="00914B95">
            <w:pPr>
              <w:pStyle w:val="Tabletext"/>
            </w:pPr>
            <w:r w:rsidRPr="00914B95">
              <w:t>Outcomes</w:t>
            </w:r>
          </w:p>
        </w:tc>
        <w:tc>
          <w:tcPr>
            <w:tcW w:w="4271" w:type="pct"/>
          </w:tcPr>
          <w:p w14:paraId="0F577058" w14:textId="0EE9C0C5" w:rsidR="00656775" w:rsidRPr="00914B95" w:rsidRDefault="00656775" w:rsidP="00914B95">
            <w:pPr>
              <w:pStyle w:val="Tabletext"/>
            </w:pPr>
            <w:r w:rsidRPr="00914B95">
              <w:t xml:space="preserve">Efficacy: absolute change in sweat production assessed by gravimetric </w:t>
            </w:r>
            <w:r w:rsidR="004D52DE">
              <w:t>measurement</w:t>
            </w:r>
            <w:r w:rsidRPr="00914B95">
              <w:t xml:space="preserve"> (GM), % responder</w:t>
            </w:r>
            <w:r w:rsidR="004D52DE">
              <w:t>s</w:t>
            </w:r>
            <w:r w:rsidRPr="00914B95">
              <w:t xml:space="preserve"> (sweat reduction of ≥50%, ≥75%, and ≥90%) assessed by GM, Hyperhidrosis Disease Severity Scale (HDSS) response (≥ 2-point improvement), absolute change in HDSS</w:t>
            </w:r>
          </w:p>
          <w:p w14:paraId="287DA6B4" w14:textId="77777777" w:rsidR="00656775" w:rsidRPr="00914B95" w:rsidRDefault="00656775" w:rsidP="00914B95">
            <w:pPr>
              <w:pStyle w:val="Tabletext"/>
            </w:pPr>
            <w:r w:rsidRPr="00914B95">
              <w:t xml:space="preserve">QoL: </w:t>
            </w:r>
            <w:proofErr w:type="spellStart"/>
            <w:r w:rsidRPr="00914B95">
              <w:t>HidroQoL</w:t>
            </w:r>
            <w:proofErr w:type="spellEnd"/>
            <w:r w:rsidRPr="00914B95">
              <w:t>, DLQI</w:t>
            </w:r>
          </w:p>
          <w:p w14:paraId="5ABC4037" w14:textId="77710CD9" w:rsidR="00233C01" w:rsidRPr="00914B95" w:rsidRDefault="00656775" w:rsidP="00914B95">
            <w:pPr>
              <w:pStyle w:val="Tabletext"/>
            </w:pPr>
            <w:r w:rsidRPr="00914B95">
              <w:t>Safety: Adverse Events (AEs), including anticholinergic and injection-related AEs specific to mechanism of action and manner of administration</w:t>
            </w:r>
          </w:p>
        </w:tc>
      </w:tr>
      <w:tr w:rsidR="008B1757" w:rsidRPr="00914B95" w14:paraId="22223890" w14:textId="77777777" w:rsidTr="00006DD3">
        <w:trPr>
          <w:cantSplit/>
        </w:trPr>
        <w:tc>
          <w:tcPr>
            <w:tcW w:w="729" w:type="pct"/>
          </w:tcPr>
          <w:p w14:paraId="0FC8FCE0" w14:textId="77777777" w:rsidR="008B1757" w:rsidRPr="00914B95" w:rsidRDefault="008B1757" w:rsidP="00914B95">
            <w:pPr>
              <w:pStyle w:val="Tabletext"/>
            </w:pPr>
            <w:r w:rsidRPr="00914B95">
              <w:t>Clinical claim</w:t>
            </w:r>
          </w:p>
        </w:tc>
        <w:tc>
          <w:tcPr>
            <w:tcW w:w="4271" w:type="pct"/>
          </w:tcPr>
          <w:p w14:paraId="422BB2E9" w14:textId="26C30BF7" w:rsidR="00656775" w:rsidRPr="00914B95" w:rsidRDefault="00656775" w:rsidP="00914B95">
            <w:pPr>
              <w:pStyle w:val="Tabletext"/>
            </w:pPr>
            <w:r w:rsidRPr="00914B95">
              <w:t xml:space="preserve">Whilst significant transitivity issues make a clinical comparison challenging, based on the available evidence, for the treatment of patients with severe PAHH: </w:t>
            </w:r>
          </w:p>
          <w:p w14:paraId="217B6C8A" w14:textId="12E96BD2" w:rsidR="00656775" w:rsidRPr="00914B95" w:rsidRDefault="00656775" w:rsidP="00077318">
            <w:pPr>
              <w:pStyle w:val="Tabletext"/>
              <w:numPr>
                <w:ilvl w:val="0"/>
                <w:numId w:val="8"/>
              </w:numPr>
            </w:pPr>
            <w:r w:rsidRPr="00914B95">
              <w:t xml:space="preserve">compared with Botox, treatment with Axhidrox may </w:t>
            </w:r>
            <w:r w:rsidR="000D5ECF">
              <w:t xml:space="preserve">not </w:t>
            </w:r>
            <w:r w:rsidRPr="00914B95">
              <w:t xml:space="preserve">be non-inferior at 4 weeks in terms of effectiveness and is superior in terms of safety and patient </w:t>
            </w:r>
            <w:proofErr w:type="gramStart"/>
            <w:r w:rsidRPr="00914B95">
              <w:t>acceptability</w:t>
            </w:r>
            <w:r w:rsidR="004D52DE">
              <w:t>;</w:t>
            </w:r>
            <w:proofErr w:type="gramEnd"/>
          </w:p>
          <w:p w14:paraId="2C99C4DE" w14:textId="2FBE2202" w:rsidR="00233C01" w:rsidRPr="00914B95" w:rsidRDefault="00656775" w:rsidP="00077318">
            <w:pPr>
              <w:pStyle w:val="Tabletext"/>
              <w:numPr>
                <w:ilvl w:val="0"/>
                <w:numId w:val="8"/>
              </w:numPr>
            </w:pPr>
            <w:r w:rsidRPr="00914B95">
              <w:t>compared with placebo (no treatment), treatment with Axhidrox is superior in terms of effectiveness and non-inferior in terms of safety.</w:t>
            </w:r>
          </w:p>
        </w:tc>
      </w:tr>
    </w:tbl>
    <w:p w14:paraId="22CF7072" w14:textId="77777777" w:rsidR="00800EAF" w:rsidRDefault="008B1757" w:rsidP="004A6040">
      <w:pPr>
        <w:pStyle w:val="FooterTableFigure"/>
      </w:pPr>
      <w:r w:rsidRPr="0098262F">
        <w:t>Source: Table</w:t>
      </w:r>
      <w:r w:rsidR="00656775">
        <w:t xml:space="preserve"> 1.1, p18 of the submission.</w:t>
      </w:r>
    </w:p>
    <w:p w14:paraId="527CA7F0" w14:textId="53069E1B" w:rsidR="004E43B2" w:rsidRDefault="00656775" w:rsidP="004A6040">
      <w:pPr>
        <w:pStyle w:val="FooterTableFigure"/>
      </w:pPr>
      <w:r>
        <w:t>DL</w:t>
      </w:r>
      <w:r w:rsidR="004D52DE">
        <w:t>Q</w:t>
      </w:r>
      <w:r>
        <w:t xml:space="preserve">I= Dermatology Life Quality Index; </w:t>
      </w:r>
      <w:proofErr w:type="spellStart"/>
      <w:r w:rsidRPr="00656775">
        <w:t>HidroQoL</w:t>
      </w:r>
      <w:proofErr w:type="spellEnd"/>
      <w:r>
        <w:t xml:space="preserve">= Hyperhidrosis quality of life index. </w:t>
      </w:r>
    </w:p>
    <w:p w14:paraId="364C6FBF" w14:textId="4FFEAE72" w:rsidR="00656775" w:rsidRPr="00465EE4" w:rsidRDefault="00656775" w:rsidP="002721B7">
      <w:pPr>
        <w:pStyle w:val="3-BodyText"/>
      </w:pPr>
      <w:bookmarkStart w:id="2" w:name="_Ref211500254"/>
      <w:r>
        <w:t xml:space="preserve">The submission proposed that the target population was patients aged 18 and over, consistent with the current TGA application. However, the submission also presented data for patients aged 12-17 years, stating that the sponsor intended to apply to the </w:t>
      </w:r>
      <w:r w:rsidRPr="001331CE">
        <w:t xml:space="preserve">TGA for this population </w:t>
      </w:r>
      <w:proofErr w:type="gramStart"/>
      <w:r w:rsidRPr="001331CE">
        <w:t>in the</w:t>
      </w:r>
      <w:r w:rsidR="00CA6513">
        <w:t xml:space="preserve"> near</w:t>
      </w:r>
      <w:r w:rsidRPr="001331CE">
        <w:t xml:space="preserve"> future</w:t>
      </w:r>
      <w:proofErr w:type="gramEnd"/>
      <w:r w:rsidRPr="001331CE">
        <w:t xml:space="preserve">. </w:t>
      </w:r>
      <w:bookmarkEnd w:id="2"/>
    </w:p>
    <w:p w14:paraId="6B4AB6C2" w14:textId="7F01D731" w:rsidR="005C25FF" w:rsidRPr="0098262F" w:rsidRDefault="005C25FF" w:rsidP="004A6040">
      <w:pPr>
        <w:pStyle w:val="2-SectionHeading"/>
      </w:pPr>
      <w:bookmarkStart w:id="3" w:name="_Toc208997648"/>
      <w:r w:rsidRPr="0098262F">
        <w:lastRenderedPageBreak/>
        <w:t>Background</w:t>
      </w:r>
      <w:bookmarkEnd w:id="3"/>
    </w:p>
    <w:p w14:paraId="2C521D6D" w14:textId="78CF03EE" w:rsidR="005C25FF" w:rsidRPr="0098262F" w:rsidRDefault="005C25FF" w:rsidP="004A6040">
      <w:pPr>
        <w:pStyle w:val="4-SubsectionHeading"/>
      </w:pPr>
      <w:bookmarkStart w:id="4" w:name="_Toc22897638"/>
      <w:bookmarkStart w:id="5" w:name="_Toc208997649"/>
      <w:r w:rsidRPr="0098262F">
        <w:t>Registration status</w:t>
      </w:r>
      <w:bookmarkEnd w:id="4"/>
      <w:bookmarkEnd w:id="5"/>
    </w:p>
    <w:p w14:paraId="15BF71EB" w14:textId="643360C4" w:rsidR="00465EE4" w:rsidRPr="001331CE" w:rsidRDefault="00465EE4" w:rsidP="002721B7">
      <w:pPr>
        <w:pStyle w:val="3-BodyText"/>
      </w:pPr>
      <w:r w:rsidRPr="004835AA">
        <w:rPr>
          <w:b/>
          <w:bCs/>
        </w:rPr>
        <w:t xml:space="preserve">TGA </w:t>
      </w:r>
      <w:r w:rsidR="004835AA">
        <w:rPr>
          <w:b/>
          <w:bCs/>
        </w:rPr>
        <w:t>s</w:t>
      </w:r>
      <w:r w:rsidRPr="004835AA">
        <w:rPr>
          <w:b/>
          <w:bCs/>
        </w:rPr>
        <w:t>tatus at time of PBAC consideration:</w:t>
      </w:r>
      <w:r w:rsidRPr="006B20A3">
        <w:t xml:space="preserve"> </w:t>
      </w:r>
      <w:r>
        <w:t>The</w:t>
      </w:r>
      <w:r w:rsidRPr="001331CE">
        <w:t xml:space="preserve"> TGA approved the registration of GPB in the Australian Register of Therapeutic Goods (ARTG) on 9 September 2025. The approved indication is for the topical treatment of confirmed severe primary axillary hyperhidrosis in adults. The evaluation noted neither </w:t>
      </w:r>
      <w:r w:rsidR="00F83730">
        <w:t>‘</w:t>
      </w:r>
      <w:r w:rsidRPr="001331CE">
        <w:t>severe</w:t>
      </w:r>
      <w:r w:rsidR="00F83730">
        <w:t>’</w:t>
      </w:r>
      <w:r w:rsidRPr="001331CE">
        <w:t xml:space="preserve"> nor </w:t>
      </w:r>
      <w:r w:rsidR="00F83730">
        <w:t>‘</w:t>
      </w:r>
      <w:r w:rsidRPr="001331CE">
        <w:t>confirmed</w:t>
      </w:r>
      <w:r w:rsidR="00F83730">
        <w:t>’</w:t>
      </w:r>
      <w:r w:rsidRPr="001331CE">
        <w:t xml:space="preserve"> are defined. </w:t>
      </w:r>
    </w:p>
    <w:p w14:paraId="3CB935D4" w14:textId="1AEE9755" w:rsidR="00AA76DC" w:rsidRPr="001331CE" w:rsidRDefault="004F45C8" w:rsidP="002721B7">
      <w:pPr>
        <w:pStyle w:val="3-BodyText"/>
      </w:pPr>
      <w:r>
        <w:t xml:space="preserve">GPB was submitted to the TGA for evaluation as an over-the-counter product, with the submission </w:t>
      </w:r>
      <w:r w:rsidR="002C1DD2">
        <w:t xml:space="preserve">transferred by the TGA </w:t>
      </w:r>
      <w:r>
        <w:t>to prescription-only status when glycopyrronium was changed to Schedule 4.</w:t>
      </w:r>
      <w:r>
        <w:rPr>
          <w:rStyle w:val="FootnoteReference"/>
        </w:rPr>
        <w:footnoteReference w:id="1"/>
      </w:r>
      <w:bookmarkStart w:id="6" w:name="_Ref208996761"/>
      <w:r w:rsidR="00AA76DC" w:rsidRPr="00AA76DC">
        <w:t xml:space="preserve"> </w:t>
      </w:r>
      <w:r w:rsidR="00AA76DC" w:rsidRPr="001331CE">
        <w:t>Glycopyrronium was Prescription-only (Schedule 4) in preparations for injection and Pharmacist-only (Schedule 3) for all other preparations, noting that no preparations other than injectables were marketed in Australia. However, the TGA recommended that the scheduling of topical glycopyrronium preparations be changed to Schedule 4 only from 1 October 2024, when the TGA Delegate rejected an application to include glycopyrronium in Appendix H of the Poisons Standard to allow advertising of Pharmacist Only (Schedule 3) glycopyrronium preparations</w:t>
      </w:r>
      <w:r w:rsidR="00AA76DC" w:rsidRPr="001331CE">
        <w:rPr>
          <w:rStyle w:val="FootnoteReference"/>
        </w:rPr>
        <w:footnoteReference w:id="2"/>
      </w:r>
      <w:r w:rsidR="00AA76DC" w:rsidRPr="001331CE">
        <w:t>. The TGA Delegate noted that topical glycopyrronium preparations have never been available in Australia, and, therefore, there is a lack of experience and real-world data regarding topical glycopyrronium use in Australia. These elements are consistent with the factors for prescription medicines (Schedule 4, factor 8).</w:t>
      </w:r>
      <w:r w:rsidR="00AA76DC" w:rsidRPr="001331CE">
        <w:rPr>
          <w:rStyle w:val="FootnoteReference"/>
        </w:rPr>
        <w:footnoteReference w:id="3"/>
      </w:r>
      <w:bookmarkEnd w:id="6"/>
      <w:r w:rsidR="00AA76DC">
        <w:t xml:space="preserve"> </w:t>
      </w:r>
    </w:p>
    <w:p w14:paraId="202C7A5B" w14:textId="785CE07D" w:rsidR="00A35DA3" w:rsidRPr="001331CE" w:rsidRDefault="00656775" w:rsidP="002721B7">
      <w:pPr>
        <w:pStyle w:val="3-BodyText"/>
      </w:pPr>
      <w:r w:rsidRPr="001331CE">
        <w:t xml:space="preserve">The product </w:t>
      </w:r>
      <w:r w:rsidR="00E40DD2" w:rsidRPr="001331CE">
        <w:t>has been</w:t>
      </w:r>
      <w:r w:rsidRPr="001331CE">
        <w:t xml:space="preserve"> registered in </w:t>
      </w:r>
      <w:proofErr w:type="gramStart"/>
      <w:r w:rsidRPr="001331CE">
        <w:t>a number of</w:t>
      </w:r>
      <w:proofErr w:type="gramEnd"/>
      <w:r w:rsidRPr="001331CE">
        <w:t xml:space="preserve"> European countries through </w:t>
      </w:r>
      <w:r w:rsidR="00E40DD2" w:rsidRPr="001331CE">
        <w:t>the</w:t>
      </w:r>
      <w:r w:rsidRPr="001331CE">
        <w:t xml:space="preserve"> decentralised process </w:t>
      </w:r>
      <w:r w:rsidR="0043302F" w:rsidRPr="001331CE">
        <w:t>with Sweden as reference member state.</w:t>
      </w:r>
      <w:r w:rsidRPr="001331CE">
        <w:t xml:space="preserve"> Approval for use in adolescents is pending in most European countries.</w:t>
      </w:r>
      <w:r w:rsidR="00AB04F6">
        <w:t xml:space="preserve"> </w:t>
      </w:r>
    </w:p>
    <w:p w14:paraId="08A246BD" w14:textId="434769C9" w:rsidR="00A35DA3" w:rsidRPr="001331CE" w:rsidRDefault="0043302F" w:rsidP="002721B7">
      <w:pPr>
        <w:pStyle w:val="3-BodyText"/>
      </w:pPr>
      <w:r w:rsidRPr="001331CE">
        <w:t>Topical g</w:t>
      </w:r>
      <w:r w:rsidR="00A35DA3" w:rsidRPr="001331CE">
        <w:t xml:space="preserve">lycopyrronium </w:t>
      </w:r>
      <w:r w:rsidRPr="001331CE">
        <w:t xml:space="preserve">bromide is not available in the USA but glycopyrronium </w:t>
      </w:r>
      <w:proofErr w:type="spellStart"/>
      <w:r w:rsidR="00A35DA3" w:rsidRPr="001331CE">
        <w:t>tosylate</w:t>
      </w:r>
      <w:proofErr w:type="spellEnd"/>
      <w:r w:rsidR="00A35DA3" w:rsidRPr="001331CE">
        <w:t xml:space="preserve"> has been approved in the USA for topical treatment of PAHH since 2018. </w:t>
      </w:r>
    </w:p>
    <w:p w14:paraId="3E2A6EAB" w14:textId="469C8C0C" w:rsidR="005C25FF" w:rsidRPr="0098262F" w:rsidRDefault="005C25FF" w:rsidP="004E18E9">
      <w:pPr>
        <w:pStyle w:val="4-SubsectionHeading"/>
      </w:pPr>
      <w:bookmarkStart w:id="7" w:name="_Toc22897639"/>
      <w:bookmarkStart w:id="8" w:name="_Toc208997650"/>
      <w:r w:rsidRPr="0098262F">
        <w:t>Previous PBAC consideration</w:t>
      </w:r>
      <w:bookmarkEnd w:id="7"/>
      <w:bookmarkEnd w:id="8"/>
    </w:p>
    <w:p w14:paraId="2692E587" w14:textId="5BF819CF" w:rsidR="00EC18B1" w:rsidRDefault="001C1C52" w:rsidP="002721B7">
      <w:pPr>
        <w:pStyle w:val="3-BodyText"/>
      </w:pPr>
      <w:r w:rsidRPr="00656775">
        <w:t>The PBAC has not previously considered</w:t>
      </w:r>
      <w:r>
        <w:t xml:space="preserve"> an</w:t>
      </w:r>
      <w:r w:rsidRPr="00656775">
        <w:t xml:space="preserve"> application for glycopyrronium for PAHH.</w:t>
      </w:r>
      <w:r>
        <w:t xml:space="preserve"> </w:t>
      </w:r>
      <w:r w:rsidR="00656775" w:rsidRPr="00656775">
        <w:t xml:space="preserve">The </w:t>
      </w:r>
      <w:r>
        <w:t>most recent</w:t>
      </w:r>
      <w:r w:rsidR="00656775" w:rsidRPr="00656775">
        <w:t xml:space="preserve"> evaluation by the PBAC of a treatment for PAHH was the assessment of </w:t>
      </w:r>
      <w:r w:rsidR="002F1125">
        <w:t>BTA</w:t>
      </w:r>
      <w:r w:rsidR="002F1125" w:rsidRPr="00656775">
        <w:t xml:space="preserve"> </w:t>
      </w:r>
      <w:r w:rsidR="00656775" w:rsidRPr="00656775">
        <w:t xml:space="preserve">in 2009. </w:t>
      </w:r>
    </w:p>
    <w:p w14:paraId="27105E2F" w14:textId="0EB6B24D" w:rsidR="00ED4B04" w:rsidRPr="00656775" w:rsidRDefault="001C1C52" w:rsidP="002721B7">
      <w:pPr>
        <w:pStyle w:val="3-BodyText"/>
      </w:pPr>
      <w:r>
        <w:t>All other considerations of g</w:t>
      </w:r>
      <w:r w:rsidR="00E40DD2">
        <w:t>lycopyrronium</w:t>
      </w:r>
      <w:r>
        <w:t xml:space="preserve"> by the PBAC have involved inhaled preparations for the treatment of </w:t>
      </w:r>
      <w:r w:rsidR="00E40DD2">
        <w:t>chronic obstructive pulmonary disease</w:t>
      </w:r>
      <w:r w:rsidR="003F403F">
        <w:t xml:space="preserve">. </w:t>
      </w:r>
    </w:p>
    <w:p w14:paraId="76E4EF3C" w14:textId="13040F70" w:rsidR="00B60939" w:rsidRDefault="00B50DB8" w:rsidP="004E18E9">
      <w:pPr>
        <w:pStyle w:val="2-SectionHeading"/>
      </w:pPr>
      <w:bookmarkStart w:id="9" w:name="_Toc107902078"/>
      <w:bookmarkStart w:id="10" w:name="_Toc208997651"/>
      <w:bookmarkEnd w:id="9"/>
      <w:r w:rsidRPr="0098262F">
        <w:lastRenderedPageBreak/>
        <w:t>Requested listing</w:t>
      </w:r>
      <w:bookmarkEnd w:id="10"/>
    </w:p>
    <w:p w14:paraId="056D09F8" w14:textId="4FB6D465" w:rsidR="00515471" w:rsidRPr="00515471" w:rsidRDefault="00515471" w:rsidP="002721B7">
      <w:pPr>
        <w:pStyle w:val="3-BodyText"/>
      </w:pPr>
      <w:r w:rsidRPr="00515471">
        <w:t>Secretariat suggestions and additions proposed are shown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Requested Listing"/>
      </w:tblPr>
      <w:tblGrid>
        <w:gridCol w:w="705"/>
        <w:gridCol w:w="567"/>
        <w:gridCol w:w="2267"/>
        <w:gridCol w:w="1701"/>
        <w:gridCol w:w="851"/>
        <w:gridCol w:w="850"/>
        <w:gridCol w:w="992"/>
        <w:gridCol w:w="1084"/>
      </w:tblGrid>
      <w:tr w:rsidR="00046D64" w:rsidRPr="0098262F" w14:paraId="73E16E29" w14:textId="77777777" w:rsidTr="00002C42">
        <w:trPr>
          <w:cantSplit/>
          <w:trHeight w:val="20"/>
        </w:trPr>
        <w:tc>
          <w:tcPr>
            <w:tcW w:w="3539" w:type="dxa"/>
            <w:gridSpan w:val="3"/>
            <w:vAlign w:val="center"/>
          </w:tcPr>
          <w:p w14:paraId="4660296B" w14:textId="77777777" w:rsidR="00046D64" w:rsidRPr="0098262F" w:rsidRDefault="00046D64" w:rsidP="007A6D23">
            <w:pPr>
              <w:pStyle w:val="In-tableHeading"/>
            </w:pPr>
            <w:bookmarkStart w:id="11" w:name="_Hlk104809055"/>
            <w:r w:rsidRPr="0098262F">
              <w:t>MEDICINAL PRODUCT</w:t>
            </w:r>
          </w:p>
          <w:p w14:paraId="7221C2FD" w14:textId="77777777" w:rsidR="00046D64" w:rsidRPr="0098262F" w:rsidRDefault="00046D64" w:rsidP="007A6D23">
            <w:pPr>
              <w:pStyle w:val="In-tableHeading"/>
            </w:pPr>
            <w:r w:rsidRPr="0098262F">
              <w:t>medicinal product pack</w:t>
            </w:r>
          </w:p>
        </w:tc>
        <w:tc>
          <w:tcPr>
            <w:tcW w:w="1701" w:type="dxa"/>
            <w:vAlign w:val="center"/>
          </w:tcPr>
          <w:p w14:paraId="14424AF1" w14:textId="54369E4C" w:rsidR="00046D64" w:rsidRPr="0098262F" w:rsidRDefault="00C61A59" w:rsidP="007A6D23">
            <w:pPr>
              <w:pStyle w:val="In-tableHeading"/>
            </w:pPr>
            <w:r w:rsidRPr="0098262F">
              <w:rPr>
                <w:snapToGrid w:val="0"/>
              </w:rPr>
              <w:t xml:space="preserve">Dispensed Price for Max. Qty </w:t>
            </w:r>
          </w:p>
        </w:tc>
        <w:tc>
          <w:tcPr>
            <w:tcW w:w="851" w:type="dxa"/>
            <w:vAlign w:val="center"/>
          </w:tcPr>
          <w:p w14:paraId="4E41A9BC" w14:textId="0E3A90D0" w:rsidR="00046D64" w:rsidRPr="0098262F" w:rsidRDefault="00046D64" w:rsidP="000942F1">
            <w:pPr>
              <w:pStyle w:val="In-tableHeading"/>
              <w:jc w:val="center"/>
            </w:pPr>
            <w:r w:rsidRPr="0098262F">
              <w:t>Max. qty packs</w:t>
            </w:r>
          </w:p>
        </w:tc>
        <w:tc>
          <w:tcPr>
            <w:tcW w:w="850" w:type="dxa"/>
            <w:vAlign w:val="center"/>
          </w:tcPr>
          <w:p w14:paraId="48197540" w14:textId="77777777" w:rsidR="00046D64" w:rsidRPr="0098262F" w:rsidRDefault="00046D64" w:rsidP="000942F1">
            <w:pPr>
              <w:pStyle w:val="In-tableHeading"/>
              <w:jc w:val="center"/>
            </w:pPr>
            <w:r w:rsidRPr="0098262F">
              <w:t>Max. qty units</w:t>
            </w:r>
          </w:p>
        </w:tc>
        <w:tc>
          <w:tcPr>
            <w:tcW w:w="992" w:type="dxa"/>
            <w:vAlign w:val="center"/>
          </w:tcPr>
          <w:p w14:paraId="13B3FDEE" w14:textId="77777777" w:rsidR="00046D64" w:rsidRPr="0098262F" w:rsidRDefault="00046D64" w:rsidP="000942F1">
            <w:pPr>
              <w:pStyle w:val="In-tableHeading"/>
              <w:jc w:val="center"/>
            </w:pPr>
            <w:proofErr w:type="gramStart"/>
            <w:r w:rsidRPr="0098262F">
              <w:t>№.of</w:t>
            </w:r>
            <w:proofErr w:type="gramEnd"/>
          </w:p>
          <w:p w14:paraId="7B215997" w14:textId="77777777" w:rsidR="00046D64" w:rsidRPr="0098262F" w:rsidRDefault="00046D64" w:rsidP="000942F1">
            <w:pPr>
              <w:pStyle w:val="In-tableHeading"/>
              <w:jc w:val="center"/>
            </w:pPr>
            <w:proofErr w:type="spellStart"/>
            <w:r w:rsidRPr="0098262F">
              <w:t>Rpts</w:t>
            </w:r>
            <w:proofErr w:type="spellEnd"/>
          </w:p>
        </w:tc>
        <w:tc>
          <w:tcPr>
            <w:tcW w:w="1084" w:type="dxa"/>
            <w:vAlign w:val="center"/>
          </w:tcPr>
          <w:p w14:paraId="4976F6A8" w14:textId="77777777" w:rsidR="00046D64" w:rsidRPr="0098262F" w:rsidRDefault="00046D64" w:rsidP="007A6D23">
            <w:pPr>
              <w:pStyle w:val="In-tableHeading"/>
            </w:pPr>
            <w:r w:rsidRPr="0098262F">
              <w:t>Available brands</w:t>
            </w:r>
          </w:p>
        </w:tc>
      </w:tr>
      <w:tr w:rsidR="00046D64" w:rsidRPr="0098262F" w14:paraId="40C1AD8E" w14:textId="77777777" w:rsidTr="00A2021E">
        <w:trPr>
          <w:cantSplit/>
          <w:trHeight w:val="20"/>
        </w:trPr>
        <w:tc>
          <w:tcPr>
            <w:tcW w:w="9017" w:type="dxa"/>
            <w:gridSpan w:val="8"/>
            <w:vAlign w:val="center"/>
          </w:tcPr>
          <w:p w14:paraId="2A4C00A6" w14:textId="461C32FC" w:rsidR="00046D64" w:rsidRPr="0073255B" w:rsidRDefault="002B6BCA" w:rsidP="007A6D23">
            <w:pPr>
              <w:rPr>
                <w:rFonts w:ascii="Arial Narrow" w:hAnsi="Arial Narrow"/>
                <w:sz w:val="20"/>
                <w:szCs w:val="20"/>
              </w:rPr>
            </w:pPr>
            <w:r w:rsidRPr="0073255B">
              <w:rPr>
                <w:rFonts w:ascii="Arial Narrow" w:hAnsi="Arial Narrow"/>
                <w:smallCaps/>
                <w:sz w:val="20"/>
                <w:szCs w:val="20"/>
              </w:rPr>
              <w:t>Glycopyrronium</w:t>
            </w:r>
            <w:r w:rsidR="00A2021E" w:rsidRPr="0073255B">
              <w:rPr>
                <w:rFonts w:ascii="Arial Narrow" w:hAnsi="Arial Narrow"/>
                <w:sz w:val="20"/>
                <w:szCs w:val="20"/>
              </w:rPr>
              <w:t xml:space="preserve"> </w:t>
            </w:r>
            <w:r w:rsidRPr="00EE014D">
              <w:rPr>
                <w:rFonts w:ascii="Arial Narrow" w:hAnsi="Arial Narrow"/>
                <w:strike/>
                <w:sz w:val="20"/>
                <w:szCs w:val="20"/>
              </w:rPr>
              <w:t>(as bromide)</w:t>
            </w:r>
          </w:p>
        </w:tc>
      </w:tr>
      <w:tr w:rsidR="002C36E3" w:rsidRPr="0098262F" w14:paraId="1DC2CC67" w14:textId="77777777" w:rsidTr="00002C42">
        <w:trPr>
          <w:cantSplit/>
          <w:trHeight w:val="20"/>
        </w:trPr>
        <w:tc>
          <w:tcPr>
            <w:tcW w:w="3539" w:type="dxa"/>
            <w:gridSpan w:val="3"/>
            <w:vAlign w:val="center"/>
          </w:tcPr>
          <w:p w14:paraId="612C04D7" w14:textId="4FC80911" w:rsidR="002C36E3" w:rsidRPr="00914B95" w:rsidRDefault="002B6BCA" w:rsidP="00914B95">
            <w:pPr>
              <w:pStyle w:val="Tabletext"/>
            </w:pPr>
            <w:r w:rsidRPr="00914B95">
              <w:t>Glycopyrronium (</w:t>
            </w:r>
            <w:r w:rsidRPr="00EE014D">
              <w:rPr>
                <w:strike/>
              </w:rPr>
              <w:t>as</w:t>
            </w:r>
            <w:r w:rsidRPr="00914B95">
              <w:t xml:space="preserve"> bromide) cream,</w:t>
            </w:r>
            <w:r w:rsidR="002C36E3" w:rsidRPr="00914B95">
              <w:t xml:space="preserve"> </w:t>
            </w:r>
            <w:r w:rsidRPr="00914B95">
              <w:t>50 g</w:t>
            </w:r>
          </w:p>
        </w:tc>
        <w:tc>
          <w:tcPr>
            <w:tcW w:w="1701" w:type="dxa"/>
          </w:tcPr>
          <w:p w14:paraId="4532FCD3" w14:textId="77777777" w:rsidR="00EE014D" w:rsidRDefault="002C36E3" w:rsidP="00EE014D">
            <w:pPr>
              <w:pStyle w:val="Tabletext"/>
              <w:jc w:val="center"/>
            </w:pPr>
            <w:r w:rsidRPr="00B45A7B">
              <w:t>$</w:t>
            </w:r>
            <w:r w:rsidR="002B6BCA" w:rsidRPr="00B45A7B">
              <w:t xml:space="preserve">384.25 </w:t>
            </w:r>
          </w:p>
          <w:p w14:paraId="70C2874A" w14:textId="12D66024" w:rsidR="002C36E3" w:rsidRPr="00914B95" w:rsidRDefault="002C36E3" w:rsidP="00EE014D">
            <w:pPr>
              <w:pStyle w:val="Tabletext"/>
              <w:jc w:val="center"/>
            </w:pPr>
            <w:r w:rsidRPr="00914B95">
              <w:t>published price</w:t>
            </w:r>
          </w:p>
        </w:tc>
        <w:tc>
          <w:tcPr>
            <w:tcW w:w="851" w:type="dxa"/>
            <w:vAlign w:val="center"/>
          </w:tcPr>
          <w:p w14:paraId="71CD2441" w14:textId="1CF13D89" w:rsidR="002C36E3" w:rsidRPr="00914B95" w:rsidRDefault="002B6BCA" w:rsidP="00EE014D">
            <w:pPr>
              <w:pStyle w:val="Tabletext"/>
              <w:jc w:val="center"/>
            </w:pPr>
            <w:r w:rsidRPr="00914B95">
              <w:t>1</w:t>
            </w:r>
          </w:p>
        </w:tc>
        <w:tc>
          <w:tcPr>
            <w:tcW w:w="850" w:type="dxa"/>
            <w:vAlign w:val="center"/>
          </w:tcPr>
          <w:p w14:paraId="65F4D3E9" w14:textId="543A1E5C" w:rsidR="002C36E3" w:rsidRPr="00914B95" w:rsidRDefault="002B6BCA" w:rsidP="00EE014D">
            <w:pPr>
              <w:pStyle w:val="Tabletext"/>
              <w:jc w:val="center"/>
            </w:pPr>
            <w:r w:rsidRPr="00914B95">
              <w:t>1</w:t>
            </w:r>
          </w:p>
        </w:tc>
        <w:tc>
          <w:tcPr>
            <w:tcW w:w="992" w:type="dxa"/>
            <w:vAlign w:val="center"/>
          </w:tcPr>
          <w:p w14:paraId="7C728D0C" w14:textId="67CC2B45" w:rsidR="002C36E3" w:rsidRPr="00914B95" w:rsidRDefault="002B6BCA" w:rsidP="00EE014D">
            <w:pPr>
              <w:pStyle w:val="Tabletext"/>
              <w:jc w:val="center"/>
            </w:pPr>
            <w:r w:rsidRPr="00914B95">
              <w:t>2</w:t>
            </w:r>
          </w:p>
        </w:tc>
        <w:tc>
          <w:tcPr>
            <w:tcW w:w="1084" w:type="dxa"/>
            <w:vAlign w:val="center"/>
          </w:tcPr>
          <w:p w14:paraId="519A0BC8" w14:textId="7B9D0717" w:rsidR="002C36E3" w:rsidRPr="00914B95" w:rsidRDefault="002B6BCA" w:rsidP="00EE014D">
            <w:pPr>
              <w:pStyle w:val="Tabletext"/>
              <w:jc w:val="center"/>
            </w:pPr>
            <w:r w:rsidRPr="00914B95">
              <w:t>Axhidrox</w:t>
            </w:r>
          </w:p>
        </w:tc>
      </w:tr>
      <w:bookmarkEnd w:id="11"/>
      <w:tr w:rsidR="00EE014D" w:rsidRPr="001428E9" w14:paraId="3F58C352" w14:textId="77777777" w:rsidTr="00EE014D">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0DA99F81" w14:textId="77777777" w:rsidR="00EE014D" w:rsidRPr="001428E9" w:rsidRDefault="00EE014D">
            <w:pPr>
              <w:keepLines/>
              <w:rPr>
                <w:rFonts w:ascii="Arial Narrow" w:hAnsi="Arial Narrow"/>
                <w:b/>
                <w:sz w:val="20"/>
                <w:szCs w:val="20"/>
              </w:rPr>
            </w:pPr>
            <w:r w:rsidRPr="001428E9">
              <w:rPr>
                <w:rFonts w:ascii="Arial Narrow" w:hAnsi="Arial Narrow"/>
                <w:b/>
                <w:sz w:val="20"/>
                <w:szCs w:val="20"/>
              </w:rPr>
              <w:t>Restriction Summary [new]</w:t>
            </w:r>
            <w:r w:rsidRPr="001428E9">
              <w:rPr>
                <w:rFonts w:ascii="Arial Narrow" w:hAnsi="Arial Narrow"/>
                <w:b/>
                <w:color w:val="FF0000"/>
                <w:sz w:val="20"/>
                <w:szCs w:val="20"/>
              </w:rPr>
              <w:t xml:space="preserve"> </w:t>
            </w:r>
            <w:r w:rsidRPr="001428E9">
              <w:rPr>
                <w:rFonts w:ascii="Arial Narrow" w:hAnsi="Arial Narrow"/>
                <w:b/>
                <w:sz w:val="20"/>
                <w:szCs w:val="20"/>
              </w:rPr>
              <w:t>/ Treatment of Concept: [new]</w:t>
            </w:r>
          </w:p>
        </w:tc>
      </w:tr>
      <w:tr w:rsidR="00EE014D" w:rsidRPr="001428E9" w14:paraId="3D94A69B" w14:textId="77777777" w:rsidTr="00EE014D">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4B4A081D" w14:textId="77777777" w:rsidR="00EE014D" w:rsidRPr="001428E9" w:rsidRDefault="00EE014D">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262CE1" w14:textId="77777777" w:rsidR="00EE014D" w:rsidRPr="001428E9" w:rsidRDefault="00EE014D">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EE014D" w:rsidRPr="001428E9" w14:paraId="7582AD1A" w14:textId="77777777" w:rsidTr="00EE014D">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0AC84D52" w14:textId="77777777" w:rsidR="00EE014D" w:rsidRPr="001428E9" w:rsidRDefault="00EE014D">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14B016E" w14:textId="77777777" w:rsidR="00EE014D" w:rsidRPr="001428E9" w:rsidRDefault="00EE014D">
            <w:pPr>
              <w:keepLines/>
              <w:rPr>
                <w:rFonts w:ascii="Arial Narrow" w:hAnsi="Arial Narrow"/>
                <w:b/>
                <w:sz w:val="20"/>
                <w:szCs w:val="20"/>
              </w:rPr>
            </w:pPr>
            <w:r w:rsidRPr="001428E9">
              <w:rPr>
                <w:rFonts w:ascii="Arial Narrow" w:hAnsi="Arial Narrow"/>
                <w:b/>
                <w:sz w:val="20"/>
                <w:szCs w:val="20"/>
              </w:rPr>
              <w:t>Prescriber type:</w:t>
            </w:r>
            <w:r w:rsidRPr="001428E9">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EE014D" w:rsidRPr="001428E9" w14:paraId="3DBFD1F0" w14:textId="77777777" w:rsidTr="00EE014D">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3137BDF9" w14:textId="77777777" w:rsidR="00EE014D" w:rsidRPr="001428E9" w:rsidRDefault="00EE014D">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7FD94A" w14:textId="77777777" w:rsidR="00EE014D" w:rsidRPr="00E2081C" w:rsidRDefault="00EE014D">
            <w:pPr>
              <w:keepLines/>
              <w:rPr>
                <w:rFonts w:ascii="Arial Narrow" w:hAnsi="Arial Narrow"/>
                <w:b/>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(Streamlined) [new]</w:t>
            </w:r>
            <w:r>
              <w:rPr>
                <w:rFonts w:ascii="Arial Narrow" w:eastAsia="Calibri" w:hAnsi="Arial Narrow"/>
                <w:color w:val="FF0000"/>
                <w:sz w:val="20"/>
                <w:szCs w:val="20"/>
              </w:rPr>
              <w:t xml:space="preserve"> </w:t>
            </w:r>
          </w:p>
        </w:tc>
      </w:tr>
      <w:tr w:rsidR="00EE014D" w:rsidRPr="001428E9" w14:paraId="567B61E2" w14:textId="77777777" w:rsidTr="00EE014D">
        <w:tblPrEx>
          <w:tblCellMar>
            <w:top w:w="15" w:type="dxa"/>
            <w:bottom w:w="15" w:type="dxa"/>
          </w:tblCellMar>
          <w:tblLook w:val="04A0" w:firstRow="1" w:lastRow="0" w:firstColumn="1" w:lastColumn="0" w:noHBand="0" w:noVBand="1"/>
        </w:tblPrEx>
        <w:trPr>
          <w:trHeight w:val="1084"/>
        </w:trPr>
        <w:tc>
          <w:tcPr>
            <w:tcW w:w="705" w:type="dxa"/>
            <w:tcBorders>
              <w:left w:val="single" w:sz="4" w:space="0" w:color="auto"/>
              <w:right w:val="single" w:sz="4" w:space="0" w:color="auto"/>
            </w:tcBorders>
            <w:textDirection w:val="btLr"/>
            <w:vAlign w:val="center"/>
          </w:tcPr>
          <w:p w14:paraId="02E5A6CE" w14:textId="77777777" w:rsidR="00EE014D" w:rsidRPr="001428E9" w:rsidRDefault="00EE014D">
            <w:pPr>
              <w:jc w:val="center"/>
              <w:rPr>
                <w:rFonts w:ascii="Arial Narrow" w:hAnsi="Arial Narrow"/>
                <w:sz w:val="20"/>
                <w:szCs w:val="20"/>
              </w:rPr>
            </w:pPr>
            <w:r w:rsidRPr="001428E9">
              <w:rPr>
                <w:rFonts w:ascii="Arial Narrow" w:hAnsi="Arial Narrow"/>
                <w:sz w:val="20"/>
                <w:szCs w:val="20"/>
              </w:rPr>
              <w:t>Prescribing rule level</w:t>
            </w:r>
          </w:p>
        </w:tc>
        <w:tc>
          <w:tcPr>
            <w:tcW w:w="567" w:type="dxa"/>
            <w:vAlign w:val="center"/>
          </w:tcPr>
          <w:p w14:paraId="3F3CCC4E" w14:textId="1C7520FE" w:rsidR="00EE014D" w:rsidRPr="00583226" w:rsidRDefault="00EE014D">
            <w:pPr>
              <w:jc w:val="center"/>
              <w:rPr>
                <w:rFonts w:ascii="Arial Narrow" w:hAnsi="Arial Narrow"/>
                <w:i/>
                <w:iCs/>
                <w:color w:val="333333"/>
                <w:sz w:val="20"/>
                <w:szCs w:val="20"/>
              </w:rPr>
            </w:pPr>
          </w:p>
        </w:tc>
        <w:tc>
          <w:tcPr>
            <w:tcW w:w="7745" w:type="dxa"/>
            <w:gridSpan w:val="6"/>
            <w:vAlign w:val="center"/>
          </w:tcPr>
          <w:p w14:paraId="1A76B145" w14:textId="77777777" w:rsidR="00EE014D" w:rsidRPr="00300C74" w:rsidRDefault="00EE014D">
            <w:pPr>
              <w:rPr>
                <w:rFonts w:ascii="Arial Narrow" w:hAnsi="Arial Narrow"/>
                <w:b/>
                <w:bCs/>
                <w:color w:val="333333"/>
                <w:sz w:val="20"/>
                <w:szCs w:val="20"/>
              </w:rPr>
            </w:pPr>
            <w:r w:rsidRPr="0005533D">
              <w:rPr>
                <w:rFonts w:ascii="Arial Narrow" w:hAnsi="Arial Narrow"/>
                <w:b/>
                <w:bCs/>
                <w:i/>
                <w:iCs/>
                <w:sz w:val="20"/>
                <w:szCs w:val="20"/>
                <w:bdr w:val="none" w:sz="0" w:space="0" w:color="auto" w:frame="1"/>
              </w:rPr>
              <w:t>Caution:</w:t>
            </w:r>
            <w:r>
              <w:rPr>
                <w:rFonts w:ascii="Arial Narrow" w:hAnsi="Arial Narrow"/>
                <w:i/>
                <w:iCs/>
                <w:sz w:val="20"/>
                <w:szCs w:val="20"/>
                <w:bdr w:val="none" w:sz="0" w:space="0" w:color="auto" w:frame="1"/>
              </w:rPr>
              <w:t xml:space="preserve"> T</w:t>
            </w:r>
            <w:r w:rsidRPr="0005533D">
              <w:rPr>
                <w:rFonts w:ascii="Arial Narrow" w:hAnsi="Arial Narrow"/>
                <w:i/>
                <w:iCs/>
                <w:sz w:val="20"/>
                <w:szCs w:val="20"/>
                <w:bdr w:val="none" w:sz="0" w:space="0" w:color="auto" w:frame="1"/>
              </w:rPr>
              <w:t>he anticholinergic effect of this medicine may exacerbate pre-existing medical conditions</w:t>
            </w:r>
            <w:r>
              <w:rPr>
                <w:rFonts w:ascii="Arial Narrow" w:hAnsi="Arial Narrow"/>
                <w:i/>
                <w:iCs/>
                <w:sz w:val="20"/>
                <w:szCs w:val="20"/>
                <w:bdr w:val="none" w:sz="0" w:space="0" w:color="auto" w:frame="1"/>
              </w:rPr>
              <w:t xml:space="preserve"> including but not limited to </w:t>
            </w:r>
            <w:r w:rsidRPr="000C6BCE">
              <w:rPr>
                <w:rFonts w:ascii="Arial Narrow" w:hAnsi="Arial Narrow"/>
                <w:i/>
                <w:iCs/>
                <w:sz w:val="20"/>
                <w:szCs w:val="20"/>
                <w:bdr w:val="none" w:sz="0" w:space="0" w:color="auto" w:frame="1"/>
                <w:lang w:bidi="en-US"/>
              </w:rPr>
              <w:t>cardiac arrhythmias</w:t>
            </w:r>
          </w:p>
        </w:tc>
      </w:tr>
      <w:tr w:rsidR="00EE014D" w:rsidRPr="001428E9" w14:paraId="55AEC54C"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Merge w:val="restart"/>
            <w:vAlign w:val="center"/>
          </w:tcPr>
          <w:p w14:paraId="5666EF52" w14:textId="77777777" w:rsidR="00EE014D" w:rsidRPr="001428E9" w:rsidRDefault="00EE014D">
            <w:pPr>
              <w:keepLines/>
              <w:jc w:val="center"/>
              <w:rPr>
                <w:rFonts w:ascii="Arial Narrow" w:hAnsi="Arial Narrow"/>
                <w:color w:val="333333"/>
                <w:sz w:val="20"/>
                <w:szCs w:val="20"/>
              </w:rPr>
            </w:pPr>
          </w:p>
        </w:tc>
        <w:tc>
          <w:tcPr>
            <w:tcW w:w="7745" w:type="dxa"/>
            <w:gridSpan w:val="6"/>
            <w:vAlign w:val="center"/>
          </w:tcPr>
          <w:p w14:paraId="45F7FCEC" w14:textId="77777777" w:rsidR="00EE014D" w:rsidRPr="007B46E0" w:rsidRDefault="00EE014D">
            <w:pPr>
              <w:keepLines/>
              <w:rPr>
                <w:rFonts w:ascii="Arial Narrow" w:hAnsi="Arial Narrow"/>
                <w:bCs/>
                <w:sz w:val="20"/>
                <w:szCs w:val="20"/>
              </w:rPr>
            </w:pPr>
            <w:proofErr w:type="spellStart"/>
            <w:r w:rsidRPr="007B46E0">
              <w:rPr>
                <w:rFonts w:ascii="Arial Narrow" w:hAnsi="Arial Narrow"/>
                <w:b/>
                <w:bCs/>
                <w:sz w:val="20"/>
                <w:szCs w:val="20"/>
              </w:rPr>
              <w:t>Episodicity</w:t>
            </w:r>
            <w:proofErr w:type="spellEnd"/>
            <w:r w:rsidRPr="007B46E0">
              <w:rPr>
                <w:rFonts w:ascii="Arial Narrow" w:hAnsi="Arial Narrow"/>
                <w:b/>
                <w:bCs/>
                <w:sz w:val="20"/>
                <w:szCs w:val="20"/>
              </w:rPr>
              <w:t>:</w:t>
            </w:r>
            <w:r w:rsidRPr="007B46E0">
              <w:rPr>
                <w:rFonts w:ascii="Arial Narrow" w:hAnsi="Arial Narrow"/>
                <w:bCs/>
                <w:sz w:val="20"/>
                <w:szCs w:val="20"/>
              </w:rPr>
              <w:t xml:space="preserve"> [blank] </w:t>
            </w:r>
          </w:p>
        </w:tc>
      </w:tr>
      <w:tr w:rsidR="00EE014D" w:rsidRPr="001428E9" w14:paraId="6D661A22"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Merge/>
            <w:vAlign w:val="center"/>
          </w:tcPr>
          <w:p w14:paraId="2CD3CD1A" w14:textId="77777777" w:rsidR="00EE014D" w:rsidRPr="001428E9" w:rsidRDefault="00EE014D">
            <w:pPr>
              <w:keepLines/>
              <w:jc w:val="center"/>
              <w:rPr>
                <w:rFonts w:ascii="Arial Narrow" w:hAnsi="Arial Narrow"/>
                <w:color w:val="333333"/>
                <w:sz w:val="20"/>
                <w:szCs w:val="20"/>
              </w:rPr>
            </w:pPr>
          </w:p>
        </w:tc>
        <w:tc>
          <w:tcPr>
            <w:tcW w:w="7745" w:type="dxa"/>
            <w:gridSpan w:val="6"/>
            <w:vAlign w:val="center"/>
          </w:tcPr>
          <w:p w14:paraId="547025C7" w14:textId="77777777" w:rsidR="00EE014D" w:rsidRPr="007B46E0" w:rsidRDefault="00EE014D">
            <w:pPr>
              <w:keepLines/>
              <w:rPr>
                <w:rFonts w:ascii="Arial Narrow" w:hAnsi="Arial Narrow"/>
                <w:b/>
                <w:bCs/>
                <w:sz w:val="20"/>
                <w:szCs w:val="20"/>
              </w:rPr>
            </w:pPr>
            <w:r w:rsidRPr="007B46E0">
              <w:rPr>
                <w:rFonts w:ascii="Arial Narrow" w:hAnsi="Arial Narrow"/>
                <w:b/>
                <w:bCs/>
                <w:sz w:val="20"/>
                <w:szCs w:val="20"/>
              </w:rPr>
              <w:t xml:space="preserve">Severity: </w:t>
            </w:r>
            <w:r w:rsidRPr="007B46E0">
              <w:rPr>
                <w:rFonts w:ascii="Arial Narrow" w:hAnsi="Arial Narrow"/>
                <w:bCs/>
                <w:sz w:val="20"/>
                <w:szCs w:val="20"/>
              </w:rPr>
              <w:t>Severe</w:t>
            </w:r>
          </w:p>
        </w:tc>
      </w:tr>
      <w:tr w:rsidR="00EE014D" w:rsidRPr="001428E9" w14:paraId="570D94E5"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Merge/>
            <w:vAlign w:val="center"/>
          </w:tcPr>
          <w:p w14:paraId="01057833" w14:textId="77777777" w:rsidR="00EE014D" w:rsidRPr="001428E9" w:rsidRDefault="00EE014D">
            <w:pPr>
              <w:keepLines/>
              <w:jc w:val="center"/>
              <w:rPr>
                <w:rFonts w:ascii="Arial Narrow" w:hAnsi="Arial Narrow"/>
                <w:color w:val="333333"/>
                <w:sz w:val="20"/>
                <w:szCs w:val="20"/>
              </w:rPr>
            </w:pPr>
          </w:p>
        </w:tc>
        <w:tc>
          <w:tcPr>
            <w:tcW w:w="7745" w:type="dxa"/>
            <w:gridSpan w:val="6"/>
            <w:vAlign w:val="center"/>
          </w:tcPr>
          <w:p w14:paraId="49E0FB18" w14:textId="77777777" w:rsidR="00EE014D" w:rsidRPr="001428E9" w:rsidRDefault="00EE014D">
            <w:pPr>
              <w:keepLines/>
              <w:rPr>
                <w:rFonts w:ascii="Arial Narrow" w:hAnsi="Arial Narrow"/>
                <w:b/>
                <w:bCs/>
                <w:color w:val="333333"/>
                <w:sz w:val="20"/>
                <w:szCs w:val="20"/>
              </w:rPr>
            </w:pPr>
            <w:r w:rsidRPr="001428E9">
              <w:rPr>
                <w:rFonts w:ascii="Arial Narrow" w:hAnsi="Arial Narrow"/>
                <w:b/>
                <w:bCs/>
                <w:color w:val="333333"/>
                <w:sz w:val="20"/>
                <w:szCs w:val="20"/>
              </w:rPr>
              <w:t xml:space="preserve">Condition: </w:t>
            </w:r>
            <w:r w:rsidRPr="00E2081C">
              <w:rPr>
                <w:rFonts w:ascii="Arial Narrow" w:hAnsi="Arial Narrow"/>
                <w:color w:val="333333"/>
                <w:sz w:val="20"/>
                <w:szCs w:val="20"/>
              </w:rPr>
              <w:t>Primary axillary hyperhidrosis</w:t>
            </w:r>
          </w:p>
        </w:tc>
      </w:tr>
      <w:tr w:rsidR="00EE014D" w:rsidRPr="001428E9" w14:paraId="473A7266"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3F15FDF1" w14:textId="547F74E8" w:rsidR="00EE014D" w:rsidRPr="00805E27" w:rsidRDefault="00EE014D">
            <w:pPr>
              <w:keepLines/>
              <w:jc w:val="center"/>
              <w:rPr>
                <w:rFonts w:ascii="Arial Narrow" w:hAnsi="Arial Narrow"/>
                <w:color w:val="333333"/>
                <w:sz w:val="20"/>
                <w:szCs w:val="20"/>
              </w:rPr>
            </w:pPr>
          </w:p>
        </w:tc>
        <w:tc>
          <w:tcPr>
            <w:tcW w:w="7745" w:type="dxa"/>
            <w:gridSpan w:val="6"/>
            <w:vAlign w:val="center"/>
            <w:hideMark/>
          </w:tcPr>
          <w:p w14:paraId="49BBDDD8" w14:textId="77777777" w:rsidR="00EE014D" w:rsidRPr="001428E9" w:rsidRDefault="00EE014D">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E2081C">
              <w:rPr>
                <w:rFonts w:ascii="Arial Narrow" w:hAnsi="Arial Narrow"/>
                <w:color w:val="333333"/>
                <w:sz w:val="20"/>
                <w:szCs w:val="20"/>
              </w:rPr>
              <w:t>Severe primary axillary hyperhidrosis</w:t>
            </w:r>
          </w:p>
        </w:tc>
      </w:tr>
      <w:tr w:rsidR="00EE014D" w:rsidRPr="001428E9" w14:paraId="272221CB"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tcPr>
          <w:p w14:paraId="28437F1C" w14:textId="5D314BB2" w:rsidR="00EE014D" w:rsidRPr="00805E27" w:rsidRDefault="00EE014D">
            <w:pPr>
              <w:jc w:val="center"/>
              <w:rPr>
                <w:rFonts w:ascii="Arial Narrow" w:hAnsi="Arial Narrow"/>
                <w:color w:val="333333"/>
                <w:sz w:val="20"/>
                <w:szCs w:val="20"/>
              </w:rPr>
            </w:pPr>
          </w:p>
        </w:tc>
        <w:tc>
          <w:tcPr>
            <w:tcW w:w="7745" w:type="dxa"/>
            <w:gridSpan w:val="6"/>
            <w:hideMark/>
          </w:tcPr>
          <w:p w14:paraId="407016A9" w14:textId="77777777" w:rsidR="00EE014D" w:rsidRPr="007B46E0" w:rsidRDefault="00EE014D">
            <w:pPr>
              <w:rPr>
                <w:rFonts w:ascii="Arial Narrow" w:hAnsi="Arial Narrow"/>
                <w:color w:val="FF0000"/>
                <w:sz w:val="20"/>
                <w:szCs w:val="20"/>
              </w:rPr>
            </w:pPr>
            <w:r w:rsidRPr="007B46E0">
              <w:rPr>
                <w:rFonts w:ascii="Arial Narrow" w:hAnsi="Arial Narrow"/>
                <w:b/>
                <w:bCs/>
                <w:sz w:val="20"/>
                <w:szCs w:val="20"/>
                <w:bdr w:val="none" w:sz="0" w:space="0" w:color="auto" w:frame="1"/>
              </w:rPr>
              <w:t>Clinical criteria:</w:t>
            </w:r>
          </w:p>
        </w:tc>
      </w:tr>
      <w:tr w:rsidR="00EE014D" w:rsidRPr="001428E9" w14:paraId="1E837A3A"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tcPr>
          <w:p w14:paraId="63773EC3" w14:textId="6390EEFD" w:rsidR="00EE014D" w:rsidRPr="00805E27" w:rsidRDefault="00EE014D">
            <w:pPr>
              <w:jc w:val="center"/>
              <w:rPr>
                <w:rFonts w:ascii="Arial Narrow" w:hAnsi="Arial Narrow"/>
                <w:color w:val="333333"/>
                <w:sz w:val="20"/>
                <w:szCs w:val="20"/>
              </w:rPr>
            </w:pPr>
          </w:p>
        </w:tc>
        <w:tc>
          <w:tcPr>
            <w:tcW w:w="7745" w:type="dxa"/>
            <w:gridSpan w:val="6"/>
            <w:hideMark/>
          </w:tcPr>
          <w:p w14:paraId="70AFACC2" w14:textId="77777777" w:rsidR="00EE014D" w:rsidRPr="007B46E0" w:rsidRDefault="00EE014D">
            <w:pPr>
              <w:pStyle w:val="TableCentre"/>
              <w:jc w:val="left"/>
              <w:rPr>
                <w:rFonts w:ascii="Arial Narrow" w:hAnsi="Arial Narrow"/>
                <w:sz w:val="20"/>
                <w:szCs w:val="20"/>
                <w:bdr w:val="none" w:sz="0" w:space="0" w:color="auto" w:frame="1"/>
              </w:rPr>
            </w:pPr>
            <w:r w:rsidRPr="007B46E0">
              <w:rPr>
                <w:rFonts w:ascii="Arial Narrow" w:hAnsi="Arial Narrow"/>
                <w:sz w:val="20"/>
                <w:szCs w:val="20"/>
                <w:bdr w:val="none" w:sz="0" w:space="0" w:color="auto" w:frame="1"/>
              </w:rPr>
              <w:t>Patient must have previously failed topical aluminium chloride after one to two months of treatment; OR</w:t>
            </w:r>
          </w:p>
        </w:tc>
      </w:tr>
      <w:tr w:rsidR="00EE014D" w:rsidRPr="001428E9" w14:paraId="4FCC416D"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tcPr>
          <w:p w14:paraId="34F4BE57" w14:textId="4A2D5D0B" w:rsidR="00EE014D" w:rsidRPr="00805E27" w:rsidRDefault="00EE014D">
            <w:pPr>
              <w:jc w:val="center"/>
              <w:rPr>
                <w:rFonts w:ascii="Arial Narrow" w:hAnsi="Arial Narrow"/>
                <w:color w:val="333333"/>
                <w:sz w:val="20"/>
                <w:szCs w:val="20"/>
              </w:rPr>
            </w:pPr>
          </w:p>
        </w:tc>
        <w:tc>
          <w:tcPr>
            <w:tcW w:w="7745" w:type="dxa"/>
            <w:gridSpan w:val="6"/>
          </w:tcPr>
          <w:p w14:paraId="2C36DD15" w14:textId="77777777" w:rsidR="00EE014D" w:rsidRPr="007B46E0" w:rsidRDefault="00EE014D">
            <w:pPr>
              <w:pStyle w:val="TableCentre"/>
              <w:jc w:val="left"/>
              <w:rPr>
                <w:rFonts w:ascii="Arial Narrow" w:hAnsi="Arial Narrow"/>
                <w:b/>
                <w:bCs/>
                <w:sz w:val="20"/>
                <w:szCs w:val="20"/>
                <w:bdr w:val="none" w:sz="0" w:space="0" w:color="auto" w:frame="1"/>
              </w:rPr>
            </w:pPr>
            <w:r w:rsidRPr="007B46E0">
              <w:rPr>
                <w:rFonts w:ascii="Arial Narrow" w:hAnsi="Arial Narrow"/>
                <w:sz w:val="20"/>
                <w:szCs w:val="20"/>
                <w:bdr w:val="none" w:sz="0" w:space="0" w:color="auto" w:frame="1"/>
              </w:rPr>
              <w:t>Patient must be intolerant to topical aluminium chloride treatment.</w:t>
            </w:r>
          </w:p>
        </w:tc>
      </w:tr>
      <w:tr w:rsidR="00EE014D" w:rsidRPr="001428E9" w14:paraId="22AAF2E3"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9F6C16C" w14:textId="77777777" w:rsidR="00EE014D" w:rsidRPr="001428E9" w:rsidRDefault="00EE014D">
            <w:pPr>
              <w:jc w:val="center"/>
              <w:rPr>
                <w:rFonts w:ascii="Arial Narrow" w:hAnsi="Arial Narrow"/>
                <w:color w:val="333333"/>
                <w:sz w:val="20"/>
                <w:szCs w:val="20"/>
              </w:rPr>
            </w:pPr>
          </w:p>
        </w:tc>
        <w:tc>
          <w:tcPr>
            <w:tcW w:w="7745" w:type="dxa"/>
            <w:gridSpan w:val="6"/>
            <w:hideMark/>
          </w:tcPr>
          <w:p w14:paraId="3A67295F" w14:textId="77777777" w:rsidR="00EE014D" w:rsidRPr="007B46E0" w:rsidRDefault="00EE014D">
            <w:pPr>
              <w:rPr>
                <w:rFonts w:ascii="Arial Narrow" w:hAnsi="Arial Narrow"/>
                <w:b/>
                <w:bCs/>
                <w:color w:val="333333"/>
                <w:sz w:val="20"/>
                <w:szCs w:val="20"/>
              </w:rPr>
            </w:pPr>
            <w:r w:rsidRPr="007B46E0">
              <w:rPr>
                <w:rFonts w:ascii="Arial Narrow" w:hAnsi="Arial Narrow"/>
                <w:b/>
                <w:bCs/>
                <w:sz w:val="20"/>
                <w:szCs w:val="20"/>
                <w:bdr w:val="none" w:sz="0" w:space="0" w:color="auto" w:frame="1"/>
              </w:rPr>
              <w:t>AND</w:t>
            </w:r>
          </w:p>
        </w:tc>
      </w:tr>
      <w:tr w:rsidR="00EE014D" w:rsidRPr="001428E9" w14:paraId="06610D73"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34ABFC" w14:textId="49573D25" w:rsidR="00EE014D" w:rsidRPr="001428E9" w:rsidRDefault="00EE014D">
            <w:pPr>
              <w:jc w:val="center"/>
              <w:rPr>
                <w:rFonts w:ascii="Arial Narrow" w:hAnsi="Arial Narrow"/>
                <w:color w:val="333333"/>
                <w:sz w:val="20"/>
                <w:szCs w:val="20"/>
              </w:rPr>
            </w:pPr>
          </w:p>
        </w:tc>
        <w:tc>
          <w:tcPr>
            <w:tcW w:w="7745" w:type="dxa"/>
            <w:gridSpan w:val="6"/>
          </w:tcPr>
          <w:p w14:paraId="66B69AE4" w14:textId="77777777" w:rsidR="00EE014D" w:rsidRPr="007B46E0" w:rsidRDefault="00EE014D">
            <w:pPr>
              <w:rPr>
                <w:rFonts w:ascii="Arial Narrow" w:hAnsi="Arial Narrow"/>
                <w:sz w:val="20"/>
                <w:szCs w:val="20"/>
                <w:bdr w:val="none" w:sz="0" w:space="0" w:color="auto" w:frame="1"/>
              </w:rPr>
            </w:pPr>
            <w:r w:rsidRPr="007B46E0">
              <w:rPr>
                <w:rFonts w:ascii="Arial Narrow" w:hAnsi="Arial Narrow"/>
                <w:b/>
                <w:bCs/>
                <w:sz w:val="20"/>
                <w:szCs w:val="20"/>
                <w:bdr w:val="none" w:sz="0" w:space="0" w:color="auto" w:frame="1"/>
              </w:rPr>
              <w:t>Clinical criteria:</w:t>
            </w:r>
          </w:p>
        </w:tc>
      </w:tr>
      <w:tr w:rsidR="00EE014D" w:rsidRPr="001428E9" w14:paraId="7457E294"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4DA87A" w14:textId="32D19F97" w:rsidR="00EE014D" w:rsidRPr="001428E9" w:rsidRDefault="00EE014D">
            <w:pPr>
              <w:jc w:val="center"/>
              <w:rPr>
                <w:rFonts w:ascii="Arial Narrow" w:hAnsi="Arial Narrow"/>
                <w:color w:val="333333"/>
                <w:sz w:val="20"/>
                <w:szCs w:val="20"/>
              </w:rPr>
            </w:pPr>
          </w:p>
        </w:tc>
        <w:tc>
          <w:tcPr>
            <w:tcW w:w="7745" w:type="dxa"/>
            <w:gridSpan w:val="6"/>
            <w:hideMark/>
          </w:tcPr>
          <w:p w14:paraId="424536E6" w14:textId="77777777" w:rsidR="00EE014D" w:rsidRPr="007B46E0" w:rsidRDefault="00EE014D">
            <w:pPr>
              <w:rPr>
                <w:rFonts w:ascii="Arial Narrow" w:hAnsi="Arial Narrow"/>
                <w:color w:val="333333"/>
                <w:sz w:val="20"/>
                <w:szCs w:val="20"/>
              </w:rPr>
            </w:pPr>
            <w:r w:rsidRPr="007B46E0">
              <w:rPr>
                <w:rFonts w:ascii="Arial Narrow" w:hAnsi="Arial Narrow"/>
                <w:sz w:val="20"/>
                <w:szCs w:val="20"/>
                <w:bdr w:val="none" w:sz="0" w:space="0" w:color="auto" w:frame="1"/>
              </w:rPr>
              <w:t>The treatment must be the sole PBS-subsidised therapy for this condition.</w:t>
            </w:r>
          </w:p>
        </w:tc>
      </w:tr>
      <w:tr w:rsidR="00EE014D" w:rsidRPr="001428E9" w14:paraId="27341DC6"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9C3D7A" w14:textId="77777777" w:rsidR="00EE014D" w:rsidRPr="001428E9" w:rsidRDefault="00EE014D">
            <w:pPr>
              <w:keepNext/>
              <w:jc w:val="center"/>
              <w:rPr>
                <w:rFonts w:ascii="Arial Narrow" w:hAnsi="Arial Narrow"/>
                <w:color w:val="333333"/>
                <w:sz w:val="20"/>
                <w:szCs w:val="20"/>
              </w:rPr>
            </w:pPr>
          </w:p>
        </w:tc>
        <w:tc>
          <w:tcPr>
            <w:tcW w:w="7745" w:type="dxa"/>
            <w:gridSpan w:val="6"/>
            <w:hideMark/>
          </w:tcPr>
          <w:p w14:paraId="06EF58F3" w14:textId="77777777" w:rsidR="00EE014D" w:rsidRPr="007B46E0" w:rsidRDefault="00EE014D">
            <w:pPr>
              <w:keepNext/>
              <w:rPr>
                <w:rFonts w:ascii="Arial Narrow" w:hAnsi="Arial Narrow"/>
                <w:color w:val="333333"/>
                <w:sz w:val="20"/>
                <w:szCs w:val="20"/>
              </w:rPr>
            </w:pPr>
          </w:p>
        </w:tc>
      </w:tr>
      <w:tr w:rsidR="00EE014D" w:rsidRPr="001428E9" w14:paraId="2628F611"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566F0F3" w14:textId="172E1A8D" w:rsidR="00EE014D" w:rsidRPr="005A6F16" w:rsidRDefault="00EE014D">
            <w:pPr>
              <w:jc w:val="center"/>
              <w:rPr>
                <w:rFonts w:ascii="Arial Narrow" w:hAnsi="Arial Narrow"/>
                <w:i/>
                <w:iCs/>
                <w:color w:val="333333"/>
                <w:sz w:val="20"/>
                <w:szCs w:val="20"/>
              </w:rPr>
            </w:pPr>
          </w:p>
        </w:tc>
        <w:tc>
          <w:tcPr>
            <w:tcW w:w="7745" w:type="dxa"/>
            <w:gridSpan w:val="6"/>
            <w:hideMark/>
          </w:tcPr>
          <w:p w14:paraId="293660B6" w14:textId="77777777" w:rsidR="00EE014D" w:rsidRPr="007B46E0" w:rsidRDefault="00EE014D">
            <w:pPr>
              <w:autoSpaceDE w:val="0"/>
              <w:autoSpaceDN w:val="0"/>
              <w:adjustRightInd w:val="0"/>
              <w:rPr>
                <w:rFonts w:ascii="Arial Narrow" w:hAnsi="Arial Narrow" w:cs="Arial Narrow"/>
                <w:i/>
                <w:iCs/>
                <w:sz w:val="20"/>
                <w:szCs w:val="20"/>
              </w:rPr>
            </w:pPr>
            <w:r w:rsidRPr="007B46E0">
              <w:rPr>
                <w:rFonts w:ascii="Arial Narrow" w:hAnsi="Arial Narrow"/>
                <w:b/>
                <w:bCs/>
                <w:sz w:val="20"/>
                <w:szCs w:val="20"/>
                <w:bdr w:val="none" w:sz="0" w:space="0" w:color="auto" w:frame="1"/>
              </w:rPr>
              <w:t>Population criteria:</w:t>
            </w:r>
          </w:p>
        </w:tc>
      </w:tr>
      <w:tr w:rsidR="00EE014D" w:rsidRPr="001428E9" w14:paraId="5C87489E" w14:textId="77777777" w:rsidTr="00EE014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74BCC0" w14:textId="70BA4EC9" w:rsidR="00EE014D" w:rsidRPr="00757C08" w:rsidRDefault="00EE014D">
            <w:pPr>
              <w:jc w:val="center"/>
              <w:rPr>
                <w:rFonts w:ascii="Arial Narrow" w:hAnsi="Arial Narrow"/>
                <w:i/>
                <w:iCs/>
                <w:color w:val="333333"/>
                <w:sz w:val="20"/>
                <w:szCs w:val="20"/>
              </w:rPr>
            </w:pPr>
          </w:p>
        </w:tc>
        <w:tc>
          <w:tcPr>
            <w:tcW w:w="7745" w:type="dxa"/>
            <w:gridSpan w:val="6"/>
          </w:tcPr>
          <w:p w14:paraId="7579CBAB" w14:textId="77777777" w:rsidR="00EE014D" w:rsidRPr="007B46E0" w:rsidRDefault="00EE014D">
            <w:pPr>
              <w:autoSpaceDE w:val="0"/>
              <w:autoSpaceDN w:val="0"/>
              <w:adjustRightInd w:val="0"/>
              <w:rPr>
                <w:rFonts w:ascii="Arial Narrow" w:hAnsi="Arial Narrow" w:cs="Arial Narrow"/>
                <w:i/>
                <w:iCs/>
                <w:sz w:val="20"/>
                <w:szCs w:val="20"/>
              </w:rPr>
            </w:pPr>
            <w:r w:rsidRPr="007B46E0">
              <w:rPr>
                <w:rFonts w:ascii="Arial Narrow" w:hAnsi="Arial Narrow"/>
                <w:sz w:val="20"/>
                <w:szCs w:val="20"/>
                <w:bdr w:val="none" w:sz="0" w:space="0" w:color="auto" w:frame="1"/>
              </w:rPr>
              <w:t xml:space="preserve">Patient must be </w:t>
            </w:r>
            <w:r w:rsidRPr="005A6F16">
              <w:rPr>
                <w:rFonts w:ascii="Arial Narrow" w:hAnsi="Arial Narrow"/>
                <w:i/>
                <w:iCs/>
                <w:sz w:val="20"/>
                <w:szCs w:val="20"/>
                <w:bdr w:val="none" w:sz="0" w:space="0" w:color="auto" w:frame="1"/>
              </w:rPr>
              <w:t>at least</w:t>
            </w:r>
            <w:r>
              <w:rPr>
                <w:rFonts w:ascii="Arial Narrow" w:hAnsi="Arial Narrow"/>
                <w:sz w:val="20"/>
                <w:szCs w:val="20"/>
                <w:bdr w:val="none" w:sz="0" w:space="0" w:color="auto" w:frame="1"/>
              </w:rPr>
              <w:t xml:space="preserve"> </w:t>
            </w:r>
            <w:r w:rsidRPr="007B46E0">
              <w:rPr>
                <w:rFonts w:ascii="Arial Narrow" w:hAnsi="Arial Narrow"/>
                <w:sz w:val="20"/>
                <w:szCs w:val="20"/>
                <w:bdr w:val="none" w:sz="0" w:space="0" w:color="auto" w:frame="1"/>
              </w:rPr>
              <w:t xml:space="preserve">18 years of age </w:t>
            </w:r>
            <w:r w:rsidRPr="005A6F16">
              <w:rPr>
                <w:rFonts w:ascii="Arial Narrow" w:hAnsi="Arial Narrow"/>
                <w:strike/>
                <w:sz w:val="20"/>
                <w:szCs w:val="20"/>
                <w:bdr w:val="none" w:sz="0" w:space="0" w:color="auto" w:frame="1"/>
              </w:rPr>
              <w:t xml:space="preserve">or </w:t>
            </w:r>
            <w:r w:rsidRPr="00326BD5">
              <w:rPr>
                <w:rFonts w:ascii="Arial Narrow" w:hAnsi="Arial Narrow"/>
                <w:strike/>
                <w:sz w:val="20"/>
                <w:szCs w:val="20"/>
                <w:bdr w:val="none" w:sz="0" w:space="0" w:color="auto" w:frame="1"/>
              </w:rPr>
              <w:t>older</w:t>
            </w:r>
            <w:r w:rsidRPr="00326BD5">
              <w:rPr>
                <w:rFonts w:ascii="Arial Narrow" w:hAnsi="Arial Narrow"/>
                <w:i/>
                <w:iCs/>
                <w:strike/>
                <w:sz w:val="20"/>
                <w:szCs w:val="20"/>
                <w:bdr w:val="none" w:sz="0" w:space="0" w:color="auto" w:frame="1"/>
              </w:rPr>
              <w:t xml:space="preserve"> </w:t>
            </w:r>
            <w:r w:rsidRPr="00326BD5">
              <w:rPr>
                <w:rFonts w:ascii="Arial Narrow" w:hAnsi="Arial Narrow"/>
                <w:strike/>
                <w:sz w:val="20"/>
                <w:szCs w:val="20"/>
                <w:bdr w:val="none" w:sz="0" w:space="0" w:color="auto" w:frame="1"/>
              </w:rPr>
              <w:t>(Alternate text: Patient must be 12 years of age or older)</w:t>
            </w:r>
          </w:p>
        </w:tc>
      </w:tr>
    </w:tbl>
    <w:p w14:paraId="28A392F1" w14:textId="29334475" w:rsidR="0077050D" w:rsidRPr="00286289" w:rsidRDefault="0077050D" w:rsidP="002721B7">
      <w:pPr>
        <w:pStyle w:val="3-BodyText"/>
        <w:rPr>
          <w:rFonts w:ascii="Calibri" w:hAnsi="Calibri" w:cs="Calibri"/>
        </w:rPr>
      </w:pPr>
      <w:r w:rsidRPr="000F1C64">
        <w:rPr>
          <w:rFonts w:ascii="Calibri" w:hAnsi="Calibri" w:cs="Calibri"/>
        </w:rPr>
        <w:t xml:space="preserve">The submission requested listing </w:t>
      </w:r>
      <w:r w:rsidR="00816554">
        <w:rPr>
          <w:rFonts w:ascii="Calibri" w:hAnsi="Calibri" w:cs="Calibri"/>
        </w:rPr>
        <w:t>GPB</w:t>
      </w:r>
      <w:r w:rsidR="00816554" w:rsidRPr="000F1C64">
        <w:rPr>
          <w:rFonts w:ascii="Calibri" w:hAnsi="Calibri" w:cs="Calibri"/>
        </w:rPr>
        <w:t xml:space="preserve"> </w:t>
      </w:r>
      <w:r w:rsidRPr="000F1C64">
        <w:rPr>
          <w:rFonts w:ascii="Calibri" w:hAnsi="Calibri" w:cs="Calibri"/>
        </w:rPr>
        <w:t>with a maximum quantity of 1 pack (50g) and maximum of 2 repeats</w:t>
      </w:r>
      <w:r w:rsidRPr="000F1C64">
        <w:t xml:space="preserve">. Each prescription at the proposed maximum quantity corresponds to 124 actuations or 31 treatments in both </w:t>
      </w:r>
      <w:r w:rsidR="00262F9C">
        <w:t>axilla (</w:t>
      </w:r>
      <w:r w:rsidRPr="000F1C64">
        <w:t>armpit</w:t>
      </w:r>
      <w:r w:rsidR="00690125">
        <w:t>s</w:t>
      </w:r>
      <w:r w:rsidR="00262F9C">
        <w:t>)</w:t>
      </w:r>
      <w:r w:rsidRPr="000F1C64">
        <w:t xml:space="preserve">. The </w:t>
      </w:r>
      <w:r w:rsidR="00523026">
        <w:t xml:space="preserve">PBAC considered the </w:t>
      </w:r>
      <w:r w:rsidRPr="000F1C64">
        <w:t>proposed maximum quantity and number of repeats will provide sufficient treatment for 6 months’ supply</w:t>
      </w:r>
      <w:r w:rsidR="009716E6">
        <w:t xml:space="preserve"> based on t</w:t>
      </w:r>
      <w:r w:rsidR="007A4184" w:rsidRPr="007A4184">
        <w:t xml:space="preserve">he recommended dosage of two pump actuations per </w:t>
      </w:r>
      <w:r w:rsidR="005F7BC5">
        <w:t xml:space="preserve">axilla </w:t>
      </w:r>
      <w:r w:rsidR="007A4184" w:rsidRPr="007A4184">
        <w:t>once a day for the first 4 weeks (equivalent to 112 actuations per 28 days)</w:t>
      </w:r>
      <w:r w:rsidR="00A17C31">
        <w:t xml:space="preserve">; </w:t>
      </w:r>
      <w:r w:rsidR="008475A6">
        <w:t xml:space="preserve">followed by </w:t>
      </w:r>
      <w:r w:rsidR="00C24C15">
        <w:t xml:space="preserve">a potential reduction in dose of </w:t>
      </w:r>
      <w:r w:rsidR="007A4184" w:rsidRPr="007A4184">
        <w:t>twice a week (equivalent to 32 actuations per 28 days)</w:t>
      </w:r>
      <w:r w:rsidR="00C24C15">
        <w:t xml:space="preserve"> from </w:t>
      </w:r>
      <w:r w:rsidR="00C24C15" w:rsidRPr="007A4184">
        <w:t>week 5</w:t>
      </w:r>
      <w:r w:rsidRPr="000F1C64">
        <w:t>.</w:t>
      </w:r>
    </w:p>
    <w:p w14:paraId="11D9858D" w14:textId="75DC634E" w:rsidR="002B6BCA" w:rsidRPr="00465EE4" w:rsidRDefault="002B6BCA" w:rsidP="002721B7">
      <w:pPr>
        <w:pStyle w:val="3-BodyText"/>
      </w:pPr>
      <w:r w:rsidRPr="00465EE4">
        <w:t xml:space="preserve">The submission proposed </w:t>
      </w:r>
      <w:r w:rsidR="004D52DE" w:rsidRPr="00465EE4">
        <w:t>two</w:t>
      </w:r>
      <w:r w:rsidRPr="00465EE4">
        <w:t xml:space="preserve"> options for the age restriction. </w:t>
      </w:r>
      <w:r w:rsidR="00FF736B">
        <w:t>The PBAC considered it would be reasonable for the listing to be age agnostic</w:t>
      </w:r>
      <w:r w:rsidR="00BD7182">
        <w:t xml:space="preserve">, </w:t>
      </w:r>
      <w:r w:rsidR="007D15B1">
        <w:t>which is consistent with the BTA listing</w:t>
      </w:r>
      <w:r w:rsidR="00B76505">
        <w:t xml:space="preserve">. </w:t>
      </w:r>
    </w:p>
    <w:p w14:paraId="4249CBE0" w14:textId="02DBC41F" w:rsidR="002B6BCA" w:rsidRPr="00465EE4" w:rsidRDefault="002B6BCA" w:rsidP="002721B7">
      <w:pPr>
        <w:pStyle w:val="3-BodyText"/>
      </w:pPr>
      <w:r w:rsidRPr="00465EE4">
        <w:t xml:space="preserve">The current PBS restriction for </w:t>
      </w:r>
      <w:r w:rsidR="001A73A2" w:rsidRPr="00465EE4">
        <w:t>BTA</w:t>
      </w:r>
      <w:r w:rsidRPr="00465EE4">
        <w:t xml:space="preserve"> for PAHH specifies treatment by a specialist (neurologist, paediatric</w:t>
      </w:r>
      <w:r w:rsidR="0077136F" w:rsidRPr="00465EE4">
        <w:t>i</w:t>
      </w:r>
      <w:r w:rsidRPr="00465EE4">
        <w:t xml:space="preserve">an or dermatologist). The submission proposed that GP prescribing of </w:t>
      </w:r>
      <w:r w:rsidR="001A73A2" w:rsidRPr="00465EE4">
        <w:t>GPB</w:t>
      </w:r>
      <w:r w:rsidRPr="00465EE4">
        <w:t xml:space="preserve"> be permitted given the route of administration and risk</w:t>
      </w:r>
      <w:r w:rsidR="00BD302A" w:rsidRPr="00465EE4">
        <w:t>-</w:t>
      </w:r>
      <w:r w:rsidRPr="00465EE4">
        <w:t xml:space="preserve">benefit profile of the product, and to optimise patient access. </w:t>
      </w:r>
      <w:r w:rsidR="006B2922">
        <w:t xml:space="preserve">The PBAC considered </w:t>
      </w:r>
      <w:r w:rsidR="00D123A0">
        <w:t xml:space="preserve">this to </w:t>
      </w:r>
      <w:r w:rsidRPr="00465EE4">
        <w:t xml:space="preserve">be </w:t>
      </w:r>
      <w:r w:rsidR="008B5E41" w:rsidRPr="00465EE4">
        <w:t>reasonable</w:t>
      </w:r>
      <w:r w:rsidRPr="00465EE4">
        <w:t xml:space="preserve"> but </w:t>
      </w:r>
      <w:r w:rsidR="000D1040">
        <w:t xml:space="preserve">considered that it would have </w:t>
      </w:r>
      <w:r w:rsidRPr="00465EE4">
        <w:t>implications for utilisation</w:t>
      </w:r>
      <w:r w:rsidR="009840AF" w:rsidRPr="00465EE4">
        <w:t xml:space="preserve"> (when contrasted with </w:t>
      </w:r>
      <w:r w:rsidR="000D1040">
        <w:t xml:space="preserve">the </w:t>
      </w:r>
      <w:r w:rsidR="009840AF" w:rsidRPr="00465EE4">
        <w:t>prescriber restrictions for B</w:t>
      </w:r>
      <w:r w:rsidR="000101FD" w:rsidRPr="00465EE4">
        <w:t>TA</w:t>
      </w:r>
      <w:r w:rsidR="009840AF" w:rsidRPr="00465EE4">
        <w:t>)</w:t>
      </w:r>
      <w:r w:rsidRPr="00465EE4">
        <w:t xml:space="preserve">. </w:t>
      </w:r>
    </w:p>
    <w:p w14:paraId="5BA87A9A" w14:textId="73267C65" w:rsidR="0077136F" w:rsidRPr="00465EE4" w:rsidRDefault="0077136F" w:rsidP="002721B7">
      <w:pPr>
        <w:pStyle w:val="3-BodyText"/>
      </w:pPr>
      <w:r w:rsidRPr="00465EE4">
        <w:t xml:space="preserve">When </w:t>
      </w:r>
      <w:r w:rsidR="00D51B1F">
        <w:t>PBAC</w:t>
      </w:r>
      <w:r w:rsidR="00D51B1F" w:rsidRPr="00465EE4">
        <w:t xml:space="preserve"> </w:t>
      </w:r>
      <w:r w:rsidRPr="00465EE4">
        <w:t>considered BTA for PAHH</w:t>
      </w:r>
      <w:r w:rsidR="00D51B1F">
        <w:t>,</w:t>
      </w:r>
      <w:r w:rsidRPr="00465EE4">
        <w:t xml:space="preserve"> </w:t>
      </w:r>
      <w:r w:rsidR="00B7093B">
        <w:t xml:space="preserve">it </w:t>
      </w:r>
      <w:r w:rsidRPr="00465EE4">
        <w:t xml:space="preserve">considered </w:t>
      </w:r>
      <w:r w:rsidR="005F2A57">
        <w:t>the</w:t>
      </w:r>
      <w:r w:rsidR="00B7093B">
        <w:t xml:space="preserve"> </w:t>
      </w:r>
      <w:r w:rsidRPr="00465EE4">
        <w:t xml:space="preserve">appropriate </w:t>
      </w:r>
      <w:r w:rsidR="00F931D3">
        <w:t xml:space="preserve">restriction </w:t>
      </w:r>
      <w:r w:rsidR="005F2A57">
        <w:t xml:space="preserve">criteria </w:t>
      </w:r>
      <w:r w:rsidRPr="00465EE4">
        <w:t xml:space="preserve">to </w:t>
      </w:r>
      <w:r w:rsidR="005F2A57">
        <w:t>be</w:t>
      </w:r>
      <w:r w:rsidRPr="00465EE4">
        <w:t xml:space="preserve"> </w:t>
      </w:r>
      <w:r w:rsidR="00CC7C7D">
        <w:t>‘</w:t>
      </w:r>
      <w:r w:rsidRPr="00465EE4">
        <w:t>a diagnosis of severe primary axillary hyperhidrosis</w:t>
      </w:r>
      <w:r w:rsidR="00CC7C7D">
        <w:t>’</w:t>
      </w:r>
      <w:r w:rsidRPr="00465EE4">
        <w:t xml:space="preserve"> without including the characteristics of this condition</w:t>
      </w:r>
      <w:r w:rsidR="00635097">
        <w:t xml:space="preserve"> </w:t>
      </w:r>
      <w:r w:rsidRPr="00465EE4">
        <w:t>(</w:t>
      </w:r>
      <w:r w:rsidR="007F20D9" w:rsidRPr="00465EE4">
        <w:t xml:space="preserve">Section </w:t>
      </w:r>
      <w:r w:rsidRPr="00465EE4">
        <w:t>4</w:t>
      </w:r>
      <w:r w:rsidR="007F20D9" w:rsidRPr="00465EE4">
        <w:t xml:space="preserve"> and</w:t>
      </w:r>
      <w:r w:rsidRPr="00465EE4">
        <w:t xml:space="preserve"> </w:t>
      </w:r>
      <w:r w:rsidR="007F20D9" w:rsidRPr="00465EE4">
        <w:t xml:space="preserve">Section </w:t>
      </w:r>
      <w:r w:rsidRPr="00465EE4">
        <w:t xml:space="preserve">12, Botulinum Toxin Type A </w:t>
      </w:r>
      <w:r w:rsidR="00705DF4" w:rsidRPr="00465EE4">
        <w:t xml:space="preserve">PBAC </w:t>
      </w:r>
      <w:r w:rsidRPr="00465EE4">
        <w:t>P</w:t>
      </w:r>
      <w:r w:rsidR="00705DF4" w:rsidRPr="00465EE4">
        <w:t xml:space="preserve">ublic </w:t>
      </w:r>
      <w:r w:rsidRPr="00465EE4">
        <w:t>S</w:t>
      </w:r>
      <w:r w:rsidR="00705DF4" w:rsidRPr="00465EE4">
        <w:t xml:space="preserve">ummary </w:t>
      </w:r>
      <w:r w:rsidRPr="00465EE4">
        <w:t>D</w:t>
      </w:r>
      <w:r w:rsidR="00705DF4" w:rsidRPr="00465EE4">
        <w:t xml:space="preserve">ocument </w:t>
      </w:r>
      <w:r w:rsidR="00D83272">
        <w:t>[</w:t>
      </w:r>
      <w:r w:rsidR="00705DF4" w:rsidRPr="00465EE4">
        <w:t>PSD</w:t>
      </w:r>
      <w:r w:rsidR="00D83272">
        <w:t>]</w:t>
      </w:r>
      <w:r w:rsidRPr="00465EE4">
        <w:t>, March 2010</w:t>
      </w:r>
      <w:r w:rsidR="005936C2" w:rsidRPr="00465EE4">
        <w:t xml:space="preserve"> meeting</w:t>
      </w:r>
      <w:r w:rsidRPr="00465EE4">
        <w:t xml:space="preserve">). The </w:t>
      </w:r>
      <w:r w:rsidR="00F135D8" w:rsidRPr="00465EE4">
        <w:t xml:space="preserve">PBAC </w:t>
      </w:r>
      <w:r w:rsidR="001024C4">
        <w:t>considered th</w:t>
      </w:r>
      <w:r w:rsidR="00F81C8E">
        <w:t xml:space="preserve">e same </w:t>
      </w:r>
      <w:r w:rsidR="004D4BF0">
        <w:t>criteria</w:t>
      </w:r>
      <w:r w:rsidR="001024C4">
        <w:t xml:space="preserve"> </w:t>
      </w:r>
      <w:r w:rsidR="00DB27E3">
        <w:t xml:space="preserve">should also apply to </w:t>
      </w:r>
      <w:r w:rsidR="004D4BF0">
        <w:t xml:space="preserve">the </w:t>
      </w:r>
      <w:r w:rsidR="00DB27E3">
        <w:t>GPB listing</w:t>
      </w:r>
      <w:r w:rsidR="00F81C8E">
        <w:t xml:space="preserve"> t</w:t>
      </w:r>
      <w:r w:rsidR="00BE6A49">
        <w:t>o allow</w:t>
      </w:r>
      <w:r w:rsidR="00D77502">
        <w:t xml:space="preserve"> </w:t>
      </w:r>
      <w:r w:rsidR="00DC3C7C">
        <w:t>prescribers to apply</w:t>
      </w:r>
      <w:r w:rsidR="00BE6A49">
        <w:t xml:space="preserve"> clinical judgement</w:t>
      </w:r>
      <w:r w:rsidR="00DB27E3">
        <w:t>.</w:t>
      </w:r>
    </w:p>
    <w:p w14:paraId="7E4572C4" w14:textId="0C62AA02" w:rsidR="00DE334F" w:rsidRPr="00B06649" w:rsidRDefault="00A74FE7" w:rsidP="002721B7">
      <w:pPr>
        <w:pStyle w:val="3-BodyText"/>
        <w:rPr>
          <w:rFonts w:ascii="Arial Narrow" w:hAnsi="Arial Narrow" w:cstheme="minorHAnsi"/>
          <w:color w:val="365F91" w:themeColor="accent1" w:themeShade="BF"/>
          <w:sz w:val="20"/>
          <w:szCs w:val="20"/>
        </w:rPr>
      </w:pPr>
      <w:bookmarkStart w:id="12" w:name="_Ref213833919"/>
      <w:r w:rsidRPr="00465EE4">
        <w:t xml:space="preserve">It </w:t>
      </w:r>
      <w:r w:rsidR="00DE334F">
        <w:t>wa</w:t>
      </w:r>
      <w:r w:rsidRPr="00465EE4">
        <w:t xml:space="preserve">s not clear </w:t>
      </w:r>
      <w:r w:rsidR="00DE334F">
        <w:t xml:space="preserve">in the submission </w:t>
      </w:r>
      <w:r w:rsidRPr="00465EE4">
        <w:t xml:space="preserve">what </w:t>
      </w:r>
      <w:r w:rsidR="00562896">
        <w:t>wa</w:t>
      </w:r>
      <w:r w:rsidRPr="00465EE4">
        <w:t>s meant by the requirement that concomitant use o</w:t>
      </w:r>
      <w:r w:rsidR="004D52DE" w:rsidRPr="00465EE4">
        <w:t>f GPB</w:t>
      </w:r>
      <w:r w:rsidRPr="00465EE4">
        <w:t xml:space="preserve"> and B</w:t>
      </w:r>
      <w:r w:rsidR="0077136F" w:rsidRPr="00465EE4">
        <w:t>TA</w:t>
      </w:r>
      <w:r w:rsidRPr="00465EE4">
        <w:t xml:space="preserve"> be excluded</w:t>
      </w:r>
      <w:r w:rsidR="008300B1" w:rsidRPr="00465EE4">
        <w:t>,</w:t>
      </w:r>
      <w:r w:rsidR="0077136F" w:rsidRPr="00465EE4">
        <w:t xml:space="preserve"> when BTA is given intermittently</w:t>
      </w:r>
      <w:r w:rsidRPr="00465EE4">
        <w:t xml:space="preserve">. </w:t>
      </w:r>
      <w:r w:rsidR="003C1694" w:rsidRPr="00465EE4">
        <w:t xml:space="preserve">The </w:t>
      </w:r>
      <w:r w:rsidR="00055F69">
        <w:t>Pre</w:t>
      </w:r>
      <w:r w:rsidR="00545939">
        <w:t>-</w:t>
      </w:r>
      <w:r w:rsidR="00055F69">
        <w:t>Sub</w:t>
      </w:r>
      <w:r w:rsidR="00B9407B">
        <w:t>-</w:t>
      </w:r>
      <w:r w:rsidR="00055F69">
        <w:t>Committee Response (</w:t>
      </w:r>
      <w:r w:rsidR="003C1694" w:rsidRPr="00465EE4">
        <w:t>PSCR</w:t>
      </w:r>
      <w:r w:rsidR="00055F69">
        <w:t>)</w:t>
      </w:r>
      <w:r w:rsidR="003C1694" w:rsidRPr="00465EE4">
        <w:t xml:space="preserve"> stated the intent of the restriction was to prevent GPB and BTA being given together, but that switching between these agents is clinically appropriate and should be permitted</w:t>
      </w:r>
      <w:r w:rsidR="004D276D" w:rsidRPr="00465EE4">
        <w:t>.</w:t>
      </w:r>
      <w:r w:rsidR="009C7F52">
        <w:t xml:space="preserve"> </w:t>
      </w:r>
      <w:bookmarkEnd w:id="12"/>
    </w:p>
    <w:p w14:paraId="3321AA84" w14:textId="5D0391E6" w:rsidR="0075310B" w:rsidRPr="00B06649" w:rsidRDefault="0075310B" w:rsidP="002721B7">
      <w:pPr>
        <w:pStyle w:val="3-BodyText"/>
      </w:pPr>
      <w:r w:rsidRPr="00D33F91">
        <w:t xml:space="preserve">The proposed listing does not include a prescribing instruction referring to the maximum number of treatments per year and specified time between treatments; unlike </w:t>
      </w:r>
      <w:r w:rsidR="00DA49F0">
        <w:t>BTA</w:t>
      </w:r>
      <w:r w:rsidRPr="00D33F91">
        <w:t xml:space="preserve"> which includes ‘</w:t>
      </w:r>
      <w:r w:rsidRPr="004C6361">
        <w:t xml:space="preserve">maximum number of treatments per year is 3, with no less than 4 months to elapse between </w:t>
      </w:r>
      <w:proofErr w:type="gramStart"/>
      <w:r w:rsidRPr="004C6361">
        <w:t>treatments’</w:t>
      </w:r>
      <w:proofErr w:type="gramEnd"/>
      <w:r w:rsidRPr="00D33F91">
        <w:t xml:space="preserve">. The </w:t>
      </w:r>
      <w:r w:rsidR="00321E07">
        <w:t xml:space="preserve">PBAC considered this to be </w:t>
      </w:r>
      <w:r w:rsidRPr="00D33F91">
        <w:t>appropriate given the</w:t>
      </w:r>
      <w:r w:rsidR="00F00EA6">
        <w:t xml:space="preserve"> differences in</w:t>
      </w:r>
      <w:r w:rsidRPr="00D33F91">
        <w:t xml:space="preserve"> dosage and administration of </w:t>
      </w:r>
      <w:r w:rsidR="00B641E9">
        <w:t>the products</w:t>
      </w:r>
      <w:r w:rsidRPr="00D33F91">
        <w:t xml:space="preserve">. </w:t>
      </w:r>
    </w:p>
    <w:p w14:paraId="6650B4CF" w14:textId="77777777" w:rsidR="009C7F52" w:rsidRPr="00C33D30" w:rsidRDefault="009C7F52" w:rsidP="00AA4F49">
      <w:pPr>
        <w:spacing w:before="120" w:after="120"/>
        <w:ind w:firstLine="720"/>
        <w:rPr>
          <w:rFonts w:asciiTheme="minorHAnsi" w:hAnsiTheme="minorHAnsi"/>
          <w:i/>
        </w:rPr>
      </w:pPr>
      <w:bookmarkStart w:id="13" w:name="_Hlk76375324"/>
      <w:r w:rsidRPr="00C33D30">
        <w:rPr>
          <w:rFonts w:asciiTheme="minorHAnsi" w:hAnsiTheme="minorHAnsi"/>
          <w:i/>
        </w:rPr>
        <w:t>For more detail on PBAC’s view, see section 7 PBAC outcome.</w:t>
      </w:r>
    </w:p>
    <w:p w14:paraId="7075B85C" w14:textId="62A47B7B" w:rsidR="00B50DB8" w:rsidRPr="0098262F" w:rsidDel="00195452" w:rsidRDefault="00203181" w:rsidP="004E18E9">
      <w:pPr>
        <w:pStyle w:val="2-SectionHeading"/>
      </w:pPr>
      <w:bookmarkStart w:id="14" w:name="_Toc208997652"/>
      <w:bookmarkEnd w:id="13"/>
      <w:r w:rsidRPr="0098262F" w:rsidDel="00195452">
        <w:t xml:space="preserve">Population and </w:t>
      </w:r>
      <w:r w:rsidR="008E0D3C" w:rsidRPr="0098262F" w:rsidDel="00195452">
        <w:t>d</w:t>
      </w:r>
      <w:r w:rsidRPr="0098262F" w:rsidDel="00195452">
        <w:t>isease</w:t>
      </w:r>
      <w:bookmarkEnd w:id="14"/>
    </w:p>
    <w:p w14:paraId="46191EAB" w14:textId="362299BB" w:rsidR="00D64176" w:rsidRPr="001331CE" w:rsidRDefault="006C686D" w:rsidP="002721B7">
      <w:pPr>
        <w:pStyle w:val="3-BodyText"/>
      </w:pPr>
      <w:r w:rsidRPr="001331CE">
        <w:t xml:space="preserve">PAHH </w:t>
      </w:r>
      <w:r w:rsidR="00DF4D4F">
        <w:t>wa</w:t>
      </w:r>
      <w:r w:rsidR="00A318BF" w:rsidRPr="001331CE">
        <w:t xml:space="preserve">s stated </w:t>
      </w:r>
      <w:r w:rsidR="00DF4D4F">
        <w:t xml:space="preserve">in the submission </w:t>
      </w:r>
      <w:r w:rsidR="00A318BF" w:rsidRPr="001331CE">
        <w:t xml:space="preserve">to be </w:t>
      </w:r>
      <w:r w:rsidR="00F83730">
        <w:t>‘</w:t>
      </w:r>
      <w:r w:rsidR="009C0329" w:rsidRPr="001331CE">
        <w:t xml:space="preserve">an excessive amount of sweat production in the </w:t>
      </w:r>
      <w:r w:rsidR="005F7BC5">
        <w:t>axillae</w:t>
      </w:r>
      <w:r w:rsidR="005F7BC5" w:rsidRPr="001331CE">
        <w:t xml:space="preserve"> </w:t>
      </w:r>
      <w:r w:rsidR="009C0329" w:rsidRPr="001331CE">
        <w:t>beyond what is needed for thermoregulation</w:t>
      </w:r>
      <w:r w:rsidR="00F83730">
        <w:t>’</w:t>
      </w:r>
      <w:r w:rsidR="002C45F0" w:rsidRPr="001331CE">
        <w:t xml:space="preserve">. </w:t>
      </w:r>
      <w:r w:rsidR="00A318BF" w:rsidRPr="001331CE">
        <w:t xml:space="preserve">Although the submission refers to hyperhidrosis as a </w:t>
      </w:r>
      <w:r w:rsidR="00F83730">
        <w:t>‘</w:t>
      </w:r>
      <w:r w:rsidR="00A318BF" w:rsidRPr="001331CE">
        <w:t>chronic autonomic disorder</w:t>
      </w:r>
      <w:r w:rsidR="00F83730">
        <w:t>’</w:t>
      </w:r>
      <w:r w:rsidR="00A318BF" w:rsidRPr="001331CE">
        <w:t xml:space="preserve"> there is no evidence </w:t>
      </w:r>
      <w:r w:rsidR="00144160" w:rsidRPr="001331CE">
        <w:t>to support this</w:t>
      </w:r>
      <w:r w:rsidR="005A5B65" w:rsidRPr="001331CE">
        <w:t xml:space="preserve"> </w:t>
      </w:r>
      <w:r w:rsidR="00807198" w:rsidRPr="001331CE">
        <w:t>description</w:t>
      </w:r>
      <w:r w:rsidR="005A5B65" w:rsidRPr="001331CE">
        <w:t xml:space="preserve">. </w:t>
      </w:r>
      <w:r w:rsidR="002C45F0" w:rsidRPr="001331CE">
        <w:t xml:space="preserve">Rather, </w:t>
      </w:r>
      <w:r w:rsidR="00F83730">
        <w:t>‘</w:t>
      </w:r>
      <w:r w:rsidR="002C45F0" w:rsidRPr="001331CE">
        <w:t>the cause of hyperhidrosis appears to be an abnormal or exaggerated central response to normal emotional stress</w:t>
      </w:r>
      <w:r w:rsidR="00F83730">
        <w:t>’</w:t>
      </w:r>
      <w:r w:rsidR="002C45F0" w:rsidRPr="001331CE">
        <w:t>.</w:t>
      </w:r>
      <w:r w:rsidR="002C45F0" w:rsidRPr="001331CE">
        <w:rPr>
          <w:rStyle w:val="FootnoteReference"/>
          <w:color w:val="000000" w:themeColor="text1"/>
        </w:rPr>
        <w:footnoteReference w:id="4"/>
      </w:r>
      <w:r w:rsidRPr="001331CE">
        <w:t xml:space="preserve"> </w:t>
      </w:r>
      <w:r w:rsidR="00402763" w:rsidRPr="001331CE">
        <w:t xml:space="preserve">Excessive sweating in PAHH is </w:t>
      </w:r>
      <w:r w:rsidR="008A5135" w:rsidRPr="001331CE">
        <w:t>characteristically</w:t>
      </w:r>
      <w:r w:rsidR="00402763" w:rsidRPr="001331CE">
        <w:t xml:space="preserve"> episodic, and</w:t>
      </w:r>
      <w:r w:rsidRPr="001331CE">
        <w:t xml:space="preserve"> episodes do not occur during sleep, when emotional sweating does not occur, but thermoregulatory sweating does.</w:t>
      </w:r>
    </w:p>
    <w:p w14:paraId="2F0F916F" w14:textId="5DF584FD" w:rsidR="001B01A8" w:rsidRPr="001331CE" w:rsidRDefault="008A5135" w:rsidP="002721B7">
      <w:pPr>
        <w:pStyle w:val="3-BodyText"/>
      </w:pPr>
      <w:r w:rsidRPr="001331CE">
        <w:t xml:space="preserve">Although the excessive sweating of PAHH is episodic and typically provoked by stress, trials </w:t>
      </w:r>
      <w:r w:rsidR="004A7583" w:rsidRPr="001331CE">
        <w:t xml:space="preserve">in PAHH </w:t>
      </w:r>
      <w:r w:rsidR="00462C3F" w:rsidRPr="001331CE">
        <w:t xml:space="preserve">do not report the number or severity of episodes of excessive sweating, </w:t>
      </w:r>
      <w:r w:rsidR="00A257FA" w:rsidRPr="001331CE">
        <w:t xml:space="preserve">instead </w:t>
      </w:r>
      <w:r w:rsidR="0039023B" w:rsidRPr="001331CE">
        <w:t>presenting</w:t>
      </w:r>
      <w:r w:rsidRPr="001331CE">
        <w:t xml:space="preserve"> unstimulated sweat production as a main outcome. </w:t>
      </w:r>
      <w:r w:rsidR="009F3375" w:rsidRPr="001331CE">
        <w:t>There is</w:t>
      </w:r>
      <w:r w:rsidR="00A639D8" w:rsidRPr="001331CE">
        <w:t xml:space="preserve"> </w:t>
      </w:r>
      <w:r w:rsidR="001B01A8" w:rsidRPr="001331CE">
        <w:t xml:space="preserve">little </w:t>
      </w:r>
      <w:r w:rsidRPr="001331CE">
        <w:t>evidence that</w:t>
      </w:r>
      <w:r w:rsidR="006C06D2" w:rsidRPr="001331CE">
        <w:t xml:space="preserve"> </w:t>
      </w:r>
      <w:r w:rsidRPr="001331CE">
        <w:t xml:space="preserve">unstimulated </w:t>
      </w:r>
      <w:r w:rsidR="006C06D2" w:rsidRPr="001331CE">
        <w:t xml:space="preserve">axillary sweating </w:t>
      </w:r>
      <w:r w:rsidR="001B01A8" w:rsidRPr="001331CE">
        <w:t>in</w:t>
      </w:r>
      <w:r w:rsidR="00741487" w:rsidRPr="001331CE">
        <w:t xml:space="preserve"> patients w</w:t>
      </w:r>
      <w:r w:rsidR="00807198" w:rsidRPr="001331CE">
        <w:t xml:space="preserve">ith </w:t>
      </w:r>
      <w:r w:rsidR="001B01A8" w:rsidRPr="001331CE">
        <w:t>PAHH</w:t>
      </w:r>
      <w:r w:rsidR="006C06D2" w:rsidRPr="001331CE">
        <w:t xml:space="preserve"> </w:t>
      </w:r>
      <w:r w:rsidRPr="001331CE">
        <w:t xml:space="preserve">is excessive </w:t>
      </w:r>
      <w:r w:rsidR="006C06D2" w:rsidRPr="001331CE">
        <w:t>compare</w:t>
      </w:r>
      <w:r w:rsidRPr="001331CE">
        <w:t>d</w:t>
      </w:r>
      <w:r w:rsidR="006C06D2" w:rsidRPr="001331CE">
        <w:t xml:space="preserve"> to</w:t>
      </w:r>
      <w:r w:rsidR="00DC45EB" w:rsidRPr="001331CE">
        <w:t xml:space="preserve"> individuals without PAHH</w:t>
      </w:r>
      <w:r w:rsidR="009D31C2" w:rsidRPr="001331CE">
        <w:t xml:space="preserve">. </w:t>
      </w:r>
      <w:r w:rsidR="006B1ECC" w:rsidRPr="001331CE">
        <w:t>O</w:t>
      </w:r>
      <w:r w:rsidR="009D31C2" w:rsidRPr="001331CE">
        <w:t xml:space="preserve">ne study reported </w:t>
      </w:r>
      <w:r w:rsidR="006C06D2" w:rsidRPr="001331CE">
        <w:t>that</w:t>
      </w:r>
      <w:r w:rsidR="001A73A2" w:rsidRPr="001331CE">
        <w:t xml:space="preserve"> unstimulated </w:t>
      </w:r>
      <w:r w:rsidR="00A639D8" w:rsidRPr="001331CE">
        <w:t>axillary sweating rate in 220 medical students</w:t>
      </w:r>
      <w:r w:rsidR="00834893" w:rsidRPr="001331CE">
        <w:t xml:space="preserve"> was, corrected for body surface area, </w:t>
      </w:r>
      <w:r w:rsidR="00A639D8" w:rsidRPr="001331CE">
        <w:t>a mean (SD) of 42.4 (47.1) mg/min/m</w:t>
      </w:r>
      <w:r w:rsidR="00A639D8" w:rsidRPr="001331CE">
        <w:rPr>
          <w:vertAlign w:val="superscript"/>
        </w:rPr>
        <w:t>2</w:t>
      </w:r>
      <w:r w:rsidR="00834893" w:rsidRPr="001331CE">
        <w:t>, while a</w:t>
      </w:r>
      <w:r w:rsidR="006C06D2" w:rsidRPr="001331CE">
        <w:t xml:space="preserve">mong patients whose PAHH was sufficiently severe to justify sympathectomy the mean (SD) pre-operative </w:t>
      </w:r>
      <w:r w:rsidR="001A73A2" w:rsidRPr="001331CE">
        <w:t xml:space="preserve">unstimulated </w:t>
      </w:r>
      <w:r w:rsidR="006C06D2" w:rsidRPr="001331CE">
        <w:t>axillary sweating rate was 66.2 (56.2) mg/min/m</w:t>
      </w:r>
      <w:r w:rsidR="006C06D2" w:rsidRPr="001331CE">
        <w:rPr>
          <w:vertAlign w:val="superscript"/>
        </w:rPr>
        <w:t>2</w:t>
      </w:r>
      <w:r w:rsidR="006C06D2" w:rsidRPr="001331CE">
        <w:t xml:space="preserve"> - </w:t>
      </w:r>
      <w:r w:rsidR="002C5658" w:rsidRPr="001331CE">
        <w:t>i.e.</w:t>
      </w:r>
      <w:r w:rsidR="006C06D2" w:rsidRPr="001331CE">
        <w:t xml:space="preserve">, </w:t>
      </w:r>
      <w:r w:rsidR="00001DD2" w:rsidRPr="001331CE">
        <w:t xml:space="preserve">the mean was </w:t>
      </w:r>
      <w:r w:rsidR="006B1ECC" w:rsidRPr="001331CE">
        <w:t>only about</w:t>
      </w:r>
      <w:r w:rsidR="00001DD2" w:rsidRPr="001331CE">
        <w:t xml:space="preserve"> half a</w:t>
      </w:r>
      <w:r w:rsidR="006C06D2" w:rsidRPr="001331CE">
        <w:t xml:space="preserve"> standard deviation above the mean of the controls.</w:t>
      </w:r>
      <w:r w:rsidR="00001DD2" w:rsidRPr="001331CE">
        <w:rPr>
          <w:rStyle w:val="FootnoteReference"/>
          <w:color w:val="000000" w:themeColor="text1"/>
        </w:rPr>
        <w:footnoteReference w:id="5"/>
      </w:r>
      <w:r w:rsidR="006C06D2" w:rsidRPr="001331CE">
        <w:t xml:space="preserve"> </w:t>
      </w:r>
      <w:r w:rsidR="00834893" w:rsidRPr="001331CE">
        <w:t xml:space="preserve">It </w:t>
      </w:r>
      <w:r w:rsidR="00F96AE6" w:rsidRPr="001331CE">
        <w:t>seems unlikely</w:t>
      </w:r>
      <w:r w:rsidR="00834893" w:rsidRPr="001331CE">
        <w:t xml:space="preserve"> that the</w:t>
      </w:r>
      <w:r w:rsidR="001A73A2" w:rsidRPr="001331CE">
        <w:t xml:space="preserve"> unstimulated</w:t>
      </w:r>
      <w:r w:rsidR="00834893" w:rsidRPr="001331CE">
        <w:t xml:space="preserve"> sweat production required for entry to most of the trials, 50 mg/5min, is </w:t>
      </w:r>
      <w:r w:rsidR="00F96AE6" w:rsidRPr="001331CE">
        <w:t xml:space="preserve">substantially, if at all </w:t>
      </w:r>
      <w:r w:rsidR="00834893" w:rsidRPr="001331CE">
        <w:t>outside the normal range</w:t>
      </w:r>
      <w:r w:rsidRPr="001331CE">
        <w:t>.</w:t>
      </w:r>
      <w:r w:rsidR="00AB04F6">
        <w:t xml:space="preserve"> </w:t>
      </w:r>
    </w:p>
    <w:p w14:paraId="5D116346" w14:textId="68321885" w:rsidR="00A318BF" w:rsidRPr="001331CE" w:rsidRDefault="009D29FF" w:rsidP="002721B7">
      <w:pPr>
        <w:pStyle w:val="3-BodyText"/>
      </w:pPr>
      <w:r w:rsidRPr="001331CE">
        <w:t xml:space="preserve">In the </w:t>
      </w:r>
      <w:r w:rsidR="006D2413" w:rsidRPr="001331CE">
        <w:t xml:space="preserve">submission’s </w:t>
      </w:r>
      <w:r w:rsidR="001B01A8" w:rsidRPr="001331CE">
        <w:t xml:space="preserve">key </w:t>
      </w:r>
      <w:r w:rsidRPr="001331CE">
        <w:t>trial</w:t>
      </w:r>
      <w:r w:rsidR="00834893" w:rsidRPr="001331CE">
        <w:t xml:space="preserve"> of GPB</w:t>
      </w:r>
      <w:r w:rsidR="001B01A8" w:rsidRPr="001331CE">
        <w:t>,</w:t>
      </w:r>
      <w:r w:rsidRPr="001331CE">
        <w:t xml:space="preserve"> Hyp1-18/2016</w:t>
      </w:r>
      <w:r w:rsidR="001B01A8" w:rsidRPr="001331CE">
        <w:t>,</w:t>
      </w:r>
      <w:r w:rsidRPr="001331CE">
        <w:t xml:space="preserve"> t</w:t>
      </w:r>
      <w:r w:rsidR="00A52B01" w:rsidRPr="001331CE">
        <w:t xml:space="preserve">here </w:t>
      </w:r>
      <w:r w:rsidRPr="001331CE">
        <w:t>we</w:t>
      </w:r>
      <w:r w:rsidR="00A52B01" w:rsidRPr="001331CE">
        <w:t xml:space="preserve">re weak correlations between </w:t>
      </w:r>
      <w:r w:rsidR="002D4E3F" w:rsidRPr="001331CE">
        <w:t xml:space="preserve">unstimulated </w:t>
      </w:r>
      <w:r w:rsidR="006B1ECC" w:rsidRPr="001331CE">
        <w:t xml:space="preserve">gravimetric </w:t>
      </w:r>
      <w:r w:rsidR="00A52B01" w:rsidRPr="001331CE">
        <w:t>sweat production and p</w:t>
      </w:r>
      <w:r w:rsidR="00721AC8" w:rsidRPr="001331CE">
        <w:t xml:space="preserve">atient-reported </w:t>
      </w:r>
      <w:r w:rsidR="008A2685" w:rsidRPr="001331CE">
        <w:t xml:space="preserve">measures, </w:t>
      </w:r>
      <w:r w:rsidR="00FB3A29" w:rsidRPr="001331CE">
        <w:t>including</w:t>
      </w:r>
      <w:r w:rsidR="008A2685" w:rsidRPr="001331CE">
        <w:t xml:space="preserve"> the Hyperhidrosis Disease Severity Score (HDSS) </w:t>
      </w:r>
      <w:r w:rsidR="00A52B01" w:rsidRPr="001331CE">
        <w:t xml:space="preserve">(correlation coefficient = 0.15) </w:t>
      </w:r>
      <w:r w:rsidR="008A2685" w:rsidRPr="001331CE">
        <w:t xml:space="preserve">and </w:t>
      </w:r>
      <w:proofErr w:type="spellStart"/>
      <w:r w:rsidR="008A2685" w:rsidRPr="001331CE">
        <w:t>HidroQoL</w:t>
      </w:r>
      <w:proofErr w:type="spellEnd"/>
      <w:r w:rsidR="00834893" w:rsidRPr="001331CE">
        <w:t>, a disease-specific quality of life scale</w:t>
      </w:r>
      <w:r w:rsidR="00A52B01" w:rsidRPr="001331CE">
        <w:t xml:space="preserve"> (correlation coefficient </w:t>
      </w:r>
      <w:r w:rsidRPr="001331CE">
        <w:t xml:space="preserve">= </w:t>
      </w:r>
      <w:r w:rsidR="00A52B01" w:rsidRPr="001331CE">
        <w:t>0.08)</w:t>
      </w:r>
      <w:r w:rsidR="00721AC8" w:rsidRPr="001331CE">
        <w:t>.</w:t>
      </w:r>
      <w:r w:rsidR="008A2685" w:rsidRPr="001331CE">
        <w:rPr>
          <w:rStyle w:val="FootnoteReference"/>
          <w:color w:val="000000" w:themeColor="text1"/>
        </w:rPr>
        <w:footnoteReference w:id="6"/>
      </w:r>
      <w:r w:rsidR="002D4E3F" w:rsidRPr="001331CE">
        <w:t xml:space="preserve"> </w:t>
      </w:r>
    </w:p>
    <w:p w14:paraId="23677D28" w14:textId="5C8715DB" w:rsidR="000B1554" w:rsidRPr="001331CE" w:rsidRDefault="008C1CE8" w:rsidP="002721B7">
      <w:pPr>
        <w:pStyle w:val="3-BodyText"/>
      </w:pPr>
      <w:r w:rsidRPr="001331CE">
        <w:t>The diagnostic criteria proposed by the submission</w:t>
      </w:r>
      <w:r w:rsidR="00DC6EF0" w:rsidRPr="001331CE">
        <w:t xml:space="preserve"> </w:t>
      </w:r>
      <w:r w:rsidR="00931C66" w:rsidRPr="001331CE">
        <w:t xml:space="preserve">are </w:t>
      </w:r>
      <w:r w:rsidR="00A87391" w:rsidRPr="001331CE">
        <w:t>broad</w:t>
      </w:r>
      <w:r w:rsidR="00931C66" w:rsidRPr="001331CE">
        <w:t>, requiring only a complaint of exaggerated sweating for six months or more, and any two of: at least one episode per week; sweating that is bilateral and symmetrical; onset before age 25; a family history of excessive sweating; absence of focal sweating during sleep; and interference with daily activities</w:t>
      </w:r>
      <w:r w:rsidR="00DC6EF0" w:rsidRPr="001331CE">
        <w:t>.</w:t>
      </w:r>
      <w:r w:rsidR="00DC6EF0" w:rsidRPr="001331CE">
        <w:rPr>
          <w:rStyle w:val="FootnoteReference"/>
          <w:color w:val="000000" w:themeColor="text1"/>
        </w:rPr>
        <w:footnoteReference w:id="7"/>
      </w:r>
      <w:r w:rsidR="00C2609F" w:rsidRPr="001331CE">
        <w:t xml:space="preserve"> </w:t>
      </w:r>
      <w:r w:rsidR="000B1554" w:rsidRPr="001331CE">
        <w:t xml:space="preserve">These criteria are slightly different from those reviewed by PBAC in relation to BTA, which did not include bilateral and symmetrical sweating (Paragraph 4, Botulinum Toxin Type A </w:t>
      </w:r>
      <w:r w:rsidR="005508B4" w:rsidRPr="001331CE">
        <w:t xml:space="preserve">PBAC </w:t>
      </w:r>
      <w:r w:rsidR="000B1554" w:rsidRPr="001331CE">
        <w:t xml:space="preserve">PSD, March 2010 </w:t>
      </w:r>
      <w:r w:rsidR="00632ED4" w:rsidRPr="001331CE">
        <w:t>m</w:t>
      </w:r>
      <w:r w:rsidR="000B1554" w:rsidRPr="001331CE">
        <w:t>eeting).</w:t>
      </w:r>
    </w:p>
    <w:p w14:paraId="06A615CC" w14:textId="0EAE62A9" w:rsidR="001D4D7B" w:rsidRDefault="001D4D7B" w:rsidP="002721B7">
      <w:pPr>
        <w:pStyle w:val="3-BodyText"/>
      </w:pPr>
      <w:r w:rsidRPr="001331CE">
        <w:t xml:space="preserve">The submission's proposed treatment algorithm placed GPB as an alternative to BTA injections in patients not adequately treated by high-strength topical aluminium preparations. This is not consistent with the rationale for listing, </w:t>
      </w:r>
      <w:r w:rsidR="00A80B2A" w:rsidRPr="001331CE">
        <w:t>which emphasise</w:t>
      </w:r>
      <w:r w:rsidR="008D4971" w:rsidRPr="001331CE">
        <w:t>d</w:t>
      </w:r>
      <w:r w:rsidR="00A80B2A" w:rsidRPr="001331CE">
        <w:t xml:space="preserve"> the unacceptability </w:t>
      </w:r>
      <w:r w:rsidR="00AE5A4E" w:rsidRPr="001331CE">
        <w:t xml:space="preserve">of BTA </w:t>
      </w:r>
      <w:r w:rsidR="00A80B2A" w:rsidRPr="001331CE">
        <w:t>to many patients and the under-treatment of PAHH that results</w:t>
      </w:r>
      <w:r w:rsidR="00C2609F" w:rsidRPr="001331CE">
        <w:t xml:space="preserve">, and the importance of </w:t>
      </w:r>
      <w:r w:rsidR="002E6419" w:rsidRPr="001331CE">
        <w:t xml:space="preserve">improving </w:t>
      </w:r>
      <w:r w:rsidR="00C2609F" w:rsidRPr="001331CE">
        <w:t xml:space="preserve">access to treatment </w:t>
      </w:r>
      <w:r w:rsidR="002E6419" w:rsidRPr="001331CE">
        <w:t xml:space="preserve">by </w:t>
      </w:r>
      <w:r w:rsidR="00C2609F" w:rsidRPr="001331CE">
        <w:t xml:space="preserve">allowing </w:t>
      </w:r>
      <w:r w:rsidR="00A44AE6" w:rsidRPr="001331CE">
        <w:t xml:space="preserve">general practitioners to </w:t>
      </w:r>
      <w:r w:rsidR="00C2609F" w:rsidRPr="001331CE">
        <w:t>prescrib</w:t>
      </w:r>
      <w:r w:rsidR="00A44AE6" w:rsidRPr="001331CE">
        <w:t>e</w:t>
      </w:r>
      <w:r w:rsidR="00C2609F" w:rsidRPr="001331CE">
        <w:t xml:space="preserve"> GPB</w:t>
      </w:r>
      <w:r w:rsidR="00E13922">
        <w:t>.</w:t>
      </w:r>
    </w:p>
    <w:p w14:paraId="34F9A011" w14:textId="3AB06979" w:rsidR="002C2775" w:rsidRPr="001D4D7B" w:rsidRDefault="00DA2E63" w:rsidP="00DA2E63">
      <w:pPr>
        <w:pStyle w:val="Caption"/>
        <w:jc w:val="left"/>
      </w:pPr>
      <w:r>
        <w:t xml:space="preserve">Figure </w:t>
      </w:r>
      <w:r>
        <w:fldChar w:fldCharType="begin" w:fldLock="1"/>
      </w:r>
      <w:r>
        <w:instrText xml:space="preserve"> SEQ Figure \* ARABIC </w:instrText>
      </w:r>
      <w:r>
        <w:fldChar w:fldCharType="separate"/>
      </w:r>
      <w:r>
        <w:rPr>
          <w:noProof/>
        </w:rPr>
        <w:t>1</w:t>
      </w:r>
      <w:r>
        <w:fldChar w:fldCharType="end"/>
      </w:r>
      <w:r w:rsidR="001D4D7B">
        <w:t xml:space="preserve">: Proposed treatment algorithm for </w:t>
      </w:r>
      <w:r w:rsidR="00EC3485">
        <w:t>p</w:t>
      </w:r>
      <w:r w:rsidR="001D4D7B">
        <w:t xml:space="preserve">rimary </w:t>
      </w:r>
      <w:r w:rsidR="00EC3485">
        <w:t>a</w:t>
      </w:r>
      <w:r w:rsidR="001D4D7B">
        <w:t xml:space="preserve">xillary </w:t>
      </w:r>
      <w:r w:rsidR="00EC3485">
        <w:t>h</w:t>
      </w:r>
      <w:r w:rsidR="001D4D7B">
        <w:t>yperhidrosis</w:t>
      </w:r>
      <w:r w:rsidR="00EC3485">
        <w:t xml:space="preserve"> (PAHH)</w:t>
      </w:r>
      <w:r w:rsidR="001D4D7B" w:rsidRPr="00B32F69">
        <w:rPr>
          <w:noProof/>
        </w:rPr>
        <w:drawing>
          <wp:inline distT="0" distB="0" distL="0" distR="0" wp14:anchorId="67543669" wp14:editId="3B574873">
            <wp:extent cx="3852571" cy="3740150"/>
            <wp:effectExtent l="0" t="0" r="0" b="0"/>
            <wp:docPr id="856070546" name="Picture 1" descr="Figure 1: Proposed treatment algorithm for primary axillary hyperhidrosis (PAH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70546" name="Picture 1" descr="Figure 1: Proposed treatment algorithm for primary axillary hyperhidrosis (PAHH)  "/>
                    <pic:cNvPicPr/>
                  </pic:nvPicPr>
                  <pic:blipFill>
                    <a:blip r:embed="rId11"/>
                    <a:stretch>
                      <a:fillRect/>
                    </a:stretch>
                  </pic:blipFill>
                  <pic:spPr>
                    <a:xfrm>
                      <a:off x="0" y="0"/>
                      <a:ext cx="3854978" cy="3742487"/>
                    </a:xfrm>
                    <a:prstGeom prst="rect">
                      <a:avLst/>
                    </a:prstGeom>
                  </pic:spPr>
                </pic:pic>
              </a:graphicData>
            </a:graphic>
          </wp:inline>
        </w:drawing>
      </w:r>
      <w:r w:rsidR="001D4D7B">
        <w:rPr>
          <w:color w:val="000000" w:themeColor="text1"/>
        </w:rPr>
        <w:t xml:space="preserve"> </w:t>
      </w:r>
    </w:p>
    <w:p w14:paraId="535567B0" w14:textId="450A5691" w:rsidR="001D4D7B" w:rsidRPr="001D4D7B" w:rsidDel="00195452" w:rsidRDefault="001D4D7B" w:rsidP="001D4D7B">
      <w:pPr>
        <w:pStyle w:val="TableFigureFooter"/>
      </w:pPr>
      <w:r>
        <w:t xml:space="preserve">Source: Figure 1-4, p36 of the submission. </w:t>
      </w:r>
    </w:p>
    <w:p w14:paraId="0003A06D" w14:textId="77777777" w:rsidR="00C309A1" w:rsidRDefault="001B01A8" w:rsidP="002721B7">
      <w:pPr>
        <w:pStyle w:val="3-BodyText"/>
      </w:pPr>
      <w:r w:rsidRPr="001B01A8">
        <w:t xml:space="preserve">Glycopyrronium is a competitive antagonist </w:t>
      </w:r>
      <w:r>
        <w:t>of acetylcholine at muscarinic receptors.</w:t>
      </w:r>
      <w:r w:rsidR="00EE783B">
        <w:rPr>
          <w:rStyle w:val="FootnoteReference"/>
          <w:color w:val="000000" w:themeColor="text1"/>
        </w:rPr>
        <w:footnoteReference w:id="8"/>
      </w:r>
      <w:r>
        <w:t xml:space="preserve"> </w:t>
      </w:r>
    </w:p>
    <w:p w14:paraId="19F8B6D9" w14:textId="47345529" w:rsidR="00EE783B" w:rsidRPr="001B01A8" w:rsidDel="00195452" w:rsidRDefault="00EE783B" w:rsidP="002721B7">
      <w:pPr>
        <w:pStyle w:val="3-BodyText"/>
      </w:pPr>
      <w:r>
        <w:t xml:space="preserve">Glycopyrronium </w:t>
      </w:r>
      <w:r w:rsidR="00067869">
        <w:t>tablets were</w:t>
      </w:r>
      <w:r>
        <w:t xml:space="preserve"> approved by the US FDA in 1961 for the treatment of peptic ulcer.</w:t>
      </w:r>
      <w:r>
        <w:rPr>
          <w:rStyle w:val="FootnoteReference"/>
          <w:color w:val="000000" w:themeColor="text1"/>
        </w:rPr>
        <w:footnoteReference w:id="9"/>
      </w:r>
      <w:r>
        <w:t xml:space="preserve"> </w:t>
      </w:r>
      <w:r w:rsidR="00D5111E">
        <w:t>Numerous</w:t>
      </w:r>
      <w:r>
        <w:t xml:space="preserve"> </w:t>
      </w:r>
      <w:r w:rsidR="00067869">
        <w:t>preparations</w:t>
      </w:r>
      <w:r w:rsidR="006F6198">
        <w:t xml:space="preserve">, including </w:t>
      </w:r>
      <w:r>
        <w:t>oral</w:t>
      </w:r>
      <w:r w:rsidR="00AF532E">
        <w:t>, inhal</w:t>
      </w:r>
      <w:r w:rsidR="00A843E1">
        <w:t>ers</w:t>
      </w:r>
      <w:r>
        <w:t xml:space="preserve"> and injectable</w:t>
      </w:r>
      <w:r w:rsidR="00F4443A">
        <w:t xml:space="preserve">s, </w:t>
      </w:r>
      <w:r>
        <w:t>have since been approved</w:t>
      </w:r>
      <w:r w:rsidR="00F3769F">
        <w:t>. Glycopyrronium is used</w:t>
      </w:r>
      <w:r>
        <w:t xml:space="preserve"> </w:t>
      </w:r>
      <w:r w:rsidR="00F3769F">
        <w:t>to treat chronic obstructive pulmonary disease, drooling in children with neuro-developmental disabilities and in adults with Parkinson Disease, during</w:t>
      </w:r>
      <w:r>
        <w:t xml:space="preserve"> </w:t>
      </w:r>
      <w:r w:rsidR="00F3769F">
        <w:t>anaesthesia (</w:t>
      </w:r>
      <w:r>
        <w:t xml:space="preserve">pre-medication </w:t>
      </w:r>
      <w:r w:rsidR="00AF532E">
        <w:t>and reversal of muscle relaxation</w:t>
      </w:r>
      <w:r w:rsidR="00F3769F">
        <w:t>)</w:t>
      </w:r>
      <w:r w:rsidR="00A06FD8">
        <w:t>,</w:t>
      </w:r>
      <w:r>
        <w:t xml:space="preserve"> and </w:t>
      </w:r>
      <w:r w:rsidR="00F3769F">
        <w:t xml:space="preserve">in </w:t>
      </w:r>
      <w:r>
        <w:t>palliative care</w:t>
      </w:r>
      <w:r w:rsidR="00F3769F">
        <w:t xml:space="preserve"> </w:t>
      </w:r>
      <w:r w:rsidR="00067869">
        <w:t>(</w:t>
      </w:r>
      <w:r w:rsidR="00F3769F">
        <w:t>to reduce airway secretions</w:t>
      </w:r>
      <w:r w:rsidR="00067869">
        <w:t>)</w:t>
      </w:r>
      <w:r>
        <w:t xml:space="preserve">. </w:t>
      </w:r>
      <w:r w:rsidR="00C309A1">
        <w:t xml:space="preserve">Oral glycopyrronium has been used for hyperhidrosis, </w:t>
      </w:r>
      <w:r w:rsidR="00A06FD8">
        <w:t xml:space="preserve">with useful efficacy but frequent unwanted anti-cholinergic effects, </w:t>
      </w:r>
      <w:r w:rsidR="00C309A1">
        <w:t xml:space="preserve">and this </w:t>
      </w:r>
      <w:r w:rsidR="006C5CBD">
        <w:t>suggested</w:t>
      </w:r>
      <w:r w:rsidR="00C309A1">
        <w:t xml:space="preserve"> the development of a topical formulation (Attachment 4.2, DSUR).</w:t>
      </w:r>
      <w:r w:rsidR="00AB04F6">
        <w:t xml:space="preserve"> </w:t>
      </w:r>
    </w:p>
    <w:p w14:paraId="11FCAAEE" w14:textId="4D7A910A" w:rsidR="007627BE" w:rsidRDefault="00DC2E96" w:rsidP="002721B7">
      <w:pPr>
        <w:pStyle w:val="3-BodyText"/>
      </w:pPr>
      <w:r>
        <w:t xml:space="preserve">Unwanted anti-cholinergic effects </w:t>
      </w:r>
      <w:r w:rsidR="00CE0ED2">
        <w:t xml:space="preserve">are </w:t>
      </w:r>
      <w:r w:rsidR="003C129E">
        <w:t>not avoided by</w:t>
      </w:r>
      <w:r>
        <w:t xml:space="preserve"> topical use. </w:t>
      </w:r>
      <w:r w:rsidR="00760DE6">
        <w:t>Bioavailability of</w:t>
      </w:r>
      <w:r w:rsidR="00D5111E">
        <w:t xml:space="preserve"> </w:t>
      </w:r>
      <w:r w:rsidR="00460F5B">
        <w:t xml:space="preserve">topical glycopyrronium is </w:t>
      </w:r>
      <w:r w:rsidR="00760DE6">
        <w:t xml:space="preserve">lower </w:t>
      </w:r>
      <w:r w:rsidR="00603B25">
        <w:t>than that of oral glycopyrronium</w:t>
      </w:r>
      <w:r w:rsidR="00C86DF4">
        <w:t>,</w:t>
      </w:r>
      <w:r w:rsidR="00470654">
        <w:t xml:space="preserve"> but systemic exposure does occur.</w:t>
      </w:r>
      <w:r w:rsidR="00470654">
        <w:rPr>
          <w:rStyle w:val="FootnoteReference"/>
          <w:color w:val="000000" w:themeColor="text1"/>
        </w:rPr>
        <w:footnoteReference w:id="10"/>
      </w:r>
      <w:r w:rsidR="00470654">
        <w:t xml:space="preserve"> Although hand washing after application is advised, t</w:t>
      </w:r>
      <w:r w:rsidR="00460F5B">
        <w:t xml:space="preserve">here is the potential for </w:t>
      </w:r>
      <w:r w:rsidR="00A06FD8">
        <w:t>GPB</w:t>
      </w:r>
      <w:r w:rsidR="00460F5B">
        <w:t xml:space="preserve"> left on the fingers after topical application to be swallowed</w:t>
      </w:r>
      <w:r>
        <w:t xml:space="preserve"> or transferred to the eyes</w:t>
      </w:r>
      <w:r w:rsidR="00481B7D">
        <w:t>, with potentially serious consequences for patients driving or operating machinery</w:t>
      </w:r>
      <w:r>
        <w:t>.</w:t>
      </w:r>
      <w:r w:rsidR="00CE0ED2">
        <w:rPr>
          <w:rStyle w:val="FootnoteReference"/>
          <w:color w:val="000000" w:themeColor="text1"/>
        </w:rPr>
        <w:footnoteReference w:id="11"/>
      </w:r>
      <w:r w:rsidR="00A77672">
        <w:t xml:space="preserve"> </w:t>
      </w:r>
    </w:p>
    <w:p w14:paraId="2AC13CEC" w14:textId="77777777" w:rsidR="009C7F52" w:rsidRPr="00C33D30" w:rsidRDefault="009C7F52" w:rsidP="009C7F52">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98262F" w:rsidRDefault="00B50DB8" w:rsidP="004E18E9">
      <w:pPr>
        <w:pStyle w:val="2-SectionHeading"/>
      </w:pPr>
      <w:bookmarkStart w:id="15" w:name="_Toc208997653"/>
      <w:r w:rsidRPr="0098262F">
        <w:t>Comparator</w:t>
      </w:r>
      <w:bookmarkEnd w:id="15"/>
    </w:p>
    <w:p w14:paraId="0CF9D23A" w14:textId="3208F2D4" w:rsidR="00AF5E3F" w:rsidRPr="00465EE4" w:rsidRDefault="00AF5E3F" w:rsidP="002721B7">
      <w:pPr>
        <w:pStyle w:val="3-BodyText"/>
      </w:pPr>
      <w:r w:rsidRPr="00465EE4">
        <w:t>The nominated comparator was BTA. BTA is the only PBS-listed treatment for PAHH</w:t>
      </w:r>
      <w:r w:rsidR="003C129E" w:rsidRPr="00465EE4">
        <w:t xml:space="preserve">. </w:t>
      </w:r>
      <w:r w:rsidRPr="00465EE4">
        <w:t>Th</w:t>
      </w:r>
      <w:r w:rsidR="004B48F6">
        <w:t>e</w:t>
      </w:r>
      <w:r w:rsidR="00C54613">
        <w:t xml:space="preserve"> evaluation considered the nominated</w:t>
      </w:r>
      <w:r w:rsidRPr="00465EE4">
        <w:t xml:space="preserve"> comparator was </w:t>
      </w:r>
      <w:r w:rsidR="00D5111E" w:rsidRPr="00465EE4">
        <w:t>reasonable</w:t>
      </w:r>
      <w:r w:rsidRPr="00465EE4">
        <w:t xml:space="preserve">. </w:t>
      </w:r>
    </w:p>
    <w:p w14:paraId="747A75CC" w14:textId="138F572B" w:rsidR="00A05472" w:rsidRPr="00465EE4" w:rsidRDefault="00AF5E3F" w:rsidP="002721B7">
      <w:pPr>
        <w:pStyle w:val="3-BodyText"/>
      </w:pPr>
      <w:r w:rsidRPr="00465EE4">
        <w:t>However, GPB is</w:t>
      </w:r>
      <w:r w:rsidR="00C54613">
        <w:t xml:space="preserve"> also</w:t>
      </w:r>
      <w:r w:rsidRPr="00465EE4">
        <w:t xml:space="preserve"> </w:t>
      </w:r>
      <w:r w:rsidR="00732B6F" w:rsidRPr="00465EE4">
        <w:t>likely</w:t>
      </w:r>
      <w:r w:rsidRPr="00465EE4">
        <w:t xml:space="preserve"> to be </w:t>
      </w:r>
      <w:r w:rsidR="00C23E24" w:rsidRPr="00465EE4">
        <w:t xml:space="preserve">widely </w:t>
      </w:r>
      <w:r w:rsidRPr="00465EE4">
        <w:t xml:space="preserve">used in patients who have not </w:t>
      </w:r>
      <w:r w:rsidR="00C23E24" w:rsidRPr="00465EE4">
        <w:t xml:space="preserve">used </w:t>
      </w:r>
      <w:r w:rsidRPr="00465EE4">
        <w:t xml:space="preserve">and </w:t>
      </w:r>
      <w:r w:rsidR="00C23E24" w:rsidRPr="00465EE4">
        <w:t xml:space="preserve">are unlikely to use BTA. For this reason, the submission </w:t>
      </w:r>
      <w:r w:rsidR="008A166B" w:rsidRPr="00465EE4">
        <w:t xml:space="preserve">nominated </w:t>
      </w:r>
      <w:r w:rsidR="00C23E24" w:rsidRPr="00465EE4">
        <w:t>placebo as a secondary comparator</w:t>
      </w:r>
      <w:r w:rsidR="008A166B" w:rsidRPr="00465EE4">
        <w:t xml:space="preserve"> (Table 1-1, p18 of the submission).</w:t>
      </w:r>
      <w:r w:rsidR="00C03DDB" w:rsidRPr="00465EE4">
        <w:t xml:space="preserve"> Th</w:t>
      </w:r>
      <w:r w:rsidR="00224F85">
        <w:t>e evaluation considered this</w:t>
      </w:r>
      <w:r w:rsidR="00C03DDB" w:rsidRPr="00465EE4">
        <w:t xml:space="preserve"> was not appropriate. </w:t>
      </w:r>
      <w:r w:rsidR="00BD79F5" w:rsidRPr="00465EE4">
        <w:t xml:space="preserve">Although a requirement </w:t>
      </w:r>
      <w:r w:rsidR="006855E7" w:rsidRPr="00465EE4">
        <w:t xml:space="preserve">for </w:t>
      </w:r>
      <w:r w:rsidR="003C129E" w:rsidRPr="00465EE4">
        <w:t>an unsatisfactory response</w:t>
      </w:r>
      <w:r w:rsidR="006855E7" w:rsidRPr="00465EE4">
        <w:t xml:space="preserve"> </w:t>
      </w:r>
      <w:r w:rsidR="003C129E" w:rsidRPr="00465EE4">
        <w:t xml:space="preserve">to a trial of </w:t>
      </w:r>
      <w:r w:rsidR="00BD79F5" w:rsidRPr="00465EE4">
        <w:t>high dose topical aluminium</w:t>
      </w:r>
      <w:r w:rsidR="006855E7" w:rsidRPr="00465EE4">
        <w:t xml:space="preserve"> </w:t>
      </w:r>
      <w:r w:rsidR="00BD79F5" w:rsidRPr="00465EE4">
        <w:t>is included in the r</w:t>
      </w:r>
      <w:r w:rsidR="006855E7" w:rsidRPr="00465EE4">
        <w:t xml:space="preserve">estriction, </w:t>
      </w:r>
      <w:r w:rsidR="00BD79F5" w:rsidRPr="00465EE4">
        <w:t xml:space="preserve">GPB is likely to </w:t>
      </w:r>
      <w:r w:rsidR="00D5111E" w:rsidRPr="00465EE4">
        <w:t xml:space="preserve">displace </w:t>
      </w:r>
      <w:r w:rsidR="006855E7" w:rsidRPr="00465EE4">
        <w:t>long-term</w:t>
      </w:r>
      <w:r w:rsidR="00BD79F5" w:rsidRPr="00465EE4">
        <w:t xml:space="preserve"> topical aluminium</w:t>
      </w:r>
      <w:r w:rsidR="00D5111E" w:rsidRPr="00465EE4">
        <w:t xml:space="preserve">, which </w:t>
      </w:r>
      <w:r w:rsidR="00576609" w:rsidRPr="00465EE4">
        <w:t xml:space="preserve">the evaluation considered </w:t>
      </w:r>
      <w:r w:rsidR="00D5111E" w:rsidRPr="00465EE4">
        <w:t xml:space="preserve">would </w:t>
      </w:r>
      <w:r w:rsidR="003C1694" w:rsidRPr="00465EE4">
        <w:t>also likely be an appropriate</w:t>
      </w:r>
      <w:r w:rsidR="009903F2" w:rsidRPr="00465EE4">
        <w:t xml:space="preserve"> secondary</w:t>
      </w:r>
      <w:r w:rsidR="003C1694" w:rsidRPr="00465EE4">
        <w:t xml:space="preserve"> comparator. </w:t>
      </w:r>
    </w:p>
    <w:p w14:paraId="195AFDA3" w14:textId="034706D7" w:rsidR="003C1694" w:rsidRPr="00465EE4" w:rsidRDefault="003C1694" w:rsidP="002721B7">
      <w:pPr>
        <w:pStyle w:val="3-BodyText"/>
      </w:pPr>
      <w:r w:rsidRPr="00465EE4">
        <w:t>The PSCR</w:t>
      </w:r>
      <w:r w:rsidR="00B263B9">
        <w:t xml:space="preserve"> and </w:t>
      </w:r>
      <w:r w:rsidR="0069365D">
        <w:t>p</w:t>
      </w:r>
      <w:r w:rsidR="00B263B9">
        <w:t>re-PBAC response</w:t>
      </w:r>
      <w:r w:rsidRPr="00465EE4">
        <w:t xml:space="preserve"> argued the inclusion of aluminium-based </w:t>
      </w:r>
      <w:r w:rsidR="00B35E4D" w:rsidRPr="00465EE4">
        <w:t>treatments</w:t>
      </w:r>
      <w:r w:rsidRPr="00465EE4">
        <w:t xml:space="preserve"> as a comparator was clinically inappropriate and misaligned with the treatment algorithm for PAHH previously accepted for BTA and with the proposed restriction for GPB, which places these therapies after inadequate response (or intolerance) to topical aluminium treatment. The PSCR </w:t>
      </w:r>
      <w:r w:rsidR="00AD7913">
        <w:t xml:space="preserve">and </w:t>
      </w:r>
      <w:r w:rsidR="0069365D">
        <w:t>p</w:t>
      </w:r>
      <w:r w:rsidR="00AD7913">
        <w:t xml:space="preserve">re-PBAC response </w:t>
      </w:r>
      <w:r w:rsidRPr="00465EE4">
        <w:t>also argued the nomination of placebo as a secondary comparator was in the context of there being a cohort of patients with severe PAHH who elect not to receive BTA</w:t>
      </w:r>
      <w:r w:rsidR="00750032" w:rsidRPr="00465EE4">
        <w:t>.</w:t>
      </w:r>
    </w:p>
    <w:p w14:paraId="51EE9B5E" w14:textId="5ACA1E27" w:rsidR="009903F2" w:rsidRPr="009C7F52" w:rsidRDefault="009903F2" w:rsidP="002721B7">
      <w:pPr>
        <w:pStyle w:val="3-BodyText"/>
      </w:pPr>
      <w:r w:rsidRPr="00465EE4">
        <w:t>The ESC acknowledged the proposed restriction and treatment algorithm previously accepted for BTA for PAHH, however considered the relative ease of access to GPB through general practitioners and</w:t>
      </w:r>
      <w:r w:rsidR="00891603" w:rsidRPr="00465EE4">
        <w:t xml:space="preserve"> likely</w:t>
      </w:r>
      <w:r w:rsidRPr="00465EE4">
        <w:t xml:space="preserve"> out of pocket cost to patients for high strength aluminium-based </w:t>
      </w:r>
      <w:r w:rsidR="00891603" w:rsidRPr="00465EE4">
        <w:t>treatment</w:t>
      </w:r>
      <w:r w:rsidRPr="00465EE4">
        <w:t>s would likely result in GPB directly replacing these in practice. Therefore, the ESC considered high strength topical aluminium-based treatments to be a reasonable secondary comparator</w:t>
      </w:r>
      <w:r w:rsidR="006E7F6A" w:rsidRPr="00465EE4">
        <w:t>.</w:t>
      </w:r>
      <w:r w:rsidRPr="00465EE4">
        <w:t xml:space="preserve"> </w:t>
      </w:r>
    </w:p>
    <w:p w14:paraId="48F9333A" w14:textId="77777777" w:rsidR="009C7F52" w:rsidRPr="00C33D30" w:rsidRDefault="009C7F52" w:rsidP="009C7F52">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98262F" w:rsidRDefault="00223D5A" w:rsidP="00223D5A">
      <w:pPr>
        <w:pStyle w:val="2-SectionHeading"/>
        <w:numPr>
          <w:ilvl w:val="0"/>
          <w:numId w:val="1"/>
        </w:numPr>
      </w:pPr>
      <w:bookmarkStart w:id="16" w:name="_Toc208997654"/>
      <w:bookmarkStart w:id="17" w:name="_Toc22897640"/>
      <w:r w:rsidRPr="0098262F">
        <w:t>Consideration of the evidence</w:t>
      </w:r>
      <w:bookmarkEnd w:id="16"/>
    </w:p>
    <w:p w14:paraId="11B01708" w14:textId="77777777" w:rsidR="00785859" w:rsidRPr="006E1229" w:rsidRDefault="00785859" w:rsidP="00AB240B">
      <w:pPr>
        <w:pStyle w:val="4-SubsectionHeading"/>
        <w:rPr>
          <w:lang w:eastAsia="en-AU"/>
        </w:rPr>
      </w:pPr>
      <w:bookmarkStart w:id="18" w:name="_Hlk76375935"/>
      <w:bookmarkStart w:id="19" w:name="_Toc208997655"/>
      <w:r w:rsidRPr="006E1229">
        <w:t>Sponsor</w:t>
      </w:r>
      <w:r w:rsidRPr="006E1229">
        <w:rPr>
          <w:lang w:eastAsia="en-AU"/>
        </w:rPr>
        <w:t xml:space="preserve"> hearing</w:t>
      </w:r>
    </w:p>
    <w:p w14:paraId="3681FDFA" w14:textId="01924A90" w:rsidR="00785859" w:rsidRPr="0055606F" w:rsidRDefault="00AB4536" w:rsidP="00D3681A">
      <w:pPr>
        <w:pStyle w:val="3-BodyText"/>
        <w:rPr>
          <w:rFonts w:cs="Calibri"/>
          <w:snapToGrid w:val="0"/>
        </w:rPr>
      </w:pPr>
      <w:r w:rsidRPr="00836F75">
        <w:rPr>
          <w:snapToGrid w:val="0"/>
        </w:rPr>
        <w:t>The sponsor requested a hearing for this item. The clinician</w:t>
      </w:r>
      <w:r w:rsidR="00694BE4">
        <w:rPr>
          <w:snapToGrid w:val="0"/>
        </w:rPr>
        <w:t>s</w:t>
      </w:r>
      <w:r w:rsidRPr="00836F75">
        <w:rPr>
          <w:snapToGrid w:val="0"/>
        </w:rPr>
        <w:t xml:space="preserve"> </w:t>
      </w:r>
      <w:r w:rsidR="009B3997">
        <w:rPr>
          <w:snapToGrid w:val="0"/>
        </w:rPr>
        <w:t xml:space="preserve">described the lived experience of patients with severe </w:t>
      </w:r>
      <w:r w:rsidR="00694BE4">
        <w:rPr>
          <w:snapToGrid w:val="0"/>
        </w:rPr>
        <w:t xml:space="preserve">PAHH </w:t>
      </w:r>
      <w:r w:rsidR="005852F5">
        <w:rPr>
          <w:snapToGrid w:val="0"/>
        </w:rPr>
        <w:t>that is inadequately treated</w:t>
      </w:r>
      <w:r w:rsidR="0011683C">
        <w:rPr>
          <w:snapToGrid w:val="0"/>
        </w:rPr>
        <w:t xml:space="preserve">. The </w:t>
      </w:r>
      <w:r w:rsidR="00694BE4">
        <w:rPr>
          <w:snapToGrid w:val="0"/>
        </w:rPr>
        <w:t>psycho</w:t>
      </w:r>
      <w:r w:rsidR="005852F5">
        <w:rPr>
          <w:snapToGrid w:val="0"/>
        </w:rPr>
        <w:t>social impacts</w:t>
      </w:r>
      <w:r w:rsidR="00832C7D">
        <w:rPr>
          <w:snapToGrid w:val="0"/>
        </w:rPr>
        <w:t xml:space="preserve"> included dealing with bullying, b</w:t>
      </w:r>
      <w:r w:rsidR="00832C7D" w:rsidRPr="00832C7D">
        <w:rPr>
          <w:snapToGrid w:val="0"/>
        </w:rPr>
        <w:t>asic social interactions are distressing</w:t>
      </w:r>
      <w:r w:rsidR="00832C7D">
        <w:rPr>
          <w:snapToGrid w:val="0"/>
        </w:rPr>
        <w:t xml:space="preserve">, students </w:t>
      </w:r>
      <w:r w:rsidR="00832C7D">
        <w:rPr>
          <w:rFonts w:cs="Calibri"/>
          <w:snapToGrid w:val="0"/>
        </w:rPr>
        <w:t>cannot write because they drip on their papers at school and feeling anxious and embarrassed because of sweating through clothes.</w:t>
      </w:r>
      <w:r w:rsidR="00832C7D">
        <w:rPr>
          <w:snapToGrid w:val="0"/>
        </w:rPr>
        <w:t xml:space="preserve"> </w:t>
      </w:r>
      <w:r w:rsidR="00164A52">
        <w:rPr>
          <w:snapToGrid w:val="0"/>
        </w:rPr>
        <w:t xml:space="preserve">The clinicians stated </w:t>
      </w:r>
      <w:r w:rsidR="008D4A86">
        <w:rPr>
          <w:snapToGrid w:val="0"/>
        </w:rPr>
        <w:t xml:space="preserve">topical GPB would provide an alternative or adjunctive therapy for patients with severe </w:t>
      </w:r>
      <w:r w:rsidR="004D2B57">
        <w:rPr>
          <w:snapToGrid w:val="0"/>
        </w:rPr>
        <w:t xml:space="preserve">PAHH </w:t>
      </w:r>
      <w:r w:rsidR="008D4A86">
        <w:rPr>
          <w:snapToGrid w:val="0"/>
        </w:rPr>
        <w:t>who have failed or are intolerant to aluminium-based antiper</w:t>
      </w:r>
      <w:r w:rsidR="00BA14EA">
        <w:rPr>
          <w:snapToGrid w:val="0"/>
        </w:rPr>
        <w:t>spirants, patient</w:t>
      </w:r>
      <w:r w:rsidR="001B6616">
        <w:rPr>
          <w:snapToGrid w:val="0"/>
        </w:rPr>
        <w:t>s</w:t>
      </w:r>
      <w:r w:rsidR="00BA14EA">
        <w:rPr>
          <w:snapToGrid w:val="0"/>
        </w:rPr>
        <w:t xml:space="preserve"> for whom BTA is contraindicated, unaffordable, or inaccessible; and patients who prefer </w:t>
      </w:r>
      <w:r w:rsidR="00E6250C">
        <w:rPr>
          <w:snapToGrid w:val="0"/>
        </w:rPr>
        <w:t xml:space="preserve">a non-invasive, self-administered treatment option. </w:t>
      </w:r>
      <w:r w:rsidR="00850844">
        <w:rPr>
          <w:snapToGrid w:val="0"/>
        </w:rPr>
        <w:t xml:space="preserve">The clinicians noted that BTA was the only approved and funded treatment option </w:t>
      </w:r>
      <w:r w:rsidR="00F31143">
        <w:rPr>
          <w:snapToGrid w:val="0"/>
        </w:rPr>
        <w:t>available in Australia</w:t>
      </w:r>
      <w:r w:rsidR="00C21917">
        <w:rPr>
          <w:snapToGrid w:val="0"/>
        </w:rPr>
        <w:t>,</w:t>
      </w:r>
      <w:r w:rsidR="00F31143">
        <w:rPr>
          <w:snapToGrid w:val="0"/>
        </w:rPr>
        <w:t xml:space="preserve"> however </w:t>
      </w:r>
      <w:r w:rsidR="000407E0">
        <w:rPr>
          <w:snapToGrid w:val="0"/>
        </w:rPr>
        <w:t xml:space="preserve">several limitations to this treatment exist including </w:t>
      </w:r>
      <w:r w:rsidR="00490353">
        <w:rPr>
          <w:snapToGrid w:val="0"/>
        </w:rPr>
        <w:t xml:space="preserve">access challenges for patients in </w:t>
      </w:r>
      <w:r w:rsidR="00624C1D">
        <w:rPr>
          <w:snapToGrid w:val="0"/>
        </w:rPr>
        <w:t>regional</w:t>
      </w:r>
      <w:r w:rsidR="00490353">
        <w:rPr>
          <w:snapToGrid w:val="0"/>
        </w:rPr>
        <w:t xml:space="preserve"> and rural areas, </w:t>
      </w:r>
      <w:r w:rsidR="00C21917">
        <w:rPr>
          <w:snapToGrid w:val="0"/>
        </w:rPr>
        <w:t xml:space="preserve">prohibitive </w:t>
      </w:r>
      <w:r w:rsidR="00490353">
        <w:rPr>
          <w:snapToGrid w:val="0"/>
        </w:rPr>
        <w:t>out-of-pocket costs</w:t>
      </w:r>
      <w:r w:rsidR="00983D6F">
        <w:rPr>
          <w:snapToGrid w:val="0"/>
        </w:rPr>
        <w:t xml:space="preserve">, and variable treatment outcomes </w:t>
      </w:r>
      <w:r w:rsidR="0084583E">
        <w:rPr>
          <w:snapToGrid w:val="0"/>
        </w:rPr>
        <w:t xml:space="preserve">which may impact the BTA clinical effect </w:t>
      </w:r>
      <w:r w:rsidR="00357DEF">
        <w:rPr>
          <w:snapToGrid w:val="0"/>
        </w:rPr>
        <w:t>when used</w:t>
      </w:r>
      <w:r w:rsidR="00C013EB">
        <w:rPr>
          <w:snapToGrid w:val="0"/>
        </w:rPr>
        <w:t xml:space="preserve"> for the</w:t>
      </w:r>
      <w:r w:rsidR="00357DEF">
        <w:rPr>
          <w:snapToGrid w:val="0"/>
        </w:rPr>
        <w:t xml:space="preserve"> </w:t>
      </w:r>
      <w:r w:rsidR="0084583E">
        <w:rPr>
          <w:snapToGrid w:val="0"/>
        </w:rPr>
        <w:t xml:space="preserve">treatment of other medical conditions in the future. </w:t>
      </w:r>
      <w:r w:rsidRPr="0055606F">
        <w:rPr>
          <w:snapToGrid w:val="0"/>
        </w:rPr>
        <w:t xml:space="preserve">The PBAC considered that the hearing was informative as it provided </w:t>
      </w:r>
      <w:r w:rsidR="006A3D35">
        <w:rPr>
          <w:snapToGrid w:val="0"/>
        </w:rPr>
        <w:t xml:space="preserve">the patient </w:t>
      </w:r>
      <w:r w:rsidRPr="0055606F">
        <w:rPr>
          <w:snapToGrid w:val="0"/>
        </w:rPr>
        <w:t xml:space="preserve">perspective </w:t>
      </w:r>
      <w:r w:rsidR="006A3D35">
        <w:rPr>
          <w:snapToGrid w:val="0"/>
        </w:rPr>
        <w:t xml:space="preserve">for </w:t>
      </w:r>
      <w:r w:rsidRPr="0055606F">
        <w:rPr>
          <w:snapToGrid w:val="0"/>
        </w:rPr>
        <w:t xml:space="preserve">this </w:t>
      </w:r>
      <w:r w:rsidR="00947FB3" w:rsidRPr="0055606F">
        <w:rPr>
          <w:snapToGrid w:val="0"/>
        </w:rPr>
        <w:t>condition</w:t>
      </w:r>
      <w:r w:rsidR="00785859" w:rsidRPr="0055606F">
        <w:rPr>
          <w:rFonts w:cs="Calibri"/>
          <w:snapToGrid w:val="0"/>
        </w:rPr>
        <w:t>.</w:t>
      </w:r>
    </w:p>
    <w:p w14:paraId="33F937CA" w14:textId="77777777" w:rsidR="00785859" w:rsidRPr="006E1229" w:rsidRDefault="00785859" w:rsidP="00AB240B">
      <w:pPr>
        <w:pStyle w:val="4-SubsectionHeading"/>
        <w:rPr>
          <w:lang w:eastAsia="en-AU"/>
        </w:rPr>
      </w:pPr>
      <w:r w:rsidRPr="006E1229">
        <w:t>Consumer</w:t>
      </w:r>
      <w:r w:rsidRPr="006E1229">
        <w:rPr>
          <w:lang w:eastAsia="en-AU"/>
        </w:rPr>
        <w:t xml:space="preserve"> </w:t>
      </w:r>
      <w:r>
        <w:rPr>
          <w:lang w:eastAsia="en-AU"/>
        </w:rPr>
        <w:t>input</w:t>
      </w:r>
      <w:r w:rsidRPr="006E1229">
        <w:rPr>
          <w:lang w:eastAsia="en-AU"/>
        </w:rPr>
        <w:t>s</w:t>
      </w:r>
    </w:p>
    <w:p w14:paraId="7ADDFD4C" w14:textId="28530365" w:rsidR="00785859" w:rsidRPr="00836F75" w:rsidRDefault="00785859" w:rsidP="00D3681A">
      <w:pPr>
        <w:pStyle w:val="3-BodyText"/>
        <w:rPr>
          <w:snapToGrid w:val="0"/>
        </w:rPr>
      </w:pPr>
      <w:bookmarkStart w:id="20" w:name="_Hlk76382618"/>
      <w:r w:rsidRPr="00836F75">
        <w:rPr>
          <w:snapToGrid w:val="0"/>
        </w:rPr>
        <w:t>The PBAC noted and welcomed the input from health care professionals (</w:t>
      </w:r>
      <w:r w:rsidR="002A65CD">
        <w:rPr>
          <w:snapToGrid w:val="0"/>
        </w:rPr>
        <w:t>1</w:t>
      </w:r>
      <w:r w:rsidRPr="00836F75">
        <w:rPr>
          <w:snapToGrid w:val="0"/>
        </w:rPr>
        <w:t xml:space="preserve">) and organisations (1) via the </w:t>
      </w:r>
      <w:r w:rsidRPr="00A46D6F">
        <w:rPr>
          <w:snapToGrid w:val="0"/>
        </w:rPr>
        <w:t>Office of Health Technology Assessment Consultation Hub</w:t>
      </w:r>
      <w:r w:rsidRPr="00836F75">
        <w:rPr>
          <w:snapToGrid w:val="0"/>
        </w:rPr>
        <w:t xml:space="preserve">. </w:t>
      </w:r>
      <w:r w:rsidR="00960397">
        <w:rPr>
          <w:snapToGrid w:val="0"/>
        </w:rPr>
        <w:t xml:space="preserve">Input was provided by </w:t>
      </w:r>
      <w:r w:rsidR="00BC53CF" w:rsidRPr="00BC53CF">
        <w:rPr>
          <w:snapToGrid w:val="0"/>
        </w:rPr>
        <w:t xml:space="preserve">a paediatric dermatologist </w:t>
      </w:r>
      <w:r w:rsidR="00F0230F">
        <w:rPr>
          <w:snapToGrid w:val="0"/>
        </w:rPr>
        <w:t xml:space="preserve">who </w:t>
      </w:r>
      <w:r w:rsidR="00BC53CF" w:rsidRPr="00BC53CF">
        <w:rPr>
          <w:snapToGrid w:val="0"/>
        </w:rPr>
        <w:t>describ</w:t>
      </w:r>
      <w:r w:rsidR="00F0230F">
        <w:rPr>
          <w:snapToGrid w:val="0"/>
        </w:rPr>
        <w:t>ed</w:t>
      </w:r>
      <w:r w:rsidR="00BC53CF" w:rsidRPr="00BC53CF">
        <w:rPr>
          <w:snapToGrid w:val="0"/>
        </w:rPr>
        <w:t xml:space="preserve"> </w:t>
      </w:r>
      <w:r w:rsidR="00F84094">
        <w:rPr>
          <w:snapToGrid w:val="0"/>
        </w:rPr>
        <w:t xml:space="preserve">PAHH </w:t>
      </w:r>
      <w:r w:rsidR="00BC53CF" w:rsidRPr="00BC53CF">
        <w:rPr>
          <w:snapToGrid w:val="0"/>
        </w:rPr>
        <w:t>as a condition that significantly impact</w:t>
      </w:r>
      <w:r w:rsidR="003E42D8">
        <w:rPr>
          <w:snapToGrid w:val="0"/>
        </w:rPr>
        <w:t>s</w:t>
      </w:r>
      <w:r w:rsidR="00BC53CF" w:rsidRPr="00BC53CF">
        <w:rPr>
          <w:snapToGrid w:val="0"/>
        </w:rPr>
        <w:t xml:space="preserve"> children and adolescen</w:t>
      </w:r>
      <w:r w:rsidR="00753C25">
        <w:rPr>
          <w:snapToGrid w:val="0"/>
        </w:rPr>
        <w:t>ts</w:t>
      </w:r>
      <w:r w:rsidR="00BC53CF" w:rsidRPr="00BC53CF">
        <w:rPr>
          <w:snapToGrid w:val="0"/>
        </w:rPr>
        <w:t>’ daily functioning and psychosocial well-being.</w:t>
      </w:r>
      <w:r w:rsidRPr="00836F75">
        <w:rPr>
          <w:snapToGrid w:val="0"/>
        </w:rPr>
        <w:t xml:space="preserve"> </w:t>
      </w:r>
      <w:r w:rsidR="003E42D8">
        <w:rPr>
          <w:snapToGrid w:val="0"/>
        </w:rPr>
        <w:t>The i</w:t>
      </w:r>
      <w:r w:rsidR="00960397" w:rsidRPr="00960397">
        <w:rPr>
          <w:snapToGrid w:val="0"/>
        </w:rPr>
        <w:t>nput note</w:t>
      </w:r>
      <w:r w:rsidR="003E42D8">
        <w:rPr>
          <w:snapToGrid w:val="0"/>
        </w:rPr>
        <w:t>d</w:t>
      </w:r>
      <w:r w:rsidR="00960397" w:rsidRPr="00960397">
        <w:rPr>
          <w:snapToGrid w:val="0"/>
        </w:rPr>
        <w:t xml:space="preserve"> current treatments include</w:t>
      </w:r>
      <w:r w:rsidR="00ED3573">
        <w:rPr>
          <w:snapToGrid w:val="0"/>
        </w:rPr>
        <w:t xml:space="preserve"> </w:t>
      </w:r>
      <w:r w:rsidR="00960397" w:rsidRPr="00960397">
        <w:rPr>
          <w:snapToGrid w:val="0"/>
        </w:rPr>
        <w:t>topical antiperspirants</w:t>
      </w:r>
      <w:r w:rsidR="00ED3573">
        <w:rPr>
          <w:snapToGrid w:val="0"/>
        </w:rPr>
        <w:t>,</w:t>
      </w:r>
      <w:r w:rsidR="00960397" w:rsidRPr="00960397">
        <w:rPr>
          <w:snapToGrid w:val="0"/>
        </w:rPr>
        <w:t xml:space="preserve"> </w:t>
      </w:r>
      <w:r w:rsidR="00C71C34">
        <w:rPr>
          <w:snapToGrid w:val="0"/>
        </w:rPr>
        <w:t>BTA</w:t>
      </w:r>
      <w:r w:rsidR="00C71C34" w:rsidRPr="00960397">
        <w:rPr>
          <w:snapToGrid w:val="0"/>
        </w:rPr>
        <w:t xml:space="preserve"> </w:t>
      </w:r>
      <w:r w:rsidR="00960397" w:rsidRPr="00960397">
        <w:rPr>
          <w:snapToGrid w:val="0"/>
        </w:rPr>
        <w:t>injections</w:t>
      </w:r>
      <w:r w:rsidR="00ED3573">
        <w:rPr>
          <w:snapToGrid w:val="0"/>
        </w:rPr>
        <w:t>,</w:t>
      </w:r>
      <w:r w:rsidR="00960397" w:rsidRPr="00960397">
        <w:rPr>
          <w:snapToGrid w:val="0"/>
        </w:rPr>
        <w:t xml:space="preserve"> oral anticholinergic</w:t>
      </w:r>
      <w:r w:rsidR="00ED3573">
        <w:rPr>
          <w:snapToGrid w:val="0"/>
        </w:rPr>
        <w:t>,</w:t>
      </w:r>
      <w:r w:rsidR="00960397" w:rsidRPr="00960397">
        <w:rPr>
          <w:snapToGrid w:val="0"/>
        </w:rPr>
        <w:t xml:space="preserve"> iontophoresis and microwave therapy, </w:t>
      </w:r>
      <w:r w:rsidR="00ED3573">
        <w:rPr>
          <w:snapToGrid w:val="0"/>
        </w:rPr>
        <w:t xml:space="preserve">noting these </w:t>
      </w:r>
      <w:r w:rsidR="00960397" w:rsidRPr="00960397">
        <w:rPr>
          <w:snapToGrid w:val="0"/>
        </w:rPr>
        <w:t>all have limitations including side</w:t>
      </w:r>
      <w:r w:rsidR="007B4EC0">
        <w:rPr>
          <w:snapToGrid w:val="0"/>
        </w:rPr>
        <w:t xml:space="preserve"> </w:t>
      </w:r>
      <w:r w:rsidR="00960397" w:rsidRPr="00960397">
        <w:rPr>
          <w:snapToGrid w:val="0"/>
        </w:rPr>
        <w:t xml:space="preserve">effects, cost and practicality. </w:t>
      </w:r>
      <w:r w:rsidR="009B183A">
        <w:rPr>
          <w:snapToGrid w:val="0"/>
        </w:rPr>
        <w:t>The i</w:t>
      </w:r>
      <w:r w:rsidR="00960397" w:rsidRPr="00960397">
        <w:rPr>
          <w:snapToGrid w:val="0"/>
        </w:rPr>
        <w:t>nput note</w:t>
      </w:r>
      <w:r w:rsidR="009B183A">
        <w:rPr>
          <w:snapToGrid w:val="0"/>
        </w:rPr>
        <w:t>d</w:t>
      </w:r>
      <w:r w:rsidR="00960397" w:rsidRPr="00960397">
        <w:rPr>
          <w:snapToGrid w:val="0"/>
        </w:rPr>
        <w:t xml:space="preserve"> </w:t>
      </w:r>
      <w:r w:rsidR="005A3ECB">
        <w:rPr>
          <w:snapToGrid w:val="0"/>
        </w:rPr>
        <w:t>GPB</w:t>
      </w:r>
      <w:r w:rsidR="00960397" w:rsidRPr="00960397">
        <w:rPr>
          <w:snapToGrid w:val="0"/>
        </w:rPr>
        <w:t xml:space="preserve"> offers </w:t>
      </w:r>
      <w:r w:rsidR="009B183A">
        <w:rPr>
          <w:snapToGrid w:val="0"/>
        </w:rPr>
        <w:t xml:space="preserve">patients </w:t>
      </w:r>
      <w:r w:rsidR="00960397" w:rsidRPr="00960397">
        <w:rPr>
          <w:snapToGrid w:val="0"/>
        </w:rPr>
        <w:t>an effective, accessible, and less invasive treatment option, with minimal side-effects.</w:t>
      </w:r>
      <w:r w:rsidR="00960397">
        <w:rPr>
          <w:snapToGrid w:val="0"/>
        </w:rPr>
        <w:t xml:space="preserve"> </w:t>
      </w:r>
      <w:r w:rsidR="000949BA">
        <w:rPr>
          <w:snapToGrid w:val="0"/>
        </w:rPr>
        <w:t>The input</w:t>
      </w:r>
      <w:r w:rsidR="00753C25">
        <w:rPr>
          <w:snapToGrid w:val="0"/>
        </w:rPr>
        <w:t xml:space="preserve"> </w:t>
      </w:r>
      <w:r w:rsidR="000949BA">
        <w:rPr>
          <w:snapToGrid w:val="0"/>
        </w:rPr>
        <w:t>highlighted that the paediatric/adolescent patients are desperate for help</w:t>
      </w:r>
      <w:r w:rsidR="007B4EC0">
        <w:rPr>
          <w:snapToGrid w:val="0"/>
        </w:rPr>
        <w:t xml:space="preserve">, noting that </w:t>
      </w:r>
      <w:r w:rsidR="00A1005F">
        <w:rPr>
          <w:snapToGrid w:val="0"/>
        </w:rPr>
        <w:t xml:space="preserve">it is recognised that </w:t>
      </w:r>
      <w:r w:rsidR="000949BA" w:rsidRPr="000949BA">
        <w:rPr>
          <w:snapToGrid w:val="0"/>
        </w:rPr>
        <w:t>serious dermatology conditions have significant psychosocial sequelae, like depression, anxiety and school absenteeism.</w:t>
      </w:r>
    </w:p>
    <w:p w14:paraId="2EEE8ED5" w14:textId="2E6D671A" w:rsidR="00785859" w:rsidRPr="00480532" w:rsidRDefault="00785859" w:rsidP="00D3681A">
      <w:pPr>
        <w:pStyle w:val="3-BodyText"/>
        <w:rPr>
          <w:snapToGrid w:val="0"/>
        </w:rPr>
      </w:pPr>
      <w:r w:rsidRPr="00836F75">
        <w:rPr>
          <w:snapToGrid w:val="0"/>
        </w:rPr>
        <w:t xml:space="preserve">The PBAC noted the advice received from </w:t>
      </w:r>
      <w:r w:rsidR="003C1781">
        <w:rPr>
          <w:snapToGrid w:val="0"/>
        </w:rPr>
        <w:t xml:space="preserve">the Australasian College of Dermatologists </w:t>
      </w:r>
      <w:r w:rsidR="00DF067D">
        <w:rPr>
          <w:snapToGrid w:val="0"/>
        </w:rPr>
        <w:t xml:space="preserve">supporting the listing of GPB on the PBS for </w:t>
      </w:r>
      <w:r w:rsidR="00DF067D" w:rsidRPr="00DF067D">
        <w:rPr>
          <w:snapToGrid w:val="0"/>
        </w:rPr>
        <w:t xml:space="preserve">severe </w:t>
      </w:r>
      <w:r w:rsidR="00FB7B6A">
        <w:rPr>
          <w:snapToGrid w:val="0"/>
        </w:rPr>
        <w:t>PAHH</w:t>
      </w:r>
      <w:r w:rsidR="00F53AC6">
        <w:rPr>
          <w:snapToGrid w:val="0"/>
        </w:rPr>
        <w:t xml:space="preserve">. </w:t>
      </w:r>
      <w:r w:rsidR="00075298">
        <w:rPr>
          <w:snapToGrid w:val="0"/>
        </w:rPr>
        <w:t>The input</w:t>
      </w:r>
      <w:r w:rsidR="00F274FB">
        <w:rPr>
          <w:snapToGrid w:val="0"/>
        </w:rPr>
        <w:t xml:space="preserve"> </w:t>
      </w:r>
      <w:r w:rsidR="00A07B8B">
        <w:rPr>
          <w:snapToGrid w:val="0"/>
        </w:rPr>
        <w:t xml:space="preserve">noted </w:t>
      </w:r>
      <w:r w:rsidR="00F274FB">
        <w:rPr>
          <w:snapToGrid w:val="0"/>
        </w:rPr>
        <w:t xml:space="preserve">the </w:t>
      </w:r>
      <w:r w:rsidR="00F274FB" w:rsidRPr="00F274FB">
        <w:rPr>
          <w:snapToGrid w:val="0"/>
        </w:rPr>
        <w:t>availability of</w:t>
      </w:r>
      <w:r w:rsidR="002200FE">
        <w:rPr>
          <w:snapToGrid w:val="0"/>
        </w:rPr>
        <w:t xml:space="preserve"> a</w:t>
      </w:r>
      <w:r w:rsidR="00F274FB" w:rsidRPr="00F274FB">
        <w:rPr>
          <w:snapToGrid w:val="0"/>
        </w:rPr>
        <w:t xml:space="preserve"> ready-made glycopyrronium cream is of significant benefit</w:t>
      </w:r>
      <w:r w:rsidR="00A07B8B">
        <w:rPr>
          <w:snapToGrid w:val="0"/>
        </w:rPr>
        <w:t xml:space="preserve"> and would eliminate </w:t>
      </w:r>
      <w:r w:rsidR="00F274FB" w:rsidRPr="00F274FB">
        <w:rPr>
          <w:snapToGrid w:val="0"/>
        </w:rPr>
        <w:t>the need for compound</w:t>
      </w:r>
      <w:r w:rsidR="00753C25">
        <w:rPr>
          <w:snapToGrid w:val="0"/>
        </w:rPr>
        <w:t>ed products</w:t>
      </w:r>
      <w:r w:rsidR="006D4920">
        <w:rPr>
          <w:snapToGrid w:val="0"/>
        </w:rPr>
        <w:t xml:space="preserve">. </w:t>
      </w:r>
      <w:r w:rsidR="008B05CF">
        <w:rPr>
          <w:snapToGrid w:val="0"/>
        </w:rPr>
        <w:t>The input stated that l</w:t>
      </w:r>
      <w:r w:rsidR="006D4920">
        <w:rPr>
          <w:snapToGrid w:val="0"/>
        </w:rPr>
        <w:t xml:space="preserve">isting GPB </w:t>
      </w:r>
      <w:r w:rsidR="006D4920" w:rsidRPr="006D4920">
        <w:rPr>
          <w:snapToGrid w:val="0"/>
        </w:rPr>
        <w:t>will promote equitable access to this more convenient option and improve</w:t>
      </w:r>
      <w:r w:rsidR="00A07B8B">
        <w:rPr>
          <w:snapToGrid w:val="0"/>
        </w:rPr>
        <w:t>d treatment</w:t>
      </w:r>
      <w:r w:rsidR="006D4920" w:rsidRPr="006D4920">
        <w:rPr>
          <w:snapToGrid w:val="0"/>
        </w:rPr>
        <w:t xml:space="preserve"> adherence</w:t>
      </w:r>
      <w:r w:rsidR="006D4920">
        <w:rPr>
          <w:snapToGrid w:val="0"/>
        </w:rPr>
        <w:t>.</w:t>
      </w:r>
    </w:p>
    <w:bookmarkEnd w:id="18"/>
    <w:bookmarkEnd w:id="20"/>
    <w:p w14:paraId="609C0765" w14:textId="00E8F081" w:rsidR="00B60939" w:rsidRPr="0098262F" w:rsidRDefault="00B60939" w:rsidP="002E4F02">
      <w:pPr>
        <w:pStyle w:val="4-SubsectionHeading"/>
      </w:pPr>
      <w:r w:rsidRPr="0098262F">
        <w:t>Clinical trials</w:t>
      </w:r>
      <w:bookmarkEnd w:id="17"/>
      <w:bookmarkEnd w:id="19"/>
    </w:p>
    <w:p w14:paraId="45D79CD2" w14:textId="2FBE7598" w:rsidR="00524F00" w:rsidRPr="00D3681A" w:rsidRDefault="00524F00" w:rsidP="00D3681A">
      <w:pPr>
        <w:pStyle w:val="3-BodyText"/>
      </w:pPr>
      <w:r w:rsidRPr="00D3681A">
        <w:t>The submission was based on one randomised, placebo-controlled trial of topical GPB in adults with PAHH (Hyp1-18/2016</w:t>
      </w:r>
      <w:r w:rsidR="00991116" w:rsidRPr="00D3681A">
        <w:t>)</w:t>
      </w:r>
      <w:r w:rsidRPr="00D3681A">
        <w:t xml:space="preserve">. Data for BTA were from two published randomised, placebo-controlled trials. </w:t>
      </w:r>
    </w:p>
    <w:p w14:paraId="4EC75408" w14:textId="206568F6" w:rsidR="00524F00" w:rsidRPr="00D3681A" w:rsidRDefault="00202281" w:rsidP="00D3681A">
      <w:pPr>
        <w:pStyle w:val="3-BodyText"/>
      </w:pPr>
      <w:r w:rsidRPr="00D3681A">
        <w:t>The clinical claim</w:t>
      </w:r>
      <w:r w:rsidR="004108EC" w:rsidRPr="00D3681A">
        <w:t>s</w:t>
      </w:r>
      <w:r w:rsidR="000D5ECF" w:rsidRPr="00D3681A">
        <w:t xml:space="preserve"> that GPB is superior to placebo in terms of efficacy and non-inferior in terms of safety</w:t>
      </w:r>
      <w:r w:rsidR="004108EC" w:rsidRPr="00D3681A">
        <w:t xml:space="preserve"> were supported by the trial Hyp1-18/2016. The claims </w:t>
      </w:r>
      <w:r w:rsidR="00894AAC" w:rsidRPr="00D3681A">
        <w:t>in relation to</w:t>
      </w:r>
      <w:r w:rsidR="004108EC" w:rsidRPr="00D3681A">
        <w:t xml:space="preserve"> GPB </w:t>
      </w:r>
      <w:r w:rsidR="00894AAC" w:rsidRPr="00D3681A">
        <w:t xml:space="preserve">versus </w:t>
      </w:r>
      <w:r w:rsidR="004108EC" w:rsidRPr="00D3681A">
        <w:t xml:space="preserve">BTA in terms of efficacy </w:t>
      </w:r>
      <w:r w:rsidR="00894AAC" w:rsidRPr="00D3681A">
        <w:t>and</w:t>
      </w:r>
      <w:r w:rsidR="004108EC" w:rsidRPr="00D3681A">
        <w:t xml:space="preserve"> safety were supported by a naive comparison of the GPB and BTA trials.</w:t>
      </w:r>
      <w:r w:rsidR="00760429" w:rsidRPr="00D3681A">
        <w:t xml:space="preserve"> </w:t>
      </w:r>
      <w:r w:rsidR="00524F00" w:rsidRPr="00D3681A">
        <w:t>A formal indirect treatment comparison</w:t>
      </w:r>
      <w:r w:rsidR="004108EC" w:rsidRPr="00D3681A">
        <w:t xml:space="preserve"> of GPB versus BTA</w:t>
      </w:r>
      <w:r w:rsidR="00524F00" w:rsidRPr="00D3681A">
        <w:t xml:space="preserve"> </w:t>
      </w:r>
      <w:r w:rsidR="00F83730">
        <w:t>‘</w:t>
      </w:r>
      <w:r w:rsidR="00524F00" w:rsidRPr="00D3681A">
        <w:t xml:space="preserve">was considered unfeasible due to significant transitivity </w:t>
      </w:r>
      <w:proofErr w:type="gramStart"/>
      <w:r w:rsidR="00524F00" w:rsidRPr="00D3681A">
        <w:t>issues</w:t>
      </w:r>
      <w:r w:rsidR="00F83730">
        <w:t>’</w:t>
      </w:r>
      <w:proofErr w:type="gramEnd"/>
      <w:r w:rsidR="00815928">
        <w:t>.</w:t>
      </w:r>
    </w:p>
    <w:p w14:paraId="21308798" w14:textId="77777777" w:rsidR="00F353A0" w:rsidRPr="00D3681A" w:rsidRDefault="00524F00" w:rsidP="00D3681A">
      <w:pPr>
        <w:pStyle w:val="3-BodyText"/>
      </w:pPr>
      <w:r w:rsidRPr="00D3681A">
        <w:t>Data presented for adolescents were from an 8-week, open-label, uncontrolled study of GPB and a 52-week open-label, uncontrolled study of BTA.</w:t>
      </w:r>
    </w:p>
    <w:p w14:paraId="4C0EA4EA" w14:textId="2EAE80BF" w:rsidR="000C4D24" w:rsidRPr="00D3681A" w:rsidRDefault="00F353A0" w:rsidP="00D3681A">
      <w:pPr>
        <w:pStyle w:val="3-BodyText"/>
      </w:pPr>
      <w:bookmarkStart w:id="21" w:name="_Ref215169229"/>
      <w:proofErr w:type="gramStart"/>
      <w:r w:rsidRPr="00D3681A">
        <w:t>A number of</w:t>
      </w:r>
      <w:proofErr w:type="gramEnd"/>
      <w:r w:rsidRPr="00D3681A">
        <w:t xml:space="preserve"> trials </w:t>
      </w:r>
      <w:r w:rsidR="00151274" w:rsidRPr="00D3681A">
        <w:t xml:space="preserve">of BTA </w:t>
      </w:r>
      <w:r w:rsidRPr="00D3681A">
        <w:t xml:space="preserve">identified by the literature search were excluded. </w:t>
      </w:r>
      <w:r w:rsidR="000C4D24" w:rsidRPr="00D3681A">
        <w:t>Two</w:t>
      </w:r>
      <w:r w:rsidRPr="00D3681A">
        <w:t xml:space="preserve"> of these exclusions were inappropriate</w:t>
      </w:r>
      <w:r w:rsidR="00151274" w:rsidRPr="00D3681A">
        <w:t>.</w:t>
      </w:r>
      <w:bookmarkEnd w:id="21"/>
      <w:r w:rsidR="00151274" w:rsidRPr="00D3681A">
        <w:t xml:space="preserve"> </w:t>
      </w:r>
    </w:p>
    <w:p w14:paraId="400CA263" w14:textId="016C315D" w:rsidR="00FD54C0" w:rsidRPr="00D3681A" w:rsidRDefault="000C4D24" w:rsidP="00D3681A">
      <w:pPr>
        <w:pStyle w:val="3-BodyText"/>
      </w:pPr>
      <w:r w:rsidRPr="00D3681A">
        <w:t xml:space="preserve">One of the excluded trials (Connor, 2006) was </w:t>
      </w:r>
      <w:r w:rsidR="00F62857" w:rsidRPr="00D3681A">
        <w:t>one of two</w:t>
      </w:r>
      <w:r w:rsidRPr="00D3681A">
        <w:t xml:space="preserve"> trial</w:t>
      </w:r>
      <w:r w:rsidR="00F62857" w:rsidRPr="00D3681A">
        <w:t>s</w:t>
      </w:r>
      <w:r w:rsidRPr="00D3681A">
        <w:t xml:space="preserve"> of BTA considered by PBAC in 2009. The submission excluded this trial because patients had excessive sweating in the context of Social Anxiety Disorder; this would not justify exclusion, but the evaluation graded its risk of bias as </w:t>
      </w:r>
      <w:r w:rsidR="00F62857" w:rsidRPr="00D3681A">
        <w:t>High</w:t>
      </w:r>
      <w:r w:rsidRPr="00D3681A">
        <w:t xml:space="preserve"> because BTA and placebo injections were prepared immediately before use </w:t>
      </w:r>
      <w:r w:rsidR="00F62857" w:rsidRPr="00D3681A">
        <w:t xml:space="preserve">by an unblinded study nurse </w:t>
      </w:r>
      <w:r w:rsidR="002865F7" w:rsidRPr="00D3681A">
        <w:t>in the presence of the patient and investigator</w:t>
      </w:r>
      <w:r w:rsidRPr="00D3681A">
        <w:t xml:space="preserve">. </w:t>
      </w:r>
    </w:p>
    <w:p w14:paraId="5B57F151" w14:textId="2833A5B5" w:rsidR="00A92EA0" w:rsidRPr="00D3681A" w:rsidRDefault="001511EC" w:rsidP="00D3681A">
      <w:pPr>
        <w:pStyle w:val="3-BodyText"/>
      </w:pPr>
      <w:r w:rsidRPr="00D3681A">
        <w:t>Heckmann (2001) was a</w:t>
      </w:r>
      <w:r w:rsidR="00586F6A" w:rsidRPr="00D3681A">
        <w:t>n adequately powered</w:t>
      </w:r>
      <w:r w:rsidRPr="00D3681A">
        <w:t xml:space="preserve"> (N = 145) randomised, placebo-controlled trial</w:t>
      </w:r>
      <w:r w:rsidR="00151274" w:rsidRPr="00D3681A">
        <w:t xml:space="preserve"> with outcomes comparable to those of the included trials</w:t>
      </w:r>
      <w:r w:rsidR="002865F7" w:rsidRPr="00D3681A">
        <w:t>.</w:t>
      </w:r>
      <w:r w:rsidR="00187025" w:rsidRPr="00D3681A">
        <w:t xml:space="preserve"> The submission gave as </w:t>
      </w:r>
      <w:r w:rsidR="00586F6A" w:rsidRPr="00D3681A">
        <w:t>one</w:t>
      </w:r>
      <w:r w:rsidR="00187025" w:rsidRPr="00D3681A">
        <w:t xml:space="preserve"> reason to exclude this trial that it </w:t>
      </w:r>
      <w:r w:rsidR="00F83730">
        <w:t>‘</w:t>
      </w:r>
      <w:r w:rsidR="00187025" w:rsidRPr="00D3681A">
        <w:t xml:space="preserve">used 200 U (and then 100 U) </w:t>
      </w:r>
      <w:r w:rsidR="00187025" w:rsidRPr="00D3681A">
        <w:rPr>
          <w:b/>
          <w:bCs/>
        </w:rPr>
        <w:t>Botox</w:t>
      </w:r>
      <w:r w:rsidR="00187025" w:rsidRPr="00D3681A">
        <w:t xml:space="preserve"> per axilla rather than 50 U</w:t>
      </w:r>
      <w:r w:rsidR="00F83730">
        <w:t>’</w:t>
      </w:r>
      <w:r w:rsidR="00586F6A" w:rsidRPr="00D3681A">
        <w:t xml:space="preserve"> [emphasis added].</w:t>
      </w:r>
      <w:r w:rsidR="00AB04F6">
        <w:t xml:space="preserve"> </w:t>
      </w:r>
      <w:r w:rsidR="00586F6A" w:rsidRPr="00D3681A">
        <w:t xml:space="preserve">This </w:t>
      </w:r>
      <w:r w:rsidR="007E02CE" w:rsidRPr="00D3681A">
        <w:t>was</w:t>
      </w:r>
      <w:r w:rsidR="00187025" w:rsidRPr="00D3681A">
        <w:t xml:space="preserve"> incorrect.</w:t>
      </w:r>
      <w:r w:rsidR="002865F7" w:rsidRPr="00D3681A">
        <w:t xml:space="preserve"> Th</w:t>
      </w:r>
      <w:r w:rsidR="00586F6A" w:rsidRPr="00D3681A">
        <w:t>e</w:t>
      </w:r>
      <w:r w:rsidR="002865F7" w:rsidRPr="00D3681A">
        <w:t xml:space="preserve"> trial used </w:t>
      </w:r>
      <w:proofErr w:type="spellStart"/>
      <w:r w:rsidR="002865F7" w:rsidRPr="00D3681A">
        <w:t>abobotulinum</w:t>
      </w:r>
      <w:proofErr w:type="spellEnd"/>
      <w:r w:rsidR="00837CA1" w:rsidRPr="00D3681A">
        <w:t xml:space="preserve"> toxin (Dysport</w:t>
      </w:r>
      <w:r w:rsidR="002D4E3F" w:rsidRPr="00D3681A">
        <w:sym w:font="Symbol" w:char="F0E2"/>
      </w:r>
      <w:r w:rsidR="00837CA1" w:rsidRPr="00D3681A">
        <w:t>)</w:t>
      </w:r>
      <w:r w:rsidR="002865F7" w:rsidRPr="00D3681A">
        <w:t>,</w:t>
      </w:r>
      <w:r w:rsidR="00A4783A" w:rsidRPr="00D3681A">
        <w:rPr>
          <w:rStyle w:val="FootnoteReference"/>
          <w:vertAlign w:val="baseline"/>
        </w:rPr>
        <w:footnoteReference w:id="12"/>
      </w:r>
      <w:r w:rsidR="002865F7" w:rsidRPr="00D3681A">
        <w:t xml:space="preserve"> rather than </w:t>
      </w:r>
      <w:proofErr w:type="spellStart"/>
      <w:r w:rsidR="002865F7" w:rsidRPr="00D3681A">
        <w:t>onabotulinum</w:t>
      </w:r>
      <w:proofErr w:type="spellEnd"/>
      <w:r w:rsidR="002865F7" w:rsidRPr="00D3681A">
        <w:t xml:space="preserve"> toxi</w:t>
      </w:r>
      <w:r w:rsidR="00837CA1" w:rsidRPr="00D3681A">
        <w:t>n</w:t>
      </w:r>
      <w:r w:rsidR="002865F7" w:rsidRPr="00D3681A">
        <w:t xml:space="preserve"> (Botox</w:t>
      </w:r>
      <w:r w:rsidR="002D4E3F" w:rsidRPr="00D3681A">
        <w:sym w:font="Symbol" w:char="F0E2"/>
      </w:r>
      <w:r w:rsidR="002865F7" w:rsidRPr="00D3681A">
        <w:t>)</w:t>
      </w:r>
      <w:r w:rsidR="00586F6A" w:rsidRPr="00D3681A">
        <w:t xml:space="preserve">, and </w:t>
      </w:r>
      <w:r w:rsidR="00A4783A" w:rsidRPr="00D3681A">
        <w:t>Dysport</w:t>
      </w:r>
      <w:r w:rsidR="002865F7" w:rsidRPr="00D3681A">
        <w:t xml:space="preserve"> </w:t>
      </w:r>
      <w:r w:rsidR="00F62857" w:rsidRPr="00D3681A">
        <w:t>U</w:t>
      </w:r>
      <w:r w:rsidR="002865F7" w:rsidRPr="00D3681A">
        <w:t xml:space="preserve">nits are not the same as </w:t>
      </w:r>
      <w:r w:rsidR="00A4783A" w:rsidRPr="00D3681A">
        <w:t>Botox</w:t>
      </w:r>
      <w:r w:rsidR="00837CA1" w:rsidRPr="00D3681A">
        <w:t xml:space="preserve"> </w:t>
      </w:r>
      <w:r w:rsidR="00F62857" w:rsidRPr="00D3681A">
        <w:t>U</w:t>
      </w:r>
      <w:r w:rsidR="00837CA1" w:rsidRPr="00D3681A">
        <w:t>nits</w:t>
      </w:r>
      <w:r w:rsidR="00586F6A" w:rsidRPr="00D3681A">
        <w:t>. T</w:t>
      </w:r>
      <w:r w:rsidR="002865F7" w:rsidRPr="00D3681A">
        <w:t>he conversion factor</w:t>
      </w:r>
      <w:r w:rsidR="00557792" w:rsidRPr="00D3681A">
        <w:t xml:space="preserve"> defining doses with equal effect</w:t>
      </w:r>
      <w:r w:rsidR="002865F7" w:rsidRPr="00D3681A">
        <w:t xml:space="preserve"> is not well defined but</w:t>
      </w:r>
      <w:r w:rsidR="00837CA1" w:rsidRPr="00D3681A">
        <w:t xml:space="preserve"> is </w:t>
      </w:r>
      <w:r w:rsidR="00586F6A" w:rsidRPr="00D3681A">
        <w:t xml:space="preserve">several to one, </w:t>
      </w:r>
      <w:r w:rsidR="00042675" w:rsidRPr="00D3681A">
        <w:t>and the evaluation considered</w:t>
      </w:r>
      <w:r w:rsidR="00586F6A" w:rsidRPr="00D3681A">
        <w:t xml:space="preserve"> the doses were </w:t>
      </w:r>
      <w:r w:rsidR="00557792" w:rsidRPr="00D3681A">
        <w:t xml:space="preserve">probably </w:t>
      </w:r>
      <w:r w:rsidR="00732B6F" w:rsidRPr="00D3681A">
        <w:t>approximately</w:t>
      </w:r>
      <w:r w:rsidR="00586F6A" w:rsidRPr="00D3681A">
        <w:t xml:space="preserve"> equivalent</w:t>
      </w:r>
      <w:r w:rsidR="002865F7" w:rsidRPr="00564265">
        <w:rPr>
          <w:rStyle w:val="FootnoteReference"/>
        </w:rPr>
        <w:footnoteReference w:id="13"/>
      </w:r>
      <w:r w:rsidR="00F36DA9" w:rsidRPr="00D3681A">
        <w:t xml:space="preserve">. </w:t>
      </w:r>
      <w:r w:rsidR="00A92EA0" w:rsidRPr="00D3681A">
        <w:t>The duration of the double-blind phase was short</w:t>
      </w:r>
      <w:r w:rsidR="000F0C90" w:rsidRPr="00D3681A">
        <w:t>er (2 weeks vs 4 weeks in Hyp1-18/2018)</w:t>
      </w:r>
      <w:r w:rsidR="00A92EA0" w:rsidRPr="00D3681A">
        <w:t>, but the exclusion of this trial was inappropriate</w:t>
      </w:r>
      <w:r w:rsidR="00894218" w:rsidRPr="00D3681A">
        <w:t xml:space="preserve">, particularly </w:t>
      </w:r>
      <w:r w:rsidR="00BE29DA" w:rsidRPr="00D3681A">
        <w:t xml:space="preserve">as </w:t>
      </w:r>
      <w:r w:rsidR="00894218" w:rsidRPr="00D3681A">
        <w:t xml:space="preserve">it required a failed trial of topical aluminium chloride. </w:t>
      </w:r>
    </w:p>
    <w:p w14:paraId="17DE34DC" w14:textId="1935C868" w:rsidR="007F1017" w:rsidRPr="00D3681A" w:rsidRDefault="00A853EE" w:rsidP="00D3681A">
      <w:pPr>
        <w:pStyle w:val="3-BodyText"/>
      </w:pPr>
      <w:bookmarkStart w:id="22" w:name="_Ref215169241"/>
      <w:r w:rsidRPr="00D3681A">
        <w:t xml:space="preserve">NCT01128738 (referred to as </w:t>
      </w:r>
      <w:r w:rsidR="00A92EA0" w:rsidRPr="00D3681A">
        <w:t>Ohshima</w:t>
      </w:r>
      <w:r w:rsidRPr="00D3681A">
        <w:t>, 2</w:t>
      </w:r>
      <w:r w:rsidR="00A92EA0" w:rsidRPr="00D3681A">
        <w:t>013</w:t>
      </w:r>
      <w:r w:rsidRPr="00D3681A">
        <w:t xml:space="preserve"> by the submission)</w:t>
      </w:r>
      <w:r w:rsidR="00A92EA0" w:rsidRPr="00D3681A">
        <w:t xml:space="preserve"> was a</w:t>
      </w:r>
      <w:r w:rsidR="00586F6A" w:rsidRPr="00D3681A">
        <w:t xml:space="preserve">n adequately powered </w:t>
      </w:r>
      <w:r w:rsidR="00A92EA0" w:rsidRPr="00D3681A">
        <w:t>(N = 152)</w:t>
      </w:r>
      <w:r w:rsidR="00F62857" w:rsidRPr="00D3681A">
        <w:t>,</w:t>
      </w:r>
      <w:r w:rsidR="00A92EA0" w:rsidRPr="00D3681A">
        <w:t xml:space="preserve"> randomised, placebo-controlled trial </w:t>
      </w:r>
      <w:r w:rsidR="00151274" w:rsidRPr="00D3681A">
        <w:t>of BTA with outcomes comparable to those of the included trials. The reason</w:t>
      </w:r>
      <w:r w:rsidR="00586F6A" w:rsidRPr="00D3681A">
        <w:t>s</w:t>
      </w:r>
      <w:r w:rsidR="00151274" w:rsidRPr="00D3681A">
        <w:t xml:space="preserve"> given for exclusion, that the trial was published only in Japanese and that the data provided on clinicaltrials.gov are </w:t>
      </w:r>
      <w:r w:rsidR="00F83730">
        <w:t>‘</w:t>
      </w:r>
      <w:r w:rsidR="00151274" w:rsidRPr="00D3681A">
        <w:t>limited</w:t>
      </w:r>
      <w:r w:rsidR="00F83730">
        <w:t>’</w:t>
      </w:r>
      <w:r w:rsidR="00151274" w:rsidRPr="00D3681A">
        <w:t xml:space="preserve"> d</w:t>
      </w:r>
      <w:r w:rsidR="00EA48AD" w:rsidRPr="00D3681A">
        <w:t>id</w:t>
      </w:r>
      <w:r w:rsidR="00151274" w:rsidRPr="00D3681A">
        <w:t xml:space="preserve"> not justify exclusion</w:t>
      </w:r>
      <w:r w:rsidR="00E41AA9" w:rsidRPr="00D3681A">
        <w:t xml:space="preserve">, since efficacy data </w:t>
      </w:r>
      <w:r w:rsidR="00EA48AD" w:rsidRPr="00D3681A">
        <w:t>were</w:t>
      </w:r>
      <w:r w:rsidR="00E41AA9" w:rsidRPr="00D3681A">
        <w:t xml:space="preserve"> available in adequate detail.</w:t>
      </w:r>
      <w:bookmarkEnd w:id="22"/>
      <w:r w:rsidR="00524F00" w:rsidRPr="00D3681A">
        <w:t xml:space="preserve"> </w:t>
      </w:r>
    </w:p>
    <w:p w14:paraId="2B59ABAC" w14:textId="539C52C7" w:rsidR="00862502" w:rsidRDefault="00A73134" w:rsidP="002721B7">
      <w:pPr>
        <w:pStyle w:val="3-BodyText"/>
      </w:pPr>
      <w:r w:rsidRPr="0098262F">
        <w:t>Details of the trials presented in the submission are provided in</w:t>
      </w:r>
      <w:r w:rsidR="00686210">
        <w:t xml:space="preserve"> </w:t>
      </w:r>
      <w:r w:rsidR="00686210">
        <w:fldChar w:fldCharType="begin" w:fldLock="1"/>
      </w:r>
      <w:r w:rsidR="00686210">
        <w:instrText xml:space="preserve"> REF _Ref205981410 \h </w:instrText>
      </w:r>
      <w:r w:rsidR="00686210">
        <w:fldChar w:fldCharType="separate"/>
      </w:r>
      <w:r w:rsidR="004D6DEB">
        <w:t xml:space="preserve">Table </w:t>
      </w:r>
      <w:r w:rsidR="004D6DEB">
        <w:rPr>
          <w:noProof/>
        </w:rPr>
        <w:t>2</w:t>
      </w:r>
      <w:r w:rsidR="00686210">
        <w:fldChar w:fldCharType="end"/>
      </w:r>
      <w:r w:rsidRPr="0098262F">
        <w:t>.</w:t>
      </w:r>
      <w:r w:rsidR="00BC591F" w:rsidRPr="0098262F">
        <w:t xml:space="preserve"> </w:t>
      </w:r>
    </w:p>
    <w:p w14:paraId="08557460" w14:textId="27BA7281" w:rsidR="00D15003" w:rsidRDefault="00686210" w:rsidP="00006DD3">
      <w:pPr>
        <w:pStyle w:val="Caption"/>
        <w:rPr>
          <w:rStyle w:val="CommentReference"/>
          <w:b/>
          <w:szCs w:val="24"/>
        </w:rPr>
      </w:pPr>
      <w:bookmarkStart w:id="23" w:name="_Ref205981410"/>
      <w:r>
        <w:t xml:space="preserve">Table </w:t>
      </w:r>
      <w:r w:rsidR="007C24FD">
        <w:fldChar w:fldCharType="begin" w:fldLock="1"/>
      </w:r>
      <w:r w:rsidR="007C24FD">
        <w:instrText xml:space="preserve"> SEQ Table \* ARABIC </w:instrText>
      </w:r>
      <w:r w:rsidR="007C24FD">
        <w:fldChar w:fldCharType="separate"/>
      </w:r>
      <w:r w:rsidR="004D6DEB">
        <w:rPr>
          <w:noProof/>
        </w:rPr>
        <w:t>2</w:t>
      </w:r>
      <w:r w:rsidR="007C24FD">
        <w:rPr>
          <w:noProof/>
        </w:rPr>
        <w:fldChar w:fldCharType="end"/>
      </w:r>
      <w:bookmarkEnd w:id="23"/>
      <w:r w:rsidR="004C459E">
        <w:t xml:space="preserve">: </w:t>
      </w:r>
      <w:r w:rsidR="004C459E" w:rsidRPr="0098262F">
        <w:rPr>
          <w:rStyle w:val="CommentReference"/>
          <w:b/>
          <w:szCs w:val="24"/>
        </w:rPr>
        <w:t>Trials and associated reports presented in the submission</w:t>
      </w:r>
    </w:p>
    <w:tbl>
      <w:tblPr>
        <w:tblStyle w:val="TableGrid"/>
        <w:tblW w:w="0" w:type="auto"/>
        <w:tblLook w:val="04A0" w:firstRow="1" w:lastRow="0" w:firstColumn="1" w:lastColumn="0" w:noHBand="0" w:noVBand="1"/>
        <w:tblCaption w:val="Table 2"/>
        <w:tblDescription w:val="Trials and associated reports presented in the submission"/>
      </w:tblPr>
      <w:tblGrid>
        <w:gridCol w:w="1555"/>
        <w:gridCol w:w="5244"/>
        <w:gridCol w:w="2218"/>
      </w:tblGrid>
      <w:tr w:rsidR="004C459E" w14:paraId="13EF8299" w14:textId="77777777" w:rsidTr="004C459E">
        <w:tc>
          <w:tcPr>
            <w:tcW w:w="1555" w:type="dxa"/>
          </w:tcPr>
          <w:p w14:paraId="598957F7" w14:textId="7CE10CD6" w:rsidR="004C459E" w:rsidRDefault="004C459E" w:rsidP="00006DD3">
            <w:pPr>
              <w:pStyle w:val="TableFigureHeading"/>
              <w:keepLines/>
              <w:rPr>
                <w:rStyle w:val="CommentReference"/>
                <w:b/>
                <w:szCs w:val="24"/>
              </w:rPr>
            </w:pPr>
            <w:r>
              <w:rPr>
                <w:rStyle w:val="CommentReference"/>
                <w:b/>
                <w:szCs w:val="24"/>
              </w:rPr>
              <w:t>Trial ID</w:t>
            </w:r>
          </w:p>
        </w:tc>
        <w:tc>
          <w:tcPr>
            <w:tcW w:w="5244" w:type="dxa"/>
          </w:tcPr>
          <w:p w14:paraId="05008F20" w14:textId="2FAB6840" w:rsidR="004C459E" w:rsidRDefault="004C459E" w:rsidP="00006DD3">
            <w:pPr>
              <w:pStyle w:val="TableFigureHeading"/>
              <w:keepLines/>
              <w:rPr>
                <w:rStyle w:val="CommentReference"/>
                <w:b/>
                <w:szCs w:val="24"/>
              </w:rPr>
            </w:pPr>
            <w:r>
              <w:rPr>
                <w:rStyle w:val="CommentReference"/>
                <w:b/>
                <w:szCs w:val="24"/>
              </w:rPr>
              <w:t>Protocol/Publication Title</w:t>
            </w:r>
          </w:p>
        </w:tc>
        <w:tc>
          <w:tcPr>
            <w:tcW w:w="2218" w:type="dxa"/>
          </w:tcPr>
          <w:p w14:paraId="017F83CA" w14:textId="0F578128" w:rsidR="004C459E" w:rsidRDefault="004C459E" w:rsidP="00006DD3">
            <w:pPr>
              <w:pStyle w:val="TableFigureHeading"/>
              <w:keepLines/>
              <w:rPr>
                <w:rStyle w:val="CommentReference"/>
                <w:b/>
                <w:szCs w:val="24"/>
              </w:rPr>
            </w:pPr>
            <w:r>
              <w:rPr>
                <w:rStyle w:val="CommentReference"/>
                <w:b/>
                <w:szCs w:val="24"/>
              </w:rPr>
              <w:t>Publication Citation</w:t>
            </w:r>
          </w:p>
        </w:tc>
      </w:tr>
      <w:tr w:rsidR="00A06C08" w14:paraId="5271E032" w14:textId="77777777" w:rsidTr="00834893">
        <w:tc>
          <w:tcPr>
            <w:tcW w:w="9017" w:type="dxa"/>
            <w:gridSpan w:val="3"/>
            <w:vAlign w:val="center"/>
          </w:tcPr>
          <w:p w14:paraId="554EFDF7" w14:textId="57E2EE18" w:rsidR="00A06C08" w:rsidRPr="00A06C08" w:rsidRDefault="00A06C08" w:rsidP="00006DD3">
            <w:pPr>
              <w:pStyle w:val="In-tableHeading"/>
            </w:pPr>
            <w:proofErr w:type="spellStart"/>
            <w:r w:rsidRPr="00A06C08">
              <w:t>Glycopyrronium</w:t>
            </w:r>
            <w:proofErr w:type="spellEnd"/>
            <w:r w:rsidRPr="00A06C08">
              <w:t xml:space="preserve"> Trials</w:t>
            </w:r>
          </w:p>
        </w:tc>
      </w:tr>
      <w:tr w:rsidR="004C459E" w14:paraId="5D4F4B25" w14:textId="77777777" w:rsidTr="004C459E">
        <w:tc>
          <w:tcPr>
            <w:tcW w:w="1555" w:type="dxa"/>
            <w:vAlign w:val="center"/>
          </w:tcPr>
          <w:p w14:paraId="4B5E9D42" w14:textId="77777777" w:rsidR="004C459E" w:rsidRPr="0035634E" w:rsidRDefault="004C459E" w:rsidP="00006DD3">
            <w:pPr>
              <w:pStyle w:val="Tabletext"/>
              <w:keepNext/>
              <w:keepLines/>
              <w:rPr>
                <w:bCs/>
              </w:rPr>
            </w:pPr>
            <w:r w:rsidRPr="0035634E">
              <w:t>Hyp1-18/2016</w:t>
            </w:r>
          </w:p>
          <w:p w14:paraId="6671F37C" w14:textId="07C3D19C" w:rsidR="004C459E" w:rsidRPr="0035634E" w:rsidRDefault="004C459E" w:rsidP="00006DD3">
            <w:pPr>
              <w:pStyle w:val="Tabletext"/>
              <w:keepNext/>
              <w:keepLines/>
              <w:rPr>
                <w:rStyle w:val="CommentReference"/>
                <w:bCs/>
                <w:sz w:val="18"/>
                <w:szCs w:val="18"/>
              </w:rPr>
            </w:pPr>
            <w:r w:rsidRPr="0035634E">
              <w:t>NCT03658616</w:t>
            </w:r>
          </w:p>
        </w:tc>
        <w:tc>
          <w:tcPr>
            <w:tcW w:w="5244" w:type="dxa"/>
            <w:vAlign w:val="center"/>
          </w:tcPr>
          <w:p w14:paraId="7E4CFEF9" w14:textId="77777777" w:rsidR="004C459E" w:rsidRPr="00F03392" w:rsidRDefault="004C459E" w:rsidP="00006DD3">
            <w:pPr>
              <w:pStyle w:val="Tabletext"/>
              <w:keepNext/>
              <w:keepLines/>
            </w:pPr>
            <w:r w:rsidRPr="00F03392">
              <w:t>Combined randomized, double-blind, dose-confirming Phase 3a study in parallel design to assess the efficacy and safety of topical 4-week treatment with Axhidrox cream vs placebo and open-label Phase 3b study to assess long-term efficacy and safety in patients with PAHH treated with Axhidrox cream, 18 November 2022</w:t>
            </w:r>
          </w:p>
          <w:p w14:paraId="6ADE843A" w14:textId="77777777" w:rsidR="004C459E" w:rsidRPr="00F03392" w:rsidRDefault="004C459E" w:rsidP="00006DD3">
            <w:pPr>
              <w:pStyle w:val="Tabletext"/>
              <w:keepNext/>
              <w:keepLines/>
            </w:pPr>
          </w:p>
          <w:p w14:paraId="5D5C088B" w14:textId="3D979794" w:rsidR="004C459E" w:rsidRPr="00F03392" w:rsidRDefault="004C459E" w:rsidP="00006DD3">
            <w:pPr>
              <w:pStyle w:val="Tabletext"/>
              <w:keepNext/>
              <w:keepLines/>
            </w:pPr>
            <w:r w:rsidRPr="00F03392">
              <w:t>A glycopyrronium bromide 1% cream for topical treatment of primary axillary hyperhidrosis: efficacy and safety results from a phase IIIa randomized controlled trial.</w:t>
            </w:r>
            <w:r w:rsidR="00AD0699">
              <w:t xml:space="preserve"> </w:t>
            </w:r>
            <w:r w:rsidR="00AD0699" w:rsidRPr="00F03392">
              <w:t xml:space="preserve">Abels C, </w:t>
            </w:r>
            <w:proofErr w:type="spellStart"/>
            <w:r w:rsidR="00AD0699" w:rsidRPr="00F03392">
              <w:t>Soeberdt</w:t>
            </w:r>
            <w:proofErr w:type="spellEnd"/>
            <w:r w:rsidR="00AD0699" w:rsidRPr="00F03392">
              <w:t xml:space="preserve"> M, Kilic A, et al.</w:t>
            </w:r>
          </w:p>
          <w:p w14:paraId="2F93190D" w14:textId="77777777" w:rsidR="004C459E" w:rsidRPr="00F03392" w:rsidRDefault="004C459E" w:rsidP="00006DD3">
            <w:pPr>
              <w:pStyle w:val="Tabletext"/>
              <w:keepNext/>
              <w:keepLines/>
              <w:rPr>
                <w:rStyle w:val="CommentReference"/>
                <w:b w:val="0"/>
                <w:szCs w:val="24"/>
              </w:rPr>
            </w:pPr>
          </w:p>
          <w:p w14:paraId="3C96C176" w14:textId="7672647A" w:rsidR="004C459E" w:rsidRPr="00F03392" w:rsidRDefault="004C459E" w:rsidP="00006DD3">
            <w:pPr>
              <w:pStyle w:val="Tabletext"/>
              <w:keepNext/>
              <w:keepLines/>
              <w:rPr>
                <w:rStyle w:val="CommentReference"/>
                <w:b w:val="0"/>
                <w:szCs w:val="24"/>
              </w:rPr>
            </w:pPr>
            <w:r w:rsidRPr="00F03392">
              <w:t>Long-term efficacy and safety of 1% glycopyrronium bromide cream in patients with severe primary axillary hyperhidrosis: Results from a Phase 3b trial.</w:t>
            </w:r>
            <w:r w:rsidR="00AD0699">
              <w:t xml:space="preserve"> </w:t>
            </w:r>
            <w:proofErr w:type="spellStart"/>
            <w:r w:rsidR="00AD0699" w:rsidRPr="00F03392">
              <w:t>Szeimies</w:t>
            </w:r>
            <w:proofErr w:type="spellEnd"/>
            <w:r w:rsidR="00AD0699" w:rsidRPr="00F03392">
              <w:t xml:space="preserve"> RM, Abels C, Kilic A, et al.</w:t>
            </w:r>
          </w:p>
        </w:tc>
        <w:tc>
          <w:tcPr>
            <w:tcW w:w="2218" w:type="dxa"/>
            <w:vAlign w:val="center"/>
          </w:tcPr>
          <w:p w14:paraId="5143BB68" w14:textId="77777777" w:rsidR="004C459E" w:rsidRPr="00F03392" w:rsidRDefault="004C459E" w:rsidP="00006DD3">
            <w:pPr>
              <w:pStyle w:val="Tabletext"/>
              <w:keepNext/>
              <w:keepLines/>
            </w:pPr>
          </w:p>
          <w:p w14:paraId="2E796CDC" w14:textId="77777777" w:rsidR="004C459E" w:rsidRPr="00F03392" w:rsidRDefault="004C459E" w:rsidP="00006DD3">
            <w:pPr>
              <w:pStyle w:val="Tabletext"/>
              <w:keepNext/>
              <w:keepLines/>
            </w:pPr>
          </w:p>
          <w:p w14:paraId="67C723E5" w14:textId="77777777" w:rsidR="004C459E" w:rsidRPr="00F03392" w:rsidRDefault="004C459E" w:rsidP="00006DD3">
            <w:pPr>
              <w:pStyle w:val="Tabletext"/>
              <w:keepNext/>
              <w:keepLines/>
            </w:pPr>
          </w:p>
          <w:p w14:paraId="05DB66DD" w14:textId="77777777" w:rsidR="004C459E" w:rsidRPr="00F03392" w:rsidRDefault="004C459E" w:rsidP="00006DD3">
            <w:pPr>
              <w:pStyle w:val="Tabletext"/>
              <w:keepNext/>
              <w:keepLines/>
            </w:pPr>
          </w:p>
          <w:p w14:paraId="35DF437F" w14:textId="77777777" w:rsidR="0035634E" w:rsidRPr="00F03392" w:rsidRDefault="0035634E" w:rsidP="00006DD3">
            <w:pPr>
              <w:pStyle w:val="Tabletext"/>
              <w:keepNext/>
              <w:keepLines/>
            </w:pPr>
          </w:p>
          <w:p w14:paraId="739C92ED" w14:textId="4B7FBECB" w:rsidR="004C459E" w:rsidRPr="00F03392" w:rsidRDefault="004C459E" w:rsidP="00006DD3">
            <w:pPr>
              <w:pStyle w:val="Tabletext"/>
              <w:keepNext/>
              <w:keepLines/>
            </w:pPr>
            <w:r w:rsidRPr="00F03392">
              <w:t>Br J Dermatol. 2021; 185:315-322.</w:t>
            </w:r>
          </w:p>
          <w:p w14:paraId="631116E9" w14:textId="77777777" w:rsidR="0035634E" w:rsidRPr="00F03392" w:rsidRDefault="0035634E" w:rsidP="00006DD3">
            <w:pPr>
              <w:pStyle w:val="Tabletext"/>
              <w:keepNext/>
              <w:keepLines/>
            </w:pPr>
          </w:p>
          <w:p w14:paraId="7E88B331" w14:textId="56A9D90C" w:rsidR="004C459E" w:rsidRPr="00F03392" w:rsidRDefault="004C459E" w:rsidP="00006DD3">
            <w:pPr>
              <w:pStyle w:val="Tabletext"/>
              <w:keepNext/>
              <w:keepLines/>
              <w:rPr>
                <w:rStyle w:val="CommentReference"/>
                <w:b w:val="0"/>
                <w:szCs w:val="24"/>
              </w:rPr>
            </w:pPr>
            <w:r w:rsidRPr="00F03392">
              <w:t xml:space="preserve">J </w:t>
            </w:r>
            <w:proofErr w:type="spellStart"/>
            <w:r w:rsidRPr="00F03392">
              <w:t>Eur</w:t>
            </w:r>
            <w:proofErr w:type="spellEnd"/>
            <w:r w:rsidRPr="00F03392">
              <w:t xml:space="preserve"> </w:t>
            </w:r>
            <w:proofErr w:type="spellStart"/>
            <w:r w:rsidRPr="00F03392">
              <w:t>Acad</w:t>
            </w:r>
            <w:proofErr w:type="spellEnd"/>
            <w:r w:rsidRPr="00F03392">
              <w:t xml:space="preserve"> Dermatol </w:t>
            </w:r>
            <w:proofErr w:type="spellStart"/>
            <w:r w:rsidRPr="00F03392">
              <w:t>Venereol</w:t>
            </w:r>
            <w:proofErr w:type="spellEnd"/>
            <w:r w:rsidRPr="00F03392">
              <w:t xml:space="preserve"> 2023; 37:823-830.</w:t>
            </w:r>
          </w:p>
        </w:tc>
      </w:tr>
      <w:tr w:rsidR="004C459E" w14:paraId="597B54CE" w14:textId="77777777" w:rsidTr="00A06C08">
        <w:trPr>
          <w:trHeight w:val="944"/>
        </w:trPr>
        <w:tc>
          <w:tcPr>
            <w:tcW w:w="1555" w:type="dxa"/>
            <w:vAlign w:val="center"/>
          </w:tcPr>
          <w:p w14:paraId="56F01531" w14:textId="77777777" w:rsidR="00A06C08" w:rsidRPr="0035634E" w:rsidRDefault="00A06C08" w:rsidP="00006DD3">
            <w:pPr>
              <w:pStyle w:val="Tabletext"/>
              <w:keepNext/>
              <w:keepLines/>
              <w:rPr>
                <w:bCs/>
              </w:rPr>
            </w:pPr>
            <w:r w:rsidRPr="0035634E">
              <w:t>GPBK-08/2018</w:t>
            </w:r>
          </w:p>
          <w:p w14:paraId="4602BD4E" w14:textId="5369EE96" w:rsidR="004C459E" w:rsidRPr="0035634E" w:rsidRDefault="00A06C08" w:rsidP="00006DD3">
            <w:pPr>
              <w:pStyle w:val="Tabletext"/>
              <w:keepNext/>
              <w:keepLines/>
              <w:rPr>
                <w:rStyle w:val="CommentReference"/>
                <w:b w:val="0"/>
                <w:sz w:val="18"/>
                <w:szCs w:val="18"/>
              </w:rPr>
            </w:pPr>
            <w:r w:rsidRPr="0035634E">
              <w:t>NCT05863104</w:t>
            </w:r>
          </w:p>
        </w:tc>
        <w:tc>
          <w:tcPr>
            <w:tcW w:w="5244" w:type="dxa"/>
            <w:vAlign w:val="center"/>
          </w:tcPr>
          <w:p w14:paraId="722544A1" w14:textId="0914DD9B" w:rsidR="004C459E" w:rsidRPr="00F03392" w:rsidRDefault="00A06C08" w:rsidP="00006DD3">
            <w:pPr>
              <w:pStyle w:val="Tabletext"/>
              <w:keepNext/>
              <w:keepLines/>
              <w:rPr>
                <w:rStyle w:val="CommentReference"/>
                <w:b w:val="0"/>
                <w:szCs w:val="24"/>
              </w:rPr>
            </w:pPr>
            <w:r w:rsidRPr="00F03392">
              <w:t xml:space="preserve">An open-label, uncontrolled, </w:t>
            </w:r>
            <w:proofErr w:type="spellStart"/>
            <w:r w:rsidRPr="00F03392">
              <w:t>multicenter</w:t>
            </w:r>
            <w:proofErr w:type="spellEnd"/>
            <w:r w:rsidRPr="00F03392">
              <w:t xml:space="preserve"> study to evaluate the safety, local tolerability, systemic exposure, and efficacy of 1% GPB cream in adolescents with severe primary axillary hyperhidrosis. 26 August 2024</w:t>
            </w:r>
          </w:p>
        </w:tc>
        <w:tc>
          <w:tcPr>
            <w:tcW w:w="2218" w:type="dxa"/>
            <w:vAlign w:val="center"/>
          </w:tcPr>
          <w:p w14:paraId="1AC6D8E4" w14:textId="3A0A1682" w:rsidR="004C459E" w:rsidRPr="00F03392" w:rsidRDefault="00A06C08" w:rsidP="00006DD3">
            <w:pPr>
              <w:pStyle w:val="Tabletext"/>
              <w:keepNext/>
              <w:keepLines/>
              <w:rPr>
                <w:rStyle w:val="CommentReference"/>
                <w:b w:val="0"/>
                <w:szCs w:val="24"/>
              </w:rPr>
            </w:pPr>
            <w:r w:rsidRPr="00F03392">
              <w:rPr>
                <w:rStyle w:val="CommentReference"/>
                <w:b w:val="0"/>
                <w:szCs w:val="24"/>
              </w:rPr>
              <w:t>NA</w:t>
            </w:r>
          </w:p>
        </w:tc>
      </w:tr>
      <w:tr w:rsidR="00A06C08" w14:paraId="2AB99B6C" w14:textId="77777777" w:rsidTr="00834893">
        <w:tc>
          <w:tcPr>
            <w:tcW w:w="9017" w:type="dxa"/>
            <w:gridSpan w:val="3"/>
            <w:vAlign w:val="center"/>
          </w:tcPr>
          <w:p w14:paraId="439AF519" w14:textId="569B1DEE" w:rsidR="00A06C08" w:rsidRPr="00F03392" w:rsidRDefault="00A06C08" w:rsidP="00F03392">
            <w:pPr>
              <w:pStyle w:val="In-tableHeading"/>
              <w:rPr>
                <w:rStyle w:val="CommentReference"/>
                <w:b/>
                <w:szCs w:val="24"/>
              </w:rPr>
            </w:pPr>
            <w:r w:rsidRPr="00F03392">
              <w:rPr>
                <w:rStyle w:val="CommentReference"/>
                <w:b/>
                <w:szCs w:val="24"/>
              </w:rPr>
              <w:t>Botulinum Toxin Trials</w:t>
            </w:r>
          </w:p>
        </w:tc>
      </w:tr>
      <w:tr w:rsidR="004C459E" w14:paraId="09F132F2" w14:textId="77777777" w:rsidTr="004C459E">
        <w:tc>
          <w:tcPr>
            <w:tcW w:w="1555" w:type="dxa"/>
          </w:tcPr>
          <w:p w14:paraId="6B714298" w14:textId="7A3E71DC" w:rsidR="004C459E" w:rsidRPr="0035634E" w:rsidRDefault="00A06C08" w:rsidP="004C459E">
            <w:pPr>
              <w:pStyle w:val="TableFigureHeading"/>
              <w:rPr>
                <w:rStyle w:val="CommentReference"/>
                <w:b/>
                <w:bCs w:val="0"/>
                <w:sz w:val="18"/>
                <w:szCs w:val="18"/>
              </w:rPr>
            </w:pPr>
            <w:r w:rsidRPr="0035634E">
              <w:rPr>
                <w:b w:val="0"/>
                <w:bCs w:val="0"/>
                <w:sz w:val="18"/>
                <w:szCs w:val="18"/>
              </w:rPr>
              <w:t>Naumann, 2001</w:t>
            </w:r>
          </w:p>
        </w:tc>
        <w:tc>
          <w:tcPr>
            <w:tcW w:w="5244" w:type="dxa"/>
          </w:tcPr>
          <w:p w14:paraId="6421A263" w14:textId="77777777" w:rsidR="00EA2A1A" w:rsidRPr="00F03392" w:rsidRDefault="00EA2A1A" w:rsidP="00F03392">
            <w:pPr>
              <w:pStyle w:val="Tabletext"/>
              <w:rPr>
                <w:rFonts w:eastAsiaTheme="minorEastAsia"/>
              </w:rPr>
            </w:pPr>
            <w:r w:rsidRPr="00F03392">
              <w:rPr>
                <w:rFonts w:eastAsiaTheme="minorEastAsia"/>
              </w:rPr>
              <w:t>Botulinum toxin type A in treatment of bilateral primary</w:t>
            </w:r>
          </w:p>
          <w:p w14:paraId="795F981D" w14:textId="77777777" w:rsidR="00EA2A1A" w:rsidRPr="00F03392" w:rsidRDefault="00EA2A1A" w:rsidP="00F03392">
            <w:pPr>
              <w:pStyle w:val="Tabletext"/>
              <w:rPr>
                <w:rFonts w:eastAsiaTheme="minorEastAsia"/>
              </w:rPr>
            </w:pPr>
            <w:r w:rsidRPr="00F03392">
              <w:rPr>
                <w:rFonts w:eastAsiaTheme="minorEastAsia"/>
              </w:rPr>
              <w:t>axillary hyperhidrosis: randomised, parallel group,</w:t>
            </w:r>
          </w:p>
          <w:p w14:paraId="635B7CCE" w14:textId="432E7190" w:rsidR="00EA2A1A" w:rsidRPr="00F03392" w:rsidRDefault="00EA2A1A" w:rsidP="00F03392">
            <w:pPr>
              <w:pStyle w:val="Tabletext"/>
              <w:rPr>
                <w:rFonts w:eastAsiaTheme="minorEastAsia"/>
              </w:rPr>
            </w:pPr>
            <w:r w:rsidRPr="00F03392">
              <w:rPr>
                <w:rFonts w:eastAsiaTheme="minorEastAsia"/>
              </w:rPr>
              <w:t>double blind, placebo-controlled trial</w:t>
            </w:r>
            <w:r w:rsidR="00AD0699">
              <w:rPr>
                <w:rFonts w:eastAsiaTheme="minorEastAsia"/>
              </w:rPr>
              <w:t xml:space="preserve">. </w:t>
            </w:r>
            <w:r w:rsidR="00AD0699" w:rsidRPr="00F03392">
              <w:rPr>
                <w:rFonts w:eastAsiaTheme="minorEastAsia"/>
              </w:rPr>
              <w:t>Naumann M, Lowe NJ, Kumar CR, et al.</w:t>
            </w:r>
          </w:p>
          <w:p w14:paraId="7314A04D" w14:textId="3E37220A" w:rsidR="004C459E" w:rsidRPr="00F03392" w:rsidRDefault="004C459E" w:rsidP="00F03392">
            <w:pPr>
              <w:pStyle w:val="Tabletext"/>
              <w:rPr>
                <w:rStyle w:val="CommentReference"/>
                <w:b w:val="0"/>
                <w:szCs w:val="24"/>
              </w:rPr>
            </w:pPr>
          </w:p>
        </w:tc>
        <w:tc>
          <w:tcPr>
            <w:tcW w:w="2218" w:type="dxa"/>
          </w:tcPr>
          <w:p w14:paraId="79569724" w14:textId="09876CE9" w:rsidR="004C459E" w:rsidRPr="00F03392" w:rsidRDefault="00A06C08" w:rsidP="00F03392">
            <w:pPr>
              <w:pStyle w:val="Tabletext"/>
              <w:rPr>
                <w:rStyle w:val="CommentReference"/>
                <w:b w:val="0"/>
                <w:szCs w:val="24"/>
              </w:rPr>
            </w:pPr>
            <w:r w:rsidRPr="00F03392">
              <w:t xml:space="preserve">BMJ 2001; </w:t>
            </w:r>
            <w:r w:rsidRPr="00F03392">
              <w:rPr>
                <w:rFonts w:eastAsiaTheme="minorEastAsia"/>
              </w:rPr>
              <w:t>323:596–599</w:t>
            </w:r>
          </w:p>
        </w:tc>
      </w:tr>
      <w:tr w:rsidR="00A06C08" w14:paraId="1BE33CFC" w14:textId="77777777" w:rsidTr="004C459E">
        <w:tc>
          <w:tcPr>
            <w:tcW w:w="1555" w:type="dxa"/>
          </w:tcPr>
          <w:p w14:paraId="64EA0A91" w14:textId="73031901" w:rsidR="00A06C08" w:rsidRPr="0035634E" w:rsidRDefault="00A06C08" w:rsidP="004C459E">
            <w:pPr>
              <w:pStyle w:val="TableFigureHeading"/>
              <w:rPr>
                <w:b w:val="0"/>
                <w:bCs w:val="0"/>
                <w:sz w:val="18"/>
                <w:szCs w:val="18"/>
              </w:rPr>
            </w:pPr>
            <w:r w:rsidRPr="0035634E">
              <w:rPr>
                <w:b w:val="0"/>
                <w:bCs w:val="0"/>
                <w:sz w:val="18"/>
                <w:szCs w:val="18"/>
              </w:rPr>
              <w:t>Naumann, 2003 (OLE of Naumann 2001)</w:t>
            </w:r>
          </w:p>
        </w:tc>
        <w:tc>
          <w:tcPr>
            <w:tcW w:w="5244" w:type="dxa"/>
          </w:tcPr>
          <w:p w14:paraId="01A44EDF" w14:textId="65C852B5" w:rsidR="00A06C08" w:rsidRPr="00F03392" w:rsidRDefault="0035634E" w:rsidP="00F03392">
            <w:pPr>
              <w:pStyle w:val="Tabletext"/>
              <w:rPr>
                <w:rFonts w:eastAsiaTheme="minorEastAsia"/>
              </w:rPr>
            </w:pPr>
            <w:r w:rsidRPr="00F03392">
              <w:rPr>
                <w:rFonts w:eastAsiaTheme="minorEastAsia"/>
              </w:rPr>
              <w:t xml:space="preserve">Botulinum </w:t>
            </w:r>
            <w:proofErr w:type="gramStart"/>
            <w:r w:rsidRPr="00F03392">
              <w:rPr>
                <w:rFonts w:eastAsiaTheme="minorEastAsia"/>
              </w:rPr>
              <w:t>toxin</w:t>
            </w:r>
            <w:proofErr w:type="gramEnd"/>
            <w:r w:rsidRPr="00F03392">
              <w:rPr>
                <w:rFonts w:eastAsiaTheme="minorEastAsia"/>
              </w:rPr>
              <w:t xml:space="preserve"> type a is a safe and effective treatment for axillary hyperhidrosis over 16 months: a prospective study.</w:t>
            </w:r>
            <w:r w:rsidR="00AD0699" w:rsidRPr="00F03392">
              <w:rPr>
                <w:rFonts w:eastAsiaTheme="minorEastAsia"/>
              </w:rPr>
              <w:t xml:space="preserve"> Naumann M, Lowe NJ, Kumar CR, Hamm H, et al</w:t>
            </w:r>
            <w:r w:rsidR="00AD0699">
              <w:rPr>
                <w:rFonts w:eastAsiaTheme="minorEastAsia"/>
              </w:rPr>
              <w:t>.</w:t>
            </w:r>
          </w:p>
        </w:tc>
        <w:tc>
          <w:tcPr>
            <w:tcW w:w="2218" w:type="dxa"/>
          </w:tcPr>
          <w:p w14:paraId="17726D99" w14:textId="68E69C8C" w:rsidR="00A06C08" w:rsidRPr="00F03392" w:rsidRDefault="0035634E" w:rsidP="00F03392">
            <w:pPr>
              <w:pStyle w:val="Tabletext"/>
            </w:pPr>
            <w:r w:rsidRPr="00F03392">
              <w:rPr>
                <w:rFonts w:eastAsiaTheme="minorEastAsia"/>
              </w:rPr>
              <w:t>Arch Dermatol 2003;139:731-736.</w:t>
            </w:r>
          </w:p>
        </w:tc>
      </w:tr>
      <w:tr w:rsidR="004C459E" w14:paraId="239D5214" w14:textId="77777777" w:rsidTr="004C459E">
        <w:tc>
          <w:tcPr>
            <w:tcW w:w="1555" w:type="dxa"/>
          </w:tcPr>
          <w:p w14:paraId="24AEE271" w14:textId="58E32DDA" w:rsidR="00A06C08" w:rsidRPr="00A06C08" w:rsidRDefault="00A06C08" w:rsidP="00A06C08">
            <w:pPr>
              <w:rPr>
                <w:rFonts w:ascii="Arial Narrow" w:hAnsi="Arial Narrow"/>
                <w:sz w:val="18"/>
                <w:szCs w:val="18"/>
              </w:rPr>
            </w:pPr>
            <w:r w:rsidRPr="00A06C08">
              <w:rPr>
                <w:rFonts w:ascii="Arial Narrow" w:hAnsi="Arial Narrow"/>
                <w:sz w:val="18"/>
                <w:szCs w:val="18"/>
              </w:rPr>
              <w:t>Lowe</w:t>
            </w:r>
            <w:r>
              <w:rPr>
                <w:rFonts w:ascii="Arial Narrow" w:hAnsi="Arial Narrow"/>
                <w:sz w:val="18"/>
                <w:szCs w:val="18"/>
              </w:rPr>
              <w:t>,</w:t>
            </w:r>
            <w:r w:rsidRPr="00A06C08">
              <w:rPr>
                <w:rFonts w:ascii="Arial Narrow" w:hAnsi="Arial Narrow"/>
                <w:sz w:val="18"/>
                <w:szCs w:val="18"/>
              </w:rPr>
              <w:t xml:space="preserve"> 2007</w:t>
            </w:r>
          </w:p>
          <w:p w14:paraId="053C32ED" w14:textId="77777777" w:rsidR="004C459E" w:rsidRPr="00A06C08" w:rsidRDefault="004C459E" w:rsidP="004C459E">
            <w:pPr>
              <w:pStyle w:val="TableFigureHeading"/>
              <w:rPr>
                <w:rStyle w:val="CommentReference"/>
                <w:bCs w:val="0"/>
                <w:sz w:val="18"/>
                <w:szCs w:val="18"/>
              </w:rPr>
            </w:pPr>
          </w:p>
        </w:tc>
        <w:tc>
          <w:tcPr>
            <w:tcW w:w="5244" w:type="dxa"/>
          </w:tcPr>
          <w:p w14:paraId="717A6CBC" w14:textId="27C61FE1" w:rsidR="004C459E" w:rsidRPr="00F03392" w:rsidRDefault="00A06C08" w:rsidP="00F03392">
            <w:pPr>
              <w:pStyle w:val="Tabletext"/>
              <w:rPr>
                <w:rStyle w:val="CommentReference"/>
                <w:b w:val="0"/>
                <w:szCs w:val="24"/>
              </w:rPr>
            </w:pPr>
            <w:r w:rsidRPr="00F03392">
              <w:rPr>
                <w:rFonts w:eastAsiaTheme="minorEastAsia"/>
              </w:rPr>
              <w:t xml:space="preserve">Botulinum toxin type A in the treatment of primary axillary hyperhidrosis: a 52-week </w:t>
            </w:r>
            <w:proofErr w:type="spellStart"/>
            <w:r w:rsidRPr="00F03392">
              <w:rPr>
                <w:rFonts w:eastAsiaTheme="minorEastAsia"/>
              </w:rPr>
              <w:t>multicenter</w:t>
            </w:r>
            <w:proofErr w:type="spellEnd"/>
            <w:r w:rsidRPr="00F03392">
              <w:rPr>
                <w:rFonts w:eastAsiaTheme="minorEastAsia"/>
              </w:rPr>
              <w:t xml:space="preserve"> double-blind, randomized, placebo-controlled study of efficacy and safety.</w:t>
            </w:r>
            <w:r w:rsidR="00AD0699" w:rsidRPr="00F03392">
              <w:rPr>
                <w:rFonts w:eastAsiaTheme="minorEastAsia"/>
              </w:rPr>
              <w:t xml:space="preserve"> Lowe NJ, Glaser DA, Eadie N, Daggett S, Kowalski JW, Lai P-Y.</w:t>
            </w:r>
          </w:p>
        </w:tc>
        <w:tc>
          <w:tcPr>
            <w:tcW w:w="2218" w:type="dxa"/>
          </w:tcPr>
          <w:p w14:paraId="00AA62CF" w14:textId="24F7A25E" w:rsidR="004C459E" w:rsidRPr="00F03392" w:rsidRDefault="00A06C08" w:rsidP="00F03392">
            <w:pPr>
              <w:pStyle w:val="Tabletext"/>
              <w:rPr>
                <w:rStyle w:val="CommentReference"/>
                <w:b w:val="0"/>
                <w:szCs w:val="24"/>
              </w:rPr>
            </w:pPr>
            <w:r w:rsidRPr="00F03392">
              <w:rPr>
                <w:rFonts w:eastAsiaTheme="minorEastAsia"/>
              </w:rPr>
              <w:t xml:space="preserve">J Am </w:t>
            </w:r>
            <w:proofErr w:type="spellStart"/>
            <w:r w:rsidRPr="00F03392">
              <w:rPr>
                <w:rFonts w:eastAsiaTheme="minorEastAsia"/>
              </w:rPr>
              <w:t>Acad</w:t>
            </w:r>
            <w:proofErr w:type="spellEnd"/>
            <w:r w:rsidRPr="00F03392">
              <w:rPr>
                <w:rFonts w:eastAsiaTheme="minorEastAsia"/>
              </w:rPr>
              <w:t xml:space="preserve"> Dermatol 2007; 56:604–611</w:t>
            </w:r>
          </w:p>
        </w:tc>
      </w:tr>
      <w:tr w:rsidR="0035634E" w14:paraId="342B93F7" w14:textId="77777777" w:rsidTr="004C459E">
        <w:tc>
          <w:tcPr>
            <w:tcW w:w="1555" w:type="dxa"/>
          </w:tcPr>
          <w:p w14:paraId="02A218B0" w14:textId="4494AB48" w:rsidR="0035634E" w:rsidRPr="00A06C08" w:rsidRDefault="0035634E" w:rsidP="00A06C08">
            <w:pPr>
              <w:rPr>
                <w:rFonts w:ascii="Arial Narrow" w:hAnsi="Arial Narrow"/>
                <w:sz w:val="18"/>
                <w:szCs w:val="18"/>
              </w:rPr>
            </w:pPr>
            <w:r>
              <w:rPr>
                <w:rFonts w:ascii="Arial Narrow" w:hAnsi="Arial Narrow"/>
                <w:sz w:val="18"/>
                <w:szCs w:val="18"/>
              </w:rPr>
              <w:t>Glaser 2007 (OLE of Lowe, 2007)</w:t>
            </w:r>
          </w:p>
        </w:tc>
        <w:tc>
          <w:tcPr>
            <w:tcW w:w="5244" w:type="dxa"/>
          </w:tcPr>
          <w:p w14:paraId="1F99CA24" w14:textId="74D8C0E4" w:rsidR="0035634E" w:rsidRPr="00F03392" w:rsidRDefault="0035634E" w:rsidP="00F03392">
            <w:pPr>
              <w:pStyle w:val="Tabletext"/>
              <w:rPr>
                <w:rFonts w:eastAsiaTheme="minorEastAsia"/>
              </w:rPr>
            </w:pPr>
            <w:r w:rsidRPr="00F03392">
              <w:rPr>
                <w:rFonts w:eastAsiaTheme="minorEastAsia"/>
              </w:rPr>
              <w:t xml:space="preserve">Four-year longitudinal data on the efficacy and safety of repeated botulinum toxin type A therapy for primary axillary hyperhidrosis. </w:t>
            </w:r>
            <w:r w:rsidR="00AD0699" w:rsidRPr="00F03392">
              <w:rPr>
                <w:rFonts w:eastAsiaTheme="minorEastAsia"/>
              </w:rPr>
              <w:t>Glaser DA, Coleman WP, Loss R, et al.</w:t>
            </w:r>
          </w:p>
        </w:tc>
        <w:tc>
          <w:tcPr>
            <w:tcW w:w="2218" w:type="dxa"/>
          </w:tcPr>
          <w:p w14:paraId="69EC9561" w14:textId="4400FC38" w:rsidR="0035634E" w:rsidRPr="00F03392" w:rsidRDefault="0035634E" w:rsidP="00F03392">
            <w:pPr>
              <w:pStyle w:val="Tabletext"/>
              <w:rPr>
                <w:rFonts w:eastAsiaTheme="minorEastAsia"/>
              </w:rPr>
            </w:pPr>
            <w:r w:rsidRPr="00F03392">
              <w:rPr>
                <w:rFonts w:eastAsiaTheme="minorEastAsia"/>
              </w:rPr>
              <w:t>P584, American Academy of Dermatology 65th Annual Meeting. Feb 2-6 Washington DC (2007).</w:t>
            </w:r>
          </w:p>
        </w:tc>
      </w:tr>
      <w:tr w:rsidR="0035634E" w14:paraId="20F59A72" w14:textId="77777777" w:rsidTr="004C459E">
        <w:tc>
          <w:tcPr>
            <w:tcW w:w="1555" w:type="dxa"/>
          </w:tcPr>
          <w:p w14:paraId="4ACE9DDD" w14:textId="77777777" w:rsidR="0035634E" w:rsidRDefault="0035634E" w:rsidP="00A06C08">
            <w:pPr>
              <w:rPr>
                <w:rFonts w:ascii="Arial Narrow" w:hAnsi="Arial Narrow"/>
                <w:sz w:val="18"/>
                <w:szCs w:val="18"/>
              </w:rPr>
            </w:pPr>
            <w:r>
              <w:rPr>
                <w:rFonts w:ascii="Arial Narrow" w:hAnsi="Arial Narrow"/>
                <w:sz w:val="18"/>
                <w:szCs w:val="18"/>
              </w:rPr>
              <w:t>Glaser, 2015.</w:t>
            </w:r>
          </w:p>
          <w:p w14:paraId="149C0A21" w14:textId="377B290C" w:rsidR="0035634E" w:rsidRDefault="0035634E" w:rsidP="00A06C08">
            <w:pPr>
              <w:rPr>
                <w:rFonts w:ascii="Arial Narrow" w:hAnsi="Arial Narrow"/>
                <w:sz w:val="18"/>
                <w:szCs w:val="18"/>
              </w:rPr>
            </w:pPr>
            <w:r>
              <w:rPr>
                <w:rFonts w:ascii="Arial Narrow" w:hAnsi="Arial Narrow"/>
                <w:sz w:val="18"/>
                <w:szCs w:val="18"/>
              </w:rPr>
              <w:t xml:space="preserve">NCT00168415 </w:t>
            </w:r>
          </w:p>
        </w:tc>
        <w:tc>
          <w:tcPr>
            <w:tcW w:w="5244" w:type="dxa"/>
          </w:tcPr>
          <w:p w14:paraId="413D3F26" w14:textId="3BB8A4D2" w:rsidR="0035634E" w:rsidRPr="00F03392" w:rsidRDefault="000F0C90" w:rsidP="00F03392">
            <w:pPr>
              <w:pStyle w:val="Tabletext"/>
              <w:rPr>
                <w:rFonts w:eastAsiaTheme="minorEastAsia"/>
              </w:rPr>
            </w:pPr>
            <w:r w:rsidRPr="00F03392">
              <w:t xml:space="preserve">A Prospective, Nonrandomized, Open-Label Study of the Efficacy and Safety of </w:t>
            </w:r>
            <w:proofErr w:type="spellStart"/>
            <w:r w:rsidRPr="00F03392">
              <w:t>OnabotulinumtoxinA</w:t>
            </w:r>
            <w:proofErr w:type="spellEnd"/>
            <w:r w:rsidRPr="00F03392">
              <w:t xml:space="preserve"> in Adolescents with Primary Axillary Hyperhidrosis.</w:t>
            </w:r>
            <w:r w:rsidR="00AD0699" w:rsidRPr="00F03392">
              <w:t xml:space="preserve"> Glaser DA, Pariser DM, Hebert AA, et al.</w:t>
            </w:r>
          </w:p>
        </w:tc>
        <w:tc>
          <w:tcPr>
            <w:tcW w:w="2218" w:type="dxa"/>
          </w:tcPr>
          <w:p w14:paraId="65AC6041" w14:textId="3EE80A7A" w:rsidR="0035634E" w:rsidRPr="00F03392" w:rsidRDefault="000F0C90" w:rsidP="00F03392">
            <w:pPr>
              <w:pStyle w:val="Tabletext"/>
              <w:rPr>
                <w:rFonts w:eastAsiaTheme="minorEastAsia"/>
              </w:rPr>
            </w:pPr>
            <w:proofErr w:type="spellStart"/>
            <w:r w:rsidRPr="00F03392">
              <w:t>Pediatr</w:t>
            </w:r>
            <w:proofErr w:type="spellEnd"/>
            <w:r w:rsidRPr="00F03392">
              <w:t xml:space="preserve"> Dermatol 2015; 32:609-17.</w:t>
            </w:r>
          </w:p>
        </w:tc>
      </w:tr>
    </w:tbl>
    <w:p w14:paraId="6B8559E6" w14:textId="6B209C8D" w:rsidR="004C459E" w:rsidRPr="000F0C90" w:rsidRDefault="000F0C90" w:rsidP="000F0C90">
      <w:pPr>
        <w:pStyle w:val="TableFigureFooter"/>
        <w:rPr>
          <w:rStyle w:val="CommentReference"/>
          <w:b w:val="0"/>
          <w:sz w:val="18"/>
          <w:szCs w:val="24"/>
        </w:rPr>
      </w:pPr>
      <w:r w:rsidRPr="000F0C90">
        <w:rPr>
          <w:rStyle w:val="CommentReference"/>
          <w:b w:val="0"/>
          <w:sz w:val="18"/>
          <w:szCs w:val="24"/>
        </w:rPr>
        <w:t xml:space="preserve">Source: Table 2-5, pp50-52 of the submission. </w:t>
      </w:r>
    </w:p>
    <w:p w14:paraId="6F013237" w14:textId="1E367F3E" w:rsidR="004C459E" w:rsidRPr="0098262F" w:rsidRDefault="000F0C90" w:rsidP="00AD0699">
      <w:pPr>
        <w:pStyle w:val="TableFigureFooter"/>
      </w:pPr>
      <w:r>
        <w:t xml:space="preserve">OLE = open label extension. </w:t>
      </w:r>
    </w:p>
    <w:p w14:paraId="0FF4E51F" w14:textId="38EDD31B" w:rsidR="000F0C90" w:rsidRPr="00AD0699" w:rsidRDefault="008F120A" w:rsidP="002721B7">
      <w:pPr>
        <w:pStyle w:val="3-BodyText"/>
      </w:pPr>
      <w:r w:rsidRPr="00AD0699">
        <w:t>The key features of the tria</w:t>
      </w:r>
      <w:r w:rsidR="000F0C90" w:rsidRPr="00AD0699">
        <w:t>l</w:t>
      </w:r>
      <w:r w:rsidRPr="00AD0699">
        <w:t>s</w:t>
      </w:r>
      <w:r w:rsidR="000F0C90" w:rsidRPr="00AD0699">
        <w:t xml:space="preserve">, including those inappropriately excluded, </w:t>
      </w:r>
      <w:r w:rsidRPr="00AD0699">
        <w:t>are summarised in</w:t>
      </w:r>
      <w:r w:rsidR="00D6076E" w:rsidRPr="00AD0699">
        <w:t xml:space="preserve"> </w:t>
      </w:r>
      <w:bookmarkStart w:id="24" w:name="_Ref104804098"/>
      <w:r w:rsidR="00686210" w:rsidRPr="00AD0699">
        <w:fldChar w:fldCharType="begin" w:fldLock="1"/>
      </w:r>
      <w:r w:rsidR="00686210" w:rsidRPr="00AD0699">
        <w:instrText xml:space="preserve"> REF _Ref205981423 \h  \* MERGEFORMAT </w:instrText>
      </w:r>
      <w:r w:rsidR="00686210" w:rsidRPr="00AD0699">
        <w:fldChar w:fldCharType="separate"/>
      </w:r>
      <w:r w:rsidR="004D6DEB" w:rsidRPr="004D6DEB">
        <w:t>Table 3</w:t>
      </w:r>
      <w:r w:rsidR="00686210" w:rsidRPr="00AD0699">
        <w:fldChar w:fldCharType="end"/>
      </w:r>
      <w:r w:rsidR="00686210" w:rsidRPr="00AD0699">
        <w:t>.</w:t>
      </w:r>
    </w:p>
    <w:p w14:paraId="355E2F15" w14:textId="233791A6" w:rsidR="007F1017" w:rsidRPr="000F0C90" w:rsidRDefault="00696EF9" w:rsidP="000F0C90">
      <w:pPr>
        <w:pStyle w:val="TableFigureHeading"/>
        <w:rPr>
          <w:rStyle w:val="CommentReference"/>
          <w:b/>
          <w:szCs w:val="24"/>
        </w:rPr>
      </w:pPr>
      <w:bookmarkStart w:id="25" w:name="_Ref205981423"/>
      <w:r w:rsidRPr="000F0C90">
        <w:rPr>
          <w:rStyle w:val="CommentReference"/>
          <w:b/>
          <w:szCs w:val="24"/>
        </w:rPr>
        <w:t xml:space="preserve">Table </w:t>
      </w:r>
      <w:r w:rsidRPr="000F0C90">
        <w:rPr>
          <w:rStyle w:val="CommentReference"/>
          <w:b/>
          <w:szCs w:val="24"/>
        </w:rPr>
        <w:fldChar w:fldCharType="begin" w:fldLock="1"/>
      </w:r>
      <w:r w:rsidRPr="000F0C90">
        <w:rPr>
          <w:rStyle w:val="CommentReference"/>
          <w:b/>
          <w:szCs w:val="24"/>
        </w:rPr>
        <w:instrText xml:space="preserve"> SEQ Table \* ARABIC </w:instrText>
      </w:r>
      <w:r w:rsidRPr="000F0C90">
        <w:rPr>
          <w:rStyle w:val="CommentReference"/>
          <w:b/>
          <w:szCs w:val="24"/>
        </w:rPr>
        <w:fldChar w:fldCharType="separate"/>
      </w:r>
      <w:r w:rsidR="004D6DEB">
        <w:rPr>
          <w:rStyle w:val="CommentReference"/>
          <w:b/>
          <w:noProof/>
          <w:szCs w:val="24"/>
        </w:rPr>
        <w:t>3</w:t>
      </w:r>
      <w:r w:rsidRPr="000F0C90">
        <w:rPr>
          <w:rStyle w:val="CommentReference"/>
          <w:b/>
          <w:szCs w:val="24"/>
        </w:rPr>
        <w:fldChar w:fldCharType="end"/>
      </w:r>
      <w:bookmarkEnd w:id="24"/>
      <w:bookmarkEnd w:id="25"/>
      <w:r w:rsidR="00D6076E" w:rsidRPr="000F0C90">
        <w:rPr>
          <w:rStyle w:val="CommentReference"/>
          <w:b/>
          <w:szCs w:val="24"/>
        </w:rPr>
        <w:t xml:space="preserve">: </w:t>
      </w:r>
      <w:r w:rsidR="007F1017" w:rsidRPr="000F0C90">
        <w:rPr>
          <w:rStyle w:val="CommentReference"/>
          <w:b/>
          <w:szCs w:val="24"/>
        </w:rPr>
        <w:t>Key features of the included</w:t>
      </w:r>
      <w:r w:rsidR="000F0C90">
        <w:rPr>
          <w:rStyle w:val="CommentReference"/>
          <w:b/>
          <w:szCs w:val="24"/>
        </w:rPr>
        <w:t xml:space="preserve"> and inappropriately excluded</w:t>
      </w:r>
      <w:r w:rsidR="007F1017" w:rsidRPr="000F0C90">
        <w:rPr>
          <w:rStyle w:val="CommentReference"/>
          <w:b/>
          <w:szCs w:val="24"/>
        </w:rPr>
        <w:t xml:space="preserve">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w:tblDescription w:val="Key features of the included and inappropriately excluded evidence"/>
      </w:tblPr>
      <w:tblGrid>
        <w:gridCol w:w="1281"/>
        <w:gridCol w:w="850"/>
        <w:gridCol w:w="1398"/>
        <w:gridCol w:w="1113"/>
        <w:gridCol w:w="1535"/>
        <w:gridCol w:w="2840"/>
      </w:tblGrid>
      <w:tr w:rsidR="005E2383" w:rsidRPr="0098262F" w14:paraId="53DD7CC6" w14:textId="77777777" w:rsidTr="005E2383">
        <w:trPr>
          <w:cantSplit/>
          <w:tblHeader/>
        </w:trPr>
        <w:tc>
          <w:tcPr>
            <w:tcW w:w="711" w:type="pct"/>
            <w:vAlign w:val="center"/>
          </w:tcPr>
          <w:p w14:paraId="794116BC" w14:textId="77777777" w:rsidR="005E2383" w:rsidRPr="0098262F" w:rsidRDefault="005E2383" w:rsidP="001E34DF">
            <w:pPr>
              <w:pStyle w:val="In-tableHeading"/>
              <w:rPr>
                <w:lang w:val="en-AU"/>
              </w:rPr>
            </w:pPr>
            <w:r w:rsidRPr="0098262F">
              <w:rPr>
                <w:lang w:val="en-AU"/>
              </w:rPr>
              <w:t>Trial</w:t>
            </w:r>
          </w:p>
        </w:tc>
        <w:tc>
          <w:tcPr>
            <w:tcW w:w="469" w:type="pct"/>
            <w:vAlign w:val="center"/>
          </w:tcPr>
          <w:p w14:paraId="51122FE5" w14:textId="77777777" w:rsidR="005E2383" w:rsidRPr="0098262F" w:rsidRDefault="005E2383" w:rsidP="00EC5836">
            <w:pPr>
              <w:pStyle w:val="In-tableHeading"/>
              <w:jc w:val="center"/>
              <w:rPr>
                <w:lang w:val="en-AU"/>
              </w:rPr>
            </w:pPr>
            <w:r w:rsidRPr="0098262F">
              <w:rPr>
                <w:lang w:val="en-AU"/>
              </w:rPr>
              <w:t>N</w:t>
            </w:r>
          </w:p>
        </w:tc>
        <w:tc>
          <w:tcPr>
            <w:tcW w:w="776" w:type="pct"/>
            <w:vAlign w:val="center"/>
          </w:tcPr>
          <w:p w14:paraId="41C438EF" w14:textId="0D007810" w:rsidR="005E2383" w:rsidRPr="0098262F" w:rsidRDefault="005E2383" w:rsidP="00EC5836">
            <w:pPr>
              <w:pStyle w:val="In-tableHeading"/>
              <w:jc w:val="center"/>
              <w:rPr>
                <w:lang w:val="en-AU"/>
              </w:rPr>
            </w:pPr>
            <w:r w:rsidRPr="0098262F">
              <w:rPr>
                <w:lang w:val="en-AU"/>
              </w:rPr>
              <w:t>Design/duration</w:t>
            </w:r>
          </w:p>
        </w:tc>
        <w:tc>
          <w:tcPr>
            <w:tcW w:w="617" w:type="pct"/>
            <w:vAlign w:val="center"/>
          </w:tcPr>
          <w:p w14:paraId="1FC91360" w14:textId="77777777" w:rsidR="005E2383" w:rsidRPr="0098262F" w:rsidRDefault="005E2383" w:rsidP="00EC5836">
            <w:pPr>
              <w:pStyle w:val="In-tableHeading"/>
              <w:jc w:val="center"/>
              <w:rPr>
                <w:lang w:val="en-AU"/>
              </w:rPr>
            </w:pPr>
            <w:r w:rsidRPr="0098262F">
              <w:rPr>
                <w:lang w:val="en-AU"/>
              </w:rPr>
              <w:t>Risk of bias</w:t>
            </w:r>
          </w:p>
        </w:tc>
        <w:tc>
          <w:tcPr>
            <w:tcW w:w="851" w:type="pct"/>
            <w:vAlign w:val="center"/>
          </w:tcPr>
          <w:p w14:paraId="7FF90896" w14:textId="77777777" w:rsidR="005E2383" w:rsidRPr="0098262F" w:rsidRDefault="005E2383" w:rsidP="00EC5836">
            <w:pPr>
              <w:pStyle w:val="In-tableHeading"/>
              <w:jc w:val="center"/>
              <w:rPr>
                <w:lang w:val="en-AU"/>
              </w:rPr>
            </w:pPr>
            <w:r w:rsidRPr="0098262F">
              <w:rPr>
                <w:lang w:val="en-AU"/>
              </w:rPr>
              <w:t>Patient population</w:t>
            </w:r>
          </w:p>
        </w:tc>
        <w:tc>
          <w:tcPr>
            <w:tcW w:w="1575" w:type="pct"/>
            <w:vAlign w:val="center"/>
          </w:tcPr>
          <w:p w14:paraId="0FCB63F9" w14:textId="77777777" w:rsidR="005E2383" w:rsidRPr="0098262F" w:rsidRDefault="005E2383" w:rsidP="00EC5836">
            <w:pPr>
              <w:pStyle w:val="In-tableHeading"/>
              <w:jc w:val="center"/>
              <w:rPr>
                <w:lang w:val="en-AU"/>
              </w:rPr>
            </w:pPr>
            <w:r w:rsidRPr="0098262F">
              <w:rPr>
                <w:lang w:val="en-AU"/>
              </w:rPr>
              <w:t>Outcome(s)</w:t>
            </w:r>
          </w:p>
        </w:tc>
      </w:tr>
      <w:tr w:rsidR="005E2383" w:rsidRPr="0098262F" w14:paraId="4EE88DCB" w14:textId="77777777" w:rsidTr="005E2383">
        <w:trPr>
          <w:cantSplit/>
        </w:trPr>
        <w:tc>
          <w:tcPr>
            <w:tcW w:w="711" w:type="pct"/>
            <w:vAlign w:val="center"/>
          </w:tcPr>
          <w:p w14:paraId="6EE77D33" w14:textId="2F5E3EC3" w:rsidR="005E2383" w:rsidRPr="00F03392" w:rsidRDefault="005E2383" w:rsidP="00F03392">
            <w:pPr>
              <w:pStyle w:val="Tabletext"/>
            </w:pPr>
            <w:r w:rsidRPr="00F03392">
              <w:t>Hyp1-18/2016 Phase 3a</w:t>
            </w:r>
          </w:p>
        </w:tc>
        <w:tc>
          <w:tcPr>
            <w:tcW w:w="469" w:type="pct"/>
            <w:vAlign w:val="center"/>
          </w:tcPr>
          <w:p w14:paraId="41BB0E41" w14:textId="1D703F51" w:rsidR="005E2383" w:rsidRPr="00F03392" w:rsidRDefault="005E2383" w:rsidP="00F03392">
            <w:pPr>
              <w:pStyle w:val="Tabletext"/>
            </w:pPr>
            <w:r w:rsidRPr="00F03392">
              <w:t>171</w:t>
            </w:r>
          </w:p>
        </w:tc>
        <w:tc>
          <w:tcPr>
            <w:tcW w:w="776" w:type="pct"/>
            <w:vAlign w:val="center"/>
          </w:tcPr>
          <w:p w14:paraId="744D08AC" w14:textId="32D10945" w:rsidR="005E2383" w:rsidRPr="00F03392" w:rsidRDefault="005E2383" w:rsidP="00F03392">
            <w:pPr>
              <w:pStyle w:val="Tabletext"/>
            </w:pPr>
            <w:r w:rsidRPr="00F03392">
              <w:t xml:space="preserve">R, DB, MC, 4 weeks; 1:1 GPB daily or placebo; no anti-perspirant allowed from 2 weeks before BL. </w:t>
            </w:r>
          </w:p>
        </w:tc>
        <w:tc>
          <w:tcPr>
            <w:tcW w:w="617" w:type="pct"/>
            <w:vAlign w:val="center"/>
          </w:tcPr>
          <w:p w14:paraId="4A529D74" w14:textId="77777777" w:rsidR="005E2383" w:rsidRPr="00F03392" w:rsidRDefault="005E2383" w:rsidP="00F03392">
            <w:pPr>
              <w:pStyle w:val="Tabletext"/>
            </w:pPr>
            <w:r w:rsidRPr="00F03392">
              <w:t>Low</w:t>
            </w:r>
          </w:p>
        </w:tc>
        <w:tc>
          <w:tcPr>
            <w:tcW w:w="851" w:type="pct"/>
            <w:vAlign w:val="center"/>
          </w:tcPr>
          <w:p w14:paraId="5E6F456D" w14:textId="1B11310B" w:rsidR="005E2383" w:rsidRPr="00F03392" w:rsidRDefault="005E2383" w:rsidP="00F03392">
            <w:pPr>
              <w:pStyle w:val="Tabletext"/>
            </w:pPr>
            <w:r w:rsidRPr="00F03392">
              <w:t xml:space="preserve">Age 18-65; BMI18-32; diagnosis of severe PAHH with HDSS 3 or 4; </w:t>
            </w:r>
            <w:r w:rsidR="00480EB3">
              <w:t xml:space="preserve">US </w:t>
            </w:r>
            <w:r w:rsidRPr="00F03392">
              <w:t xml:space="preserve">axillary sweat production </w:t>
            </w:r>
            <w:r w:rsidRPr="00F03392">
              <w:sym w:font="Symbol" w:char="F0B3"/>
            </w:r>
            <w:r w:rsidRPr="00F03392">
              <w:t xml:space="preserve">50 mg per axilla over 5 min; corrected QT interval </w:t>
            </w:r>
            <w:r w:rsidRPr="00F03392">
              <w:sym w:font="Symbol" w:char="F0A3"/>
            </w:r>
            <w:r w:rsidRPr="00F03392">
              <w:t xml:space="preserve">450 msec. </w:t>
            </w:r>
          </w:p>
        </w:tc>
        <w:tc>
          <w:tcPr>
            <w:tcW w:w="1575" w:type="pct"/>
            <w:vAlign w:val="center"/>
          </w:tcPr>
          <w:p w14:paraId="4C7B73D2" w14:textId="2890C352" w:rsidR="005E2383" w:rsidRPr="00F03392" w:rsidRDefault="005E2383" w:rsidP="00F03392">
            <w:pPr>
              <w:pStyle w:val="Tabletext"/>
            </w:pPr>
            <w:r w:rsidRPr="00F03392">
              <w:t xml:space="preserve">Primary: Absolute CFB to 4 weeks in </w:t>
            </w:r>
            <w:r w:rsidR="00480EB3">
              <w:t xml:space="preserve">US </w:t>
            </w:r>
            <w:r w:rsidRPr="00F03392">
              <w:t xml:space="preserve">sweat </w:t>
            </w:r>
            <w:proofErr w:type="gramStart"/>
            <w:r w:rsidRPr="00F03392">
              <w:t>production;</w:t>
            </w:r>
            <w:proofErr w:type="gramEnd"/>
            <w:r w:rsidRPr="00F03392">
              <w:t xml:space="preserve"> </w:t>
            </w:r>
          </w:p>
          <w:p w14:paraId="6DC76214" w14:textId="24307721" w:rsidR="005E2383" w:rsidRPr="00F03392" w:rsidRDefault="005E2383" w:rsidP="00F03392">
            <w:pPr>
              <w:pStyle w:val="Tabletext"/>
            </w:pPr>
            <w:r w:rsidRPr="00F03392">
              <w:t xml:space="preserve">Secondary: % patients with CFB to 4 weeks in HDSS </w:t>
            </w:r>
            <w:r w:rsidRPr="00F03392">
              <w:sym w:font="Symbol" w:char="F0B3"/>
            </w:r>
            <w:r w:rsidRPr="00F03392">
              <w:t xml:space="preserve">2. </w:t>
            </w:r>
          </w:p>
        </w:tc>
      </w:tr>
      <w:tr w:rsidR="005E2383" w:rsidRPr="0098262F" w14:paraId="13A6895C" w14:textId="77777777" w:rsidTr="005E2383">
        <w:trPr>
          <w:cantSplit/>
        </w:trPr>
        <w:tc>
          <w:tcPr>
            <w:tcW w:w="711" w:type="pct"/>
            <w:vAlign w:val="center"/>
          </w:tcPr>
          <w:p w14:paraId="4A9488B3" w14:textId="7B053B6C" w:rsidR="005E2383" w:rsidRPr="00F03392" w:rsidRDefault="005E2383" w:rsidP="00F03392">
            <w:pPr>
              <w:pStyle w:val="Tabletext"/>
            </w:pPr>
            <w:r w:rsidRPr="00F03392">
              <w:t>Hyp1-18/2016 Phase 3b</w:t>
            </w:r>
          </w:p>
        </w:tc>
        <w:tc>
          <w:tcPr>
            <w:tcW w:w="469" w:type="pct"/>
            <w:vAlign w:val="center"/>
          </w:tcPr>
          <w:p w14:paraId="3F4D20B5" w14:textId="641E8207" w:rsidR="005E2383" w:rsidRPr="00F03392" w:rsidRDefault="005E2383" w:rsidP="00F03392">
            <w:pPr>
              <w:pStyle w:val="Tabletext"/>
            </w:pPr>
            <w:r w:rsidRPr="00F03392">
              <w:t xml:space="preserve">518, 161 completing Phase 3a and 357 newly recruited. </w:t>
            </w:r>
          </w:p>
        </w:tc>
        <w:tc>
          <w:tcPr>
            <w:tcW w:w="776" w:type="pct"/>
            <w:vAlign w:val="center"/>
          </w:tcPr>
          <w:p w14:paraId="68D92FE7" w14:textId="677E26AF" w:rsidR="005E2383" w:rsidRPr="00F03392" w:rsidRDefault="005E2383" w:rsidP="00F03392">
            <w:pPr>
              <w:pStyle w:val="Tabletext"/>
            </w:pPr>
            <w:r w:rsidRPr="00F03392">
              <w:t xml:space="preserve">OL, MC, up to 72 weeks GPB </w:t>
            </w:r>
            <w:r w:rsidR="00F83730">
              <w:t>‘</w:t>
            </w:r>
            <w:r w:rsidRPr="00F03392">
              <w:t>as needed</w:t>
            </w:r>
            <w:r w:rsidR="00F83730">
              <w:t>’</w:t>
            </w:r>
            <w:r w:rsidRPr="00F03392">
              <w:t xml:space="preserve"> = at least twice weekly up to daily; no anti-perspirant allowed from 2 weeks before BL.</w:t>
            </w:r>
            <w:r w:rsidR="00AB04F6">
              <w:t xml:space="preserve"> </w:t>
            </w:r>
          </w:p>
        </w:tc>
        <w:tc>
          <w:tcPr>
            <w:tcW w:w="617" w:type="pct"/>
            <w:vAlign w:val="center"/>
          </w:tcPr>
          <w:p w14:paraId="6F0F93F8" w14:textId="77777777" w:rsidR="005E2383" w:rsidRPr="00F03392" w:rsidRDefault="005E2383" w:rsidP="00F03392">
            <w:pPr>
              <w:pStyle w:val="Tabletext"/>
            </w:pPr>
            <w:r w:rsidRPr="00F03392">
              <w:t>High</w:t>
            </w:r>
          </w:p>
        </w:tc>
        <w:tc>
          <w:tcPr>
            <w:tcW w:w="851" w:type="pct"/>
            <w:vAlign w:val="center"/>
          </w:tcPr>
          <w:p w14:paraId="43AC963E" w14:textId="7EE56DF0" w:rsidR="005E2383" w:rsidRPr="00F03392" w:rsidRDefault="005E2383" w:rsidP="00F03392">
            <w:pPr>
              <w:pStyle w:val="Tabletext"/>
            </w:pPr>
            <w:r w:rsidRPr="00F03392">
              <w:t xml:space="preserve">Same as Phase 3a. </w:t>
            </w:r>
          </w:p>
        </w:tc>
        <w:tc>
          <w:tcPr>
            <w:tcW w:w="1575" w:type="pct"/>
            <w:vAlign w:val="center"/>
          </w:tcPr>
          <w:p w14:paraId="6CAFB019" w14:textId="0BD72BB4" w:rsidR="005E2383" w:rsidRPr="00F03392" w:rsidRDefault="005E2383" w:rsidP="00F03392">
            <w:pPr>
              <w:pStyle w:val="Tabletext"/>
            </w:pPr>
            <w:r w:rsidRPr="00F03392">
              <w:t xml:space="preserve">Primary: Absolute CFB to 12 weeks in </w:t>
            </w:r>
            <w:r w:rsidR="00480EB3">
              <w:t xml:space="preserve">US </w:t>
            </w:r>
            <w:r w:rsidRPr="00F03392">
              <w:t xml:space="preserve">sweat production in newly recruited </w:t>
            </w:r>
            <w:proofErr w:type="gramStart"/>
            <w:r w:rsidRPr="00F03392">
              <w:t>patients;</w:t>
            </w:r>
            <w:proofErr w:type="gramEnd"/>
          </w:p>
          <w:p w14:paraId="4F0C99D2" w14:textId="3671DF55" w:rsidR="005E2383" w:rsidRPr="00F03392" w:rsidRDefault="005E2383" w:rsidP="00F03392">
            <w:pPr>
              <w:pStyle w:val="Tabletext"/>
            </w:pPr>
            <w:r w:rsidRPr="00F03392">
              <w:t xml:space="preserve">Secondary: % patients with CFB to 12 weeks of HDSS </w:t>
            </w:r>
            <w:r w:rsidRPr="00F03392">
              <w:sym w:font="Symbol" w:char="F0B3"/>
            </w:r>
            <w:r w:rsidRPr="00F03392">
              <w:t xml:space="preserve">2; % patients with CFB to 28 weeks of HDSS </w:t>
            </w:r>
            <w:r w:rsidRPr="00F03392">
              <w:sym w:font="Symbol" w:char="F0B3"/>
            </w:r>
            <w:r w:rsidRPr="00F03392">
              <w:t>2.</w:t>
            </w:r>
          </w:p>
        </w:tc>
      </w:tr>
      <w:tr w:rsidR="005E2383" w:rsidRPr="0098262F" w14:paraId="6DAFAEAF" w14:textId="77777777" w:rsidTr="005E2383">
        <w:trPr>
          <w:cantSplit/>
        </w:trPr>
        <w:tc>
          <w:tcPr>
            <w:tcW w:w="711" w:type="pct"/>
            <w:vAlign w:val="center"/>
          </w:tcPr>
          <w:p w14:paraId="76F0584C" w14:textId="4BBBEDF6" w:rsidR="005E2383" w:rsidRPr="00F03392" w:rsidRDefault="005E2383" w:rsidP="00F03392">
            <w:pPr>
              <w:pStyle w:val="Tabletext"/>
            </w:pPr>
            <w:r w:rsidRPr="00F03392">
              <w:t>GPBK-08/2018</w:t>
            </w:r>
          </w:p>
        </w:tc>
        <w:tc>
          <w:tcPr>
            <w:tcW w:w="469" w:type="pct"/>
            <w:vAlign w:val="center"/>
          </w:tcPr>
          <w:p w14:paraId="7D785F8E" w14:textId="512F6543" w:rsidR="005E2383" w:rsidRPr="00F03392" w:rsidRDefault="005E2383" w:rsidP="00F03392">
            <w:pPr>
              <w:pStyle w:val="Tabletext"/>
            </w:pPr>
            <w:r w:rsidRPr="00F03392">
              <w:t>42</w:t>
            </w:r>
          </w:p>
        </w:tc>
        <w:tc>
          <w:tcPr>
            <w:tcW w:w="776" w:type="pct"/>
            <w:vAlign w:val="center"/>
          </w:tcPr>
          <w:p w14:paraId="4F10C1AA" w14:textId="18B65EAF" w:rsidR="005E2383" w:rsidRPr="00F03392" w:rsidRDefault="005E2383" w:rsidP="00F03392">
            <w:pPr>
              <w:pStyle w:val="Tabletext"/>
            </w:pPr>
            <w:r w:rsidRPr="00F03392">
              <w:t>OL, uncontrolled, MC; 8 weeks, daily use 4 weeks then 4 weeks as needed but at least twice weekly; no anti-perspirant allowed from 2 weeks before BL.</w:t>
            </w:r>
          </w:p>
        </w:tc>
        <w:tc>
          <w:tcPr>
            <w:tcW w:w="617" w:type="pct"/>
            <w:vAlign w:val="center"/>
          </w:tcPr>
          <w:p w14:paraId="50E27A90" w14:textId="566D2897" w:rsidR="005E2383" w:rsidRPr="00F03392" w:rsidRDefault="005E2383" w:rsidP="00F03392">
            <w:pPr>
              <w:pStyle w:val="Tabletext"/>
            </w:pPr>
            <w:r w:rsidRPr="00F03392">
              <w:t>High</w:t>
            </w:r>
          </w:p>
        </w:tc>
        <w:tc>
          <w:tcPr>
            <w:tcW w:w="851" w:type="pct"/>
            <w:vAlign w:val="center"/>
          </w:tcPr>
          <w:p w14:paraId="1B84BE0E" w14:textId="798D1E85" w:rsidR="005E2383" w:rsidRPr="00F03392" w:rsidRDefault="005E2383" w:rsidP="00F03392">
            <w:pPr>
              <w:pStyle w:val="Tabletext"/>
            </w:pPr>
            <w:r w:rsidRPr="00F03392">
              <w:t xml:space="preserve">Age 12-17; medical diagnosis of severe PAHH and PRHS score </w:t>
            </w:r>
            <w:r w:rsidRPr="00F03392">
              <w:sym w:font="Symbol" w:char="F0B3"/>
            </w:r>
            <w:r w:rsidRPr="00F03392">
              <w:t xml:space="preserve">5; </w:t>
            </w:r>
            <w:r w:rsidR="00480EB3">
              <w:t xml:space="preserve">US </w:t>
            </w:r>
            <w:r w:rsidRPr="00F03392">
              <w:t xml:space="preserve">sweat production </w:t>
            </w:r>
            <w:r w:rsidRPr="00F03392">
              <w:sym w:font="Symbol" w:char="F0B3"/>
            </w:r>
            <w:r w:rsidRPr="00F03392">
              <w:t xml:space="preserve">50 mg per axilla per 5 minutes; BMI percentile </w:t>
            </w:r>
            <w:r w:rsidRPr="00F03392">
              <w:sym w:font="Symbol" w:char="F0B3"/>
            </w:r>
            <w:r w:rsidRPr="00F03392">
              <w:t xml:space="preserve">10, </w:t>
            </w:r>
            <w:r w:rsidRPr="00F03392">
              <w:sym w:font="Symbol" w:char="F0A3"/>
            </w:r>
            <w:r w:rsidRPr="00F03392">
              <w:t>90.</w:t>
            </w:r>
            <w:r w:rsidR="00AB04F6">
              <w:t xml:space="preserve"> </w:t>
            </w:r>
          </w:p>
        </w:tc>
        <w:tc>
          <w:tcPr>
            <w:tcW w:w="1575" w:type="pct"/>
            <w:vAlign w:val="center"/>
          </w:tcPr>
          <w:p w14:paraId="5DC3371B" w14:textId="0C3F5294" w:rsidR="005E2383" w:rsidRPr="00F03392" w:rsidRDefault="005E2383" w:rsidP="00F03392">
            <w:pPr>
              <w:pStyle w:val="Tabletext"/>
            </w:pPr>
            <w:r w:rsidRPr="00F03392">
              <w:t xml:space="preserve">Primary: % patients with </w:t>
            </w:r>
            <w:r w:rsidRPr="00F03392">
              <w:sym w:font="Symbol" w:char="F0B3"/>
            </w:r>
            <w:r w:rsidRPr="00F03392">
              <w:t xml:space="preserve">1 TEAE and % patients with </w:t>
            </w:r>
            <w:r w:rsidRPr="00F03392">
              <w:sym w:font="Symbol" w:char="F0B3"/>
            </w:r>
            <w:r w:rsidRPr="00F03392">
              <w:t xml:space="preserve">1 tolerability score &gt;0; systemic exposure </w:t>
            </w:r>
            <w:r w:rsidR="001A73A2">
              <w:t xml:space="preserve">measured </w:t>
            </w:r>
            <w:r w:rsidRPr="00F03392">
              <w:t xml:space="preserve">by blood </w:t>
            </w:r>
            <w:proofErr w:type="gramStart"/>
            <w:r w:rsidRPr="00F03392">
              <w:t>sampling;</w:t>
            </w:r>
            <w:proofErr w:type="gramEnd"/>
            <w:r w:rsidRPr="00F03392">
              <w:t xml:space="preserve"> </w:t>
            </w:r>
          </w:p>
          <w:p w14:paraId="4E7BED76" w14:textId="58BFD6AF" w:rsidR="005E2383" w:rsidRPr="00F03392" w:rsidRDefault="005E2383" w:rsidP="00F03392">
            <w:pPr>
              <w:pStyle w:val="Tabletext"/>
            </w:pPr>
            <w:r w:rsidRPr="00F03392">
              <w:t xml:space="preserve">Secondary: </w:t>
            </w:r>
            <w:r w:rsidR="00480EB3">
              <w:t xml:space="preserve">US </w:t>
            </w:r>
            <w:r w:rsidRPr="00F03392">
              <w:t>sweat production CFB to 4 weeks.</w:t>
            </w:r>
            <w:r w:rsidR="00AB04F6">
              <w:t xml:space="preserve"> </w:t>
            </w:r>
          </w:p>
        </w:tc>
      </w:tr>
      <w:tr w:rsidR="005E2383" w:rsidRPr="0098262F" w14:paraId="28762BB8" w14:textId="77777777" w:rsidTr="005E2383">
        <w:trPr>
          <w:cantSplit/>
        </w:trPr>
        <w:tc>
          <w:tcPr>
            <w:tcW w:w="711" w:type="pct"/>
            <w:vAlign w:val="center"/>
          </w:tcPr>
          <w:p w14:paraId="04CC38D8" w14:textId="425B56CA" w:rsidR="005E2383" w:rsidRPr="00C31F5C" w:rsidRDefault="005E2383" w:rsidP="00F03392">
            <w:pPr>
              <w:pStyle w:val="Tabletext"/>
            </w:pPr>
            <w:r w:rsidRPr="00C31F5C">
              <w:t>Naumann, 2001</w:t>
            </w:r>
          </w:p>
        </w:tc>
        <w:tc>
          <w:tcPr>
            <w:tcW w:w="469" w:type="pct"/>
            <w:vAlign w:val="center"/>
          </w:tcPr>
          <w:p w14:paraId="29AD5FAE" w14:textId="120154D4" w:rsidR="005E2383" w:rsidRPr="00C31F5C" w:rsidRDefault="005E2383" w:rsidP="00F03392">
            <w:pPr>
              <w:pStyle w:val="Tabletext"/>
            </w:pPr>
            <w:r w:rsidRPr="00C31F5C">
              <w:t>320</w:t>
            </w:r>
          </w:p>
        </w:tc>
        <w:tc>
          <w:tcPr>
            <w:tcW w:w="776" w:type="pct"/>
            <w:vAlign w:val="center"/>
          </w:tcPr>
          <w:p w14:paraId="7B3C6C4D" w14:textId="15E02A37" w:rsidR="005E2383" w:rsidRPr="00C31F5C" w:rsidRDefault="005E2383" w:rsidP="00F03392">
            <w:pPr>
              <w:pStyle w:val="Tabletext"/>
            </w:pPr>
            <w:r w:rsidRPr="00C31F5C">
              <w:t>R, DB, MC; randomised 3:1 BTA (242) or placebo (78);</w:t>
            </w:r>
            <w:r>
              <w:t xml:space="preserve"> 16 weeks;</w:t>
            </w:r>
            <w:r w:rsidRPr="00C31F5C">
              <w:t xml:space="preserve"> BTA 50U per axilla; anti-perspirants allowed except 24 hours before sweat measurements. </w:t>
            </w:r>
          </w:p>
        </w:tc>
        <w:tc>
          <w:tcPr>
            <w:tcW w:w="617" w:type="pct"/>
            <w:vAlign w:val="center"/>
          </w:tcPr>
          <w:p w14:paraId="5813BADC" w14:textId="5D991D5D" w:rsidR="005E2383" w:rsidRPr="001331CE" w:rsidRDefault="005E2383" w:rsidP="00F03392">
            <w:pPr>
              <w:pStyle w:val="Tabletext"/>
            </w:pPr>
            <w:r w:rsidRPr="001331CE">
              <w:t>Low</w:t>
            </w:r>
          </w:p>
        </w:tc>
        <w:tc>
          <w:tcPr>
            <w:tcW w:w="851" w:type="pct"/>
            <w:vAlign w:val="center"/>
          </w:tcPr>
          <w:p w14:paraId="07F4718D" w14:textId="49FD6093" w:rsidR="005E2383" w:rsidRPr="00C31F5C" w:rsidRDefault="005E2383" w:rsidP="00F03392">
            <w:pPr>
              <w:pStyle w:val="Tabletext"/>
            </w:pPr>
            <w:r w:rsidRPr="00C31F5C">
              <w:t xml:space="preserve">Age 18-75; PAHH interfering with daily living + </w:t>
            </w:r>
            <w:r w:rsidR="00480EB3">
              <w:t xml:space="preserve">US </w:t>
            </w:r>
            <w:r w:rsidRPr="00C31F5C">
              <w:t xml:space="preserve">sweat production </w:t>
            </w:r>
            <w:r w:rsidRPr="00C31F5C">
              <w:sym w:font="Symbol" w:char="F0B3"/>
            </w:r>
            <w:r w:rsidRPr="00C31F5C">
              <w:t>50 mg</w:t>
            </w:r>
            <w:r>
              <w:t>/</w:t>
            </w:r>
            <w:r w:rsidRPr="00C31F5C">
              <w:t>axilla</w:t>
            </w:r>
            <w:r>
              <w:t>/</w:t>
            </w:r>
            <w:r w:rsidRPr="00C31F5C">
              <w:t xml:space="preserve">5 min. </w:t>
            </w:r>
          </w:p>
        </w:tc>
        <w:tc>
          <w:tcPr>
            <w:tcW w:w="1575" w:type="pct"/>
            <w:vAlign w:val="center"/>
          </w:tcPr>
          <w:p w14:paraId="245DE916" w14:textId="5F1344E7" w:rsidR="005E2383" w:rsidRPr="00C31F5C" w:rsidRDefault="005E2383" w:rsidP="00F03392">
            <w:pPr>
              <w:pStyle w:val="Tabletext"/>
            </w:pPr>
            <w:r w:rsidRPr="00C31F5C">
              <w:t xml:space="preserve">Primary: % patients responding at 4 weeks = </w:t>
            </w:r>
            <w:r w:rsidRPr="00C31F5C">
              <w:sym w:font="Symbol" w:char="F0B3"/>
            </w:r>
            <w:r w:rsidRPr="00C31F5C">
              <w:t xml:space="preserve">50% CFB in measured </w:t>
            </w:r>
            <w:r w:rsidR="00480EB3">
              <w:t xml:space="preserve">US </w:t>
            </w:r>
            <w:r w:rsidRPr="00C31F5C">
              <w:t xml:space="preserve">sweat </w:t>
            </w:r>
            <w:proofErr w:type="gramStart"/>
            <w:r w:rsidRPr="00C31F5C">
              <w:t>production;</w:t>
            </w:r>
            <w:proofErr w:type="gramEnd"/>
          </w:p>
          <w:p w14:paraId="47B4E9B7" w14:textId="426996E4" w:rsidR="005E2383" w:rsidRPr="00C31F5C" w:rsidRDefault="005E2383" w:rsidP="00F03392">
            <w:pPr>
              <w:pStyle w:val="Tabletext"/>
            </w:pPr>
            <w:r w:rsidRPr="00C31F5C">
              <w:t xml:space="preserve">Secondary: % patients responding at week 16 </w:t>
            </w:r>
            <w:r w:rsidRPr="00C31F5C">
              <w:rPr>
                <w:i/>
                <w:iCs/>
              </w:rPr>
              <w:t>and</w:t>
            </w:r>
            <w:r w:rsidRPr="00C31F5C">
              <w:t xml:space="preserve"> not non-responders at 2 consecutive visits; patient's global impression of change.</w:t>
            </w:r>
            <w:r w:rsidR="00AB04F6">
              <w:t xml:space="preserve"> </w:t>
            </w:r>
          </w:p>
        </w:tc>
      </w:tr>
      <w:tr w:rsidR="005E2383" w:rsidRPr="0098262F" w14:paraId="6BB16954" w14:textId="77777777" w:rsidTr="005E2383">
        <w:trPr>
          <w:cantSplit/>
        </w:trPr>
        <w:tc>
          <w:tcPr>
            <w:tcW w:w="711" w:type="pct"/>
            <w:vAlign w:val="center"/>
          </w:tcPr>
          <w:p w14:paraId="587801CB" w14:textId="4C60AAE5" w:rsidR="005E2383" w:rsidRPr="00C31F5C" w:rsidRDefault="005E2383" w:rsidP="00F03392">
            <w:pPr>
              <w:pStyle w:val="Tabletext"/>
              <w:rPr>
                <w:bCs/>
              </w:rPr>
            </w:pPr>
            <w:r w:rsidRPr="00C31F5C">
              <w:t>Lowe, 2007</w:t>
            </w:r>
          </w:p>
        </w:tc>
        <w:tc>
          <w:tcPr>
            <w:tcW w:w="469" w:type="pct"/>
            <w:vAlign w:val="center"/>
          </w:tcPr>
          <w:p w14:paraId="0EE9B253" w14:textId="085EE01F" w:rsidR="005E2383" w:rsidRPr="00C31F5C" w:rsidRDefault="005E2383" w:rsidP="00F03392">
            <w:pPr>
              <w:pStyle w:val="Tabletext"/>
              <w:rPr>
                <w:bCs/>
              </w:rPr>
            </w:pPr>
            <w:r w:rsidRPr="00C31F5C">
              <w:t>322</w:t>
            </w:r>
          </w:p>
        </w:tc>
        <w:tc>
          <w:tcPr>
            <w:tcW w:w="776" w:type="pct"/>
            <w:vAlign w:val="center"/>
          </w:tcPr>
          <w:p w14:paraId="366ACB02" w14:textId="569B2971" w:rsidR="005E2383" w:rsidRPr="00C31F5C" w:rsidRDefault="005E2383" w:rsidP="00F03392">
            <w:pPr>
              <w:pStyle w:val="Tabletext"/>
              <w:rPr>
                <w:bCs/>
              </w:rPr>
            </w:pPr>
            <w:r w:rsidRPr="00C31F5C">
              <w:t>R, DB, MC; 52 weeks; randomised 1:1:1 to BTA 50 U/axilla (104), 75 U/axilla (110) or placebo (108); after 8 weeks patients with</w:t>
            </w:r>
            <w:r>
              <w:t xml:space="preserve"> sweat production</w:t>
            </w:r>
            <w:r w:rsidRPr="00C31F5C">
              <w:t xml:space="preserve"> </w:t>
            </w:r>
            <w:r w:rsidRPr="00C31F5C">
              <w:sym w:font="Symbol" w:char="F0B3"/>
            </w:r>
            <w:r w:rsidRPr="00C31F5C">
              <w:t xml:space="preserve">50 mg/axilla/5 min could be re-treated. </w:t>
            </w:r>
          </w:p>
        </w:tc>
        <w:tc>
          <w:tcPr>
            <w:tcW w:w="617" w:type="pct"/>
            <w:vAlign w:val="center"/>
          </w:tcPr>
          <w:p w14:paraId="39FACFB0" w14:textId="6E82CD89" w:rsidR="005E2383" w:rsidRPr="001331CE" w:rsidRDefault="005E2383" w:rsidP="00F03392">
            <w:pPr>
              <w:pStyle w:val="Tabletext"/>
              <w:rPr>
                <w:bCs/>
              </w:rPr>
            </w:pPr>
            <w:r w:rsidRPr="001331CE">
              <w:t>Unclear</w:t>
            </w:r>
          </w:p>
        </w:tc>
        <w:tc>
          <w:tcPr>
            <w:tcW w:w="851" w:type="pct"/>
            <w:vAlign w:val="center"/>
          </w:tcPr>
          <w:p w14:paraId="65FE631C" w14:textId="7199A7D3" w:rsidR="005E2383" w:rsidRPr="00C31F5C" w:rsidRDefault="005E2383" w:rsidP="00F03392">
            <w:pPr>
              <w:pStyle w:val="Tabletext"/>
              <w:rPr>
                <w:bCs/>
              </w:rPr>
            </w:pPr>
            <w:r w:rsidRPr="00C31F5C">
              <w:t>Age</w:t>
            </w:r>
            <w:r w:rsidRPr="00C31F5C">
              <w:sym w:font="Symbol" w:char="F0B3"/>
            </w:r>
            <w:r w:rsidRPr="00C31F5C">
              <w:t xml:space="preserve"> 18; PAHH with HDSS </w:t>
            </w:r>
            <w:r w:rsidRPr="00C31F5C">
              <w:sym w:font="Symbol" w:char="F0B3"/>
            </w:r>
            <w:r w:rsidRPr="00C31F5C">
              <w:t xml:space="preserve">3 and BL </w:t>
            </w:r>
            <w:r w:rsidR="00480EB3">
              <w:t xml:space="preserve">US </w:t>
            </w:r>
            <w:r w:rsidRPr="00C31F5C">
              <w:t xml:space="preserve">sweat production </w:t>
            </w:r>
            <w:r w:rsidRPr="00C31F5C">
              <w:sym w:font="Symbol" w:char="F0B3"/>
            </w:r>
            <w:r w:rsidRPr="00C31F5C">
              <w:t>50 mg/axilla/5 min.</w:t>
            </w:r>
          </w:p>
        </w:tc>
        <w:tc>
          <w:tcPr>
            <w:tcW w:w="1575" w:type="pct"/>
            <w:vAlign w:val="center"/>
          </w:tcPr>
          <w:p w14:paraId="06D14A17" w14:textId="0A82A0E7" w:rsidR="005E2383" w:rsidRPr="00C31F5C" w:rsidRDefault="005E2383" w:rsidP="00F03392">
            <w:pPr>
              <w:pStyle w:val="Tabletext"/>
              <w:rPr>
                <w:bCs/>
              </w:rPr>
            </w:pPr>
            <w:r w:rsidRPr="00C31F5C">
              <w:t xml:space="preserve">Primary: % patients with improvement in HDSS </w:t>
            </w:r>
            <w:r w:rsidRPr="00C31F5C">
              <w:sym w:font="Symbol" w:char="F0B3"/>
            </w:r>
            <w:r w:rsidRPr="00C31F5C">
              <w:t xml:space="preserve">2 grades </w:t>
            </w:r>
            <w:r>
              <w:t xml:space="preserve">4 weeks </w:t>
            </w:r>
            <w:r w:rsidRPr="00C31F5C">
              <w:t xml:space="preserve">after </w:t>
            </w:r>
            <w:proofErr w:type="gramStart"/>
            <w:r w:rsidRPr="00C31F5C">
              <w:t>both of the first</w:t>
            </w:r>
            <w:proofErr w:type="gramEnd"/>
            <w:r w:rsidRPr="00C31F5C">
              <w:t xml:space="preserve"> 2 treatments or after first treatment with no further treatment to 52 weeks. </w:t>
            </w:r>
          </w:p>
          <w:p w14:paraId="6B2D10A5" w14:textId="658D4AB6" w:rsidR="005E2383" w:rsidRPr="00C31F5C" w:rsidRDefault="005E2383" w:rsidP="00F03392">
            <w:pPr>
              <w:pStyle w:val="Tabletext"/>
              <w:rPr>
                <w:bCs/>
              </w:rPr>
            </w:pPr>
            <w:r w:rsidRPr="00C31F5C">
              <w:t xml:space="preserve">Secondary: % CFB in </w:t>
            </w:r>
            <w:r w:rsidR="00480EB3">
              <w:t xml:space="preserve">US </w:t>
            </w:r>
            <w:r w:rsidRPr="00C31F5C">
              <w:t xml:space="preserve">sweat production. </w:t>
            </w:r>
          </w:p>
        </w:tc>
      </w:tr>
      <w:tr w:rsidR="005E2383" w:rsidRPr="0098262F" w14:paraId="0DC304A8" w14:textId="77777777" w:rsidTr="005E2383">
        <w:trPr>
          <w:cantSplit/>
        </w:trPr>
        <w:tc>
          <w:tcPr>
            <w:tcW w:w="711" w:type="pct"/>
            <w:vAlign w:val="center"/>
          </w:tcPr>
          <w:p w14:paraId="374D8608" w14:textId="3AFDD813" w:rsidR="005E2383" w:rsidRPr="00C31F5C" w:rsidRDefault="005E2383" w:rsidP="00F03392">
            <w:pPr>
              <w:pStyle w:val="Tabletext"/>
              <w:rPr>
                <w:bCs/>
              </w:rPr>
            </w:pPr>
            <w:r>
              <w:t>Naumann, 2003</w:t>
            </w:r>
          </w:p>
        </w:tc>
        <w:tc>
          <w:tcPr>
            <w:tcW w:w="469" w:type="pct"/>
            <w:vAlign w:val="center"/>
          </w:tcPr>
          <w:p w14:paraId="341BC264" w14:textId="223A3A85" w:rsidR="005E2383" w:rsidRPr="00C31F5C" w:rsidRDefault="005E2383" w:rsidP="00F03392">
            <w:pPr>
              <w:pStyle w:val="Tabletext"/>
              <w:rPr>
                <w:bCs/>
              </w:rPr>
            </w:pPr>
            <w:r>
              <w:t>207</w:t>
            </w:r>
          </w:p>
        </w:tc>
        <w:tc>
          <w:tcPr>
            <w:tcW w:w="776" w:type="pct"/>
            <w:vAlign w:val="center"/>
          </w:tcPr>
          <w:p w14:paraId="27FD35DE" w14:textId="71BB0319" w:rsidR="005E2383" w:rsidRPr="009E6212" w:rsidRDefault="005E2383" w:rsidP="00F03392">
            <w:pPr>
              <w:pStyle w:val="Tabletext"/>
            </w:pPr>
            <w:r>
              <w:t>OL, MC; p</w:t>
            </w:r>
            <w:r w:rsidRPr="009E6212">
              <w:t xml:space="preserve">atients completing the R, DB phase </w:t>
            </w:r>
            <w:r>
              <w:t>(N</w:t>
            </w:r>
            <w:r w:rsidRPr="009E6212">
              <w:t>aumann</w:t>
            </w:r>
            <w:r>
              <w:t xml:space="preserve">, </w:t>
            </w:r>
            <w:r w:rsidRPr="009E6212">
              <w:t xml:space="preserve">2001) could opt to receive up to 3 OL treatments with BTA; treatment was given on request provided </w:t>
            </w:r>
            <w:r w:rsidRPr="009E6212">
              <w:sym w:font="Symbol" w:char="F0B3"/>
            </w:r>
            <w:r w:rsidRPr="009E6212">
              <w:t xml:space="preserve">16 weeks since last treatment and sweat production was </w:t>
            </w:r>
            <w:r w:rsidRPr="009E6212">
              <w:sym w:font="Symbol" w:char="F0B3"/>
            </w:r>
            <w:r w:rsidRPr="009E6212">
              <w:t xml:space="preserve">50% of </w:t>
            </w:r>
            <w:r>
              <w:t xml:space="preserve">DB phase BL. </w:t>
            </w:r>
          </w:p>
        </w:tc>
        <w:tc>
          <w:tcPr>
            <w:tcW w:w="617" w:type="pct"/>
            <w:vAlign w:val="center"/>
          </w:tcPr>
          <w:p w14:paraId="380860B0" w14:textId="45F99565" w:rsidR="005E2383" w:rsidRPr="001331CE" w:rsidRDefault="005E2383" w:rsidP="00F03392">
            <w:pPr>
              <w:pStyle w:val="Tabletext"/>
              <w:rPr>
                <w:bCs/>
              </w:rPr>
            </w:pPr>
            <w:r w:rsidRPr="001331CE">
              <w:t>High</w:t>
            </w:r>
          </w:p>
        </w:tc>
        <w:tc>
          <w:tcPr>
            <w:tcW w:w="851" w:type="pct"/>
            <w:vAlign w:val="center"/>
          </w:tcPr>
          <w:p w14:paraId="34720E04" w14:textId="69866F5D" w:rsidR="005E2383" w:rsidRPr="00C31F5C" w:rsidRDefault="005E2383" w:rsidP="00F03392">
            <w:pPr>
              <w:pStyle w:val="Tabletext"/>
              <w:rPr>
                <w:bCs/>
              </w:rPr>
            </w:pPr>
            <w:r>
              <w:t>Same as Naumann, 2001</w:t>
            </w:r>
          </w:p>
        </w:tc>
        <w:tc>
          <w:tcPr>
            <w:tcW w:w="1575" w:type="pct"/>
            <w:vAlign w:val="center"/>
          </w:tcPr>
          <w:p w14:paraId="16906D46" w14:textId="77AB94F9" w:rsidR="005E2383" w:rsidRPr="00C31F5C" w:rsidRDefault="005E2383" w:rsidP="00F03392">
            <w:pPr>
              <w:pStyle w:val="Tabletext"/>
              <w:rPr>
                <w:bCs/>
              </w:rPr>
            </w:pPr>
            <w:r>
              <w:t xml:space="preserve">Primary: % patients with </w:t>
            </w:r>
            <w:r w:rsidRPr="009E6212">
              <w:sym w:font="Symbol" w:char="F0B3"/>
            </w:r>
            <w:r w:rsidRPr="009E6212">
              <w:t xml:space="preserve">50% </w:t>
            </w:r>
            <w:r>
              <w:t xml:space="preserve">reduction of </w:t>
            </w:r>
            <w:r w:rsidR="00480EB3">
              <w:t xml:space="preserve">US </w:t>
            </w:r>
            <w:r>
              <w:t>sweat production from immediately before most recent treatment to 4 weeks after treatment.</w:t>
            </w:r>
            <w:r w:rsidR="00AB04F6">
              <w:t xml:space="preserve"> </w:t>
            </w:r>
          </w:p>
        </w:tc>
      </w:tr>
      <w:tr w:rsidR="005E2383" w:rsidRPr="0098262F" w14:paraId="25BE694C" w14:textId="77777777" w:rsidTr="005E2383">
        <w:trPr>
          <w:cantSplit/>
        </w:trPr>
        <w:tc>
          <w:tcPr>
            <w:tcW w:w="711" w:type="pct"/>
            <w:vAlign w:val="center"/>
          </w:tcPr>
          <w:p w14:paraId="300E1381" w14:textId="33ABC91D" w:rsidR="005E2383" w:rsidRPr="00C31F5C" w:rsidRDefault="005E2383" w:rsidP="00F03392">
            <w:pPr>
              <w:pStyle w:val="Tabletext"/>
              <w:rPr>
                <w:bCs/>
              </w:rPr>
            </w:pPr>
            <w:r>
              <w:t>Glaser, 2007</w:t>
            </w:r>
          </w:p>
        </w:tc>
        <w:tc>
          <w:tcPr>
            <w:tcW w:w="469" w:type="pct"/>
            <w:vAlign w:val="center"/>
          </w:tcPr>
          <w:p w14:paraId="270F16E7" w14:textId="6B3D07D0" w:rsidR="005E2383" w:rsidRPr="00C31F5C" w:rsidRDefault="005E2383" w:rsidP="00F03392">
            <w:pPr>
              <w:pStyle w:val="Tabletext"/>
              <w:rPr>
                <w:bCs/>
              </w:rPr>
            </w:pPr>
            <w:r>
              <w:t>191</w:t>
            </w:r>
          </w:p>
        </w:tc>
        <w:tc>
          <w:tcPr>
            <w:tcW w:w="776" w:type="pct"/>
            <w:vAlign w:val="center"/>
          </w:tcPr>
          <w:p w14:paraId="08EE69FF" w14:textId="7C28D61D" w:rsidR="005E2383" w:rsidRPr="00C31F5C" w:rsidRDefault="005E2383" w:rsidP="00F03392">
            <w:pPr>
              <w:pStyle w:val="Tabletext"/>
              <w:rPr>
                <w:bCs/>
              </w:rPr>
            </w:pPr>
            <w:r>
              <w:t xml:space="preserve">OL, MC; patients completing the DB phase (Lowe, 2007) could enrol in OLE; BTA 50 U/axilla up to every 8 weeks if sweat production </w:t>
            </w:r>
            <w:r w:rsidRPr="00C31F5C">
              <w:sym w:font="Symbol" w:char="F0B3"/>
            </w:r>
            <w:r w:rsidRPr="00C31F5C">
              <w:t>50 mg/axilla/5 min</w:t>
            </w:r>
            <w:r>
              <w:t xml:space="preserve"> and HDSS </w:t>
            </w:r>
            <w:r w:rsidRPr="009E6212">
              <w:sym w:font="Symbol" w:char="F0B3"/>
            </w:r>
            <w:r>
              <w:t xml:space="preserve">3. </w:t>
            </w:r>
          </w:p>
        </w:tc>
        <w:tc>
          <w:tcPr>
            <w:tcW w:w="617" w:type="pct"/>
            <w:vAlign w:val="center"/>
          </w:tcPr>
          <w:p w14:paraId="3D651974" w14:textId="239FEAF2" w:rsidR="005E2383" w:rsidRPr="001331CE" w:rsidRDefault="005E2383" w:rsidP="00F03392">
            <w:pPr>
              <w:pStyle w:val="Tabletext"/>
              <w:rPr>
                <w:bCs/>
              </w:rPr>
            </w:pPr>
            <w:r w:rsidRPr="001331CE">
              <w:t>High</w:t>
            </w:r>
          </w:p>
        </w:tc>
        <w:tc>
          <w:tcPr>
            <w:tcW w:w="851" w:type="pct"/>
            <w:vAlign w:val="center"/>
          </w:tcPr>
          <w:p w14:paraId="6A8E4B5C" w14:textId="204D3380" w:rsidR="005E2383" w:rsidRPr="00C31F5C" w:rsidRDefault="005E2383" w:rsidP="00F03392">
            <w:pPr>
              <w:pStyle w:val="Tabletext"/>
              <w:rPr>
                <w:bCs/>
              </w:rPr>
            </w:pPr>
            <w:r>
              <w:t xml:space="preserve">Same as Lowe, 2007. </w:t>
            </w:r>
          </w:p>
        </w:tc>
        <w:tc>
          <w:tcPr>
            <w:tcW w:w="1575" w:type="pct"/>
            <w:vAlign w:val="center"/>
          </w:tcPr>
          <w:p w14:paraId="6FEDE88D" w14:textId="2A812E31" w:rsidR="005E2383" w:rsidRPr="00C31F5C" w:rsidRDefault="005E2383" w:rsidP="00F03392">
            <w:pPr>
              <w:pStyle w:val="Tabletext"/>
              <w:rPr>
                <w:bCs/>
              </w:rPr>
            </w:pPr>
            <w:r>
              <w:t xml:space="preserve">Not stated. </w:t>
            </w:r>
          </w:p>
        </w:tc>
      </w:tr>
      <w:tr w:rsidR="005E2383" w:rsidRPr="0098262F" w14:paraId="231F7F02" w14:textId="77777777" w:rsidTr="005E2383">
        <w:trPr>
          <w:cantSplit/>
        </w:trPr>
        <w:tc>
          <w:tcPr>
            <w:tcW w:w="711" w:type="pct"/>
            <w:vAlign w:val="center"/>
          </w:tcPr>
          <w:p w14:paraId="7B2A9B11" w14:textId="28EDB12A" w:rsidR="005E2383" w:rsidRDefault="005E2383" w:rsidP="00F03392">
            <w:pPr>
              <w:pStyle w:val="Tabletext"/>
              <w:rPr>
                <w:bCs/>
              </w:rPr>
            </w:pPr>
            <w:r>
              <w:t>Glaser, 2015</w:t>
            </w:r>
          </w:p>
        </w:tc>
        <w:tc>
          <w:tcPr>
            <w:tcW w:w="469" w:type="pct"/>
            <w:vAlign w:val="center"/>
          </w:tcPr>
          <w:p w14:paraId="2C8BD89B" w14:textId="074FB842" w:rsidR="005E2383" w:rsidRDefault="005E2383" w:rsidP="00F03392">
            <w:pPr>
              <w:pStyle w:val="Tabletext"/>
              <w:rPr>
                <w:bCs/>
              </w:rPr>
            </w:pPr>
            <w:r>
              <w:t>144</w:t>
            </w:r>
          </w:p>
        </w:tc>
        <w:tc>
          <w:tcPr>
            <w:tcW w:w="776" w:type="pct"/>
            <w:vAlign w:val="center"/>
          </w:tcPr>
          <w:p w14:paraId="0C018EB3" w14:textId="03CE5D43" w:rsidR="005E2383" w:rsidRDefault="005E2383" w:rsidP="00F03392">
            <w:pPr>
              <w:pStyle w:val="Tabletext"/>
              <w:rPr>
                <w:bCs/>
              </w:rPr>
            </w:pPr>
            <w:r>
              <w:t xml:space="preserve">OL, MC, uncontrolled; 52 weeks; BTA 50 U/axilla; retreated if </w:t>
            </w:r>
            <w:r w:rsidRPr="00C31F5C">
              <w:sym w:font="Symbol" w:char="F0B3"/>
            </w:r>
            <w:r w:rsidRPr="00C31F5C">
              <w:t>50 mg/axilla/5 min</w:t>
            </w:r>
            <w:r>
              <w:t xml:space="preserve"> and HDSS </w:t>
            </w:r>
            <w:r w:rsidRPr="009E6212">
              <w:sym w:font="Symbol" w:char="F0B3"/>
            </w:r>
            <w:r>
              <w:t xml:space="preserve">3, up to 6 retreatments but </w:t>
            </w:r>
            <w:r w:rsidRPr="00C31F5C">
              <w:sym w:font="Symbol" w:char="F0B3"/>
            </w:r>
            <w:r>
              <w:t>8 weeks between treatment.</w:t>
            </w:r>
          </w:p>
        </w:tc>
        <w:tc>
          <w:tcPr>
            <w:tcW w:w="617" w:type="pct"/>
            <w:vAlign w:val="center"/>
          </w:tcPr>
          <w:p w14:paraId="32CC1B15" w14:textId="15FACA76" w:rsidR="005E2383" w:rsidRPr="001331CE" w:rsidRDefault="005E2383" w:rsidP="00F03392">
            <w:pPr>
              <w:pStyle w:val="Tabletext"/>
              <w:rPr>
                <w:bCs/>
              </w:rPr>
            </w:pPr>
            <w:r w:rsidRPr="001331CE">
              <w:t>High</w:t>
            </w:r>
          </w:p>
        </w:tc>
        <w:tc>
          <w:tcPr>
            <w:tcW w:w="851" w:type="pct"/>
            <w:vAlign w:val="center"/>
          </w:tcPr>
          <w:p w14:paraId="5B37B4FE" w14:textId="78B03083" w:rsidR="005E2383" w:rsidRDefault="005E2383" w:rsidP="00F03392">
            <w:pPr>
              <w:pStyle w:val="Tabletext"/>
              <w:rPr>
                <w:bCs/>
              </w:rPr>
            </w:pPr>
            <w:r>
              <w:t xml:space="preserve">Age 12-17; PAHH inadequately managed with topical treatment and </w:t>
            </w:r>
            <w:r w:rsidR="00480EB3">
              <w:t xml:space="preserve">US </w:t>
            </w:r>
            <w:r>
              <w:t xml:space="preserve">sweat production </w:t>
            </w:r>
            <w:r w:rsidRPr="00C31F5C">
              <w:sym w:font="Symbol" w:char="F0B3"/>
            </w:r>
            <w:r w:rsidRPr="00C31F5C">
              <w:t>50 mg/axilla/5 min</w:t>
            </w:r>
            <w:r>
              <w:t xml:space="preserve"> and HDSS </w:t>
            </w:r>
            <w:r w:rsidRPr="009E6212">
              <w:sym w:font="Symbol" w:char="F0B3"/>
            </w:r>
            <w:r>
              <w:t>3.</w:t>
            </w:r>
          </w:p>
        </w:tc>
        <w:tc>
          <w:tcPr>
            <w:tcW w:w="1575" w:type="pct"/>
            <w:vAlign w:val="center"/>
          </w:tcPr>
          <w:p w14:paraId="4C89E968" w14:textId="77777777" w:rsidR="005E2383" w:rsidRDefault="005E2383" w:rsidP="00F03392">
            <w:pPr>
              <w:pStyle w:val="Tabletext"/>
              <w:rPr>
                <w:bCs/>
              </w:rPr>
            </w:pPr>
            <w:r>
              <w:t xml:space="preserve">Primary: </w:t>
            </w:r>
            <w:r w:rsidRPr="00C31F5C">
              <w:t xml:space="preserve">% patients with improvement in HDSS </w:t>
            </w:r>
            <w:r w:rsidRPr="00C31F5C">
              <w:sym w:font="Symbol" w:char="F0B3"/>
            </w:r>
            <w:r w:rsidRPr="00C31F5C">
              <w:t xml:space="preserve">2 grades </w:t>
            </w:r>
            <w:r>
              <w:t xml:space="preserve">4 weeks </w:t>
            </w:r>
            <w:r w:rsidRPr="00C31F5C">
              <w:t xml:space="preserve">after </w:t>
            </w:r>
            <w:proofErr w:type="gramStart"/>
            <w:r w:rsidRPr="00C31F5C">
              <w:t>both of the first</w:t>
            </w:r>
            <w:proofErr w:type="gramEnd"/>
            <w:r w:rsidRPr="00C31F5C">
              <w:t xml:space="preserve"> 2 treatments or after first treatment with no further treatment to </w:t>
            </w:r>
            <w:r>
              <w:t>44</w:t>
            </w:r>
            <w:r w:rsidRPr="00C31F5C">
              <w:t xml:space="preserve"> weeks.</w:t>
            </w:r>
          </w:p>
          <w:p w14:paraId="03274F3E" w14:textId="11AA7E66" w:rsidR="005E2383" w:rsidRDefault="005E2383" w:rsidP="00F03392">
            <w:pPr>
              <w:pStyle w:val="Tabletext"/>
              <w:rPr>
                <w:bCs/>
              </w:rPr>
            </w:pPr>
            <w:r>
              <w:t xml:space="preserve">Secondary: CFB in </w:t>
            </w:r>
            <w:r w:rsidR="00480EB3">
              <w:t xml:space="preserve">US </w:t>
            </w:r>
            <w:r>
              <w:t xml:space="preserve">sweat production 4 weeks after treatments. </w:t>
            </w:r>
          </w:p>
        </w:tc>
      </w:tr>
      <w:tr w:rsidR="005E2383" w:rsidRPr="0098262F" w14:paraId="14E42C8F" w14:textId="77777777" w:rsidTr="005E2383">
        <w:trPr>
          <w:cantSplit/>
        </w:trPr>
        <w:tc>
          <w:tcPr>
            <w:tcW w:w="711" w:type="pct"/>
            <w:vAlign w:val="center"/>
          </w:tcPr>
          <w:p w14:paraId="2B1DAA6E" w14:textId="7C07F3BF" w:rsidR="005E2383" w:rsidRDefault="005E2383" w:rsidP="00F03392">
            <w:pPr>
              <w:pStyle w:val="Tabletext"/>
              <w:rPr>
                <w:bCs/>
              </w:rPr>
            </w:pPr>
            <w:r>
              <w:t>Heckmann, 2001</w:t>
            </w:r>
          </w:p>
        </w:tc>
        <w:tc>
          <w:tcPr>
            <w:tcW w:w="469" w:type="pct"/>
            <w:vAlign w:val="center"/>
          </w:tcPr>
          <w:p w14:paraId="2C1FF961" w14:textId="09C9BF35" w:rsidR="005E2383" w:rsidRDefault="005E2383" w:rsidP="00F03392">
            <w:pPr>
              <w:pStyle w:val="Tabletext"/>
              <w:rPr>
                <w:bCs/>
              </w:rPr>
            </w:pPr>
            <w:r>
              <w:t>145</w:t>
            </w:r>
          </w:p>
        </w:tc>
        <w:tc>
          <w:tcPr>
            <w:tcW w:w="776" w:type="pct"/>
            <w:vAlign w:val="center"/>
          </w:tcPr>
          <w:p w14:paraId="61AED9A6" w14:textId="46528089" w:rsidR="005E2383" w:rsidRDefault="005E2383" w:rsidP="00F03392">
            <w:pPr>
              <w:pStyle w:val="Tabletext"/>
              <w:rPr>
                <w:bCs/>
              </w:rPr>
            </w:pPr>
            <w:r>
              <w:t xml:space="preserve">R, DB, MC; 14 weeks; 200 U </w:t>
            </w:r>
            <w:proofErr w:type="spellStart"/>
            <w:r>
              <w:t>AboBTA</w:t>
            </w:r>
            <w:proofErr w:type="spellEnd"/>
            <w:r>
              <w:t xml:space="preserve"> injected into randomly allocated left or right axilla and placebo into the other; after 2 weeks the placebo-treated axilla was treated with 100 U </w:t>
            </w:r>
            <w:proofErr w:type="spellStart"/>
            <w:r>
              <w:t>AboBTA</w:t>
            </w:r>
            <w:proofErr w:type="spellEnd"/>
            <w:r>
              <w:t xml:space="preserve">. </w:t>
            </w:r>
          </w:p>
        </w:tc>
        <w:tc>
          <w:tcPr>
            <w:tcW w:w="617" w:type="pct"/>
            <w:vAlign w:val="center"/>
          </w:tcPr>
          <w:p w14:paraId="0BE0A63A" w14:textId="3806BA15" w:rsidR="005E2383" w:rsidRPr="001331CE" w:rsidRDefault="005E2383" w:rsidP="00F03392">
            <w:pPr>
              <w:pStyle w:val="Tabletext"/>
              <w:rPr>
                <w:bCs/>
              </w:rPr>
            </w:pPr>
            <w:r w:rsidRPr="001331CE">
              <w:t>Low</w:t>
            </w:r>
          </w:p>
        </w:tc>
        <w:tc>
          <w:tcPr>
            <w:tcW w:w="851" w:type="pct"/>
            <w:vAlign w:val="center"/>
          </w:tcPr>
          <w:p w14:paraId="4455A848" w14:textId="2328D567" w:rsidR="005E2383" w:rsidRDefault="005E2383" w:rsidP="00F03392">
            <w:pPr>
              <w:pStyle w:val="Tabletext"/>
              <w:rPr>
                <w:bCs/>
              </w:rPr>
            </w:pPr>
            <w:r>
              <w:t xml:space="preserve">Excessive sweating &gt;1 year; </w:t>
            </w:r>
            <w:r w:rsidR="00480EB3">
              <w:t xml:space="preserve">US </w:t>
            </w:r>
            <w:r>
              <w:t xml:space="preserve">sweat production &gt;50 mg/axilla/min; failure of 4 weeks 10% or 20% topical aluminium chloride. </w:t>
            </w:r>
          </w:p>
        </w:tc>
        <w:tc>
          <w:tcPr>
            <w:tcW w:w="1575" w:type="pct"/>
            <w:vAlign w:val="center"/>
          </w:tcPr>
          <w:p w14:paraId="48B2A1B6" w14:textId="0CD74EB5" w:rsidR="005E2383" w:rsidRDefault="005E2383" w:rsidP="00F03392">
            <w:pPr>
              <w:pStyle w:val="Tabletext"/>
              <w:rPr>
                <w:bCs/>
              </w:rPr>
            </w:pPr>
            <w:r>
              <w:t xml:space="preserve">Primary: </w:t>
            </w:r>
            <w:r w:rsidR="00480EB3">
              <w:t xml:space="preserve">US </w:t>
            </w:r>
            <w:r>
              <w:t xml:space="preserve">sweat production at 2 weeks. </w:t>
            </w:r>
          </w:p>
          <w:p w14:paraId="2525A840" w14:textId="64ECF000" w:rsidR="005E2383" w:rsidRDefault="005E2383" w:rsidP="00F03392">
            <w:pPr>
              <w:pStyle w:val="Tabletext"/>
              <w:rPr>
                <w:bCs/>
              </w:rPr>
            </w:pPr>
            <w:r>
              <w:t xml:space="preserve">Secondary: </w:t>
            </w:r>
            <w:r w:rsidR="00480EB3">
              <w:t xml:space="preserve">US </w:t>
            </w:r>
            <w:r>
              <w:t xml:space="preserve">sweat production with 200 U vs 100 U BTA. </w:t>
            </w:r>
          </w:p>
        </w:tc>
      </w:tr>
      <w:tr w:rsidR="005E2383" w:rsidRPr="0098262F" w14:paraId="3C632234" w14:textId="77777777" w:rsidTr="005E2383">
        <w:trPr>
          <w:cantSplit/>
        </w:trPr>
        <w:tc>
          <w:tcPr>
            <w:tcW w:w="711" w:type="pct"/>
            <w:vAlign w:val="center"/>
          </w:tcPr>
          <w:p w14:paraId="06C709B3" w14:textId="2C7C3A58" w:rsidR="005E2383" w:rsidRPr="00A853EE" w:rsidRDefault="005E2383" w:rsidP="00F03392">
            <w:pPr>
              <w:pStyle w:val="Tabletext"/>
              <w:rPr>
                <w:bCs/>
              </w:rPr>
            </w:pPr>
            <w:r w:rsidRPr="00A853EE">
              <w:rPr>
                <w:rStyle w:val="padding-left-05"/>
                <w:sz w:val="18"/>
                <w:szCs w:val="18"/>
              </w:rPr>
              <w:t>NCT01128738</w:t>
            </w:r>
            <w:r>
              <w:rPr>
                <w:rStyle w:val="padding-left-05"/>
                <w:sz w:val="18"/>
                <w:szCs w:val="18"/>
              </w:rPr>
              <w:t xml:space="preserve"> </w:t>
            </w:r>
            <w:r>
              <w:rPr>
                <w:rStyle w:val="padding-left-05"/>
              </w:rPr>
              <w:t>(also called Ohshima, 2013)</w:t>
            </w:r>
          </w:p>
        </w:tc>
        <w:tc>
          <w:tcPr>
            <w:tcW w:w="469" w:type="pct"/>
            <w:vAlign w:val="center"/>
          </w:tcPr>
          <w:p w14:paraId="1CCBBDF2" w14:textId="13578330" w:rsidR="005E2383" w:rsidRPr="00A853EE" w:rsidRDefault="005E2383" w:rsidP="00F03392">
            <w:pPr>
              <w:pStyle w:val="Tabletext"/>
              <w:rPr>
                <w:bCs/>
              </w:rPr>
            </w:pPr>
            <w:r>
              <w:t>152</w:t>
            </w:r>
          </w:p>
        </w:tc>
        <w:tc>
          <w:tcPr>
            <w:tcW w:w="776" w:type="pct"/>
            <w:vAlign w:val="center"/>
          </w:tcPr>
          <w:p w14:paraId="4F42A872" w14:textId="238B7E79" w:rsidR="005E2383" w:rsidRPr="00A853EE" w:rsidRDefault="005E2383" w:rsidP="00F03392">
            <w:pPr>
              <w:pStyle w:val="Tabletext"/>
              <w:rPr>
                <w:bCs/>
              </w:rPr>
            </w:pPr>
            <w:r>
              <w:t xml:space="preserve">R, DB, MC; randomised to BTA 50 U/axilla (78) or placebo (74) (= </w:t>
            </w:r>
            <w:r w:rsidR="00F83730">
              <w:t>‘</w:t>
            </w:r>
            <w:r>
              <w:t>first treatment phase</w:t>
            </w:r>
            <w:r w:rsidR="00F83730">
              <w:t>’</w:t>
            </w:r>
            <w:r>
              <w:t xml:space="preserve">); patients in either group with sweat production &gt;50% of baseline in both axillae at 16, 20 or 24 weeks had OL BTA 50 U/axilla (100) (= </w:t>
            </w:r>
            <w:r w:rsidR="00F83730">
              <w:t>‘</w:t>
            </w:r>
            <w:r>
              <w:t>second treatment phase</w:t>
            </w:r>
            <w:r w:rsidR="00F83730">
              <w:t>’</w:t>
            </w:r>
            <w:r>
              <w:t>).</w:t>
            </w:r>
            <w:r w:rsidR="00AB04F6">
              <w:t xml:space="preserve"> </w:t>
            </w:r>
          </w:p>
        </w:tc>
        <w:tc>
          <w:tcPr>
            <w:tcW w:w="617" w:type="pct"/>
            <w:vAlign w:val="center"/>
          </w:tcPr>
          <w:p w14:paraId="4B44F019" w14:textId="1B2CF193" w:rsidR="005E2383" w:rsidRPr="001331CE" w:rsidRDefault="005E2383" w:rsidP="00F03392">
            <w:pPr>
              <w:pStyle w:val="Tabletext"/>
              <w:rPr>
                <w:bCs/>
              </w:rPr>
            </w:pPr>
            <w:r w:rsidRPr="001331CE">
              <w:t xml:space="preserve">Low in first treatment phase; uncertain in second treatment phase. </w:t>
            </w:r>
          </w:p>
        </w:tc>
        <w:tc>
          <w:tcPr>
            <w:tcW w:w="851" w:type="pct"/>
            <w:vAlign w:val="center"/>
          </w:tcPr>
          <w:p w14:paraId="2EBBC6AD" w14:textId="348C3DE0" w:rsidR="005E2383" w:rsidRPr="00A853EE" w:rsidRDefault="005E2383" w:rsidP="00F03392">
            <w:pPr>
              <w:pStyle w:val="Tabletext"/>
              <w:rPr>
                <w:bCs/>
              </w:rPr>
            </w:pPr>
            <w:r>
              <w:t xml:space="preserve">Age 20-75; </w:t>
            </w:r>
            <w:r w:rsidRPr="00C31F5C">
              <w:t xml:space="preserve">PAHH with HDSS </w:t>
            </w:r>
            <w:r w:rsidRPr="00C31F5C">
              <w:sym w:font="Symbol" w:char="F0B3"/>
            </w:r>
            <w:r w:rsidR="001063F0">
              <w:t xml:space="preserve"> </w:t>
            </w:r>
            <w:r w:rsidRPr="00C31F5C">
              <w:t xml:space="preserve">3 and BL </w:t>
            </w:r>
            <w:r w:rsidR="00480EB3">
              <w:t xml:space="preserve">US </w:t>
            </w:r>
            <w:r w:rsidRPr="00C31F5C">
              <w:t xml:space="preserve">sweat production </w:t>
            </w:r>
            <w:r w:rsidRPr="00C31F5C">
              <w:sym w:font="Symbol" w:char="F0B3"/>
            </w:r>
            <w:r w:rsidR="001063F0">
              <w:t xml:space="preserve"> </w:t>
            </w:r>
            <w:r w:rsidRPr="00C31F5C">
              <w:t>50 mg/axilla/5 min</w:t>
            </w:r>
            <w:r>
              <w:t>; corrected QT&lt;</w:t>
            </w:r>
            <w:r w:rsidR="001063F0">
              <w:t xml:space="preserve"> </w:t>
            </w:r>
            <w:r>
              <w:t xml:space="preserve">450 msec; </w:t>
            </w:r>
          </w:p>
        </w:tc>
        <w:tc>
          <w:tcPr>
            <w:tcW w:w="1575" w:type="pct"/>
            <w:vAlign w:val="center"/>
          </w:tcPr>
          <w:p w14:paraId="74C19B48" w14:textId="63C17884" w:rsidR="005E2383" w:rsidRPr="00A853EE" w:rsidRDefault="005E2383" w:rsidP="00F03392">
            <w:pPr>
              <w:pStyle w:val="Tabletext"/>
              <w:rPr>
                <w:bCs/>
              </w:rPr>
            </w:pPr>
            <w:r>
              <w:t xml:space="preserve">Primary: % patients with </w:t>
            </w:r>
            <w:r w:rsidRPr="009E6212">
              <w:sym w:font="Symbol" w:char="F0B3"/>
            </w:r>
            <w:r w:rsidRPr="009E6212">
              <w:t xml:space="preserve">50% </w:t>
            </w:r>
            <w:r>
              <w:t xml:space="preserve">reduction of </w:t>
            </w:r>
            <w:r w:rsidR="00480EB3">
              <w:t xml:space="preserve">US </w:t>
            </w:r>
            <w:r>
              <w:t xml:space="preserve">sweat production from BL. </w:t>
            </w:r>
          </w:p>
        </w:tc>
      </w:tr>
    </w:tbl>
    <w:p w14:paraId="560080D2" w14:textId="03CCD768" w:rsidR="00045017" w:rsidRPr="0098262F" w:rsidRDefault="00045017" w:rsidP="00EC5836">
      <w:pPr>
        <w:pStyle w:val="FooterTableFigure"/>
      </w:pPr>
      <w:r w:rsidRPr="0098262F">
        <w:t xml:space="preserve">Source: </w:t>
      </w:r>
      <w:r w:rsidR="00895929">
        <w:t>Constructed during the evaluation from CSRs and published reports</w:t>
      </w:r>
      <w:r w:rsidRPr="0098262F">
        <w:t>.</w:t>
      </w:r>
    </w:p>
    <w:p w14:paraId="1095487C" w14:textId="00B9CBF3" w:rsidR="00620C25" w:rsidRPr="0098262F" w:rsidRDefault="00F62857" w:rsidP="00EC5836">
      <w:pPr>
        <w:pStyle w:val="FooterTableFigure"/>
        <w:rPr>
          <w:sz w:val="20"/>
        </w:rPr>
      </w:pPr>
      <w:proofErr w:type="spellStart"/>
      <w:r>
        <w:t>AboBTA</w:t>
      </w:r>
      <w:proofErr w:type="spellEnd"/>
      <w:r>
        <w:t xml:space="preserve"> = </w:t>
      </w:r>
      <w:proofErr w:type="spellStart"/>
      <w:r>
        <w:t>abobotulinum</w:t>
      </w:r>
      <w:proofErr w:type="spellEnd"/>
      <w:r>
        <w:t xml:space="preserve"> toxin type A</w:t>
      </w:r>
      <w:r w:rsidR="00E41AA9">
        <w:t xml:space="preserve"> - units of this product are not interchangeable with units of the product used in other trials</w:t>
      </w:r>
      <w:r>
        <w:t xml:space="preserve">; </w:t>
      </w:r>
      <w:r w:rsidR="00895929">
        <w:t>BL = baseline; BMI = body mass index;</w:t>
      </w:r>
      <w:r w:rsidR="00B16C04">
        <w:t xml:space="preserve"> BTA = botulinum toxin type A;</w:t>
      </w:r>
      <w:r w:rsidR="00895929">
        <w:t xml:space="preserve"> CFB = change from baseline; </w:t>
      </w:r>
      <w:r w:rsidR="00620C25" w:rsidRPr="0098262F">
        <w:t xml:space="preserve">DB = double blind; </w:t>
      </w:r>
      <w:r w:rsidR="00895929">
        <w:t xml:space="preserve">GPB = glycopyrronium bromide; </w:t>
      </w:r>
      <w:proofErr w:type="spellStart"/>
      <w:r w:rsidR="00895929">
        <w:t>HidroQoL</w:t>
      </w:r>
      <w:proofErr w:type="spellEnd"/>
      <w:r w:rsidR="00895929">
        <w:t xml:space="preserve"> = hyperhidrosis quality of life score; HDSS = hyperhidrosis disease severity score; </w:t>
      </w:r>
      <w:r w:rsidR="00620C25" w:rsidRPr="0098262F">
        <w:t xml:space="preserve">MC = multi-centre; OL = open label; </w:t>
      </w:r>
      <w:r w:rsidR="00DD3A1F">
        <w:t xml:space="preserve">OLE = open label extension; </w:t>
      </w:r>
      <w:r w:rsidR="00895929">
        <w:t xml:space="preserve">PAHH = primary axillary hyperhidrosis; PRHS = patient-reported hyperhidrosis severity - asks for perceived axillary sweating severity over previous 24 hours, rated from 0 (no sweating) to 10 (worst you ever had); </w:t>
      </w:r>
      <w:r w:rsidR="00620C25" w:rsidRPr="0098262F">
        <w:t>R = randomised</w:t>
      </w:r>
      <w:r w:rsidR="00480EB3">
        <w:t>; US = unstimulated</w:t>
      </w:r>
      <w:r w:rsidR="00620C25" w:rsidRPr="0098262F">
        <w:t>.</w:t>
      </w:r>
    </w:p>
    <w:p w14:paraId="7474AE68" w14:textId="22EAC6BE" w:rsidR="002E2D09" w:rsidRPr="00465EE4" w:rsidRDefault="00E1274F" w:rsidP="002721B7">
      <w:pPr>
        <w:pStyle w:val="3-BodyText"/>
        <w:rPr>
          <w:color w:val="0066FF"/>
        </w:rPr>
      </w:pPr>
      <w:r w:rsidRPr="00465EE4">
        <w:t>I</w:t>
      </w:r>
      <w:r w:rsidR="002E2D09" w:rsidRPr="00465EE4">
        <w:t>n</w:t>
      </w:r>
      <w:r w:rsidR="002C0F70" w:rsidRPr="00465EE4">
        <w:t xml:space="preserve"> Hyp1-18/2016 there was no requirement for a failed trial of anti-perspirant (high-</w:t>
      </w:r>
      <w:r w:rsidR="00085E8B" w:rsidRPr="00465EE4">
        <w:t>strength</w:t>
      </w:r>
      <w:r w:rsidR="002C0F70" w:rsidRPr="00465EE4">
        <w:t xml:space="preserve"> or </w:t>
      </w:r>
      <w:r w:rsidR="002E2D09" w:rsidRPr="00465EE4">
        <w:t>low-</w:t>
      </w:r>
      <w:r w:rsidR="00085E8B" w:rsidRPr="00465EE4">
        <w:t>strength</w:t>
      </w:r>
      <w:r w:rsidR="002E2D09" w:rsidRPr="00465EE4">
        <w:t xml:space="preserve">). </w:t>
      </w:r>
      <w:r w:rsidR="009E51A5" w:rsidRPr="00465EE4">
        <w:t>No use of anti-perspirants was allowed during the trial, and baseline sweat production was measured after anti-perspirants</w:t>
      </w:r>
      <w:r w:rsidR="00CF4F80" w:rsidRPr="00465EE4">
        <w:t>, if used,</w:t>
      </w:r>
      <w:r w:rsidR="009E51A5" w:rsidRPr="00465EE4">
        <w:t xml:space="preserve"> had been stopped. </w:t>
      </w:r>
      <w:r w:rsidRPr="00465EE4">
        <w:t xml:space="preserve">Only </w:t>
      </w:r>
      <w:r w:rsidR="008E5C01" w:rsidRPr="00465EE4">
        <w:t>2/171 (1.2%)</w:t>
      </w:r>
      <w:r w:rsidRPr="00465EE4">
        <w:t xml:space="preserve"> patients were listed as having prior use of aluminium </w:t>
      </w:r>
      <w:r w:rsidR="00C34C12" w:rsidRPr="00465EE4">
        <w:t xml:space="preserve">chloride or </w:t>
      </w:r>
      <w:proofErr w:type="spellStart"/>
      <w:r w:rsidR="00C34C12" w:rsidRPr="00465EE4">
        <w:t>chlorohydrate</w:t>
      </w:r>
      <w:proofErr w:type="spellEnd"/>
      <w:r w:rsidR="00C34C12" w:rsidRPr="00465EE4">
        <w:t xml:space="preserve"> (Hyp1-18/2016 CSR Table 2.4, p149/641). </w:t>
      </w:r>
      <w:r w:rsidR="00576EBA" w:rsidRPr="00465EE4">
        <w:t>The PSCR</w:t>
      </w:r>
      <w:r w:rsidR="00AB04F6">
        <w:t xml:space="preserve"> </w:t>
      </w:r>
      <w:r w:rsidR="00576EBA" w:rsidRPr="00465EE4">
        <w:t>acknowledged the</w:t>
      </w:r>
      <w:r w:rsidR="00CC14BA" w:rsidRPr="00465EE4">
        <w:t xml:space="preserve"> included</w:t>
      </w:r>
      <w:r w:rsidR="00576EBA" w:rsidRPr="00465EE4">
        <w:t xml:space="preserve"> trials did not specify a requirement for failure of prior topical treatment, however argued the expected pattern of treatment would suggest </w:t>
      </w:r>
      <w:r w:rsidR="006F4AE5" w:rsidRPr="00465EE4">
        <w:t>the participants recruited likely</w:t>
      </w:r>
      <w:r w:rsidR="00397FF4" w:rsidRPr="00465EE4">
        <w:t xml:space="preserve"> had a history of disease that would </w:t>
      </w:r>
      <w:r w:rsidR="006F4AE5" w:rsidRPr="00465EE4">
        <w:t xml:space="preserve">have involved </w:t>
      </w:r>
      <w:r w:rsidR="00397FF4" w:rsidRPr="00465EE4">
        <w:t xml:space="preserve">some level of prior treatment. </w:t>
      </w:r>
    </w:p>
    <w:p w14:paraId="0666C2E2" w14:textId="67F7D8A3" w:rsidR="00C31F5C" w:rsidRPr="00465EE4" w:rsidRDefault="002E2D09" w:rsidP="002721B7">
      <w:pPr>
        <w:pStyle w:val="3-BodyText"/>
        <w:rPr>
          <w:color w:val="0066FF"/>
        </w:rPr>
      </w:pPr>
      <w:r w:rsidRPr="00465EE4">
        <w:t xml:space="preserve">Phase 3b of Hyp1-18/2016 was presented as an extension of Phase 3a, but </w:t>
      </w:r>
      <w:proofErr w:type="gramStart"/>
      <w:r w:rsidR="0028618E">
        <w:t>the</w:t>
      </w:r>
      <w:r w:rsidR="0028618E" w:rsidRPr="00465EE4">
        <w:t xml:space="preserve"> </w:t>
      </w:r>
      <w:r w:rsidRPr="00465EE4">
        <w:t>majority of</w:t>
      </w:r>
      <w:proofErr w:type="gramEnd"/>
      <w:r w:rsidRPr="00465EE4">
        <w:t xml:space="preserve"> patients in Phase 3b were newly recruited, and the primary outcome was assessed in newly recruited patients</w:t>
      </w:r>
      <w:r w:rsidR="002D4E3F" w:rsidRPr="00465EE4">
        <w:t xml:space="preserve"> only</w:t>
      </w:r>
      <w:r w:rsidR="003840AE" w:rsidRPr="00465EE4">
        <w:t>.</w:t>
      </w:r>
      <w:r w:rsidRPr="00465EE4">
        <w:t xml:space="preserve"> </w:t>
      </w:r>
    </w:p>
    <w:p w14:paraId="47310AF2" w14:textId="0EA78C19" w:rsidR="002E2D09" w:rsidRPr="00465EE4" w:rsidRDefault="00C31F5C" w:rsidP="002721B7">
      <w:pPr>
        <w:pStyle w:val="3-BodyText"/>
        <w:rPr>
          <w:color w:val="0066FF"/>
        </w:rPr>
      </w:pPr>
      <w:r w:rsidRPr="00465EE4">
        <w:t>A failed trial of high-</w:t>
      </w:r>
      <w:r w:rsidR="00085E8B" w:rsidRPr="00465EE4">
        <w:t>strength</w:t>
      </w:r>
      <w:r w:rsidRPr="00465EE4">
        <w:t xml:space="preserve"> anti-perspirants was not required in either Naumann </w:t>
      </w:r>
      <w:r w:rsidR="00085E8B" w:rsidRPr="00465EE4">
        <w:t xml:space="preserve">(2001) or Lowe (2007) and baseline sweat production was measured after anti-perspirants, if used, had been stopped. In Lowe (2007) high-strength anti-perspirants had been used </w:t>
      </w:r>
      <w:r w:rsidR="00033D66" w:rsidRPr="00465EE4">
        <w:t>by 44/322 patients (13.7%)</w:t>
      </w:r>
      <w:r w:rsidR="008E5C01" w:rsidRPr="00465EE4">
        <w:t>.</w:t>
      </w:r>
      <w:r w:rsidR="00085E8B" w:rsidRPr="00465EE4">
        <w:t xml:space="preserve"> </w:t>
      </w:r>
      <w:r w:rsidR="00033D66" w:rsidRPr="00465EE4">
        <w:t>I</w:t>
      </w:r>
      <w:r w:rsidR="002D4E3F" w:rsidRPr="00465EE4">
        <w:t xml:space="preserve">t is not clear whether </w:t>
      </w:r>
      <w:r w:rsidR="00417BFB" w:rsidRPr="00465EE4">
        <w:t xml:space="preserve">this </w:t>
      </w:r>
      <w:r w:rsidR="00033D66" w:rsidRPr="00465EE4">
        <w:t>anti-perspirant use wa</w:t>
      </w:r>
      <w:r w:rsidR="00417BFB" w:rsidRPr="00465EE4">
        <w:t>s</w:t>
      </w:r>
      <w:r w:rsidR="00033D66" w:rsidRPr="00465EE4">
        <w:t xml:space="preserve"> </w:t>
      </w:r>
      <w:r w:rsidR="002D4E3F" w:rsidRPr="00465EE4">
        <w:t>recent</w:t>
      </w:r>
      <w:r w:rsidR="00085E8B" w:rsidRPr="00465EE4">
        <w:t>.</w:t>
      </w:r>
      <w:r w:rsidR="00AB04F6">
        <w:t xml:space="preserve"> </w:t>
      </w:r>
    </w:p>
    <w:p w14:paraId="7FF90807" w14:textId="77777777" w:rsidR="00417BFB" w:rsidRPr="00465EE4" w:rsidRDefault="00085E8B" w:rsidP="002721B7">
      <w:pPr>
        <w:pStyle w:val="3-BodyText"/>
        <w:rPr>
          <w:color w:val="0066FF"/>
        </w:rPr>
      </w:pPr>
      <w:r w:rsidRPr="00465EE4">
        <w:t xml:space="preserve">Blinding </w:t>
      </w:r>
      <w:r w:rsidR="00EA2A1A" w:rsidRPr="00465EE4">
        <w:t>may have been</w:t>
      </w:r>
      <w:r w:rsidRPr="00465EE4">
        <w:t xml:space="preserve"> compromised in Lowe (2007) because reconstitution of BTA was unblinded and performed on site.</w:t>
      </w:r>
    </w:p>
    <w:p w14:paraId="1DFE84A6" w14:textId="36B5EFF1" w:rsidR="00085E8B" w:rsidRPr="00465EE4" w:rsidRDefault="00417BFB" w:rsidP="002721B7">
      <w:pPr>
        <w:pStyle w:val="3-BodyText"/>
      </w:pPr>
      <w:r w:rsidRPr="00465EE4">
        <w:t>The outcome measures in all trials made interpretation difficult. The primary complaint in PAHH is episodic excessive sweating, usually provoked by stress, not excessive unstimulated sweat production</w:t>
      </w:r>
      <w:r w:rsidR="00C85F2B" w:rsidRPr="00465EE4">
        <w:t>, but only unstimulated sweat production was measured</w:t>
      </w:r>
      <w:r w:rsidRPr="00465EE4">
        <w:t xml:space="preserve">. The HDSS is unsatisfactory, because </w:t>
      </w:r>
      <w:r w:rsidR="002D3834" w:rsidRPr="00465EE4">
        <w:t>each item</w:t>
      </w:r>
      <w:r w:rsidRPr="00465EE4">
        <w:t xml:space="preserve"> </w:t>
      </w:r>
      <w:r w:rsidR="002D3834" w:rsidRPr="00465EE4">
        <w:t xml:space="preserve">inappropriately </w:t>
      </w:r>
      <w:r w:rsidRPr="00465EE4">
        <w:t xml:space="preserve">combines </w:t>
      </w:r>
      <w:r w:rsidR="002D3834" w:rsidRPr="00465EE4">
        <w:t xml:space="preserve">tolerability and interference with daily activities - </w:t>
      </w:r>
      <w:r w:rsidR="002C5658" w:rsidRPr="00465EE4">
        <w:t>e.g.</w:t>
      </w:r>
      <w:r w:rsidR="002D3834" w:rsidRPr="00465EE4">
        <w:t xml:space="preserve">, </w:t>
      </w:r>
      <w:r w:rsidR="00F83730">
        <w:t>‘</w:t>
      </w:r>
      <w:r w:rsidR="002D3834" w:rsidRPr="00465EE4">
        <w:t>My underarm sweating is intolerable and always interferes with my daily activities</w:t>
      </w:r>
      <w:r w:rsidR="00F83730">
        <w:t>’</w:t>
      </w:r>
      <w:r w:rsidR="002D3834" w:rsidRPr="00465EE4">
        <w:t xml:space="preserve">. This was </w:t>
      </w:r>
      <w:r w:rsidR="004D16AE" w:rsidRPr="00465EE4">
        <w:t>acknowledged</w:t>
      </w:r>
      <w:r w:rsidR="002D3834" w:rsidRPr="00465EE4">
        <w:t xml:space="preserve"> by the submission (p82). </w:t>
      </w:r>
    </w:p>
    <w:p w14:paraId="369BB0B5" w14:textId="69BA1E92" w:rsidR="005F49B2" w:rsidRPr="00465EE4" w:rsidRDefault="005F49B2" w:rsidP="002721B7">
      <w:pPr>
        <w:pStyle w:val="3-BodyText"/>
        <w:rPr>
          <w:color w:val="0066FF"/>
        </w:rPr>
      </w:pPr>
      <w:r w:rsidRPr="00465EE4">
        <w:t xml:space="preserve">A table of baseline characteristics </w:t>
      </w:r>
      <w:r w:rsidR="00310DB5" w:rsidRPr="00465EE4">
        <w:t>was</w:t>
      </w:r>
      <w:r w:rsidRPr="00465EE4">
        <w:t xml:space="preserve"> not provided</w:t>
      </w:r>
      <w:r w:rsidR="00AD0699" w:rsidRPr="00465EE4">
        <w:t xml:space="preserve"> because the information concerning important features about prognostic features </w:t>
      </w:r>
      <w:r w:rsidR="00310DB5" w:rsidRPr="00465EE4">
        <w:t>was</w:t>
      </w:r>
      <w:r w:rsidR="00AD0699" w:rsidRPr="00465EE4">
        <w:t xml:space="preserve"> not available</w:t>
      </w:r>
      <w:r w:rsidRPr="00465EE4">
        <w:t xml:space="preserve">. Factors associated with a </w:t>
      </w:r>
      <w:proofErr w:type="gramStart"/>
      <w:r w:rsidRPr="00465EE4">
        <w:t>more or less favourable</w:t>
      </w:r>
      <w:proofErr w:type="gramEnd"/>
      <w:r w:rsidRPr="00465EE4">
        <w:t xml:space="preserve"> natural history, or with better or worse treatment outcomes have not been defined or reported, and the trial reports provided little or no data on the baseline characteristics of the patients in the trials beyond age and sex. For this reason, whether treatment groups in the trials were balanced </w:t>
      </w:r>
      <w:proofErr w:type="gramStart"/>
      <w:r w:rsidRPr="00465EE4">
        <w:t>with regard to</w:t>
      </w:r>
      <w:proofErr w:type="gramEnd"/>
      <w:r w:rsidRPr="00465EE4">
        <w:t xml:space="preserve"> factors affecting outcomes is </w:t>
      </w:r>
      <w:r w:rsidR="00987A33">
        <w:t>unknown</w:t>
      </w:r>
      <w:r w:rsidRPr="00465EE4">
        <w:t xml:space="preserve">. </w:t>
      </w:r>
    </w:p>
    <w:p w14:paraId="0CB13940" w14:textId="787B6B4C" w:rsidR="00480EB3" w:rsidRPr="00465EE4" w:rsidRDefault="005F49B2" w:rsidP="002721B7">
      <w:pPr>
        <w:pStyle w:val="3-BodyText"/>
      </w:pPr>
      <w:r w:rsidRPr="00465EE4">
        <w:t xml:space="preserve">Baseline data for sweat production and quality of life scores are shown in the efficacy tables. The </w:t>
      </w:r>
      <w:r w:rsidR="00417BFB" w:rsidRPr="00465EE4">
        <w:t>HDSS</w:t>
      </w:r>
      <w:r w:rsidRPr="00465EE4">
        <w:t xml:space="preserve"> was required to be 3 or 4 at baseline, so imbalance between treatment groups would have to be extreme to be observable.</w:t>
      </w:r>
    </w:p>
    <w:p w14:paraId="4A4FE085" w14:textId="1C5613CC" w:rsidR="00B60939" w:rsidRPr="0098262F" w:rsidRDefault="00B60939" w:rsidP="00EC5836">
      <w:pPr>
        <w:pStyle w:val="4-SubsectionHeading"/>
      </w:pPr>
      <w:bookmarkStart w:id="26" w:name="_Toc22897641"/>
      <w:bookmarkStart w:id="27" w:name="_Toc208997656"/>
      <w:r w:rsidRPr="0098262F">
        <w:t>Comparative effectiveness</w:t>
      </w:r>
      <w:bookmarkEnd w:id="26"/>
      <w:bookmarkEnd w:id="27"/>
    </w:p>
    <w:p w14:paraId="6529ABF5" w14:textId="01120690" w:rsidR="00DF6341" w:rsidRPr="00C34C12" w:rsidRDefault="00C34C12" w:rsidP="002721B7">
      <w:pPr>
        <w:pStyle w:val="3-BodyText"/>
        <w:rPr>
          <w:color w:val="0066FF"/>
        </w:rPr>
      </w:pPr>
      <w:r>
        <w:t xml:space="preserve">Efficacy outcomes for the </w:t>
      </w:r>
      <w:r w:rsidR="00CE20DE">
        <w:t xml:space="preserve">submitted and inappropriately excluded </w:t>
      </w:r>
      <w:r>
        <w:t xml:space="preserve">trials </w:t>
      </w:r>
      <w:r w:rsidR="00CE20DE">
        <w:t xml:space="preserve">in adults </w:t>
      </w:r>
      <w:r>
        <w:t xml:space="preserve">are shown in </w:t>
      </w:r>
      <w:r w:rsidR="00686210">
        <w:fldChar w:fldCharType="begin" w:fldLock="1"/>
      </w:r>
      <w:r w:rsidR="00686210">
        <w:instrText xml:space="preserve"> REF _Ref205981467 \h </w:instrText>
      </w:r>
      <w:r w:rsidR="00686210">
        <w:fldChar w:fldCharType="separate"/>
      </w:r>
      <w:r w:rsidR="004D6DEB">
        <w:t xml:space="preserve">Table </w:t>
      </w:r>
      <w:r w:rsidR="004D6DEB">
        <w:rPr>
          <w:noProof/>
        </w:rPr>
        <w:t>4</w:t>
      </w:r>
      <w:r w:rsidR="00686210">
        <w:fldChar w:fldCharType="end"/>
      </w:r>
      <w:r w:rsidR="00686210">
        <w:t>.</w:t>
      </w:r>
    </w:p>
    <w:p w14:paraId="0A12210E" w14:textId="42E7F932" w:rsidR="00C34C12" w:rsidRDefault="00686210" w:rsidP="00006DD3">
      <w:pPr>
        <w:pStyle w:val="Caption"/>
        <w:widowControl w:val="0"/>
      </w:pPr>
      <w:bookmarkStart w:id="28" w:name="_Ref205981467"/>
      <w:r>
        <w:t xml:space="preserve">Table </w:t>
      </w:r>
      <w:r w:rsidR="007C24FD">
        <w:fldChar w:fldCharType="begin" w:fldLock="1"/>
      </w:r>
      <w:r w:rsidR="007C24FD">
        <w:instrText xml:space="preserve"> SEQ Table \* ARABIC </w:instrText>
      </w:r>
      <w:r w:rsidR="007C24FD">
        <w:fldChar w:fldCharType="separate"/>
      </w:r>
      <w:r w:rsidR="004D6DEB">
        <w:rPr>
          <w:noProof/>
        </w:rPr>
        <w:t>4</w:t>
      </w:r>
      <w:r w:rsidR="007C24FD">
        <w:rPr>
          <w:noProof/>
        </w:rPr>
        <w:fldChar w:fldCharType="end"/>
      </w:r>
      <w:bookmarkEnd w:id="28"/>
      <w:r w:rsidR="00C34C12">
        <w:t xml:space="preserve">: </w:t>
      </w:r>
      <w:r w:rsidR="00A04AF7">
        <w:t>Key e</w:t>
      </w:r>
      <w:r w:rsidR="00C34C12">
        <w:t xml:space="preserve">fficacy outcomes </w:t>
      </w:r>
      <w:r w:rsidR="00557792">
        <w:t>in adults</w:t>
      </w:r>
      <w:r w:rsidR="00C34C12">
        <w:t xml:space="preserve">. </w:t>
      </w:r>
    </w:p>
    <w:tbl>
      <w:tblPr>
        <w:tblStyle w:val="TableGrid"/>
        <w:tblW w:w="0" w:type="auto"/>
        <w:tblLook w:val="04A0" w:firstRow="1" w:lastRow="0" w:firstColumn="1" w:lastColumn="0" w:noHBand="0" w:noVBand="1"/>
        <w:tblCaption w:val="Table 4"/>
        <w:tblDescription w:val="Key efficacy outcomes in adults. "/>
      </w:tblPr>
      <w:tblGrid>
        <w:gridCol w:w="3235"/>
        <w:gridCol w:w="3000"/>
        <w:gridCol w:w="2782"/>
      </w:tblGrid>
      <w:tr w:rsidR="00C34C12" w:rsidRPr="00C34C12" w14:paraId="6EE10350" w14:textId="77777777" w:rsidTr="00834893">
        <w:tc>
          <w:tcPr>
            <w:tcW w:w="9017" w:type="dxa"/>
            <w:gridSpan w:val="3"/>
          </w:tcPr>
          <w:p w14:paraId="5BC35000" w14:textId="7AC6D388" w:rsidR="00C34C12" w:rsidRPr="00C34C12" w:rsidRDefault="00C34C12" w:rsidP="00006DD3">
            <w:pPr>
              <w:pStyle w:val="TableFigureHeading"/>
              <w:keepLines/>
              <w:widowControl w:val="0"/>
              <w:jc w:val="center"/>
              <w:rPr>
                <w:color w:val="000000" w:themeColor="text1"/>
              </w:rPr>
            </w:pPr>
            <w:r w:rsidRPr="00C34C12">
              <w:rPr>
                <w:color w:val="000000" w:themeColor="text1"/>
              </w:rPr>
              <w:t>Glycopyrronium bromide</w:t>
            </w:r>
          </w:p>
        </w:tc>
      </w:tr>
      <w:tr w:rsidR="00C34C12" w:rsidRPr="00C34C12" w14:paraId="44D7A80F" w14:textId="77777777" w:rsidTr="00834893">
        <w:tc>
          <w:tcPr>
            <w:tcW w:w="9017" w:type="dxa"/>
            <w:gridSpan w:val="3"/>
          </w:tcPr>
          <w:p w14:paraId="1643DF3B" w14:textId="43320D14" w:rsidR="00C34C12" w:rsidRPr="00C34C12" w:rsidRDefault="00C34C12" w:rsidP="00006DD3">
            <w:pPr>
              <w:pStyle w:val="TableFigureHeading"/>
              <w:keepLines/>
              <w:widowControl w:val="0"/>
              <w:rPr>
                <w:color w:val="000000" w:themeColor="text1"/>
              </w:rPr>
            </w:pPr>
            <w:r>
              <w:rPr>
                <w:color w:val="000000" w:themeColor="text1"/>
              </w:rPr>
              <w:t>Hyp1-18/2016</w:t>
            </w:r>
            <w:r w:rsidR="005A6169">
              <w:rPr>
                <w:color w:val="000000" w:themeColor="text1"/>
              </w:rPr>
              <w:t xml:space="preserve"> Phase 3a</w:t>
            </w:r>
          </w:p>
        </w:tc>
      </w:tr>
      <w:tr w:rsidR="00C34C12" w:rsidRPr="00C34C12" w14:paraId="4006C1AF" w14:textId="77777777" w:rsidTr="00006DD3">
        <w:tc>
          <w:tcPr>
            <w:tcW w:w="3235" w:type="dxa"/>
          </w:tcPr>
          <w:p w14:paraId="494902CE" w14:textId="77777777" w:rsidR="00C34C12" w:rsidRPr="00C34C12" w:rsidRDefault="00C34C12" w:rsidP="00006DD3">
            <w:pPr>
              <w:pStyle w:val="TableFigureHeading"/>
              <w:keepLines/>
              <w:widowControl w:val="0"/>
              <w:rPr>
                <w:color w:val="000000" w:themeColor="text1"/>
              </w:rPr>
            </w:pPr>
          </w:p>
        </w:tc>
        <w:tc>
          <w:tcPr>
            <w:tcW w:w="3000" w:type="dxa"/>
          </w:tcPr>
          <w:p w14:paraId="10FD8483" w14:textId="3BA99FAE" w:rsidR="00C34C12" w:rsidRPr="00C34C12" w:rsidRDefault="00C34C12" w:rsidP="00006DD3">
            <w:pPr>
              <w:pStyle w:val="TableFigureHeading"/>
              <w:keepLines/>
              <w:widowControl w:val="0"/>
              <w:rPr>
                <w:color w:val="000000" w:themeColor="text1"/>
              </w:rPr>
            </w:pPr>
            <w:r w:rsidRPr="00C34C12">
              <w:rPr>
                <w:color w:val="000000" w:themeColor="text1"/>
              </w:rPr>
              <w:t xml:space="preserve">Glycopyrronium </w:t>
            </w:r>
            <w:r>
              <w:rPr>
                <w:color w:val="000000" w:themeColor="text1"/>
              </w:rPr>
              <w:t xml:space="preserve">N = </w:t>
            </w:r>
            <w:r w:rsidR="005A6169">
              <w:rPr>
                <w:color w:val="000000" w:themeColor="text1"/>
              </w:rPr>
              <w:t>87</w:t>
            </w:r>
          </w:p>
        </w:tc>
        <w:tc>
          <w:tcPr>
            <w:tcW w:w="2782" w:type="dxa"/>
          </w:tcPr>
          <w:p w14:paraId="68D149BD" w14:textId="743965A6" w:rsidR="00C34C12" w:rsidRPr="00C34C12" w:rsidRDefault="00C34C12" w:rsidP="00006DD3">
            <w:pPr>
              <w:pStyle w:val="TableFigureHeading"/>
              <w:keepLines/>
              <w:widowControl w:val="0"/>
              <w:rPr>
                <w:color w:val="000000" w:themeColor="text1"/>
              </w:rPr>
            </w:pPr>
            <w:r>
              <w:rPr>
                <w:color w:val="000000" w:themeColor="text1"/>
              </w:rPr>
              <w:t xml:space="preserve">Placebo N = </w:t>
            </w:r>
            <w:r w:rsidR="005A6169">
              <w:rPr>
                <w:color w:val="000000" w:themeColor="text1"/>
              </w:rPr>
              <w:t>84</w:t>
            </w:r>
          </w:p>
        </w:tc>
      </w:tr>
      <w:tr w:rsidR="00C34C12" w:rsidRPr="00C34C12" w14:paraId="6BAB6550" w14:textId="77777777" w:rsidTr="00006DD3">
        <w:tc>
          <w:tcPr>
            <w:tcW w:w="3235" w:type="dxa"/>
          </w:tcPr>
          <w:p w14:paraId="6939A913" w14:textId="2BC807F2" w:rsidR="005A6169" w:rsidRPr="005A6169" w:rsidRDefault="005A6169" w:rsidP="00006DD3">
            <w:pPr>
              <w:pStyle w:val="TableFigureHeading"/>
              <w:keepLines/>
              <w:widowControl w:val="0"/>
              <w:rPr>
                <w:b w:val="0"/>
                <w:bCs w:val="0"/>
                <w:color w:val="000000" w:themeColor="text1"/>
              </w:rPr>
            </w:pPr>
            <w:r w:rsidRPr="005A6169">
              <w:rPr>
                <w:b w:val="0"/>
                <w:bCs w:val="0"/>
                <w:color w:val="000000" w:themeColor="text1"/>
              </w:rPr>
              <w:t xml:space="preserve">BL Sweat Production, mg/5min, </w:t>
            </w:r>
          </w:p>
          <w:p w14:paraId="0C47FAB5" w14:textId="2F22C38C" w:rsidR="00C34C12" w:rsidRPr="005A6169" w:rsidRDefault="005A6169" w:rsidP="00006DD3">
            <w:pPr>
              <w:pStyle w:val="TableFigureHeading"/>
              <w:keepLines/>
              <w:widowControl w:val="0"/>
              <w:jc w:val="right"/>
              <w:rPr>
                <w:b w:val="0"/>
                <w:bCs w:val="0"/>
                <w:color w:val="000000" w:themeColor="text1"/>
              </w:rPr>
            </w:pPr>
            <w:r w:rsidRPr="005A6169">
              <w:rPr>
                <w:b w:val="0"/>
                <w:bCs w:val="0"/>
                <w:color w:val="000000" w:themeColor="text1"/>
              </w:rPr>
              <w:t>Mean (SD)</w:t>
            </w:r>
          </w:p>
          <w:p w14:paraId="1201DAF0" w14:textId="3F2F8D90" w:rsidR="005A6169" w:rsidRPr="005A6169" w:rsidRDefault="005A6169" w:rsidP="00006DD3">
            <w:pPr>
              <w:pStyle w:val="TableFigureHeading"/>
              <w:keepLines/>
              <w:widowControl w:val="0"/>
              <w:jc w:val="right"/>
              <w:rPr>
                <w:b w:val="0"/>
                <w:bCs w:val="0"/>
                <w:color w:val="000000" w:themeColor="text1"/>
              </w:rPr>
            </w:pPr>
            <w:r w:rsidRPr="005A6169">
              <w:rPr>
                <w:b w:val="0"/>
                <w:bCs w:val="0"/>
                <w:color w:val="000000" w:themeColor="text1"/>
              </w:rPr>
              <w:t>Median (IQR)</w:t>
            </w:r>
          </w:p>
        </w:tc>
        <w:tc>
          <w:tcPr>
            <w:tcW w:w="3000" w:type="dxa"/>
          </w:tcPr>
          <w:p w14:paraId="32A6139E" w14:textId="77777777" w:rsidR="00C34C12" w:rsidRPr="005A6169" w:rsidRDefault="00C34C12" w:rsidP="00006DD3">
            <w:pPr>
              <w:pStyle w:val="TableFigureHeading"/>
              <w:keepLines/>
              <w:widowControl w:val="0"/>
              <w:rPr>
                <w:b w:val="0"/>
                <w:bCs w:val="0"/>
                <w:color w:val="000000" w:themeColor="text1"/>
              </w:rPr>
            </w:pPr>
          </w:p>
          <w:p w14:paraId="6C981C75" w14:textId="073B2619" w:rsidR="005A6169" w:rsidRDefault="005A6169" w:rsidP="00006DD3">
            <w:pPr>
              <w:pStyle w:val="TableFigureHeading"/>
              <w:keepLines/>
              <w:widowControl w:val="0"/>
              <w:rPr>
                <w:b w:val="0"/>
                <w:bCs w:val="0"/>
                <w:color w:val="000000" w:themeColor="text1"/>
              </w:rPr>
            </w:pPr>
            <w:r>
              <w:rPr>
                <w:b w:val="0"/>
                <w:bCs w:val="0"/>
                <w:color w:val="000000" w:themeColor="text1"/>
              </w:rPr>
              <w:t>307.0 (249.3)</w:t>
            </w:r>
          </w:p>
          <w:p w14:paraId="6C38D684" w14:textId="5570EB80" w:rsidR="005A6169" w:rsidRPr="005A6169" w:rsidRDefault="005A6169" w:rsidP="00006DD3">
            <w:pPr>
              <w:pStyle w:val="TableFigureHeading"/>
              <w:keepLines/>
              <w:widowControl w:val="0"/>
              <w:rPr>
                <w:b w:val="0"/>
                <w:bCs w:val="0"/>
                <w:color w:val="000000" w:themeColor="text1"/>
              </w:rPr>
            </w:pPr>
            <w:r>
              <w:rPr>
                <w:b w:val="0"/>
                <w:bCs w:val="0"/>
                <w:color w:val="000000" w:themeColor="text1"/>
              </w:rPr>
              <w:t xml:space="preserve">227.6 (122.2, </w:t>
            </w:r>
            <w:r w:rsidR="00C6791E">
              <w:rPr>
                <w:b w:val="0"/>
                <w:bCs w:val="0"/>
                <w:color w:val="000000" w:themeColor="text1"/>
              </w:rPr>
              <w:t>452.6)</w:t>
            </w:r>
          </w:p>
        </w:tc>
        <w:tc>
          <w:tcPr>
            <w:tcW w:w="2782" w:type="dxa"/>
          </w:tcPr>
          <w:p w14:paraId="3997DE5E" w14:textId="77777777" w:rsidR="00C34C12" w:rsidRDefault="00C34C12" w:rsidP="00006DD3">
            <w:pPr>
              <w:pStyle w:val="TableFigureHeading"/>
              <w:keepLines/>
              <w:widowControl w:val="0"/>
              <w:rPr>
                <w:b w:val="0"/>
                <w:bCs w:val="0"/>
                <w:color w:val="000000" w:themeColor="text1"/>
              </w:rPr>
            </w:pPr>
          </w:p>
          <w:p w14:paraId="03F30760" w14:textId="77777777" w:rsidR="00C6791E" w:rsidRDefault="00C6791E" w:rsidP="00006DD3">
            <w:pPr>
              <w:pStyle w:val="TableFigureHeading"/>
              <w:keepLines/>
              <w:widowControl w:val="0"/>
              <w:rPr>
                <w:b w:val="0"/>
                <w:bCs w:val="0"/>
                <w:color w:val="000000" w:themeColor="text1"/>
              </w:rPr>
            </w:pPr>
            <w:r>
              <w:rPr>
                <w:b w:val="0"/>
                <w:bCs w:val="0"/>
                <w:color w:val="000000" w:themeColor="text1"/>
              </w:rPr>
              <w:t>284.6 (212.5)</w:t>
            </w:r>
          </w:p>
          <w:p w14:paraId="5B8A8208" w14:textId="6CBBE293" w:rsidR="00C6791E" w:rsidRPr="005A6169" w:rsidRDefault="00C6791E" w:rsidP="00006DD3">
            <w:pPr>
              <w:pStyle w:val="TableFigureHeading"/>
              <w:keepLines/>
              <w:widowControl w:val="0"/>
              <w:rPr>
                <w:b w:val="0"/>
                <w:bCs w:val="0"/>
                <w:color w:val="000000" w:themeColor="text1"/>
              </w:rPr>
            </w:pPr>
            <w:r>
              <w:rPr>
                <w:b w:val="0"/>
                <w:bCs w:val="0"/>
                <w:color w:val="000000" w:themeColor="text1"/>
              </w:rPr>
              <w:t>252.2 (112.8, 385.2)</w:t>
            </w:r>
          </w:p>
        </w:tc>
      </w:tr>
      <w:tr w:rsidR="00C34C12" w:rsidRPr="00C34C12" w14:paraId="1EEB6FE7" w14:textId="77777777" w:rsidTr="00006DD3">
        <w:tc>
          <w:tcPr>
            <w:tcW w:w="3235" w:type="dxa"/>
          </w:tcPr>
          <w:p w14:paraId="14885080" w14:textId="77777777" w:rsidR="00C34C12" w:rsidRDefault="005A6169" w:rsidP="00006DD3">
            <w:pPr>
              <w:pStyle w:val="TableFigureHeading"/>
              <w:keepLines/>
              <w:widowControl w:val="0"/>
              <w:rPr>
                <w:b w:val="0"/>
                <w:bCs w:val="0"/>
                <w:color w:val="000000" w:themeColor="text1"/>
              </w:rPr>
            </w:pPr>
            <w:r w:rsidRPr="005A6169">
              <w:rPr>
                <w:b w:val="0"/>
                <w:bCs w:val="0"/>
                <w:color w:val="000000" w:themeColor="text1"/>
              </w:rPr>
              <w:t xml:space="preserve">Sweat Production </w:t>
            </w:r>
            <w:r w:rsidR="00C6791E">
              <w:rPr>
                <w:b w:val="0"/>
                <w:bCs w:val="0"/>
                <w:color w:val="000000" w:themeColor="text1"/>
              </w:rPr>
              <w:t>at</w:t>
            </w:r>
            <w:r w:rsidRPr="005A6169">
              <w:rPr>
                <w:b w:val="0"/>
                <w:bCs w:val="0"/>
                <w:color w:val="000000" w:themeColor="text1"/>
              </w:rPr>
              <w:t xml:space="preserve"> 4 weeks</w:t>
            </w:r>
            <w:r w:rsidR="00C6791E">
              <w:rPr>
                <w:b w:val="0"/>
                <w:bCs w:val="0"/>
                <w:color w:val="000000" w:themeColor="text1"/>
              </w:rPr>
              <w:t>, mg/5min,</w:t>
            </w:r>
          </w:p>
          <w:p w14:paraId="59A43FD5" w14:textId="77777777" w:rsidR="00C6791E" w:rsidRDefault="00C6791E" w:rsidP="00006DD3">
            <w:pPr>
              <w:pStyle w:val="TableFigureHeading"/>
              <w:keepLines/>
              <w:widowControl w:val="0"/>
              <w:jc w:val="right"/>
              <w:rPr>
                <w:b w:val="0"/>
                <w:bCs w:val="0"/>
                <w:color w:val="000000" w:themeColor="text1"/>
              </w:rPr>
            </w:pPr>
            <w:r>
              <w:rPr>
                <w:b w:val="0"/>
                <w:bCs w:val="0"/>
                <w:color w:val="000000" w:themeColor="text1"/>
              </w:rPr>
              <w:t>Mean (SD)</w:t>
            </w:r>
          </w:p>
          <w:p w14:paraId="5E41313C" w14:textId="3C8E20F1" w:rsidR="00C6791E" w:rsidRPr="005A6169" w:rsidRDefault="00C6791E" w:rsidP="00006DD3">
            <w:pPr>
              <w:pStyle w:val="TableFigureHeading"/>
              <w:keepLines/>
              <w:widowControl w:val="0"/>
              <w:jc w:val="right"/>
              <w:rPr>
                <w:b w:val="0"/>
                <w:bCs w:val="0"/>
                <w:color w:val="000000" w:themeColor="text1"/>
              </w:rPr>
            </w:pPr>
            <w:r>
              <w:rPr>
                <w:b w:val="0"/>
                <w:bCs w:val="0"/>
                <w:color w:val="000000" w:themeColor="text1"/>
              </w:rPr>
              <w:t>Median (IQR)</w:t>
            </w:r>
          </w:p>
        </w:tc>
        <w:tc>
          <w:tcPr>
            <w:tcW w:w="3000" w:type="dxa"/>
          </w:tcPr>
          <w:p w14:paraId="137278DE" w14:textId="77777777" w:rsidR="00C6791E" w:rsidRDefault="00C6791E" w:rsidP="00006DD3">
            <w:pPr>
              <w:pStyle w:val="TableFigureHeading"/>
              <w:keepLines/>
              <w:widowControl w:val="0"/>
              <w:rPr>
                <w:b w:val="0"/>
                <w:bCs w:val="0"/>
                <w:color w:val="000000" w:themeColor="text1"/>
              </w:rPr>
            </w:pPr>
          </w:p>
          <w:p w14:paraId="4C0DB551" w14:textId="77777777" w:rsidR="00C6791E" w:rsidRDefault="00D70495" w:rsidP="00006DD3">
            <w:pPr>
              <w:pStyle w:val="TableFigureHeading"/>
              <w:keepLines/>
              <w:widowControl w:val="0"/>
              <w:rPr>
                <w:b w:val="0"/>
                <w:bCs w:val="0"/>
                <w:color w:val="000000" w:themeColor="text1"/>
              </w:rPr>
            </w:pPr>
            <w:r>
              <w:rPr>
                <w:b w:val="0"/>
                <w:bCs w:val="0"/>
                <w:color w:val="000000" w:themeColor="text1"/>
              </w:rPr>
              <w:t>127.4 (142.3)</w:t>
            </w:r>
          </w:p>
          <w:p w14:paraId="060AC2C3" w14:textId="7BCFF86B" w:rsidR="00D70495" w:rsidRPr="005A6169" w:rsidRDefault="00D70495" w:rsidP="00006DD3">
            <w:pPr>
              <w:pStyle w:val="TableFigureHeading"/>
              <w:keepLines/>
              <w:widowControl w:val="0"/>
              <w:rPr>
                <w:b w:val="0"/>
                <w:bCs w:val="0"/>
                <w:color w:val="000000" w:themeColor="text1"/>
              </w:rPr>
            </w:pPr>
            <w:r>
              <w:rPr>
                <w:b w:val="0"/>
                <w:bCs w:val="0"/>
                <w:color w:val="000000" w:themeColor="text1"/>
              </w:rPr>
              <w:t>73.1 (28.8, 186.2)</w:t>
            </w:r>
          </w:p>
        </w:tc>
        <w:tc>
          <w:tcPr>
            <w:tcW w:w="2782" w:type="dxa"/>
          </w:tcPr>
          <w:p w14:paraId="0B7EF139" w14:textId="77777777" w:rsidR="00C34C12" w:rsidRDefault="00C34C12" w:rsidP="00006DD3">
            <w:pPr>
              <w:pStyle w:val="TableFigureHeading"/>
              <w:keepLines/>
              <w:widowControl w:val="0"/>
              <w:rPr>
                <w:b w:val="0"/>
                <w:bCs w:val="0"/>
                <w:color w:val="000000" w:themeColor="text1"/>
              </w:rPr>
            </w:pPr>
          </w:p>
          <w:p w14:paraId="3F3F4822" w14:textId="77777777" w:rsidR="00D70495" w:rsidRDefault="00D70495" w:rsidP="00006DD3">
            <w:pPr>
              <w:pStyle w:val="TableFigureHeading"/>
              <w:keepLines/>
              <w:widowControl w:val="0"/>
              <w:rPr>
                <w:b w:val="0"/>
                <w:bCs w:val="0"/>
                <w:color w:val="000000" w:themeColor="text1"/>
              </w:rPr>
            </w:pPr>
            <w:r>
              <w:rPr>
                <w:b w:val="0"/>
                <w:bCs w:val="0"/>
                <w:color w:val="000000" w:themeColor="text1"/>
              </w:rPr>
              <w:t>190.5 (175.6)</w:t>
            </w:r>
          </w:p>
          <w:p w14:paraId="65DE5EE5" w14:textId="2CD03FDC" w:rsidR="00D70495" w:rsidRPr="005A6169" w:rsidRDefault="00D70495" w:rsidP="00006DD3">
            <w:pPr>
              <w:pStyle w:val="TableFigureHeading"/>
              <w:keepLines/>
              <w:widowControl w:val="0"/>
              <w:rPr>
                <w:b w:val="0"/>
                <w:bCs w:val="0"/>
                <w:color w:val="000000" w:themeColor="text1"/>
              </w:rPr>
            </w:pPr>
            <w:r>
              <w:rPr>
                <w:b w:val="0"/>
                <w:bCs w:val="0"/>
                <w:color w:val="000000" w:themeColor="text1"/>
              </w:rPr>
              <w:t>121.2 (74.1, 302.6)</w:t>
            </w:r>
          </w:p>
        </w:tc>
      </w:tr>
      <w:tr w:rsidR="00C34C12" w:rsidRPr="00C34C12" w14:paraId="1BE64A42" w14:textId="77777777" w:rsidTr="00006DD3">
        <w:tc>
          <w:tcPr>
            <w:tcW w:w="3235" w:type="dxa"/>
          </w:tcPr>
          <w:p w14:paraId="51304CFC" w14:textId="77777777" w:rsidR="00C34C12" w:rsidRDefault="00D70495" w:rsidP="00006DD3">
            <w:pPr>
              <w:pStyle w:val="TableFigureHeading"/>
              <w:keepLines/>
              <w:widowControl w:val="0"/>
              <w:rPr>
                <w:b w:val="0"/>
                <w:bCs w:val="0"/>
                <w:color w:val="000000" w:themeColor="text1"/>
              </w:rPr>
            </w:pPr>
            <w:r>
              <w:rPr>
                <w:b w:val="0"/>
                <w:bCs w:val="0"/>
                <w:color w:val="000000" w:themeColor="text1"/>
              </w:rPr>
              <w:t>Sweat Production CFB to 4 weeks, mg/5min, Median (95% CI)</w:t>
            </w:r>
          </w:p>
          <w:p w14:paraId="4930BC4C" w14:textId="46297A4D" w:rsidR="00D70495" w:rsidRPr="005A6169" w:rsidRDefault="00D70495" w:rsidP="00006DD3">
            <w:pPr>
              <w:pStyle w:val="TableFigureHeading"/>
              <w:keepLines/>
              <w:widowControl w:val="0"/>
              <w:rPr>
                <w:b w:val="0"/>
                <w:bCs w:val="0"/>
                <w:color w:val="000000" w:themeColor="text1"/>
              </w:rPr>
            </w:pPr>
            <w:r>
              <w:rPr>
                <w:b w:val="0"/>
                <w:bCs w:val="0"/>
                <w:color w:val="000000" w:themeColor="text1"/>
              </w:rPr>
              <w:t>P vs BL</w:t>
            </w:r>
          </w:p>
        </w:tc>
        <w:tc>
          <w:tcPr>
            <w:tcW w:w="3000" w:type="dxa"/>
          </w:tcPr>
          <w:p w14:paraId="0EBBB19B" w14:textId="77777777" w:rsidR="00C34C12" w:rsidRDefault="00C34C12" w:rsidP="00006DD3">
            <w:pPr>
              <w:pStyle w:val="TableFigureHeading"/>
              <w:keepLines/>
              <w:widowControl w:val="0"/>
              <w:rPr>
                <w:b w:val="0"/>
                <w:bCs w:val="0"/>
                <w:color w:val="000000" w:themeColor="text1"/>
              </w:rPr>
            </w:pPr>
          </w:p>
          <w:p w14:paraId="4C544A22" w14:textId="77777777" w:rsidR="00D70495" w:rsidRPr="00557792" w:rsidRDefault="00D70495" w:rsidP="00006DD3">
            <w:pPr>
              <w:pStyle w:val="TableFigureHeading"/>
              <w:keepLines/>
              <w:widowControl w:val="0"/>
              <w:rPr>
                <w:color w:val="000000" w:themeColor="text1"/>
              </w:rPr>
            </w:pPr>
            <w:r w:rsidRPr="00557792">
              <w:rPr>
                <w:color w:val="000000" w:themeColor="text1"/>
              </w:rPr>
              <w:t>-64.6 (-73.1, -51.8)</w:t>
            </w:r>
          </w:p>
          <w:p w14:paraId="6DB47F1B" w14:textId="032E8C47" w:rsidR="00D70495" w:rsidRPr="005A6169" w:rsidRDefault="00D70495" w:rsidP="00006DD3">
            <w:pPr>
              <w:pStyle w:val="TableFigureHeading"/>
              <w:keepLines/>
              <w:widowControl w:val="0"/>
              <w:rPr>
                <w:b w:val="0"/>
                <w:bCs w:val="0"/>
                <w:color w:val="000000" w:themeColor="text1"/>
              </w:rPr>
            </w:pPr>
            <w:r w:rsidRPr="00557792">
              <w:rPr>
                <w:color w:val="000000" w:themeColor="text1"/>
              </w:rPr>
              <w:t>&lt;</w:t>
            </w:r>
            <w:r w:rsidR="001063F0">
              <w:rPr>
                <w:color w:val="000000" w:themeColor="text1"/>
              </w:rPr>
              <w:t xml:space="preserve"> </w:t>
            </w:r>
            <w:r w:rsidRPr="00557792">
              <w:rPr>
                <w:color w:val="000000" w:themeColor="text1"/>
              </w:rPr>
              <w:t>0.0001</w:t>
            </w:r>
          </w:p>
        </w:tc>
        <w:tc>
          <w:tcPr>
            <w:tcW w:w="2782" w:type="dxa"/>
          </w:tcPr>
          <w:p w14:paraId="51DC26FF" w14:textId="77777777" w:rsidR="00C34C12" w:rsidRDefault="00C34C12" w:rsidP="00006DD3">
            <w:pPr>
              <w:pStyle w:val="TableFigureHeading"/>
              <w:keepLines/>
              <w:widowControl w:val="0"/>
              <w:rPr>
                <w:b w:val="0"/>
                <w:bCs w:val="0"/>
                <w:color w:val="000000" w:themeColor="text1"/>
              </w:rPr>
            </w:pPr>
          </w:p>
          <w:p w14:paraId="3A41937E" w14:textId="77777777" w:rsidR="00D70495" w:rsidRPr="00557792" w:rsidRDefault="00D70495" w:rsidP="00006DD3">
            <w:pPr>
              <w:pStyle w:val="TableFigureHeading"/>
              <w:keepLines/>
              <w:widowControl w:val="0"/>
              <w:rPr>
                <w:color w:val="000000" w:themeColor="text1"/>
              </w:rPr>
            </w:pPr>
            <w:r w:rsidRPr="00557792">
              <w:rPr>
                <w:color w:val="000000" w:themeColor="text1"/>
              </w:rPr>
              <w:t>-34.3 (-49.7, -2.7)</w:t>
            </w:r>
          </w:p>
          <w:p w14:paraId="407D244C" w14:textId="0B36DAD7" w:rsidR="00D70495" w:rsidRPr="005A6169" w:rsidRDefault="00B21246" w:rsidP="00006DD3">
            <w:pPr>
              <w:pStyle w:val="TableFigureHeading"/>
              <w:keepLines/>
              <w:widowControl w:val="0"/>
              <w:rPr>
                <w:b w:val="0"/>
                <w:bCs w:val="0"/>
                <w:color w:val="000000" w:themeColor="text1"/>
              </w:rPr>
            </w:pPr>
            <w:r w:rsidRPr="00557792">
              <w:rPr>
                <w:color w:val="000000" w:themeColor="text1"/>
              </w:rPr>
              <w:t>0.004</w:t>
            </w:r>
          </w:p>
        </w:tc>
      </w:tr>
      <w:tr w:rsidR="002B2D49" w:rsidRPr="00C34C12" w14:paraId="45B42F1B" w14:textId="77777777" w:rsidTr="00006DD3">
        <w:tc>
          <w:tcPr>
            <w:tcW w:w="3235" w:type="dxa"/>
          </w:tcPr>
          <w:p w14:paraId="6CBB86DD" w14:textId="38904B42" w:rsidR="002B2D49" w:rsidRPr="005A6169" w:rsidRDefault="002B2D49" w:rsidP="00006DD3">
            <w:pPr>
              <w:pStyle w:val="TableFigureHeading"/>
              <w:keepLines/>
              <w:widowControl w:val="0"/>
              <w:rPr>
                <w:b w:val="0"/>
                <w:bCs w:val="0"/>
                <w:color w:val="000000" w:themeColor="text1"/>
              </w:rPr>
            </w:pPr>
            <w:r>
              <w:rPr>
                <w:b w:val="0"/>
                <w:bCs w:val="0"/>
                <w:color w:val="000000" w:themeColor="text1"/>
              </w:rPr>
              <w:t xml:space="preserve">Patients with </w:t>
            </w:r>
            <w:r w:rsidR="004E5748">
              <w:rPr>
                <w:b w:val="0"/>
                <w:bCs w:val="0"/>
                <w:color w:val="000000" w:themeColor="text1"/>
              </w:rPr>
              <w:sym w:font="Symbol" w:char="F0B3"/>
            </w:r>
            <w:r>
              <w:rPr>
                <w:b w:val="0"/>
                <w:bCs w:val="0"/>
                <w:color w:val="000000" w:themeColor="text1"/>
              </w:rPr>
              <w:t>50% Reduction in Sweat Production, BL to 4 weeks, n (%)</w:t>
            </w:r>
          </w:p>
        </w:tc>
        <w:tc>
          <w:tcPr>
            <w:tcW w:w="3000" w:type="dxa"/>
          </w:tcPr>
          <w:p w14:paraId="0871966B" w14:textId="77777777" w:rsidR="002B2D49" w:rsidRDefault="002B2D49" w:rsidP="00006DD3">
            <w:pPr>
              <w:pStyle w:val="TableFigureHeading"/>
              <w:keepLines/>
              <w:widowControl w:val="0"/>
              <w:rPr>
                <w:b w:val="0"/>
                <w:bCs w:val="0"/>
                <w:color w:val="000000" w:themeColor="text1"/>
              </w:rPr>
            </w:pPr>
          </w:p>
          <w:p w14:paraId="7131B1A9" w14:textId="2E56CF52" w:rsidR="002B2D49" w:rsidRPr="00021FA1" w:rsidRDefault="002B2D49" w:rsidP="00006DD3">
            <w:pPr>
              <w:pStyle w:val="TableFigureHeading"/>
              <w:keepLines/>
              <w:widowControl w:val="0"/>
              <w:rPr>
                <w:b w:val="0"/>
                <w:bCs w:val="0"/>
                <w:i/>
                <w:iCs/>
                <w:color w:val="000000" w:themeColor="text1"/>
              </w:rPr>
            </w:pPr>
            <w:r>
              <w:rPr>
                <w:b w:val="0"/>
                <w:bCs w:val="0"/>
                <w:color w:val="000000" w:themeColor="text1"/>
              </w:rPr>
              <w:t>50 (57.5%</w:t>
            </w:r>
            <w:r w:rsidR="00001D77">
              <w:rPr>
                <w:b w:val="0"/>
                <w:bCs w:val="0"/>
                <w:color w:val="000000" w:themeColor="text1"/>
              </w:rPr>
              <w:t>;</w:t>
            </w:r>
            <w:r>
              <w:rPr>
                <w:b w:val="0"/>
                <w:bCs w:val="0"/>
                <w:color w:val="000000" w:themeColor="text1"/>
              </w:rPr>
              <w:t xml:space="preserve"> </w:t>
            </w:r>
            <w:r w:rsidR="00021FA1">
              <w:rPr>
                <w:b w:val="0"/>
                <w:bCs w:val="0"/>
                <w:i/>
                <w:iCs/>
                <w:color w:val="000000" w:themeColor="text1"/>
              </w:rPr>
              <w:t>95% CI 46</w:t>
            </w:r>
            <w:r w:rsidR="003B702D">
              <w:rPr>
                <w:b w:val="0"/>
                <w:bCs w:val="0"/>
                <w:i/>
                <w:iCs/>
                <w:color w:val="000000" w:themeColor="text1"/>
              </w:rPr>
              <w:t>.4</w:t>
            </w:r>
            <w:r w:rsidR="00021FA1">
              <w:rPr>
                <w:b w:val="0"/>
                <w:bCs w:val="0"/>
                <w:i/>
                <w:iCs/>
                <w:color w:val="000000" w:themeColor="text1"/>
              </w:rPr>
              <w:t>%, 68</w:t>
            </w:r>
            <w:r w:rsidR="003B702D">
              <w:rPr>
                <w:b w:val="0"/>
                <w:bCs w:val="0"/>
                <w:i/>
                <w:iCs/>
                <w:color w:val="000000" w:themeColor="text1"/>
              </w:rPr>
              <w:t>.0%</w:t>
            </w:r>
            <w:r w:rsidR="00001D77">
              <w:rPr>
                <w:b w:val="0"/>
                <w:bCs w:val="0"/>
                <w:i/>
                <w:iCs/>
                <w:color w:val="000000" w:themeColor="text1"/>
              </w:rPr>
              <w:t>)</w:t>
            </w:r>
            <w:r w:rsidR="00021FA1">
              <w:rPr>
                <w:b w:val="0"/>
                <w:bCs w:val="0"/>
                <w:i/>
                <w:iCs/>
                <w:color w:val="000000" w:themeColor="text1"/>
              </w:rPr>
              <w:t xml:space="preserve"> </w:t>
            </w:r>
          </w:p>
        </w:tc>
        <w:tc>
          <w:tcPr>
            <w:tcW w:w="2782" w:type="dxa"/>
          </w:tcPr>
          <w:p w14:paraId="67789D24" w14:textId="77777777" w:rsidR="002B2D49" w:rsidRDefault="002B2D49" w:rsidP="00006DD3">
            <w:pPr>
              <w:pStyle w:val="TableFigureHeading"/>
              <w:keepLines/>
              <w:widowControl w:val="0"/>
              <w:rPr>
                <w:b w:val="0"/>
                <w:bCs w:val="0"/>
                <w:color w:val="000000" w:themeColor="text1"/>
              </w:rPr>
            </w:pPr>
          </w:p>
          <w:p w14:paraId="1A799775" w14:textId="6909CE0B" w:rsidR="002B2D49" w:rsidRPr="003B702D" w:rsidRDefault="002B2D49" w:rsidP="00006DD3">
            <w:pPr>
              <w:pStyle w:val="TableFigureHeading"/>
              <w:keepLines/>
              <w:widowControl w:val="0"/>
              <w:rPr>
                <w:b w:val="0"/>
                <w:bCs w:val="0"/>
                <w:i/>
                <w:iCs/>
                <w:color w:val="000000" w:themeColor="text1"/>
              </w:rPr>
            </w:pPr>
            <w:r>
              <w:rPr>
                <w:b w:val="0"/>
                <w:bCs w:val="0"/>
                <w:color w:val="000000" w:themeColor="text1"/>
              </w:rPr>
              <w:t>29 (34.5%</w:t>
            </w:r>
            <w:r w:rsidR="00001D77">
              <w:rPr>
                <w:b w:val="0"/>
                <w:bCs w:val="0"/>
                <w:color w:val="000000" w:themeColor="text1"/>
              </w:rPr>
              <w:t>;</w:t>
            </w:r>
            <w:r w:rsidR="003B702D">
              <w:rPr>
                <w:b w:val="0"/>
                <w:bCs w:val="0"/>
                <w:color w:val="000000" w:themeColor="text1"/>
              </w:rPr>
              <w:t xml:space="preserve"> </w:t>
            </w:r>
            <w:r w:rsidR="003B702D">
              <w:rPr>
                <w:b w:val="0"/>
                <w:bCs w:val="0"/>
                <w:i/>
                <w:iCs/>
                <w:color w:val="000000" w:themeColor="text1"/>
              </w:rPr>
              <w:t>95% CI 24.5%, 45.7%</w:t>
            </w:r>
            <w:r w:rsidR="00001D77">
              <w:rPr>
                <w:b w:val="0"/>
                <w:bCs w:val="0"/>
                <w:i/>
                <w:iCs/>
                <w:color w:val="000000" w:themeColor="text1"/>
              </w:rPr>
              <w:t>)</w:t>
            </w:r>
          </w:p>
        </w:tc>
      </w:tr>
      <w:tr w:rsidR="00A04AF7" w:rsidRPr="00C34C12" w14:paraId="53709E02" w14:textId="77777777" w:rsidTr="00006DD3">
        <w:tc>
          <w:tcPr>
            <w:tcW w:w="3235" w:type="dxa"/>
          </w:tcPr>
          <w:p w14:paraId="37CDA778" w14:textId="12A3E418" w:rsidR="00A04AF7" w:rsidRDefault="00A04AF7" w:rsidP="00006DD3">
            <w:pPr>
              <w:pStyle w:val="TableFigureHeading"/>
              <w:keepLines/>
              <w:widowControl w:val="0"/>
              <w:rPr>
                <w:b w:val="0"/>
                <w:bCs w:val="0"/>
                <w:color w:val="000000" w:themeColor="text1"/>
              </w:rPr>
            </w:pPr>
            <w:r>
              <w:rPr>
                <w:b w:val="0"/>
                <w:bCs w:val="0"/>
                <w:color w:val="000000" w:themeColor="text1"/>
              </w:rPr>
              <w:t xml:space="preserve">Patients with </w:t>
            </w:r>
            <w:r w:rsidR="004E5748">
              <w:rPr>
                <w:b w:val="0"/>
                <w:bCs w:val="0"/>
                <w:color w:val="000000" w:themeColor="text1"/>
              </w:rPr>
              <w:sym w:font="Symbol" w:char="F0B3"/>
            </w:r>
            <w:r>
              <w:rPr>
                <w:b w:val="0"/>
                <w:bCs w:val="0"/>
                <w:color w:val="000000" w:themeColor="text1"/>
              </w:rPr>
              <w:t>75% Reduction in Sweat Production, BL to 4 weeks, n (%)</w:t>
            </w:r>
          </w:p>
        </w:tc>
        <w:tc>
          <w:tcPr>
            <w:tcW w:w="3000" w:type="dxa"/>
          </w:tcPr>
          <w:p w14:paraId="60AED771" w14:textId="77777777" w:rsidR="00A04AF7" w:rsidRDefault="00A04AF7" w:rsidP="00006DD3">
            <w:pPr>
              <w:pStyle w:val="TableFigureHeading"/>
              <w:keepLines/>
              <w:widowControl w:val="0"/>
              <w:rPr>
                <w:b w:val="0"/>
                <w:bCs w:val="0"/>
                <w:color w:val="000000" w:themeColor="text1"/>
              </w:rPr>
            </w:pPr>
          </w:p>
          <w:p w14:paraId="679E7FC2" w14:textId="57E41CC3" w:rsidR="00A04AF7" w:rsidRDefault="00A04AF7" w:rsidP="00006DD3">
            <w:pPr>
              <w:pStyle w:val="TableFigureHeading"/>
              <w:keepLines/>
              <w:widowControl w:val="0"/>
              <w:rPr>
                <w:b w:val="0"/>
                <w:bCs w:val="0"/>
                <w:color w:val="000000" w:themeColor="text1"/>
              </w:rPr>
            </w:pPr>
            <w:r>
              <w:rPr>
                <w:b w:val="0"/>
                <w:bCs w:val="0"/>
                <w:color w:val="000000" w:themeColor="text1"/>
              </w:rPr>
              <w:t>28 (32.2%)</w:t>
            </w:r>
          </w:p>
        </w:tc>
        <w:tc>
          <w:tcPr>
            <w:tcW w:w="2782" w:type="dxa"/>
          </w:tcPr>
          <w:p w14:paraId="0637D284" w14:textId="77777777" w:rsidR="00A04AF7" w:rsidRDefault="00A04AF7" w:rsidP="00006DD3">
            <w:pPr>
              <w:pStyle w:val="TableFigureHeading"/>
              <w:keepLines/>
              <w:widowControl w:val="0"/>
              <w:rPr>
                <w:b w:val="0"/>
                <w:bCs w:val="0"/>
                <w:color w:val="000000" w:themeColor="text1"/>
              </w:rPr>
            </w:pPr>
          </w:p>
          <w:p w14:paraId="46981529" w14:textId="321B6EC8" w:rsidR="00A04AF7" w:rsidRDefault="00A04AF7" w:rsidP="00006DD3">
            <w:pPr>
              <w:pStyle w:val="TableFigureHeading"/>
              <w:keepLines/>
              <w:widowControl w:val="0"/>
              <w:rPr>
                <w:b w:val="0"/>
                <w:bCs w:val="0"/>
                <w:color w:val="000000" w:themeColor="text1"/>
              </w:rPr>
            </w:pPr>
            <w:r>
              <w:rPr>
                <w:b w:val="0"/>
                <w:bCs w:val="0"/>
                <w:color w:val="000000" w:themeColor="text1"/>
              </w:rPr>
              <w:t>14 (16.7%)</w:t>
            </w:r>
          </w:p>
        </w:tc>
      </w:tr>
      <w:tr w:rsidR="002B2D49" w:rsidRPr="00C34C12" w14:paraId="38C8F36F" w14:textId="77777777" w:rsidTr="00006DD3">
        <w:tc>
          <w:tcPr>
            <w:tcW w:w="3235" w:type="dxa"/>
          </w:tcPr>
          <w:p w14:paraId="7819974A" w14:textId="08CDE87F" w:rsidR="002B2D49" w:rsidRDefault="002B2D49" w:rsidP="00006DD3">
            <w:pPr>
              <w:pStyle w:val="TableFigureHeading"/>
              <w:keepLines/>
              <w:widowControl w:val="0"/>
              <w:rPr>
                <w:b w:val="0"/>
                <w:bCs w:val="0"/>
                <w:color w:val="000000" w:themeColor="text1"/>
              </w:rPr>
            </w:pPr>
            <w:r>
              <w:rPr>
                <w:b w:val="0"/>
                <w:bCs w:val="0"/>
                <w:color w:val="000000" w:themeColor="text1"/>
              </w:rPr>
              <w:t xml:space="preserve">Patients with </w:t>
            </w:r>
            <w:r>
              <w:rPr>
                <w:b w:val="0"/>
                <w:bCs w:val="0"/>
                <w:color w:val="000000" w:themeColor="text1"/>
              </w:rPr>
              <w:sym w:font="Symbol" w:char="F0B3"/>
            </w:r>
            <w:r>
              <w:rPr>
                <w:b w:val="0"/>
                <w:bCs w:val="0"/>
                <w:color w:val="000000" w:themeColor="text1"/>
              </w:rPr>
              <w:t xml:space="preserve">2 point improvement in HDSS at week 4 </w:t>
            </w:r>
          </w:p>
          <w:p w14:paraId="0062D963" w14:textId="0F959248" w:rsidR="002B2D49" w:rsidRPr="0037711E" w:rsidRDefault="002B2D49" w:rsidP="00006DD3">
            <w:pPr>
              <w:pStyle w:val="TableFigureHeading"/>
              <w:keepLines/>
              <w:widowControl w:val="0"/>
              <w:jc w:val="right"/>
              <w:rPr>
                <w:b w:val="0"/>
                <w:bCs w:val="0"/>
                <w:color w:val="000000" w:themeColor="text1"/>
              </w:rPr>
            </w:pPr>
            <w:r w:rsidRPr="0037711E">
              <w:rPr>
                <w:b w:val="0"/>
                <w:bCs w:val="0"/>
                <w:color w:val="000000" w:themeColor="text1"/>
              </w:rPr>
              <w:t>n (%)</w:t>
            </w:r>
          </w:p>
          <w:p w14:paraId="39F1FE1D" w14:textId="77777777" w:rsidR="002B2D49" w:rsidRDefault="002B2D49" w:rsidP="00006DD3">
            <w:pPr>
              <w:pStyle w:val="TableFigureHeading"/>
              <w:keepLines/>
              <w:widowControl w:val="0"/>
              <w:jc w:val="right"/>
              <w:rPr>
                <w:b w:val="0"/>
                <w:bCs w:val="0"/>
                <w:color w:val="000000" w:themeColor="text1"/>
              </w:rPr>
            </w:pPr>
            <w:r w:rsidRPr="0037711E">
              <w:rPr>
                <w:b w:val="0"/>
                <w:bCs w:val="0"/>
                <w:color w:val="000000" w:themeColor="text1"/>
              </w:rPr>
              <w:t>OR (95% CI) vs placebo</w:t>
            </w:r>
          </w:p>
          <w:p w14:paraId="2C800337" w14:textId="5B2305C8" w:rsidR="002B2D49" w:rsidRPr="005A6169" w:rsidRDefault="002B2D49" w:rsidP="00006DD3">
            <w:pPr>
              <w:pStyle w:val="TableFigureHeading"/>
              <w:keepLines/>
              <w:widowControl w:val="0"/>
              <w:jc w:val="right"/>
              <w:rPr>
                <w:b w:val="0"/>
                <w:bCs w:val="0"/>
                <w:color w:val="000000" w:themeColor="text1"/>
              </w:rPr>
            </w:pPr>
            <w:r>
              <w:rPr>
                <w:b w:val="0"/>
                <w:bCs w:val="0"/>
                <w:color w:val="000000" w:themeColor="text1"/>
              </w:rPr>
              <w:t>P vs placebo</w:t>
            </w:r>
          </w:p>
        </w:tc>
        <w:tc>
          <w:tcPr>
            <w:tcW w:w="3000" w:type="dxa"/>
          </w:tcPr>
          <w:p w14:paraId="3479CC04" w14:textId="77777777" w:rsidR="002B2D49" w:rsidRDefault="002B2D49" w:rsidP="00006DD3">
            <w:pPr>
              <w:pStyle w:val="TableFigureHeading"/>
              <w:keepLines/>
              <w:widowControl w:val="0"/>
              <w:rPr>
                <w:b w:val="0"/>
                <w:bCs w:val="0"/>
                <w:color w:val="000000" w:themeColor="text1"/>
              </w:rPr>
            </w:pPr>
          </w:p>
          <w:p w14:paraId="3D7E6DA1" w14:textId="77777777" w:rsidR="002B2D49" w:rsidRDefault="002B2D49" w:rsidP="00006DD3">
            <w:pPr>
              <w:pStyle w:val="TableFigureHeading"/>
              <w:keepLines/>
              <w:widowControl w:val="0"/>
              <w:rPr>
                <w:b w:val="0"/>
                <w:bCs w:val="0"/>
                <w:color w:val="000000" w:themeColor="text1"/>
              </w:rPr>
            </w:pPr>
          </w:p>
          <w:p w14:paraId="4386D6B7" w14:textId="77777777" w:rsidR="002B2D49" w:rsidRDefault="002B2D49" w:rsidP="00006DD3">
            <w:pPr>
              <w:pStyle w:val="TableFigureHeading"/>
              <w:keepLines/>
              <w:widowControl w:val="0"/>
              <w:rPr>
                <w:b w:val="0"/>
                <w:bCs w:val="0"/>
                <w:color w:val="000000" w:themeColor="text1"/>
              </w:rPr>
            </w:pPr>
            <w:r>
              <w:rPr>
                <w:b w:val="0"/>
                <w:bCs w:val="0"/>
                <w:color w:val="000000" w:themeColor="text1"/>
              </w:rPr>
              <w:t>20 (23%)</w:t>
            </w:r>
          </w:p>
          <w:p w14:paraId="29D0F3B8" w14:textId="77777777" w:rsidR="002B2D49" w:rsidRDefault="002B2D49" w:rsidP="00006DD3">
            <w:pPr>
              <w:pStyle w:val="TableFigureHeading"/>
              <w:keepLines/>
              <w:widowControl w:val="0"/>
              <w:rPr>
                <w:b w:val="0"/>
                <w:bCs w:val="0"/>
                <w:color w:val="000000" w:themeColor="text1"/>
              </w:rPr>
            </w:pPr>
            <w:r>
              <w:rPr>
                <w:b w:val="0"/>
                <w:bCs w:val="0"/>
                <w:color w:val="000000" w:themeColor="text1"/>
              </w:rPr>
              <w:t>0.44 (0.19, 1.03)</w:t>
            </w:r>
          </w:p>
          <w:p w14:paraId="460817BE" w14:textId="01405A03" w:rsidR="002B2D49" w:rsidRPr="005A6169" w:rsidRDefault="002B2D49" w:rsidP="00006DD3">
            <w:pPr>
              <w:pStyle w:val="TableFigureHeading"/>
              <w:keepLines/>
              <w:widowControl w:val="0"/>
              <w:rPr>
                <w:b w:val="0"/>
                <w:bCs w:val="0"/>
                <w:color w:val="000000" w:themeColor="text1"/>
              </w:rPr>
            </w:pPr>
            <w:r>
              <w:rPr>
                <w:b w:val="0"/>
                <w:bCs w:val="0"/>
                <w:color w:val="000000" w:themeColor="text1"/>
              </w:rPr>
              <w:t>0.054</w:t>
            </w:r>
          </w:p>
        </w:tc>
        <w:tc>
          <w:tcPr>
            <w:tcW w:w="2782" w:type="dxa"/>
          </w:tcPr>
          <w:p w14:paraId="1FA7FD85" w14:textId="77777777" w:rsidR="002B2D49" w:rsidRDefault="002B2D49" w:rsidP="00006DD3">
            <w:pPr>
              <w:pStyle w:val="TableFigureHeading"/>
              <w:keepLines/>
              <w:widowControl w:val="0"/>
              <w:rPr>
                <w:b w:val="0"/>
                <w:bCs w:val="0"/>
                <w:color w:val="000000" w:themeColor="text1"/>
              </w:rPr>
            </w:pPr>
          </w:p>
          <w:p w14:paraId="7471AA32" w14:textId="77777777" w:rsidR="002B2D49" w:rsidRDefault="002B2D49" w:rsidP="00006DD3">
            <w:pPr>
              <w:pStyle w:val="TableFigureHeading"/>
              <w:keepLines/>
              <w:widowControl w:val="0"/>
              <w:rPr>
                <w:b w:val="0"/>
                <w:bCs w:val="0"/>
                <w:color w:val="000000" w:themeColor="text1"/>
              </w:rPr>
            </w:pPr>
          </w:p>
          <w:p w14:paraId="18AF9886" w14:textId="77777777" w:rsidR="002B2D49" w:rsidRDefault="002B2D49" w:rsidP="00006DD3">
            <w:pPr>
              <w:pStyle w:val="TableFigureHeading"/>
              <w:keepLines/>
              <w:widowControl w:val="0"/>
              <w:rPr>
                <w:b w:val="0"/>
                <w:bCs w:val="0"/>
                <w:color w:val="000000" w:themeColor="text1"/>
              </w:rPr>
            </w:pPr>
            <w:r>
              <w:rPr>
                <w:b w:val="0"/>
                <w:bCs w:val="0"/>
                <w:color w:val="000000" w:themeColor="text1"/>
              </w:rPr>
              <w:t>10 (11.9%)</w:t>
            </w:r>
          </w:p>
          <w:p w14:paraId="3B2F5AB3" w14:textId="77777777" w:rsidR="00A04AF7" w:rsidRDefault="00A04AF7" w:rsidP="00006DD3">
            <w:pPr>
              <w:pStyle w:val="TableFigureHeading"/>
              <w:keepLines/>
              <w:widowControl w:val="0"/>
              <w:rPr>
                <w:b w:val="0"/>
                <w:bCs w:val="0"/>
                <w:color w:val="000000" w:themeColor="text1"/>
              </w:rPr>
            </w:pPr>
            <w:r>
              <w:rPr>
                <w:b w:val="0"/>
                <w:bCs w:val="0"/>
                <w:color w:val="000000" w:themeColor="text1"/>
              </w:rPr>
              <w:t>-</w:t>
            </w:r>
          </w:p>
          <w:p w14:paraId="3F83A7CB" w14:textId="22B75CC5" w:rsidR="00A04AF7" w:rsidRPr="005A6169" w:rsidRDefault="00A04AF7" w:rsidP="00006DD3">
            <w:pPr>
              <w:pStyle w:val="TableFigureHeading"/>
              <w:keepLines/>
              <w:widowControl w:val="0"/>
              <w:rPr>
                <w:b w:val="0"/>
                <w:bCs w:val="0"/>
                <w:color w:val="000000" w:themeColor="text1"/>
              </w:rPr>
            </w:pPr>
            <w:r>
              <w:rPr>
                <w:b w:val="0"/>
                <w:bCs w:val="0"/>
                <w:color w:val="000000" w:themeColor="text1"/>
              </w:rPr>
              <w:t>-</w:t>
            </w:r>
          </w:p>
        </w:tc>
      </w:tr>
      <w:tr w:rsidR="00557792" w:rsidRPr="00C34C12" w14:paraId="068B2BAC" w14:textId="77777777" w:rsidTr="00006DD3">
        <w:tc>
          <w:tcPr>
            <w:tcW w:w="3235" w:type="dxa"/>
          </w:tcPr>
          <w:p w14:paraId="04AE3B56" w14:textId="13B27DCE" w:rsidR="00557792" w:rsidRDefault="00557792" w:rsidP="00006DD3">
            <w:pPr>
              <w:pStyle w:val="TableFigureHeading"/>
              <w:keepLines/>
              <w:widowControl w:val="0"/>
              <w:rPr>
                <w:b w:val="0"/>
                <w:bCs w:val="0"/>
                <w:color w:val="000000" w:themeColor="text1"/>
              </w:rPr>
            </w:pPr>
            <w:r>
              <w:rPr>
                <w:b w:val="0"/>
                <w:bCs w:val="0"/>
                <w:color w:val="000000" w:themeColor="text1"/>
              </w:rPr>
              <w:t xml:space="preserve">BL </w:t>
            </w:r>
            <w:r w:rsidR="00A55C0F">
              <w:rPr>
                <w:b w:val="0"/>
                <w:bCs w:val="0"/>
                <w:color w:val="000000" w:themeColor="text1"/>
              </w:rPr>
              <w:t>DLQI</w:t>
            </w:r>
            <w:r>
              <w:rPr>
                <w:b w:val="0"/>
                <w:bCs w:val="0"/>
                <w:color w:val="000000" w:themeColor="text1"/>
              </w:rPr>
              <w:t xml:space="preserve"> score, Median (range) </w:t>
            </w:r>
          </w:p>
        </w:tc>
        <w:tc>
          <w:tcPr>
            <w:tcW w:w="3000" w:type="dxa"/>
          </w:tcPr>
          <w:p w14:paraId="2B2700B3" w14:textId="780C4647" w:rsidR="00557792" w:rsidRDefault="00A55C0F" w:rsidP="00006DD3">
            <w:pPr>
              <w:pStyle w:val="TableFigureHeading"/>
              <w:keepLines/>
              <w:widowControl w:val="0"/>
              <w:rPr>
                <w:b w:val="0"/>
                <w:bCs w:val="0"/>
                <w:color w:val="000000" w:themeColor="text1"/>
              </w:rPr>
            </w:pPr>
            <w:r>
              <w:rPr>
                <w:b w:val="0"/>
                <w:bCs w:val="0"/>
                <w:color w:val="000000" w:themeColor="text1"/>
              </w:rPr>
              <w:t>14.0 (0, 30)</w:t>
            </w:r>
          </w:p>
        </w:tc>
        <w:tc>
          <w:tcPr>
            <w:tcW w:w="2782" w:type="dxa"/>
          </w:tcPr>
          <w:p w14:paraId="12529E2F" w14:textId="1015385B" w:rsidR="00557792" w:rsidRDefault="00A55C0F" w:rsidP="00006DD3">
            <w:pPr>
              <w:pStyle w:val="TableFigureHeading"/>
              <w:keepLines/>
              <w:widowControl w:val="0"/>
              <w:rPr>
                <w:b w:val="0"/>
                <w:bCs w:val="0"/>
                <w:color w:val="000000" w:themeColor="text1"/>
              </w:rPr>
            </w:pPr>
            <w:r>
              <w:rPr>
                <w:b w:val="0"/>
                <w:bCs w:val="0"/>
                <w:color w:val="000000" w:themeColor="text1"/>
              </w:rPr>
              <w:t>15.0 (0, 28)</w:t>
            </w:r>
          </w:p>
        </w:tc>
      </w:tr>
      <w:tr w:rsidR="00557792" w:rsidRPr="00C34C12" w14:paraId="056374C5" w14:textId="77777777" w:rsidTr="00006DD3">
        <w:tc>
          <w:tcPr>
            <w:tcW w:w="3235" w:type="dxa"/>
          </w:tcPr>
          <w:p w14:paraId="5F97F514" w14:textId="65338DE2" w:rsidR="00557792" w:rsidRDefault="00A55C0F" w:rsidP="00006DD3">
            <w:pPr>
              <w:pStyle w:val="TableFigureHeading"/>
              <w:keepLines/>
              <w:widowControl w:val="0"/>
              <w:rPr>
                <w:b w:val="0"/>
                <w:bCs w:val="0"/>
                <w:color w:val="000000" w:themeColor="text1"/>
              </w:rPr>
            </w:pPr>
            <w:r>
              <w:rPr>
                <w:b w:val="0"/>
                <w:bCs w:val="0"/>
                <w:color w:val="000000" w:themeColor="text1"/>
              </w:rPr>
              <w:t>DLQI</w:t>
            </w:r>
            <w:r w:rsidR="00557792">
              <w:rPr>
                <w:b w:val="0"/>
                <w:bCs w:val="0"/>
                <w:color w:val="000000" w:themeColor="text1"/>
              </w:rPr>
              <w:t xml:space="preserve"> score CFB to 4 weeks, Median (</w:t>
            </w:r>
            <w:r>
              <w:rPr>
                <w:b w:val="0"/>
                <w:bCs w:val="0"/>
                <w:color w:val="000000" w:themeColor="text1"/>
              </w:rPr>
              <w:t>95% CI</w:t>
            </w:r>
            <w:r w:rsidR="00557792">
              <w:rPr>
                <w:b w:val="0"/>
                <w:bCs w:val="0"/>
                <w:color w:val="000000" w:themeColor="text1"/>
              </w:rPr>
              <w:t>)</w:t>
            </w:r>
          </w:p>
          <w:p w14:paraId="674463B9" w14:textId="1DB1B6A5" w:rsidR="00557792" w:rsidRDefault="00557792" w:rsidP="00006DD3">
            <w:pPr>
              <w:pStyle w:val="TableFigureHeading"/>
              <w:keepLines/>
              <w:widowControl w:val="0"/>
              <w:rPr>
                <w:b w:val="0"/>
                <w:bCs w:val="0"/>
                <w:color w:val="000000" w:themeColor="text1"/>
              </w:rPr>
            </w:pPr>
            <w:r>
              <w:rPr>
                <w:b w:val="0"/>
                <w:bCs w:val="0"/>
                <w:color w:val="000000" w:themeColor="text1"/>
              </w:rPr>
              <w:t>Difference vs placebo, Median</w:t>
            </w:r>
          </w:p>
          <w:p w14:paraId="298C2BD1" w14:textId="224DFB0A" w:rsidR="00557792" w:rsidRDefault="00557792" w:rsidP="00006DD3">
            <w:pPr>
              <w:pStyle w:val="TableFigureHeading"/>
              <w:keepLines/>
              <w:widowControl w:val="0"/>
              <w:rPr>
                <w:b w:val="0"/>
                <w:bCs w:val="0"/>
                <w:color w:val="000000" w:themeColor="text1"/>
              </w:rPr>
            </w:pPr>
            <w:r>
              <w:rPr>
                <w:b w:val="0"/>
                <w:bCs w:val="0"/>
                <w:color w:val="000000" w:themeColor="text1"/>
              </w:rPr>
              <w:t>P vs placebo</w:t>
            </w:r>
          </w:p>
        </w:tc>
        <w:tc>
          <w:tcPr>
            <w:tcW w:w="3000" w:type="dxa"/>
          </w:tcPr>
          <w:p w14:paraId="534C048A" w14:textId="2D9C8F28" w:rsidR="00557792" w:rsidRDefault="00557792" w:rsidP="00006DD3">
            <w:pPr>
              <w:pStyle w:val="TableFigureHeading"/>
              <w:keepLines/>
              <w:widowControl w:val="0"/>
              <w:rPr>
                <w:b w:val="0"/>
                <w:bCs w:val="0"/>
                <w:color w:val="000000" w:themeColor="text1"/>
              </w:rPr>
            </w:pPr>
            <w:r>
              <w:rPr>
                <w:b w:val="0"/>
                <w:bCs w:val="0"/>
                <w:color w:val="000000" w:themeColor="text1"/>
              </w:rPr>
              <w:t>-</w:t>
            </w:r>
            <w:r w:rsidR="00A55C0F">
              <w:rPr>
                <w:b w:val="0"/>
                <w:bCs w:val="0"/>
                <w:color w:val="000000" w:themeColor="text1"/>
              </w:rPr>
              <w:t>5.0 (-</w:t>
            </w:r>
            <w:r w:rsidR="001310F7">
              <w:rPr>
                <w:b w:val="0"/>
                <w:bCs w:val="0"/>
                <w:color w:val="000000" w:themeColor="text1"/>
              </w:rPr>
              <w:t>8</w:t>
            </w:r>
            <w:r w:rsidR="00A55C0F">
              <w:rPr>
                <w:b w:val="0"/>
                <w:bCs w:val="0"/>
                <w:color w:val="000000" w:themeColor="text1"/>
              </w:rPr>
              <w:t>.0, -</w:t>
            </w:r>
            <w:r w:rsidR="001310F7">
              <w:rPr>
                <w:b w:val="0"/>
                <w:bCs w:val="0"/>
                <w:color w:val="000000" w:themeColor="text1"/>
              </w:rPr>
              <w:t>4</w:t>
            </w:r>
            <w:r w:rsidR="00A55C0F">
              <w:rPr>
                <w:b w:val="0"/>
                <w:bCs w:val="0"/>
                <w:color w:val="000000" w:themeColor="text1"/>
              </w:rPr>
              <w:t>.0)</w:t>
            </w:r>
          </w:p>
          <w:p w14:paraId="51CA788A" w14:textId="356E9276" w:rsidR="00557792" w:rsidRDefault="001310F7" w:rsidP="00006DD3">
            <w:pPr>
              <w:pStyle w:val="TableFigureHeading"/>
              <w:keepLines/>
              <w:widowControl w:val="0"/>
              <w:rPr>
                <w:color w:val="000000" w:themeColor="text1"/>
              </w:rPr>
            </w:pPr>
            <w:r>
              <w:rPr>
                <w:color w:val="000000" w:themeColor="text1"/>
              </w:rPr>
              <w:t>-2.0</w:t>
            </w:r>
          </w:p>
          <w:p w14:paraId="2E55DE76" w14:textId="77777777" w:rsidR="00557792" w:rsidRDefault="00557792" w:rsidP="00006DD3">
            <w:pPr>
              <w:pStyle w:val="TableFigureHeading"/>
              <w:keepLines/>
              <w:widowControl w:val="0"/>
              <w:rPr>
                <w:color w:val="000000" w:themeColor="text1"/>
              </w:rPr>
            </w:pPr>
          </w:p>
          <w:p w14:paraId="0179CAC5" w14:textId="2BC8215D" w:rsidR="00557792" w:rsidRPr="00557792" w:rsidRDefault="00557792" w:rsidP="00006DD3">
            <w:pPr>
              <w:pStyle w:val="TableFigureHeading"/>
              <w:keepLines/>
              <w:widowControl w:val="0"/>
              <w:rPr>
                <w:color w:val="000000" w:themeColor="text1"/>
              </w:rPr>
            </w:pPr>
            <w:r>
              <w:rPr>
                <w:color w:val="000000" w:themeColor="text1"/>
              </w:rPr>
              <w:t>&lt;</w:t>
            </w:r>
            <w:r w:rsidR="001063F0">
              <w:rPr>
                <w:color w:val="000000" w:themeColor="text1"/>
              </w:rPr>
              <w:t xml:space="preserve"> </w:t>
            </w:r>
            <w:r>
              <w:rPr>
                <w:color w:val="000000" w:themeColor="text1"/>
              </w:rPr>
              <w:t>0.00</w:t>
            </w:r>
            <w:r w:rsidR="001310F7">
              <w:rPr>
                <w:color w:val="000000" w:themeColor="text1"/>
              </w:rPr>
              <w:t>3</w:t>
            </w:r>
          </w:p>
        </w:tc>
        <w:tc>
          <w:tcPr>
            <w:tcW w:w="2782" w:type="dxa"/>
          </w:tcPr>
          <w:p w14:paraId="684289C3" w14:textId="61E69921" w:rsidR="001310F7" w:rsidRDefault="001310F7" w:rsidP="00006DD3">
            <w:pPr>
              <w:pStyle w:val="TableFigureHeading"/>
              <w:keepLines/>
              <w:widowControl w:val="0"/>
              <w:rPr>
                <w:b w:val="0"/>
                <w:bCs w:val="0"/>
                <w:color w:val="000000" w:themeColor="text1"/>
              </w:rPr>
            </w:pPr>
            <w:r>
              <w:rPr>
                <w:b w:val="0"/>
                <w:bCs w:val="0"/>
                <w:color w:val="000000" w:themeColor="text1"/>
              </w:rPr>
              <w:t>-3.0 (-4.0, -1.0)</w:t>
            </w:r>
          </w:p>
          <w:p w14:paraId="3C341CC6" w14:textId="3640A8EE" w:rsidR="001310F7" w:rsidRDefault="001310F7" w:rsidP="00006DD3">
            <w:pPr>
              <w:pStyle w:val="TableFigureHeading"/>
              <w:keepLines/>
              <w:widowControl w:val="0"/>
              <w:rPr>
                <w:b w:val="0"/>
                <w:bCs w:val="0"/>
                <w:color w:val="000000" w:themeColor="text1"/>
              </w:rPr>
            </w:pPr>
            <w:r>
              <w:rPr>
                <w:b w:val="0"/>
                <w:bCs w:val="0"/>
                <w:color w:val="000000" w:themeColor="text1"/>
              </w:rPr>
              <w:t>-</w:t>
            </w:r>
          </w:p>
          <w:p w14:paraId="5864C273" w14:textId="77777777" w:rsidR="001310F7" w:rsidRDefault="001310F7" w:rsidP="00006DD3">
            <w:pPr>
              <w:pStyle w:val="TableFigureHeading"/>
              <w:keepLines/>
              <w:widowControl w:val="0"/>
              <w:rPr>
                <w:b w:val="0"/>
                <w:bCs w:val="0"/>
                <w:color w:val="000000" w:themeColor="text1"/>
              </w:rPr>
            </w:pPr>
          </w:p>
          <w:p w14:paraId="386492E0" w14:textId="245CE243" w:rsidR="00557792" w:rsidRDefault="001310F7" w:rsidP="00006DD3">
            <w:pPr>
              <w:pStyle w:val="TableFigureHeading"/>
              <w:keepLines/>
              <w:widowControl w:val="0"/>
              <w:rPr>
                <w:b w:val="0"/>
                <w:bCs w:val="0"/>
                <w:color w:val="000000" w:themeColor="text1"/>
              </w:rPr>
            </w:pPr>
            <w:r>
              <w:rPr>
                <w:b w:val="0"/>
                <w:bCs w:val="0"/>
                <w:color w:val="000000" w:themeColor="text1"/>
              </w:rPr>
              <w:t>-</w:t>
            </w:r>
          </w:p>
        </w:tc>
      </w:tr>
      <w:tr w:rsidR="002B2D49" w:rsidRPr="00C34C12" w14:paraId="3ECD0B2E" w14:textId="77777777" w:rsidTr="00834893">
        <w:tc>
          <w:tcPr>
            <w:tcW w:w="9017" w:type="dxa"/>
            <w:gridSpan w:val="3"/>
          </w:tcPr>
          <w:p w14:paraId="3F05063C" w14:textId="64F26825" w:rsidR="002B2D49" w:rsidRPr="0037711E" w:rsidRDefault="002B2D49" w:rsidP="00006DD3">
            <w:pPr>
              <w:pStyle w:val="TableFigureHeading"/>
              <w:keepLines/>
              <w:widowControl w:val="0"/>
              <w:jc w:val="center"/>
              <w:rPr>
                <w:color w:val="000000" w:themeColor="text1"/>
              </w:rPr>
            </w:pPr>
            <w:r w:rsidRPr="0037711E">
              <w:rPr>
                <w:color w:val="000000" w:themeColor="text1"/>
              </w:rPr>
              <w:t>Botulinum Toxin</w:t>
            </w:r>
          </w:p>
        </w:tc>
      </w:tr>
      <w:tr w:rsidR="002B2D49" w:rsidRPr="00C34C12" w14:paraId="1B58BF15" w14:textId="77777777" w:rsidTr="00834893">
        <w:tc>
          <w:tcPr>
            <w:tcW w:w="9017" w:type="dxa"/>
            <w:gridSpan w:val="3"/>
          </w:tcPr>
          <w:p w14:paraId="79FDDEC9" w14:textId="278D444E" w:rsidR="002B2D49" w:rsidRPr="0037711E" w:rsidRDefault="002B2D49" w:rsidP="00006DD3">
            <w:pPr>
              <w:pStyle w:val="TableFigureHeading"/>
              <w:keepLines/>
              <w:widowControl w:val="0"/>
              <w:rPr>
                <w:color w:val="000000" w:themeColor="text1"/>
              </w:rPr>
            </w:pPr>
            <w:r w:rsidRPr="0037711E">
              <w:rPr>
                <w:color w:val="000000" w:themeColor="text1"/>
              </w:rPr>
              <w:t>Naumann, 2001</w:t>
            </w:r>
          </w:p>
        </w:tc>
      </w:tr>
      <w:tr w:rsidR="002B2D49" w:rsidRPr="00C34C12" w14:paraId="23CA4DFD" w14:textId="77777777" w:rsidTr="00006DD3">
        <w:tc>
          <w:tcPr>
            <w:tcW w:w="3235" w:type="dxa"/>
          </w:tcPr>
          <w:p w14:paraId="7329F7C6" w14:textId="77777777" w:rsidR="002B2D49" w:rsidRDefault="002B2D49" w:rsidP="00006DD3">
            <w:pPr>
              <w:pStyle w:val="TableFigureHeading"/>
              <w:keepLines/>
              <w:widowControl w:val="0"/>
              <w:rPr>
                <w:b w:val="0"/>
                <w:bCs w:val="0"/>
                <w:color w:val="000000" w:themeColor="text1"/>
              </w:rPr>
            </w:pPr>
          </w:p>
        </w:tc>
        <w:tc>
          <w:tcPr>
            <w:tcW w:w="3000" w:type="dxa"/>
          </w:tcPr>
          <w:p w14:paraId="2C135C92" w14:textId="1C36724C" w:rsidR="002B2D49" w:rsidRPr="00141871" w:rsidRDefault="002B2D49" w:rsidP="00006DD3">
            <w:pPr>
              <w:pStyle w:val="TableFigureHeading"/>
              <w:keepLines/>
              <w:widowControl w:val="0"/>
              <w:rPr>
                <w:color w:val="000000" w:themeColor="text1"/>
              </w:rPr>
            </w:pPr>
            <w:r w:rsidRPr="00141871">
              <w:rPr>
                <w:color w:val="000000" w:themeColor="text1"/>
              </w:rPr>
              <w:t>Botulinum Toxin, N = 242</w:t>
            </w:r>
          </w:p>
        </w:tc>
        <w:tc>
          <w:tcPr>
            <w:tcW w:w="2782" w:type="dxa"/>
          </w:tcPr>
          <w:p w14:paraId="7DD30741" w14:textId="3D11D835" w:rsidR="002B2D49" w:rsidRPr="00141871" w:rsidRDefault="002B2D49" w:rsidP="00006DD3">
            <w:pPr>
              <w:pStyle w:val="TableFigureHeading"/>
              <w:keepLines/>
              <w:widowControl w:val="0"/>
              <w:rPr>
                <w:color w:val="000000" w:themeColor="text1"/>
              </w:rPr>
            </w:pPr>
            <w:r w:rsidRPr="00141871">
              <w:rPr>
                <w:color w:val="000000" w:themeColor="text1"/>
              </w:rPr>
              <w:t>Placebo, N = 78</w:t>
            </w:r>
          </w:p>
        </w:tc>
      </w:tr>
      <w:tr w:rsidR="002B2D49" w:rsidRPr="00C34C12" w14:paraId="2A8E952E" w14:textId="77777777" w:rsidTr="00006DD3">
        <w:tc>
          <w:tcPr>
            <w:tcW w:w="3235" w:type="dxa"/>
          </w:tcPr>
          <w:p w14:paraId="007C0ADF" w14:textId="77777777" w:rsidR="002B2D49" w:rsidRDefault="002B2D49" w:rsidP="00006DD3">
            <w:pPr>
              <w:pStyle w:val="TableFigureHeading"/>
              <w:keepLines/>
              <w:widowControl w:val="0"/>
              <w:rPr>
                <w:b w:val="0"/>
                <w:bCs w:val="0"/>
                <w:color w:val="000000" w:themeColor="text1"/>
              </w:rPr>
            </w:pPr>
            <w:r>
              <w:rPr>
                <w:b w:val="0"/>
                <w:bCs w:val="0"/>
                <w:color w:val="000000" w:themeColor="text1"/>
              </w:rPr>
              <w:t>BL Sweat Production, mg/5min</w:t>
            </w:r>
          </w:p>
          <w:p w14:paraId="36A7380F" w14:textId="76560CAE" w:rsidR="002B2D49" w:rsidRPr="005A6169" w:rsidRDefault="002B2D49" w:rsidP="00006DD3">
            <w:pPr>
              <w:pStyle w:val="TableFigureHeading"/>
              <w:keepLines/>
              <w:widowControl w:val="0"/>
              <w:jc w:val="right"/>
              <w:rPr>
                <w:b w:val="0"/>
                <w:bCs w:val="0"/>
                <w:color w:val="000000" w:themeColor="text1"/>
              </w:rPr>
            </w:pPr>
            <w:r>
              <w:rPr>
                <w:b w:val="0"/>
                <w:bCs w:val="0"/>
                <w:color w:val="000000" w:themeColor="text1"/>
              </w:rPr>
              <w:t xml:space="preserve">Mean (SD) </w:t>
            </w:r>
          </w:p>
        </w:tc>
        <w:tc>
          <w:tcPr>
            <w:tcW w:w="3000" w:type="dxa"/>
          </w:tcPr>
          <w:p w14:paraId="2AB6F9CE" w14:textId="77777777" w:rsidR="002B2D49" w:rsidRDefault="002B2D49" w:rsidP="00006DD3">
            <w:pPr>
              <w:pStyle w:val="TableFigureHeading"/>
              <w:keepLines/>
              <w:widowControl w:val="0"/>
              <w:rPr>
                <w:b w:val="0"/>
                <w:bCs w:val="0"/>
                <w:color w:val="000000" w:themeColor="text1"/>
              </w:rPr>
            </w:pPr>
          </w:p>
          <w:p w14:paraId="481E7077" w14:textId="4503D11B" w:rsidR="002B2D49" w:rsidRPr="005A6169" w:rsidRDefault="002B2D49" w:rsidP="00006DD3">
            <w:pPr>
              <w:pStyle w:val="TableFigureHeading"/>
              <w:keepLines/>
              <w:widowControl w:val="0"/>
              <w:rPr>
                <w:b w:val="0"/>
                <w:bCs w:val="0"/>
                <w:color w:val="000000" w:themeColor="text1"/>
              </w:rPr>
            </w:pPr>
            <w:r>
              <w:rPr>
                <w:b w:val="0"/>
                <w:bCs w:val="0"/>
                <w:color w:val="000000" w:themeColor="text1"/>
              </w:rPr>
              <w:t>215.8 (178.7)</w:t>
            </w:r>
          </w:p>
        </w:tc>
        <w:tc>
          <w:tcPr>
            <w:tcW w:w="2782" w:type="dxa"/>
          </w:tcPr>
          <w:p w14:paraId="62901C1B" w14:textId="77777777" w:rsidR="002B2D49" w:rsidRDefault="002B2D49" w:rsidP="00006DD3">
            <w:pPr>
              <w:pStyle w:val="TableFigureHeading"/>
              <w:keepLines/>
              <w:widowControl w:val="0"/>
              <w:rPr>
                <w:b w:val="0"/>
                <w:bCs w:val="0"/>
                <w:color w:val="000000" w:themeColor="text1"/>
              </w:rPr>
            </w:pPr>
          </w:p>
          <w:p w14:paraId="52CD56FA" w14:textId="46B0C05D" w:rsidR="002B2D49" w:rsidRPr="005A6169" w:rsidRDefault="002B2D49" w:rsidP="00006DD3">
            <w:pPr>
              <w:pStyle w:val="TableFigureHeading"/>
              <w:keepLines/>
              <w:widowControl w:val="0"/>
              <w:rPr>
                <w:b w:val="0"/>
                <w:bCs w:val="0"/>
                <w:color w:val="000000" w:themeColor="text1"/>
              </w:rPr>
            </w:pPr>
            <w:r>
              <w:rPr>
                <w:b w:val="0"/>
                <w:bCs w:val="0"/>
                <w:color w:val="000000" w:themeColor="text1"/>
              </w:rPr>
              <w:t>235.7 (213.8)</w:t>
            </w:r>
          </w:p>
        </w:tc>
      </w:tr>
      <w:tr w:rsidR="002B2D49" w:rsidRPr="00C34C12" w14:paraId="7C65F6C5" w14:textId="77777777" w:rsidTr="00006DD3">
        <w:tc>
          <w:tcPr>
            <w:tcW w:w="3235" w:type="dxa"/>
          </w:tcPr>
          <w:p w14:paraId="3E386C6A" w14:textId="77777777" w:rsidR="002B2D49" w:rsidRDefault="002B2D49" w:rsidP="008D45EB">
            <w:pPr>
              <w:pStyle w:val="TableFigureHeading"/>
              <w:keepNext w:val="0"/>
              <w:widowControl w:val="0"/>
              <w:rPr>
                <w:b w:val="0"/>
                <w:bCs w:val="0"/>
                <w:color w:val="000000" w:themeColor="text1"/>
              </w:rPr>
            </w:pPr>
            <w:r>
              <w:rPr>
                <w:b w:val="0"/>
                <w:bCs w:val="0"/>
                <w:color w:val="000000" w:themeColor="text1"/>
              </w:rPr>
              <w:t>Sweat Production at 4 weeks, mg/5min</w:t>
            </w:r>
          </w:p>
          <w:p w14:paraId="3AFDCFD1" w14:textId="227C3AA0" w:rsidR="002B2D49" w:rsidRPr="005A6169" w:rsidRDefault="002B2D49" w:rsidP="008D45EB">
            <w:pPr>
              <w:pStyle w:val="TableFigureHeading"/>
              <w:keepNext w:val="0"/>
              <w:widowControl w:val="0"/>
              <w:jc w:val="right"/>
              <w:rPr>
                <w:b w:val="0"/>
                <w:bCs w:val="0"/>
                <w:color w:val="000000" w:themeColor="text1"/>
              </w:rPr>
            </w:pPr>
            <w:r>
              <w:rPr>
                <w:b w:val="0"/>
                <w:bCs w:val="0"/>
                <w:color w:val="000000" w:themeColor="text1"/>
              </w:rPr>
              <w:t>Mean (SD)</w:t>
            </w:r>
          </w:p>
        </w:tc>
        <w:tc>
          <w:tcPr>
            <w:tcW w:w="3000" w:type="dxa"/>
          </w:tcPr>
          <w:p w14:paraId="7EF829A2" w14:textId="77777777" w:rsidR="002B2D49" w:rsidRDefault="002B2D49" w:rsidP="008D45EB">
            <w:pPr>
              <w:pStyle w:val="TableFigureHeading"/>
              <w:keepNext w:val="0"/>
              <w:widowControl w:val="0"/>
              <w:rPr>
                <w:b w:val="0"/>
                <w:bCs w:val="0"/>
                <w:color w:val="000000" w:themeColor="text1"/>
              </w:rPr>
            </w:pPr>
          </w:p>
          <w:p w14:paraId="361A510E" w14:textId="6E6AAAEF" w:rsidR="002B2D49" w:rsidRPr="005A6169" w:rsidRDefault="002B2D49" w:rsidP="008D45EB">
            <w:pPr>
              <w:pStyle w:val="TableFigureHeading"/>
              <w:keepNext w:val="0"/>
              <w:widowControl w:val="0"/>
              <w:rPr>
                <w:b w:val="0"/>
                <w:bCs w:val="0"/>
                <w:color w:val="000000" w:themeColor="text1"/>
              </w:rPr>
            </w:pPr>
            <w:r>
              <w:rPr>
                <w:b w:val="0"/>
                <w:bCs w:val="0"/>
                <w:color w:val="000000" w:themeColor="text1"/>
              </w:rPr>
              <w:t>28.1 (40.5)</w:t>
            </w:r>
          </w:p>
        </w:tc>
        <w:tc>
          <w:tcPr>
            <w:tcW w:w="2782" w:type="dxa"/>
          </w:tcPr>
          <w:p w14:paraId="1B6A610E" w14:textId="77777777" w:rsidR="002B2D49" w:rsidRDefault="002B2D49" w:rsidP="008D45EB">
            <w:pPr>
              <w:pStyle w:val="TableFigureHeading"/>
              <w:keepNext w:val="0"/>
              <w:widowControl w:val="0"/>
              <w:rPr>
                <w:b w:val="0"/>
                <w:bCs w:val="0"/>
                <w:color w:val="000000" w:themeColor="text1"/>
              </w:rPr>
            </w:pPr>
          </w:p>
          <w:p w14:paraId="2AA44E8B" w14:textId="19350003" w:rsidR="002B2D49" w:rsidRPr="005A6169" w:rsidRDefault="002B2D49" w:rsidP="008D45EB">
            <w:pPr>
              <w:pStyle w:val="TableFigureHeading"/>
              <w:keepNext w:val="0"/>
              <w:widowControl w:val="0"/>
              <w:rPr>
                <w:b w:val="0"/>
                <w:bCs w:val="0"/>
                <w:color w:val="000000" w:themeColor="text1"/>
              </w:rPr>
            </w:pPr>
            <w:r>
              <w:rPr>
                <w:b w:val="0"/>
                <w:bCs w:val="0"/>
                <w:color w:val="000000" w:themeColor="text1"/>
              </w:rPr>
              <w:t>153.0 (143.3)</w:t>
            </w:r>
          </w:p>
        </w:tc>
      </w:tr>
      <w:tr w:rsidR="002B2D49" w:rsidRPr="00C34C12" w14:paraId="3FAD76E2" w14:textId="77777777" w:rsidTr="00006DD3">
        <w:tc>
          <w:tcPr>
            <w:tcW w:w="3235" w:type="dxa"/>
          </w:tcPr>
          <w:p w14:paraId="6EB8E052" w14:textId="29AFB2BF" w:rsidR="002B2D49" w:rsidRPr="005A6169" w:rsidRDefault="002B2D49" w:rsidP="008D45EB">
            <w:pPr>
              <w:pStyle w:val="TableFigureHeading"/>
              <w:keepNext w:val="0"/>
              <w:widowControl w:val="0"/>
              <w:rPr>
                <w:b w:val="0"/>
                <w:bCs w:val="0"/>
                <w:color w:val="000000" w:themeColor="text1"/>
              </w:rPr>
            </w:pPr>
            <w:r>
              <w:rPr>
                <w:b w:val="0"/>
                <w:bCs w:val="0"/>
                <w:color w:val="000000" w:themeColor="text1"/>
              </w:rPr>
              <w:t xml:space="preserve">Patients with </w:t>
            </w:r>
            <w:r w:rsidR="00AA0907">
              <w:rPr>
                <w:b w:val="0"/>
                <w:bCs w:val="0"/>
                <w:color w:val="000000" w:themeColor="text1"/>
              </w:rPr>
              <w:sym w:font="Symbol" w:char="F0B3"/>
            </w:r>
            <w:r>
              <w:rPr>
                <w:b w:val="0"/>
                <w:bCs w:val="0"/>
                <w:color w:val="000000" w:themeColor="text1"/>
              </w:rPr>
              <w:t>50% Reduction in Sweat Production, BL to 4 weeks, n (%)</w:t>
            </w:r>
          </w:p>
        </w:tc>
        <w:tc>
          <w:tcPr>
            <w:tcW w:w="3000" w:type="dxa"/>
          </w:tcPr>
          <w:p w14:paraId="6A4CC7D8" w14:textId="77777777" w:rsidR="002B2D49" w:rsidRDefault="002B2D49" w:rsidP="008D45EB">
            <w:pPr>
              <w:pStyle w:val="TableFigureHeading"/>
              <w:keepNext w:val="0"/>
              <w:widowControl w:val="0"/>
              <w:rPr>
                <w:b w:val="0"/>
                <w:bCs w:val="0"/>
                <w:color w:val="000000" w:themeColor="text1"/>
              </w:rPr>
            </w:pPr>
          </w:p>
          <w:p w14:paraId="45829443" w14:textId="504FE26B" w:rsidR="002B2D49" w:rsidRPr="005A6169" w:rsidRDefault="002B2D49" w:rsidP="008D45EB">
            <w:pPr>
              <w:pStyle w:val="TableFigureHeading"/>
              <w:keepNext w:val="0"/>
              <w:widowControl w:val="0"/>
              <w:rPr>
                <w:b w:val="0"/>
                <w:bCs w:val="0"/>
                <w:color w:val="000000" w:themeColor="text1"/>
              </w:rPr>
            </w:pPr>
            <w:r>
              <w:rPr>
                <w:b w:val="0"/>
                <w:bCs w:val="0"/>
                <w:color w:val="000000" w:themeColor="text1"/>
              </w:rPr>
              <w:t>227 (94%)</w:t>
            </w:r>
          </w:p>
        </w:tc>
        <w:tc>
          <w:tcPr>
            <w:tcW w:w="2782" w:type="dxa"/>
          </w:tcPr>
          <w:p w14:paraId="673467B9" w14:textId="77777777" w:rsidR="002B2D49" w:rsidRDefault="002B2D49" w:rsidP="008D45EB">
            <w:pPr>
              <w:pStyle w:val="TableFigureHeading"/>
              <w:keepNext w:val="0"/>
              <w:widowControl w:val="0"/>
              <w:rPr>
                <w:b w:val="0"/>
                <w:bCs w:val="0"/>
                <w:color w:val="000000" w:themeColor="text1"/>
              </w:rPr>
            </w:pPr>
          </w:p>
          <w:p w14:paraId="3D7EAC86" w14:textId="23F2A981" w:rsidR="002B2D49" w:rsidRPr="005A6169" w:rsidRDefault="002B2D49" w:rsidP="008D45EB">
            <w:pPr>
              <w:pStyle w:val="TableFigureHeading"/>
              <w:keepNext w:val="0"/>
              <w:widowControl w:val="0"/>
              <w:rPr>
                <w:b w:val="0"/>
                <w:bCs w:val="0"/>
                <w:color w:val="000000" w:themeColor="text1"/>
              </w:rPr>
            </w:pPr>
            <w:r>
              <w:rPr>
                <w:b w:val="0"/>
                <w:bCs w:val="0"/>
                <w:color w:val="000000" w:themeColor="text1"/>
              </w:rPr>
              <w:t>28 (36%)</w:t>
            </w:r>
          </w:p>
        </w:tc>
      </w:tr>
      <w:tr w:rsidR="002B2D49" w:rsidRPr="00C34C12" w14:paraId="338E982B" w14:textId="77777777" w:rsidTr="00834893">
        <w:tc>
          <w:tcPr>
            <w:tcW w:w="9017" w:type="dxa"/>
            <w:gridSpan w:val="3"/>
          </w:tcPr>
          <w:p w14:paraId="3796E9A8" w14:textId="410F9DBB" w:rsidR="002B2D49" w:rsidRPr="002B2D49" w:rsidRDefault="002B2D49" w:rsidP="008D45EB">
            <w:pPr>
              <w:pStyle w:val="TableFigureHeading"/>
              <w:keepNext w:val="0"/>
              <w:widowControl w:val="0"/>
              <w:rPr>
                <w:color w:val="000000" w:themeColor="text1"/>
              </w:rPr>
            </w:pPr>
            <w:r w:rsidRPr="002B2D49">
              <w:rPr>
                <w:color w:val="000000" w:themeColor="text1"/>
              </w:rPr>
              <w:t>Lowe, 2007</w:t>
            </w:r>
          </w:p>
        </w:tc>
      </w:tr>
      <w:tr w:rsidR="002B2D49" w:rsidRPr="00C34C12" w14:paraId="179C5080" w14:textId="77777777" w:rsidTr="00006DD3">
        <w:tc>
          <w:tcPr>
            <w:tcW w:w="3235" w:type="dxa"/>
          </w:tcPr>
          <w:p w14:paraId="007074B4" w14:textId="77777777" w:rsidR="002B2D49" w:rsidRPr="005A6169" w:rsidRDefault="002B2D49" w:rsidP="008D45EB">
            <w:pPr>
              <w:pStyle w:val="TableFigureHeading"/>
              <w:keepNext w:val="0"/>
              <w:widowControl w:val="0"/>
              <w:rPr>
                <w:b w:val="0"/>
                <w:bCs w:val="0"/>
                <w:color w:val="000000" w:themeColor="text1"/>
              </w:rPr>
            </w:pPr>
          </w:p>
        </w:tc>
        <w:tc>
          <w:tcPr>
            <w:tcW w:w="3000" w:type="dxa"/>
          </w:tcPr>
          <w:p w14:paraId="7539D103" w14:textId="0D831C97" w:rsidR="002B2D49" w:rsidRPr="007255FF" w:rsidRDefault="002B2D49" w:rsidP="00006DD3">
            <w:pPr>
              <w:pStyle w:val="TableFigureHeading"/>
              <w:keepNext w:val="0"/>
              <w:widowControl w:val="0"/>
              <w:rPr>
                <w:color w:val="000000" w:themeColor="text1"/>
              </w:rPr>
            </w:pPr>
            <w:r w:rsidRPr="007255FF">
              <w:rPr>
                <w:color w:val="000000" w:themeColor="text1"/>
              </w:rPr>
              <w:t>Botulinum Toxin</w:t>
            </w:r>
            <w:r w:rsidR="007255FF">
              <w:rPr>
                <w:color w:val="000000" w:themeColor="text1"/>
              </w:rPr>
              <w:t>,</w:t>
            </w:r>
            <w:r w:rsidR="007255FF" w:rsidRPr="007255FF">
              <w:rPr>
                <w:color w:val="000000" w:themeColor="text1"/>
              </w:rPr>
              <w:t xml:space="preserve"> </w:t>
            </w:r>
            <w:r w:rsidR="007255FF">
              <w:rPr>
                <w:color w:val="000000" w:themeColor="text1"/>
              </w:rPr>
              <w:t>50U per axilla dose</w:t>
            </w:r>
            <w:r w:rsidRPr="007255FF">
              <w:rPr>
                <w:color w:val="000000" w:themeColor="text1"/>
              </w:rPr>
              <w:t>,</w:t>
            </w:r>
            <w:r w:rsidR="00006DD3">
              <w:rPr>
                <w:color w:val="000000" w:themeColor="text1"/>
              </w:rPr>
              <w:t xml:space="preserve"> </w:t>
            </w:r>
            <w:r w:rsidRPr="007255FF">
              <w:rPr>
                <w:color w:val="000000" w:themeColor="text1"/>
              </w:rPr>
              <w:t xml:space="preserve">N = </w:t>
            </w:r>
            <w:r w:rsidR="007255FF">
              <w:rPr>
                <w:color w:val="000000" w:themeColor="text1"/>
              </w:rPr>
              <w:t>104</w:t>
            </w:r>
          </w:p>
        </w:tc>
        <w:tc>
          <w:tcPr>
            <w:tcW w:w="2782" w:type="dxa"/>
          </w:tcPr>
          <w:p w14:paraId="46146610" w14:textId="731F5F16" w:rsidR="002B2D49" w:rsidRPr="007255FF" w:rsidRDefault="007255FF" w:rsidP="008D45EB">
            <w:pPr>
              <w:pStyle w:val="TableFigureHeading"/>
              <w:keepNext w:val="0"/>
              <w:widowControl w:val="0"/>
              <w:rPr>
                <w:color w:val="000000" w:themeColor="text1"/>
              </w:rPr>
            </w:pPr>
            <w:r w:rsidRPr="007255FF">
              <w:rPr>
                <w:color w:val="000000" w:themeColor="text1"/>
              </w:rPr>
              <w:t>Placebo, N = 108</w:t>
            </w:r>
          </w:p>
        </w:tc>
      </w:tr>
      <w:tr w:rsidR="002B2D49" w:rsidRPr="00C34C12" w14:paraId="766DDD0E" w14:textId="77777777" w:rsidTr="00006DD3">
        <w:tc>
          <w:tcPr>
            <w:tcW w:w="3235" w:type="dxa"/>
          </w:tcPr>
          <w:p w14:paraId="53DB7146" w14:textId="77777777" w:rsidR="007255FF" w:rsidRDefault="007255FF" w:rsidP="008D45EB">
            <w:pPr>
              <w:pStyle w:val="TableFigureHeading"/>
              <w:keepNext w:val="0"/>
              <w:widowControl w:val="0"/>
              <w:rPr>
                <w:b w:val="0"/>
                <w:bCs w:val="0"/>
                <w:color w:val="000000" w:themeColor="text1"/>
              </w:rPr>
            </w:pPr>
            <w:r>
              <w:rPr>
                <w:b w:val="0"/>
                <w:bCs w:val="0"/>
                <w:color w:val="000000" w:themeColor="text1"/>
              </w:rPr>
              <w:t>BL Sweat Production, mg/5min</w:t>
            </w:r>
          </w:p>
          <w:p w14:paraId="62C90C6C" w14:textId="24957714" w:rsidR="002B2D49" w:rsidRPr="005A6169" w:rsidRDefault="007255FF" w:rsidP="008D45EB">
            <w:pPr>
              <w:pStyle w:val="TableFigureHeading"/>
              <w:keepNext w:val="0"/>
              <w:widowControl w:val="0"/>
              <w:rPr>
                <w:b w:val="0"/>
                <w:bCs w:val="0"/>
                <w:color w:val="000000" w:themeColor="text1"/>
              </w:rPr>
            </w:pPr>
            <w:r>
              <w:rPr>
                <w:b w:val="0"/>
                <w:bCs w:val="0"/>
                <w:color w:val="000000" w:themeColor="text1"/>
              </w:rPr>
              <w:t>Mean (SD)</w:t>
            </w:r>
          </w:p>
        </w:tc>
        <w:tc>
          <w:tcPr>
            <w:tcW w:w="3000" w:type="dxa"/>
          </w:tcPr>
          <w:p w14:paraId="21AC0A9C" w14:textId="77777777" w:rsidR="002B2D49" w:rsidRDefault="002B2D49" w:rsidP="008D45EB">
            <w:pPr>
              <w:pStyle w:val="TableFigureHeading"/>
              <w:keepNext w:val="0"/>
              <w:widowControl w:val="0"/>
              <w:rPr>
                <w:b w:val="0"/>
                <w:bCs w:val="0"/>
                <w:color w:val="000000" w:themeColor="text1"/>
              </w:rPr>
            </w:pPr>
          </w:p>
          <w:p w14:paraId="55EE87D7" w14:textId="5416E54C" w:rsidR="007255FF" w:rsidRPr="005A6169" w:rsidRDefault="007255FF" w:rsidP="008D45EB">
            <w:pPr>
              <w:pStyle w:val="TableFigureHeading"/>
              <w:keepNext w:val="0"/>
              <w:widowControl w:val="0"/>
              <w:rPr>
                <w:b w:val="0"/>
                <w:bCs w:val="0"/>
                <w:color w:val="000000" w:themeColor="text1"/>
              </w:rPr>
            </w:pPr>
            <w:r>
              <w:rPr>
                <w:b w:val="0"/>
                <w:bCs w:val="0"/>
                <w:color w:val="000000" w:themeColor="text1"/>
              </w:rPr>
              <w:t>154 (151)</w:t>
            </w:r>
          </w:p>
        </w:tc>
        <w:tc>
          <w:tcPr>
            <w:tcW w:w="2782" w:type="dxa"/>
          </w:tcPr>
          <w:p w14:paraId="649E026E" w14:textId="77777777" w:rsidR="002B2D49" w:rsidRDefault="002B2D49" w:rsidP="008D45EB">
            <w:pPr>
              <w:pStyle w:val="TableFigureHeading"/>
              <w:keepNext w:val="0"/>
              <w:widowControl w:val="0"/>
              <w:rPr>
                <w:b w:val="0"/>
                <w:bCs w:val="0"/>
                <w:color w:val="000000" w:themeColor="text1"/>
              </w:rPr>
            </w:pPr>
          </w:p>
          <w:p w14:paraId="3ADE1F91" w14:textId="3497D752" w:rsidR="007255FF" w:rsidRPr="005A6169" w:rsidRDefault="007255FF" w:rsidP="008D45EB">
            <w:pPr>
              <w:pStyle w:val="TableFigureHeading"/>
              <w:keepNext w:val="0"/>
              <w:widowControl w:val="0"/>
              <w:rPr>
                <w:b w:val="0"/>
                <w:bCs w:val="0"/>
                <w:color w:val="000000" w:themeColor="text1"/>
              </w:rPr>
            </w:pPr>
            <w:r>
              <w:rPr>
                <w:b w:val="0"/>
                <w:bCs w:val="0"/>
                <w:color w:val="000000" w:themeColor="text1"/>
              </w:rPr>
              <w:t>156 (144)</w:t>
            </w:r>
          </w:p>
        </w:tc>
      </w:tr>
      <w:tr w:rsidR="002B2D49" w:rsidRPr="00C34C12" w14:paraId="7EB87EA3" w14:textId="77777777" w:rsidTr="00006DD3">
        <w:tc>
          <w:tcPr>
            <w:tcW w:w="3235" w:type="dxa"/>
          </w:tcPr>
          <w:p w14:paraId="6FC66B0D" w14:textId="3252C19D" w:rsidR="002B2D49" w:rsidRPr="005A6169" w:rsidRDefault="007255FF" w:rsidP="008D45EB">
            <w:pPr>
              <w:pStyle w:val="TableFigureHeading"/>
              <w:keepNext w:val="0"/>
              <w:widowControl w:val="0"/>
              <w:rPr>
                <w:b w:val="0"/>
                <w:bCs w:val="0"/>
                <w:color w:val="000000" w:themeColor="text1"/>
              </w:rPr>
            </w:pPr>
            <w:r>
              <w:rPr>
                <w:b w:val="0"/>
                <w:bCs w:val="0"/>
                <w:color w:val="000000" w:themeColor="text1"/>
              </w:rPr>
              <w:t xml:space="preserve">Patients with </w:t>
            </w:r>
            <w:r w:rsidR="004E5748">
              <w:rPr>
                <w:b w:val="0"/>
                <w:bCs w:val="0"/>
                <w:color w:val="000000" w:themeColor="text1"/>
              </w:rPr>
              <w:sym w:font="Symbol" w:char="F0B3"/>
            </w:r>
            <w:r>
              <w:rPr>
                <w:b w:val="0"/>
                <w:bCs w:val="0"/>
                <w:color w:val="000000" w:themeColor="text1"/>
              </w:rPr>
              <w:t>75% Reduction in Sweat Production, BL to 4 weeks, n (%)</w:t>
            </w:r>
          </w:p>
        </w:tc>
        <w:tc>
          <w:tcPr>
            <w:tcW w:w="3000" w:type="dxa"/>
          </w:tcPr>
          <w:p w14:paraId="7E1294C1" w14:textId="77777777" w:rsidR="002B2D49" w:rsidRDefault="002B2D49" w:rsidP="008D45EB">
            <w:pPr>
              <w:pStyle w:val="TableFigureHeading"/>
              <w:keepNext w:val="0"/>
              <w:widowControl w:val="0"/>
              <w:rPr>
                <w:b w:val="0"/>
                <w:bCs w:val="0"/>
                <w:color w:val="000000" w:themeColor="text1"/>
              </w:rPr>
            </w:pPr>
          </w:p>
          <w:p w14:paraId="2A05D36D" w14:textId="58783BE7" w:rsidR="007255FF" w:rsidRPr="005A6169" w:rsidRDefault="007255FF" w:rsidP="008D45EB">
            <w:pPr>
              <w:pStyle w:val="TableFigureHeading"/>
              <w:keepNext w:val="0"/>
              <w:widowControl w:val="0"/>
              <w:rPr>
                <w:b w:val="0"/>
                <w:bCs w:val="0"/>
                <w:color w:val="000000" w:themeColor="text1"/>
              </w:rPr>
            </w:pPr>
            <w:r>
              <w:rPr>
                <w:b w:val="0"/>
                <w:bCs w:val="0"/>
                <w:color w:val="000000" w:themeColor="text1"/>
              </w:rPr>
              <w:t>77 (74%)</w:t>
            </w:r>
          </w:p>
        </w:tc>
        <w:tc>
          <w:tcPr>
            <w:tcW w:w="2782" w:type="dxa"/>
          </w:tcPr>
          <w:p w14:paraId="1C71B7DF" w14:textId="77777777" w:rsidR="002B2D49" w:rsidRDefault="002B2D49" w:rsidP="008D45EB">
            <w:pPr>
              <w:pStyle w:val="TableFigureHeading"/>
              <w:keepNext w:val="0"/>
              <w:widowControl w:val="0"/>
              <w:rPr>
                <w:b w:val="0"/>
                <w:bCs w:val="0"/>
                <w:color w:val="000000" w:themeColor="text1"/>
              </w:rPr>
            </w:pPr>
          </w:p>
          <w:p w14:paraId="3C8CC042" w14:textId="3AD9CC6F" w:rsidR="007255FF" w:rsidRPr="005A6169" w:rsidRDefault="007255FF" w:rsidP="008D45EB">
            <w:pPr>
              <w:pStyle w:val="TableFigureHeading"/>
              <w:keepNext w:val="0"/>
              <w:widowControl w:val="0"/>
              <w:rPr>
                <w:b w:val="0"/>
                <w:bCs w:val="0"/>
                <w:color w:val="000000" w:themeColor="text1"/>
              </w:rPr>
            </w:pPr>
            <w:r>
              <w:rPr>
                <w:b w:val="0"/>
                <w:bCs w:val="0"/>
                <w:color w:val="000000" w:themeColor="text1"/>
              </w:rPr>
              <w:t>20 (21.3%)</w:t>
            </w:r>
          </w:p>
        </w:tc>
      </w:tr>
      <w:tr w:rsidR="002B2D49" w:rsidRPr="00C34C12" w14:paraId="4161C847" w14:textId="77777777" w:rsidTr="00006DD3">
        <w:tc>
          <w:tcPr>
            <w:tcW w:w="3235" w:type="dxa"/>
          </w:tcPr>
          <w:p w14:paraId="7E137617" w14:textId="77777777" w:rsidR="00A04AF7" w:rsidRDefault="00A04AF7" w:rsidP="008D45EB">
            <w:pPr>
              <w:pStyle w:val="TableFigureHeading"/>
              <w:keepNext w:val="0"/>
              <w:widowControl w:val="0"/>
              <w:rPr>
                <w:b w:val="0"/>
                <w:bCs w:val="0"/>
                <w:color w:val="000000" w:themeColor="text1"/>
              </w:rPr>
            </w:pPr>
            <w:r>
              <w:rPr>
                <w:b w:val="0"/>
                <w:bCs w:val="0"/>
                <w:color w:val="000000" w:themeColor="text1"/>
              </w:rPr>
              <w:t xml:space="preserve">Patients with </w:t>
            </w:r>
            <w:r>
              <w:rPr>
                <w:b w:val="0"/>
                <w:bCs w:val="0"/>
                <w:color w:val="000000" w:themeColor="text1"/>
              </w:rPr>
              <w:sym w:font="Symbol" w:char="F0B3"/>
            </w:r>
            <w:r>
              <w:rPr>
                <w:b w:val="0"/>
                <w:bCs w:val="0"/>
                <w:color w:val="000000" w:themeColor="text1"/>
              </w:rPr>
              <w:t xml:space="preserve">2 point improvement in HDSS at week 4 </w:t>
            </w:r>
          </w:p>
          <w:p w14:paraId="06DF2B2E" w14:textId="44F7A082" w:rsidR="002B2D49" w:rsidRPr="005A6169" w:rsidRDefault="00A04AF7" w:rsidP="008D45EB">
            <w:pPr>
              <w:pStyle w:val="TableFigureHeading"/>
              <w:keepNext w:val="0"/>
              <w:widowControl w:val="0"/>
              <w:jc w:val="right"/>
              <w:rPr>
                <w:b w:val="0"/>
                <w:bCs w:val="0"/>
                <w:color w:val="000000" w:themeColor="text1"/>
              </w:rPr>
            </w:pPr>
            <w:r w:rsidRPr="0037711E">
              <w:rPr>
                <w:b w:val="0"/>
                <w:bCs w:val="0"/>
                <w:color w:val="000000" w:themeColor="text1"/>
              </w:rPr>
              <w:t>n (%)</w:t>
            </w:r>
          </w:p>
        </w:tc>
        <w:tc>
          <w:tcPr>
            <w:tcW w:w="3000" w:type="dxa"/>
          </w:tcPr>
          <w:p w14:paraId="1ABF35ED" w14:textId="77777777" w:rsidR="002B2D49" w:rsidRDefault="002B2D49" w:rsidP="008D45EB">
            <w:pPr>
              <w:pStyle w:val="TableFigureHeading"/>
              <w:keepNext w:val="0"/>
              <w:widowControl w:val="0"/>
              <w:rPr>
                <w:b w:val="0"/>
                <w:bCs w:val="0"/>
                <w:color w:val="000000" w:themeColor="text1"/>
              </w:rPr>
            </w:pPr>
          </w:p>
          <w:p w14:paraId="5C654ACB" w14:textId="77777777" w:rsidR="00A04AF7" w:rsidRDefault="00A04AF7" w:rsidP="008D45EB">
            <w:pPr>
              <w:pStyle w:val="TableFigureHeading"/>
              <w:keepNext w:val="0"/>
              <w:widowControl w:val="0"/>
              <w:rPr>
                <w:b w:val="0"/>
                <w:bCs w:val="0"/>
                <w:color w:val="000000" w:themeColor="text1"/>
              </w:rPr>
            </w:pPr>
          </w:p>
          <w:p w14:paraId="3A882FD8" w14:textId="4EBAC08B" w:rsidR="00A04AF7" w:rsidRPr="005A6169" w:rsidRDefault="00A04AF7" w:rsidP="008D45EB">
            <w:pPr>
              <w:pStyle w:val="TableFigureHeading"/>
              <w:keepNext w:val="0"/>
              <w:widowControl w:val="0"/>
              <w:rPr>
                <w:b w:val="0"/>
                <w:bCs w:val="0"/>
                <w:color w:val="000000" w:themeColor="text1"/>
              </w:rPr>
            </w:pPr>
            <w:r>
              <w:rPr>
                <w:b w:val="0"/>
                <w:bCs w:val="0"/>
                <w:color w:val="000000" w:themeColor="text1"/>
              </w:rPr>
              <w:t>78 (75%)</w:t>
            </w:r>
          </w:p>
        </w:tc>
        <w:tc>
          <w:tcPr>
            <w:tcW w:w="2782" w:type="dxa"/>
          </w:tcPr>
          <w:p w14:paraId="6784BFA9" w14:textId="77777777" w:rsidR="002B2D49" w:rsidRDefault="002B2D49" w:rsidP="008D45EB">
            <w:pPr>
              <w:pStyle w:val="TableFigureHeading"/>
              <w:keepNext w:val="0"/>
              <w:widowControl w:val="0"/>
              <w:rPr>
                <w:b w:val="0"/>
                <w:bCs w:val="0"/>
                <w:color w:val="000000" w:themeColor="text1"/>
              </w:rPr>
            </w:pPr>
          </w:p>
          <w:p w14:paraId="6F93B4CA" w14:textId="77777777" w:rsidR="00A04AF7" w:rsidRDefault="00A04AF7" w:rsidP="008D45EB">
            <w:pPr>
              <w:pStyle w:val="TableFigureHeading"/>
              <w:keepNext w:val="0"/>
              <w:widowControl w:val="0"/>
              <w:rPr>
                <w:b w:val="0"/>
                <w:bCs w:val="0"/>
                <w:color w:val="000000" w:themeColor="text1"/>
              </w:rPr>
            </w:pPr>
          </w:p>
          <w:p w14:paraId="15A04AC9" w14:textId="685BB703" w:rsidR="00A04AF7" w:rsidRPr="005A6169" w:rsidRDefault="00A04AF7" w:rsidP="008D45EB">
            <w:pPr>
              <w:pStyle w:val="TableFigureHeading"/>
              <w:keepNext w:val="0"/>
              <w:widowControl w:val="0"/>
              <w:rPr>
                <w:b w:val="0"/>
                <w:bCs w:val="0"/>
                <w:color w:val="000000" w:themeColor="text1"/>
              </w:rPr>
            </w:pPr>
            <w:r>
              <w:rPr>
                <w:b w:val="0"/>
                <w:bCs w:val="0"/>
                <w:color w:val="000000" w:themeColor="text1"/>
              </w:rPr>
              <w:t>27 (25%)</w:t>
            </w:r>
          </w:p>
        </w:tc>
      </w:tr>
      <w:tr w:rsidR="00A55C0F" w:rsidRPr="00C34C12" w14:paraId="57661479" w14:textId="77777777" w:rsidTr="00006DD3">
        <w:tc>
          <w:tcPr>
            <w:tcW w:w="3235" w:type="dxa"/>
          </w:tcPr>
          <w:p w14:paraId="0F5F4C43" w14:textId="3DBCD02E" w:rsidR="00A55C0F" w:rsidRDefault="00A55C0F" w:rsidP="008D45EB">
            <w:pPr>
              <w:pStyle w:val="TableFigureHeading"/>
              <w:keepNext w:val="0"/>
              <w:widowControl w:val="0"/>
              <w:rPr>
                <w:b w:val="0"/>
                <w:bCs w:val="0"/>
                <w:color w:val="000000" w:themeColor="text1"/>
              </w:rPr>
            </w:pPr>
            <w:r>
              <w:rPr>
                <w:b w:val="0"/>
                <w:bCs w:val="0"/>
                <w:color w:val="000000" w:themeColor="text1"/>
              </w:rPr>
              <w:t>BL DLQI, Mean (SD)</w:t>
            </w:r>
          </w:p>
        </w:tc>
        <w:tc>
          <w:tcPr>
            <w:tcW w:w="3000" w:type="dxa"/>
          </w:tcPr>
          <w:p w14:paraId="55FD6102" w14:textId="1D88CAE4" w:rsidR="00A55C0F" w:rsidRDefault="00A55C0F" w:rsidP="008D45EB">
            <w:pPr>
              <w:pStyle w:val="TableFigureHeading"/>
              <w:keepNext w:val="0"/>
              <w:widowControl w:val="0"/>
              <w:rPr>
                <w:b w:val="0"/>
                <w:bCs w:val="0"/>
                <w:color w:val="000000" w:themeColor="text1"/>
              </w:rPr>
            </w:pPr>
            <w:r>
              <w:rPr>
                <w:b w:val="0"/>
                <w:bCs w:val="0"/>
                <w:color w:val="000000" w:themeColor="text1"/>
              </w:rPr>
              <w:t>7.8 (5.3)</w:t>
            </w:r>
          </w:p>
        </w:tc>
        <w:tc>
          <w:tcPr>
            <w:tcW w:w="2782" w:type="dxa"/>
          </w:tcPr>
          <w:p w14:paraId="747F6C2E" w14:textId="0BBB4F0A" w:rsidR="00A55C0F" w:rsidRDefault="00A55C0F" w:rsidP="008D45EB">
            <w:pPr>
              <w:pStyle w:val="TableFigureHeading"/>
              <w:keepNext w:val="0"/>
              <w:widowControl w:val="0"/>
              <w:rPr>
                <w:b w:val="0"/>
                <w:bCs w:val="0"/>
                <w:color w:val="000000" w:themeColor="text1"/>
              </w:rPr>
            </w:pPr>
            <w:r>
              <w:rPr>
                <w:b w:val="0"/>
                <w:bCs w:val="0"/>
                <w:color w:val="000000" w:themeColor="text1"/>
              </w:rPr>
              <w:t>7.8 (5.7)</w:t>
            </w:r>
          </w:p>
        </w:tc>
      </w:tr>
      <w:tr w:rsidR="00A55C0F" w:rsidRPr="00C34C12" w14:paraId="1E369C03" w14:textId="77777777" w:rsidTr="00006DD3">
        <w:tc>
          <w:tcPr>
            <w:tcW w:w="3235" w:type="dxa"/>
          </w:tcPr>
          <w:p w14:paraId="77556DA1" w14:textId="6FB0010D" w:rsidR="00A55C0F" w:rsidRDefault="00A55C0F" w:rsidP="008D45EB">
            <w:pPr>
              <w:pStyle w:val="TableFigureHeading"/>
              <w:keepNext w:val="0"/>
              <w:widowControl w:val="0"/>
              <w:rPr>
                <w:b w:val="0"/>
                <w:bCs w:val="0"/>
                <w:color w:val="000000" w:themeColor="text1"/>
              </w:rPr>
            </w:pPr>
            <w:r>
              <w:rPr>
                <w:b w:val="0"/>
                <w:bCs w:val="0"/>
                <w:color w:val="000000" w:themeColor="text1"/>
              </w:rPr>
              <w:t>DLQI CFB to 4 weeks, Mean (SD)</w:t>
            </w:r>
          </w:p>
        </w:tc>
        <w:tc>
          <w:tcPr>
            <w:tcW w:w="3000" w:type="dxa"/>
          </w:tcPr>
          <w:p w14:paraId="235BA922" w14:textId="337AEC77" w:rsidR="00A55C0F" w:rsidRDefault="00275DCD" w:rsidP="008D45EB">
            <w:pPr>
              <w:pStyle w:val="TableFigureHeading"/>
              <w:keepNext w:val="0"/>
              <w:widowControl w:val="0"/>
              <w:rPr>
                <w:b w:val="0"/>
                <w:bCs w:val="0"/>
                <w:color w:val="000000" w:themeColor="text1"/>
              </w:rPr>
            </w:pPr>
            <w:r>
              <w:rPr>
                <w:b w:val="0"/>
                <w:bCs w:val="0"/>
                <w:color w:val="000000" w:themeColor="text1"/>
              </w:rPr>
              <w:t>-</w:t>
            </w:r>
            <w:r w:rsidR="00A55C0F">
              <w:rPr>
                <w:b w:val="0"/>
                <w:bCs w:val="0"/>
                <w:color w:val="000000" w:themeColor="text1"/>
              </w:rPr>
              <w:t>5.6 (4.8)</w:t>
            </w:r>
          </w:p>
        </w:tc>
        <w:tc>
          <w:tcPr>
            <w:tcW w:w="2782" w:type="dxa"/>
          </w:tcPr>
          <w:p w14:paraId="0E74498F" w14:textId="3BA0D630" w:rsidR="00A55C0F" w:rsidRDefault="00275DCD" w:rsidP="008D45EB">
            <w:pPr>
              <w:pStyle w:val="TableFigureHeading"/>
              <w:keepNext w:val="0"/>
              <w:widowControl w:val="0"/>
              <w:rPr>
                <w:b w:val="0"/>
                <w:bCs w:val="0"/>
                <w:color w:val="000000" w:themeColor="text1"/>
              </w:rPr>
            </w:pPr>
            <w:r>
              <w:rPr>
                <w:b w:val="0"/>
                <w:bCs w:val="0"/>
                <w:color w:val="000000" w:themeColor="text1"/>
              </w:rPr>
              <w:t>-</w:t>
            </w:r>
            <w:r w:rsidR="00A55C0F">
              <w:rPr>
                <w:b w:val="0"/>
                <w:bCs w:val="0"/>
                <w:color w:val="000000" w:themeColor="text1"/>
              </w:rPr>
              <w:t>1.6 (4.5)</w:t>
            </w:r>
          </w:p>
        </w:tc>
      </w:tr>
      <w:tr w:rsidR="00A04AF7" w:rsidRPr="00C34C12" w14:paraId="5DF5DCCB" w14:textId="77777777" w:rsidTr="00834893">
        <w:tc>
          <w:tcPr>
            <w:tcW w:w="9017" w:type="dxa"/>
            <w:gridSpan w:val="3"/>
          </w:tcPr>
          <w:p w14:paraId="1178AF9D" w14:textId="1345BE97" w:rsidR="00A04AF7" w:rsidRPr="00A04AF7" w:rsidRDefault="00A04AF7" w:rsidP="008D45EB">
            <w:pPr>
              <w:pStyle w:val="TableFigureHeading"/>
              <w:keepNext w:val="0"/>
              <w:widowControl w:val="0"/>
              <w:rPr>
                <w:color w:val="000000" w:themeColor="text1"/>
              </w:rPr>
            </w:pPr>
            <w:r w:rsidRPr="00A04AF7">
              <w:rPr>
                <w:color w:val="000000" w:themeColor="text1"/>
              </w:rPr>
              <w:t>Heckmann, 2001</w:t>
            </w:r>
          </w:p>
        </w:tc>
      </w:tr>
      <w:tr w:rsidR="002B2D49" w:rsidRPr="00C34C12" w14:paraId="3DBC6AEC" w14:textId="77777777" w:rsidTr="00006DD3">
        <w:tc>
          <w:tcPr>
            <w:tcW w:w="3235" w:type="dxa"/>
          </w:tcPr>
          <w:p w14:paraId="3C2451E1" w14:textId="77777777" w:rsidR="002B2D49" w:rsidRPr="005A6169" w:rsidRDefault="002B2D49" w:rsidP="008D45EB">
            <w:pPr>
              <w:pStyle w:val="TableFigureHeading"/>
              <w:keepNext w:val="0"/>
              <w:widowControl w:val="0"/>
              <w:rPr>
                <w:b w:val="0"/>
                <w:bCs w:val="0"/>
                <w:color w:val="000000" w:themeColor="text1"/>
              </w:rPr>
            </w:pPr>
          </w:p>
        </w:tc>
        <w:tc>
          <w:tcPr>
            <w:tcW w:w="3000" w:type="dxa"/>
          </w:tcPr>
          <w:p w14:paraId="5866016C" w14:textId="7F4EEEBB" w:rsidR="002B2D49" w:rsidRPr="003907BB" w:rsidRDefault="00A04AF7" w:rsidP="008D45EB">
            <w:pPr>
              <w:pStyle w:val="TableFigureHeading"/>
              <w:keepNext w:val="0"/>
              <w:widowControl w:val="0"/>
              <w:rPr>
                <w:color w:val="000000" w:themeColor="text1"/>
              </w:rPr>
            </w:pPr>
            <w:r w:rsidRPr="003907BB">
              <w:rPr>
                <w:color w:val="000000" w:themeColor="text1"/>
              </w:rPr>
              <w:t>Axillae Treated with Botulinum Toxin, N = 145</w:t>
            </w:r>
          </w:p>
        </w:tc>
        <w:tc>
          <w:tcPr>
            <w:tcW w:w="2782" w:type="dxa"/>
          </w:tcPr>
          <w:p w14:paraId="5C518086" w14:textId="2B76238C" w:rsidR="002B2D49" w:rsidRPr="003907BB" w:rsidRDefault="00A04AF7" w:rsidP="008D45EB">
            <w:pPr>
              <w:pStyle w:val="TableFigureHeading"/>
              <w:keepNext w:val="0"/>
              <w:widowControl w:val="0"/>
              <w:rPr>
                <w:color w:val="000000" w:themeColor="text1"/>
              </w:rPr>
            </w:pPr>
            <w:r w:rsidRPr="003907BB">
              <w:rPr>
                <w:color w:val="000000" w:themeColor="text1"/>
              </w:rPr>
              <w:t>Axillae Treated with Placebo, N = 145</w:t>
            </w:r>
          </w:p>
        </w:tc>
      </w:tr>
      <w:tr w:rsidR="002B2D49" w:rsidRPr="00C34C12" w14:paraId="2499B8F5" w14:textId="77777777" w:rsidTr="00006DD3">
        <w:tc>
          <w:tcPr>
            <w:tcW w:w="3235" w:type="dxa"/>
          </w:tcPr>
          <w:p w14:paraId="44724CB5" w14:textId="05B0776F" w:rsidR="002B2D49" w:rsidRDefault="00A04AF7" w:rsidP="008D45EB">
            <w:pPr>
              <w:pStyle w:val="TableFigureHeading"/>
              <w:keepNext w:val="0"/>
              <w:widowControl w:val="0"/>
              <w:rPr>
                <w:b w:val="0"/>
                <w:bCs w:val="0"/>
                <w:color w:val="000000" w:themeColor="text1"/>
              </w:rPr>
            </w:pPr>
            <w:r>
              <w:rPr>
                <w:b w:val="0"/>
                <w:bCs w:val="0"/>
                <w:color w:val="000000" w:themeColor="text1"/>
              </w:rPr>
              <w:t>Baseline Sweat Production, mg/min</w:t>
            </w:r>
            <w:r w:rsidR="00AA0907" w:rsidRPr="00AA0907">
              <w:rPr>
                <w:b w:val="0"/>
                <w:bCs w:val="0"/>
                <w:color w:val="000000" w:themeColor="text1"/>
                <w:vertAlign w:val="superscript"/>
              </w:rPr>
              <w:t>1</w:t>
            </w:r>
          </w:p>
          <w:p w14:paraId="005EBC33" w14:textId="17AECC08" w:rsidR="00A04AF7" w:rsidRPr="005A6169" w:rsidRDefault="00A04AF7" w:rsidP="008D45EB">
            <w:pPr>
              <w:pStyle w:val="TableFigureHeading"/>
              <w:keepNext w:val="0"/>
              <w:widowControl w:val="0"/>
              <w:rPr>
                <w:b w:val="0"/>
                <w:bCs w:val="0"/>
                <w:color w:val="000000" w:themeColor="text1"/>
              </w:rPr>
            </w:pPr>
            <w:r>
              <w:rPr>
                <w:b w:val="0"/>
                <w:bCs w:val="0"/>
                <w:color w:val="000000" w:themeColor="text1"/>
              </w:rPr>
              <w:t>Mean</w:t>
            </w:r>
          </w:p>
        </w:tc>
        <w:tc>
          <w:tcPr>
            <w:tcW w:w="3000" w:type="dxa"/>
          </w:tcPr>
          <w:p w14:paraId="5BACD2AA" w14:textId="77777777" w:rsidR="002B2D49" w:rsidRDefault="002B2D49" w:rsidP="008D45EB">
            <w:pPr>
              <w:pStyle w:val="TableFigureHeading"/>
              <w:keepNext w:val="0"/>
              <w:widowControl w:val="0"/>
              <w:rPr>
                <w:b w:val="0"/>
                <w:bCs w:val="0"/>
                <w:color w:val="000000" w:themeColor="text1"/>
              </w:rPr>
            </w:pPr>
          </w:p>
          <w:p w14:paraId="4D66A98C" w14:textId="3646325B" w:rsidR="00A04AF7" w:rsidRPr="005A6169" w:rsidRDefault="00A04AF7" w:rsidP="008D45EB">
            <w:pPr>
              <w:pStyle w:val="TableFigureHeading"/>
              <w:keepNext w:val="0"/>
              <w:widowControl w:val="0"/>
              <w:rPr>
                <w:b w:val="0"/>
                <w:bCs w:val="0"/>
                <w:color w:val="000000" w:themeColor="text1"/>
              </w:rPr>
            </w:pPr>
            <w:r>
              <w:rPr>
                <w:b w:val="0"/>
                <w:bCs w:val="0"/>
                <w:color w:val="000000" w:themeColor="text1"/>
              </w:rPr>
              <w:t xml:space="preserve">164 </w:t>
            </w:r>
          </w:p>
        </w:tc>
        <w:tc>
          <w:tcPr>
            <w:tcW w:w="2782" w:type="dxa"/>
          </w:tcPr>
          <w:p w14:paraId="1D74B74D" w14:textId="77777777" w:rsidR="002B2D49" w:rsidRDefault="002B2D49" w:rsidP="008D45EB">
            <w:pPr>
              <w:pStyle w:val="TableFigureHeading"/>
              <w:keepNext w:val="0"/>
              <w:widowControl w:val="0"/>
              <w:rPr>
                <w:b w:val="0"/>
                <w:bCs w:val="0"/>
                <w:color w:val="000000" w:themeColor="text1"/>
              </w:rPr>
            </w:pPr>
          </w:p>
          <w:p w14:paraId="76834277" w14:textId="64D876F5" w:rsidR="00A04AF7" w:rsidRPr="005A6169" w:rsidRDefault="00A04AF7" w:rsidP="008D45EB">
            <w:pPr>
              <w:pStyle w:val="TableFigureHeading"/>
              <w:keepNext w:val="0"/>
              <w:widowControl w:val="0"/>
              <w:rPr>
                <w:b w:val="0"/>
                <w:bCs w:val="0"/>
                <w:color w:val="000000" w:themeColor="text1"/>
              </w:rPr>
            </w:pPr>
            <w:r>
              <w:rPr>
                <w:b w:val="0"/>
                <w:bCs w:val="0"/>
                <w:color w:val="000000" w:themeColor="text1"/>
              </w:rPr>
              <w:t>174</w:t>
            </w:r>
          </w:p>
        </w:tc>
      </w:tr>
      <w:tr w:rsidR="002B2D49" w:rsidRPr="00C34C12" w14:paraId="308C3ED3" w14:textId="77777777" w:rsidTr="00006DD3">
        <w:tc>
          <w:tcPr>
            <w:tcW w:w="3235" w:type="dxa"/>
          </w:tcPr>
          <w:p w14:paraId="65612B9C" w14:textId="329E6221" w:rsidR="00A04AF7" w:rsidRDefault="00A04AF7" w:rsidP="008D45EB">
            <w:pPr>
              <w:pStyle w:val="TableFigureHeading"/>
              <w:keepNext w:val="0"/>
              <w:widowControl w:val="0"/>
              <w:rPr>
                <w:b w:val="0"/>
                <w:bCs w:val="0"/>
                <w:color w:val="000000" w:themeColor="text1"/>
              </w:rPr>
            </w:pPr>
            <w:r>
              <w:rPr>
                <w:b w:val="0"/>
                <w:bCs w:val="0"/>
                <w:color w:val="000000" w:themeColor="text1"/>
              </w:rPr>
              <w:t xml:space="preserve">Sweat Production at 2 weeks, </w:t>
            </w:r>
            <w:r w:rsidR="004E5748">
              <w:rPr>
                <w:b w:val="0"/>
                <w:bCs w:val="0"/>
                <w:color w:val="000000" w:themeColor="text1"/>
              </w:rPr>
              <w:t>mg/min</w:t>
            </w:r>
          </w:p>
          <w:p w14:paraId="485E89AB" w14:textId="77777777" w:rsidR="002B2D49" w:rsidRDefault="00A04AF7" w:rsidP="008D45EB">
            <w:pPr>
              <w:pStyle w:val="TableFigureHeading"/>
              <w:keepNext w:val="0"/>
              <w:widowControl w:val="0"/>
              <w:rPr>
                <w:b w:val="0"/>
                <w:bCs w:val="0"/>
                <w:color w:val="000000" w:themeColor="text1"/>
              </w:rPr>
            </w:pPr>
            <w:r>
              <w:rPr>
                <w:b w:val="0"/>
                <w:bCs w:val="0"/>
                <w:color w:val="000000" w:themeColor="text1"/>
              </w:rPr>
              <w:t>Mean (SD)</w:t>
            </w:r>
          </w:p>
          <w:p w14:paraId="3E24C987" w14:textId="77777777" w:rsidR="00A04AF7" w:rsidRDefault="00A04AF7" w:rsidP="008D45EB">
            <w:pPr>
              <w:pStyle w:val="TableFigureHeading"/>
              <w:keepNext w:val="0"/>
              <w:widowControl w:val="0"/>
              <w:rPr>
                <w:b w:val="0"/>
                <w:bCs w:val="0"/>
                <w:color w:val="000000" w:themeColor="text1"/>
              </w:rPr>
            </w:pPr>
            <w:r>
              <w:rPr>
                <w:b w:val="0"/>
                <w:bCs w:val="0"/>
                <w:color w:val="000000" w:themeColor="text1"/>
              </w:rPr>
              <w:t>Mean (95% CI) Difference vs Placebo</w:t>
            </w:r>
          </w:p>
          <w:p w14:paraId="38594DDF" w14:textId="0420BBFC" w:rsidR="004E5748" w:rsidRPr="005A6169" w:rsidRDefault="004E5748" w:rsidP="008D45EB">
            <w:pPr>
              <w:pStyle w:val="TableFigureHeading"/>
              <w:keepNext w:val="0"/>
              <w:widowControl w:val="0"/>
              <w:rPr>
                <w:b w:val="0"/>
                <w:bCs w:val="0"/>
                <w:color w:val="000000" w:themeColor="text1"/>
              </w:rPr>
            </w:pPr>
            <w:r>
              <w:rPr>
                <w:b w:val="0"/>
                <w:bCs w:val="0"/>
                <w:color w:val="000000" w:themeColor="text1"/>
              </w:rPr>
              <w:t>P value</w:t>
            </w:r>
          </w:p>
        </w:tc>
        <w:tc>
          <w:tcPr>
            <w:tcW w:w="3000" w:type="dxa"/>
          </w:tcPr>
          <w:p w14:paraId="301551D9" w14:textId="77777777" w:rsidR="002B2D49" w:rsidRDefault="002B2D49" w:rsidP="008D45EB">
            <w:pPr>
              <w:pStyle w:val="TableFigureHeading"/>
              <w:keepNext w:val="0"/>
              <w:widowControl w:val="0"/>
              <w:rPr>
                <w:b w:val="0"/>
                <w:bCs w:val="0"/>
                <w:color w:val="000000" w:themeColor="text1"/>
              </w:rPr>
            </w:pPr>
          </w:p>
          <w:p w14:paraId="0EAB9753" w14:textId="77777777" w:rsidR="00A04AF7" w:rsidRPr="00A55C0F" w:rsidRDefault="004E5748" w:rsidP="008D45EB">
            <w:pPr>
              <w:pStyle w:val="TableFigureHeading"/>
              <w:keepNext w:val="0"/>
              <w:widowControl w:val="0"/>
              <w:rPr>
                <w:color w:val="000000" w:themeColor="text1"/>
              </w:rPr>
            </w:pPr>
            <w:r w:rsidRPr="00A55C0F">
              <w:rPr>
                <w:color w:val="000000" w:themeColor="text1"/>
              </w:rPr>
              <w:t>24 (27)</w:t>
            </w:r>
          </w:p>
          <w:p w14:paraId="63DF9940" w14:textId="5A174E05" w:rsidR="004E5748" w:rsidRPr="00A55C0F" w:rsidRDefault="004E5748" w:rsidP="008D45EB">
            <w:pPr>
              <w:pStyle w:val="TableFigureHeading"/>
              <w:keepNext w:val="0"/>
              <w:widowControl w:val="0"/>
              <w:rPr>
                <w:color w:val="000000" w:themeColor="text1"/>
              </w:rPr>
            </w:pPr>
            <w:r w:rsidRPr="00A55C0F">
              <w:rPr>
                <w:color w:val="000000" w:themeColor="text1"/>
              </w:rPr>
              <w:t>11</w:t>
            </w:r>
            <w:r w:rsidR="00C20959" w:rsidRPr="00A55C0F">
              <w:rPr>
                <w:color w:val="000000" w:themeColor="text1"/>
              </w:rPr>
              <w:t>1</w:t>
            </w:r>
            <w:r w:rsidRPr="00A55C0F">
              <w:rPr>
                <w:color w:val="000000" w:themeColor="text1"/>
              </w:rPr>
              <w:t xml:space="preserve"> (91, 132) </w:t>
            </w:r>
          </w:p>
          <w:p w14:paraId="550D26B2" w14:textId="37B4AEA6" w:rsidR="004E5748" w:rsidRPr="005A6169" w:rsidRDefault="004E5748" w:rsidP="008D45EB">
            <w:pPr>
              <w:pStyle w:val="TableFigureHeading"/>
              <w:keepNext w:val="0"/>
              <w:widowControl w:val="0"/>
              <w:rPr>
                <w:b w:val="0"/>
                <w:bCs w:val="0"/>
                <w:color w:val="000000" w:themeColor="text1"/>
              </w:rPr>
            </w:pPr>
            <w:r w:rsidRPr="00A55C0F">
              <w:rPr>
                <w:color w:val="000000" w:themeColor="text1"/>
              </w:rPr>
              <w:t>&lt;</w:t>
            </w:r>
            <w:r w:rsidR="001063F0">
              <w:rPr>
                <w:color w:val="000000" w:themeColor="text1"/>
              </w:rPr>
              <w:t xml:space="preserve"> </w:t>
            </w:r>
            <w:r w:rsidRPr="00A55C0F">
              <w:rPr>
                <w:color w:val="000000" w:themeColor="text1"/>
              </w:rPr>
              <w:t>0.001</w:t>
            </w:r>
          </w:p>
        </w:tc>
        <w:tc>
          <w:tcPr>
            <w:tcW w:w="2782" w:type="dxa"/>
          </w:tcPr>
          <w:p w14:paraId="3DD72610" w14:textId="77777777" w:rsidR="002B2D49" w:rsidRDefault="002B2D49" w:rsidP="008D45EB">
            <w:pPr>
              <w:pStyle w:val="TableFigureHeading"/>
              <w:keepNext w:val="0"/>
              <w:widowControl w:val="0"/>
              <w:rPr>
                <w:b w:val="0"/>
                <w:bCs w:val="0"/>
                <w:color w:val="000000" w:themeColor="text1"/>
              </w:rPr>
            </w:pPr>
          </w:p>
          <w:p w14:paraId="437535FD" w14:textId="77777777" w:rsidR="004E5748" w:rsidRDefault="004E5748" w:rsidP="008D45EB">
            <w:pPr>
              <w:pStyle w:val="TableFigureHeading"/>
              <w:keepNext w:val="0"/>
              <w:widowControl w:val="0"/>
              <w:rPr>
                <w:b w:val="0"/>
                <w:bCs w:val="0"/>
                <w:color w:val="000000" w:themeColor="text1"/>
              </w:rPr>
            </w:pPr>
            <w:r>
              <w:rPr>
                <w:b w:val="0"/>
                <w:bCs w:val="0"/>
                <w:color w:val="000000" w:themeColor="text1"/>
              </w:rPr>
              <w:t>144 (113)</w:t>
            </w:r>
          </w:p>
          <w:p w14:paraId="684FE6ED" w14:textId="77777777" w:rsidR="004E5748" w:rsidRDefault="004E5748" w:rsidP="008D45EB">
            <w:pPr>
              <w:pStyle w:val="TableFigureHeading"/>
              <w:keepNext w:val="0"/>
              <w:widowControl w:val="0"/>
              <w:rPr>
                <w:b w:val="0"/>
                <w:bCs w:val="0"/>
                <w:color w:val="000000" w:themeColor="text1"/>
              </w:rPr>
            </w:pPr>
            <w:r>
              <w:rPr>
                <w:b w:val="0"/>
                <w:bCs w:val="0"/>
                <w:color w:val="000000" w:themeColor="text1"/>
              </w:rPr>
              <w:t>-</w:t>
            </w:r>
          </w:p>
          <w:p w14:paraId="74926DD3" w14:textId="5C5B021D" w:rsidR="004E5748" w:rsidRPr="005A6169" w:rsidRDefault="004E5748" w:rsidP="008D45EB">
            <w:pPr>
              <w:pStyle w:val="TableFigureHeading"/>
              <w:keepNext w:val="0"/>
              <w:widowControl w:val="0"/>
              <w:rPr>
                <w:b w:val="0"/>
                <w:bCs w:val="0"/>
                <w:color w:val="000000" w:themeColor="text1"/>
              </w:rPr>
            </w:pPr>
            <w:r>
              <w:rPr>
                <w:b w:val="0"/>
                <w:bCs w:val="0"/>
                <w:color w:val="000000" w:themeColor="text1"/>
              </w:rPr>
              <w:t>-</w:t>
            </w:r>
          </w:p>
        </w:tc>
      </w:tr>
      <w:tr w:rsidR="002B2D49" w:rsidRPr="00C34C12" w14:paraId="069542E3" w14:textId="77777777" w:rsidTr="00006DD3">
        <w:tc>
          <w:tcPr>
            <w:tcW w:w="3235" w:type="dxa"/>
          </w:tcPr>
          <w:p w14:paraId="0AC82E24" w14:textId="77777777" w:rsidR="004E5748" w:rsidRDefault="004E5748" w:rsidP="008D45EB">
            <w:pPr>
              <w:pStyle w:val="TableFigureHeading"/>
              <w:keepNext w:val="0"/>
              <w:widowControl w:val="0"/>
              <w:rPr>
                <w:b w:val="0"/>
                <w:bCs w:val="0"/>
                <w:color w:val="000000" w:themeColor="text1"/>
              </w:rPr>
            </w:pPr>
            <w:r>
              <w:rPr>
                <w:b w:val="0"/>
                <w:bCs w:val="0"/>
                <w:color w:val="000000" w:themeColor="text1"/>
              </w:rPr>
              <w:t xml:space="preserve">Patients with </w:t>
            </w:r>
            <w:r>
              <w:rPr>
                <w:b w:val="0"/>
                <w:bCs w:val="0"/>
                <w:color w:val="000000" w:themeColor="text1"/>
              </w:rPr>
              <w:sym w:font="Symbol" w:char="F0B3"/>
            </w:r>
            <w:r>
              <w:rPr>
                <w:b w:val="0"/>
                <w:bCs w:val="0"/>
                <w:color w:val="000000" w:themeColor="text1"/>
              </w:rPr>
              <w:t>50% Reduction in Sweat Production, BL to 2 weeks,</w:t>
            </w:r>
          </w:p>
          <w:p w14:paraId="0F52F235" w14:textId="138FB2B9" w:rsidR="002B2D49" w:rsidRPr="005A6169" w:rsidRDefault="004E5748" w:rsidP="008D45EB">
            <w:pPr>
              <w:pStyle w:val="TableFigureHeading"/>
              <w:keepNext w:val="0"/>
              <w:widowControl w:val="0"/>
              <w:rPr>
                <w:b w:val="0"/>
                <w:bCs w:val="0"/>
                <w:color w:val="000000" w:themeColor="text1"/>
              </w:rPr>
            </w:pPr>
            <w:r>
              <w:rPr>
                <w:b w:val="0"/>
                <w:bCs w:val="0"/>
                <w:color w:val="000000" w:themeColor="text1"/>
              </w:rPr>
              <w:t>n (%)</w:t>
            </w:r>
          </w:p>
        </w:tc>
        <w:tc>
          <w:tcPr>
            <w:tcW w:w="3000" w:type="dxa"/>
          </w:tcPr>
          <w:p w14:paraId="35EBCE2A" w14:textId="77777777" w:rsidR="004E5748" w:rsidRDefault="004E5748" w:rsidP="008D45EB">
            <w:pPr>
              <w:pStyle w:val="TableFigureHeading"/>
              <w:keepNext w:val="0"/>
              <w:widowControl w:val="0"/>
              <w:rPr>
                <w:b w:val="0"/>
                <w:bCs w:val="0"/>
                <w:color w:val="000000" w:themeColor="text1"/>
              </w:rPr>
            </w:pPr>
          </w:p>
          <w:p w14:paraId="3156070E" w14:textId="77777777" w:rsidR="004E5748" w:rsidRDefault="004E5748" w:rsidP="008D45EB">
            <w:pPr>
              <w:pStyle w:val="TableFigureHeading"/>
              <w:keepNext w:val="0"/>
              <w:widowControl w:val="0"/>
              <w:rPr>
                <w:b w:val="0"/>
                <w:bCs w:val="0"/>
                <w:color w:val="000000" w:themeColor="text1"/>
              </w:rPr>
            </w:pPr>
          </w:p>
          <w:p w14:paraId="7C228EA7" w14:textId="3C9EC0C5" w:rsidR="002B2D49" w:rsidRPr="005A6169" w:rsidRDefault="004E5748" w:rsidP="008D45EB">
            <w:pPr>
              <w:pStyle w:val="TableFigureHeading"/>
              <w:keepNext w:val="0"/>
              <w:widowControl w:val="0"/>
              <w:rPr>
                <w:b w:val="0"/>
                <w:bCs w:val="0"/>
                <w:color w:val="000000" w:themeColor="text1"/>
              </w:rPr>
            </w:pPr>
            <w:r>
              <w:rPr>
                <w:b w:val="0"/>
                <w:bCs w:val="0"/>
                <w:color w:val="000000" w:themeColor="text1"/>
              </w:rPr>
              <w:t>134 (92.4%)</w:t>
            </w:r>
          </w:p>
        </w:tc>
        <w:tc>
          <w:tcPr>
            <w:tcW w:w="2782" w:type="dxa"/>
          </w:tcPr>
          <w:p w14:paraId="0B789FB1" w14:textId="77777777" w:rsidR="004E5748" w:rsidRDefault="004E5748" w:rsidP="008D45EB">
            <w:pPr>
              <w:pStyle w:val="TableFigureHeading"/>
              <w:keepNext w:val="0"/>
              <w:widowControl w:val="0"/>
              <w:rPr>
                <w:b w:val="0"/>
                <w:bCs w:val="0"/>
                <w:color w:val="000000" w:themeColor="text1"/>
              </w:rPr>
            </w:pPr>
          </w:p>
          <w:p w14:paraId="1ED68F11" w14:textId="77777777" w:rsidR="004E5748" w:rsidRDefault="004E5748" w:rsidP="008D45EB">
            <w:pPr>
              <w:pStyle w:val="TableFigureHeading"/>
              <w:keepNext w:val="0"/>
              <w:widowControl w:val="0"/>
              <w:rPr>
                <w:b w:val="0"/>
                <w:bCs w:val="0"/>
                <w:color w:val="000000" w:themeColor="text1"/>
              </w:rPr>
            </w:pPr>
          </w:p>
          <w:p w14:paraId="54C78DBC" w14:textId="4C59747C" w:rsidR="002B2D49" w:rsidRPr="005A6169" w:rsidRDefault="004E5748" w:rsidP="008D45EB">
            <w:pPr>
              <w:pStyle w:val="TableFigureHeading"/>
              <w:keepNext w:val="0"/>
              <w:widowControl w:val="0"/>
              <w:rPr>
                <w:b w:val="0"/>
                <w:bCs w:val="0"/>
                <w:color w:val="000000" w:themeColor="text1"/>
              </w:rPr>
            </w:pPr>
            <w:r>
              <w:rPr>
                <w:b w:val="0"/>
                <w:bCs w:val="0"/>
                <w:color w:val="000000" w:themeColor="text1"/>
              </w:rPr>
              <w:t>22 (15.2%)</w:t>
            </w:r>
          </w:p>
        </w:tc>
      </w:tr>
      <w:tr w:rsidR="002B2D49" w:rsidRPr="00C34C12" w14:paraId="15DDFFBA" w14:textId="77777777" w:rsidTr="00006DD3">
        <w:tc>
          <w:tcPr>
            <w:tcW w:w="3235" w:type="dxa"/>
          </w:tcPr>
          <w:p w14:paraId="0A469F3F" w14:textId="77777777" w:rsidR="004E5748" w:rsidRDefault="004E5748" w:rsidP="008D45EB">
            <w:pPr>
              <w:pStyle w:val="TableFigureHeading"/>
              <w:keepNext w:val="0"/>
              <w:widowControl w:val="0"/>
              <w:rPr>
                <w:b w:val="0"/>
                <w:bCs w:val="0"/>
                <w:color w:val="000000" w:themeColor="text1"/>
              </w:rPr>
            </w:pPr>
            <w:r>
              <w:rPr>
                <w:b w:val="0"/>
                <w:bCs w:val="0"/>
                <w:color w:val="000000" w:themeColor="text1"/>
              </w:rPr>
              <w:t xml:space="preserve">Patients with </w:t>
            </w:r>
            <w:r>
              <w:rPr>
                <w:b w:val="0"/>
                <w:bCs w:val="0"/>
                <w:color w:val="000000" w:themeColor="text1"/>
              </w:rPr>
              <w:sym w:font="Symbol" w:char="F0B3"/>
            </w:r>
            <w:r>
              <w:rPr>
                <w:b w:val="0"/>
                <w:bCs w:val="0"/>
                <w:color w:val="000000" w:themeColor="text1"/>
              </w:rPr>
              <w:t xml:space="preserve">75% Reduction in Sweat Production, BL to 2 weeks, </w:t>
            </w:r>
          </w:p>
          <w:p w14:paraId="2733ACEC" w14:textId="04B0B619" w:rsidR="002B2D49" w:rsidRPr="005A6169" w:rsidRDefault="004E5748" w:rsidP="008D45EB">
            <w:pPr>
              <w:pStyle w:val="TableFigureHeading"/>
              <w:keepNext w:val="0"/>
              <w:widowControl w:val="0"/>
              <w:rPr>
                <w:b w:val="0"/>
                <w:bCs w:val="0"/>
                <w:color w:val="000000" w:themeColor="text1"/>
              </w:rPr>
            </w:pPr>
            <w:r>
              <w:rPr>
                <w:b w:val="0"/>
                <w:bCs w:val="0"/>
                <w:color w:val="000000" w:themeColor="text1"/>
              </w:rPr>
              <w:t>n (%)</w:t>
            </w:r>
          </w:p>
        </w:tc>
        <w:tc>
          <w:tcPr>
            <w:tcW w:w="3000" w:type="dxa"/>
          </w:tcPr>
          <w:p w14:paraId="792C44A7" w14:textId="77777777" w:rsidR="002B2D49" w:rsidRDefault="002B2D49" w:rsidP="008D45EB">
            <w:pPr>
              <w:pStyle w:val="TableFigureHeading"/>
              <w:keepNext w:val="0"/>
              <w:widowControl w:val="0"/>
              <w:rPr>
                <w:b w:val="0"/>
                <w:bCs w:val="0"/>
                <w:color w:val="000000" w:themeColor="text1"/>
              </w:rPr>
            </w:pPr>
          </w:p>
          <w:p w14:paraId="05155FAF" w14:textId="77777777" w:rsidR="004E5748" w:rsidRDefault="004E5748" w:rsidP="008D45EB">
            <w:pPr>
              <w:pStyle w:val="TableFigureHeading"/>
              <w:keepNext w:val="0"/>
              <w:widowControl w:val="0"/>
              <w:rPr>
                <w:b w:val="0"/>
                <w:bCs w:val="0"/>
                <w:color w:val="000000" w:themeColor="text1"/>
              </w:rPr>
            </w:pPr>
          </w:p>
          <w:p w14:paraId="047DA4E4" w14:textId="25FF0DCC" w:rsidR="004E5748" w:rsidRPr="005A6169" w:rsidRDefault="004E5748" w:rsidP="008D45EB">
            <w:pPr>
              <w:pStyle w:val="TableFigureHeading"/>
              <w:keepNext w:val="0"/>
              <w:widowControl w:val="0"/>
              <w:rPr>
                <w:b w:val="0"/>
                <w:bCs w:val="0"/>
                <w:color w:val="000000" w:themeColor="text1"/>
              </w:rPr>
            </w:pPr>
            <w:r>
              <w:rPr>
                <w:b w:val="0"/>
                <w:bCs w:val="0"/>
                <w:color w:val="000000" w:themeColor="text1"/>
              </w:rPr>
              <w:t>114 (78.6%)</w:t>
            </w:r>
          </w:p>
        </w:tc>
        <w:tc>
          <w:tcPr>
            <w:tcW w:w="2782" w:type="dxa"/>
          </w:tcPr>
          <w:p w14:paraId="3DF5EF81" w14:textId="77777777" w:rsidR="002B2D49" w:rsidRDefault="002B2D49" w:rsidP="008D45EB">
            <w:pPr>
              <w:pStyle w:val="TableFigureHeading"/>
              <w:keepNext w:val="0"/>
              <w:widowControl w:val="0"/>
              <w:rPr>
                <w:b w:val="0"/>
                <w:bCs w:val="0"/>
                <w:color w:val="000000" w:themeColor="text1"/>
              </w:rPr>
            </w:pPr>
          </w:p>
          <w:p w14:paraId="465D5ADF" w14:textId="77777777" w:rsidR="004E5748" w:rsidRDefault="004E5748" w:rsidP="008D45EB">
            <w:pPr>
              <w:pStyle w:val="TableFigureHeading"/>
              <w:keepNext w:val="0"/>
              <w:widowControl w:val="0"/>
              <w:rPr>
                <w:b w:val="0"/>
                <w:bCs w:val="0"/>
                <w:color w:val="000000" w:themeColor="text1"/>
              </w:rPr>
            </w:pPr>
          </w:p>
          <w:p w14:paraId="632B796C" w14:textId="20E1EBF4" w:rsidR="004E5748" w:rsidRPr="005A6169" w:rsidRDefault="004E5748" w:rsidP="008D45EB">
            <w:pPr>
              <w:pStyle w:val="TableFigureHeading"/>
              <w:keepNext w:val="0"/>
              <w:widowControl w:val="0"/>
              <w:rPr>
                <w:b w:val="0"/>
                <w:bCs w:val="0"/>
                <w:color w:val="000000" w:themeColor="text1"/>
              </w:rPr>
            </w:pPr>
            <w:r>
              <w:rPr>
                <w:b w:val="0"/>
                <w:bCs w:val="0"/>
                <w:color w:val="000000" w:themeColor="text1"/>
              </w:rPr>
              <w:t>4 (2.8%)</w:t>
            </w:r>
          </w:p>
        </w:tc>
      </w:tr>
      <w:tr w:rsidR="004E5748" w:rsidRPr="00C34C12" w14:paraId="717CEECA" w14:textId="77777777" w:rsidTr="00834893">
        <w:tc>
          <w:tcPr>
            <w:tcW w:w="9017" w:type="dxa"/>
            <w:gridSpan w:val="3"/>
          </w:tcPr>
          <w:p w14:paraId="4839EE6F" w14:textId="25C7A389" w:rsidR="004E5748" w:rsidRPr="005A6169" w:rsidRDefault="004E5748" w:rsidP="008D45EB">
            <w:pPr>
              <w:pStyle w:val="TableFigureHeading"/>
              <w:keepNext w:val="0"/>
              <w:widowControl w:val="0"/>
              <w:rPr>
                <w:b w:val="0"/>
                <w:bCs w:val="0"/>
                <w:color w:val="000000" w:themeColor="text1"/>
              </w:rPr>
            </w:pPr>
            <w:r w:rsidRPr="00A853EE">
              <w:rPr>
                <w:rStyle w:val="padding-left-05"/>
                <w:bCs w:val="0"/>
                <w:sz w:val="18"/>
                <w:szCs w:val="18"/>
              </w:rPr>
              <w:t>NCT01128738</w:t>
            </w:r>
          </w:p>
        </w:tc>
      </w:tr>
      <w:tr w:rsidR="002B2D49" w:rsidRPr="00C34C12" w14:paraId="1B057746" w14:textId="77777777" w:rsidTr="00006DD3">
        <w:tc>
          <w:tcPr>
            <w:tcW w:w="3235" w:type="dxa"/>
          </w:tcPr>
          <w:p w14:paraId="60E1ACBF" w14:textId="77777777" w:rsidR="002B2D49" w:rsidRPr="005A6169" w:rsidRDefault="002B2D49" w:rsidP="008D45EB">
            <w:pPr>
              <w:pStyle w:val="TableFigureHeading"/>
              <w:keepNext w:val="0"/>
              <w:widowControl w:val="0"/>
              <w:rPr>
                <w:b w:val="0"/>
                <w:bCs w:val="0"/>
                <w:color w:val="000000" w:themeColor="text1"/>
              </w:rPr>
            </w:pPr>
          </w:p>
        </w:tc>
        <w:tc>
          <w:tcPr>
            <w:tcW w:w="3000" w:type="dxa"/>
          </w:tcPr>
          <w:p w14:paraId="4CAD14D8" w14:textId="1F9DABCB" w:rsidR="002B2D49" w:rsidRPr="004E5748" w:rsidRDefault="004E5748" w:rsidP="008D45EB">
            <w:pPr>
              <w:pStyle w:val="TableFigureHeading"/>
              <w:keepNext w:val="0"/>
              <w:widowControl w:val="0"/>
              <w:rPr>
                <w:color w:val="000000" w:themeColor="text1"/>
              </w:rPr>
            </w:pPr>
            <w:r w:rsidRPr="004E5748">
              <w:rPr>
                <w:color w:val="000000" w:themeColor="text1"/>
              </w:rPr>
              <w:t>Botulinum Toxin, N = 78</w:t>
            </w:r>
          </w:p>
        </w:tc>
        <w:tc>
          <w:tcPr>
            <w:tcW w:w="2782" w:type="dxa"/>
          </w:tcPr>
          <w:p w14:paraId="27058D2B" w14:textId="4BC9A84B" w:rsidR="002B2D49" w:rsidRPr="004E5748" w:rsidRDefault="004E5748" w:rsidP="008D45EB">
            <w:pPr>
              <w:pStyle w:val="TableFigureHeading"/>
              <w:keepNext w:val="0"/>
              <w:widowControl w:val="0"/>
              <w:rPr>
                <w:color w:val="000000" w:themeColor="text1"/>
              </w:rPr>
            </w:pPr>
            <w:r w:rsidRPr="004E5748">
              <w:rPr>
                <w:color w:val="000000" w:themeColor="text1"/>
              </w:rPr>
              <w:t>Placebo, N = 74</w:t>
            </w:r>
          </w:p>
        </w:tc>
      </w:tr>
      <w:tr w:rsidR="002B2D49" w:rsidRPr="00C34C12" w14:paraId="334CDC17" w14:textId="77777777" w:rsidTr="00006DD3">
        <w:tc>
          <w:tcPr>
            <w:tcW w:w="3235" w:type="dxa"/>
          </w:tcPr>
          <w:p w14:paraId="0BCBFCE2" w14:textId="77777777" w:rsidR="002B2D49" w:rsidRDefault="00047729" w:rsidP="008D45EB">
            <w:pPr>
              <w:pStyle w:val="TableFigureHeading"/>
              <w:keepNext w:val="0"/>
              <w:widowControl w:val="0"/>
              <w:rPr>
                <w:b w:val="0"/>
                <w:bCs w:val="0"/>
                <w:color w:val="000000" w:themeColor="text1"/>
              </w:rPr>
            </w:pPr>
            <w:r>
              <w:rPr>
                <w:b w:val="0"/>
                <w:bCs w:val="0"/>
                <w:color w:val="000000" w:themeColor="text1"/>
              </w:rPr>
              <w:t>BL Sweat Production, mg/5min</w:t>
            </w:r>
          </w:p>
          <w:p w14:paraId="3BBD8B4D" w14:textId="06051A81"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Mean (SD)</w:t>
            </w:r>
          </w:p>
        </w:tc>
        <w:tc>
          <w:tcPr>
            <w:tcW w:w="3000" w:type="dxa"/>
          </w:tcPr>
          <w:p w14:paraId="1D64D328" w14:textId="77777777" w:rsidR="002B2D49" w:rsidRDefault="002B2D49" w:rsidP="008D45EB">
            <w:pPr>
              <w:pStyle w:val="TableFigureHeading"/>
              <w:keepNext w:val="0"/>
              <w:widowControl w:val="0"/>
              <w:rPr>
                <w:b w:val="0"/>
                <w:bCs w:val="0"/>
                <w:color w:val="000000" w:themeColor="text1"/>
              </w:rPr>
            </w:pPr>
          </w:p>
          <w:p w14:paraId="7195DEC3" w14:textId="68167804"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125.2 (85.4)</w:t>
            </w:r>
          </w:p>
        </w:tc>
        <w:tc>
          <w:tcPr>
            <w:tcW w:w="2782" w:type="dxa"/>
          </w:tcPr>
          <w:p w14:paraId="485FB5DD" w14:textId="77777777" w:rsidR="002B2D49" w:rsidRDefault="002B2D49" w:rsidP="008D45EB">
            <w:pPr>
              <w:pStyle w:val="TableFigureHeading"/>
              <w:keepNext w:val="0"/>
              <w:widowControl w:val="0"/>
              <w:rPr>
                <w:b w:val="0"/>
                <w:bCs w:val="0"/>
                <w:color w:val="000000" w:themeColor="text1"/>
              </w:rPr>
            </w:pPr>
          </w:p>
          <w:p w14:paraId="1D8FDE38" w14:textId="07D24F8B"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137.4 (128.2)</w:t>
            </w:r>
          </w:p>
        </w:tc>
      </w:tr>
      <w:tr w:rsidR="002B2D49" w:rsidRPr="00C34C12" w14:paraId="2B6EA638" w14:textId="77777777" w:rsidTr="00006DD3">
        <w:tc>
          <w:tcPr>
            <w:tcW w:w="3235" w:type="dxa"/>
          </w:tcPr>
          <w:p w14:paraId="791A3D59" w14:textId="77777777" w:rsidR="002B2D49" w:rsidRDefault="00047729" w:rsidP="008D45EB">
            <w:pPr>
              <w:pStyle w:val="TableFigureHeading"/>
              <w:keepNext w:val="0"/>
              <w:widowControl w:val="0"/>
              <w:rPr>
                <w:b w:val="0"/>
                <w:bCs w:val="0"/>
                <w:color w:val="000000" w:themeColor="text1"/>
              </w:rPr>
            </w:pPr>
            <w:r>
              <w:rPr>
                <w:b w:val="0"/>
                <w:bCs w:val="0"/>
                <w:color w:val="000000" w:themeColor="text1"/>
              </w:rPr>
              <w:t>Sweat Production at 4 weeks, mg/5min</w:t>
            </w:r>
          </w:p>
          <w:p w14:paraId="26A43EB7" w14:textId="4629A00C"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Mean (SD)</w:t>
            </w:r>
          </w:p>
        </w:tc>
        <w:tc>
          <w:tcPr>
            <w:tcW w:w="3000" w:type="dxa"/>
          </w:tcPr>
          <w:p w14:paraId="4E663DDD" w14:textId="77777777" w:rsidR="002B2D49" w:rsidRDefault="002B2D49" w:rsidP="008D45EB">
            <w:pPr>
              <w:pStyle w:val="TableFigureHeading"/>
              <w:keepNext w:val="0"/>
              <w:widowControl w:val="0"/>
              <w:rPr>
                <w:b w:val="0"/>
                <w:bCs w:val="0"/>
                <w:color w:val="000000" w:themeColor="text1"/>
              </w:rPr>
            </w:pPr>
          </w:p>
          <w:p w14:paraId="0606BC97" w14:textId="55F55E19"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18.9 (36.5)</w:t>
            </w:r>
          </w:p>
        </w:tc>
        <w:tc>
          <w:tcPr>
            <w:tcW w:w="2782" w:type="dxa"/>
          </w:tcPr>
          <w:p w14:paraId="48CE7850" w14:textId="77777777" w:rsidR="00047729" w:rsidRDefault="00047729" w:rsidP="008D45EB">
            <w:pPr>
              <w:pStyle w:val="TableFigureHeading"/>
              <w:keepNext w:val="0"/>
              <w:widowControl w:val="0"/>
              <w:rPr>
                <w:b w:val="0"/>
                <w:bCs w:val="0"/>
                <w:color w:val="000000" w:themeColor="text1"/>
              </w:rPr>
            </w:pPr>
          </w:p>
          <w:p w14:paraId="4B7D929E" w14:textId="3124C589"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82.9 (98.9)</w:t>
            </w:r>
          </w:p>
        </w:tc>
      </w:tr>
      <w:tr w:rsidR="002B2D49" w:rsidRPr="00C34C12" w14:paraId="5013FBD1" w14:textId="77777777" w:rsidTr="00006DD3">
        <w:tc>
          <w:tcPr>
            <w:tcW w:w="3235" w:type="dxa"/>
          </w:tcPr>
          <w:p w14:paraId="7E5205EA" w14:textId="2F301A55" w:rsidR="00047729" w:rsidRDefault="00047729" w:rsidP="008D45EB">
            <w:pPr>
              <w:pStyle w:val="TableFigureHeading"/>
              <w:keepNext w:val="0"/>
              <w:widowControl w:val="0"/>
              <w:rPr>
                <w:b w:val="0"/>
                <w:bCs w:val="0"/>
                <w:color w:val="000000" w:themeColor="text1"/>
              </w:rPr>
            </w:pPr>
            <w:r>
              <w:rPr>
                <w:b w:val="0"/>
                <w:bCs w:val="0"/>
                <w:color w:val="000000" w:themeColor="text1"/>
              </w:rPr>
              <w:t xml:space="preserve">Patients with </w:t>
            </w:r>
            <w:r>
              <w:rPr>
                <w:b w:val="0"/>
                <w:bCs w:val="0"/>
                <w:color w:val="000000" w:themeColor="text1"/>
              </w:rPr>
              <w:sym w:font="Symbol" w:char="F0B3"/>
            </w:r>
            <w:r>
              <w:rPr>
                <w:b w:val="0"/>
                <w:bCs w:val="0"/>
                <w:color w:val="000000" w:themeColor="text1"/>
              </w:rPr>
              <w:t>50% Reduction in Sweat Production, BL to 4 weeks,</w:t>
            </w:r>
          </w:p>
          <w:p w14:paraId="4EEB7E9F" w14:textId="2BB9E582" w:rsidR="002B2D49" w:rsidRPr="005A6169" w:rsidRDefault="00047729" w:rsidP="008D45EB">
            <w:pPr>
              <w:pStyle w:val="TableFigureHeading"/>
              <w:keepNext w:val="0"/>
              <w:widowControl w:val="0"/>
              <w:rPr>
                <w:b w:val="0"/>
                <w:bCs w:val="0"/>
                <w:color w:val="000000" w:themeColor="text1"/>
              </w:rPr>
            </w:pPr>
            <w:r>
              <w:rPr>
                <w:b w:val="0"/>
                <w:bCs w:val="0"/>
                <w:color w:val="000000" w:themeColor="text1"/>
              </w:rPr>
              <w:t>n (%)</w:t>
            </w:r>
          </w:p>
        </w:tc>
        <w:tc>
          <w:tcPr>
            <w:tcW w:w="3000" w:type="dxa"/>
          </w:tcPr>
          <w:p w14:paraId="35CB0B39" w14:textId="77777777" w:rsidR="002B2D49" w:rsidRDefault="002B2D49" w:rsidP="008D45EB">
            <w:pPr>
              <w:pStyle w:val="TableFigureHeading"/>
              <w:keepNext w:val="0"/>
              <w:widowControl w:val="0"/>
              <w:rPr>
                <w:b w:val="0"/>
                <w:bCs w:val="0"/>
                <w:color w:val="000000" w:themeColor="text1"/>
              </w:rPr>
            </w:pPr>
          </w:p>
          <w:p w14:paraId="76CB4938" w14:textId="77777777" w:rsidR="00047729" w:rsidRDefault="00047729" w:rsidP="008D45EB">
            <w:pPr>
              <w:pStyle w:val="TableFigureHeading"/>
              <w:keepNext w:val="0"/>
              <w:widowControl w:val="0"/>
              <w:rPr>
                <w:b w:val="0"/>
                <w:bCs w:val="0"/>
                <w:color w:val="000000" w:themeColor="text1"/>
              </w:rPr>
            </w:pPr>
          </w:p>
          <w:p w14:paraId="3B657028" w14:textId="751A337F"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75 (96.2%)</w:t>
            </w:r>
          </w:p>
        </w:tc>
        <w:tc>
          <w:tcPr>
            <w:tcW w:w="2782" w:type="dxa"/>
          </w:tcPr>
          <w:p w14:paraId="0E14638C" w14:textId="77777777" w:rsidR="002B2D49" w:rsidRDefault="002B2D49" w:rsidP="008D45EB">
            <w:pPr>
              <w:pStyle w:val="TableFigureHeading"/>
              <w:keepNext w:val="0"/>
              <w:widowControl w:val="0"/>
              <w:rPr>
                <w:b w:val="0"/>
                <w:bCs w:val="0"/>
                <w:color w:val="000000" w:themeColor="text1"/>
              </w:rPr>
            </w:pPr>
          </w:p>
          <w:p w14:paraId="6EAD0120" w14:textId="77777777" w:rsidR="00047729" w:rsidRDefault="00047729" w:rsidP="008D45EB">
            <w:pPr>
              <w:pStyle w:val="TableFigureHeading"/>
              <w:keepNext w:val="0"/>
              <w:widowControl w:val="0"/>
              <w:rPr>
                <w:b w:val="0"/>
                <w:bCs w:val="0"/>
                <w:color w:val="000000" w:themeColor="text1"/>
              </w:rPr>
            </w:pPr>
          </w:p>
          <w:p w14:paraId="3D8C7291" w14:textId="55862464"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34 (45.9%)</w:t>
            </w:r>
          </w:p>
        </w:tc>
      </w:tr>
      <w:tr w:rsidR="002B2D49" w:rsidRPr="00C34C12" w14:paraId="0FEFEB2F" w14:textId="77777777" w:rsidTr="00006DD3">
        <w:tc>
          <w:tcPr>
            <w:tcW w:w="3235" w:type="dxa"/>
          </w:tcPr>
          <w:p w14:paraId="29B06448" w14:textId="722F1AE5" w:rsidR="002B2D49" w:rsidRPr="005A6169" w:rsidRDefault="00047729" w:rsidP="008D45EB">
            <w:pPr>
              <w:pStyle w:val="TableFigureHeading"/>
              <w:keepNext w:val="0"/>
              <w:widowControl w:val="0"/>
              <w:rPr>
                <w:b w:val="0"/>
                <w:bCs w:val="0"/>
                <w:color w:val="000000" w:themeColor="text1"/>
              </w:rPr>
            </w:pPr>
            <w:r>
              <w:rPr>
                <w:b w:val="0"/>
                <w:bCs w:val="0"/>
                <w:color w:val="000000" w:themeColor="text1"/>
              </w:rPr>
              <w:t xml:space="preserve">Patients with </w:t>
            </w:r>
            <w:r>
              <w:rPr>
                <w:b w:val="0"/>
                <w:bCs w:val="0"/>
                <w:color w:val="000000" w:themeColor="text1"/>
              </w:rPr>
              <w:sym w:font="Symbol" w:char="F0B3"/>
            </w:r>
            <w:r>
              <w:rPr>
                <w:b w:val="0"/>
                <w:bCs w:val="0"/>
                <w:color w:val="000000" w:themeColor="text1"/>
              </w:rPr>
              <w:t>2 point reduction in HDSS to week 4, n (%)</w:t>
            </w:r>
          </w:p>
        </w:tc>
        <w:tc>
          <w:tcPr>
            <w:tcW w:w="3000" w:type="dxa"/>
          </w:tcPr>
          <w:p w14:paraId="51D969F5" w14:textId="77777777" w:rsidR="002B2D49" w:rsidRDefault="002B2D49" w:rsidP="008D45EB">
            <w:pPr>
              <w:pStyle w:val="TableFigureHeading"/>
              <w:keepNext w:val="0"/>
              <w:widowControl w:val="0"/>
              <w:rPr>
                <w:b w:val="0"/>
                <w:bCs w:val="0"/>
                <w:color w:val="000000" w:themeColor="text1"/>
              </w:rPr>
            </w:pPr>
          </w:p>
          <w:p w14:paraId="6F03F273" w14:textId="6F1C1D4A"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48 (61.5%)</w:t>
            </w:r>
          </w:p>
        </w:tc>
        <w:tc>
          <w:tcPr>
            <w:tcW w:w="2782" w:type="dxa"/>
          </w:tcPr>
          <w:p w14:paraId="6E471F87" w14:textId="77777777" w:rsidR="002B2D49" w:rsidRDefault="002B2D49" w:rsidP="008D45EB">
            <w:pPr>
              <w:pStyle w:val="TableFigureHeading"/>
              <w:keepNext w:val="0"/>
              <w:widowControl w:val="0"/>
              <w:rPr>
                <w:b w:val="0"/>
                <w:bCs w:val="0"/>
                <w:color w:val="000000" w:themeColor="text1"/>
              </w:rPr>
            </w:pPr>
          </w:p>
          <w:p w14:paraId="05790CE2" w14:textId="418A3B92" w:rsidR="00047729" w:rsidRPr="005A6169" w:rsidRDefault="00047729" w:rsidP="008D45EB">
            <w:pPr>
              <w:pStyle w:val="TableFigureHeading"/>
              <w:keepNext w:val="0"/>
              <w:widowControl w:val="0"/>
              <w:rPr>
                <w:b w:val="0"/>
                <w:bCs w:val="0"/>
                <w:color w:val="000000" w:themeColor="text1"/>
              </w:rPr>
            </w:pPr>
            <w:r>
              <w:rPr>
                <w:b w:val="0"/>
                <w:bCs w:val="0"/>
                <w:color w:val="000000" w:themeColor="text1"/>
              </w:rPr>
              <w:t>10 (13.7%)</w:t>
            </w:r>
          </w:p>
        </w:tc>
      </w:tr>
      <w:tr w:rsidR="00260F1D" w:rsidRPr="00C34C12" w14:paraId="3C73A25F" w14:textId="77777777" w:rsidTr="00006DD3">
        <w:tc>
          <w:tcPr>
            <w:tcW w:w="3235" w:type="dxa"/>
          </w:tcPr>
          <w:p w14:paraId="3810AE32" w14:textId="1E68F36C" w:rsidR="00260F1D" w:rsidRDefault="00260F1D" w:rsidP="008D45EB">
            <w:pPr>
              <w:pStyle w:val="TableFigureHeading"/>
              <w:keepNext w:val="0"/>
              <w:widowControl w:val="0"/>
              <w:rPr>
                <w:b w:val="0"/>
                <w:bCs w:val="0"/>
                <w:color w:val="000000" w:themeColor="text1"/>
              </w:rPr>
            </w:pPr>
            <w:r>
              <w:rPr>
                <w:b w:val="0"/>
                <w:bCs w:val="0"/>
                <w:color w:val="000000" w:themeColor="text1"/>
              </w:rPr>
              <w:t>DLQI CFB to 4 weeks, Mean (SD)</w:t>
            </w:r>
          </w:p>
        </w:tc>
        <w:tc>
          <w:tcPr>
            <w:tcW w:w="3000" w:type="dxa"/>
          </w:tcPr>
          <w:p w14:paraId="72F78349" w14:textId="1988FE2F" w:rsidR="00260F1D" w:rsidRDefault="00260F1D" w:rsidP="008D45EB">
            <w:pPr>
              <w:pStyle w:val="TableFigureHeading"/>
              <w:keepNext w:val="0"/>
              <w:widowControl w:val="0"/>
              <w:rPr>
                <w:b w:val="0"/>
                <w:bCs w:val="0"/>
                <w:color w:val="000000" w:themeColor="text1"/>
              </w:rPr>
            </w:pPr>
            <w:r>
              <w:rPr>
                <w:b w:val="0"/>
                <w:bCs w:val="0"/>
                <w:color w:val="000000" w:themeColor="text1"/>
              </w:rPr>
              <w:t>-6.6 (4.8)</w:t>
            </w:r>
          </w:p>
        </w:tc>
        <w:tc>
          <w:tcPr>
            <w:tcW w:w="2782" w:type="dxa"/>
          </w:tcPr>
          <w:p w14:paraId="1C748088" w14:textId="205A0911" w:rsidR="00260F1D" w:rsidRDefault="00260F1D" w:rsidP="008D45EB">
            <w:pPr>
              <w:pStyle w:val="TableFigureHeading"/>
              <w:keepNext w:val="0"/>
              <w:widowControl w:val="0"/>
              <w:rPr>
                <w:b w:val="0"/>
                <w:bCs w:val="0"/>
                <w:color w:val="000000" w:themeColor="text1"/>
              </w:rPr>
            </w:pPr>
            <w:r>
              <w:rPr>
                <w:b w:val="0"/>
                <w:bCs w:val="0"/>
                <w:color w:val="000000" w:themeColor="text1"/>
              </w:rPr>
              <w:t>-1.7 (3.7)</w:t>
            </w:r>
          </w:p>
        </w:tc>
      </w:tr>
    </w:tbl>
    <w:p w14:paraId="1C2FB9A9" w14:textId="089779A2" w:rsidR="00047729" w:rsidRPr="00047729" w:rsidRDefault="00D70495" w:rsidP="008D45EB">
      <w:pPr>
        <w:pStyle w:val="TableFigureFooter"/>
        <w:keepLines w:val="0"/>
        <w:widowControl w:val="0"/>
      </w:pPr>
      <w:r>
        <w:t>Source: Hyp1-18/2016 CSR, Table 4.1.1, pp153-160</w:t>
      </w:r>
      <w:r w:rsidR="00C20959">
        <w:t>, Table 13, p57, Table 17, p64</w:t>
      </w:r>
      <w:r w:rsidR="00047729">
        <w:t>; constructed during the evaluation from published reports.</w:t>
      </w:r>
      <w:r w:rsidR="003B702D">
        <w:t xml:space="preserve"> </w:t>
      </w:r>
      <w:r w:rsidR="00675011">
        <w:t xml:space="preserve">95% </w:t>
      </w:r>
      <w:r w:rsidR="003B702D">
        <w:rPr>
          <w:i/>
          <w:iCs/>
        </w:rPr>
        <w:t xml:space="preserve">CI </w:t>
      </w:r>
      <w:r w:rsidR="00001D77">
        <w:rPr>
          <w:i/>
          <w:iCs/>
        </w:rPr>
        <w:t xml:space="preserve">for the proportion of patients with </w:t>
      </w:r>
      <w:r w:rsidR="00001D77">
        <w:rPr>
          <w:i/>
          <w:iCs/>
        </w:rPr>
        <w:sym w:font="Symbol" w:char="F0B3"/>
      </w:r>
      <w:r w:rsidR="00001D77">
        <w:rPr>
          <w:i/>
          <w:iCs/>
        </w:rPr>
        <w:t xml:space="preserve">50% reduction in sweat production were </w:t>
      </w:r>
      <w:r w:rsidR="003B702D">
        <w:rPr>
          <w:i/>
          <w:iCs/>
        </w:rPr>
        <w:t>calculated during the evaluation using the binomial exact calculation.</w:t>
      </w:r>
      <w:r w:rsidR="00047729">
        <w:t xml:space="preserve"> </w:t>
      </w:r>
      <w:r w:rsidR="00AA0907" w:rsidRPr="00AA0907">
        <w:rPr>
          <w:vertAlign w:val="superscript"/>
        </w:rPr>
        <w:t>1</w:t>
      </w:r>
      <w:r w:rsidR="00AA0907">
        <w:t xml:space="preserve"> Note that units are mg/min, not mg/5min as in other trials. </w:t>
      </w:r>
      <w:r w:rsidR="00047729">
        <w:t xml:space="preserve">BL = baseline; CI = confidence interval; </w:t>
      </w:r>
      <w:r w:rsidR="00A55C0F">
        <w:t xml:space="preserve">DLQI = Dermatology Life Quality Index; </w:t>
      </w:r>
      <w:r w:rsidR="00047729">
        <w:t xml:space="preserve">HDSS = </w:t>
      </w:r>
      <w:r w:rsidR="00A55C0F">
        <w:t>H</w:t>
      </w:r>
      <w:r w:rsidR="00047729">
        <w:t xml:space="preserve">yperhidrosis </w:t>
      </w:r>
      <w:r w:rsidR="00A55C0F">
        <w:t>D</w:t>
      </w:r>
      <w:r w:rsidR="00047729">
        <w:t xml:space="preserve">isease </w:t>
      </w:r>
      <w:r w:rsidR="00A55C0F">
        <w:t>S</w:t>
      </w:r>
      <w:r w:rsidR="00047729">
        <w:t xml:space="preserve">everity </w:t>
      </w:r>
      <w:r w:rsidR="00A55C0F">
        <w:t>S</w:t>
      </w:r>
      <w:r w:rsidR="00047729">
        <w:t xml:space="preserve">core; </w:t>
      </w:r>
      <w:r w:rsidR="00C20959">
        <w:t xml:space="preserve">IQR = inter-quartile range; </w:t>
      </w:r>
      <w:r w:rsidR="00047729">
        <w:t>SD = standard deviation</w:t>
      </w:r>
      <w:r w:rsidR="00C20959">
        <w:t>.</w:t>
      </w:r>
      <w:r w:rsidR="00AB04F6">
        <w:t xml:space="preserve"> </w:t>
      </w:r>
    </w:p>
    <w:p w14:paraId="19E5C6F8" w14:textId="752FCDD8" w:rsidR="00106ACF" w:rsidRPr="00DF6E01" w:rsidRDefault="00DF6E01" w:rsidP="002721B7">
      <w:pPr>
        <w:pStyle w:val="3-BodyText"/>
        <w:rPr>
          <w:color w:val="0066FF"/>
        </w:rPr>
      </w:pPr>
      <w:r>
        <w:t xml:space="preserve">Compared to placebo, </w:t>
      </w:r>
      <w:r w:rsidR="00AA0907">
        <w:t>GPB was</w:t>
      </w:r>
      <w:r w:rsidR="00E41AA9">
        <w:t xml:space="preserve"> </w:t>
      </w:r>
      <w:r w:rsidR="00AA0907">
        <w:t>superior</w:t>
      </w:r>
      <w:r>
        <w:t xml:space="preserve"> </w:t>
      </w:r>
      <w:r w:rsidR="004B263F">
        <w:t xml:space="preserve">in </w:t>
      </w:r>
      <w:r w:rsidR="00275DCD">
        <w:t xml:space="preserve">reducing </w:t>
      </w:r>
      <w:r w:rsidR="004B263F">
        <w:t xml:space="preserve">measured </w:t>
      </w:r>
      <w:r w:rsidR="00B51434">
        <w:t>sweat production</w:t>
      </w:r>
      <w:r w:rsidR="00275DCD">
        <w:t>;</w:t>
      </w:r>
      <w:r w:rsidR="0089415E">
        <w:t xml:space="preserve"> improvement in HDSS of at least two points was relatively uncommon but was seen in more GPB-treated than placebo-treated patients. The difference was not statistically significant</w:t>
      </w:r>
      <w:r w:rsidR="00B51434">
        <w:t>.</w:t>
      </w:r>
      <w:r w:rsidR="0089415E">
        <w:t xml:space="preserve"> In the BTA trials, the falls in sweat production associated with BTA treatment were numerically greater than those seen with GPB, and a higher proportion of BTA-treated patients achieved </w:t>
      </w:r>
      <w:r w:rsidR="00001D77">
        <w:sym w:font="Symbol" w:char="F0B3"/>
      </w:r>
      <w:r w:rsidR="0089415E">
        <w:t xml:space="preserve">50% and </w:t>
      </w:r>
      <w:r w:rsidR="00001D77">
        <w:sym w:font="Symbol" w:char="F0B3"/>
      </w:r>
      <w:r w:rsidR="0089415E">
        <w:t>75% reductions in sweat production.</w:t>
      </w:r>
    </w:p>
    <w:p w14:paraId="31523571" w14:textId="77777777" w:rsidR="009008B3" w:rsidRDefault="00106ACF" w:rsidP="002721B7">
      <w:pPr>
        <w:pStyle w:val="3-BodyText"/>
      </w:pPr>
      <w:r>
        <w:t>Because patients in most of the trials were not required to have failed treatment with high-strength topical aluminium and could not use topical aluminium during the trials, these trials do not show that either treatment was superior to high-strength topical aluminium.</w:t>
      </w:r>
      <w:r w:rsidR="009008B3">
        <w:t xml:space="preserve"> </w:t>
      </w:r>
    </w:p>
    <w:p w14:paraId="55841121" w14:textId="208BEF5F" w:rsidR="001310F7" w:rsidRPr="001331CE" w:rsidRDefault="009008B3" w:rsidP="002721B7">
      <w:pPr>
        <w:pStyle w:val="3-BodyText"/>
      </w:pPr>
      <w:bookmarkStart w:id="29" w:name="_Ref215167840"/>
      <w:r w:rsidRPr="001331CE">
        <w:t xml:space="preserve">Evidence concerning the efficacy of high-strength topical aluminium preparations for PAHH </w:t>
      </w:r>
      <w:r w:rsidR="0036407B" w:rsidRPr="001331CE">
        <w:t xml:space="preserve">is </w:t>
      </w:r>
      <w:r w:rsidR="00766177" w:rsidRPr="001331CE">
        <w:t xml:space="preserve">very </w:t>
      </w:r>
      <w:r w:rsidR="0036407B" w:rsidRPr="001331CE">
        <w:t>limited</w:t>
      </w:r>
      <w:r w:rsidRPr="001331CE">
        <w:t>.</w:t>
      </w:r>
      <w:r w:rsidR="0036407B" w:rsidRPr="001331CE">
        <w:t xml:space="preserve"> A </w:t>
      </w:r>
      <w:r w:rsidR="0097379A" w:rsidRPr="001331CE">
        <w:t>recent systematic review identified four studies reporting efficacy data for high-strength aluminium preparations, of which only one was a controlled trial.</w:t>
      </w:r>
      <w:r w:rsidR="0097379A" w:rsidRPr="001331CE">
        <w:rPr>
          <w:rStyle w:val="FootnoteReference"/>
          <w:color w:val="000000" w:themeColor="text1"/>
        </w:rPr>
        <w:footnoteReference w:id="14"/>
      </w:r>
      <w:r w:rsidR="0097379A" w:rsidRPr="001331CE">
        <w:t xml:space="preserve"> This was a</w:t>
      </w:r>
      <w:r w:rsidR="0036407B" w:rsidRPr="001331CE">
        <w:t xml:space="preserve"> small (N = 25) open-label </w:t>
      </w:r>
      <w:r w:rsidR="0097379A" w:rsidRPr="001331CE">
        <w:t>comparison of</w:t>
      </w:r>
      <w:r w:rsidR="0036407B" w:rsidRPr="001331CE">
        <w:t xml:space="preserve"> BTA with 20% aluminium chloride, in which a reduction in HDSS of at least two points </w:t>
      </w:r>
      <w:r w:rsidR="00766177" w:rsidRPr="001331CE">
        <w:t xml:space="preserve">after 4 weeks </w:t>
      </w:r>
      <w:r w:rsidR="0036407B" w:rsidRPr="001331CE">
        <w:t>was seen in 92% of BTA-treated patients and 33% of aluminium chloride-treated patients</w:t>
      </w:r>
      <w:r w:rsidR="0036407B" w:rsidRPr="001331CE">
        <w:rPr>
          <w:rStyle w:val="FootnoteReference"/>
        </w:rPr>
        <w:footnoteReference w:id="15"/>
      </w:r>
      <w:r w:rsidR="007C4259">
        <w:t xml:space="preserve">. </w:t>
      </w:r>
      <w:r w:rsidR="007C4259" w:rsidRPr="00465EE4">
        <w:t xml:space="preserve">The PSCR </w:t>
      </w:r>
      <w:r w:rsidR="007E02CE" w:rsidRPr="00465EE4">
        <w:t xml:space="preserve">stated that topical aluminium preparations are not disease modifying; rather they only occlude the excretory ducts and therefore prior failure of these would likely not be predictive of response to GPB or BTA. The PSCR also argued the results of </w:t>
      </w:r>
      <w:r w:rsidR="00CD502B" w:rsidRPr="00465EE4">
        <w:t xml:space="preserve">the </w:t>
      </w:r>
      <w:r w:rsidR="007E02CE" w:rsidRPr="00465EE4">
        <w:t>study in question found</w:t>
      </w:r>
      <w:r w:rsidR="009319D2" w:rsidRPr="00465EE4">
        <w:t xml:space="preserve"> similar</w:t>
      </w:r>
      <w:r w:rsidR="007E02CE" w:rsidRPr="00465EE4">
        <w:t xml:space="preserve"> response rates to BTA between this study and the other included studies </w:t>
      </w:r>
      <w:r w:rsidR="009319D2" w:rsidRPr="00465EE4">
        <w:t>that did not require prior topical treatment.</w:t>
      </w:r>
      <w:bookmarkEnd w:id="29"/>
      <w:r w:rsidR="007E02CE">
        <w:rPr>
          <w:i/>
          <w:iCs/>
        </w:rPr>
        <w:t xml:space="preserve"> </w:t>
      </w:r>
    </w:p>
    <w:p w14:paraId="7299B625" w14:textId="66701826" w:rsidR="00623DD9" w:rsidRPr="00623DD9" w:rsidRDefault="001310F7" w:rsidP="002721B7">
      <w:pPr>
        <w:pStyle w:val="3-BodyText"/>
      </w:pPr>
      <w:r>
        <w:t>Dermatology Life Quality Index</w:t>
      </w:r>
      <w:r w:rsidR="00F4082A">
        <w:t xml:space="preserve"> (DLQI)</w:t>
      </w:r>
      <w:r w:rsidR="00CE20DE">
        <w:t xml:space="preserve"> was the only quality of life measure reported in both Hyp1-18/2016 and BTA trial</w:t>
      </w:r>
      <w:r w:rsidR="00260F1D">
        <w:t>s</w:t>
      </w:r>
      <w:r w:rsidR="00CE20DE">
        <w:t>. Baseline scores</w:t>
      </w:r>
      <w:r w:rsidR="00F4082A">
        <w:t xml:space="preserve"> suggested relatively mild impairment at baseline</w:t>
      </w:r>
      <w:r w:rsidR="00CE20DE">
        <w:t xml:space="preserve">, with some patients in Hyp1-18/2016 reporting scores of zero (= no impairment at all), despite having Hyperhidrosis Disease Severity Scores (HDSS) indicating intolerable or barely tolerable effects. </w:t>
      </w:r>
      <w:r w:rsidR="00F4082A">
        <w:t>T</w:t>
      </w:r>
      <w:r w:rsidR="004B263F">
        <w:t>he</w:t>
      </w:r>
      <w:r>
        <w:t xml:space="preserve"> minimum clinically important difference</w:t>
      </w:r>
      <w:r w:rsidR="00F4082A">
        <w:t xml:space="preserve"> </w:t>
      </w:r>
      <w:r w:rsidR="0095555E">
        <w:t>(MCID)</w:t>
      </w:r>
      <w:r w:rsidR="00F4082A">
        <w:t xml:space="preserve"> in DLQI score </w:t>
      </w:r>
      <w:r w:rsidR="004B263F">
        <w:t>is</w:t>
      </w:r>
      <w:r>
        <w:t xml:space="preserve"> 4</w:t>
      </w:r>
      <w:r w:rsidR="00F4082A">
        <w:t>, so b</w:t>
      </w:r>
      <w:r>
        <w:t xml:space="preserve">oth GPB and BTA were associated </w:t>
      </w:r>
      <w:r w:rsidR="00E73621">
        <w:t>with improvements in</w:t>
      </w:r>
      <w:r>
        <w:t xml:space="preserve"> </w:t>
      </w:r>
      <w:r w:rsidR="0095555E">
        <w:t xml:space="preserve">DLQI </w:t>
      </w:r>
      <w:r w:rsidR="004A7583">
        <w:t>slightly</w:t>
      </w:r>
      <w:r w:rsidR="0095555E">
        <w:t xml:space="preserve"> above th</w:t>
      </w:r>
      <w:r w:rsidR="004A7583">
        <w:t>e</w:t>
      </w:r>
      <w:r w:rsidR="0095555E">
        <w:t xml:space="preserve"> MCID</w:t>
      </w:r>
      <w:r>
        <w:t xml:space="preserve"> </w:t>
      </w:r>
      <w:r w:rsidR="00C5026B">
        <w:t xml:space="preserve">(-5.0 for GPB and </w:t>
      </w:r>
      <w:r w:rsidR="009F7238">
        <w:t>-5.6 to -6.6 for BTA)</w:t>
      </w:r>
      <w:r w:rsidR="003932BA">
        <w:t>.</w:t>
      </w:r>
    </w:p>
    <w:p w14:paraId="7A7E16DB" w14:textId="59432C11" w:rsidR="00623DD9" w:rsidRPr="00623DD9" w:rsidRDefault="00623DD9" w:rsidP="002721B7">
      <w:pPr>
        <w:pStyle w:val="3-BodyText"/>
      </w:pPr>
      <w:r>
        <w:t>Efficacy outcomes in adolescents are shown in</w:t>
      </w:r>
      <w:r w:rsidR="00686210">
        <w:t xml:space="preserve"> </w:t>
      </w:r>
      <w:r w:rsidR="00686210">
        <w:fldChar w:fldCharType="begin" w:fldLock="1"/>
      </w:r>
      <w:r w:rsidR="00686210">
        <w:instrText xml:space="preserve"> REF _Ref205981495 \h </w:instrText>
      </w:r>
      <w:r w:rsidR="00686210">
        <w:fldChar w:fldCharType="separate"/>
      </w:r>
      <w:r w:rsidR="004D6DEB">
        <w:t xml:space="preserve">Table </w:t>
      </w:r>
      <w:r w:rsidR="004D6DEB">
        <w:rPr>
          <w:noProof/>
        </w:rPr>
        <w:t>5</w:t>
      </w:r>
      <w:r w:rsidR="00686210">
        <w:fldChar w:fldCharType="end"/>
      </w:r>
      <w:r>
        <w:t>.</w:t>
      </w:r>
    </w:p>
    <w:p w14:paraId="7B01B6B5" w14:textId="412B07B1" w:rsidR="00623DD9" w:rsidRDefault="00686210" w:rsidP="00686210">
      <w:pPr>
        <w:pStyle w:val="Caption"/>
      </w:pPr>
      <w:bookmarkStart w:id="30" w:name="_Ref205981495"/>
      <w:r>
        <w:t xml:space="preserve">Table </w:t>
      </w:r>
      <w:r w:rsidR="007C24FD">
        <w:fldChar w:fldCharType="begin" w:fldLock="1"/>
      </w:r>
      <w:r w:rsidR="007C24FD">
        <w:instrText xml:space="preserve"> SEQ Table \* ARABIC </w:instrText>
      </w:r>
      <w:r w:rsidR="007C24FD">
        <w:fldChar w:fldCharType="separate"/>
      </w:r>
      <w:r w:rsidR="004D6DEB">
        <w:rPr>
          <w:noProof/>
        </w:rPr>
        <w:t>5</w:t>
      </w:r>
      <w:r w:rsidR="007C24FD">
        <w:rPr>
          <w:noProof/>
        </w:rPr>
        <w:fldChar w:fldCharType="end"/>
      </w:r>
      <w:bookmarkEnd w:id="30"/>
      <w:r w:rsidR="00623DD9">
        <w:t>: Efficacy outcomes in adolescents (ages 12-17)</w:t>
      </w:r>
      <w:r w:rsidR="00AB04F6">
        <w:t xml:space="preserve"> </w:t>
      </w:r>
    </w:p>
    <w:tbl>
      <w:tblPr>
        <w:tblStyle w:val="TableGrid"/>
        <w:tblW w:w="0" w:type="auto"/>
        <w:tblLook w:val="04A0" w:firstRow="1" w:lastRow="0" w:firstColumn="1" w:lastColumn="0" w:noHBand="0" w:noVBand="1"/>
        <w:tblCaption w:val="Table 5"/>
        <w:tblDescription w:val="Efficacy outcomes in adolescents (ages 12-17) "/>
      </w:tblPr>
      <w:tblGrid>
        <w:gridCol w:w="3005"/>
        <w:gridCol w:w="3006"/>
        <w:gridCol w:w="3006"/>
      </w:tblGrid>
      <w:tr w:rsidR="00623DD9" w14:paraId="64F06E41" w14:textId="77777777">
        <w:tc>
          <w:tcPr>
            <w:tcW w:w="3005" w:type="dxa"/>
          </w:tcPr>
          <w:p w14:paraId="58AECB63" w14:textId="77777777" w:rsidR="00623DD9" w:rsidRDefault="00623DD9" w:rsidP="00623DD9">
            <w:pPr>
              <w:pStyle w:val="TableFigureHeading"/>
            </w:pPr>
          </w:p>
        </w:tc>
        <w:tc>
          <w:tcPr>
            <w:tcW w:w="3006" w:type="dxa"/>
          </w:tcPr>
          <w:p w14:paraId="44BD6DAE" w14:textId="583E2EE3" w:rsidR="00623DD9" w:rsidRDefault="00623DD9" w:rsidP="00623DD9">
            <w:pPr>
              <w:pStyle w:val="TableFigureHeading"/>
            </w:pPr>
            <w:r>
              <w:t>Glycopyrronium</w:t>
            </w:r>
            <w:r w:rsidR="008B13C6">
              <w:t>, N = 42</w:t>
            </w:r>
          </w:p>
        </w:tc>
        <w:tc>
          <w:tcPr>
            <w:tcW w:w="3006" w:type="dxa"/>
          </w:tcPr>
          <w:p w14:paraId="32258873" w14:textId="7486643C" w:rsidR="00623DD9" w:rsidRDefault="008B13C6" w:rsidP="00623DD9">
            <w:pPr>
              <w:pStyle w:val="TableFigureHeading"/>
            </w:pPr>
            <w:r>
              <w:t>Botulinum Toxin, N = 144</w:t>
            </w:r>
          </w:p>
        </w:tc>
      </w:tr>
      <w:tr w:rsidR="00623DD9" w14:paraId="4F28F80C" w14:textId="77777777">
        <w:tc>
          <w:tcPr>
            <w:tcW w:w="3005" w:type="dxa"/>
          </w:tcPr>
          <w:p w14:paraId="771C3335" w14:textId="1C6F5E01" w:rsidR="008B13C6" w:rsidRDefault="008B13C6" w:rsidP="000D067E">
            <w:pPr>
              <w:pStyle w:val="TableFigureHeading"/>
              <w:rPr>
                <w:b w:val="0"/>
                <w:bCs w:val="0"/>
              </w:rPr>
            </w:pPr>
            <w:r w:rsidRPr="008B13C6">
              <w:rPr>
                <w:b w:val="0"/>
                <w:bCs w:val="0"/>
              </w:rPr>
              <w:t xml:space="preserve">BL Sweat Production, </w:t>
            </w:r>
            <w:r>
              <w:rPr>
                <w:b w:val="0"/>
                <w:bCs w:val="0"/>
              </w:rPr>
              <w:t xml:space="preserve">mg/5min, </w:t>
            </w:r>
          </w:p>
          <w:p w14:paraId="76C2A294" w14:textId="627D376B" w:rsidR="008B13C6" w:rsidRPr="008B13C6" w:rsidRDefault="008B13C6" w:rsidP="000D067E">
            <w:pPr>
              <w:pStyle w:val="TableFigureHeading"/>
              <w:rPr>
                <w:b w:val="0"/>
                <w:bCs w:val="0"/>
              </w:rPr>
            </w:pPr>
            <w:r>
              <w:rPr>
                <w:b w:val="0"/>
                <w:bCs w:val="0"/>
              </w:rPr>
              <w:t>Mean (SD)</w:t>
            </w:r>
          </w:p>
        </w:tc>
        <w:tc>
          <w:tcPr>
            <w:tcW w:w="3006" w:type="dxa"/>
          </w:tcPr>
          <w:p w14:paraId="1A8C84F4" w14:textId="77777777" w:rsidR="000D067E" w:rsidRDefault="000D067E" w:rsidP="00623DD9">
            <w:pPr>
              <w:pStyle w:val="TableFigureHeading"/>
              <w:rPr>
                <w:b w:val="0"/>
                <w:bCs w:val="0"/>
              </w:rPr>
            </w:pPr>
          </w:p>
          <w:p w14:paraId="23E40858" w14:textId="61CCE7BE" w:rsidR="008B13C6" w:rsidRPr="008B13C6" w:rsidRDefault="000D067E" w:rsidP="000D067E">
            <w:pPr>
              <w:pStyle w:val="TableFigureHeading"/>
              <w:jc w:val="both"/>
              <w:rPr>
                <w:b w:val="0"/>
                <w:bCs w:val="0"/>
              </w:rPr>
            </w:pPr>
            <w:r>
              <w:rPr>
                <w:b w:val="0"/>
                <w:bCs w:val="0"/>
              </w:rPr>
              <w:t>294.4 (374.0)</w:t>
            </w:r>
          </w:p>
        </w:tc>
        <w:tc>
          <w:tcPr>
            <w:tcW w:w="3006" w:type="dxa"/>
          </w:tcPr>
          <w:p w14:paraId="0EAA1827" w14:textId="57F1F0EB" w:rsidR="008B13C6" w:rsidRDefault="008B13C6" w:rsidP="00623DD9">
            <w:pPr>
              <w:pStyle w:val="TableFigureHeading"/>
              <w:rPr>
                <w:b w:val="0"/>
                <w:bCs w:val="0"/>
              </w:rPr>
            </w:pPr>
          </w:p>
          <w:p w14:paraId="7E20E61E" w14:textId="3BD2BDDE" w:rsidR="008B13C6" w:rsidRPr="008B13C6" w:rsidRDefault="008B13C6" w:rsidP="00623DD9">
            <w:pPr>
              <w:pStyle w:val="TableFigureHeading"/>
              <w:rPr>
                <w:b w:val="0"/>
                <w:bCs w:val="0"/>
              </w:rPr>
            </w:pPr>
            <w:r>
              <w:rPr>
                <w:b w:val="0"/>
                <w:bCs w:val="0"/>
              </w:rPr>
              <w:t>109.7 (98.1)</w:t>
            </w:r>
          </w:p>
        </w:tc>
      </w:tr>
      <w:tr w:rsidR="00623DD9" w14:paraId="1ED1103D" w14:textId="77777777">
        <w:tc>
          <w:tcPr>
            <w:tcW w:w="3005" w:type="dxa"/>
          </w:tcPr>
          <w:p w14:paraId="66258321" w14:textId="77777777" w:rsidR="008B13C6" w:rsidRDefault="008B13C6" w:rsidP="00623DD9">
            <w:pPr>
              <w:pStyle w:val="TableFigureHeading"/>
              <w:rPr>
                <w:b w:val="0"/>
                <w:bCs w:val="0"/>
              </w:rPr>
            </w:pPr>
            <w:r>
              <w:rPr>
                <w:b w:val="0"/>
                <w:bCs w:val="0"/>
              </w:rPr>
              <w:t xml:space="preserve">% CFB in Sweat Production to 4 weeks, </w:t>
            </w:r>
          </w:p>
          <w:p w14:paraId="3A4E89E4" w14:textId="6944AAC0" w:rsidR="00623DD9" w:rsidRDefault="008B13C6" w:rsidP="00623DD9">
            <w:pPr>
              <w:pStyle w:val="TableFigureHeading"/>
              <w:rPr>
                <w:b w:val="0"/>
                <w:bCs w:val="0"/>
              </w:rPr>
            </w:pPr>
            <w:r>
              <w:rPr>
                <w:b w:val="0"/>
                <w:bCs w:val="0"/>
              </w:rPr>
              <w:t>Median (range)</w:t>
            </w:r>
          </w:p>
          <w:p w14:paraId="71C0B474" w14:textId="6FD1A089" w:rsidR="008B13C6" w:rsidRPr="008B13C6" w:rsidRDefault="008B13C6" w:rsidP="00623DD9">
            <w:pPr>
              <w:pStyle w:val="TableFigureHeading"/>
              <w:rPr>
                <w:b w:val="0"/>
                <w:bCs w:val="0"/>
              </w:rPr>
            </w:pPr>
            <w:r>
              <w:rPr>
                <w:b w:val="0"/>
                <w:bCs w:val="0"/>
              </w:rPr>
              <w:t>Mean (SD)</w:t>
            </w:r>
          </w:p>
        </w:tc>
        <w:tc>
          <w:tcPr>
            <w:tcW w:w="3006" w:type="dxa"/>
          </w:tcPr>
          <w:p w14:paraId="4B9B413B" w14:textId="77777777" w:rsidR="00623DD9" w:rsidRDefault="00623DD9" w:rsidP="00623DD9">
            <w:pPr>
              <w:pStyle w:val="TableFigureHeading"/>
              <w:rPr>
                <w:b w:val="0"/>
                <w:bCs w:val="0"/>
              </w:rPr>
            </w:pPr>
          </w:p>
          <w:p w14:paraId="5AAB7173" w14:textId="77777777" w:rsidR="008B13C6" w:rsidRDefault="008B13C6" w:rsidP="00623DD9">
            <w:pPr>
              <w:pStyle w:val="TableFigureHeading"/>
              <w:rPr>
                <w:b w:val="0"/>
                <w:bCs w:val="0"/>
              </w:rPr>
            </w:pPr>
          </w:p>
          <w:p w14:paraId="5E92841F" w14:textId="522CB84B" w:rsidR="008B13C6" w:rsidRDefault="008B13C6" w:rsidP="00623DD9">
            <w:pPr>
              <w:pStyle w:val="TableFigureHeading"/>
              <w:rPr>
                <w:b w:val="0"/>
                <w:bCs w:val="0"/>
              </w:rPr>
            </w:pPr>
            <w:r>
              <w:rPr>
                <w:b w:val="0"/>
                <w:bCs w:val="0"/>
              </w:rPr>
              <w:t xml:space="preserve">-72.8 </w:t>
            </w:r>
            <w:r w:rsidR="000D067E">
              <w:rPr>
                <w:b w:val="0"/>
                <w:bCs w:val="0"/>
              </w:rPr>
              <w:t>(-99.9, 129</w:t>
            </w:r>
            <w:r w:rsidR="004C226D">
              <w:rPr>
                <w:b w:val="0"/>
                <w:bCs w:val="0"/>
              </w:rPr>
              <w:t>,</w:t>
            </w:r>
            <w:r w:rsidR="000D067E">
              <w:rPr>
                <w:b w:val="0"/>
                <w:bCs w:val="0"/>
              </w:rPr>
              <w:t>500.00)</w:t>
            </w:r>
          </w:p>
          <w:p w14:paraId="08D7CD04" w14:textId="16E71CC1" w:rsidR="000D067E" w:rsidRPr="008B13C6" w:rsidRDefault="000D067E" w:rsidP="00623DD9">
            <w:pPr>
              <w:pStyle w:val="TableFigureHeading"/>
              <w:rPr>
                <w:b w:val="0"/>
                <w:bCs w:val="0"/>
              </w:rPr>
            </w:pPr>
            <w:r>
              <w:rPr>
                <w:b w:val="0"/>
                <w:bCs w:val="0"/>
              </w:rPr>
              <w:t>-</w:t>
            </w:r>
          </w:p>
        </w:tc>
        <w:tc>
          <w:tcPr>
            <w:tcW w:w="3006" w:type="dxa"/>
          </w:tcPr>
          <w:p w14:paraId="00AB7CE2" w14:textId="77777777" w:rsidR="00623DD9" w:rsidRDefault="00623DD9" w:rsidP="00623DD9">
            <w:pPr>
              <w:pStyle w:val="TableFigureHeading"/>
              <w:rPr>
                <w:b w:val="0"/>
                <w:bCs w:val="0"/>
              </w:rPr>
            </w:pPr>
          </w:p>
          <w:p w14:paraId="074BA4E5" w14:textId="77777777" w:rsidR="008B13C6" w:rsidRDefault="008B13C6" w:rsidP="00623DD9">
            <w:pPr>
              <w:pStyle w:val="TableFigureHeading"/>
              <w:rPr>
                <w:b w:val="0"/>
                <w:bCs w:val="0"/>
              </w:rPr>
            </w:pPr>
          </w:p>
          <w:p w14:paraId="5372AB10" w14:textId="77777777" w:rsidR="008B13C6" w:rsidRDefault="008B13C6" w:rsidP="00623DD9">
            <w:pPr>
              <w:pStyle w:val="TableFigureHeading"/>
              <w:rPr>
                <w:b w:val="0"/>
                <w:bCs w:val="0"/>
              </w:rPr>
            </w:pPr>
            <w:r>
              <w:rPr>
                <w:b w:val="0"/>
                <w:bCs w:val="0"/>
              </w:rPr>
              <w:t>-</w:t>
            </w:r>
          </w:p>
          <w:p w14:paraId="59E0C421" w14:textId="6779138C" w:rsidR="008B13C6" w:rsidRPr="008B13C6" w:rsidRDefault="000D067E" w:rsidP="00623DD9">
            <w:pPr>
              <w:pStyle w:val="TableFigureHeading"/>
              <w:rPr>
                <w:b w:val="0"/>
                <w:bCs w:val="0"/>
              </w:rPr>
            </w:pPr>
            <w:r>
              <w:rPr>
                <w:b w:val="0"/>
                <w:bCs w:val="0"/>
              </w:rPr>
              <w:t>-83.9 (20.0)</w:t>
            </w:r>
          </w:p>
        </w:tc>
      </w:tr>
      <w:tr w:rsidR="00623DD9" w14:paraId="4FFBB496" w14:textId="77777777">
        <w:tc>
          <w:tcPr>
            <w:tcW w:w="3005" w:type="dxa"/>
          </w:tcPr>
          <w:p w14:paraId="5568BD5D" w14:textId="6E7A42F5" w:rsidR="00623DD9" w:rsidRPr="008B13C6" w:rsidRDefault="000D067E" w:rsidP="00623DD9">
            <w:pPr>
              <w:pStyle w:val="TableFigureHeading"/>
              <w:rPr>
                <w:b w:val="0"/>
                <w:bCs w:val="0"/>
              </w:rPr>
            </w:pPr>
            <w:r>
              <w:rPr>
                <w:b w:val="0"/>
                <w:bCs w:val="0"/>
              </w:rPr>
              <w:t xml:space="preserve">Patients with </w:t>
            </w:r>
            <w:r>
              <w:rPr>
                <w:b w:val="0"/>
                <w:bCs w:val="0"/>
              </w:rPr>
              <w:sym w:font="Symbol" w:char="F0B3"/>
            </w:r>
            <w:r>
              <w:rPr>
                <w:b w:val="0"/>
                <w:bCs w:val="0"/>
              </w:rPr>
              <w:t>50% reduction from BL to 4 weeks in Sweat Production, n (%)</w:t>
            </w:r>
          </w:p>
        </w:tc>
        <w:tc>
          <w:tcPr>
            <w:tcW w:w="3006" w:type="dxa"/>
          </w:tcPr>
          <w:p w14:paraId="61E40599" w14:textId="77777777" w:rsidR="000D067E" w:rsidRDefault="000D067E" w:rsidP="00623DD9">
            <w:pPr>
              <w:pStyle w:val="TableFigureHeading"/>
              <w:rPr>
                <w:b w:val="0"/>
                <w:bCs w:val="0"/>
              </w:rPr>
            </w:pPr>
          </w:p>
          <w:p w14:paraId="2E358462" w14:textId="5707D0D9" w:rsidR="00623DD9" w:rsidRPr="008B13C6" w:rsidRDefault="000D067E" w:rsidP="00623DD9">
            <w:pPr>
              <w:pStyle w:val="TableFigureHeading"/>
              <w:rPr>
                <w:b w:val="0"/>
                <w:bCs w:val="0"/>
              </w:rPr>
            </w:pPr>
            <w:r>
              <w:rPr>
                <w:b w:val="0"/>
                <w:bCs w:val="0"/>
              </w:rPr>
              <w:t>25 (59.5%)</w:t>
            </w:r>
          </w:p>
        </w:tc>
        <w:tc>
          <w:tcPr>
            <w:tcW w:w="3006" w:type="dxa"/>
          </w:tcPr>
          <w:p w14:paraId="2A59C831" w14:textId="77777777" w:rsidR="00623DD9" w:rsidRDefault="00623DD9" w:rsidP="00623DD9">
            <w:pPr>
              <w:pStyle w:val="TableFigureHeading"/>
              <w:rPr>
                <w:b w:val="0"/>
                <w:bCs w:val="0"/>
              </w:rPr>
            </w:pPr>
          </w:p>
          <w:p w14:paraId="56247725" w14:textId="3D1CACC4" w:rsidR="00D95664" w:rsidRPr="008B13C6" w:rsidRDefault="00D95664" w:rsidP="00623DD9">
            <w:pPr>
              <w:pStyle w:val="TableFigureHeading"/>
              <w:rPr>
                <w:b w:val="0"/>
                <w:bCs w:val="0"/>
              </w:rPr>
            </w:pPr>
            <w:r>
              <w:rPr>
                <w:b w:val="0"/>
                <w:bCs w:val="0"/>
              </w:rPr>
              <w:t>134 (92.9%)</w:t>
            </w:r>
          </w:p>
        </w:tc>
      </w:tr>
      <w:tr w:rsidR="00623DD9" w14:paraId="1B831E7B" w14:textId="77777777">
        <w:tc>
          <w:tcPr>
            <w:tcW w:w="3005" w:type="dxa"/>
          </w:tcPr>
          <w:p w14:paraId="064BB8C9" w14:textId="232514A9" w:rsidR="00623DD9" w:rsidRPr="008B13C6" w:rsidRDefault="000D067E" w:rsidP="00623DD9">
            <w:pPr>
              <w:pStyle w:val="TableFigureHeading"/>
              <w:rPr>
                <w:b w:val="0"/>
                <w:bCs w:val="0"/>
              </w:rPr>
            </w:pPr>
            <w:r>
              <w:rPr>
                <w:b w:val="0"/>
                <w:bCs w:val="0"/>
              </w:rPr>
              <w:t xml:space="preserve">Patients with </w:t>
            </w:r>
            <w:r>
              <w:rPr>
                <w:b w:val="0"/>
                <w:bCs w:val="0"/>
              </w:rPr>
              <w:sym w:font="Symbol" w:char="F0B3"/>
            </w:r>
            <w:r>
              <w:rPr>
                <w:b w:val="0"/>
                <w:bCs w:val="0"/>
              </w:rPr>
              <w:t>75% reduction from BL to 4 weeks in Sweat Production, n (%)</w:t>
            </w:r>
          </w:p>
        </w:tc>
        <w:tc>
          <w:tcPr>
            <w:tcW w:w="3006" w:type="dxa"/>
          </w:tcPr>
          <w:p w14:paraId="0DC74CDF" w14:textId="77777777" w:rsidR="00623DD9" w:rsidRDefault="00623DD9" w:rsidP="00623DD9">
            <w:pPr>
              <w:pStyle w:val="TableFigureHeading"/>
              <w:rPr>
                <w:b w:val="0"/>
                <w:bCs w:val="0"/>
              </w:rPr>
            </w:pPr>
          </w:p>
          <w:p w14:paraId="21FCA5C7" w14:textId="6E9E997E" w:rsidR="000D067E" w:rsidRPr="008B13C6" w:rsidRDefault="000D067E" w:rsidP="00623DD9">
            <w:pPr>
              <w:pStyle w:val="TableFigureHeading"/>
              <w:rPr>
                <w:b w:val="0"/>
                <w:bCs w:val="0"/>
              </w:rPr>
            </w:pPr>
            <w:r>
              <w:rPr>
                <w:b w:val="0"/>
                <w:bCs w:val="0"/>
              </w:rPr>
              <w:t>16 (38.1%)</w:t>
            </w:r>
          </w:p>
        </w:tc>
        <w:tc>
          <w:tcPr>
            <w:tcW w:w="3006" w:type="dxa"/>
          </w:tcPr>
          <w:p w14:paraId="650D7153" w14:textId="77777777" w:rsidR="00623DD9" w:rsidRDefault="00623DD9" w:rsidP="00623DD9">
            <w:pPr>
              <w:pStyle w:val="TableFigureHeading"/>
              <w:rPr>
                <w:b w:val="0"/>
                <w:bCs w:val="0"/>
              </w:rPr>
            </w:pPr>
          </w:p>
          <w:p w14:paraId="747083F4" w14:textId="21D27997" w:rsidR="00D95664" w:rsidRPr="008B13C6" w:rsidRDefault="00D95664" w:rsidP="00623DD9">
            <w:pPr>
              <w:pStyle w:val="TableFigureHeading"/>
              <w:rPr>
                <w:b w:val="0"/>
                <w:bCs w:val="0"/>
              </w:rPr>
            </w:pPr>
            <w:r>
              <w:rPr>
                <w:b w:val="0"/>
                <w:bCs w:val="0"/>
              </w:rPr>
              <w:t>114 (79.4%)</w:t>
            </w:r>
          </w:p>
        </w:tc>
      </w:tr>
      <w:tr w:rsidR="00623DD9" w14:paraId="45E694EB" w14:textId="77777777">
        <w:tc>
          <w:tcPr>
            <w:tcW w:w="3005" w:type="dxa"/>
          </w:tcPr>
          <w:p w14:paraId="10350B4F" w14:textId="664313A4" w:rsidR="00623DD9" w:rsidRPr="008B13C6" w:rsidRDefault="00D95664" w:rsidP="00623DD9">
            <w:pPr>
              <w:pStyle w:val="TableFigureHeading"/>
              <w:rPr>
                <w:b w:val="0"/>
                <w:bCs w:val="0"/>
              </w:rPr>
            </w:pPr>
            <w:r>
              <w:rPr>
                <w:b w:val="0"/>
                <w:bCs w:val="0"/>
              </w:rPr>
              <w:t xml:space="preserve">Patients with </w:t>
            </w:r>
            <w:r>
              <w:rPr>
                <w:b w:val="0"/>
                <w:bCs w:val="0"/>
              </w:rPr>
              <w:sym w:font="Symbol" w:char="F0B3"/>
            </w:r>
            <w:r>
              <w:rPr>
                <w:b w:val="0"/>
                <w:bCs w:val="0"/>
              </w:rPr>
              <w:t>90% reduction from BL to 4 weeks in Sweat Production, n (%)</w:t>
            </w:r>
          </w:p>
        </w:tc>
        <w:tc>
          <w:tcPr>
            <w:tcW w:w="3006" w:type="dxa"/>
          </w:tcPr>
          <w:p w14:paraId="059F5B80" w14:textId="77777777" w:rsidR="00623DD9" w:rsidRDefault="00623DD9" w:rsidP="00623DD9">
            <w:pPr>
              <w:pStyle w:val="TableFigureHeading"/>
              <w:rPr>
                <w:b w:val="0"/>
                <w:bCs w:val="0"/>
              </w:rPr>
            </w:pPr>
          </w:p>
          <w:p w14:paraId="5DFF9922" w14:textId="7CC01CCB" w:rsidR="00D95664" w:rsidRPr="008B13C6" w:rsidRDefault="00D95664" w:rsidP="00623DD9">
            <w:pPr>
              <w:pStyle w:val="TableFigureHeading"/>
              <w:rPr>
                <w:b w:val="0"/>
                <w:bCs w:val="0"/>
              </w:rPr>
            </w:pPr>
            <w:r>
              <w:rPr>
                <w:b w:val="0"/>
                <w:bCs w:val="0"/>
              </w:rPr>
              <w:t>10 (23.8%)</w:t>
            </w:r>
          </w:p>
        </w:tc>
        <w:tc>
          <w:tcPr>
            <w:tcW w:w="3006" w:type="dxa"/>
          </w:tcPr>
          <w:p w14:paraId="724FC1C2" w14:textId="77777777" w:rsidR="00D95664" w:rsidRDefault="00D95664" w:rsidP="00623DD9">
            <w:pPr>
              <w:pStyle w:val="TableFigureHeading"/>
              <w:rPr>
                <w:b w:val="0"/>
                <w:bCs w:val="0"/>
              </w:rPr>
            </w:pPr>
          </w:p>
          <w:p w14:paraId="31A29979" w14:textId="7B6DA3C7" w:rsidR="00D95664" w:rsidRPr="008B13C6" w:rsidRDefault="00D95664" w:rsidP="00623DD9">
            <w:pPr>
              <w:pStyle w:val="TableFigureHeading"/>
              <w:rPr>
                <w:b w:val="0"/>
                <w:bCs w:val="0"/>
              </w:rPr>
            </w:pPr>
            <w:r>
              <w:rPr>
                <w:b w:val="0"/>
                <w:bCs w:val="0"/>
              </w:rPr>
              <w:t xml:space="preserve">78 (53.9%) </w:t>
            </w:r>
          </w:p>
        </w:tc>
      </w:tr>
    </w:tbl>
    <w:p w14:paraId="766BD9ED" w14:textId="14AC0B19" w:rsidR="00D95664" w:rsidRDefault="00AA0907" w:rsidP="00D95664">
      <w:pPr>
        <w:pStyle w:val="TableFigureFooter"/>
      </w:pPr>
      <w:r w:rsidRPr="00557792">
        <w:t xml:space="preserve"> </w:t>
      </w:r>
      <w:bookmarkStart w:id="31" w:name="_Toc22897642"/>
      <w:r w:rsidR="000D067E">
        <w:t xml:space="preserve">Source: GPBK-082018 CSR, Table 22, p62, Table 24, p63, </w:t>
      </w:r>
      <w:r w:rsidR="00D95664">
        <w:t xml:space="preserve">Table 26, p64; Glaser DA, Pariser DM, Hebert AA, et al. </w:t>
      </w:r>
      <w:proofErr w:type="spellStart"/>
      <w:r w:rsidR="00D95664" w:rsidRPr="00D95664">
        <w:rPr>
          <w:i/>
          <w:iCs/>
        </w:rPr>
        <w:t>Pediatric</w:t>
      </w:r>
      <w:proofErr w:type="spellEnd"/>
      <w:r w:rsidR="00D95664" w:rsidRPr="00D95664">
        <w:rPr>
          <w:i/>
          <w:iCs/>
        </w:rPr>
        <w:t xml:space="preserve"> Dermatol</w:t>
      </w:r>
      <w:r w:rsidR="00D95664">
        <w:t xml:space="preserve"> 2015; 32:609-617. BL = baseline; CFB = change from baseline; SD = standard deviation.</w:t>
      </w:r>
    </w:p>
    <w:p w14:paraId="46C767E8" w14:textId="4CCA4E7F" w:rsidR="005E74FB" w:rsidRDefault="005E74FB" w:rsidP="002721B7">
      <w:pPr>
        <w:pStyle w:val="3-BodyText"/>
      </w:pPr>
      <w:r>
        <w:t xml:space="preserve">As in adults, BTA was, overall, </w:t>
      </w:r>
      <w:r w:rsidR="00B9429D">
        <w:t>associated with a greater reduction in sweat production</w:t>
      </w:r>
      <w:r>
        <w:t xml:space="preserve"> than GPB</w:t>
      </w:r>
      <w:r w:rsidR="00926FB4">
        <w:t xml:space="preserve"> in adolescence</w:t>
      </w:r>
      <w:r>
        <w:t xml:space="preserve">. There was no common or comparable quality of life measure in the two studies. </w:t>
      </w:r>
    </w:p>
    <w:p w14:paraId="477BED5B" w14:textId="261845B9" w:rsidR="0095700B" w:rsidRDefault="0095700B" w:rsidP="002721B7">
      <w:pPr>
        <w:pStyle w:val="3-BodyText"/>
      </w:pPr>
      <w:r>
        <w:t>Longer term outcomes were reported for patients in Phase</w:t>
      </w:r>
      <w:r w:rsidR="002758B6">
        <w:t xml:space="preserve"> </w:t>
      </w:r>
      <w:r>
        <w:t>3</w:t>
      </w:r>
      <w:r w:rsidR="002758B6">
        <w:t>b</w:t>
      </w:r>
      <w:r>
        <w:t xml:space="preserve"> of Hyp1-18/2016. </w:t>
      </w:r>
      <w:r w:rsidR="00C0655C">
        <w:t>Th</w:t>
      </w:r>
      <w:r w:rsidR="00C22E8C">
        <w:t>is phase included</w:t>
      </w:r>
      <w:r w:rsidR="00C0655C">
        <w:t xml:space="preserve"> 161 patients who continued from the GPB or placebo arms of Phase 3a and 357 newly recruited patients. </w:t>
      </w:r>
      <w:r w:rsidR="00C22E8C">
        <w:t xml:space="preserve">Most outcomes were reported </w:t>
      </w:r>
      <w:r w:rsidR="002E233A">
        <w:t xml:space="preserve">only </w:t>
      </w:r>
      <w:r w:rsidR="00C22E8C">
        <w:t>for 12 weeks of treatment, with limited data for 72 weeks treatment; r</w:t>
      </w:r>
      <w:r>
        <w:t xml:space="preserve">esults for the proportion of patients with improvement of at least 2 points in the HDSS and for DLQI scores to 72 weeks are shown in </w:t>
      </w:r>
      <w:r w:rsidR="00AD0699">
        <w:fldChar w:fldCharType="begin" w:fldLock="1"/>
      </w:r>
      <w:r w:rsidR="00AD0699">
        <w:instrText xml:space="preserve"> REF _Ref206405936 \h </w:instrText>
      </w:r>
      <w:r w:rsidR="00AD0699">
        <w:fldChar w:fldCharType="separate"/>
      </w:r>
      <w:r w:rsidR="004D6DEB">
        <w:t xml:space="preserve">Table </w:t>
      </w:r>
      <w:r w:rsidR="004D6DEB">
        <w:rPr>
          <w:noProof/>
        </w:rPr>
        <w:t>6</w:t>
      </w:r>
      <w:r w:rsidR="00AD0699">
        <w:fldChar w:fldCharType="end"/>
      </w:r>
      <w:r w:rsidR="00AD0699">
        <w:t xml:space="preserve">. </w:t>
      </w:r>
    </w:p>
    <w:p w14:paraId="1B1AD7A2" w14:textId="4635BAC5" w:rsidR="0095700B" w:rsidRDefault="00AD0699" w:rsidP="00AD0699">
      <w:pPr>
        <w:pStyle w:val="Caption"/>
      </w:pPr>
      <w:bookmarkStart w:id="32" w:name="_Ref206405936"/>
      <w:r>
        <w:t xml:space="preserve">Table </w:t>
      </w:r>
      <w:r w:rsidR="007C24FD">
        <w:fldChar w:fldCharType="begin" w:fldLock="1"/>
      </w:r>
      <w:r w:rsidR="007C24FD">
        <w:instrText xml:space="preserve"> SEQ Table \* ARABIC </w:instrText>
      </w:r>
      <w:r w:rsidR="007C24FD">
        <w:fldChar w:fldCharType="separate"/>
      </w:r>
      <w:r w:rsidR="004D6DEB">
        <w:rPr>
          <w:noProof/>
        </w:rPr>
        <w:t>6</w:t>
      </w:r>
      <w:r w:rsidR="007C24FD">
        <w:rPr>
          <w:noProof/>
        </w:rPr>
        <w:fldChar w:fldCharType="end"/>
      </w:r>
      <w:bookmarkEnd w:id="32"/>
      <w:r>
        <w:t xml:space="preserve">: </w:t>
      </w:r>
      <w:r w:rsidR="0095700B">
        <w:t>Efficacy to 72 weeks in Phase 3</w:t>
      </w:r>
      <w:r w:rsidR="002B1BE2">
        <w:t>b</w:t>
      </w:r>
      <w:r w:rsidR="0095700B">
        <w:t xml:space="preserve"> of Hyp1-8/2016</w:t>
      </w:r>
    </w:p>
    <w:tbl>
      <w:tblPr>
        <w:tblStyle w:val="TableGrid"/>
        <w:tblW w:w="0" w:type="auto"/>
        <w:tblLook w:val="04A0" w:firstRow="1" w:lastRow="0" w:firstColumn="1" w:lastColumn="0" w:noHBand="0" w:noVBand="1"/>
        <w:tblCaption w:val="Table 6"/>
        <w:tblDescription w:val="Efficacy to 72 weeks in Phase 3b of Hyp1-8/2016"/>
      </w:tblPr>
      <w:tblGrid>
        <w:gridCol w:w="1782"/>
        <w:gridCol w:w="1887"/>
        <w:gridCol w:w="1782"/>
        <w:gridCol w:w="1624"/>
        <w:gridCol w:w="1942"/>
      </w:tblGrid>
      <w:tr w:rsidR="00C0655C" w14:paraId="79B5902C" w14:textId="77777777">
        <w:tc>
          <w:tcPr>
            <w:tcW w:w="1782" w:type="dxa"/>
          </w:tcPr>
          <w:p w14:paraId="0702F356" w14:textId="77777777" w:rsidR="00C0655C" w:rsidRDefault="00C0655C" w:rsidP="0095700B">
            <w:pPr>
              <w:pStyle w:val="TableFigureHeading"/>
            </w:pPr>
          </w:p>
        </w:tc>
        <w:tc>
          <w:tcPr>
            <w:tcW w:w="3669" w:type="dxa"/>
            <w:gridSpan w:val="2"/>
          </w:tcPr>
          <w:p w14:paraId="3A8C97BC" w14:textId="76D35582" w:rsidR="00A3436D" w:rsidRDefault="00C0655C" w:rsidP="00C22E8C">
            <w:pPr>
              <w:pStyle w:val="TableFigureHeading"/>
              <w:jc w:val="center"/>
            </w:pPr>
            <w:r>
              <w:t xml:space="preserve">HDSS </w:t>
            </w:r>
            <w:r>
              <w:sym w:font="Symbol" w:char="F0B3"/>
            </w:r>
            <w:r>
              <w:t>2 point CFB</w:t>
            </w:r>
          </w:p>
        </w:tc>
        <w:tc>
          <w:tcPr>
            <w:tcW w:w="3566" w:type="dxa"/>
            <w:gridSpan w:val="2"/>
          </w:tcPr>
          <w:p w14:paraId="3EA5CCFB" w14:textId="24844A39" w:rsidR="00C0655C" w:rsidRDefault="00C0655C" w:rsidP="00C22E8C">
            <w:pPr>
              <w:pStyle w:val="TableFigureHeading"/>
              <w:jc w:val="center"/>
            </w:pPr>
            <w:r>
              <w:t>DLQI Score</w:t>
            </w:r>
          </w:p>
        </w:tc>
      </w:tr>
      <w:tr w:rsidR="00C0655C" w14:paraId="17538B1E" w14:textId="77777777" w:rsidTr="00105DEB">
        <w:tc>
          <w:tcPr>
            <w:tcW w:w="1782" w:type="dxa"/>
          </w:tcPr>
          <w:p w14:paraId="4568E3C4" w14:textId="77777777" w:rsidR="00C0655C" w:rsidRDefault="00C0655C" w:rsidP="0095700B">
            <w:pPr>
              <w:pStyle w:val="TableFigureHeading"/>
            </w:pPr>
          </w:p>
        </w:tc>
        <w:tc>
          <w:tcPr>
            <w:tcW w:w="1887" w:type="dxa"/>
          </w:tcPr>
          <w:p w14:paraId="63F6B2BD" w14:textId="66E19E8E" w:rsidR="00C0655C" w:rsidRDefault="00C0655C" w:rsidP="0095700B">
            <w:pPr>
              <w:pStyle w:val="TableFigureHeading"/>
            </w:pPr>
            <w:r>
              <w:t>n</w:t>
            </w:r>
            <w:r w:rsidR="00A3436D">
              <w:t>/N</w:t>
            </w:r>
          </w:p>
        </w:tc>
        <w:tc>
          <w:tcPr>
            <w:tcW w:w="1782" w:type="dxa"/>
          </w:tcPr>
          <w:p w14:paraId="0A33E304" w14:textId="1249B20A" w:rsidR="00C0655C" w:rsidRDefault="00C0655C" w:rsidP="0095700B">
            <w:pPr>
              <w:pStyle w:val="TableFigureHeading"/>
            </w:pPr>
            <w:r>
              <w:t>% (95% CI)</w:t>
            </w:r>
          </w:p>
        </w:tc>
        <w:tc>
          <w:tcPr>
            <w:tcW w:w="1624" w:type="dxa"/>
          </w:tcPr>
          <w:p w14:paraId="5DB0BD1B" w14:textId="1C7DE58F" w:rsidR="00C0655C" w:rsidRDefault="00A3436D" w:rsidP="0095700B">
            <w:pPr>
              <w:pStyle w:val="TableFigureHeading"/>
            </w:pPr>
            <w:r>
              <w:t>N</w:t>
            </w:r>
          </w:p>
        </w:tc>
        <w:tc>
          <w:tcPr>
            <w:tcW w:w="1942" w:type="dxa"/>
          </w:tcPr>
          <w:p w14:paraId="0398C894" w14:textId="5344B2FD" w:rsidR="00C0655C" w:rsidRDefault="00A3436D" w:rsidP="00105DEB">
            <w:pPr>
              <w:pStyle w:val="TableFigureHeading"/>
            </w:pPr>
            <w:r>
              <w:t>CFB</w:t>
            </w:r>
            <w:r w:rsidR="00105DEB">
              <w:t>, m</w:t>
            </w:r>
            <w:r>
              <w:t>edian (95% CI)</w:t>
            </w:r>
          </w:p>
        </w:tc>
      </w:tr>
      <w:tr w:rsidR="00C0655C" w14:paraId="669C1410" w14:textId="77777777" w:rsidTr="00105DEB">
        <w:tc>
          <w:tcPr>
            <w:tcW w:w="1782" w:type="dxa"/>
          </w:tcPr>
          <w:p w14:paraId="7B0CBDF5" w14:textId="64254426" w:rsidR="00C0655C" w:rsidRPr="00A3436D" w:rsidRDefault="00C0655C" w:rsidP="0095700B">
            <w:pPr>
              <w:pStyle w:val="TableFigureHeading"/>
              <w:rPr>
                <w:b w:val="0"/>
                <w:bCs w:val="0"/>
              </w:rPr>
            </w:pPr>
            <w:r w:rsidRPr="00A3436D">
              <w:rPr>
                <w:b w:val="0"/>
                <w:bCs w:val="0"/>
              </w:rPr>
              <w:t>Week 8</w:t>
            </w:r>
          </w:p>
        </w:tc>
        <w:tc>
          <w:tcPr>
            <w:tcW w:w="1887" w:type="dxa"/>
          </w:tcPr>
          <w:p w14:paraId="32E06BD2" w14:textId="684F5606" w:rsidR="00C0655C" w:rsidRPr="00A3436D" w:rsidRDefault="00A3436D" w:rsidP="0095700B">
            <w:pPr>
              <w:pStyle w:val="TableFigureHeading"/>
              <w:rPr>
                <w:b w:val="0"/>
                <w:bCs w:val="0"/>
              </w:rPr>
            </w:pPr>
            <w:r w:rsidRPr="00A3436D">
              <w:rPr>
                <w:b w:val="0"/>
                <w:bCs w:val="0"/>
              </w:rPr>
              <w:t>138</w:t>
            </w:r>
            <w:r>
              <w:rPr>
                <w:b w:val="0"/>
                <w:bCs w:val="0"/>
              </w:rPr>
              <w:t>/518</w:t>
            </w:r>
          </w:p>
        </w:tc>
        <w:tc>
          <w:tcPr>
            <w:tcW w:w="1782" w:type="dxa"/>
          </w:tcPr>
          <w:p w14:paraId="66952EE1" w14:textId="1CDA9E5F" w:rsidR="00C0655C" w:rsidRPr="00A3436D" w:rsidRDefault="00A3436D" w:rsidP="0095700B">
            <w:pPr>
              <w:pStyle w:val="TableFigureHeading"/>
              <w:rPr>
                <w:b w:val="0"/>
                <w:bCs w:val="0"/>
              </w:rPr>
            </w:pPr>
            <w:r>
              <w:rPr>
                <w:b w:val="0"/>
                <w:bCs w:val="0"/>
              </w:rPr>
              <w:t>27% (23%, 31%)</w:t>
            </w:r>
          </w:p>
        </w:tc>
        <w:tc>
          <w:tcPr>
            <w:tcW w:w="1624" w:type="dxa"/>
          </w:tcPr>
          <w:p w14:paraId="03D022BC" w14:textId="4EC749CB" w:rsidR="00C0655C" w:rsidRPr="00A3436D" w:rsidRDefault="00A3436D" w:rsidP="0095700B">
            <w:pPr>
              <w:pStyle w:val="TableFigureHeading"/>
              <w:rPr>
                <w:b w:val="0"/>
                <w:bCs w:val="0"/>
              </w:rPr>
            </w:pPr>
            <w:r>
              <w:rPr>
                <w:b w:val="0"/>
                <w:bCs w:val="0"/>
              </w:rPr>
              <w:t>472</w:t>
            </w:r>
          </w:p>
        </w:tc>
        <w:tc>
          <w:tcPr>
            <w:tcW w:w="1942" w:type="dxa"/>
          </w:tcPr>
          <w:p w14:paraId="0434548B" w14:textId="43DC9EC4" w:rsidR="00C0655C" w:rsidRPr="00A3436D" w:rsidRDefault="00A3436D" w:rsidP="0095700B">
            <w:pPr>
              <w:pStyle w:val="TableFigureHeading"/>
              <w:rPr>
                <w:b w:val="0"/>
                <w:bCs w:val="0"/>
              </w:rPr>
            </w:pPr>
            <w:r>
              <w:rPr>
                <w:b w:val="0"/>
                <w:bCs w:val="0"/>
              </w:rPr>
              <w:t>-7.0 (-8.0, -6.0)</w:t>
            </w:r>
          </w:p>
        </w:tc>
      </w:tr>
      <w:tr w:rsidR="00A3436D" w14:paraId="55C0A5B8" w14:textId="77777777" w:rsidTr="00105DEB">
        <w:tc>
          <w:tcPr>
            <w:tcW w:w="1782" w:type="dxa"/>
          </w:tcPr>
          <w:p w14:paraId="79216DDF" w14:textId="134BFC5F" w:rsidR="00A3436D" w:rsidRPr="00A3436D" w:rsidRDefault="00A3436D" w:rsidP="0095700B">
            <w:pPr>
              <w:pStyle w:val="TableFigureHeading"/>
              <w:rPr>
                <w:b w:val="0"/>
                <w:bCs w:val="0"/>
              </w:rPr>
            </w:pPr>
            <w:r>
              <w:rPr>
                <w:b w:val="0"/>
                <w:bCs w:val="0"/>
              </w:rPr>
              <w:t>Week 12</w:t>
            </w:r>
          </w:p>
        </w:tc>
        <w:tc>
          <w:tcPr>
            <w:tcW w:w="1887" w:type="dxa"/>
          </w:tcPr>
          <w:p w14:paraId="1280F289" w14:textId="7A22D0E2" w:rsidR="00A3436D" w:rsidRPr="00A3436D" w:rsidRDefault="00A3436D" w:rsidP="0095700B">
            <w:pPr>
              <w:pStyle w:val="TableFigureHeading"/>
              <w:rPr>
                <w:b w:val="0"/>
                <w:bCs w:val="0"/>
              </w:rPr>
            </w:pPr>
            <w:r>
              <w:rPr>
                <w:b w:val="0"/>
                <w:bCs w:val="0"/>
              </w:rPr>
              <w:t>145/518</w:t>
            </w:r>
          </w:p>
        </w:tc>
        <w:tc>
          <w:tcPr>
            <w:tcW w:w="1782" w:type="dxa"/>
          </w:tcPr>
          <w:p w14:paraId="77E5223F" w14:textId="340C6CF6" w:rsidR="00A3436D" w:rsidRDefault="00A3436D" w:rsidP="0095700B">
            <w:pPr>
              <w:pStyle w:val="TableFigureHeading"/>
              <w:rPr>
                <w:b w:val="0"/>
                <w:bCs w:val="0"/>
              </w:rPr>
            </w:pPr>
            <w:r>
              <w:rPr>
                <w:b w:val="0"/>
                <w:bCs w:val="0"/>
              </w:rPr>
              <w:t>28% (24%, 32%)</w:t>
            </w:r>
          </w:p>
        </w:tc>
        <w:tc>
          <w:tcPr>
            <w:tcW w:w="1624" w:type="dxa"/>
          </w:tcPr>
          <w:p w14:paraId="2C5FB8BC" w14:textId="3C0114CC" w:rsidR="00A3436D" w:rsidRPr="00A3436D" w:rsidRDefault="00A3436D" w:rsidP="0095700B">
            <w:pPr>
              <w:pStyle w:val="TableFigureHeading"/>
              <w:rPr>
                <w:b w:val="0"/>
                <w:bCs w:val="0"/>
              </w:rPr>
            </w:pPr>
            <w:r>
              <w:rPr>
                <w:b w:val="0"/>
                <w:bCs w:val="0"/>
              </w:rPr>
              <w:t>468</w:t>
            </w:r>
          </w:p>
        </w:tc>
        <w:tc>
          <w:tcPr>
            <w:tcW w:w="1942" w:type="dxa"/>
          </w:tcPr>
          <w:p w14:paraId="6F3EC2B6" w14:textId="6B649EC1" w:rsidR="00A3436D" w:rsidRPr="00A3436D" w:rsidRDefault="00A3436D" w:rsidP="0095700B">
            <w:pPr>
              <w:pStyle w:val="TableFigureHeading"/>
              <w:rPr>
                <w:b w:val="0"/>
                <w:bCs w:val="0"/>
              </w:rPr>
            </w:pPr>
            <w:r>
              <w:rPr>
                <w:b w:val="0"/>
                <w:bCs w:val="0"/>
              </w:rPr>
              <w:t>-7.0 (-8.0, -7.0)</w:t>
            </w:r>
          </w:p>
        </w:tc>
      </w:tr>
      <w:tr w:rsidR="00C0655C" w14:paraId="5C00206B" w14:textId="77777777" w:rsidTr="00105DEB">
        <w:tc>
          <w:tcPr>
            <w:tcW w:w="1782" w:type="dxa"/>
          </w:tcPr>
          <w:p w14:paraId="0CBA932A" w14:textId="4A999E63" w:rsidR="00C0655C" w:rsidRPr="00A3436D" w:rsidRDefault="00A3436D" w:rsidP="0095700B">
            <w:pPr>
              <w:pStyle w:val="TableFigureHeading"/>
              <w:rPr>
                <w:b w:val="0"/>
                <w:bCs w:val="0"/>
              </w:rPr>
            </w:pPr>
            <w:r>
              <w:rPr>
                <w:b w:val="0"/>
                <w:bCs w:val="0"/>
              </w:rPr>
              <w:t>Week 52</w:t>
            </w:r>
          </w:p>
        </w:tc>
        <w:tc>
          <w:tcPr>
            <w:tcW w:w="1887" w:type="dxa"/>
          </w:tcPr>
          <w:p w14:paraId="6CAC7491" w14:textId="12E26DA5" w:rsidR="00C0655C" w:rsidRPr="00A3436D" w:rsidRDefault="00A3436D" w:rsidP="0095700B">
            <w:pPr>
              <w:pStyle w:val="TableFigureHeading"/>
              <w:rPr>
                <w:b w:val="0"/>
                <w:bCs w:val="0"/>
              </w:rPr>
            </w:pPr>
            <w:r>
              <w:rPr>
                <w:b w:val="0"/>
                <w:bCs w:val="0"/>
              </w:rPr>
              <w:t>156/518</w:t>
            </w:r>
          </w:p>
        </w:tc>
        <w:tc>
          <w:tcPr>
            <w:tcW w:w="1782" w:type="dxa"/>
          </w:tcPr>
          <w:p w14:paraId="2F00D55D" w14:textId="728DE24C" w:rsidR="00C0655C" w:rsidRPr="00A3436D" w:rsidRDefault="00A3436D" w:rsidP="0095700B">
            <w:pPr>
              <w:pStyle w:val="TableFigureHeading"/>
              <w:rPr>
                <w:b w:val="0"/>
                <w:bCs w:val="0"/>
              </w:rPr>
            </w:pPr>
            <w:r>
              <w:rPr>
                <w:b w:val="0"/>
                <w:bCs w:val="0"/>
              </w:rPr>
              <w:t>30% (26%, 34%)</w:t>
            </w:r>
          </w:p>
        </w:tc>
        <w:tc>
          <w:tcPr>
            <w:tcW w:w="1624" w:type="dxa"/>
          </w:tcPr>
          <w:p w14:paraId="0FECEF3E" w14:textId="1AD0656B" w:rsidR="00C0655C" w:rsidRPr="00A3436D" w:rsidRDefault="00A3436D" w:rsidP="0095700B">
            <w:pPr>
              <w:pStyle w:val="TableFigureHeading"/>
              <w:rPr>
                <w:b w:val="0"/>
                <w:bCs w:val="0"/>
              </w:rPr>
            </w:pPr>
            <w:r>
              <w:rPr>
                <w:b w:val="0"/>
                <w:bCs w:val="0"/>
              </w:rPr>
              <w:t>383</w:t>
            </w:r>
          </w:p>
        </w:tc>
        <w:tc>
          <w:tcPr>
            <w:tcW w:w="1942" w:type="dxa"/>
          </w:tcPr>
          <w:p w14:paraId="4E061FD5" w14:textId="1A90047A" w:rsidR="00C0655C" w:rsidRPr="00A3436D" w:rsidRDefault="00A3436D" w:rsidP="0095700B">
            <w:pPr>
              <w:pStyle w:val="TableFigureHeading"/>
              <w:rPr>
                <w:b w:val="0"/>
                <w:bCs w:val="0"/>
              </w:rPr>
            </w:pPr>
            <w:r>
              <w:rPr>
                <w:b w:val="0"/>
                <w:bCs w:val="0"/>
              </w:rPr>
              <w:t>-9.0 (-10.0, -8.0)</w:t>
            </w:r>
          </w:p>
        </w:tc>
      </w:tr>
      <w:tr w:rsidR="00C0655C" w14:paraId="3685FB80" w14:textId="77777777" w:rsidTr="00105DEB">
        <w:tc>
          <w:tcPr>
            <w:tcW w:w="1782" w:type="dxa"/>
          </w:tcPr>
          <w:p w14:paraId="0BE8943F" w14:textId="1F49E8EA" w:rsidR="00C0655C" w:rsidRPr="00A3436D" w:rsidRDefault="00A3436D" w:rsidP="0095700B">
            <w:pPr>
              <w:pStyle w:val="TableFigureHeading"/>
              <w:rPr>
                <w:b w:val="0"/>
                <w:bCs w:val="0"/>
              </w:rPr>
            </w:pPr>
            <w:r>
              <w:rPr>
                <w:b w:val="0"/>
                <w:bCs w:val="0"/>
              </w:rPr>
              <w:t>Week 72</w:t>
            </w:r>
          </w:p>
        </w:tc>
        <w:tc>
          <w:tcPr>
            <w:tcW w:w="1887" w:type="dxa"/>
          </w:tcPr>
          <w:p w14:paraId="748BF386" w14:textId="74526C15" w:rsidR="00C0655C" w:rsidRPr="00A3436D" w:rsidRDefault="00A3436D" w:rsidP="0095700B">
            <w:pPr>
              <w:pStyle w:val="TableFigureHeading"/>
              <w:rPr>
                <w:b w:val="0"/>
                <w:bCs w:val="0"/>
              </w:rPr>
            </w:pPr>
            <w:r>
              <w:rPr>
                <w:b w:val="0"/>
                <w:bCs w:val="0"/>
              </w:rPr>
              <w:t>166 /518</w:t>
            </w:r>
          </w:p>
        </w:tc>
        <w:tc>
          <w:tcPr>
            <w:tcW w:w="1782" w:type="dxa"/>
          </w:tcPr>
          <w:p w14:paraId="380A5630" w14:textId="23886B9E" w:rsidR="00C0655C" w:rsidRPr="00A3436D" w:rsidRDefault="00A3436D" w:rsidP="0095700B">
            <w:pPr>
              <w:pStyle w:val="TableFigureHeading"/>
              <w:rPr>
                <w:b w:val="0"/>
                <w:bCs w:val="0"/>
              </w:rPr>
            </w:pPr>
            <w:r>
              <w:rPr>
                <w:b w:val="0"/>
                <w:bCs w:val="0"/>
              </w:rPr>
              <w:t>32% (28%, 36%)</w:t>
            </w:r>
          </w:p>
        </w:tc>
        <w:tc>
          <w:tcPr>
            <w:tcW w:w="1624" w:type="dxa"/>
          </w:tcPr>
          <w:p w14:paraId="755831BC" w14:textId="7E77B32A" w:rsidR="00C0655C" w:rsidRPr="00A3436D" w:rsidRDefault="00A3436D" w:rsidP="0095700B">
            <w:pPr>
              <w:pStyle w:val="TableFigureHeading"/>
              <w:rPr>
                <w:b w:val="0"/>
                <w:bCs w:val="0"/>
              </w:rPr>
            </w:pPr>
            <w:r>
              <w:rPr>
                <w:b w:val="0"/>
                <w:bCs w:val="0"/>
              </w:rPr>
              <w:t>369</w:t>
            </w:r>
          </w:p>
        </w:tc>
        <w:tc>
          <w:tcPr>
            <w:tcW w:w="1942" w:type="dxa"/>
          </w:tcPr>
          <w:p w14:paraId="7F9948AC" w14:textId="77AD81E2" w:rsidR="00C0655C" w:rsidRPr="00A3436D" w:rsidRDefault="00A3436D" w:rsidP="0095700B">
            <w:pPr>
              <w:pStyle w:val="TableFigureHeading"/>
              <w:rPr>
                <w:b w:val="0"/>
                <w:bCs w:val="0"/>
              </w:rPr>
            </w:pPr>
            <w:r>
              <w:rPr>
                <w:b w:val="0"/>
                <w:bCs w:val="0"/>
              </w:rPr>
              <w:t>-10.0 (-10.0, -9.0)</w:t>
            </w:r>
          </w:p>
        </w:tc>
      </w:tr>
    </w:tbl>
    <w:p w14:paraId="30E16416" w14:textId="33A3994B" w:rsidR="0095700B" w:rsidRDefault="00A3436D" w:rsidP="004C2D52">
      <w:pPr>
        <w:pStyle w:val="TableFigureFooter"/>
      </w:pPr>
      <w:r>
        <w:t xml:space="preserve">Source: </w:t>
      </w:r>
      <w:r w:rsidR="004C2D52">
        <w:t>Hyp1-8/2016 Phase 3B CSR, Table 43, p107, Table 46, p111. CFB = change from baseline; CI = confidence interval; DLQI = dermatology life quality index - lower scores indicate improved quality of life; HDSS = hyperhidrosis disease severity score.</w:t>
      </w:r>
      <w:r w:rsidR="00AB04F6">
        <w:t xml:space="preserve"> </w:t>
      </w:r>
    </w:p>
    <w:p w14:paraId="41A2F3CA" w14:textId="551147ED" w:rsidR="004C2D52" w:rsidRPr="004C2D52" w:rsidRDefault="002E233A" w:rsidP="002721B7">
      <w:pPr>
        <w:pStyle w:val="3-BodyText"/>
      </w:pPr>
      <w:r>
        <w:t>The proportion of patients with a r</w:t>
      </w:r>
      <w:r w:rsidR="004C2D52">
        <w:t>esponse to GPB w</w:t>
      </w:r>
      <w:r>
        <w:t>as stable</w:t>
      </w:r>
      <w:r w:rsidR="004C2D52">
        <w:t xml:space="preserve"> to 72 weeks. However, Phase 3b was open label and uncontrolled, and in the placebo-controlled Phase 3a placebo-treatment was associated with a rate of response in HDSS and improvements in DLQI about half </w:t>
      </w:r>
      <w:r w:rsidR="00226D80">
        <w:t xml:space="preserve">of </w:t>
      </w:r>
      <w:r w:rsidR="004C2D52">
        <w:t xml:space="preserve">those seen with GPB treatment. Because it is unknown how the placebo-response would have changed over the longer treatment period, these results should be interpreted </w:t>
      </w:r>
      <w:r w:rsidR="00E93CFD">
        <w:t xml:space="preserve">with </w:t>
      </w:r>
      <w:r w:rsidR="004C2D52">
        <w:t>cautio</w:t>
      </w:r>
      <w:r w:rsidR="00E93CFD">
        <w:t>n</w:t>
      </w:r>
      <w:r w:rsidR="004C2D52" w:rsidRPr="00465EE4">
        <w:t xml:space="preserve">. </w:t>
      </w:r>
      <w:r w:rsidR="001115D6" w:rsidRPr="00465EE4">
        <w:t>The evaluation</w:t>
      </w:r>
      <w:r w:rsidRPr="00465EE4">
        <w:t xml:space="preserve"> noted</w:t>
      </w:r>
      <w:r>
        <w:t xml:space="preserve"> that the data are the proportion responding at each time point, not the proportion responding at every time point </w:t>
      </w:r>
      <w:r w:rsidR="002C5658">
        <w:t>i.e.</w:t>
      </w:r>
      <w:r>
        <w:t xml:space="preserve">, with a sustained response. </w:t>
      </w:r>
    </w:p>
    <w:p w14:paraId="1452C351" w14:textId="7E030383" w:rsidR="00B60939" w:rsidRPr="0098262F" w:rsidRDefault="00B60939" w:rsidP="00CE20DE">
      <w:pPr>
        <w:pStyle w:val="4-SubsectionHeading"/>
      </w:pPr>
      <w:bookmarkStart w:id="33" w:name="_Toc208997657"/>
      <w:r w:rsidRPr="0098262F">
        <w:t>Comparative harms</w:t>
      </w:r>
      <w:bookmarkEnd w:id="31"/>
      <w:bookmarkEnd w:id="33"/>
    </w:p>
    <w:p w14:paraId="21624C8B" w14:textId="52A112F8" w:rsidR="00AB04F6" w:rsidRDefault="00CE20DE" w:rsidP="00F83730">
      <w:pPr>
        <w:pStyle w:val="3-BodyText"/>
        <w:rPr>
          <w:bCs/>
        </w:rPr>
      </w:pPr>
      <w:r w:rsidRPr="00CE20DE">
        <w:t xml:space="preserve">Adverse events in the submitted trials </w:t>
      </w:r>
      <w:r>
        <w:t xml:space="preserve">in adults </w:t>
      </w:r>
      <w:r w:rsidRPr="00CE20DE">
        <w:t>are shown in</w:t>
      </w:r>
      <w:r w:rsidR="00AB04F6">
        <w:t xml:space="preserve"> </w:t>
      </w:r>
      <w:r w:rsidR="00AD0699">
        <w:fldChar w:fldCharType="begin" w:fldLock="1"/>
      </w:r>
      <w:r w:rsidR="00AD0699">
        <w:instrText xml:space="preserve"> REF _Ref205981520 \h </w:instrText>
      </w:r>
      <w:r w:rsidR="00AD0699">
        <w:fldChar w:fldCharType="separate"/>
      </w:r>
      <w:r w:rsidR="004D6DEB">
        <w:t xml:space="preserve">Table </w:t>
      </w:r>
      <w:r w:rsidR="004D6DEB">
        <w:rPr>
          <w:noProof/>
        </w:rPr>
        <w:t>7</w:t>
      </w:r>
      <w:r w:rsidR="00AD0699">
        <w:fldChar w:fldCharType="end"/>
      </w:r>
      <w:r w:rsidR="00AD0699">
        <w:t xml:space="preserve">. </w:t>
      </w:r>
      <w:r w:rsidR="00290A06">
        <w:t xml:space="preserve">Heckmann (2001) did not provide useful data for systemic adverse events because all patients received BTA, and </w:t>
      </w:r>
      <w:r w:rsidR="008A3E71">
        <w:t xml:space="preserve">no </w:t>
      </w:r>
      <w:r w:rsidR="00290A06">
        <w:t>adverse events at the injection sites were reported; the clinicaltrials.gov entry for</w:t>
      </w:r>
      <w:r w:rsidR="00290A06" w:rsidRPr="00290A06">
        <w:rPr>
          <w:bCs/>
        </w:rPr>
        <w:t xml:space="preserve"> NCT01128738</w:t>
      </w:r>
      <w:r w:rsidR="00290A06">
        <w:rPr>
          <w:bCs/>
        </w:rPr>
        <w:t xml:space="preserve"> did not report adverse events systematically. </w:t>
      </w:r>
    </w:p>
    <w:p w14:paraId="250FB326" w14:textId="77777777" w:rsidR="00F83730" w:rsidRPr="00F83730" w:rsidRDefault="00F83730" w:rsidP="00F83730">
      <w:pPr>
        <w:pStyle w:val="3-BodyText"/>
        <w:numPr>
          <w:ilvl w:val="0"/>
          <w:numId w:val="0"/>
        </w:numPr>
        <w:ind w:left="720"/>
        <w:rPr>
          <w:bCs/>
        </w:rPr>
      </w:pPr>
    </w:p>
    <w:p w14:paraId="7FC3D354" w14:textId="2F07B5DB" w:rsidR="00CE20DE" w:rsidRDefault="00686210" w:rsidP="00686210">
      <w:pPr>
        <w:pStyle w:val="Caption"/>
      </w:pPr>
      <w:bookmarkStart w:id="34" w:name="_Ref205981520"/>
      <w:r>
        <w:t xml:space="preserve">Table </w:t>
      </w:r>
      <w:r w:rsidR="007C24FD">
        <w:fldChar w:fldCharType="begin" w:fldLock="1"/>
      </w:r>
      <w:r w:rsidR="007C24FD">
        <w:instrText xml:space="preserve"> SEQ Table \* ARABIC </w:instrText>
      </w:r>
      <w:r w:rsidR="007C24FD">
        <w:fldChar w:fldCharType="separate"/>
      </w:r>
      <w:r w:rsidR="004D6DEB">
        <w:rPr>
          <w:noProof/>
        </w:rPr>
        <w:t>7</w:t>
      </w:r>
      <w:r w:rsidR="007C24FD">
        <w:rPr>
          <w:noProof/>
        </w:rPr>
        <w:fldChar w:fldCharType="end"/>
      </w:r>
      <w:bookmarkEnd w:id="34"/>
      <w:r>
        <w:t xml:space="preserve">: </w:t>
      </w:r>
      <w:r w:rsidR="00CE20DE" w:rsidRPr="00660A51">
        <w:t>Adverse events in adults</w:t>
      </w:r>
    </w:p>
    <w:tbl>
      <w:tblPr>
        <w:tblStyle w:val="TableGrid"/>
        <w:tblW w:w="0" w:type="auto"/>
        <w:tblLook w:val="04A0" w:firstRow="1" w:lastRow="0" w:firstColumn="1" w:lastColumn="0" w:noHBand="0" w:noVBand="1"/>
        <w:tblCaption w:val="Table 7"/>
        <w:tblDescription w:val="Adverse events in adults"/>
      </w:tblPr>
      <w:tblGrid>
        <w:gridCol w:w="3005"/>
        <w:gridCol w:w="3006"/>
        <w:gridCol w:w="3006"/>
      </w:tblGrid>
      <w:tr w:rsidR="00660A51" w:rsidRPr="00C34C12" w14:paraId="5046F364" w14:textId="77777777" w:rsidTr="00834893">
        <w:tc>
          <w:tcPr>
            <w:tcW w:w="9017" w:type="dxa"/>
            <w:gridSpan w:val="3"/>
          </w:tcPr>
          <w:p w14:paraId="62256956" w14:textId="77777777" w:rsidR="00660A51" w:rsidRPr="00C34C12" w:rsidRDefault="00660A51" w:rsidP="00834893">
            <w:pPr>
              <w:pStyle w:val="TableFigureHeading"/>
              <w:jc w:val="center"/>
              <w:rPr>
                <w:color w:val="000000" w:themeColor="text1"/>
              </w:rPr>
            </w:pPr>
            <w:r w:rsidRPr="00C34C12">
              <w:rPr>
                <w:color w:val="000000" w:themeColor="text1"/>
              </w:rPr>
              <w:t>Glycopyrronium bromide</w:t>
            </w:r>
          </w:p>
        </w:tc>
      </w:tr>
      <w:tr w:rsidR="00660A51" w:rsidRPr="00C34C12" w14:paraId="4A9A1D1B" w14:textId="77777777" w:rsidTr="00834893">
        <w:tc>
          <w:tcPr>
            <w:tcW w:w="9017" w:type="dxa"/>
            <w:gridSpan w:val="3"/>
          </w:tcPr>
          <w:p w14:paraId="4CF4136D" w14:textId="77777777" w:rsidR="00660A51" w:rsidRPr="00C34C12" w:rsidRDefault="00660A51" w:rsidP="00834893">
            <w:pPr>
              <w:pStyle w:val="TableFigureHeading"/>
              <w:rPr>
                <w:color w:val="000000" w:themeColor="text1"/>
              </w:rPr>
            </w:pPr>
            <w:r>
              <w:rPr>
                <w:color w:val="000000" w:themeColor="text1"/>
              </w:rPr>
              <w:t>Hyp1-18/2016 Phase 3a</w:t>
            </w:r>
          </w:p>
        </w:tc>
      </w:tr>
      <w:tr w:rsidR="00660A51" w:rsidRPr="00C34C12" w14:paraId="5B12900D" w14:textId="77777777" w:rsidTr="00834893">
        <w:tc>
          <w:tcPr>
            <w:tcW w:w="3005" w:type="dxa"/>
          </w:tcPr>
          <w:p w14:paraId="155B6CDA" w14:textId="77777777" w:rsidR="00660A51" w:rsidRPr="00C34C12" w:rsidRDefault="00660A51" w:rsidP="00834893">
            <w:pPr>
              <w:pStyle w:val="TableFigureHeading"/>
              <w:rPr>
                <w:color w:val="000000" w:themeColor="text1"/>
              </w:rPr>
            </w:pPr>
          </w:p>
        </w:tc>
        <w:tc>
          <w:tcPr>
            <w:tcW w:w="3006" w:type="dxa"/>
          </w:tcPr>
          <w:p w14:paraId="6F6BAB14" w14:textId="77777777" w:rsidR="00660A51" w:rsidRPr="00C34C12" w:rsidRDefault="00660A51" w:rsidP="00834893">
            <w:pPr>
              <w:pStyle w:val="TableFigureHeading"/>
              <w:rPr>
                <w:color w:val="000000" w:themeColor="text1"/>
              </w:rPr>
            </w:pPr>
            <w:r w:rsidRPr="00C34C12">
              <w:rPr>
                <w:color w:val="000000" w:themeColor="text1"/>
              </w:rPr>
              <w:t xml:space="preserve">Glycopyrronium </w:t>
            </w:r>
            <w:r>
              <w:rPr>
                <w:color w:val="000000" w:themeColor="text1"/>
              </w:rPr>
              <w:t>N = 87</w:t>
            </w:r>
          </w:p>
        </w:tc>
        <w:tc>
          <w:tcPr>
            <w:tcW w:w="3006" w:type="dxa"/>
          </w:tcPr>
          <w:p w14:paraId="108F0DD6" w14:textId="77777777" w:rsidR="00660A51" w:rsidRPr="00C34C12" w:rsidRDefault="00660A51" w:rsidP="00834893">
            <w:pPr>
              <w:pStyle w:val="TableFigureHeading"/>
              <w:rPr>
                <w:color w:val="000000" w:themeColor="text1"/>
              </w:rPr>
            </w:pPr>
            <w:r>
              <w:rPr>
                <w:color w:val="000000" w:themeColor="text1"/>
              </w:rPr>
              <w:t>Placebo N = 84</w:t>
            </w:r>
          </w:p>
        </w:tc>
      </w:tr>
      <w:tr w:rsidR="00660A51" w:rsidRPr="00C34C12" w14:paraId="6329ED76" w14:textId="77777777" w:rsidTr="00834893">
        <w:tc>
          <w:tcPr>
            <w:tcW w:w="3005" w:type="dxa"/>
          </w:tcPr>
          <w:p w14:paraId="49400307" w14:textId="52884E02" w:rsidR="00660A51" w:rsidRPr="005A6169" w:rsidRDefault="00660A51" w:rsidP="00660A51">
            <w:pPr>
              <w:pStyle w:val="TableFigureHeading"/>
              <w:rPr>
                <w:b w:val="0"/>
                <w:bCs w:val="0"/>
                <w:color w:val="000000" w:themeColor="text1"/>
              </w:rPr>
            </w:pPr>
            <w:r>
              <w:rPr>
                <w:b w:val="0"/>
                <w:bCs w:val="0"/>
                <w:color w:val="000000" w:themeColor="text1"/>
              </w:rPr>
              <w:t>Patients with any TEAE, n (%)</w:t>
            </w:r>
          </w:p>
        </w:tc>
        <w:tc>
          <w:tcPr>
            <w:tcW w:w="3006" w:type="dxa"/>
          </w:tcPr>
          <w:p w14:paraId="3ADDD0AE" w14:textId="43A92A83" w:rsidR="00660A51" w:rsidRPr="005A6169" w:rsidRDefault="00660A51" w:rsidP="00834893">
            <w:pPr>
              <w:pStyle w:val="TableFigureHeading"/>
              <w:rPr>
                <w:b w:val="0"/>
                <w:bCs w:val="0"/>
                <w:color w:val="000000" w:themeColor="text1"/>
              </w:rPr>
            </w:pPr>
            <w:r>
              <w:rPr>
                <w:b w:val="0"/>
                <w:bCs w:val="0"/>
                <w:color w:val="000000" w:themeColor="text1"/>
              </w:rPr>
              <w:t>43 (49.4%)</w:t>
            </w:r>
          </w:p>
        </w:tc>
        <w:tc>
          <w:tcPr>
            <w:tcW w:w="3006" w:type="dxa"/>
          </w:tcPr>
          <w:p w14:paraId="02A3DB8A" w14:textId="61A1961E" w:rsidR="00660A51" w:rsidRPr="005A6169" w:rsidRDefault="00660A51" w:rsidP="00834893">
            <w:pPr>
              <w:pStyle w:val="TableFigureHeading"/>
              <w:rPr>
                <w:b w:val="0"/>
                <w:bCs w:val="0"/>
                <w:color w:val="000000" w:themeColor="text1"/>
              </w:rPr>
            </w:pPr>
            <w:r>
              <w:rPr>
                <w:b w:val="0"/>
                <w:bCs w:val="0"/>
                <w:color w:val="000000" w:themeColor="text1"/>
              </w:rPr>
              <w:t>37 (44.0%)</w:t>
            </w:r>
          </w:p>
        </w:tc>
      </w:tr>
      <w:tr w:rsidR="00660A51" w:rsidRPr="00C34C12" w14:paraId="171EF81F" w14:textId="77777777" w:rsidTr="00834893">
        <w:tc>
          <w:tcPr>
            <w:tcW w:w="3005" w:type="dxa"/>
          </w:tcPr>
          <w:p w14:paraId="237A1E6E" w14:textId="7E0C9EB1" w:rsidR="00660A51" w:rsidRPr="005A6169" w:rsidRDefault="00660A51" w:rsidP="00660A51">
            <w:pPr>
              <w:pStyle w:val="TableFigureHeading"/>
              <w:rPr>
                <w:b w:val="0"/>
                <w:bCs w:val="0"/>
                <w:color w:val="000000" w:themeColor="text1"/>
              </w:rPr>
            </w:pPr>
            <w:r>
              <w:rPr>
                <w:b w:val="0"/>
                <w:bCs w:val="0"/>
                <w:color w:val="000000" w:themeColor="text1"/>
              </w:rPr>
              <w:t>Patients with any TESAE, n (%)</w:t>
            </w:r>
          </w:p>
        </w:tc>
        <w:tc>
          <w:tcPr>
            <w:tcW w:w="3006" w:type="dxa"/>
          </w:tcPr>
          <w:p w14:paraId="39B0EBB6" w14:textId="792864F2" w:rsidR="00660A51" w:rsidRPr="005A6169" w:rsidRDefault="00660A51" w:rsidP="00834893">
            <w:pPr>
              <w:pStyle w:val="TableFigureHeading"/>
              <w:rPr>
                <w:b w:val="0"/>
                <w:bCs w:val="0"/>
                <w:color w:val="000000" w:themeColor="text1"/>
              </w:rPr>
            </w:pPr>
            <w:r>
              <w:rPr>
                <w:b w:val="0"/>
                <w:bCs w:val="0"/>
                <w:color w:val="000000" w:themeColor="text1"/>
              </w:rPr>
              <w:t>1 (1.1%)</w:t>
            </w:r>
          </w:p>
        </w:tc>
        <w:tc>
          <w:tcPr>
            <w:tcW w:w="3006" w:type="dxa"/>
          </w:tcPr>
          <w:p w14:paraId="732615CB" w14:textId="4947340D" w:rsidR="00660A51" w:rsidRPr="005A6169" w:rsidRDefault="00660A51" w:rsidP="00834893">
            <w:pPr>
              <w:pStyle w:val="TableFigureHeading"/>
              <w:rPr>
                <w:b w:val="0"/>
                <w:bCs w:val="0"/>
                <w:color w:val="000000" w:themeColor="text1"/>
              </w:rPr>
            </w:pPr>
            <w:r>
              <w:rPr>
                <w:b w:val="0"/>
                <w:bCs w:val="0"/>
                <w:color w:val="000000" w:themeColor="text1"/>
              </w:rPr>
              <w:t>0</w:t>
            </w:r>
          </w:p>
        </w:tc>
      </w:tr>
      <w:tr w:rsidR="00660A51" w:rsidRPr="00C34C12" w14:paraId="6F55C8F6" w14:textId="77777777" w:rsidTr="00834893">
        <w:tc>
          <w:tcPr>
            <w:tcW w:w="3005" w:type="dxa"/>
          </w:tcPr>
          <w:p w14:paraId="119E00F0" w14:textId="7DD16C69" w:rsidR="00660A51" w:rsidRPr="005A6169" w:rsidRDefault="001735BB" w:rsidP="00834893">
            <w:pPr>
              <w:pStyle w:val="TableFigureHeading"/>
              <w:rPr>
                <w:b w:val="0"/>
                <w:bCs w:val="0"/>
                <w:color w:val="000000" w:themeColor="text1"/>
              </w:rPr>
            </w:pPr>
            <w:r>
              <w:rPr>
                <w:b w:val="0"/>
                <w:bCs w:val="0"/>
                <w:color w:val="000000" w:themeColor="text1"/>
              </w:rPr>
              <w:t>Patients with moderate or severe TEAE, n (%)</w:t>
            </w:r>
          </w:p>
        </w:tc>
        <w:tc>
          <w:tcPr>
            <w:tcW w:w="3006" w:type="dxa"/>
          </w:tcPr>
          <w:p w14:paraId="3E948258" w14:textId="77777777" w:rsidR="00660A51" w:rsidRDefault="00660A51" w:rsidP="00834893">
            <w:pPr>
              <w:pStyle w:val="TableFigureHeading"/>
              <w:rPr>
                <w:color w:val="000000" w:themeColor="text1"/>
              </w:rPr>
            </w:pPr>
          </w:p>
          <w:p w14:paraId="7A5B9558" w14:textId="217ACEFF" w:rsidR="001735BB" w:rsidRPr="001735BB" w:rsidRDefault="001735BB" w:rsidP="00834893">
            <w:pPr>
              <w:pStyle w:val="TableFigureHeading"/>
              <w:rPr>
                <w:b w:val="0"/>
                <w:bCs w:val="0"/>
                <w:color w:val="000000" w:themeColor="text1"/>
              </w:rPr>
            </w:pPr>
            <w:r w:rsidRPr="001735BB">
              <w:rPr>
                <w:b w:val="0"/>
                <w:bCs w:val="0"/>
                <w:color w:val="000000" w:themeColor="text1"/>
              </w:rPr>
              <w:t xml:space="preserve">6 </w:t>
            </w:r>
            <w:r>
              <w:rPr>
                <w:b w:val="0"/>
                <w:bCs w:val="0"/>
                <w:color w:val="000000" w:themeColor="text1"/>
              </w:rPr>
              <w:t>(6.9%)</w:t>
            </w:r>
          </w:p>
        </w:tc>
        <w:tc>
          <w:tcPr>
            <w:tcW w:w="3006" w:type="dxa"/>
          </w:tcPr>
          <w:p w14:paraId="267D53F2" w14:textId="77777777" w:rsidR="00660A51" w:rsidRDefault="00660A51" w:rsidP="00834893">
            <w:pPr>
              <w:pStyle w:val="TableFigureHeading"/>
              <w:rPr>
                <w:b w:val="0"/>
                <w:bCs w:val="0"/>
                <w:color w:val="000000" w:themeColor="text1"/>
              </w:rPr>
            </w:pPr>
          </w:p>
          <w:p w14:paraId="6F28125F" w14:textId="5BDD9A00" w:rsidR="00660A51" w:rsidRPr="001735BB" w:rsidRDefault="001735BB" w:rsidP="00834893">
            <w:pPr>
              <w:pStyle w:val="TableFigureHeading"/>
              <w:rPr>
                <w:b w:val="0"/>
                <w:bCs w:val="0"/>
                <w:color w:val="000000" w:themeColor="text1"/>
              </w:rPr>
            </w:pPr>
            <w:r w:rsidRPr="001735BB">
              <w:rPr>
                <w:b w:val="0"/>
                <w:bCs w:val="0"/>
                <w:color w:val="000000" w:themeColor="text1"/>
              </w:rPr>
              <w:t xml:space="preserve">1 </w:t>
            </w:r>
            <w:r>
              <w:rPr>
                <w:b w:val="0"/>
                <w:bCs w:val="0"/>
                <w:color w:val="000000" w:themeColor="text1"/>
              </w:rPr>
              <w:t>(1.</w:t>
            </w:r>
            <w:r w:rsidR="005F1DA5">
              <w:rPr>
                <w:b w:val="0"/>
                <w:bCs w:val="0"/>
                <w:color w:val="000000" w:themeColor="text1"/>
              </w:rPr>
              <w:t>2</w:t>
            </w:r>
            <w:r>
              <w:rPr>
                <w:b w:val="0"/>
                <w:bCs w:val="0"/>
                <w:color w:val="000000" w:themeColor="text1"/>
              </w:rPr>
              <w:t>%)</w:t>
            </w:r>
          </w:p>
        </w:tc>
      </w:tr>
      <w:tr w:rsidR="00660A51" w:rsidRPr="00C34C12" w14:paraId="0930BF08" w14:textId="77777777" w:rsidTr="00834893">
        <w:tc>
          <w:tcPr>
            <w:tcW w:w="3005" w:type="dxa"/>
          </w:tcPr>
          <w:p w14:paraId="490B6859" w14:textId="039E1E61" w:rsidR="00660A51" w:rsidRPr="005A6169" w:rsidRDefault="001735BB" w:rsidP="00834893">
            <w:pPr>
              <w:pStyle w:val="TableFigureHeading"/>
              <w:rPr>
                <w:b w:val="0"/>
                <w:bCs w:val="0"/>
                <w:color w:val="000000" w:themeColor="text1"/>
              </w:rPr>
            </w:pPr>
            <w:r>
              <w:rPr>
                <w:b w:val="0"/>
                <w:bCs w:val="0"/>
                <w:color w:val="000000" w:themeColor="text1"/>
              </w:rPr>
              <w:t>TEAE leading to treatment interruption, n (%)</w:t>
            </w:r>
            <w:r w:rsidRPr="001735BB">
              <w:rPr>
                <w:b w:val="0"/>
                <w:bCs w:val="0"/>
                <w:color w:val="000000" w:themeColor="text1"/>
                <w:vertAlign w:val="superscript"/>
              </w:rPr>
              <w:t>1</w:t>
            </w:r>
          </w:p>
        </w:tc>
        <w:tc>
          <w:tcPr>
            <w:tcW w:w="3006" w:type="dxa"/>
          </w:tcPr>
          <w:p w14:paraId="55AEF639" w14:textId="77777777" w:rsidR="00660A51" w:rsidRDefault="00660A51" w:rsidP="00834893">
            <w:pPr>
              <w:pStyle w:val="TableFigureHeading"/>
              <w:rPr>
                <w:b w:val="0"/>
                <w:bCs w:val="0"/>
                <w:color w:val="000000" w:themeColor="text1"/>
              </w:rPr>
            </w:pPr>
          </w:p>
          <w:p w14:paraId="3428C505" w14:textId="51BC56A9" w:rsidR="00660A51" w:rsidRPr="005A6169" w:rsidRDefault="001735BB" w:rsidP="00834893">
            <w:pPr>
              <w:pStyle w:val="TableFigureHeading"/>
              <w:rPr>
                <w:b w:val="0"/>
                <w:bCs w:val="0"/>
                <w:color w:val="000000" w:themeColor="text1"/>
              </w:rPr>
            </w:pPr>
            <w:r>
              <w:rPr>
                <w:b w:val="0"/>
                <w:bCs w:val="0"/>
                <w:color w:val="000000" w:themeColor="text1"/>
              </w:rPr>
              <w:t>5 (5.7%)</w:t>
            </w:r>
          </w:p>
        </w:tc>
        <w:tc>
          <w:tcPr>
            <w:tcW w:w="3006" w:type="dxa"/>
          </w:tcPr>
          <w:p w14:paraId="1B1B2244" w14:textId="77777777" w:rsidR="00660A51" w:rsidRDefault="00660A51" w:rsidP="00834893">
            <w:pPr>
              <w:pStyle w:val="TableFigureHeading"/>
              <w:rPr>
                <w:b w:val="0"/>
                <w:bCs w:val="0"/>
                <w:color w:val="000000" w:themeColor="text1"/>
              </w:rPr>
            </w:pPr>
          </w:p>
          <w:p w14:paraId="7AFE4F2F" w14:textId="41556205" w:rsidR="00660A51" w:rsidRPr="005A6169" w:rsidRDefault="001735BB" w:rsidP="00834893">
            <w:pPr>
              <w:pStyle w:val="TableFigureHeading"/>
              <w:rPr>
                <w:b w:val="0"/>
                <w:bCs w:val="0"/>
                <w:color w:val="000000" w:themeColor="text1"/>
              </w:rPr>
            </w:pPr>
            <w:r>
              <w:rPr>
                <w:b w:val="0"/>
                <w:bCs w:val="0"/>
                <w:color w:val="000000" w:themeColor="text1"/>
              </w:rPr>
              <w:t>0</w:t>
            </w:r>
          </w:p>
        </w:tc>
      </w:tr>
      <w:tr w:rsidR="00660A51" w:rsidRPr="00C34C12" w14:paraId="324811A2" w14:textId="77777777" w:rsidTr="00834893">
        <w:tc>
          <w:tcPr>
            <w:tcW w:w="3005" w:type="dxa"/>
          </w:tcPr>
          <w:p w14:paraId="2E1D3A3F" w14:textId="0C9B32FC" w:rsidR="00660A51" w:rsidRDefault="001735BB" w:rsidP="00834893">
            <w:pPr>
              <w:pStyle w:val="TableFigureHeading"/>
              <w:rPr>
                <w:b w:val="0"/>
                <w:bCs w:val="0"/>
                <w:color w:val="000000" w:themeColor="text1"/>
              </w:rPr>
            </w:pPr>
            <w:r>
              <w:rPr>
                <w:b w:val="0"/>
                <w:bCs w:val="0"/>
                <w:color w:val="000000" w:themeColor="text1"/>
              </w:rPr>
              <w:t>Dry Mouth, n (%)</w:t>
            </w:r>
          </w:p>
        </w:tc>
        <w:tc>
          <w:tcPr>
            <w:tcW w:w="3006" w:type="dxa"/>
          </w:tcPr>
          <w:p w14:paraId="508EF6E8" w14:textId="7A14A985" w:rsidR="00660A51" w:rsidRDefault="001735BB" w:rsidP="00834893">
            <w:pPr>
              <w:pStyle w:val="TableFigureHeading"/>
              <w:rPr>
                <w:b w:val="0"/>
                <w:bCs w:val="0"/>
                <w:color w:val="000000" w:themeColor="text1"/>
              </w:rPr>
            </w:pPr>
            <w:r>
              <w:rPr>
                <w:b w:val="0"/>
                <w:bCs w:val="0"/>
                <w:color w:val="000000" w:themeColor="text1"/>
              </w:rPr>
              <w:t>14 (16.1%)</w:t>
            </w:r>
          </w:p>
        </w:tc>
        <w:tc>
          <w:tcPr>
            <w:tcW w:w="3006" w:type="dxa"/>
          </w:tcPr>
          <w:p w14:paraId="6119B52B" w14:textId="594552E5" w:rsidR="00660A51" w:rsidRDefault="001735BB" w:rsidP="00834893">
            <w:pPr>
              <w:pStyle w:val="TableFigureHeading"/>
              <w:rPr>
                <w:b w:val="0"/>
                <w:bCs w:val="0"/>
                <w:color w:val="000000" w:themeColor="text1"/>
              </w:rPr>
            </w:pPr>
            <w:r>
              <w:rPr>
                <w:b w:val="0"/>
                <w:bCs w:val="0"/>
                <w:color w:val="000000" w:themeColor="text1"/>
              </w:rPr>
              <w:t>3 (3.6%)</w:t>
            </w:r>
          </w:p>
        </w:tc>
      </w:tr>
      <w:tr w:rsidR="00660A51" w:rsidRPr="00C34C12" w14:paraId="382E33EC" w14:textId="77777777" w:rsidTr="00834893">
        <w:tc>
          <w:tcPr>
            <w:tcW w:w="3005" w:type="dxa"/>
          </w:tcPr>
          <w:p w14:paraId="4D44017E" w14:textId="66911654" w:rsidR="00660A51" w:rsidRPr="005A6169" w:rsidRDefault="005F1DA5" w:rsidP="001735BB">
            <w:pPr>
              <w:pStyle w:val="TableFigureHeading"/>
              <w:rPr>
                <w:b w:val="0"/>
                <w:bCs w:val="0"/>
                <w:color w:val="000000" w:themeColor="text1"/>
              </w:rPr>
            </w:pPr>
            <w:r>
              <w:rPr>
                <w:b w:val="0"/>
                <w:bCs w:val="0"/>
                <w:color w:val="000000" w:themeColor="text1"/>
              </w:rPr>
              <w:t>Axillary Redness</w:t>
            </w:r>
            <w:r w:rsidR="001735BB">
              <w:rPr>
                <w:b w:val="0"/>
                <w:bCs w:val="0"/>
                <w:color w:val="000000" w:themeColor="text1"/>
              </w:rPr>
              <w:t>, n (%)</w:t>
            </w:r>
          </w:p>
        </w:tc>
        <w:tc>
          <w:tcPr>
            <w:tcW w:w="3006" w:type="dxa"/>
          </w:tcPr>
          <w:p w14:paraId="54829718" w14:textId="3696CB01" w:rsidR="00660A51" w:rsidRPr="005A6169" w:rsidRDefault="005F1DA5" w:rsidP="00834893">
            <w:pPr>
              <w:pStyle w:val="TableFigureHeading"/>
              <w:rPr>
                <w:b w:val="0"/>
                <w:bCs w:val="0"/>
                <w:color w:val="000000" w:themeColor="text1"/>
              </w:rPr>
            </w:pPr>
            <w:r>
              <w:rPr>
                <w:b w:val="0"/>
                <w:bCs w:val="0"/>
                <w:color w:val="000000" w:themeColor="text1"/>
              </w:rPr>
              <w:t>4 (4.6%)</w:t>
            </w:r>
          </w:p>
        </w:tc>
        <w:tc>
          <w:tcPr>
            <w:tcW w:w="3006" w:type="dxa"/>
          </w:tcPr>
          <w:p w14:paraId="4A7CFE22" w14:textId="142E380D" w:rsidR="00660A51" w:rsidRPr="005A6169" w:rsidRDefault="005F1DA5" w:rsidP="00834893">
            <w:pPr>
              <w:pStyle w:val="TableFigureHeading"/>
              <w:rPr>
                <w:b w:val="0"/>
                <w:bCs w:val="0"/>
                <w:color w:val="000000" w:themeColor="text1"/>
              </w:rPr>
            </w:pPr>
            <w:r>
              <w:rPr>
                <w:b w:val="0"/>
                <w:bCs w:val="0"/>
                <w:color w:val="000000" w:themeColor="text1"/>
              </w:rPr>
              <w:t>4 (4.8%)</w:t>
            </w:r>
          </w:p>
        </w:tc>
      </w:tr>
      <w:tr w:rsidR="00660A51" w:rsidRPr="00C34C12" w14:paraId="357EB8C9" w14:textId="77777777" w:rsidTr="00834893">
        <w:tc>
          <w:tcPr>
            <w:tcW w:w="9017" w:type="dxa"/>
            <w:gridSpan w:val="3"/>
          </w:tcPr>
          <w:p w14:paraId="7C8C82B1" w14:textId="77777777" w:rsidR="00660A51" w:rsidRPr="0037711E" w:rsidRDefault="00660A51" w:rsidP="00834893">
            <w:pPr>
              <w:pStyle w:val="TableFigureHeading"/>
              <w:jc w:val="center"/>
              <w:rPr>
                <w:color w:val="000000" w:themeColor="text1"/>
              </w:rPr>
            </w:pPr>
            <w:r w:rsidRPr="0037711E">
              <w:rPr>
                <w:color w:val="000000" w:themeColor="text1"/>
              </w:rPr>
              <w:t>Botulinum Toxin</w:t>
            </w:r>
          </w:p>
        </w:tc>
      </w:tr>
      <w:tr w:rsidR="00660A51" w:rsidRPr="00C34C12" w14:paraId="3163546C" w14:textId="77777777" w:rsidTr="00834893">
        <w:tc>
          <w:tcPr>
            <w:tcW w:w="9017" w:type="dxa"/>
            <w:gridSpan w:val="3"/>
          </w:tcPr>
          <w:p w14:paraId="5983D3DB" w14:textId="77777777" w:rsidR="00660A51" w:rsidRPr="0037711E" w:rsidRDefault="00660A51" w:rsidP="00834893">
            <w:pPr>
              <w:pStyle w:val="TableFigureHeading"/>
              <w:rPr>
                <w:color w:val="000000" w:themeColor="text1"/>
              </w:rPr>
            </w:pPr>
            <w:r w:rsidRPr="0037711E">
              <w:rPr>
                <w:color w:val="000000" w:themeColor="text1"/>
              </w:rPr>
              <w:t>Naumann, 2001</w:t>
            </w:r>
          </w:p>
        </w:tc>
      </w:tr>
      <w:tr w:rsidR="00660A51" w:rsidRPr="00C34C12" w14:paraId="2B4854F0" w14:textId="77777777" w:rsidTr="00834893">
        <w:tc>
          <w:tcPr>
            <w:tcW w:w="3005" w:type="dxa"/>
          </w:tcPr>
          <w:p w14:paraId="4AAA813C" w14:textId="77777777" w:rsidR="00660A51" w:rsidRDefault="00660A51" w:rsidP="00834893">
            <w:pPr>
              <w:pStyle w:val="TableFigureHeading"/>
              <w:rPr>
                <w:b w:val="0"/>
                <w:bCs w:val="0"/>
                <w:color w:val="000000" w:themeColor="text1"/>
              </w:rPr>
            </w:pPr>
          </w:p>
        </w:tc>
        <w:tc>
          <w:tcPr>
            <w:tcW w:w="3006" w:type="dxa"/>
          </w:tcPr>
          <w:p w14:paraId="0A2CB803" w14:textId="77777777" w:rsidR="00660A51" w:rsidRPr="00141871" w:rsidRDefault="00660A51" w:rsidP="00834893">
            <w:pPr>
              <w:pStyle w:val="TableFigureHeading"/>
              <w:rPr>
                <w:color w:val="000000" w:themeColor="text1"/>
              </w:rPr>
            </w:pPr>
            <w:r w:rsidRPr="00141871">
              <w:rPr>
                <w:color w:val="000000" w:themeColor="text1"/>
              </w:rPr>
              <w:t>Botulinum Toxin, N = 242</w:t>
            </w:r>
          </w:p>
        </w:tc>
        <w:tc>
          <w:tcPr>
            <w:tcW w:w="3006" w:type="dxa"/>
          </w:tcPr>
          <w:p w14:paraId="709BFD10" w14:textId="77777777" w:rsidR="00660A51" w:rsidRPr="00141871" w:rsidRDefault="00660A51" w:rsidP="00834893">
            <w:pPr>
              <w:pStyle w:val="TableFigureHeading"/>
              <w:rPr>
                <w:color w:val="000000" w:themeColor="text1"/>
              </w:rPr>
            </w:pPr>
            <w:r w:rsidRPr="00141871">
              <w:rPr>
                <w:color w:val="000000" w:themeColor="text1"/>
              </w:rPr>
              <w:t>Placebo, N = 78</w:t>
            </w:r>
          </w:p>
        </w:tc>
      </w:tr>
      <w:tr w:rsidR="005F1DA5" w:rsidRPr="00C34C12" w14:paraId="08CF0DE0" w14:textId="77777777" w:rsidTr="00834893">
        <w:tc>
          <w:tcPr>
            <w:tcW w:w="3005" w:type="dxa"/>
          </w:tcPr>
          <w:p w14:paraId="43A73860" w14:textId="26661277" w:rsidR="005F1DA5" w:rsidRPr="005A6169" w:rsidRDefault="005F1DA5" w:rsidP="005F1DA5">
            <w:pPr>
              <w:pStyle w:val="TableFigureHeading"/>
              <w:rPr>
                <w:b w:val="0"/>
                <w:bCs w:val="0"/>
                <w:color w:val="000000" w:themeColor="text1"/>
              </w:rPr>
            </w:pPr>
            <w:r>
              <w:rPr>
                <w:b w:val="0"/>
                <w:bCs w:val="0"/>
                <w:color w:val="000000" w:themeColor="text1"/>
              </w:rPr>
              <w:t>Patients with any Treatment-related TEAE, n (%)</w:t>
            </w:r>
          </w:p>
        </w:tc>
        <w:tc>
          <w:tcPr>
            <w:tcW w:w="3006" w:type="dxa"/>
          </w:tcPr>
          <w:p w14:paraId="5C49E31D" w14:textId="4A8B337A" w:rsidR="005F1DA5" w:rsidRPr="005A6169" w:rsidRDefault="005F1DA5" w:rsidP="005F1DA5">
            <w:pPr>
              <w:pStyle w:val="TableFigureHeading"/>
              <w:rPr>
                <w:b w:val="0"/>
                <w:bCs w:val="0"/>
                <w:color w:val="000000" w:themeColor="text1"/>
              </w:rPr>
            </w:pPr>
            <w:r>
              <w:rPr>
                <w:b w:val="0"/>
                <w:bCs w:val="0"/>
                <w:color w:val="000000" w:themeColor="text1"/>
              </w:rPr>
              <w:t>27 (11%)</w:t>
            </w:r>
          </w:p>
        </w:tc>
        <w:tc>
          <w:tcPr>
            <w:tcW w:w="3006" w:type="dxa"/>
          </w:tcPr>
          <w:p w14:paraId="5E91574D" w14:textId="5942BE5D" w:rsidR="005F1DA5" w:rsidRPr="005A6169" w:rsidRDefault="005F1DA5" w:rsidP="005F1DA5">
            <w:pPr>
              <w:pStyle w:val="TableFigureHeading"/>
              <w:rPr>
                <w:b w:val="0"/>
                <w:bCs w:val="0"/>
                <w:color w:val="000000" w:themeColor="text1"/>
              </w:rPr>
            </w:pPr>
            <w:r>
              <w:rPr>
                <w:b w:val="0"/>
                <w:bCs w:val="0"/>
                <w:color w:val="000000" w:themeColor="text1"/>
              </w:rPr>
              <w:t>4 (5%)</w:t>
            </w:r>
          </w:p>
        </w:tc>
      </w:tr>
      <w:tr w:rsidR="005F1DA5" w:rsidRPr="00C34C12" w14:paraId="6902ABAA" w14:textId="77777777" w:rsidTr="00834893">
        <w:tc>
          <w:tcPr>
            <w:tcW w:w="3005" w:type="dxa"/>
          </w:tcPr>
          <w:p w14:paraId="54F35235" w14:textId="4C284E9A" w:rsidR="005F1DA5" w:rsidRPr="005A6169" w:rsidRDefault="00834379" w:rsidP="005F1DA5">
            <w:pPr>
              <w:pStyle w:val="TableFigureHeading"/>
              <w:rPr>
                <w:b w:val="0"/>
                <w:bCs w:val="0"/>
                <w:color w:val="000000" w:themeColor="text1"/>
              </w:rPr>
            </w:pPr>
            <w:r>
              <w:rPr>
                <w:b w:val="0"/>
                <w:bCs w:val="0"/>
                <w:color w:val="000000" w:themeColor="text1"/>
              </w:rPr>
              <w:t>Increased</w:t>
            </w:r>
            <w:r w:rsidR="005F1DA5">
              <w:rPr>
                <w:b w:val="0"/>
                <w:bCs w:val="0"/>
                <w:color w:val="000000" w:themeColor="text1"/>
              </w:rPr>
              <w:t xml:space="preserve"> Sweating</w:t>
            </w:r>
            <w:r>
              <w:rPr>
                <w:b w:val="0"/>
                <w:bCs w:val="0"/>
                <w:color w:val="000000" w:themeColor="text1"/>
              </w:rPr>
              <w:t xml:space="preserve"> Beyond the Treated Area</w:t>
            </w:r>
            <w:r w:rsidR="005F1DA5">
              <w:rPr>
                <w:b w:val="0"/>
                <w:bCs w:val="0"/>
                <w:color w:val="000000" w:themeColor="text1"/>
              </w:rPr>
              <w:t>, n (%)</w:t>
            </w:r>
          </w:p>
        </w:tc>
        <w:tc>
          <w:tcPr>
            <w:tcW w:w="3006" w:type="dxa"/>
          </w:tcPr>
          <w:p w14:paraId="61C923C3" w14:textId="0E347E57" w:rsidR="005F1DA5" w:rsidRPr="005A6169" w:rsidRDefault="005F1DA5" w:rsidP="005F1DA5">
            <w:pPr>
              <w:pStyle w:val="TableFigureHeading"/>
              <w:rPr>
                <w:b w:val="0"/>
                <w:bCs w:val="0"/>
                <w:color w:val="000000" w:themeColor="text1"/>
              </w:rPr>
            </w:pPr>
            <w:r>
              <w:rPr>
                <w:b w:val="0"/>
                <w:bCs w:val="0"/>
                <w:color w:val="000000" w:themeColor="text1"/>
              </w:rPr>
              <w:t>11 (5%)</w:t>
            </w:r>
          </w:p>
        </w:tc>
        <w:tc>
          <w:tcPr>
            <w:tcW w:w="3006" w:type="dxa"/>
          </w:tcPr>
          <w:p w14:paraId="0678F2AE" w14:textId="0EDF8422" w:rsidR="005F1DA5" w:rsidRPr="005A6169" w:rsidRDefault="005F1DA5" w:rsidP="005F1DA5">
            <w:pPr>
              <w:pStyle w:val="TableFigureHeading"/>
              <w:rPr>
                <w:b w:val="0"/>
                <w:bCs w:val="0"/>
                <w:color w:val="000000" w:themeColor="text1"/>
              </w:rPr>
            </w:pPr>
            <w:r>
              <w:rPr>
                <w:b w:val="0"/>
                <w:bCs w:val="0"/>
                <w:color w:val="000000" w:themeColor="text1"/>
              </w:rPr>
              <w:t>0</w:t>
            </w:r>
          </w:p>
        </w:tc>
      </w:tr>
      <w:tr w:rsidR="005F1DA5" w:rsidRPr="00C34C12" w14:paraId="39EA2CE3" w14:textId="77777777" w:rsidTr="00834893">
        <w:tc>
          <w:tcPr>
            <w:tcW w:w="9017" w:type="dxa"/>
            <w:gridSpan w:val="3"/>
          </w:tcPr>
          <w:p w14:paraId="304DF62F" w14:textId="77777777" w:rsidR="005F1DA5" w:rsidRPr="002B2D49" w:rsidRDefault="005F1DA5" w:rsidP="005F1DA5">
            <w:pPr>
              <w:pStyle w:val="TableFigureHeading"/>
              <w:rPr>
                <w:color w:val="000000" w:themeColor="text1"/>
              </w:rPr>
            </w:pPr>
            <w:r w:rsidRPr="002B2D49">
              <w:rPr>
                <w:color w:val="000000" w:themeColor="text1"/>
              </w:rPr>
              <w:t>Lowe, 2007</w:t>
            </w:r>
          </w:p>
        </w:tc>
      </w:tr>
      <w:tr w:rsidR="005F1DA5" w:rsidRPr="00C34C12" w14:paraId="43FAE925" w14:textId="77777777" w:rsidTr="00834893">
        <w:tc>
          <w:tcPr>
            <w:tcW w:w="3005" w:type="dxa"/>
          </w:tcPr>
          <w:p w14:paraId="67C8C2B3" w14:textId="77777777" w:rsidR="005F1DA5" w:rsidRPr="005A6169" w:rsidRDefault="005F1DA5" w:rsidP="005F1DA5">
            <w:pPr>
              <w:pStyle w:val="TableFigureHeading"/>
              <w:rPr>
                <w:b w:val="0"/>
                <w:bCs w:val="0"/>
                <w:color w:val="000000" w:themeColor="text1"/>
              </w:rPr>
            </w:pPr>
          </w:p>
        </w:tc>
        <w:tc>
          <w:tcPr>
            <w:tcW w:w="3006" w:type="dxa"/>
          </w:tcPr>
          <w:p w14:paraId="51413E8E" w14:textId="03F7EE9F" w:rsidR="005F1DA5" w:rsidRPr="007255FF" w:rsidRDefault="005F1DA5" w:rsidP="005F1DA5">
            <w:pPr>
              <w:pStyle w:val="TableFigureHeading"/>
              <w:rPr>
                <w:color w:val="000000" w:themeColor="text1"/>
              </w:rPr>
            </w:pPr>
            <w:r w:rsidRPr="007255FF">
              <w:rPr>
                <w:color w:val="000000" w:themeColor="text1"/>
              </w:rPr>
              <w:t>Botulinum Toxin</w:t>
            </w:r>
            <w:r>
              <w:rPr>
                <w:color w:val="000000" w:themeColor="text1"/>
              </w:rPr>
              <w:t>,</w:t>
            </w:r>
            <w:r w:rsidRPr="007255FF">
              <w:rPr>
                <w:color w:val="000000" w:themeColor="text1"/>
              </w:rPr>
              <w:t xml:space="preserve"> </w:t>
            </w:r>
            <w:r>
              <w:rPr>
                <w:color w:val="000000" w:themeColor="text1"/>
              </w:rPr>
              <w:t>50U per axilla dose</w:t>
            </w:r>
            <w:r w:rsidRPr="007255FF">
              <w:rPr>
                <w:color w:val="000000" w:themeColor="text1"/>
              </w:rPr>
              <w:t>,</w:t>
            </w:r>
            <w:r w:rsidR="008C1D22">
              <w:rPr>
                <w:color w:val="000000" w:themeColor="text1"/>
              </w:rPr>
              <w:t xml:space="preserve"> </w:t>
            </w:r>
            <w:r w:rsidRPr="007255FF">
              <w:rPr>
                <w:color w:val="000000" w:themeColor="text1"/>
              </w:rPr>
              <w:t xml:space="preserve">N = </w:t>
            </w:r>
            <w:r>
              <w:rPr>
                <w:color w:val="000000" w:themeColor="text1"/>
              </w:rPr>
              <w:t>104</w:t>
            </w:r>
          </w:p>
        </w:tc>
        <w:tc>
          <w:tcPr>
            <w:tcW w:w="3006" w:type="dxa"/>
          </w:tcPr>
          <w:p w14:paraId="4F09BF40" w14:textId="77777777" w:rsidR="005F1DA5" w:rsidRPr="007255FF" w:rsidRDefault="005F1DA5" w:rsidP="005F1DA5">
            <w:pPr>
              <w:pStyle w:val="TableFigureHeading"/>
              <w:rPr>
                <w:color w:val="000000" w:themeColor="text1"/>
              </w:rPr>
            </w:pPr>
            <w:r w:rsidRPr="007255FF">
              <w:rPr>
                <w:color w:val="000000" w:themeColor="text1"/>
              </w:rPr>
              <w:t>Placebo, N = 108</w:t>
            </w:r>
          </w:p>
        </w:tc>
      </w:tr>
      <w:tr w:rsidR="005F1DA5" w:rsidRPr="00C34C12" w14:paraId="73AB7BAF" w14:textId="77777777" w:rsidTr="00834893">
        <w:tc>
          <w:tcPr>
            <w:tcW w:w="3005" w:type="dxa"/>
          </w:tcPr>
          <w:p w14:paraId="1FCD4936" w14:textId="699C25E1" w:rsidR="005F1DA5" w:rsidRPr="005A6169" w:rsidRDefault="00834379" w:rsidP="005F1DA5">
            <w:pPr>
              <w:pStyle w:val="TableFigureHeading"/>
              <w:rPr>
                <w:b w:val="0"/>
                <w:bCs w:val="0"/>
                <w:color w:val="000000" w:themeColor="text1"/>
              </w:rPr>
            </w:pPr>
            <w:r>
              <w:rPr>
                <w:b w:val="0"/>
                <w:bCs w:val="0"/>
                <w:color w:val="000000" w:themeColor="text1"/>
              </w:rPr>
              <w:t>Increased Sweating Beyond the Treated Area</w:t>
            </w:r>
            <w:r w:rsidR="005F1DA5">
              <w:rPr>
                <w:b w:val="0"/>
                <w:bCs w:val="0"/>
                <w:color w:val="000000" w:themeColor="text1"/>
              </w:rPr>
              <w:t>, %</w:t>
            </w:r>
          </w:p>
        </w:tc>
        <w:tc>
          <w:tcPr>
            <w:tcW w:w="3006" w:type="dxa"/>
          </w:tcPr>
          <w:p w14:paraId="085D1D2B" w14:textId="6AB5B108" w:rsidR="005F1DA5" w:rsidRPr="005A6169" w:rsidRDefault="00260F1D" w:rsidP="005F1DA5">
            <w:pPr>
              <w:pStyle w:val="TableFigureHeading"/>
              <w:rPr>
                <w:b w:val="0"/>
                <w:bCs w:val="0"/>
                <w:color w:val="000000" w:themeColor="text1"/>
              </w:rPr>
            </w:pPr>
            <w:r>
              <w:rPr>
                <w:b w:val="0"/>
                <w:bCs w:val="0"/>
                <w:color w:val="000000" w:themeColor="text1"/>
              </w:rPr>
              <w:t>10%</w:t>
            </w:r>
          </w:p>
        </w:tc>
        <w:tc>
          <w:tcPr>
            <w:tcW w:w="3006" w:type="dxa"/>
          </w:tcPr>
          <w:p w14:paraId="395E59E5" w14:textId="6DB74FED" w:rsidR="005F1DA5" w:rsidRPr="005A6169" w:rsidRDefault="00260F1D" w:rsidP="005F1DA5">
            <w:pPr>
              <w:pStyle w:val="TableFigureHeading"/>
              <w:rPr>
                <w:b w:val="0"/>
                <w:bCs w:val="0"/>
                <w:color w:val="000000" w:themeColor="text1"/>
              </w:rPr>
            </w:pPr>
            <w:r>
              <w:rPr>
                <w:b w:val="0"/>
                <w:bCs w:val="0"/>
                <w:color w:val="000000" w:themeColor="text1"/>
              </w:rPr>
              <w:t>4%</w:t>
            </w:r>
          </w:p>
        </w:tc>
      </w:tr>
      <w:tr w:rsidR="0064734D" w:rsidRPr="00C34C12" w14:paraId="3E1B0D6B" w14:textId="77777777" w:rsidTr="00834893">
        <w:tc>
          <w:tcPr>
            <w:tcW w:w="3005" w:type="dxa"/>
          </w:tcPr>
          <w:p w14:paraId="2462E002" w14:textId="74AFDB68" w:rsidR="0064734D" w:rsidRDefault="0064734D" w:rsidP="005F1DA5">
            <w:pPr>
              <w:pStyle w:val="TableFigureHeading"/>
              <w:rPr>
                <w:b w:val="0"/>
                <w:bCs w:val="0"/>
                <w:color w:val="000000" w:themeColor="text1"/>
              </w:rPr>
            </w:pPr>
            <w:r>
              <w:rPr>
                <w:b w:val="0"/>
                <w:bCs w:val="0"/>
                <w:color w:val="000000" w:themeColor="text1"/>
              </w:rPr>
              <w:t>Injection Site Pain, %</w:t>
            </w:r>
          </w:p>
        </w:tc>
        <w:tc>
          <w:tcPr>
            <w:tcW w:w="3006" w:type="dxa"/>
          </w:tcPr>
          <w:p w14:paraId="003874F6" w14:textId="01C495E6" w:rsidR="0064734D" w:rsidRDefault="0064734D" w:rsidP="005F1DA5">
            <w:pPr>
              <w:pStyle w:val="TableFigureHeading"/>
              <w:rPr>
                <w:b w:val="0"/>
                <w:bCs w:val="0"/>
                <w:color w:val="000000" w:themeColor="text1"/>
              </w:rPr>
            </w:pPr>
            <w:r>
              <w:rPr>
                <w:b w:val="0"/>
                <w:bCs w:val="0"/>
                <w:color w:val="000000" w:themeColor="text1"/>
              </w:rPr>
              <w:t>12%</w:t>
            </w:r>
          </w:p>
        </w:tc>
        <w:tc>
          <w:tcPr>
            <w:tcW w:w="3006" w:type="dxa"/>
          </w:tcPr>
          <w:p w14:paraId="10EBB8BE" w14:textId="3E695686" w:rsidR="0064734D" w:rsidRDefault="0064734D" w:rsidP="005F1DA5">
            <w:pPr>
              <w:pStyle w:val="TableFigureHeading"/>
              <w:rPr>
                <w:b w:val="0"/>
                <w:bCs w:val="0"/>
                <w:color w:val="000000" w:themeColor="text1"/>
              </w:rPr>
            </w:pPr>
            <w:r>
              <w:rPr>
                <w:b w:val="0"/>
                <w:bCs w:val="0"/>
                <w:color w:val="000000" w:themeColor="text1"/>
              </w:rPr>
              <w:t>8%</w:t>
            </w:r>
          </w:p>
        </w:tc>
      </w:tr>
    </w:tbl>
    <w:p w14:paraId="3EE1707E" w14:textId="53CB74D3" w:rsidR="001735BB" w:rsidRDefault="00660A51" w:rsidP="00660A51">
      <w:pPr>
        <w:pStyle w:val="TableFigureFooter"/>
      </w:pPr>
      <w:r>
        <w:t>Source: Hyp1-18/2016 CSR,</w:t>
      </w:r>
      <w:r w:rsidR="00C52D2C">
        <w:t xml:space="preserve"> </w:t>
      </w:r>
      <w:r w:rsidR="008C1D22">
        <w:t>Table 25, p74, Table 26, p75, Table 31, p79, Table 32, p80</w:t>
      </w:r>
      <w:r>
        <w:t>; constructed during the evaluation from published reports.</w:t>
      </w:r>
      <w:r w:rsidR="001735BB">
        <w:t xml:space="preserve"> </w:t>
      </w:r>
      <w:r w:rsidR="0064734D">
        <w:t xml:space="preserve">TEAE = treatment-emergent adverse event; TESAE = treatment-emergent serious adverse event. </w:t>
      </w:r>
    </w:p>
    <w:p w14:paraId="693E7716" w14:textId="11B7E2D0" w:rsidR="00660A51" w:rsidRDefault="001735BB" w:rsidP="00660A51">
      <w:pPr>
        <w:pStyle w:val="TableFigureFooter"/>
      </w:pPr>
      <w:r w:rsidRPr="001735BB">
        <w:rPr>
          <w:vertAlign w:val="superscript"/>
        </w:rPr>
        <w:t>1</w:t>
      </w:r>
      <w:r>
        <w:t xml:space="preserve"> No patient discontinued treatment permanently because of </w:t>
      </w:r>
      <w:r w:rsidR="0064734D">
        <w:t xml:space="preserve">an adverse event. </w:t>
      </w:r>
    </w:p>
    <w:p w14:paraId="12CF7B14" w14:textId="3BC7B935" w:rsidR="00290A06" w:rsidRPr="001331CE" w:rsidRDefault="0064734D" w:rsidP="002721B7">
      <w:pPr>
        <w:pStyle w:val="3-BodyText"/>
      </w:pPr>
      <w:r w:rsidRPr="001331CE">
        <w:t>Adverse events were minor and</w:t>
      </w:r>
      <w:r w:rsidR="00290A06" w:rsidRPr="001331CE">
        <w:t>, except for dry mouth,</w:t>
      </w:r>
      <w:r w:rsidRPr="001331CE">
        <w:t xml:space="preserve"> uncommon in the GPB trial. </w:t>
      </w:r>
      <w:r w:rsidR="00EC28A6" w:rsidRPr="001331CE">
        <w:t>However, dry mouth is a systemic anti-cholinergic effect, so other systemic anti-cholinergic effects, such as urinary retention, constipation, tachycardia and blurred vision are likely to occur in widespread</w:t>
      </w:r>
      <w:r w:rsidR="00001D77" w:rsidRPr="001331CE">
        <w:t>,</w:t>
      </w:r>
      <w:r w:rsidR="00EC28A6" w:rsidRPr="001331CE">
        <w:t xml:space="preserve"> prolonged use. </w:t>
      </w:r>
    </w:p>
    <w:p w14:paraId="6660006C" w14:textId="2C8ED5C4" w:rsidR="00660A51" w:rsidRPr="001331CE" w:rsidRDefault="0064734D" w:rsidP="002721B7">
      <w:pPr>
        <w:pStyle w:val="3-BodyText"/>
      </w:pPr>
      <w:r w:rsidRPr="001331CE">
        <w:t xml:space="preserve">Assessment of adverse events in the BTA trials </w:t>
      </w:r>
      <w:r w:rsidR="008B3479" w:rsidRPr="001331CE">
        <w:t>was</w:t>
      </w:r>
      <w:r w:rsidRPr="001331CE">
        <w:t xml:space="preserve"> hampered by inadequate reporting, but no excess of severe or serious events with BTA was reported.</w:t>
      </w:r>
      <w:r w:rsidR="00834379" w:rsidRPr="001331CE">
        <w:t xml:space="preserve"> I</w:t>
      </w:r>
      <w:r w:rsidR="00290A06" w:rsidRPr="001331CE">
        <w:t>ncreased sweating outside the treated area was relatively common with BTA</w:t>
      </w:r>
      <w:r w:rsidR="008A3E71" w:rsidRPr="001331CE">
        <w:t xml:space="preserve">. </w:t>
      </w:r>
      <w:r w:rsidR="00CE1B99" w:rsidRPr="001331CE">
        <w:t>It</w:t>
      </w:r>
      <w:r w:rsidR="00834379" w:rsidRPr="001331CE">
        <w:t xml:space="preserve"> is unclear whether this was</w:t>
      </w:r>
      <w:r w:rsidR="00290A06" w:rsidRPr="001331CE">
        <w:t xml:space="preserve"> because BTA reduced axillary sweating below the level needed for thermoregulation</w:t>
      </w:r>
      <w:r w:rsidR="00CE1B99" w:rsidRPr="001331CE">
        <w:t xml:space="preserve">, in which case it </w:t>
      </w:r>
      <w:r w:rsidR="008A3E71" w:rsidRPr="001331CE">
        <w:t xml:space="preserve">may be inappropriate to regard </w:t>
      </w:r>
      <w:r w:rsidR="00CE1B99" w:rsidRPr="001331CE">
        <w:t xml:space="preserve">it </w:t>
      </w:r>
      <w:r w:rsidR="008A3E71" w:rsidRPr="001331CE">
        <w:t xml:space="preserve">as an </w:t>
      </w:r>
      <w:r w:rsidR="00CE1B99" w:rsidRPr="001331CE">
        <w:t>adverse event, or a variant of the aberrant sweating t</w:t>
      </w:r>
      <w:r w:rsidR="00834379" w:rsidRPr="001331CE">
        <w:t>hat may</w:t>
      </w:r>
      <w:r w:rsidR="00CE1B99" w:rsidRPr="001331CE">
        <w:t xml:space="preserve"> follow sympathectomy.</w:t>
      </w:r>
      <w:r w:rsidR="00AB04F6">
        <w:t xml:space="preserve"> </w:t>
      </w:r>
    </w:p>
    <w:p w14:paraId="537A1216" w14:textId="5AF11E5F" w:rsidR="005E74FB" w:rsidRPr="001331CE" w:rsidRDefault="005E74FB" w:rsidP="002721B7">
      <w:pPr>
        <w:pStyle w:val="3-BodyText"/>
      </w:pPr>
      <w:r w:rsidRPr="001331CE">
        <w:t xml:space="preserve">Adverse events in adolescents treated with </w:t>
      </w:r>
      <w:r w:rsidR="008A3E71" w:rsidRPr="001331CE">
        <w:t>GPB</w:t>
      </w:r>
      <w:r w:rsidRPr="001331CE">
        <w:t xml:space="preserve"> </w:t>
      </w:r>
      <w:r w:rsidR="00B97AA6" w:rsidRPr="001331CE">
        <w:t xml:space="preserve">were infrequent: 19/42 (45.2%) patients reported 21 adverse events, of which two (one case of dry eyes and one of increased conjugated bilirubin) were assessed as at least possibly </w:t>
      </w:r>
      <w:r w:rsidR="005523DE" w:rsidRPr="001331CE">
        <w:t>treatment related</w:t>
      </w:r>
      <w:r w:rsidR="00B97AA6" w:rsidRPr="001331CE">
        <w:t xml:space="preserve">. No patients reported any degree of skin irritation during treatment. </w:t>
      </w:r>
      <w:r w:rsidRPr="001331CE">
        <w:t xml:space="preserve">Glaser (2015) </w:t>
      </w:r>
      <w:r w:rsidR="00E963F9">
        <w:t xml:space="preserve">only </w:t>
      </w:r>
      <w:r w:rsidRPr="001331CE">
        <w:t xml:space="preserve">reported that </w:t>
      </w:r>
      <w:r w:rsidR="00F83730">
        <w:t>‘</w:t>
      </w:r>
      <w:r w:rsidRPr="001331CE">
        <w:t xml:space="preserve">Few treatment-related </w:t>
      </w:r>
      <w:r w:rsidR="00090250" w:rsidRPr="001331CE">
        <w:t xml:space="preserve">AEs </w:t>
      </w:r>
      <w:r w:rsidRPr="001331CE">
        <w:t xml:space="preserve">[adverse events], all mild or moderate, were observed. No unexpected safety signals were noted in this study; the </w:t>
      </w:r>
      <w:r w:rsidR="00090250" w:rsidRPr="001331CE">
        <w:t>AE</w:t>
      </w:r>
      <w:r w:rsidRPr="001331CE">
        <w:t xml:space="preserve"> profile was </w:t>
      </w:r>
      <w:proofErr w:type="gramStart"/>
      <w:r w:rsidRPr="001331CE">
        <w:t>similar to</w:t>
      </w:r>
      <w:proofErr w:type="gramEnd"/>
      <w:r w:rsidRPr="001331CE">
        <w:t xml:space="preserve"> that reported for adults</w:t>
      </w:r>
      <w:r w:rsidR="00F83730">
        <w:t>’</w:t>
      </w:r>
      <w:r w:rsidRPr="001331CE">
        <w:t xml:space="preserve">. </w:t>
      </w:r>
    </w:p>
    <w:p w14:paraId="06F87C91" w14:textId="75B4B35D" w:rsidR="00660A51" w:rsidRPr="001331CE" w:rsidRDefault="00CB011C" w:rsidP="002721B7">
      <w:pPr>
        <w:pStyle w:val="3-BodyText"/>
      </w:pPr>
      <w:r w:rsidRPr="001331CE">
        <w:t xml:space="preserve">Trial data for adverse events may underestimate adverse events seen in routine clinical use. Failure of patients to wash their hands after applying GPB or applying GPB with their fingers rather than the applicator </w:t>
      </w:r>
      <w:r w:rsidR="004A0E28" w:rsidRPr="001331CE">
        <w:t>cap and</w:t>
      </w:r>
      <w:r w:rsidRPr="001331CE">
        <w:t xml:space="preserve"> use by patients with unsuspected predispositions to urinary retention or cardiac arrhythmia may led to serious adverse events. </w:t>
      </w:r>
    </w:p>
    <w:p w14:paraId="3982EA9A" w14:textId="0D5FD40A" w:rsidR="001843FF" w:rsidRPr="001331CE" w:rsidRDefault="001843FF" w:rsidP="002721B7">
      <w:pPr>
        <w:pStyle w:val="3-BodyText"/>
      </w:pPr>
      <w:r w:rsidRPr="001331CE">
        <w:t xml:space="preserve">The reasons given by the TGA for transferring topical glycopyrronium preparations to Schedule 4 included the FDA Adverse Events Reporting System having recorded 735 events attributed to glycopyrronium </w:t>
      </w:r>
      <w:proofErr w:type="spellStart"/>
      <w:r w:rsidRPr="001331CE">
        <w:t>tosylate</w:t>
      </w:r>
      <w:proofErr w:type="spellEnd"/>
      <w:r w:rsidR="00872702" w:rsidRPr="001331CE">
        <w:t xml:space="preserve"> between 2018 and 2024</w:t>
      </w:r>
      <w:r w:rsidRPr="001331CE">
        <w:t>, of which 77 were severe.</w:t>
      </w:r>
      <w:r w:rsidRPr="001331CE">
        <w:rPr>
          <w:rStyle w:val="FootnoteReference"/>
        </w:rPr>
        <w:footnoteReference w:id="16"/>
      </w:r>
    </w:p>
    <w:p w14:paraId="04908C7F" w14:textId="415B9B7D" w:rsidR="007F1017" w:rsidRPr="0098262F" w:rsidRDefault="007F1017" w:rsidP="00D86231">
      <w:pPr>
        <w:pStyle w:val="4-SubsectionHeading"/>
      </w:pPr>
      <w:bookmarkStart w:id="35" w:name="_Toc22897643"/>
      <w:bookmarkStart w:id="36" w:name="_Toc208997658"/>
      <w:r w:rsidRPr="0098262F">
        <w:t>Benefits/harms</w:t>
      </w:r>
      <w:bookmarkEnd w:id="35"/>
      <w:bookmarkEnd w:id="36"/>
    </w:p>
    <w:p w14:paraId="1CB772FF" w14:textId="042A5947" w:rsidR="00E723BA" w:rsidRPr="00CE4605" w:rsidRDefault="00311D9B" w:rsidP="002721B7">
      <w:pPr>
        <w:pStyle w:val="3-BodyText"/>
        <w:rPr>
          <w:rStyle w:val="CommentReference"/>
          <w:rFonts w:asciiTheme="minorHAnsi" w:hAnsiTheme="minorHAnsi"/>
          <w:b w:val="0"/>
          <w:sz w:val="24"/>
          <w:szCs w:val="22"/>
        </w:rPr>
      </w:pPr>
      <w:r w:rsidRPr="0098262F">
        <w:t xml:space="preserve">A benefits and harms table is not presented as the </w:t>
      </w:r>
      <w:r w:rsidR="00FB5121" w:rsidRPr="00465EE4">
        <w:t xml:space="preserve">available data did not allow a robust assessment of the </w:t>
      </w:r>
      <w:r w:rsidR="007D7FF4" w:rsidRPr="00465EE4">
        <w:t>differences in benefits and harms</w:t>
      </w:r>
      <w:r w:rsidR="00552F82" w:rsidRPr="00465EE4">
        <w:t>.</w:t>
      </w:r>
      <w:r w:rsidRPr="00465EE4">
        <w:t xml:space="preserve"> </w:t>
      </w:r>
    </w:p>
    <w:p w14:paraId="7A1772B6" w14:textId="23BB3145" w:rsidR="00B60939" w:rsidRPr="0098262F" w:rsidRDefault="00B60939" w:rsidP="00E9094A">
      <w:pPr>
        <w:pStyle w:val="4-SubsectionHeading"/>
      </w:pPr>
      <w:bookmarkStart w:id="37" w:name="_Toc22897644"/>
      <w:bookmarkStart w:id="38" w:name="_Toc208997659"/>
      <w:r w:rsidRPr="0098262F">
        <w:t>Clinical claim</w:t>
      </w:r>
      <w:bookmarkEnd w:id="37"/>
      <w:bookmarkEnd w:id="38"/>
    </w:p>
    <w:p w14:paraId="54D3A82D" w14:textId="075D4280" w:rsidR="005F7588" w:rsidRPr="00465EE4" w:rsidRDefault="005635BC" w:rsidP="002721B7">
      <w:pPr>
        <w:pStyle w:val="3-BodyText"/>
      </w:pPr>
      <w:r>
        <w:t>T</w:t>
      </w:r>
      <w:r w:rsidR="0073616D" w:rsidRPr="00465EE4">
        <w:t>he clinical claim</w:t>
      </w:r>
      <w:r>
        <w:t xml:space="preserve"> in the submission</w:t>
      </w:r>
      <w:r w:rsidR="00605B33">
        <w:t>, ‘</w:t>
      </w:r>
      <w:r w:rsidR="00D13D2D" w:rsidRPr="00914B95">
        <w:t xml:space="preserve">treatment with </w:t>
      </w:r>
      <w:r w:rsidR="00D13D2D">
        <w:t>GPB</w:t>
      </w:r>
      <w:r w:rsidR="00D13D2D" w:rsidRPr="00914B95">
        <w:t xml:space="preserve"> may </w:t>
      </w:r>
      <w:r w:rsidR="00D13D2D">
        <w:t xml:space="preserve">not </w:t>
      </w:r>
      <w:r w:rsidR="00D13D2D" w:rsidRPr="00914B95">
        <w:t>be non-inferior in terms of effectiveness</w:t>
      </w:r>
      <w:r w:rsidR="00D13D2D">
        <w:t xml:space="preserve"> </w:t>
      </w:r>
      <w:r w:rsidR="00D13D2D" w:rsidRPr="00914B95">
        <w:t xml:space="preserve">compared with </w:t>
      </w:r>
      <w:r w:rsidR="00605B33">
        <w:t>BTA’</w:t>
      </w:r>
      <w:r w:rsidR="0073616D" w:rsidRPr="00465EE4">
        <w:t xml:space="preserve"> was unclear</w:t>
      </w:r>
      <w:r w:rsidR="005F7588" w:rsidRPr="00465EE4">
        <w:t xml:space="preserve">. </w:t>
      </w:r>
      <w:r w:rsidR="0073616D" w:rsidRPr="00465EE4">
        <w:t xml:space="preserve">If the </w:t>
      </w:r>
      <w:r w:rsidR="00881D44" w:rsidRPr="00465EE4">
        <w:t xml:space="preserve">intended </w:t>
      </w:r>
      <w:r w:rsidR="0073616D" w:rsidRPr="00465EE4">
        <w:t xml:space="preserve">claim was that GPB </w:t>
      </w:r>
      <w:r w:rsidR="008F2299">
        <w:t>i</w:t>
      </w:r>
      <w:r w:rsidR="0073616D" w:rsidRPr="00465EE4">
        <w:t>s non-inferior to BTA, t</w:t>
      </w:r>
      <w:r w:rsidR="005F7588" w:rsidRPr="00465EE4">
        <w:t>his claim was not adequately supported.</w:t>
      </w:r>
      <w:r w:rsidR="007C70FF" w:rsidRPr="00465EE4">
        <w:t xml:space="preserve"> </w:t>
      </w:r>
      <w:r w:rsidR="00894AAC" w:rsidRPr="00465EE4">
        <w:t>There were s</w:t>
      </w:r>
      <w:r w:rsidR="001948AA" w:rsidRPr="00465EE4">
        <w:t xml:space="preserve">ubstantial transitivity issues between the GPB and BTA trials </w:t>
      </w:r>
      <w:r w:rsidR="00894AAC" w:rsidRPr="00465EE4">
        <w:t>that make</w:t>
      </w:r>
      <w:r w:rsidR="001948AA" w:rsidRPr="00465EE4">
        <w:t xml:space="preserve"> a</w:t>
      </w:r>
      <w:r w:rsidR="00894AAC" w:rsidRPr="00465EE4">
        <w:t xml:space="preserve"> formal indirect treatment</w:t>
      </w:r>
      <w:r w:rsidR="001948AA" w:rsidRPr="00465EE4">
        <w:t xml:space="preserve"> comparison of these products</w:t>
      </w:r>
      <w:r w:rsidR="00894AAC" w:rsidRPr="00465EE4">
        <w:t xml:space="preserve"> problematic</w:t>
      </w:r>
      <w:r w:rsidR="001948AA" w:rsidRPr="00465EE4">
        <w:t>. However, t</w:t>
      </w:r>
      <w:r w:rsidR="007C70FF" w:rsidRPr="00465EE4">
        <w:t xml:space="preserve">he </w:t>
      </w:r>
      <w:r w:rsidR="007204D8" w:rsidRPr="00465EE4">
        <w:t xml:space="preserve">data showed that </w:t>
      </w:r>
      <w:r w:rsidR="00C83C6A" w:rsidRPr="00465EE4">
        <w:t>GPB</w:t>
      </w:r>
      <w:r w:rsidR="007204D8" w:rsidRPr="00465EE4">
        <w:t xml:space="preserve"> </w:t>
      </w:r>
      <w:r w:rsidR="00C83C6A" w:rsidRPr="00465EE4">
        <w:t xml:space="preserve">consistently achieved poorer </w:t>
      </w:r>
      <w:r w:rsidR="009A32BF" w:rsidRPr="00465EE4">
        <w:t xml:space="preserve">outcomes than BTA, including for </w:t>
      </w:r>
      <w:r w:rsidR="00894AAC" w:rsidRPr="00465EE4">
        <w:t xml:space="preserve">the </w:t>
      </w:r>
      <w:r w:rsidR="0073616D" w:rsidRPr="00465EE4">
        <w:t>pre-defined key</w:t>
      </w:r>
      <w:r w:rsidR="009A32BF" w:rsidRPr="00465EE4">
        <w:t xml:space="preserve"> outcomes of </w:t>
      </w:r>
      <w:r w:rsidR="00894AAC" w:rsidRPr="00465EE4">
        <w:t xml:space="preserve">change in </w:t>
      </w:r>
      <w:r w:rsidR="00AB3508" w:rsidRPr="00465EE4">
        <w:t>sweat productio</w:t>
      </w:r>
      <w:r w:rsidR="00894AAC" w:rsidRPr="00465EE4">
        <w:t>n</w:t>
      </w:r>
      <w:r w:rsidR="00AB3508" w:rsidRPr="00465EE4">
        <w:t xml:space="preserve">, </w:t>
      </w:r>
      <w:r w:rsidR="00894AAC" w:rsidRPr="00465EE4">
        <w:t xml:space="preserve">the </w:t>
      </w:r>
      <w:r w:rsidR="00AB3508" w:rsidRPr="00465EE4">
        <w:t>proportion of patients achieving a 50% or 75% reduction in sweat production</w:t>
      </w:r>
      <w:r w:rsidR="00894AAC" w:rsidRPr="00465EE4">
        <w:t>,</w:t>
      </w:r>
      <w:r w:rsidR="00AB3508" w:rsidRPr="00465EE4">
        <w:t xml:space="preserve"> and subjective measures of disease impact. </w:t>
      </w:r>
      <w:r w:rsidR="00DA0FB1" w:rsidRPr="00465EE4">
        <w:t>The evaluation considered that w</w:t>
      </w:r>
      <w:r w:rsidR="00AB3508" w:rsidRPr="00465EE4">
        <w:t xml:space="preserve">hilst it is difficult to draw definitive conclusions on </w:t>
      </w:r>
      <w:r w:rsidR="00E639FD" w:rsidRPr="00465EE4">
        <w:t>the</w:t>
      </w:r>
      <w:r w:rsidR="00AB3508" w:rsidRPr="00465EE4">
        <w:t xml:space="preserve"> magnitude of difference, the consistently lower response rates associated with GPB strongly suggest </w:t>
      </w:r>
      <w:r w:rsidR="0073616D" w:rsidRPr="00465EE4">
        <w:t>that</w:t>
      </w:r>
      <w:r w:rsidR="00080956" w:rsidRPr="00465EE4">
        <w:t xml:space="preserve"> GPB is likely to be inferior to BTA</w:t>
      </w:r>
      <w:r w:rsidR="00AB3508" w:rsidRPr="00465EE4">
        <w:t xml:space="preserve">. </w:t>
      </w:r>
      <w:r w:rsidR="00A2666D" w:rsidRPr="00465EE4">
        <w:t>The ESC considered the evidence suggested GPB is inferior to BTA in terms of comparative effectiveness.</w:t>
      </w:r>
    </w:p>
    <w:p w14:paraId="7F613CD1" w14:textId="13594230" w:rsidR="005F7588" w:rsidRPr="00465EE4" w:rsidRDefault="005F7588" w:rsidP="002721B7">
      <w:pPr>
        <w:pStyle w:val="3-BodyText"/>
      </w:pPr>
      <w:r w:rsidRPr="00465EE4">
        <w:t xml:space="preserve">The submission described </w:t>
      </w:r>
      <w:r w:rsidR="0022059A">
        <w:t>GPB</w:t>
      </w:r>
      <w:r w:rsidR="007204D8" w:rsidRPr="00465EE4">
        <w:t xml:space="preserve"> </w:t>
      </w:r>
      <w:r w:rsidRPr="00465EE4">
        <w:t>as superior in term</w:t>
      </w:r>
      <w:r w:rsidR="00156F8F" w:rsidRPr="00465EE4">
        <w:t>s</w:t>
      </w:r>
      <w:r w:rsidRPr="00465EE4">
        <w:t xml:space="preserve"> of </w:t>
      </w:r>
      <w:r w:rsidR="007204D8" w:rsidRPr="00465EE4">
        <w:t xml:space="preserve">efficacy </w:t>
      </w:r>
      <w:r w:rsidRPr="00465EE4">
        <w:t xml:space="preserve">compared to </w:t>
      </w:r>
      <w:r w:rsidR="007204D8" w:rsidRPr="00465EE4">
        <w:t xml:space="preserve">placebo. </w:t>
      </w:r>
      <w:r w:rsidR="00481B7D" w:rsidRPr="00465EE4">
        <w:t>Th</w:t>
      </w:r>
      <w:r w:rsidR="00934956">
        <w:t>e evaluation considered this</w:t>
      </w:r>
      <w:r w:rsidR="00481B7D" w:rsidRPr="00465EE4">
        <w:t xml:space="preserve"> claim was</w:t>
      </w:r>
      <w:r w:rsidR="00881D44" w:rsidRPr="00465EE4">
        <w:t xml:space="preserve"> reasonable</w:t>
      </w:r>
      <w:r w:rsidR="00481B7D" w:rsidRPr="00465EE4">
        <w:t>, but</w:t>
      </w:r>
      <w:r w:rsidR="00E639FD" w:rsidRPr="00465EE4">
        <w:t xml:space="preserve"> the</w:t>
      </w:r>
      <w:r w:rsidR="00690125">
        <w:t xml:space="preserve"> </w:t>
      </w:r>
      <w:r w:rsidR="00F50E99">
        <w:t xml:space="preserve">magnitude of the benefit </w:t>
      </w:r>
      <w:r w:rsidR="00034092">
        <w:t>wa</w:t>
      </w:r>
      <w:r w:rsidR="00E639FD" w:rsidRPr="00465EE4">
        <w:t>s uncertain</w:t>
      </w:r>
      <w:r w:rsidR="005F0C08" w:rsidRPr="00465EE4">
        <w:t>,</w:t>
      </w:r>
      <w:r w:rsidR="00E639FD" w:rsidRPr="00465EE4">
        <w:t xml:space="preserve"> </w:t>
      </w:r>
      <w:r w:rsidR="00034092">
        <w:t xml:space="preserve">noting </w:t>
      </w:r>
      <w:r w:rsidR="005F0C08" w:rsidRPr="00465EE4">
        <w:t>the patient-reported outcomes did not achieve</w:t>
      </w:r>
      <w:r w:rsidR="00F11B20" w:rsidRPr="00465EE4">
        <w:t xml:space="preserve"> clinical significance, in the case of the quality-of-life score, or </w:t>
      </w:r>
      <w:r w:rsidR="005F0C08" w:rsidRPr="00465EE4">
        <w:t>statistical significance,</w:t>
      </w:r>
      <w:r w:rsidR="00F11B20" w:rsidRPr="00465EE4">
        <w:t xml:space="preserve"> in the case of the HDSS</w:t>
      </w:r>
      <w:r w:rsidR="007204D8" w:rsidRPr="00465EE4">
        <w:t>.</w:t>
      </w:r>
      <w:r w:rsidR="00AB04F6">
        <w:t xml:space="preserve"> </w:t>
      </w:r>
      <w:r w:rsidR="007C4259" w:rsidRPr="00465EE4">
        <w:t xml:space="preserve">The evaluation and ESC considered </w:t>
      </w:r>
      <w:r w:rsidR="00F25BEB" w:rsidRPr="00465EE4">
        <w:t>placebo was not an appropriate comparator</w:t>
      </w:r>
      <w:r w:rsidR="005B4A89">
        <w:t>, rather it should be</w:t>
      </w:r>
      <w:r w:rsidR="00F25BEB" w:rsidRPr="00465EE4">
        <w:t xml:space="preserve"> </w:t>
      </w:r>
      <w:r w:rsidR="007C4259" w:rsidRPr="00465EE4">
        <w:t xml:space="preserve">high-strength topical aluminium preparations </w:t>
      </w:r>
      <w:r w:rsidR="005B4A89">
        <w:t>although</w:t>
      </w:r>
      <w:r w:rsidR="00F50E99">
        <w:t>,</w:t>
      </w:r>
      <w:r w:rsidR="007C4259" w:rsidRPr="00465EE4">
        <w:t xml:space="preserve"> as</w:t>
      </w:r>
      <w:r w:rsidR="00435443" w:rsidRPr="00465EE4">
        <w:t xml:space="preserve"> no evidence </w:t>
      </w:r>
      <w:r w:rsidR="007563D7" w:rsidRPr="00465EE4">
        <w:t xml:space="preserve">for </w:t>
      </w:r>
      <w:proofErr w:type="gramStart"/>
      <w:r w:rsidR="007563D7" w:rsidRPr="00465EE4">
        <w:t xml:space="preserve">these </w:t>
      </w:r>
      <w:r w:rsidR="005B4A89">
        <w:t>preparation</w:t>
      </w:r>
      <w:proofErr w:type="gramEnd"/>
      <w:r w:rsidR="005B4A89">
        <w:t xml:space="preserve"> </w:t>
      </w:r>
      <w:r w:rsidR="007563D7" w:rsidRPr="00465EE4">
        <w:t xml:space="preserve">was presented, no claims could be assessed. </w:t>
      </w:r>
    </w:p>
    <w:p w14:paraId="0A4D8B4B" w14:textId="65CACC0C" w:rsidR="00A86F6B" w:rsidRPr="00465EE4" w:rsidRDefault="007204D8" w:rsidP="002721B7">
      <w:pPr>
        <w:pStyle w:val="3-BodyText"/>
      </w:pPr>
      <w:r w:rsidRPr="00465EE4">
        <w:t xml:space="preserve">The submission claimed that </w:t>
      </w:r>
      <w:r w:rsidR="0022059A">
        <w:t>GPB</w:t>
      </w:r>
      <w:r w:rsidRPr="00465EE4">
        <w:t xml:space="preserve"> was </w:t>
      </w:r>
      <w:r w:rsidR="00F83730">
        <w:t>‘</w:t>
      </w:r>
      <w:r w:rsidRPr="00465EE4">
        <w:t>superior in terms of safety and pat</w:t>
      </w:r>
      <w:r w:rsidR="00A86F6B" w:rsidRPr="00465EE4">
        <w:t>i</w:t>
      </w:r>
      <w:r w:rsidRPr="00465EE4">
        <w:t>ent acceptability</w:t>
      </w:r>
      <w:r w:rsidR="00F83730">
        <w:t>’</w:t>
      </w:r>
      <w:r w:rsidRPr="00465EE4">
        <w:t xml:space="preserve"> compared to </w:t>
      </w:r>
      <w:r w:rsidR="000C381B" w:rsidRPr="00465EE4">
        <w:t>BTA</w:t>
      </w:r>
      <w:r w:rsidRPr="00465EE4">
        <w:t>. Th</w:t>
      </w:r>
      <w:r w:rsidR="008D38CE" w:rsidRPr="00465EE4">
        <w:t>e</w:t>
      </w:r>
      <w:r w:rsidR="00EC7BEB" w:rsidRPr="00465EE4">
        <w:t xml:space="preserve"> evaluation and ESC considered this</w:t>
      </w:r>
      <w:r w:rsidRPr="00465EE4">
        <w:t xml:space="preserve"> claim was not adequately supported in relation to safet</w:t>
      </w:r>
      <w:r w:rsidR="008A3E71" w:rsidRPr="00465EE4">
        <w:t>y</w:t>
      </w:r>
      <w:r w:rsidR="001843FF" w:rsidRPr="00465EE4">
        <w:t xml:space="preserve"> because, although adverse events in trials were mild and infrequent, GPB has been associated with severe adverse events in clinical use</w:t>
      </w:r>
      <w:r w:rsidR="00481B7D" w:rsidRPr="00465EE4">
        <w:t>.</w:t>
      </w:r>
      <w:r w:rsidR="00CB011C" w:rsidRPr="00465EE4">
        <w:t xml:space="preserve"> </w:t>
      </w:r>
      <w:r w:rsidR="00A86F6B" w:rsidRPr="00465EE4">
        <w:t>Th</w:t>
      </w:r>
      <w:r w:rsidR="00A33661" w:rsidRPr="00465EE4">
        <w:t>e</w:t>
      </w:r>
      <w:r w:rsidR="00A86F6B" w:rsidRPr="00465EE4">
        <w:t xml:space="preserve"> claim in relation to acceptability</w:t>
      </w:r>
      <w:r w:rsidR="00A33661" w:rsidRPr="00465EE4">
        <w:t xml:space="preserve"> was </w:t>
      </w:r>
      <w:r w:rsidR="00EC7BEB" w:rsidRPr="00465EE4">
        <w:t xml:space="preserve">not supported by any clinical evidence, however the ESC considered that </w:t>
      </w:r>
      <w:r w:rsidR="00F50E99">
        <w:t>it was likely that</w:t>
      </w:r>
      <w:r w:rsidR="00EC7BEB" w:rsidRPr="00465EE4">
        <w:t xml:space="preserve"> GPB </w:t>
      </w:r>
      <w:r w:rsidR="00F50E99">
        <w:t>would</w:t>
      </w:r>
      <w:r w:rsidR="00F50E99" w:rsidRPr="00465EE4">
        <w:t xml:space="preserve"> </w:t>
      </w:r>
      <w:r w:rsidR="00EC7BEB" w:rsidRPr="00465EE4">
        <w:t>be more acceptable to some patients than treatment with BTA for PAHH</w:t>
      </w:r>
      <w:r w:rsidR="00FC2A8B" w:rsidRPr="00465EE4">
        <w:t>, not</w:t>
      </w:r>
      <w:r w:rsidR="004C1BD3" w:rsidRPr="00465EE4">
        <w:t>ing</w:t>
      </w:r>
      <w:r w:rsidR="00FC2A8B" w:rsidRPr="00465EE4">
        <w:t xml:space="preserve"> ‘acceptability’ in this context could not be</w:t>
      </w:r>
      <w:r w:rsidR="007416E5" w:rsidRPr="00465EE4">
        <w:t xml:space="preserve"> meaningfully</w:t>
      </w:r>
      <w:r w:rsidR="00FC2A8B" w:rsidRPr="00465EE4">
        <w:t xml:space="preserve"> linked to specific health outcomes of interest</w:t>
      </w:r>
      <w:r w:rsidR="00EC7BEB" w:rsidRPr="00465EE4">
        <w:t>.</w:t>
      </w:r>
    </w:p>
    <w:p w14:paraId="2EAA470C" w14:textId="42E6AE4B" w:rsidR="007204D8" w:rsidRPr="00A335F8" w:rsidRDefault="00A86F6B" w:rsidP="002721B7">
      <w:pPr>
        <w:pStyle w:val="3-BodyText"/>
      </w:pPr>
      <w:r w:rsidRPr="00465EE4">
        <w:t xml:space="preserve">The submission described </w:t>
      </w:r>
      <w:r w:rsidR="00686BB7">
        <w:t>GPB</w:t>
      </w:r>
      <w:r w:rsidRPr="00465EE4">
        <w:t xml:space="preserve"> as non-inferior to placebo</w:t>
      </w:r>
      <w:r w:rsidR="00A33661" w:rsidRPr="00465EE4">
        <w:t xml:space="preserve"> (no treatment)</w:t>
      </w:r>
      <w:r w:rsidRPr="00465EE4">
        <w:t xml:space="preserve"> in terms of safety. Th</w:t>
      </w:r>
      <w:r w:rsidR="000D6D7D" w:rsidRPr="00465EE4">
        <w:t>e</w:t>
      </w:r>
      <w:r w:rsidR="00EC7BEB" w:rsidRPr="00465EE4">
        <w:t xml:space="preserve"> evaluation and ESC considered this</w:t>
      </w:r>
      <w:r w:rsidRPr="00465EE4">
        <w:t xml:space="preserve"> claim was not adequately supported because adverse events associated with systemic anti-cholinergic action were </w:t>
      </w:r>
      <w:r w:rsidR="00F50E99">
        <w:t>not un</w:t>
      </w:r>
      <w:r w:rsidRPr="00465EE4">
        <w:t>common</w:t>
      </w:r>
      <w:r w:rsidR="00A33661" w:rsidRPr="00465EE4">
        <w:t xml:space="preserve"> during treatment with glycopyrronium, and some of the reasonably anticipated adverse effects of glycopyrronium</w:t>
      </w:r>
      <w:r w:rsidR="006F4AE5" w:rsidRPr="00465EE4">
        <w:t xml:space="preserve"> in practice</w:t>
      </w:r>
      <w:r w:rsidR="00A33661" w:rsidRPr="00465EE4">
        <w:t xml:space="preserve"> may be </w:t>
      </w:r>
      <w:r w:rsidR="00A33661" w:rsidRPr="00A335F8">
        <w:t>severe</w:t>
      </w:r>
      <w:r w:rsidR="006F4AE5" w:rsidRPr="00A335F8">
        <w:t xml:space="preserve">, even if </w:t>
      </w:r>
      <w:r w:rsidR="00F50E99">
        <w:t xml:space="preserve">uncommon and hence </w:t>
      </w:r>
      <w:r w:rsidR="006F4AE5" w:rsidRPr="00A335F8">
        <w:t>not readily observed in the clinical trials</w:t>
      </w:r>
      <w:r w:rsidR="00A33661" w:rsidRPr="00A335F8">
        <w:t>.</w:t>
      </w:r>
    </w:p>
    <w:p w14:paraId="23538E77" w14:textId="4411233F" w:rsidR="0041029A" w:rsidRPr="0041029A" w:rsidRDefault="00341B25" w:rsidP="002721B7">
      <w:pPr>
        <w:pStyle w:val="3-BodyText"/>
        <w:rPr>
          <w:rFonts w:cstheme="minorHAnsi"/>
          <w:snapToGrid w:val="0"/>
          <w:szCs w:val="24"/>
        </w:rPr>
      </w:pPr>
      <w:bookmarkStart w:id="39" w:name="_Hlk76376200"/>
      <w:r w:rsidRPr="0041029A">
        <w:rPr>
          <w:iCs/>
          <w:snapToGrid w:val="0"/>
        </w:rPr>
        <w:t>The</w:t>
      </w:r>
      <w:r w:rsidRPr="0041029A">
        <w:rPr>
          <w:snapToGrid w:val="0"/>
        </w:rPr>
        <w:t xml:space="preserve"> PBAC considered that the claim </w:t>
      </w:r>
      <w:r w:rsidR="009C4939" w:rsidRPr="0041029A">
        <w:rPr>
          <w:snapToGrid w:val="0"/>
        </w:rPr>
        <w:t>regarding</w:t>
      </w:r>
      <w:r w:rsidRPr="0041029A">
        <w:rPr>
          <w:snapToGrid w:val="0"/>
        </w:rPr>
        <w:t xml:space="preserve"> comparative effectiveness</w:t>
      </w:r>
      <w:r w:rsidR="008F499F" w:rsidRPr="0041029A">
        <w:rPr>
          <w:snapToGrid w:val="0"/>
        </w:rPr>
        <w:t xml:space="preserve"> (</w:t>
      </w:r>
      <w:r w:rsidR="009A005E" w:rsidRPr="0041029A">
        <w:rPr>
          <w:snapToGrid w:val="0"/>
        </w:rPr>
        <w:t>‘</w:t>
      </w:r>
      <w:r w:rsidR="008F499F" w:rsidRPr="0041029A">
        <w:rPr>
          <w:snapToGrid w:val="0"/>
        </w:rPr>
        <w:t>not non</w:t>
      </w:r>
      <w:r w:rsidR="009A005E" w:rsidRPr="0041029A">
        <w:rPr>
          <w:snapToGrid w:val="0"/>
        </w:rPr>
        <w:t>-inferior’)</w:t>
      </w:r>
      <w:r w:rsidRPr="0041029A">
        <w:rPr>
          <w:snapToGrid w:val="0"/>
        </w:rPr>
        <w:t xml:space="preserve"> </w:t>
      </w:r>
      <w:r w:rsidR="006D14F1" w:rsidRPr="0041029A">
        <w:rPr>
          <w:snapToGrid w:val="0"/>
        </w:rPr>
        <w:t xml:space="preserve">to GBP </w:t>
      </w:r>
      <w:r w:rsidR="004179DF" w:rsidRPr="0041029A">
        <w:rPr>
          <w:snapToGrid w:val="0"/>
        </w:rPr>
        <w:t xml:space="preserve">was </w:t>
      </w:r>
      <w:r w:rsidRPr="0041029A">
        <w:rPr>
          <w:snapToGrid w:val="0"/>
        </w:rPr>
        <w:t>not adequately supported by the data</w:t>
      </w:r>
      <w:r w:rsidR="00DF472F" w:rsidRPr="0041029A">
        <w:rPr>
          <w:snapToGrid w:val="0"/>
        </w:rPr>
        <w:t xml:space="preserve">, and considered the evidence indicated GPB was inferior to BTA, but due to the </w:t>
      </w:r>
      <w:r w:rsidR="00003A3B" w:rsidRPr="0041029A">
        <w:rPr>
          <w:snapToGrid w:val="0"/>
        </w:rPr>
        <w:t>substantial differences between the trials, the magnitude of difference could not be reliably estimated</w:t>
      </w:r>
      <w:r w:rsidRPr="0041029A">
        <w:rPr>
          <w:snapToGrid w:val="0"/>
        </w:rPr>
        <w:t>.</w:t>
      </w:r>
      <w:r w:rsidR="0041029A">
        <w:rPr>
          <w:rFonts w:cstheme="minorHAnsi"/>
          <w:snapToGrid w:val="0"/>
          <w:szCs w:val="24"/>
        </w:rPr>
        <w:t xml:space="preserve"> </w:t>
      </w:r>
      <w:r w:rsidRPr="0041029A">
        <w:rPr>
          <w:rFonts w:cstheme="minorHAnsi"/>
          <w:snapToGrid w:val="0"/>
          <w:szCs w:val="24"/>
        </w:rPr>
        <w:t xml:space="preserve">The PBAC considered that the claim of </w:t>
      </w:r>
      <w:r w:rsidR="00F46EB2" w:rsidRPr="0041029A">
        <w:rPr>
          <w:rFonts w:cstheme="minorHAnsi"/>
          <w:snapToGrid w:val="0"/>
          <w:szCs w:val="24"/>
        </w:rPr>
        <w:t>sup</w:t>
      </w:r>
      <w:r w:rsidRPr="0041029A">
        <w:rPr>
          <w:rFonts w:cstheme="minorHAnsi"/>
          <w:snapToGrid w:val="0"/>
          <w:szCs w:val="24"/>
        </w:rPr>
        <w:t>erior comparative safety</w:t>
      </w:r>
      <w:r w:rsidR="00E7576A" w:rsidRPr="0041029A">
        <w:rPr>
          <w:rFonts w:cstheme="minorHAnsi"/>
          <w:snapToGrid w:val="0"/>
          <w:szCs w:val="24"/>
        </w:rPr>
        <w:t xml:space="preserve"> </w:t>
      </w:r>
      <w:r w:rsidR="005C2694">
        <w:rPr>
          <w:rFonts w:cstheme="minorHAnsi"/>
          <w:snapToGrid w:val="0"/>
          <w:szCs w:val="24"/>
        </w:rPr>
        <w:t xml:space="preserve">to BTA </w:t>
      </w:r>
      <w:r w:rsidRPr="0041029A">
        <w:rPr>
          <w:rFonts w:cstheme="minorHAnsi"/>
          <w:snapToGrid w:val="0"/>
          <w:szCs w:val="24"/>
        </w:rPr>
        <w:t>was not adequately supported by the data.</w:t>
      </w:r>
      <w:bookmarkEnd w:id="39"/>
      <w:r w:rsidR="00910828" w:rsidRPr="00910828">
        <w:t xml:space="preserve"> </w:t>
      </w:r>
    </w:p>
    <w:p w14:paraId="0E565CAB" w14:textId="62D0DE10" w:rsidR="00341B25" w:rsidRPr="00910828" w:rsidRDefault="00910828" w:rsidP="002721B7">
      <w:pPr>
        <w:pStyle w:val="3-BodyText"/>
        <w:rPr>
          <w:snapToGrid w:val="0"/>
        </w:rPr>
      </w:pPr>
      <w:r w:rsidRPr="00910828">
        <w:rPr>
          <w:snapToGrid w:val="0"/>
        </w:rPr>
        <w:t xml:space="preserve">The PBAC considered the submission’s claim that GPB was superior in terms of efficacy to placebo (no treatment) was </w:t>
      </w:r>
      <w:proofErr w:type="gramStart"/>
      <w:r w:rsidRPr="00910828">
        <w:rPr>
          <w:snapToGrid w:val="0"/>
        </w:rPr>
        <w:t>reasonable</w:t>
      </w:r>
      <w:proofErr w:type="gramEnd"/>
      <w:r w:rsidRPr="00910828">
        <w:rPr>
          <w:snapToGrid w:val="0"/>
        </w:rPr>
        <w:t xml:space="preserve"> but</w:t>
      </w:r>
      <w:r w:rsidR="00E25EAB">
        <w:rPr>
          <w:snapToGrid w:val="0"/>
        </w:rPr>
        <w:t xml:space="preserve"> </w:t>
      </w:r>
      <w:r w:rsidRPr="00910828">
        <w:rPr>
          <w:snapToGrid w:val="0"/>
        </w:rPr>
        <w:t xml:space="preserve">the degree of efficacy </w:t>
      </w:r>
      <w:r w:rsidR="00E45E82">
        <w:rPr>
          <w:snapToGrid w:val="0"/>
        </w:rPr>
        <w:t xml:space="preserve">and clinical significance was </w:t>
      </w:r>
      <w:r w:rsidRPr="00910828">
        <w:rPr>
          <w:snapToGrid w:val="0"/>
        </w:rPr>
        <w:t>uncertain</w:t>
      </w:r>
      <w:r w:rsidR="00E45E82">
        <w:rPr>
          <w:snapToGrid w:val="0"/>
        </w:rPr>
        <w:t>.</w:t>
      </w:r>
      <w:r w:rsidRPr="00910828">
        <w:rPr>
          <w:snapToGrid w:val="0"/>
        </w:rPr>
        <w:t xml:space="preserve"> The PBAC considered the submission’s claim that GBP was non-inferior to placebo (no treatment) in terms of safety were not adequately supported</w:t>
      </w:r>
      <w:r w:rsidR="00EF1706">
        <w:rPr>
          <w:snapToGrid w:val="0"/>
        </w:rPr>
        <w:t>, notin</w:t>
      </w:r>
      <w:r w:rsidR="00190E03">
        <w:rPr>
          <w:snapToGrid w:val="0"/>
        </w:rPr>
        <w:t xml:space="preserve">g </w:t>
      </w:r>
      <w:r w:rsidR="00F0163A">
        <w:rPr>
          <w:snapToGrid w:val="0"/>
        </w:rPr>
        <w:t xml:space="preserve">that </w:t>
      </w:r>
      <w:r w:rsidR="00BB7284" w:rsidRPr="00BB7284">
        <w:rPr>
          <w:snapToGrid w:val="0"/>
        </w:rPr>
        <w:t xml:space="preserve">topical aluminium </w:t>
      </w:r>
      <w:r w:rsidR="002E50C7">
        <w:rPr>
          <w:snapToGrid w:val="0"/>
        </w:rPr>
        <w:t xml:space="preserve">was </w:t>
      </w:r>
      <w:r w:rsidR="00BB7284" w:rsidRPr="00BB7284">
        <w:rPr>
          <w:snapToGrid w:val="0"/>
        </w:rPr>
        <w:t>the more appropriate secondary comparator</w:t>
      </w:r>
      <w:r w:rsidRPr="00910828">
        <w:rPr>
          <w:snapToGrid w:val="0"/>
        </w:rPr>
        <w:t xml:space="preserve">. </w:t>
      </w:r>
    </w:p>
    <w:p w14:paraId="74A1172E" w14:textId="128C170E" w:rsidR="00B60939" w:rsidRPr="0098262F" w:rsidRDefault="00B60939" w:rsidP="00E9094A">
      <w:pPr>
        <w:pStyle w:val="4-SubsectionHeading"/>
      </w:pPr>
      <w:bookmarkStart w:id="40" w:name="_Toc22897645"/>
      <w:bookmarkStart w:id="41" w:name="_Toc208997660"/>
      <w:r w:rsidRPr="0098262F">
        <w:t>Economic analysis</w:t>
      </w:r>
      <w:bookmarkEnd w:id="40"/>
      <w:bookmarkEnd w:id="41"/>
      <w:r w:rsidR="00491B3A" w:rsidRPr="0098262F">
        <w:t xml:space="preserve"> </w:t>
      </w:r>
    </w:p>
    <w:p w14:paraId="5EABBBD4" w14:textId="63A1989E" w:rsidR="0000262C" w:rsidRPr="00465EE4" w:rsidRDefault="0000262C" w:rsidP="002721B7">
      <w:pPr>
        <w:pStyle w:val="3-BodyText"/>
      </w:pPr>
      <w:r w:rsidRPr="00465EE4">
        <w:t xml:space="preserve">The ESC considered the method used to determine the proposed price for </w:t>
      </w:r>
      <w:r w:rsidR="00FE2F4F">
        <w:t>GBP</w:t>
      </w:r>
      <w:r w:rsidR="00FE2F4F" w:rsidRPr="00465EE4">
        <w:t xml:space="preserve"> </w:t>
      </w:r>
      <w:r w:rsidRPr="00465EE4">
        <w:t xml:space="preserve">was inappropriate and could not be used as a reliable basis for establishing a </w:t>
      </w:r>
      <w:r w:rsidR="002663EC" w:rsidRPr="00465EE4">
        <w:t>cost-effective</w:t>
      </w:r>
      <w:r w:rsidRPr="00465EE4">
        <w:t xml:space="preserve"> price relative to </w:t>
      </w:r>
      <w:r w:rsidR="00031A0A">
        <w:t>BTA</w:t>
      </w:r>
      <w:r w:rsidRPr="00465EE4">
        <w:t xml:space="preserve">. The ESC considered the clinical comparison to be unreliable for the purposes of establishing the magnitude of difference between GPB and BTA, but the evidence clearly indicated GPB is likely to be of inferior comparative effectiveness to BTA. </w:t>
      </w:r>
      <w:r w:rsidR="00165C24">
        <w:t>T</w:t>
      </w:r>
      <w:r w:rsidRPr="00465EE4">
        <w:t xml:space="preserve">he ESC considered the economic analysis comparing GPB and BTA should have been based on an </w:t>
      </w:r>
      <w:r w:rsidR="00C04860" w:rsidRPr="00465EE4">
        <w:t xml:space="preserve">incremental </w:t>
      </w:r>
      <w:r w:rsidRPr="00465EE4">
        <w:t xml:space="preserve">approach that accounted for </w:t>
      </w:r>
      <w:r w:rsidR="005E1EFB" w:rsidRPr="00465EE4">
        <w:t>th</w:t>
      </w:r>
      <w:r w:rsidR="00C92951" w:rsidRPr="00465EE4">
        <w:t>e reduced efficacy</w:t>
      </w:r>
      <w:r w:rsidRPr="00465EE4">
        <w:t xml:space="preserve">. Furthermore, the ESC considered that an approach that does not consider the </w:t>
      </w:r>
      <w:r w:rsidR="0011377C" w:rsidRPr="00465EE4">
        <w:t>incremental</w:t>
      </w:r>
      <w:r w:rsidRPr="00465EE4">
        <w:t xml:space="preserve"> benefits and costs of GPB and aluminium preparations </w:t>
      </w:r>
      <w:r w:rsidR="00463C2A">
        <w:t>does not</w:t>
      </w:r>
      <w:r w:rsidRPr="00465EE4">
        <w:t xml:space="preserve"> represent a complete appraisal of GPB in the Australian context of PAHH.</w:t>
      </w:r>
    </w:p>
    <w:p w14:paraId="2456CB73" w14:textId="54D87B34" w:rsidR="00397FF4" w:rsidRPr="00465EE4" w:rsidRDefault="00CE4605" w:rsidP="002721B7">
      <w:pPr>
        <w:pStyle w:val="3-BodyText"/>
        <w:rPr>
          <w:b/>
          <w:bCs/>
          <w:color w:val="0066FF"/>
        </w:rPr>
      </w:pPr>
      <w:bookmarkStart w:id="42" w:name="_Ref214014727"/>
      <w:r w:rsidRPr="00465EE4">
        <w:t xml:space="preserve">The submission presented a </w:t>
      </w:r>
      <w:r w:rsidR="00397FF4" w:rsidRPr="00465EE4">
        <w:t xml:space="preserve">side by side (not incremental) </w:t>
      </w:r>
      <w:r w:rsidRPr="00465EE4">
        <w:t xml:space="preserve">cost-effectiveness analysis based on a comparison of </w:t>
      </w:r>
      <w:r w:rsidR="00AC15D8" w:rsidRPr="00465EE4">
        <w:t xml:space="preserve">the </w:t>
      </w:r>
      <w:r w:rsidRPr="00465EE4">
        <w:t>cost</w:t>
      </w:r>
      <w:r w:rsidR="00D379FF" w:rsidRPr="00465EE4">
        <w:t xml:space="preserve"> per </w:t>
      </w:r>
      <w:r w:rsidRPr="00465EE4">
        <w:t>responder</w:t>
      </w:r>
      <w:r w:rsidR="00757A9B" w:rsidRPr="00465EE4">
        <w:t xml:space="preserve"> </w:t>
      </w:r>
      <w:r w:rsidR="00AC15D8" w:rsidRPr="00465EE4">
        <w:t xml:space="preserve">over </w:t>
      </w:r>
      <w:r w:rsidRPr="00465EE4">
        <w:t>2 years</w:t>
      </w:r>
      <w:r w:rsidR="00E5421A" w:rsidRPr="00465EE4">
        <w:t>,</w:t>
      </w:r>
      <w:r w:rsidRPr="00465EE4">
        <w:t xml:space="preserve"> using the published price of </w:t>
      </w:r>
      <w:r w:rsidR="005756EB">
        <w:t xml:space="preserve">BTA </w:t>
      </w:r>
      <w:r w:rsidRPr="00465EE4">
        <w:t xml:space="preserve">and </w:t>
      </w:r>
      <w:r w:rsidR="00F50E99">
        <w:t xml:space="preserve">associated </w:t>
      </w:r>
      <w:r w:rsidRPr="00465EE4">
        <w:t>administration costs. The results of the analysis were then used to calculate a</w:t>
      </w:r>
      <w:r w:rsidR="00EB253B" w:rsidRPr="00465EE4">
        <w:t xml:space="preserve"> price</w:t>
      </w:r>
      <w:r w:rsidR="00726EDC" w:rsidRPr="00465EE4">
        <w:t xml:space="preserve"> for</w:t>
      </w:r>
      <w:r w:rsidR="00EB253B" w:rsidRPr="00465EE4">
        <w:t xml:space="preserve"> G</w:t>
      </w:r>
      <w:r w:rsidR="00D379FF" w:rsidRPr="00465EE4">
        <w:t>PB</w:t>
      </w:r>
      <w:r w:rsidRPr="00465EE4">
        <w:t xml:space="preserve"> </w:t>
      </w:r>
      <w:r w:rsidR="00726EDC" w:rsidRPr="00465EE4">
        <w:t xml:space="preserve">based on the </w:t>
      </w:r>
      <w:r w:rsidR="002F476E" w:rsidRPr="00465EE4">
        <w:t>relative response rates for GPB and BTA observed in the clinical trials.</w:t>
      </w:r>
      <w:r w:rsidRPr="00465EE4">
        <w:t xml:space="preserve"> </w:t>
      </w:r>
      <w:r w:rsidR="004748B2" w:rsidRPr="00465EE4">
        <w:t>The PSCR contended the approach was suitable for decision-making, and the inputs represent what could be considered the ‘best case’ for BTA, as its effects are not constant and wane over time.</w:t>
      </w:r>
      <w:bookmarkEnd w:id="42"/>
      <w:r w:rsidR="004748B2" w:rsidRPr="00465EE4">
        <w:t xml:space="preserve"> </w:t>
      </w:r>
    </w:p>
    <w:p w14:paraId="3CEAAFF5" w14:textId="071B0F31" w:rsidR="00CE4605" w:rsidRPr="00AD35FD" w:rsidRDefault="00CE4605" w:rsidP="002721B7">
      <w:pPr>
        <w:pStyle w:val="3-BodyText"/>
        <w:rPr>
          <w:b/>
          <w:bCs/>
          <w:color w:val="0066FF"/>
        </w:rPr>
      </w:pPr>
      <w:r w:rsidRPr="00AD35FD">
        <w:t xml:space="preserve">The key components and assumptions used in the analysis are shown in </w:t>
      </w:r>
      <w:r w:rsidR="00AD0699" w:rsidRPr="00AD35FD">
        <w:fldChar w:fldCharType="begin" w:fldLock="1"/>
      </w:r>
      <w:r w:rsidR="00AD0699" w:rsidRPr="00AD35FD">
        <w:instrText xml:space="preserve"> REF _Ref205981542 \h </w:instrText>
      </w:r>
      <w:r w:rsidR="001331CE" w:rsidRPr="00AD35FD">
        <w:instrText xml:space="preserve"> \* MERGEFORMAT </w:instrText>
      </w:r>
      <w:r w:rsidR="00AD0699" w:rsidRPr="00AD35FD">
        <w:fldChar w:fldCharType="separate"/>
      </w:r>
      <w:r w:rsidR="004D6DEB">
        <w:t xml:space="preserve">Table </w:t>
      </w:r>
      <w:r w:rsidR="004D6DEB">
        <w:rPr>
          <w:noProof/>
        </w:rPr>
        <w:t>8</w:t>
      </w:r>
      <w:r w:rsidR="00AD0699" w:rsidRPr="00AD35FD">
        <w:fldChar w:fldCharType="end"/>
      </w:r>
      <w:r w:rsidR="00AD0699" w:rsidRPr="00AD35FD">
        <w:t>.</w:t>
      </w:r>
    </w:p>
    <w:p w14:paraId="2F7763C6" w14:textId="7623C277" w:rsidR="00CE4605" w:rsidRPr="0098262F" w:rsidRDefault="00686210" w:rsidP="00C8082B">
      <w:pPr>
        <w:pStyle w:val="Caption"/>
        <w:rPr>
          <w:rStyle w:val="CommentReference"/>
          <w:b/>
          <w:szCs w:val="24"/>
        </w:rPr>
      </w:pPr>
      <w:bookmarkStart w:id="43" w:name="_Ref205981542"/>
      <w:r>
        <w:t xml:space="preserve">Table </w:t>
      </w:r>
      <w:r w:rsidR="007C24FD">
        <w:fldChar w:fldCharType="begin" w:fldLock="1"/>
      </w:r>
      <w:r w:rsidR="007C24FD">
        <w:instrText xml:space="preserve"> SEQ Table \* ARABIC </w:instrText>
      </w:r>
      <w:r w:rsidR="007C24FD">
        <w:fldChar w:fldCharType="separate"/>
      </w:r>
      <w:r w:rsidR="004D6DEB">
        <w:rPr>
          <w:noProof/>
        </w:rPr>
        <w:t>8</w:t>
      </w:r>
      <w:r w:rsidR="007C24FD">
        <w:rPr>
          <w:noProof/>
        </w:rPr>
        <w:fldChar w:fldCharType="end"/>
      </w:r>
      <w:bookmarkEnd w:id="43"/>
      <w:r>
        <w:t xml:space="preserve">: </w:t>
      </w:r>
      <w:r w:rsidR="00CE4605" w:rsidRPr="0098262F">
        <w:rPr>
          <w:rStyle w:val="CommentReference"/>
          <w:b/>
          <w:szCs w:val="24"/>
        </w:rPr>
        <w:t xml:space="preserve">Key components and assumptions of the </w:t>
      </w:r>
      <w:r w:rsidR="00823EA7">
        <w:rPr>
          <w:rStyle w:val="CommentReference"/>
          <w:b/>
          <w:szCs w:val="24"/>
        </w:rPr>
        <w:t>economic evaluation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w:tblDescription w:val="Key components and assumptions of the economic evaluation"/>
      </w:tblPr>
      <w:tblGrid>
        <w:gridCol w:w="2660"/>
        <w:gridCol w:w="6520"/>
      </w:tblGrid>
      <w:tr w:rsidR="00CE4605" w:rsidRPr="0098262F" w14:paraId="09B9F93C" w14:textId="77777777" w:rsidTr="00834893">
        <w:tc>
          <w:tcPr>
            <w:tcW w:w="2660" w:type="dxa"/>
            <w:vAlign w:val="center"/>
          </w:tcPr>
          <w:p w14:paraId="123B7415" w14:textId="77777777" w:rsidR="00CE4605" w:rsidRPr="0098262F" w:rsidRDefault="00CE4605" w:rsidP="00C8082B">
            <w:pPr>
              <w:pStyle w:val="In-tableHeading"/>
              <w:rPr>
                <w:lang w:val="en-AU"/>
              </w:rPr>
            </w:pPr>
            <w:r w:rsidRPr="0098262F">
              <w:rPr>
                <w:lang w:val="en-AU"/>
              </w:rPr>
              <w:t>Component</w:t>
            </w:r>
          </w:p>
        </w:tc>
        <w:tc>
          <w:tcPr>
            <w:tcW w:w="6520" w:type="dxa"/>
            <w:vAlign w:val="center"/>
          </w:tcPr>
          <w:p w14:paraId="0DE0F23E" w14:textId="77777777" w:rsidR="00CE4605" w:rsidRPr="0098262F" w:rsidRDefault="00CE4605" w:rsidP="00C8082B">
            <w:pPr>
              <w:pStyle w:val="In-tableHeading"/>
              <w:rPr>
                <w:lang w:val="en-AU"/>
              </w:rPr>
            </w:pPr>
            <w:r w:rsidRPr="0098262F">
              <w:rPr>
                <w:lang w:val="en-AU"/>
              </w:rPr>
              <w:t>Claim or assumption</w:t>
            </w:r>
          </w:p>
        </w:tc>
      </w:tr>
      <w:tr w:rsidR="00CE4605" w:rsidRPr="0098262F" w14:paraId="729ED23C" w14:textId="77777777" w:rsidTr="00834893">
        <w:tc>
          <w:tcPr>
            <w:tcW w:w="2660" w:type="dxa"/>
            <w:vAlign w:val="center"/>
          </w:tcPr>
          <w:p w14:paraId="3E9B3BED" w14:textId="77777777" w:rsidR="00CE4605" w:rsidRPr="00F03392" w:rsidRDefault="00CE4605" w:rsidP="00C8082B">
            <w:pPr>
              <w:pStyle w:val="Tabletext"/>
              <w:keepNext/>
              <w:keepLines/>
            </w:pPr>
            <w:r w:rsidRPr="00F03392">
              <w:t>Therapeutic claim: effectiveness</w:t>
            </w:r>
          </w:p>
        </w:tc>
        <w:tc>
          <w:tcPr>
            <w:tcW w:w="6520" w:type="dxa"/>
            <w:vAlign w:val="center"/>
          </w:tcPr>
          <w:p w14:paraId="6456D7B9" w14:textId="4E5928FA" w:rsidR="00CE4605" w:rsidRPr="00F03392" w:rsidRDefault="00CE4605" w:rsidP="00C8082B">
            <w:pPr>
              <w:pStyle w:val="Tabletext"/>
              <w:keepNext/>
              <w:keepLines/>
            </w:pPr>
            <w:r w:rsidRPr="00F03392">
              <w:t xml:space="preserve">May not be non-inferior versus </w:t>
            </w:r>
            <w:r w:rsidR="00422A3C">
              <w:t>BTA</w:t>
            </w:r>
          </w:p>
        </w:tc>
      </w:tr>
      <w:tr w:rsidR="00CE4605" w:rsidRPr="0098262F" w14:paraId="482233A4" w14:textId="77777777" w:rsidTr="00834893">
        <w:tc>
          <w:tcPr>
            <w:tcW w:w="2660" w:type="dxa"/>
            <w:vAlign w:val="center"/>
          </w:tcPr>
          <w:p w14:paraId="51F43591" w14:textId="77777777" w:rsidR="00CE4605" w:rsidRPr="00F03392" w:rsidRDefault="00CE4605" w:rsidP="00C8082B">
            <w:pPr>
              <w:pStyle w:val="Tabletext"/>
              <w:keepNext/>
              <w:keepLines/>
            </w:pPr>
            <w:r w:rsidRPr="00F03392">
              <w:t>Therapeutic claim: safety</w:t>
            </w:r>
          </w:p>
        </w:tc>
        <w:tc>
          <w:tcPr>
            <w:tcW w:w="6520" w:type="dxa"/>
            <w:vAlign w:val="center"/>
          </w:tcPr>
          <w:p w14:paraId="20B7D990" w14:textId="4D85DC68" w:rsidR="00CE4605" w:rsidRPr="00F03392" w:rsidRDefault="00CE4605" w:rsidP="00C8082B">
            <w:pPr>
              <w:pStyle w:val="Tabletext"/>
              <w:keepNext/>
              <w:keepLines/>
            </w:pPr>
            <w:r w:rsidRPr="00F03392">
              <w:t xml:space="preserve">Superior vs </w:t>
            </w:r>
            <w:r w:rsidR="00422A3C">
              <w:t>BTA</w:t>
            </w:r>
          </w:p>
        </w:tc>
      </w:tr>
      <w:tr w:rsidR="00CE4605" w:rsidRPr="0098262F" w14:paraId="05BF2965" w14:textId="77777777" w:rsidTr="00834893">
        <w:tc>
          <w:tcPr>
            <w:tcW w:w="2660" w:type="dxa"/>
            <w:vAlign w:val="center"/>
          </w:tcPr>
          <w:p w14:paraId="6323FB9C" w14:textId="77777777" w:rsidR="00CE4605" w:rsidRPr="00F03392" w:rsidRDefault="00CE4605" w:rsidP="00C8082B">
            <w:pPr>
              <w:pStyle w:val="Tabletext"/>
              <w:keepNext/>
              <w:keepLines/>
            </w:pPr>
            <w:r w:rsidRPr="00F03392">
              <w:t>Evidence base</w:t>
            </w:r>
          </w:p>
        </w:tc>
        <w:tc>
          <w:tcPr>
            <w:tcW w:w="6520" w:type="dxa"/>
            <w:vAlign w:val="center"/>
          </w:tcPr>
          <w:p w14:paraId="76787220" w14:textId="3A8255B8" w:rsidR="00CE4605" w:rsidRPr="00F03392" w:rsidRDefault="00CE4605" w:rsidP="00C8082B">
            <w:pPr>
              <w:pStyle w:val="Tabletext"/>
              <w:keepNext/>
              <w:keepLines/>
            </w:pPr>
            <w:r w:rsidRPr="00F03392">
              <w:t>Naïve indirect comparison of randomised, placebo</w:t>
            </w:r>
            <w:r w:rsidR="008A3E71">
              <w:t>-</w:t>
            </w:r>
            <w:r w:rsidRPr="00F03392">
              <w:t>controlled trials</w:t>
            </w:r>
          </w:p>
        </w:tc>
      </w:tr>
      <w:tr w:rsidR="00CE4605" w:rsidRPr="0098262F" w14:paraId="2868127E" w14:textId="77777777" w:rsidTr="00834893">
        <w:tc>
          <w:tcPr>
            <w:tcW w:w="2660" w:type="dxa"/>
            <w:vAlign w:val="center"/>
          </w:tcPr>
          <w:p w14:paraId="2DBB05FA" w14:textId="6307BCA3" w:rsidR="00CE4605" w:rsidRPr="00F03392" w:rsidRDefault="00CE4605" w:rsidP="00C8082B">
            <w:pPr>
              <w:pStyle w:val="Tabletext"/>
              <w:keepNext/>
              <w:keepLines/>
            </w:pPr>
            <w:r w:rsidRPr="00F03392">
              <w:t>Time horizon of analysis</w:t>
            </w:r>
          </w:p>
        </w:tc>
        <w:tc>
          <w:tcPr>
            <w:tcW w:w="6520" w:type="dxa"/>
            <w:vAlign w:val="center"/>
          </w:tcPr>
          <w:p w14:paraId="7AE11824" w14:textId="00E5EA4E" w:rsidR="00CE4605" w:rsidRPr="00F03392" w:rsidRDefault="00CE4605" w:rsidP="00C8082B">
            <w:pPr>
              <w:pStyle w:val="Tabletext"/>
              <w:keepNext/>
              <w:keepLines/>
            </w:pPr>
            <w:r w:rsidRPr="00F03392">
              <w:t>2 years</w:t>
            </w:r>
          </w:p>
        </w:tc>
      </w:tr>
      <w:tr w:rsidR="00CE4605" w:rsidRPr="0098262F" w14:paraId="0D383E0C" w14:textId="77777777" w:rsidTr="00834893">
        <w:tc>
          <w:tcPr>
            <w:tcW w:w="2660" w:type="dxa"/>
            <w:vAlign w:val="center"/>
          </w:tcPr>
          <w:p w14:paraId="4ABB6203" w14:textId="7A4241F8" w:rsidR="00CE4605" w:rsidRPr="00F03392" w:rsidRDefault="00CE4605" w:rsidP="00C8082B">
            <w:pPr>
              <w:pStyle w:val="Tabletext"/>
              <w:keepNext/>
              <w:keepLines/>
            </w:pPr>
            <w:r w:rsidRPr="00F03392">
              <w:t xml:space="preserve">Outcomes </w:t>
            </w:r>
          </w:p>
        </w:tc>
        <w:tc>
          <w:tcPr>
            <w:tcW w:w="6520" w:type="dxa"/>
            <w:vAlign w:val="center"/>
          </w:tcPr>
          <w:p w14:paraId="11ABF73B" w14:textId="4F7ED51B" w:rsidR="00CE4605" w:rsidRPr="00F03392" w:rsidRDefault="00CE4605" w:rsidP="00C8082B">
            <w:pPr>
              <w:pStyle w:val="Tabletext"/>
              <w:keepNext/>
              <w:keepLines/>
            </w:pPr>
            <w:r w:rsidRPr="00F03392">
              <w:t xml:space="preserve">Response rate. For gravimetric measurement, a 50% responder was a patient who achieved at least a 50% reduction from baseline in axillary sweat production at week 4. </w:t>
            </w:r>
          </w:p>
        </w:tc>
      </w:tr>
      <w:tr w:rsidR="00CE4605" w:rsidRPr="0098262F" w14:paraId="6D7D50F8" w14:textId="77777777" w:rsidTr="00834893">
        <w:tc>
          <w:tcPr>
            <w:tcW w:w="2660" w:type="dxa"/>
            <w:vAlign w:val="center"/>
          </w:tcPr>
          <w:p w14:paraId="11A3AD3C" w14:textId="53ABD467" w:rsidR="00CE4605" w:rsidRPr="00F03392" w:rsidRDefault="00E5421A" w:rsidP="00C8082B">
            <w:pPr>
              <w:pStyle w:val="Tabletext"/>
              <w:keepNext/>
              <w:keepLines/>
            </w:pPr>
            <w:r>
              <w:t>T</w:t>
            </w:r>
            <w:r w:rsidR="00CE4605" w:rsidRPr="00F03392">
              <w:t xml:space="preserve">reatments per </w:t>
            </w:r>
            <w:proofErr w:type="gramStart"/>
            <w:r w:rsidR="00CE4605" w:rsidRPr="00F03392">
              <w:t>2 year</w:t>
            </w:r>
            <w:proofErr w:type="gramEnd"/>
            <w:r w:rsidR="00CE4605" w:rsidRPr="00F03392">
              <w:t xml:space="preserve"> course</w:t>
            </w:r>
          </w:p>
        </w:tc>
        <w:tc>
          <w:tcPr>
            <w:tcW w:w="6520" w:type="dxa"/>
            <w:vAlign w:val="center"/>
          </w:tcPr>
          <w:p w14:paraId="6A056F3E" w14:textId="799EFC6A" w:rsidR="00CE4605" w:rsidRPr="00F03392" w:rsidRDefault="007619C9" w:rsidP="00C8082B">
            <w:pPr>
              <w:pStyle w:val="Tabletext"/>
              <w:keepNext/>
              <w:keepLines/>
            </w:pPr>
            <w:r>
              <w:t>GPB</w:t>
            </w:r>
            <w:r w:rsidR="00CE4605" w:rsidRPr="00F03392">
              <w:t xml:space="preserve">: over 2 years, applied to each </w:t>
            </w:r>
            <w:r w:rsidR="005F7BC5">
              <w:t>axilla</w:t>
            </w:r>
            <w:r w:rsidR="00CE4605" w:rsidRPr="00F03392">
              <w:t xml:space="preserve"> evenly once daily for weeks 1-4, then 3 times per week from week 5: total 10.58 packs. </w:t>
            </w:r>
          </w:p>
          <w:p w14:paraId="724CFD76" w14:textId="0F41290B" w:rsidR="00CE4605" w:rsidRPr="00F03392" w:rsidRDefault="007619C9" w:rsidP="00C8082B">
            <w:pPr>
              <w:pStyle w:val="Tabletext"/>
              <w:keepNext/>
              <w:keepLines/>
            </w:pPr>
            <w:r>
              <w:t>BTA</w:t>
            </w:r>
            <w:r w:rsidR="004F4F52">
              <w:t>:</w:t>
            </w:r>
            <w:r w:rsidR="00CE4605" w:rsidRPr="00F03392">
              <w:t xml:space="preserve"> administrations over 2 years (2.64 administrations per year) </w:t>
            </w:r>
          </w:p>
          <w:p w14:paraId="31EFDFF9" w14:textId="71832D60" w:rsidR="00CE4605" w:rsidRPr="00F03392" w:rsidRDefault="00CE4605" w:rsidP="00C8082B">
            <w:pPr>
              <w:pStyle w:val="Tabletext"/>
              <w:keepNext/>
              <w:keepLines/>
            </w:pPr>
            <w:r w:rsidRPr="00F03392">
              <w:t>1.56 vials per administration</w:t>
            </w:r>
          </w:p>
          <w:p w14:paraId="4F398A59" w14:textId="39AECD14" w:rsidR="00CE4605" w:rsidRPr="00F03392" w:rsidRDefault="00CE4605" w:rsidP="00C8082B">
            <w:pPr>
              <w:pStyle w:val="Tabletext"/>
              <w:keepNext/>
              <w:keepLines/>
            </w:pPr>
            <w:r w:rsidRPr="00F03392">
              <w:t>8.3 vials over 2 years</w:t>
            </w:r>
            <w:r w:rsidR="00AB04F6">
              <w:t xml:space="preserve"> </w:t>
            </w:r>
          </w:p>
        </w:tc>
      </w:tr>
      <w:tr w:rsidR="00CE4605" w:rsidRPr="0098262F" w14:paraId="7751334A" w14:textId="77777777" w:rsidTr="00834893">
        <w:tc>
          <w:tcPr>
            <w:tcW w:w="2660" w:type="dxa"/>
            <w:vAlign w:val="center"/>
          </w:tcPr>
          <w:p w14:paraId="7B9835B9" w14:textId="77777777" w:rsidR="00CE4605" w:rsidRPr="00F03392" w:rsidRDefault="00CE4605" w:rsidP="00C8082B">
            <w:pPr>
              <w:pStyle w:val="Tabletext"/>
              <w:keepNext/>
              <w:keepLines/>
            </w:pPr>
            <w:r w:rsidRPr="00F03392">
              <w:t>Direct medicine costs</w:t>
            </w:r>
          </w:p>
        </w:tc>
        <w:tc>
          <w:tcPr>
            <w:tcW w:w="6520" w:type="dxa"/>
            <w:vAlign w:val="center"/>
          </w:tcPr>
          <w:p w14:paraId="73CC12D5" w14:textId="51D0401F" w:rsidR="00CE4605" w:rsidRDefault="004F4F52" w:rsidP="00C8082B">
            <w:pPr>
              <w:pStyle w:val="Tabletext"/>
              <w:keepNext/>
              <w:keepLines/>
            </w:pPr>
            <w:r>
              <w:t>BTA</w:t>
            </w:r>
            <w:r w:rsidR="00CE4605" w:rsidRPr="00F03392">
              <w:t>: $434.97 per administration based on published DPMQ</w:t>
            </w:r>
          </w:p>
          <w:p w14:paraId="12A2DE64" w14:textId="3DC5F8B3" w:rsidR="00E5421A" w:rsidRPr="00F03392" w:rsidRDefault="00E5421A" w:rsidP="00C8082B">
            <w:pPr>
              <w:pStyle w:val="Tabletext"/>
              <w:keepNext/>
              <w:keepLines/>
            </w:pPr>
            <w:r>
              <w:t xml:space="preserve">Total </w:t>
            </w:r>
            <w:proofErr w:type="gramStart"/>
            <w:r>
              <w:t>2 year</w:t>
            </w:r>
            <w:proofErr w:type="gramEnd"/>
            <w:r>
              <w:t xml:space="preserve"> cost (PBS and MBS) =$4387.62</w:t>
            </w:r>
          </w:p>
          <w:p w14:paraId="1951EF2C" w14:textId="50C7DCDB" w:rsidR="00CE4605" w:rsidRPr="00F03392" w:rsidRDefault="004F4F52" w:rsidP="00C8082B">
            <w:pPr>
              <w:pStyle w:val="Tabletext"/>
              <w:keepNext/>
              <w:keepLines/>
            </w:pPr>
            <w:r>
              <w:t>GP</w:t>
            </w:r>
            <w:r w:rsidR="00A03A2F">
              <w:t>B</w:t>
            </w:r>
            <w:r>
              <w:t>:</w:t>
            </w:r>
            <w:r w:rsidR="00CE4605" w:rsidRPr="00F03392">
              <w:t xml:space="preserve"> calculated as weighted price, based on </w:t>
            </w:r>
            <w:r w:rsidR="00823EA7">
              <w:t>economic evaluation</w:t>
            </w:r>
            <w:r w:rsidR="00CE4605" w:rsidRPr="00F03392">
              <w:t>, DPMQ $</w:t>
            </w:r>
            <w:r w:rsidR="00CE4605" w:rsidRPr="00AF2EC7">
              <w:t>384.25</w:t>
            </w:r>
          </w:p>
        </w:tc>
      </w:tr>
      <w:tr w:rsidR="00E5421A" w:rsidRPr="0098262F" w14:paraId="75EBABB6" w14:textId="77777777" w:rsidTr="00834893">
        <w:tc>
          <w:tcPr>
            <w:tcW w:w="2660" w:type="dxa"/>
            <w:vAlign w:val="center"/>
          </w:tcPr>
          <w:p w14:paraId="49A3D635" w14:textId="53DC67D6" w:rsidR="00E5421A" w:rsidRPr="00F03392" w:rsidRDefault="00E5421A" w:rsidP="00C8082B">
            <w:pPr>
              <w:pStyle w:val="Tabletext"/>
              <w:keepNext/>
              <w:keepLines/>
            </w:pPr>
            <w:r>
              <w:t xml:space="preserve">Cost per responder </w:t>
            </w:r>
          </w:p>
        </w:tc>
        <w:tc>
          <w:tcPr>
            <w:tcW w:w="6520" w:type="dxa"/>
            <w:vAlign w:val="center"/>
          </w:tcPr>
          <w:p w14:paraId="2D5D78AF" w14:textId="1E70AEDA" w:rsidR="00E5421A" w:rsidRPr="00F03392" w:rsidRDefault="00AC13D2" w:rsidP="00C8082B">
            <w:pPr>
              <w:pStyle w:val="Tabletext"/>
              <w:keepNext/>
              <w:keepLines/>
            </w:pPr>
            <w:r>
              <w:t>BTA:</w:t>
            </w:r>
            <w:r w:rsidR="00E5421A">
              <w:t xml:space="preserve"> cost per responder over 2 years: $4440.55</w:t>
            </w:r>
          </w:p>
        </w:tc>
      </w:tr>
      <w:tr w:rsidR="00CE4605" w:rsidRPr="0098262F" w14:paraId="42B01C46" w14:textId="77777777" w:rsidTr="00834893">
        <w:tc>
          <w:tcPr>
            <w:tcW w:w="2660" w:type="dxa"/>
            <w:vAlign w:val="center"/>
          </w:tcPr>
          <w:p w14:paraId="01298297" w14:textId="77777777" w:rsidR="00CE4605" w:rsidRPr="00F03392" w:rsidRDefault="00CE4605" w:rsidP="00C8082B">
            <w:pPr>
              <w:pStyle w:val="Tabletext"/>
              <w:keepNext/>
              <w:keepLines/>
            </w:pPr>
            <w:r w:rsidRPr="00F03392">
              <w:t>Other costs or cost offsets</w:t>
            </w:r>
          </w:p>
        </w:tc>
        <w:tc>
          <w:tcPr>
            <w:tcW w:w="6520" w:type="dxa"/>
            <w:vAlign w:val="center"/>
          </w:tcPr>
          <w:p w14:paraId="30839321" w14:textId="128FBF48" w:rsidR="00CE4605" w:rsidRPr="00F03392" w:rsidRDefault="00AC13D2" w:rsidP="00C8082B">
            <w:pPr>
              <w:pStyle w:val="Tabletext"/>
              <w:keepNext/>
              <w:keepLines/>
            </w:pPr>
            <w:r>
              <w:t>BTA</w:t>
            </w:r>
            <w:r w:rsidR="00CE4605" w:rsidRPr="00F03392">
              <w:t>:</w:t>
            </w:r>
            <w:r w:rsidR="00AB04F6">
              <w:t xml:space="preserve"> </w:t>
            </w:r>
            <w:r w:rsidR="00CE4605" w:rsidRPr="00F03392">
              <w:t>MBS costs of specialist administration, local anaesthetic, adverse events.</w:t>
            </w:r>
          </w:p>
        </w:tc>
      </w:tr>
    </w:tbl>
    <w:p w14:paraId="16C8653C" w14:textId="52DF7CAB" w:rsidR="008C5739" w:rsidRPr="00CE4605" w:rsidRDefault="000F493F" w:rsidP="000F493F">
      <w:pPr>
        <w:pStyle w:val="TableFigureFooter"/>
      </w:pPr>
      <w:r>
        <w:t>Source: Table 3.1, p159 of the submission.</w:t>
      </w:r>
      <w:r w:rsidR="005E3D4F">
        <w:t xml:space="preserve"> </w:t>
      </w:r>
      <w:r w:rsidR="00823EA7">
        <w:t>economic evaluation</w:t>
      </w:r>
      <w:r w:rsidR="005E3D4F">
        <w:t xml:space="preserve">; </w:t>
      </w:r>
      <w:r w:rsidR="00F17CFE">
        <w:t xml:space="preserve">BTA: botulinum toxin A; </w:t>
      </w:r>
      <w:r w:rsidR="005E3D4F" w:rsidRPr="005E3D4F">
        <w:t>DPMQ = dispensed price for maximum quantity; GM = gravimetric measurement;</w:t>
      </w:r>
      <w:r w:rsidR="00F17CFE">
        <w:t xml:space="preserve"> GPB: </w:t>
      </w:r>
      <w:r w:rsidR="0039290E" w:rsidRPr="0039290E">
        <w:t>glycopyrronium</w:t>
      </w:r>
      <w:r w:rsidR="0039290E">
        <w:t>;</w:t>
      </w:r>
      <w:r w:rsidR="005E3D4F" w:rsidRPr="005E3D4F">
        <w:t xml:space="preserve"> MBS = Medicare Benefits Schedule; PBS = Pharmaceutical Benefits Scheme</w:t>
      </w:r>
      <w:r w:rsidR="005E3D4F">
        <w:t>.</w:t>
      </w:r>
    </w:p>
    <w:p w14:paraId="720957AA" w14:textId="2AD87F60" w:rsidR="00E5421A" w:rsidRPr="00465EE4" w:rsidRDefault="00E5421A" w:rsidP="002721B7">
      <w:pPr>
        <w:pStyle w:val="3-BodyText"/>
      </w:pPr>
      <w:r w:rsidRPr="00465EE4">
        <w:t xml:space="preserve">The analysis was conducted based on the assumption that the effectiveness of </w:t>
      </w:r>
      <w:r w:rsidR="005F0C08" w:rsidRPr="00465EE4">
        <w:t>BTA</w:t>
      </w:r>
      <w:r w:rsidRPr="00465EE4">
        <w:t xml:space="preserve"> seen in short term trials would be maintained in the longer term with increased dose or shorter dosing intervals, and that it is superior to </w:t>
      </w:r>
      <w:r w:rsidR="005F0C08" w:rsidRPr="00465EE4">
        <w:t>GPB</w:t>
      </w:r>
      <w:r w:rsidRPr="00465EE4">
        <w:t xml:space="preserve">. </w:t>
      </w:r>
      <w:r w:rsidR="000F493F" w:rsidRPr="00465EE4">
        <w:t xml:space="preserve">A ‘50% responder’ was defined as a patient who achieved at least a 50% reduction from baseline in </w:t>
      </w:r>
      <w:r w:rsidR="005F0C08" w:rsidRPr="00465EE4">
        <w:t xml:space="preserve">unstimulated </w:t>
      </w:r>
      <w:r w:rsidR="000F493F" w:rsidRPr="00465EE4">
        <w:t xml:space="preserve">axillary sweat production at week 4. </w:t>
      </w:r>
    </w:p>
    <w:p w14:paraId="19EBF09B" w14:textId="10E2EF56" w:rsidR="00B46621" w:rsidRPr="00AD35FD" w:rsidRDefault="000F493F" w:rsidP="002721B7">
      <w:pPr>
        <w:pStyle w:val="3-BodyText"/>
      </w:pPr>
      <w:r w:rsidRPr="00465EE4">
        <w:t>The response rates used in the analysis are shown in</w:t>
      </w:r>
      <w:r w:rsidR="00AD0699" w:rsidRPr="00465EE4">
        <w:t xml:space="preserve"> </w:t>
      </w:r>
      <w:r w:rsidR="00AD0699" w:rsidRPr="00465EE4">
        <w:fldChar w:fldCharType="begin" w:fldLock="1"/>
      </w:r>
      <w:r w:rsidR="00AD0699" w:rsidRPr="00465EE4">
        <w:instrText xml:space="preserve"> REF _Ref205981633 \h </w:instrText>
      </w:r>
      <w:r w:rsidR="00AD35FD" w:rsidRPr="00465EE4">
        <w:instrText xml:space="preserve"> \* MERGEFORMAT </w:instrText>
      </w:r>
      <w:r w:rsidR="00AD0699" w:rsidRPr="00465EE4">
        <w:fldChar w:fldCharType="separate"/>
      </w:r>
      <w:r w:rsidR="004D6DEB">
        <w:t xml:space="preserve">Table </w:t>
      </w:r>
      <w:r w:rsidR="004D6DEB">
        <w:rPr>
          <w:noProof/>
        </w:rPr>
        <w:t>9</w:t>
      </w:r>
      <w:r w:rsidR="00AD0699" w:rsidRPr="00465EE4">
        <w:fldChar w:fldCharType="end"/>
      </w:r>
      <w:r w:rsidR="00AD0699" w:rsidRPr="00465EE4">
        <w:t>.</w:t>
      </w:r>
      <w:r w:rsidR="00686210" w:rsidRPr="00465EE4">
        <w:t xml:space="preserve"> </w:t>
      </w:r>
      <w:r w:rsidR="005E3D4F" w:rsidRPr="00465EE4">
        <w:t xml:space="preserve">The assumption that the initial response </w:t>
      </w:r>
      <w:r w:rsidR="00C212A6" w:rsidRPr="00465EE4">
        <w:t xml:space="preserve">for both GPB and BTA </w:t>
      </w:r>
      <w:r w:rsidR="005E3D4F" w:rsidRPr="00465EE4">
        <w:t>would be maintained</w:t>
      </w:r>
      <w:r w:rsidR="004C2D52" w:rsidRPr="00465EE4">
        <w:t xml:space="preserve"> at 2 years </w:t>
      </w:r>
      <w:r w:rsidR="005E3D4F" w:rsidRPr="00465EE4">
        <w:t xml:space="preserve">was not </w:t>
      </w:r>
      <w:r w:rsidR="004C2D52" w:rsidRPr="00465EE4">
        <w:t>well</w:t>
      </w:r>
      <w:r w:rsidR="00872702" w:rsidRPr="00465EE4">
        <w:t xml:space="preserve"> </w:t>
      </w:r>
      <w:r w:rsidR="005E3D4F" w:rsidRPr="00465EE4">
        <w:t>supported by the clinical trials</w:t>
      </w:r>
      <w:r w:rsidR="00521DC9" w:rsidRPr="00465EE4">
        <w:t>.</w:t>
      </w:r>
      <w:r w:rsidR="005E3D4F" w:rsidRPr="00465EE4">
        <w:t xml:space="preserve"> </w:t>
      </w:r>
    </w:p>
    <w:p w14:paraId="053098DD" w14:textId="50D6257E" w:rsidR="00E5421A" w:rsidRDefault="00686210" w:rsidP="00686210">
      <w:pPr>
        <w:pStyle w:val="Caption"/>
      </w:pPr>
      <w:bookmarkStart w:id="44" w:name="_Ref205981633"/>
      <w:r>
        <w:t xml:space="preserve">Table </w:t>
      </w:r>
      <w:r w:rsidR="007C24FD">
        <w:fldChar w:fldCharType="begin" w:fldLock="1"/>
      </w:r>
      <w:r w:rsidR="007C24FD">
        <w:instrText xml:space="preserve"> SEQ Table \* ARABIC </w:instrText>
      </w:r>
      <w:r w:rsidR="007C24FD">
        <w:fldChar w:fldCharType="separate"/>
      </w:r>
      <w:r w:rsidR="004D6DEB">
        <w:rPr>
          <w:noProof/>
        </w:rPr>
        <w:t>9</w:t>
      </w:r>
      <w:r w:rsidR="007C24FD">
        <w:rPr>
          <w:noProof/>
        </w:rPr>
        <w:fldChar w:fldCharType="end"/>
      </w:r>
      <w:bookmarkEnd w:id="44"/>
      <w:r>
        <w:t>: Response rates used in the economic analysis</w:t>
      </w:r>
      <w:r w:rsidR="009C0D0F">
        <w:t xml:space="preserve"> </w:t>
      </w:r>
    </w:p>
    <w:tbl>
      <w:tblPr>
        <w:tblStyle w:val="TableGrid"/>
        <w:tblW w:w="5000" w:type="pct"/>
        <w:tblLook w:val="04A0" w:firstRow="1" w:lastRow="0" w:firstColumn="1" w:lastColumn="0" w:noHBand="0" w:noVBand="1"/>
        <w:tblCaption w:val="Table 9"/>
        <w:tblDescription w:val="Response rates used in the economic analysis "/>
      </w:tblPr>
      <w:tblGrid>
        <w:gridCol w:w="1581"/>
        <w:gridCol w:w="1436"/>
        <w:gridCol w:w="1482"/>
        <w:gridCol w:w="1531"/>
        <w:gridCol w:w="1515"/>
        <w:gridCol w:w="1472"/>
      </w:tblGrid>
      <w:tr w:rsidR="000F493F" w:rsidRPr="000F493F" w14:paraId="74A6CA26" w14:textId="77777777" w:rsidTr="0055095D">
        <w:tc>
          <w:tcPr>
            <w:tcW w:w="877" w:type="pct"/>
          </w:tcPr>
          <w:p w14:paraId="6F1657D6" w14:textId="77777777" w:rsidR="000F493F" w:rsidRPr="000F493F" w:rsidRDefault="000F493F" w:rsidP="000F493F">
            <w:pPr>
              <w:pStyle w:val="Tabletext"/>
            </w:pPr>
          </w:p>
        </w:tc>
        <w:tc>
          <w:tcPr>
            <w:tcW w:w="796" w:type="pct"/>
          </w:tcPr>
          <w:p w14:paraId="47349052" w14:textId="741B5B8B" w:rsidR="000F493F" w:rsidRPr="000F493F" w:rsidRDefault="0055095D" w:rsidP="005E3D4F">
            <w:pPr>
              <w:pStyle w:val="In-tableHeading"/>
            </w:pPr>
            <w:r>
              <w:t>C</w:t>
            </w:r>
            <w:r w:rsidR="000F493F">
              <w:t>ohort</w:t>
            </w:r>
          </w:p>
        </w:tc>
        <w:tc>
          <w:tcPr>
            <w:tcW w:w="822" w:type="pct"/>
          </w:tcPr>
          <w:p w14:paraId="46918310" w14:textId="03B9BD1F" w:rsidR="000F493F" w:rsidRPr="000F493F" w:rsidRDefault="000F493F" w:rsidP="005E3D4F">
            <w:pPr>
              <w:pStyle w:val="In-tableHeading"/>
            </w:pPr>
            <w:r>
              <w:t>Response rate 0-4 weeks</w:t>
            </w:r>
          </w:p>
        </w:tc>
        <w:tc>
          <w:tcPr>
            <w:tcW w:w="849" w:type="pct"/>
          </w:tcPr>
          <w:p w14:paraId="575DDE85" w14:textId="39E1DCCF" w:rsidR="000F493F" w:rsidRPr="000F493F" w:rsidRDefault="000F493F" w:rsidP="005E3D4F">
            <w:pPr>
              <w:pStyle w:val="In-tableHeading"/>
            </w:pPr>
            <w:r>
              <w:t>Responders and cohort for weeks 5-104</w:t>
            </w:r>
          </w:p>
        </w:tc>
        <w:tc>
          <w:tcPr>
            <w:tcW w:w="840" w:type="pct"/>
          </w:tcPr>
          <w:p w14:paraId="472E68C3" w14:textId="42764226" w:rsidR="000F493F" w:rsidRPr="000F493F" w:rsidRDefault="000F493F" w:rsidP="005E3D4F">
            <w:pPr>
              <w:pStyle w:val="In-tableHeading"/>
            </w:pPr>
            <w:r>
              <w:t>Response rate for responders</w:t>
            </w:r>
          </w:p>
        </w:tc>
        <w:tc>
          <w:tcPr>
            <w:tcW w:w="816" w:type="pct"/>
          </w:tcPr>
          <w:p w14:paraId="5A75CF83" w14:textId="6BDE3E10" w:rsidR="000F493F" w:rsidRPr="000F493F" w:rsidRDefault="000F493F" w:rsidP="005E3D4F">
            <w:pPr>
              <w:pStyle w:val="In-tableHeading"/>
            </w:pPr>
            <w:r>
              <w:t>Average patient weeks on treatment for cohort</w:t>
            </w:r>
          </w:p>
        </w:tc>
      </w:tr>
      <w:tr w:rsidR="000F493F" w:rsidRPr="000F493F" w14:paraId="2D185BFB" w14:textId="77777777" w:rsidTr="0055095D">
        <w:tc>
          <w:tcPr>
            <w:tcW w:w="877" w:type="pct"/>
          </w:tcPr>
          <w:p w14:paraId="3DA613C8" w14:textId="170B1741" w:rsidR="000F493F" w:rsidRPr="000F493F" w:rsidRDefault="000F493F" w:rsidP="000F493F">
            <w:pPr>
              <w:pStyle w:val="Tabletext"/>
            </w:pPr>
            <w:r>
              <w:t>Botulinum toxin</w:t>
            </w:r>
            <w:r w:rsidR="004931F4">
              <w:t xml:space="preserve"> A</w:t>
            </w:r>
          </w:p>
        </w:tc>
        <w:tc>
          <w:tcPr>
            <w:tcW w:w="796" w:type="pct"/>
          </w:tcPr>
          <w:p w14:paraId="2751C2CA" w14:textId="1C27A9B5" w:rsidR="000F493F" w:rsidRPr="000F493F" w:rsidRDefault="000F493F" w:rsidP="000F493F">
            <w:pPr>
              <w:pStyle w:val="Tabletext"/>
            </w:pPr>
            <w:r>
              <w:t>100</w:t>
            </w:r>
          </w:p>
        </w:tc>
        <w:tc>
          <w:tcPr>
            <w:tcW w:w="822" w:type="pct"/>
          </w:tcPr>
          <w:p w14:paraId="06AA7EC7" w14:textId="7CBAE1FF" w:rsidR="000F493F" w:rsidRPr="000F493F" w:rsidRDefault="000F493F" w:rsidP="000F493F">
            <w:pPr>
              <w:pStyle w:val="Tabletext"/>
            </w:pPr>
            <w:r>
              <w:t>94.0%</w:t>
            </w:r>
          </w:p>
        </w:tc>
        <w:tc>
          <w:tcPr>
            <w:tcW w:w="849" w:type="pct"/>
          </w:tcPr>
          <w:p w14:paraId="55CE3F08" w14:textId="30E494CB" w:rsidR="000F493F" w:rsidRPr="000F493F" w:rsidRDefault="000F493F" w:rsidP="000F493F">
            <w:pPr>
              <w:pStyle w:val="Tabletext"/>
            </w:pPr>
            <w:r>
              <w:t>94.0</w:t>
            </w:r>
          </w:p>
        </w:tc>
        <w:tc>
          <w:tcPr>
            <w:tcW w:w="840" w:type="pct"/>
          </w:tcPr>
          <w:p w14:paraId="6454EC39" w14:textId="08A42977" w:rsidR="000F493F" w:rsidRPr="000F493F" w:rsidRDefault="000F493F" w:rsidP="000F493F">
            <w:pPr>
              <w:pStyle w:val="Tabletext"/>
            </w:pPr>
            <w:r>
              <w:t>100%</w:t>
            </w:r>
          </w:p>
        </w:tc>
        <w:tc>
          <w:tcPr>
            <w:tcW w:w="816" w:type="pct"/>
          </w:tcPr>
          <w:p w14:paraId="28F72A23" w14:textId="4D43CA28" w:rsidR="000F493F" w:rsidRPr="000F493F" w:rsidRDefault="000F493F" w:rsidP="000F493F">
            <w:pPr>
              <w:pStyle w:val="Tabletext"/>
            </w:pPr>
            <w:r>
              <w:t>94.23</w:t>
            </w:r>
          </w:p>
        </w:tc>
      </w:tr>
      <w:tr w:rsidR="000F493F" w:rsidRPr="000F493F" w14:paraId="280B4298" w14:textId="77777777" w:rsidTr="0055095D">
        <w:tc>
          <w:tcPr>
            <w:tcW w:w="877" w:type="pct"/>
          </w:tcPr>
          <w:p w14:paraId="1A8D68CE" w14:textId="31756A14" w:rsidR="000F493F" w:rsidRPr="000F493F" w:rsidRDefault="00E165F5" w:rsidP="000F493F">
            <w:pPr>
              <w:pStyle w:val="Tabletext"/>
            </w:pPr>
            <w:r>
              <w:t>G</w:t>
            </w:r>
            <w:r w:rsidR="000F493F">
              <w:t>lycopyrronium</w:t>
            </w:r>
          </w:p>
        </w:tc>
        <w:tc>
          <w:tcPr>
            <w:tcW w:w="796" w:type="pct"/>
          </w:tcPr>
          <w:p w14:paraId="3DFA584A" w14:textId="242078DE" w:rsidR="000F493F" w:rsidRPr="000F493F" w:rsidRDefault="000F493F" w:rsidP="000F493F">
            <w:pPr>
              <w:pStyle w:val="Tabletext"/>
            </w:pPr>
            <w:r>
              <w:t>100</w:t>
            </w:r>
          </w:p>
        </w:tc>
        <w:tc>
          <w:tcPr>
            <w:tcW w:w="822" w:type="pct"/>
          </w:tcPr>
          <w:p w14:paraId="4819E43A" w14:textId="52A3F5BC" w:rsidR="000F493F" w:rsidRPr="000F493F" w:rsidRDefault="000F493F" w:rsidP="000F493F">
            <w:pPr>
              <w:pStyle w:val="Tabletext"/>
            </w:pPr>
            <w:r>
              <w:t>57.5%</w:t>
            </w:r>
          </w:p>
        </w:tc>
        <w:tc>
          <w:tcPr>
            <w:tcW w:w="849" w:type="pct"/>
          </w:tcPr>
          <w:p w14:paraId="24555AA4" w14:textId="1AFC27B2" w:rsidR="000F493F" w:rsidRPr="000F493F" w:rsidRDefault="000F493F" w:rsidP="000F493F">
            <w:pPr>
              <w:pStyle w:val="Tabletext"/>
            </w:pPr>
            <w:r>
              <w:t>57.5</w:t>
            </w:r>
          </w:p>
        </w:tc>
        <w:tc>
          <w:tcPr>
            <w:tcW w:w="840" w:type="pct"/>
          </w:tcPr>
          <w:p w14:paraId="798309AF" w14:textId="106F2D43" w:rsidR="000F493F" w:rsidRPr="000F493F" w:rsidRDefault="000F493F" w:rsidP="000F493F">
            <w:pPr>
              <w:pStyle w:val="Tabletext"/>
            </w:pPr>
            <w:r>
              <w:t>100%</w:t>
            </w:r>
          </w:p>
        </w:tc>
        <w:tc>
          <w:tcPr>
            <w:tcW w:w="816" w:type="pct"/>
          </w:tcPr>
          <w:p w14:paraId="3317830C" w14:textId="032A8C31" w:rsidR="000F493F" w:rsidRPr="000F493F" w:rsidRDefault="000F493F" w:rsidP="000F493F">
            <w:pPr>
              <w:pStyle w:val="Tabletext"/>
            </w:pPr>
            <w:r>
              <w:t>59.13</w:t>
            </w:r>
          </w:p>
        </w:tc>
      </w:tr>
    </w:tbl>
    <w:p w14:paraId="371DE3D4" w14:textId="6579A8C5" w:rsidR="000F493F" w:rsidRPr="00E5421A" w:rsidRDefault="000F493F" w:rsidP="000F493F">
      <w:pPr>
        <w:pStyle w:val="TableFigureFooter"/>
      </w:pPr>
      <w:r>
        <w:t>Source:</w:t>
      </w:r>
      <w:r w:rsidR="005E3D4F">
        <w:t xml:space="preserve"> Table 3.2, p161 of the submission.</w:t>
      </w:r>
    </w:p>
    <w:p w14:paraId="10E5E5F1" w14:textId="13E6848F" w:rsidR="00E165F5" w:rsidRPr="00465EE4" w:rsidRDefault="005E3D4F" w:rsidP="002721B7">
      <w:pPr>
        <w:pStyle w:val="3-BodyText"/>
      </w:pPr>
      <w:r w:rsidRPr="00465EE4">
        <w:t xml:space="preserve">The submission included the administration </w:t>
      </w:r>
      <w:r w:rsidR="002C6DA0" w:rsidRPr="00465EE4">
        <w:t>and adverse event costs</w:t>
      </w:r>
      <w:r w:rsidRPr="00465EE4">
        <w:t xml:space="preserve"> of </w:t>
      </w:r>
      <w:r w:rsidR="005F0C08" w:rsidRPr="00465EE4">
        <w:t>BTA</w:t>
      </w:r>
      <w:r w:rsidRPr="00465EE4">
        <w:t xml:space="preserve"> in its analysis</w:t>
      </w:r>
      <w:r w:rsidR="001C1D15" w:rsidRPr="00465EE4">
        <w:t xml:space="preserve">, then calculated the total cost over 2 years, based on the published price of </w:t>
      </w:r>
      <w:r w:rsidR="005F0C08" w:rsidRPr="00465EE4">
        <w:t>BTA</w:t>
      </w:r>
      <w:r w:rsidR="001C1D15" w:rsidRPr="00465EE4">
        <w:t xml:space="preserve">. </w:t>
      </w:r>
      <w:r w:rsidR="00F90BF8" w:rsidRPr="00465EE4">
        <w:t xml:space="preserve">Discounting was not applied. </w:t>
      </w:r>
      <w:r w:rsidR="000961F4" w:rsidRPr="00465EE4">
        <w:t>The cost of BTA treatment was calculated incorporating MBS costs (MBS item 18362 for BTA, plus item 104/105 for specialist consultations), local anaesthetic costs for 50% of treated patients, and adverse events for compensatory sweating and anticholinergics, resulting in an estimated BTA cost of $829.24 per administration, and $4,387.62 over 2 years (5.29 administrations).</w:t>
      </w:r>
    </w:p>
    <w:p w14:paraId="4086BD75" w14:textId="645185A3" w:rsidR="0014746F" w:rsidRPr="00465EE4" w:rsidRDefault="003A54DE" w:rsidP="002721B7">
      <w:pPr>
        <w:pStyle w:val="3-BodyText"/>
      </w:pPr>
      <w:r w:rsidRPr="00465EE4">
        <w:t xml:space="preserve">Overall, the costing </w:t>
      </w:r>
      <w:r w:rsidR="00C668A6" w:rsidRPr="00465EE4">
        <w:t>wa</w:t>
      </w:r>
      <w:r w:rsidRPr="00465EE4">
        <w:t>s</w:t>
      </w:r>
      <w:r w:rsidR="00F65C36">
        <w:t xml:space="preserve"> likely</w:t>
      </w:r>
      <w:r w:rsidR="007E7543" w:rsidRPr="00465EE4">
        <w:t xml:space="preserve"> </w:t>
      </w:r>
      <w:r w:rsidRPr="00465EE4">
        <w:t xml:space="preserve">inflated by the inclusion of the costs of </w:t>
      </w:r>
      <w:r w:rsidR="00C668A6" w:rsidRPr="00465EE4">
        <w:t>local anaesthetic administration and a</w:t>
      </w:r>
      <w:r w:rsidRPr="00465EE4">
        <w:t>dverse events</w:t>
      </w:r>
      <w:r w:rsidR="001474B9" w:rsidRPr="00465EE4">
        <w:t xml:space="preserve">. The submission stated that the use of local anaesthetic was </w:t>
      </w:r>
      <w:r w:rsidR="00F83730">
        <w:t>‘</w:t>
      </w:r>
      <w:r w:rsidR="001474B9" w:rsidRPr="00465EE4">
        <w:t>validated by local experts</w:t>
      </w:r>
      <w:r w:rsidR="00F83730">
        <w:t>’</w:t>
      </w:r>
      <w:r w:rsidR="001474B9" w:rsidRPr="00465EE4">
        <w:t xml:space="preserve">, but </w:t>
      </w:r>
      <w:r w:rsidR="008A3E71" w:rsidRPr="00465EE4">
        <w:t>trial</w:t>
      </w:r>
      <w:r w:rsidR="001474B9" w:rsidRPr="00465EE4">
        <w:t xml:space="preserve"> publications do not mention local anaesthetic use; BTA is injected with a 30G </w:t>
      </w:r>
      <w:r w:rsidR="00FE7C59" w:rsidRPr="00465EE4">
        <w:t>needle,</w:t>
      </w:r>
      <w:r w:rsidR="001474B9" w:rsidRPr="00465EE4">
        <w:t xml:space="preserve"> and each injection is about 0.2 </w:t>
      </w:r>
      <w:proofErr w:type="spellStart"/>
      <w:r w:rsidR="001474B9" w:rsidRPr="00465EE4">
        <w:t>mL</w:t>
      </w:r>
      <w:r w:rsidR="00C668A6" w:rsidRPr="00465EE4">
        <w:t>.</w:t>
      </w:r>
      <w:proofErr w:type="spellEnd"/>
      <w:r w:rsidR="00CE4E0E" w:rsidRPr="00465EE4">
        <w:t xml:space="preserve"> </w:t>
      </w:r>
    </w:p>
    <w:p w14:paraId="29C3355D" w14:textId="5B9ADE09" w:rsidR="008F224B" w:rsidRPr="00465EE4" w:rsidRDefault="001B23AA" w:rsidP="002721B7">
      <w:pPr>
        <w:pStyle w:val="3-BodyText"/>
      </w:pPr>
      <w:r w:rsidRPr="00465EE4">
        <w:t xml:space="preserve">The submission used the </w:t>
      </w:r>
      <w:r w:rsidR="00B83F25" w:rsidRPr="00465EE4">
        <w:t>calculated cost of BTA to undertake</w:t>
      </w:r>
      <w:r w:rsidR="0039028D" w:rsidRPr="00465EE4">
        <w:t xml:space="preserve"> </w:t>
      </w:r>
      <w:r w:rsidR="0099127B" w:rsidRPr="00465EE4">
        <w:t>a</w:t>
      </w:r>
      <w:r w:rsidRPr="00465EE4">
        <w:t xml:space="preserve"> cost per </w:t>
      </w:r>
      <w:r w:rsidR="007C485F" w:rsidRPr="00465EE4">
        <w:t xml:space="preserve">responder </w:t>
      </w:r>
      <w:r w:rsidR="008F224B" w:rsidRPr="00465EE4">
        <w:t xml:space="preserve">analysis </w:t>
      </w:r>
      <w:r w:rsidR="007C485F" w:rsidRPr="00465EE4">
        <w:t>over 2 years. The results of this analysis are shown in</w:t>
      </w:r>
      <w:r w:rsidR="006B1189" w:rsidRPr="00465EE4">
        <w:t xml:space="preserve"> </w:t>
      </w:r>
      <w:r w:rsidR="006B1189" w:rsidRPr="00465EE4">
        <w:fldChar w:fldCharType="begin" w:fldLock="1"/>
      </w:r>
      <w:r w:rsidR="006B1189" w:rsidRPr="00465EE4">
        <w:instrText xml:space="preserve"> REF _Ref211952370 \h </w:instrText>
      </w:r>
      <w:r w:rsidR="00465EE4" w:rsidRPr="00465EE4">
        <w:instrText xml:space="preserve"> \* MERGEFORMAT </w:instrText>
      </w:r>
      <w:r w:rsidR="006B1189" w:rsidRPr="00465EE4">
        <w:fldChar w:fldCharType="separate"/>
      </w:r>
      <w:r w:rsidR="004D6DEB">
        <w:t xml:space="preserve">Table </w:t>
      </w:r>
      <w:r w:rsidR="004D6DEB">
        <w:rPr>
          <w:noProof/>
        </w:rPr>
        <w:t>10</w:t>
      </w:r>
      <w:r w:rsidR="006B1189" w:rsidRPr="00465EE4">
        <w:fldChar w:fldCharType="end"/>
      </w:r>
      <w:r w:rsidR="00686210" w:rsidRPr="00465EE4">
        <w:t>.</w:t>
      </w:r>
      <w:r w:rsidR="0039028D" w:rsidRPr="00465EE4">
        <w:t xml:space="preserve"> </w:t>
      </w:r>
    </w:p>
    <w:p w14:paraId="3B93BCDC" w14:textId="63EDFE8B" w:rsidR="0014746F" w:rsidRDefault="0014746F" w:rsidP="0014746F">
      <w:pPr>
        <w:pStyle w:val="Caption"/>
      </w:pPr>
      <w:bookmarkStart w:id="45" w:name="_Ref211952370"/>
      <w:r>
        <w:t xml:space="preserve">Table </w:t>
      </w:r>
      <w:r w:rsidR="007C24FD">
        <w:fldChar w:fldCharType="begin" w:fldLock="1"/>
      </w:r>
      <w:r w:rsidR="007C24FD">
        <w:instrText xml:space="preserve"> SEQ Table \* ARABIC </w:instrText>
      </w:r>
      <w:r w:rsidR="007C24FD">
        <w:fldChar w:fldCharType="separate"/>
      </w:r>
      <w:r w:rsidR="004D6DEB">
        <w:rPr>
          <w:noProof/>
        </w:rPr>
        <w:t>10</w:t>
      </w:r>
      <w:r w:rsidR="007C24FD">
        <w:rPr>
          <w:noProof/>
        </w:rPr>
        <w:fldChar w:fldCharType="end"/>
      </w:r>
      <w:bookmarkEnd w:id="45"/>
      <w:r>
        <w:t>: Results of the base case economic evaluation using the published price of botulinum toxin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w:tblDescription w:val="Results of the base case economic evaluation using the published price of botulinum toxin"/>
      </w:tblPr>
      <w:tblGrid>
        <w:gridCol w:w="1870"/>
        <w:gridCol w:w="1127"/>
        <w:gridCol w:w="1255"/>
        <w:gridCol w:w="1164"/>
        <w:gridCol w:w="1394"/>
        <w:gridCol w:w="1255"/>
        <w:gridCol w:w="1428"/>
      </w:tblGrid>
      <w:tr w:rsidR="0014746F" w:rsidRPr="007F4AFC" w14:paraId="1DC9F852" w14:textId="77777777" w:rsidTr="0008449C">
        <w:trPr>
          <w:trHeight w:val="86"/>
        </w:trPr>
        <w:tc>
          <w:tcPr>
            <w:tcW w:w="1870" w:type="dxa"/>
            <w:noWrap/>
            <w:vAlign w:val="bottom"/>
            <w:hideMark/>
          </w:tcPr>
          <w:p w14:paraId="2DC10E41" w14:textId="77777777" w:rsidR="0014746F" w:rsidRPr="00350A43" w:rsidRDefault="0014746F">
            <w:pPr>
              <w:pStyle w:val="In-tableHeading"/>
            </w:pPr>
            <w:r w:rsidRPr="007F4AFC">
              <w:t>Weeks 1-4</w:t>
            </w:r>
          </w:p>
        </w:tc>
        <w:tc>
          <w:tcPr>
            <w:tcW w:w="1127" w:type="dxa"/>
            <w:vAlign w:val="bottom"/>
          </w:tcPr>
          <w:p w14:paraId="624C8E48" w14:textId="77777777" w:rsidR="0014746F" w:rsidRPr="007F4AFC" w:rsidRDefault="0014746F">
            <w:pPr>
              <w:pStyle w:val="In-tableHeading"/>
            </w:pPr>
            <w:r w:rsidRPr="007F4AFC">
              <w:t>C</w:t>
            </w:r>
            <w:r w:rsidRPr="00350A43">
              <w:t>ohort</w:t>
            </w:r>
          </w:p>
        </w:tc>
        <w:tc>
          <w:tcPr>
            <w:tcW w:w="1255" w:type="dxa"/>
            <w:noWrap/>
            <w:vAlign w:val="bottom"/>
            <w:hideMark/>
          </w:tcPr>
          <w:p w14:paraId="2DFB429D" w14:textId="77777777" w:rsidR="0014746F" w:rsidRPr="002A1961" w:rsidRDefault="0014746F">
            <w:pPr>
              <w:pStyle w:val="In-tableHeading"/>
            </w:pPr>
            <w:r w:rsidRPr="002A1961">
              <w:t>Response</w:t>
            </w:r>
          </w:p>
        </w:tc>
        <w:tc>
          <w:tcPr>
            <w:tcW w:w="1164" w:type="dxa"/>
            <w:noWrap/>
            <w:vAlign w:val="bottom"/>
            <w:hideMark/>
          </w:tcPr>
          <w:p w14:paraId="1B374E70" w14:textId="77777777" w:rsidR="0014746F" w:rsidRPr="002A1961" w:rsidRDefault="0014746F">
            <w:pPr>
              <w:pStyle w:val="In-tableHeading"/>
            </w:pPr>
            <w:r w:rsidRPr="002A1961">
              <w:t>Responders</w:t>
            </w:r>
          </w:p>
        </w:tc>
        <w:tc>
          <w:tcPr>
            <w:tcW w:w="1394" w:type="dxa"/>
            <w:noWrap/>
            <w:vAlign w:val="bottom"/>
            <w:hideMark/>
          </w:tcPr>
          <w:p w14:paraId="33C8EA84" w14:textId="77777777" w:rsidR="0014746F" w:rsidRPr="002A1961" w:rsidRDefault="0014746F">
            <w:pPr>
              <w:pStyle w:val="In-tableHeading"/>
            </w:pPr>
            <w:r w:rsidRPr="002A1961">
              <w:t>Cost/4 weeks</w:t>
            </w:r>
          </w:p>
        </w:tc>
        <w:tc>
          <w:tcPr>
            <w:tcW w:w="1255" w:type="dxa"/>
            <w:noWrap/>
            <w:vAlign w:val="bottom"/>
            <w:hideMark/>
          </w:tcPr>
          <w:p w14:paraId="3DD99CE6" w14:textId="77777777" w:rsidR="0014746F" w:rsidRPr="002A1961" w:rsidRDefault="0014746F">
            <w:pPr>
              <w:pStyle w:val="In-tableHeading"/>
            </w:pPr>
            <w:r w:rsidRPr="002A1961">
              <w:t>Cost/cohort</w:t>
            </w:r>
          </w:p>
        </w:tc>
        <w:tc>
          <w:tcPr>
            <w:tcW w:w="1428" w:type="dxa"/>
            <w:noWrap/>
            <w:vAlign w:val="bottom"/>
            <w:hideMark/>
          </w:tcPr>
          <w:p w14:paraId="60650050" w14:textId="77777777" w:rsidR="0014746F" w:rsidRPr="002A1961" w:rsidRDefault="0014746F">
            <w:pPr>
              <w:pStyle w:val="In-tableHeading"/>
            </w:pPr>
            <w:r w:rsidRPr="002A1961">
              <w:t>Cost/responder</w:t>
            </w:r>
          </w:p>
        </w:tc>
      </w:tr>
      <w:tr w:rsidR="0014746F" w:rsidRPr="007F4AFC" w14:paraId="18752D89" w14:textId="77777777" w:rsidTr="0008449C">
        <w:trPr>
          <w:trHeight w:val="86"/>
        </w:trPr>
        <w:tc>
          <w:tcPr>
            <w:tcW w:w="1870" w:type="dxa"/>
            <w:noWrap/>
            <w:vAlign w:val="bottom"/>
            <w:hideMark/>
          </w:tcPr>
          <w:p w14:paraId="684833E9" w14:textId="423F02B3" w:rsidR="0014746F" w:rsidRPr="00350A43" w:rsidRDefault="00037674">
            <w:pPr>
              <w:pStyle w:val="Tabletext"/>
            </w:pPr>
            <w:r>
              <w:t>BTA</w:t>
            </w:r>
          </w:p>
        </w:tc>
        <w:tc>
          <w:tcPr>
            <w:tcW w:w="1127" w:type="dxa"/>
            <w:vAlign w:val="bottom"/>
          </w:tcPr>
          <w:p w14:paraId="34FC4E7B" w14:textId="77777777" w:rsidR="0014746F" w:rsidRPr="007F4AFC" w:rsidRDefault="0014746F">
            <w:pPr>
              <w:pStyle w:val="Tabletext"/>
            </w:pPr>
            <w:r w:rsidRPr="00350A43">
              <w:t>100</w:t>
            </w:r>
          </w:p>
        </w:tc>
        <w:tc>
          <w:tcPr>
            <w:tcW w:w="1255" w:type="dxa"/>
            <w:noWrap/>
            <w:vAlign w:val="bottom"/>
            <w:hideMark/>
          </w:tcPr>
          <w:p w14:paraId="4E5BA08C" w14:textId="77777777" w:rsidR="0014746F" w:rsidRPr="002A1961" w:rsidRDefault="0014746F">
            <w:pPr>
              <w:pStyle w:val="Tabletext"/>
            </w:pPr>
            <w:r w:rsidRPr="002A1961">
              <w:t>94.0%</w:t>
            </w:r>
          </w:p>
        </w:tc>
        <w:tc>
          <w:tcPr>
            <w:tcW w:w="1164" w:type="dxa"/>
            <w:noWrap/>
            <w:vAlign w:val="bottom"/>
            <w:hideMark/>
          </w:tcPr>
          <w:p w14:paraId="2C2AE8DC" w14:textId="77777777" w:rsidR="0014746F" w:rsidRPr="002A1961" w:rsidRDefault="0014746F">
            <w:pPr>
              <w:pStyle w:val="Tabletext"/>
            </w:pPr>
            <w:r w:rsidRPr="002A1961">
              <w:t>94.0</w:t>
            </w:r>
          </w:p>
        </w:tc>
        <w:tc>
          <w:tcPr>
            <w:tcW w:w="1394" w:type="dxa"/>
            <w:noWrap/>
            <w:vAlign w:val="bottom"/>
            <w:hideMark/>
          </w:tcPr>
          <w:p w14:paraId="05341D23" w14:textId="77777777" w:rsidR="0014746F" w:rsidRPr="002A1961" w:rsidRDefault="0014746F">
            <w:pPr>
              <w:pStyle w:val="Tabletext"/>
            </w:pPr>
            <w:r w:rsidRPr="002A1961">
              <w:t>$829.24</w:t>
            </w:r>
          </w:p>
        </w:tc>
        <w:tc>
          <w:tcPr>
            <w:tcW w:w="1255" w:type="dxa"/>
            <w:noWrap/>
            <w:vAlign w:val="bottom"/>
            <w:hideMark/>
          </w:tcPr>
          <w:p w14:paraId="3B4E79B1" w14:textId="77777777" w:rsidR="0014746F" w:rsidRPr="002A1961" w:rsidRDefault="0014746F">
            <w:pPr>
              <w:pStyle w:val="Tabletext"/>
            </w:pPr>
            <w:r w:rsidRPr="002A1961">
              <w:t>$82,924</w:t>
            </w:r>
          </w:p>
        </w:tc>
        <w:tc>
          <w:tcPr>
            <w:tcW w:w="1428" w:type="dxa"/>
            <w:noWrap/>
            <w:vAlign w:val="bottom"/>
            <w:hideMark/>
          </w:tcPr>
          <w:p w14:paraId="4C9F5B0F" w14:textId="77777777" w:rsidR="0014746F" w:rsidRPr="002A1961" w:rsidRDefault="0014746F">
            <w:pPr>
              <w:pStyle w:val="Tabletext"/>
            </w:pPr>
            <w:r w:rsidRPr="002A1961">
              <w:t>$882.17</w:t>
            </w:r>
          </w:p>
        </w:tc>
      </w:tr>
      <w:tr w:rsidR="0014746F" w:rsidRPr="007F4AFC" w14:paraId="4E24B103" w14:textId="77777777" w:rsidTr="0008449C">
        <w:trPr>
          <w:trHeight w:val="53"/>
        </w:trPr>
        <w:tc>
          <w:tcPr>
            <w:tcW w:w="1870" w:type="dxa"/>
            <w:noWrap/>
            <w:vAlign w:val="bottom"/>
            <w:hideMark/>
          </w:tcPr>
          <w:p w14:paraId="6260A780" w14:textId="06576E70" w:rsidR="0014746F" w:rsidRPr="00350A43" w:rsidRDefault="00037674">
            <w:pPr>
              <w:pStyle w:val="Tabletext"/>
            </w:pPr>
            <w:r>
              <w:t>GPB</w:t>
            </w:r>
          </w:p>
        </w:tc>
        <w:tc>
          <w:tcPr>
            <w:tcW w:w="1127" w:type="dxa"/>
            <w:vAlign w:val="bottom"/>
          </w:tcPr>
          <w:p w14:paraId="3106C553" w14:textId="77777777" w:rsidR="0014746F" w:rsidRPr="007F4AFC" w:rsidRDefault="0014746F">
            <w:pPr>
              <w:pStyle w:val="Tabletext"/>
            </w:pPr>
            <w:r w:rsidRPr="00350A43">
              <w:t>100</w:t>
            </w:r>
          </w:p>
        </w:tc>
        <w:tc>
          <w:tcPr>
            <w:tcW w:w="1255" w:type="dxa"/>
            <w:noWrap/>
            <w:vAlign w:val="bottom"/>
            <w:hideMark/>
          </w:tcPr>
          <w:p w14:paraId="6BCCC33D" w14:textId="77777777" w:rsidR="0014746F" w:rsidRPr="002A1961" w:rsidRDefault="0014746F">
            <w:pPr>
              <w:pStyle w:val="Tabletext"/>
            </w:pPr>
            <w:r w:rsidRPr="002A1961">
              <w:t>57.5%</w:t>
            </w:r>
          </w:p>
        </w:tc>
        <w:tc>
          <w:tcPr>
            <w:tcW w:w="1164" w:type="dxa"/>
            <w:noWrap/>
            <w:vAlign w:val="bottom"/>
            <w:hideMark/>
          </w:tcPr>
          <w:p w14:paraId="296ADCF1" w14:textId="77777777" w:rsidR="0014746F" w:rsidRPr="002A1961" w:rsidRDefault="0014746F">
            <w:pPr>
              <w:pStyle w:val="Tabletext"/>
            </w:pPr>
            <w:r w:rsidRPr="002A1961">
              <w:t>57.5</w:t>
            </w:r>
          </w:p>
        </w:tc>
        <w:tc>
          <w:tcPr>
            <w:tcW w:w="1394" w:type="dxa"/>
            <w:noWrap/>
            <w:vAlign w:val="bottom"/>
            <w:hideMark/>
          </w:tcPr>
          <w:p w14:paraId="03AAE50B" w14:textId="77777777" w:rsidR="0014746F" w:rsidRPr="002A1961" w:rsidRDefault="0014746F">
            <w:pPr>
              <w:pStyle w:val="Tabletext"/>
            </w:pPr>
            <w:r w:rsidRPr="002A1961">
              <w:t>$507.25</w:t>
            </w:r>
          </w:p>
        </w:tc>
        <w:tc>
          <w:tcPr>
            <w:tcW w:w="1255" w:type="dxa"/>
            <w:noWrap/>
            <w:vAlign w:val="bottom"/>
            <w:hideMark/>
          </w:tcPr>
          <w:p w14:paraId="4E218227" w14:textId="77777777" w:rsidR="0014746F" w:rsidRPr="002A1961" w:rsidRDefault="0014746F">
            <w:pPr>
              <w:pStyle w:val="Tabletext"/>
            </w:pPr>
            <w:r w:rsidRPr="002A1961">
              <w:t>$50,725</w:t>
            </w:r>
          </w:p>
        </w:tc>
        <w:tc>
          <w:tcPr>
            <w:tcW w:w="1428" w:type="dxa"/>
            <w:noWrap/>
            <w:vAlign w:val="bottom"/>
            <w:hideMark/>
          </w:tcPr>
          <w:p w14:paraId="768B03FB" w14:textId="77777777" w:rsidR="0014746F" w:rsidRPr="002A1961" w:rsidRDefault="0014746F">
            <w:pPr>
              <w:pStyle w:val="Tabletext"/>
            </w:pPr>
            <w:r w:rsidRPr="002A1961">
              <w:t>$882.17</w:t>
            </w:r>
          </w:p>
        </w:tc>
      </w:tr>
      <w:tr w:rsidR="0014746F" w:rsidRPr="007F4AFC" w14:paraId="7D0B3126" w14:textId="77777777" w:rsidTr="0008449C">
        <w:trPr>
          <w:trHeight w:val="53"/>
        </w:trPr>
        <w:tc>
          <w:tcPr>
            <w:tcW w:w="1870" w:type="dxa"/>
            <w:noWrap/>
            <w:vAlign w:val="bottom"/>
            <w:hideMark/>
          </w:tcPr>
          <w:p w14:paraId="70A7B174" w14:textId="63347742" w:rsidR="0014746F" w:rsidRPr="00350A43" w:rsidRDefault="00037674">
            <w:pPr>
              <w:pStyle w:val="Tabletext"/>
            </w:pPr>
            <w:r>
              <w:t>GPB</w:t>
            </w:r>
            <w:r w:rsidRPr="007F4AFC">
              <w:t xml:space="preserve"> </w:t>
            </w:r>
            <w:r w:rsidR="0014746F" w:rsidRPr="007F4AFC">
              <w:t>packs 1-4</w:t>
            </w:r>
          </w:p>
        </w:tc>
        <w:tc>
          <w:tcPr>
            <w:tcW w:w="1127" w:type="dxa"/>
            <w:vAlign w:val="bottom"/>
          </w:tcPr>
          <w:p w14:paraId="6C4FA886" w14:textId="77777777" w:rsidR="0014746F" w:rsidRPr="007F4AFC" w:rsidRDefault="0014746F">
            <w:pPr>
              <w:pStyle w:val="Tabletext"/>
            </w:pPr>
            <w:r w:rsidRPr="00350A43">
              <w:t> </w:t>
            </w:r>
          </w:p>
        </w:tc>
        <w:tc>
          <w:tcPr>
            <w:tcW w:w="1255" w:type="dxa"/>
            <w:noWrap/>
            <w:vAlign w:val="bottom"/>
            <w:hideMark/>
          </w:tcPr>
          <w:p w14:paraId="47010069" w14:textId="77777777" w:rsidR="0014746F" w:rsidRPr="002A1961" w:rsidRDefault="0014746F">
            <w:pPr>
              <w:pStyle w:val="Tabletext"/>
            </w:pPr>
            <w:r w:rsidRPr="002A1961">
              <w:t> </w:t>
            </w:r>
          </w:p>
        </w:tc>
        <w:tc>
          <w:tcPr>
            <w:tcW w:w="1164" w:type="dxa"/>
            <w:noWrap/>
            <w:vAlign w:val="bottom"/>
            <w:hideMark/>
          </w:tcPr>
          <w:p w14:paraId="0C798CFF" w14:textId="77777777" w:rsidR="0014746F" w:rsidRPr="002A1961" w:rsidRDefault="0014746F">
            <w:pPr>
              <w:pStyle w:val="Tabletext"/>
            </w:pPr>
            <w:r w:rsidRPr="002A1961">
              <w:t> </w:t>
            </w:r>
          </w:p>
        </w:tc>
        <w:tc>
          <w:tcPr>
            <w:tcW w:w="1394" w:type="dxa"/>
            <w:noWrap/>
            <w:vAlign w:val="bottom"/>
            <w:hideMark/>
          </w:tcPr>
          <w:p w14:paraId="2E22C5BD" w14:textId="77777777" w:rsidR="0014746F" w:rsidRPr="002A1961" w:rsidRDefault="0014746F">
            <w:pPr>
              <w:pStyle w:val="Tabletext"/>
            </w:pPr>
            <w:r w:rsidRPr="002A1961">
              <w:t>1.0</w:t>
            </w:r>
          </w:p>
        </w:tc>
        <w:tc>
          <w:tcPr>
            <w:tcW w:w="1255" w:type="dxa"/>
            <w:noWrap/>
            <w:vAlign w:val="bottom"/>
            <w:hideMark/>
          </w:tcPr>
          <w:p w14:paraId="0708B8DC" w14:textId="77777777" w:rsidR="0014746F" w:rsidRPr="002A1961" w:rsidRDefault="0014746F">
            <w:pPr>
              <w:pStyle w:val="Tabletext"/>
            </w:pPr>
            <w:r w:rsidRPr="002A1961">
              <w:t> </w:t>
            </w:r>
          </w:p>
        </w:tc>
        <w:tc>
          <w:tcPr>
            <w:tcW w:w="1428" w:type="dxa"/>
            <w:noWrap/>
            <w:vAlign w:val="bottom"/>
            <w:hideMark/>
          </w:tcPr>
          <w:p w14:paraId="74A87130" w14:textId="77777777" w:rsidR="0014746F" w:rsidRPr="002A1961" w:rsidRDefault="0014746F">
            <w:pPr>
              <w:pStyle w:val="Tabletext"/>
            </w:pPr>
            <w:r w:rsidRPr="002A1961">
              <w:rPr>
                <w:rFonts w:ascii="Aptos Narrow" w:hAnsi="Aptos Narrow"/>
              </w:rPr>
              <w:t> </w:t>
            </w:r>
          </w:p>
        </w:tc>
      </w:tr>
      <w:tr w:rsidR="0014746F" w:rsidRPr="007F4AFC" w14:paraId="14ECC3A8" w14:textId="77777777" w:rsidTr="0008449C">
        <w:trPr>
          <w:trHeight w:val="53"/>
        </w:trPr>
        <w:tc>
          <w:tcPr>
            <w:tcW w:w="2997" w:type="dxa"/>
            <w:gridSpan w:val="2"/>
            <w:noWrap/>
            <w:vAlign w:val="bottom"/>
            <w:hideMark/>
          </w:tcPr>
          <w:p w14:paraId="3169829B" w14:textId="6ECFFE22" w:rsidR="0014746F" w:rsidRPr="007F4AFC" w:rsidRDefault="00037674">
            <w:pPr>
              <w:pStyle w:val="Tabletext"/>
            </w:pPr>
            <w:r>
              <w:t>GPB</w:t>
            </w:r>
            <w:r w:rsidRPr="00350A43">
              <w:t xml:space="preserve"> </w:t>
            </w:r>
            <w:r w:rsidR="0014746F" w:rsidRPr="00350A43">
              <w:t>pack price</w:t>
            </w:r>
            <w:r w:rsidR="0014746F" w:rsidRPr="007F4AFC">
              <w:t xml:space="preserve"> weeks 1-4</w:t>
            </w:r>
          </w:p>
        </w:tc>
        <w:tc>
          <w:tcPr>
            <w:tcW w:w="1255" w:type="dxa"/>
            <w:noWrap/>
            <w:vAlign w:val="bottom"/>
            <w:hideMark/>
          </w:tcPr>
          <w:p w14:paraId="37C43B44" w14:textId="77777777" w:rsidR="0014746F" w:rsidRPr="002A1961" w:rsidRDefault="0014746F">
            <w:pPr>
              <w:pStyle w:val="Tabletext"/>
            </w:pPr>
            <w:r w:rsidRPr="002A1961">
              <w:t> </w:t>
            </w:r>
          </w:p>
        </w:tc>
        <w:tc>
          <w:tcPr>
            <w:tcW w:w="1164" w:type="dxa"/>
            <w:noWrap/>
            <w:vAlign w:val="bottom"/>
            <w:hideMark/>
          </w:tcPr>
          <w:p w14:paraId="7E227A10" w14:textId="77777777" w:rsidR="0014746F" w:rsidRPr="002A1961" w:rsidRDefault="0014746F">
            <w:pPr>
              <w:pStyle w:val="Tabletext"/>
            </w:pPr>
            <w:r w:rsidRPr="002A1961">
              <w:t> </w:t>
            </w:r>
          </w:p>
        </w:tc>
        <w:tc>
          <w:tcPr>
            <w:tcW w:w="1394" w:type="dxa"/>
            <w:noWrap/>
            <w:vAlign w:val="bottom"/>
            <w:hideMark/>
          </w:tcPr>
          <w:p w14:paraId="0BB1BA44" w14:textId="77777777" w:rsidR="0014746F" w:rsidRPr="002A1961" w:rsidRDefault="0014746F">
            <w:pPr>
              <w:pStyle w:val="Tabletext"/>
            </w:pPr>
            <w:r w:rsidRPr="002A1961">
              <w:t>$507.25</w:t>
            </w:r>
          </w:p>
        </w:tc>
        <w:tc>
          <w:tcPr>
            <w:tcW w:w="1255" w:type="dxa"/>
            <w:noWrap/>
            <w:vAlign w:val="bottom"/>
            <w:hideMark/>
          </w:tcPr>
          <w:p w14:paraId="3C437F52" w14:textId="77777777" w:rsidR="0014746F" w:rsidRPr="002A1961" w:rsidRDefault="0014746F">
            <w:pPr>
              <w:pStyle w:val="Tabletext"/>
            </w:pPr>
            <w:r w:rsidRPr="002A1961">
              <w:t>$507.25</w:t>
            </w:r>
          </w:p>
        </w:tc>
        <w:tc>
          <w:tcPr>
            <w:tcW w:w="1428" w:type="dxa"/>
            <w:noWrap/>
            <w:vAlign w:val="bottom"/>
            <w:hideMark/>
          </w:tcPr>
          <w:p w14:paraId="0478449C" w14:textId="77777777" w:rsidR="0014746F" w:rsidRPr="002A1961" w:rsidRDefault="0014746F">
            <w:pPr>
              <w:pStyle w:val="Tabletext"/>
            </w:pPr>
            <w:r w:rsidRPr="002A1961">
              <w:rPr>
                <w:rFonts w:ascii="Aptos Narrow" w:hAnsi="Aptos Narrow"/>
              </w:rPr>
              <w:t> </w:t>
            </w:r>
          </w:p>
        </w:tc>
      </w:tr>
      <w:tr w:rsidR="0008449C" w:rsidRPr="007F4AFC" w14:paraId="5944D874" w14:textId="77777777" w:rsidTr="0008449C">
        <w:trPr>
          <w:trHeight w:val="53"/>
        </w:trPr>
        <w:tc>
          <w:tcPr>
            <w:tcW w:w="9493" w:type="dxa"/>
            <w:gridSpan w:val="7"/>
            <w:noWrap/>
            <w:vAlign w:val="bottom"/>
            <w:hideMark/>
          </w:tcPr>
          <w:p w14:paraId="3473CB23" w14:textId="21B15FD3" w:rsidR="0008449C" w:rsidRPr="00350A43" w:rsidRDefault="00AB04F6" w:rsidP="0008449C">
            <w:pPr>
              <w:pStyle w:val="Tabletext"/>
            </w:pPr>
            <w:r>
              <w:t xml:space="preserve"> </w:t>
            </w:r>
          </w:p>
        </w:tc>
      </w:tr>
      <w:tr w:rsidR="0014746F" w:rsidRPr="007F4AFC" w14:paraId="6EEEEA4D" w14:textId="77777777" w:rsidTr="0008449C">
        <w:trPr>
          <w:trHeight w:val="422"/>
        </w:trPr>
        <w:tc>
          <w:tcPr>
            <w:tcW w:w="1870" w:type="dxa"/>
            <w:noWrap/>
            <w:vAlign w:val="bottom"/>
            <w:hideMark/>
          </w:tcPr>
          <w:p w14:paraId="4130B2B5" w14:textId="77777777" w:rsidR="0014746F" w:rsidRPr="0023404C" w:rsidRDefault="0014746F">
            <w:pPr>
              <w:pStyle w:val="Tabletext"/>
              <w:rPr>
                <w:b/>
                <w:bCs/>
              </w:rPr>
            </w:pPr>
            <w:r w:rsidRPr="0023404C">
              <w:rPr>
                <w:b/>
                <w:bCs/>
              </w:rPr>
              <w:t>Weeks 5-104</w:t>
            </w:r>
          </w:p>
        </w:tc>
        <w:tc>
          <w:tcPr>
            <w:tcW w:w="1127" w:type="dxa"/>
            <w:vAlign w:val="bottom"/>
          </w:tcPr>
          <w:p w14:paraId="0444980F" w14:textId="77777777" w:rsidR="0014746F" w:rsidRPr="0023404C" w:rsidRDefault="0014746F">
            <w:pPr>
              <w:pStyle w:val="Tabletext"/>
              <w:rPr>
                <w:b/>
                <w:bCs/>
              </w:rPr>
            </w:pPr>
            <w:r w:rsidRPr="0023404C">
              <w:rPr>
                <w:b/>
                <w:bCs/>
              </w:rPr>
              <w:t>Cohort</w:t>
            </w:r>
          </w:p>
        </w:tc>
        <w:tc>
          <w:tcPr>
            <w:tcW w:w="1255" w:type="dxa"/>
            <w:noWrap/>
            <w:vAlign w:val="bottom"/>
            <w:hideMark/>
          </w:tcPr>
          <w:p w14:paraId="568A23CE" w14:textId="77777777" w:rsidR="0014746F" w:rsidRPr="0023404C" w:rsidRDefault="0014746F">
            <w:pPr>
              <w:pStyle w:val="Tabletext"/>
              <w:rPr>
                <w:b/>
                <w:bCs/>
              </w:rPr>
            </w:pPr>
            <w:r w:rsidRPr="0023404C">
              <w:rPr>
                <w:b/>
                <w:bCs/>
              </w:rPr>
              <w:t>Response</w:t>
            </w:r>
          </w:p>
        </w:tc>
        <w:tc>
          <w:tcPr>
            <w:tcW w:w="1164" w:type="dxa"/>
            <w:noWrap/>
            <w:vAlign w:val="bottom"/>
            <w:hideMark/>
          </w:tcPr>
          <w:p w14:paraId="0C8C840F" w14:textId="77777777" w:rsidR="0014746F" w:rsidRPr="0023404C" w:rsidRDefault="0014746F">
            <w:pPr>
              <w:pStyle w:val="Tabletext"/>
              <w:rPr>
                <w:b/>
                <w:bCs/>
              </w:rPr>
            </w:pPr>
            <w:r w:rsidRPr="0023404C">
              <w:rPr>
                <w:b/>
                <w:bCs/>
              </w:rPr>
              <w:t>Responders</w:t>
            </w:r>
          </w:p>
        </w:tc>
        <w:tc>
          <w:tcPr>
            <w:tcW w:w="1394" w:type="dxa"/>
            <w:vAlign w:val="bottom"/>
            <w:hideMark/>
          </w:tcPr>
          <w:p w14:paraId="05B2EE59" w14:textId="77777777" w:rsidR="0014746F" w:rsidRPr="0023404C" w:rsidRDefault="0014746F">
            <w:pPr>
              <w:pStyle w:val="Tabletext"/>
              <w:rPr>
                <w:b/>
                <w:bCs/>
              </w:rPr>
            </w:pPr>
            <w:r w:rsidRPr="0023404C">
              <w:rPr>
                <w:b/>
                <w:bCs/>
              </w:rPr>
              <w:t>Cost per patient weeks 5-104</w:t>
            </w:r>
          </w:p>
        </w:tc>
        <w:tc>
          <w:tcPr>
            <w:tcW w:w="1255" w:type="dxa"/>
            <w:noWrap/>
            <w:vAlign w:val="bottom"/>
            <w:hideMark/>
          </w:tcPr>
          <w:p w14:paraId="3C6E76F7" w14:textId="77777777" w:rsidR="0014746F" w:rsidRPr="0023404C" w:rsidRDefault="0014746F">
            <w:pPr>
              <w:pStyle w:val="Tabletext"/>
              <w:rPr>
                <w:b/>
                <w:bCs/>
              </w:rPr>
            </w:pPr>
            <w:r w:rsidRPr="0023404C">
              <w:rPr>
                <w:b/>
                <w:bCs/>
              </w:rPr>
              <w:t>Cost/cohort</w:t>
            </w:r>
          </w:p>
        </w:tc>
        <w:tc>
          <w:tcPr>
            <w:tcW w:w="1428" w:type="dxa"/>
            <w:noWrap/>
            <w:vAlign w:val="bottom"/>
            <w:hideMark/>
          </w:tcPr>
          <w:p w14:paraId="74D6C921" w14:textId="77777777" w:rsidR="0014746F" w:rsidRPr="0023404C" w:rsidRDefault="0014746F">
            <w:pPr>
              <w:pStyle w:val="Tabletext"/>
              <w:rPr>
                <w:b/>
                <w:bCs/>
              </w:rPr>
            </w:pPr>
            <w:r w:rsidRPr="0023404C">
              <w:rPr>
                <w:b/>
                <w:bCs/>
              </w:rPr>
              <w:t>Cost/responder</w:t>
            </w:r>
          </w:p>
        </w:tc>
      </w:tr>
      <w:tr w:rsidR="0014746F" w:rsidRPr="007F4AFC" w14:paraId="0B3B5430" w14:textId="77777777" w:rsidTr="0008449C">
        <w:trPr>
          <w:trHeight w:val="53"/>
        </w:trPr>
        <w:tc>
          <w:tcPr>
            <w:tcW w:w="1870" w:type="dxa"/>
            <w:noWrap/>
            <w:vAlign w:val="bottom"/>
            <w:hideMark/>
          </w:tcPr>
          <w:p w14:paraId="5E9F7ACA" w14:textId="3C55526B" w:rsidR="0014746F" w:rsidRPr="00350A43" w:rsidRDefault="00037674">
            <w:pPr>
              <w:pStyle w:val="Tabletext"/>
            </w:pPr>
            <w:r>
              <w:t>BTA</w:t>
            </w:r>
          </w:p>
        </w:tc>
        <w:tc>
          <w:tcPr>
            <w:tcW w:w="1127" w:type="dxa"/>
            <w:vAlign w:val="bottom"/>
          </w:tcPr>
          <w:p w14:paraId="27368A1A" w14:textId="77777777" w:rsidR="0014746F" w:rsidRPr="007F4AFC" w:rsidRDefault="0014746F">
            <w:pPr>
              <w:pStyle w:val="Tabletext"/>
            </w:pPr>
            <w:r w:rsidRPr="00350A43">
              <w:t>94.0</w:t>
            </w:r>
          </w:p>
        </w:tc>
        <w:tc>
          <w:tcPr>
            <w:tcW w:w="1255" w:type="dxa"/>
            <w:noWrap/>
            <w:vAlign w:val="bottom"/>
            <w:hideMark/>
          </w:tcPr>
          <w:p w14:paraId="725CBE71" w14:textId="77777777" w:rsidR="0014746F" w:rsidRPr="00350A43" w:rsidRDefault="0014746F">
            <w:pPr>
              <w:pStyle w:val="Tabletext"/>
            </w:pPr>
            <w:r w:rsidRPr="00350A43">
              <w:t>100%</w:t>
            </w:r>
          </w:p>
        </w:tc>
        <w:tc>
          <w:tcPr>
            <w:tcW w:w="1164" w:type="dxa"/>
            <w:noWrap/>
            <w:vAlign w:val="bottom"/>
            <w:hideMark/>
          </w:tcPr>
          <w:p w14:paraId="6B02DB53" w14:textId="77777777" w:rsidR="0014746F" w:rsidRPr="00350A43" w:rsidRDefault="0014746F">
            <w:pPr>
              <w:pStyle w:val="Tabletext"/>
            </w:pPr>
            <w:r w:rsidRPr="00350A43">
              <w:t>94.0</w:t>
            </w:r>
          </w:p>
        </w:tc>
        <w:tc>
          <w:tcPr>
            <w:tcW w:w="1394" w:type="dxa"/>
            <w:noWrap/>
            <w:vAlign w:val="bottom"/>
            <w:hideMark/>
          </w:tcPr>
          <w:p w14:paraId="67A4FD1B" w14:textId="77777777" w:rsidR="0014746F" w:rsidRPr="00482AB5" w:rsidRDefault="0014746F">
            <w:pPr>
              <w:pStyle w:val="Tabletext"/>
            </w:pPr>
            <w:r w:rsidRPr="00482AB5">
              <w:t>$3,558.38</w:t>
            </w:r>
          </w:p>
        </w:tc>
        <w:tc>
          <w:tcPr>
            <w:tcW w:w="1255" w:type="dxa"/>
            <w:noWrap/>
            <w:vAlign w:val="bottom"/>
            <w:hideMark/>
          </w:tcPr>
          <w:p w14:paraId="3F8EDBAF" w14:textId="77777777" w:rsidR="0014746F" w:rsidRPr="00482AB5" w:rsidRDefault="0014746F">
            <w:pPr>
              <w:pStyle w:val="Tabletext"/>
            </w:pPr>
            <w:r w:rsidRPr="00482AB5">
              <w:t>$334,488</w:t>
            </w:r>
          </w:p>
        </w:tc>
        <w:tc>
          <w:tcPr>
            <w:tcW w:w="1428" w:type="dxa"/>
            <w:noWrap/>
            <w:vAlign w:val="bottom"/>
            <w:hideMark/>
          </w:tcPr>
          <w:p w14:paraId="668EB179" w14:textId="77777777" w:rsidR="0014746F" w:rsidRPr="00482AB5" w:rsidRDefault="0014746F">
            <w:pPr>
              <w:pStyle w:val="Tabletext"/>
            </w:pPr>
            <w:r w:rsidRPr="00482AB5">
              <w:t>$3,558.38</w:t>
            </w:r>
          </w:p>
        </w:tc>
      </w:tr>
      <w:tr w:rsidR="0014746F" w:rsidRPr="007F4AFC" w14:paraId="463A60E6" w14:textId="77777777" w:rsidTr="0008449C">
        <w:trPr>
          <w:trHeight w:val="74"/>
        </w:trPr>
        <w:tc>
          <w:tcPr>
            <w:tcW w:w="1870" w:type="dxa"/>
            <w:noWrap/>
            <w:vAlign w:val="bottom"/>
            <w:hideMark/>
          </w:tcPr>
          <w:p w14:paraId="7E19781F" w14:textId="30479449" w:rsidR="0014746F" w:rsidRPr="00350A43" w:rsidRDefault="00037674">
            <w:pPr>
              <w:pStyle w:val="Tabletext"/>
            </w:pPr>
            <w:r>
              <w:t>GPB</w:t>
            </w:r>
          </w:p>
        </w:tc>
        <w:tc>
          <w:tcPr>
            <w:tcW w:w="1127" w:type="dxa"/>
            <w:vAlign w:val="bottom"/>
          </w:tcPr>
          <w:p w14:paraId="3222306D" w14:textId="77777777" w:rsidR="0014746F" w:rsidRPr="007F4AFC" w:rsidRDefault="0014746F">
            <w:pPr>
              <w:pStyle w:val="Tabletext"/>
            </w:pPr>
            <w:r w:rsidRPr="00350A43">
              <w:t>57.5</w:t>
            </w:r>
          </w:p>
        </w:tc>
        <w:tc>
          <w:tcPr>
            <w:tcW w:w="1255" w:type="dxa"/>
            <w:noWrap/>
            <w:vAlign w:val="bottom"/>
            <w:hideMark/>
          </w:tcPr>
          <w:p w14:paraId="64A8A67A" w14:textId="77777777" w:rsidR="0014746F" w:rsidRPr="00350A43" w:rsidRDefault="0014746F">
            <w:pPr>
              <w:pStyle w:val="Tabletext"/>
            </w:pPr>
            <w:r w:rsidRPr="00350A43">
              <w:t>100%</w:t>
            </w:r>
          </w:p>
        </w:tc>
        <w:tc>
          <w:tcPr>
            <w:tcW w:w="1164" w:type="dxa"/>
            <w:noWrap/>
            <w:vAlign w:val="bottom"/>
            <w:hideMark/>
          </w:tcPr>
          <w:p w14:paraId="35079134" w14:textId="77777777" w:rsidR="0014746F" w:rsidRPr="00350A43" w:rsidRDefault="0014746F">
            <w:pPr>
              <w:pStyle w:val="Tabletext"/>
            </w:pPr>
            <w:r w:rsidRPr="00350A43">
              <w:t>57.5</w:t>
            </w:r>
          </w:p>
        </w:tc>
        <w:tc>
          <w:tcPr>
            <w:tcW w:w="1394" w:type="dxa"/>
            <w:noWrap/>
            <w:vAlign w:val="bottom"/>
            <w:hideMark/>
          </w:tcPr>
          <w:p w14:paraId="7E5A4D88" w14:textId="77777777" w:rsidR="0014746F" w:rsidRPr="00482AB5" w:rsidRDefault="0014746F">
            <w:pPr>
              <w:pStyle w:val="Tabletext"/>
            </w:pPr>
            <w:r w:rsidRPr="00482AB5">
              <w:t>$3,558.38</w:t>
            </w:r>
          </w:p>
        </w:tc>
        <w:tc>
          <w:tcPr>
            <w:tcW w:w="1255" w:type="dxa"/>
            <w:noWrap/>
            <w:vAlign w:val="bottom"/>
            <w:hideMark/>
          </w:tcPr>
          <w:p w14:paraId="695D4BD8" w14:textId="77777777" w:rsidR="0014746F" w:rsidRPr="00482AB5" w:rsidRDefault="0014746F">
            <w:pPr>
              <w:pStyle w:val="Tabletext"/>
            </w:pPr>
            <w:r w:rsidRPr="00482AB5">
              <w:t>$204,607</w:t>
            </w:r>
          </w:p>
        </w:tc>
        <w:tc>
          <w:tcPr>
            <w:tcW w:w="1428" w:type="dxa"/>
            <w:noWrap/>
            <w:vAlign w:val="bottom"/>
            <w:hideMark/>
          </w:tcPr>
          <w:p w14:paraId="3B339DD2" w14:textId="77777777" w:rsidR="0014746F" w:rsidRPr="00482AB5" w:rsidRDefault="0014746F">
            <w:pPr>
              <w:pStyle w:val="Tabletext"/>
            </w:pPr>
            <w:r w:rsidRPr="00482AB5">
              <w:t>$3,558.38</w:t>
            </w:r>
          </w:p>
        </w:tc>
      </w:tr>
      <w:tr w:rsidR="0014746F" w:rsidRPr="007F4AFC" w14:paraId="45527480" w14:textId="77777777" w:rsidTr="0008449C">
        <w:trPr>
          <w:trHeight w:val="53"/>
        </w:trPr>
        <w:tc>
          <w:tcPr>
            <w:tcW w:w="1870" w:type="dxa"/>
            <w:noWrap/>
            <w:vAlign w:val="bottom"/>
            <w:hideMark/>
          </w:tcPr>
          <w:p w14:paraId="48A428B4" w14:textId="45107DF3" w:rsidR="0014746F" w:rsidRPr="00350A43" w:rsidRDefault="00037674">
            <w:pPr>
              <w:pStyle w:val="Tabletext"/>
            </w:pPr>
            <w:r>
              <w:t>GPB</w:t>
            </w:r>
            <w:r w:rsidRPr="007F4AFC">
              <w:t xml:space="preserve"> </w:t>
            </w:r>
            <w:r w:rsidR="0014746F" w:rsidRPr="007F4AFC">
              <w:t>packs 5-104</w:t>
            </w:r>
          </w:p>
        </w:tc>
        <w:tc>
          <w:tcPr>
            <w:tcW w:w="1127" w:type="dxa"/>
            <w:vAlign w:val="bottom"/>
          </w:tcPr>
          <w:p w14:paraId="5CBA505D" w14:textId="77777777" w:rsidR="0014746F" w:rsidRPr="007F4AFC" w:rsidRDefault="0014746F">
            <w:pPr>
              <w:pStyle w:val="Tabletext"/>
            </w:pPr>
            <w:r w:rsidRPr="00350A43">
              <w:t> </w:t>
            </w:r>
          </w:p>
        </w:tc>
        <w:tc>
          <w:tcPr>
            <w:tcW w:w="1255" w:type="dxa"/>
            <w:noWrap/>
            <w:vAlign w:val="bottom"/>
            <w:hideMark/>
          </w:tcPr>
          <w:p w14:paraId="72A9EADB" w14:textId="77777777" w:rsidR="0014746F" w:rsidRPr="00350A43" w:rsidRDefault="0014746F">
            <w:pPr>
              <w:pStyle w:val="Tabletext"/>
            </w:pPr>
            <w:r w:rsidRPr="00350A43">
              <w:t> </w:t>
            </w:r>
          </w:p>
        </w:tc>
        <w:tc>
          <w:tcPr>
            <w:tcW w:w="1164" w:type="dxa"/>
            <w:noWrap/>
            <w:vAlign w:val="bottom"/>
            <w:hideMark/>
          </w:tcPr>
          <w:p w14:paraId="7BA3C30C" w14:textId="77777777" w:rsidR="0014746F" w:rsidRPr="00350A43" w:rsidRDefault="0014746F">
            <w:pPr>
              <w:pStyle w:val="Tabletext"/>
            </w:pPr>
            <w:r w:rsidRPr="00350A43">
              <w:t> </w:t>
            </w:r>
          </w:p>
        </w:tc>
        <w:tc>
          <w:tcPr>
            <w:tcW w:w="1394" w:type="dxa"/>
            <w:noWrap/>
            <w:vAlign w:val="bottom"/>
            <w:hideMark/>
          </w:tcPr>
          <w:p w14:paraId="547EAE5A" w14:textId="77777777" w:rsidR="0014746F" w:rsidRPr="00482AB5" w:rsidRDefault="0014746F">
            <w:pPr>
              <w:pStyle w:val="Tabletext"/>
            </w:pPr>
            <w:r w:rsidRPr="00482AB5">
              <w:t>9.6</w:t>
            </w:r>
          </w:p>
        </w:tc>
        <w:tc>
          <w:tcPr>
            <w:tcW w:w="1255" w:type="dxa"/>
            <w:noWrap/>
            <w:vAlign w:val="bottom"/>
            <w:hideMark/>
          </w:tcPr>
          <w:p w14:paraId="1AF38A70" w14:textId="77777777" w:rsidR="0014746F" w:rsidRPr="00482AB5" w:rsidRDefault="0014746F">
            <w:pPr>
              <w:pStyle w:val="Tabletext"/>
            </w:pPr>
            <w:r w:rsidRPr="00482AB5">
              <w:t> </w:t>
            </w:r>
          </w:p>
        </w:tc>
        <w:tc>
          <w:tcPr>
            <w:tcW w:w="1428" w:type="dxa"/>
            <w:noWrap/>
            <w:vAlign w:val="bottom"/>
            <w:hideMark/>
          </w:tcPr>
          <w:p w14:paraId="0C12B911" w14:textId="77777777" w:rsidR="0014746F" w:rsidRPr="00482AB5" w:rsidRDefault="0014746F">
            <w:pPr>
              <w:pStyle w:val="Tabletext"/>
            </w:pPr>
            <w:r w:rsidRPr="00482AB5">
              <w:t> </w:t>
            </w:r>
          </w:p>
        </w:tc>
      </w:tr>
      <w:tr w:rsidR="0014746F" w:rsidRPr="007F4AFC" w14:paraId="7813EE41" w14:textId="77777777" w:rsidTr="0008449C">
        <w:trPr>
          <w:trHeight w:val="53"/>
        </w:trPr>
        <w:tc>
          <w:tcPr>
            <w:tcW w:w="2997" w:type="dxa"/>
            <w:gridSpan w:val="2"/>
            <w:noWrap/>
            <w:vAlign w:val="bottom"/>
            <w:hideMark/>
          </w:tcPr>
          <w:p w14:paraId="074C3C9A" w14:textId="24BCAD6B" w:rsidR="0014746F" w:rsidRPr="007F4AFC" w:rsidRDefault="00037674">
            <w:pPr>
              <w:pStyle w:val="Tabletext"/>
            </w:pPr>
            <w:r>
              <w:t>GPB</w:t>
            </w:r>
            <w:r w:rsidRPr="00350A43">
              <w:t xml:space="preserve"> </w:t>
            </w:r>
            <w:r w:rsidR="0014746F" w:rsidRPr="00350A43">
              <w:t>pack price</w:t>
            </w:r>
            <w:r w:rsidR="0014746F" w:rsidRPr="007F4AFC">
              <w:t xml:space="preserve"> weeks 5-104</w:t>
            </w:r>
          </w:p>
        </w:tc>
        <w:tc>
          <w:tcPr>
            <w:tcW w:w="1255" w:type="dxa"/>
            <w:noWrap/>
            <w:vAlign w:val="bottom"/>
            <w:hideMark/>
          </w:tcPr>
          <w:p w14:paraId="12BD9B37" w14:textId="77777777" w:rsidR="0014746F" w:rsidRPr="00350A43" w:rsidRDefault="0014746F">
            <w:pPr>
              <w:pStyle w:val="Tabletext"/>
            </w:pPr>
            <w:r w:rsidRPr="00350A43">
              <w:t> </w:t>
            </w:r>
          </w:p>
        </w:tc>
        <w:tc>
          <w:tcPr>
            <w:tcW w:w="1164" w:type="dxa"/>
            <w:noWrap/>
            <w:vAlign w:val="bottom"/>
            <w:hideMark/>
          </w:tcPr>
          <w:p w14:paraId="0EF85A76" w14:textId="77777777" w:rsidR="0014746F" w:rsidRPr="00350A43" w:rsidRDefault="0014746F">
            <w:pPr>
              <w:pStyle w:val="Tabletext"/>
            </w:pPr>
            <w:r w:rsidRPr="00350A43">
              <w:t> </w:t>
            </w:r>
          </w:p>
        </w:tc>
        <w:tc>
          <w:tcPr>
            <w:tcW w:w="1394" w:type="dxa"/>
            <w:noWrap/>
            <w:vAlign w:val="bottom"/>
            <w:hideMark/>
          </w:tcPr>
          <w:p w14:paraId="68B30D4C" w14:textId="77777777" w:rsidR="0014746F" w:rsidRPr="00482AB5" w:rsidRDefault="0014746F">
            <w:pPr>
              <w:pStyle w:val="Tabletext"/>
            </w:pPr>
            <w:r w:rsidRPr="00482AB5">
              <w:t>$</w:t>
            </w:r>
            <w:r>
              <w:t>371.41</w:t>
            </w:r>
          </w:p>
        </w:tc>
        <w:tc>
          <w:tcPr>
            <w:tcW w:w="1255" w:type="dxa"/>
            <w:noWrap/>
            <w:vAlign w:val="bottom"/>
            <w:hideMark/>
          </w:tcPr>
          <w:p w14:paraId="381211CC" w14:textId="77777777" w:rsidR="0014746F" w:rsidRPr="00482AB5" w:rsidRDefault="0014746F">
            <w:pPr>
              <w:pStyle w:val="Tabletext"/>
            </w:pPr>
          </w:p>
        </w:tc>
        <w:tc>
          <w:tcPr>
            <w:tcW w:w="1428" w:type="dxa"/>
            <w:noWrap/>
            <w:vAlign w:val="bottom"/>
            <w:hideMark/>
          </w:tcPr>
          <w:p w14:paraId="28419C3F" w14:textId="77777777" w:rsidR="0014746F" w:rsidRPr="00482AB5" w:rsidRDefault="0014746F">
            <w:pPr>
              <w:pStyle w:val="Tabletext"/>
            </w:pPr>
            <w:r w:rsidRPr="00482AB5">
              <w:t> </w:t>
            </w:r>
          </w:p>
        </w:tc>
      </w:tr>
      <w:tr w:rsidR="0014746F" w:rsidRPr="007F4AFC" w14:paraId="2A31BF43" w14:textId="77777777" w:rsidTr="0008449C">
        <w:trPr>
          <w:trHeight w:val="53"/>
        </w:trPr>
        <w:tc>
          <w:tcPr>
            <w:tcW w:w="2997" w:type="dxa"/>
            <w:gridSpan w:val="2"/>
            <w:noWrap/>
            <w:vAlign w:val="bottom"/>
            <w:hideMark/>
          </w:tcPr>
          <w:p w14:paraId="2FA83DDB" w14:textId="77777777" w:rsidR="0014746F" w:rsidRPr="009B072F" w:rsidRDefault="0014746F">
            <w:pPr>
              <w:pStyle w:val="Tabletext"/>
              <w:rPr>
                <w:b/>
                <w:bCs/>
              </w:rPr>
            </w:pPr>
            <w:r w:rsidRPr="009B072F">
              <w:rPr>
                <w:b/>
                <w:bCs/>
              </w:rPr>
              <w:t>Weighted pack price weeks 1-104 </w:t>
            </w:r>
          </w:p>
        </w:tc>
        <w:tc>
          <w:tcPr>
            <w:tcW w:w="1255" w:type="dxa"/>
            <w:noWrap/>
            <w:vAlign w:val="bottom"/>
            <w:hideMark/>
          </w:tcPr>
          <w:p w14:paraId="6459D957" w14:textId="77777777" w:rsidR="0014746F" w:rsidRPr="00350A43" w:rsidRDefault="0014746F">
            <w:pPr>
              <w:pStyle w:val="Tabletext"/>
            </w:pPr>
            <w:r w:rsidRPr="00350A43">
              <w:t> </w:t>
            </w:r>
          </w:p>
        </w:tc>
        <w:tc>
          <w:tcPr>
            <w:tcW w:w="1164" w:type="dxa"/>
            <w:noWrap/>
            <w:vAlign w:val="bottom"/>
            <w:hideMark/>
          </w:tcPr>
          <w:p w14:paraId="65F3D630" w14:textId="77777777" w:rsidR="0014746F" w:rsidRPr="00C65B82" w:rsidRDefault="0014746F">
            <w:pPr>
              <w:pStyle w:val="Tabletext"/>
            </w:pPr>
            <w:r w:rsidRPr="00C65B82">
              <w:t> </w:t>
            </w:r>
          </w:p>
        </w:tc>
        <w:tc>
          <w:tcPr>
            <w:tcW w:w="1394" w:type="dxa"/>
            <w:noWrap/>
            <w:vAlign w:val="bottom"/>
            <w:hideMark/>
          </w:tcPr>
          <w:p w14:paraId="566CEBBE" w14:textId="77777777" w:rsidR="0014746F" w:rsidRPr="00C65B82" w:rsidRDefault="0014746F">
            <w:pPr>
              <w:pStyle w:val="Tabletext"/>
            </w:pPr>
            <w:r w:rsidRPr="00C65B82">
              <w:t>$384.25</w:t>
            </w:r>
          </w:p>
        </w:tc>
        <w:tc>
          <w:tcPr>
            <w:tcW w:w="1255" w:type="dxa"/>
            <w:noWrap/>
            <w:vAlign w:val="bottom"/>
            <w:hideMark/>
          </w:tcPr>
          <w:p w14:paraId="2B9CBEFA" w14:textId="77777777" w:rsidR="0014746F" w:rsidRPr="00482AB5" w:rsidRDefault="0014746F">
            <w:pPr>
              <w:pStyle w:val="Tabletext"/>
            </w:pPr>
            <w:r w:rsidRPr="00482AB5">
              <w:t> </w:t>
            </w:r>
          </w:p>
        </w:tc>
        <w:tc>
          <w:tcPr>
            <w:tcW w:w="1428" w:type="dxa"/>
            <w:noWrap/>
            <w:vAlign w:val="bottom"/>
            <w:hideMark/>
          </w:tcPr>
          <w:p w14:paraId="37574653" w14:textId="77777777" w:rsidR="0014746F" w:rsidRPr="00482AB5" w:rsidRDefault="0014746F">
            <w:pPr>
              <w:pStyle w:val="Tabletext"/>
            </w:pPr>
            <w:r w:rsidRPr="00482AB5">
              <w:t> </w:t>
            </w:r>
          </w:p>
        </w:tc>
      </w:tr>
    </w:tbl>
    <w:p w14:paraId="280082E6" w14:textId="4EAB83AB" w:rsidR="0014746F" w:rsidRPr="0014746F" w:rsidRDefault="0014746F" w:rsidP="0014746F">
      <w:pPr>
        <w:pStyle w:val="TableFigureFooter"/>
        <w:rPr>
          <w:i/>
          <w:iCs/>
        </w:rPr>
      </w:pPr>
      <w:r>
        <w:t xml:space="preserve">Source: Table 3.7, p 168 of the submission. </w:t>
      </w:r>
      <w:r w:rsidRPr="00A35451">
        <w:t>A typographical error was corrected, in the cost per 4 weeks of GPB (the main body of the submission used a price of $</w:t>
      </w:r>
      <w:r w:rsidR="00FE3B86" w:rsidRPr="004F06D3">
        <w:rPr>
          <w:highlight w:val="black"/>
        </w:rPr>
        <w:t>&amp;&amp;&amp;&amp;</w:t>
      </w:r>
      <w:r w:rsidR="00FE3B86" w:rsidRPr="00FE3B86">
        <w:t xml:space="preserve"> </w:t>
      </w:r>
      <w:r w:rsidRPr="00A35451">
        <w:t>which was not reflected in other documents).</w:t>
      </w:r>
    </w:p>
    <w:p w14:paraId="48C363C2" w14:textId="4037E214" w:rsidR="00C335FE" w:rsidRPr="00465EE4" w:rsidRDefault="008E2CE9" w:rsidP="002721B7">
      <w:pPr>
        <w:pStyle w:val="3-BodyText"/>
      </w:pPr>
      <w:r w:rsidRPr="00465EE4">
        <w:t xml:space="preserve">The inherent </w:t>
      </w:r>
      <w:r w:rsidR="00F02E45" w:rsidRPr="00465EE4">
        <w:t>uncertainty in the clinical comparison</w:t>
      </w:r>
      <w:r w:rsidR="00D85AEF" w:rsidRPr="00465EE4">
        <w:t xml:space="preserve"> (see </w:t>
      </w:r>
      <w:r w:rsidR="000A7977" w:rsidRPr="00465EE4">
        <w:t>C</w:t>
      </w:r>
      <w:r w:rsidR="00D85AEF" w:rsidRPr="00465EE4">
        <w:t xml:space="preserve">linical </w:t>
      </w:r>
      <w:r w:rsidR="000A7977" w:rsidRPr="00465EE4">
        <w:t>C</w:t>
      </w:r>
      <w:r w:rsidR="00D85AEF" w:rsidRPr="00465EE4">
        <w:t>laim section)</w:t>
      </w:r>
      <w:r w:rsidRPr="00465EE4">
        <w:t xml:space="preserve"> undermines the reliability of an economic comparison of BTA and GPB</w:t>
      </w:r>
      <w:r w:rsidR="001F4C95" w:rsidRPr="00465EE4">
        <w:t xml:space="preserve">. </w:t>
      </w:r>
      <w:r w:rsidR="00D85AEF" w:rsidRPr="00465EE4">
        <w:t>In addition,</w:t>
      </w:r>
      <w:r w:rsidR="001F4C95" w:rsidRPr="00465EE4">
        <w:t xml:space="preserve"> reliance on a single outcome measure (proportion with a 50% reduction in sweat volume) measured at 4 weeks and assumed to be constant over 2 years </w:t>
      </w:r>
      <w:r w:rsidR="00D85AEF" w:rsidRPr="00465EE4">
        <w:t xml:space="preserve">adds </w:t>
      </w:r>
      <w:r w:rsidRPr="00465EE4">
        <w:t xml:space="preserve">further </w:t>
      </w:r>
      <w:r w:rsidR="00D85AEF" w:rsidRPr="00465EE4">
        <w:t>uncertainty to the comparison</w:t>
      </w:r>
      <w:r w:rsidRPr="00465EE4">
        <w:t xml:space="preserve">. </w:t>
      </w:r>
    </w:p>
    <w:p w14:paraId="33DC7065" w14:textId="556C6E1C" w:rsidR="00123BB3" w:rsidRDefault="004748B2" w:rsidP="002721B7">
      <w:pPr>
        <w:pStyle w:val="3-BodyText"/>
      </w:pPr>
      <w:r w:rsidRPr="00465EE4">
        <w:t xml:space="preserve">The ESC noted the proposed price </w:t>
      </w:r>
      <w:r w:rsidR="00F50E99">
        <w:t xml:space="preserve">for GPB </w:t>
      </w:r>
      <w:r w:rsidRPr="00465EE4">
        <w:t>based on the cost per responder analysis was likely to be more costly than extemporaneously compounded glycopyrronium cream formulations.</w:t>
      </w:r>
      <w:r w:rsidR="00685CF5">
        <w:t xml:space="preserve"> </w:t>
      </w:r>
    </w:p>
    <w:p w14:paraId="6D8D627A" w14:textId="53401627" w:rsidR="00AD22D6" w:rsidRPr="00465EE4" w:rsidRDefault="00AD22D6" w:rsidP="002721B7">
      <w:pPr>
        <w:pStyle w:val="3-BodyText"/>
      </w:pPr>
      <w:r>
        <w:t xml:space="preserve">The pre-PBAC response </w:t>
      </w:r>
      <w:r w:rsidR="006137D8">
        <w:t>proposed</w:t>
      </w:r>
      <w:r>
        <w:t xml:space="preserve"> </w:t>
      </w:r>
      <w:r w:rsidR="00503E3A">
        <w:t>an effective AEMP of $</w:t>
      </w:r>
      <w:r w:rsidR="00FE3B86" w:rsidRPr="004F06D3">
        <w:rPr>
          <w:highlight w:val="black"/>
        </w:rPr>
        <w:t>&amp;&amp;&amp;&amp;</w:t>
      </w:r>
      <w:r w:rsidR="00503E3A">
        <w:t>/pack ($</w:t>
      </w:r>
      <w:r w:rsidR="00FE3B86" w:rsidRPr="004F06D3">
        <w:rPr>
          <w:highlight w:val="black"/>
        </w:rPr>
        <w:t>&amp;&amp;&amp;&amp;</w:t>
      </w:r>
      <w:r w:rsidR="00503E3A">
        <w:t xml:space="preserve">/28 days) </w:t>
      </w:r>
      <w:r w:rsidR="00077318">
        <w:t xml:space="preserve">based on the </w:t>
      </w:r>
      <w:r w:rsidR="00503E3A">
        <w:t xml:space="preserve">proportional difference in efficacy </w:t>
      </w:r>
      <w:r w:rsidR="004B4DAF">
        <w:t xml:space="preserve">of GPB and BTA </w:t>
      </w:r>
      <w:r w:rsidR="00503E3A">
        <w:t>at 4 weeks (57.5% vs. 94.0%)</w:t>
      </w:r>
      <w:r w:rsidR="00BB44D4">
        <w:t xml:space="preserve"> and an assumption that </w:t>
      </w:r>
      <w:r w:rsidR="00FC0675">
        <w:t>the effective price of BT</w:t>
      </w:r>
      <w:r w:rsidR="00BD6DD2">
        <w:t>A</w:t>
      </w:r>
      <w:r w:rsidR="00FC0675">
        <w:t xml:space="preserve"> </w:t>
      </w:r>
      <w:r w:rsidR="00EA6EBF">
        <w:t xml:space="preserve">is </w:t>
      </w:r>
      <w:r w:rsidR="00FE3B86" w:rsidRPr="004F06D3">
        <w:rPr>
          <w:highlight w:val="black"/>
        </w:rPr>
        <w:t>&amp;&amp;&amp;&amp;</w:t>
      </w:r>
      <w:r w:rsidR="00EA6EBF">
        <w:t>% of the published price</w:t>
      </w:r>
      <w:r w:rsidR="00503E3A">
        <w:t>.</w:t>
      </w:r>
      <w:r w:rsidR="008D2000">
        <w:t xml:space="preserve"> </w:t>
      </w:r>
      <w:r w:rsidR="001F5241">
        <w:t xml:space="preserve">The </w:t>
      </w:r>
      <w:r w:rsidR="000A7960">
        <w:t xml:space="preserve">pre-PBAC </w:t>
      </w:r>
      <w:r w:rsidR="001F5241">
        <w:t xml:space="preserve">response </w:t>
      </w:r>
      <w:r w:rsidR="00327619">
        <w:t xml:space="preserve">argued </w:t>
      </w:r>
      <w:r w:rsidR="001F5241">
        <w:t xml:space="preserve">this </w:t>
      </w:r>
      <w:r w:rsidR="000908C8">
        <w:t>approach likely biase</w:t>
      </w:r>
      <w:r w:rsidR="009A08F4">
        <w:t>d</w:t>
      </w:r>
      <w:r w:rsidR="000908C8">
        <w:t xml:space="preserve"> against GPB </w:t>
      </w:r>
      <w:r w:rsidR="00327619">
        <w:t>as 4 weeks is the peak of BTA efficacy</w:t>
      </w:r>
      <w:r w:rsidR="0005385A">
        <w:t xml:space="preserve">. </w:t>
      </w:r>
    </w:p>
    <w:p w14:paraId="472842D7" w14:textId="2ABBAD36" w:rsidR="00C25D9C" w:rsidRPr="0098262F" w:rsidRDefault="00C25D9C" w:rsidP="00BB732D">
      <w:pPr>
        <w:pStyle w:val="4-SubsectionHeading"/>
      </w:pPr>
      <w:bookmarkStart w:id="46" w:name="_Toc22897646"/>
      <w:bookmarkStart w:id="47" w:name="_Toc208997661"/>
      <w:r w:rsidRPr="0098262F">
        <w:t>Drug cost/patient</w:t>
      </w:r>
      <w:r w:rsidR="007370E4">
        <w:t>/</w:t>
      </w:r>
      <w:r w:rsidRPr="0098262F">
        <w:t>year</w:t>
      </w:r>
      <w:bookmarkEnd w:id="46"/>
      <w:bookmarkEnd w:id="47"/>
    </w:p>
    <w:p w14:paraId="165F5665" w14:textId="1EE6B140" w:rsidR="006A43D9" w:rsidRPr="0098262F" w:rsidRDefault="007370E4" w:rsidP="002721B7">
      <w:pPr>
        <w:pStyle w:val="3-BodyText"/>
      </w:pPr>
      <w:bookmarkStart w:id="48" w:name="_Ref104805102"/>
      <w:r>
        <w:t xml:space="preserve">Based on </w:t>
      </w:r>
      <w:r w:rsidR="00150946">
        <w:fldChar w:fldCharType="begin" w:fldLock="1"/>
      </w:r>
      <w:r w:rsidR="00150946">
        <w:instrText xml:space="preserve"> REF _Ref211952370 \h </w:instrText>
      </w:r>
      <w:r w:rsidR="00150946">
        <w:fldChar w:fldCharType="separate"/>
      </w:r>
      <w:r w:rsidR="004D6DEB">
        <w:t xml:space="preserve">Table </w:t>
      </w:r>
      <w:r w:rsidR="004D6DEB">
        <w:rPr>
          <w:noProof/>
        </w:rPr>
        <w:t>10</w:t>
      </w:r>
      <w:r w:rsidR="00150946">
        <w:fldChar w:fldCharType="end"/>
      </w:r>
      <w:r w:rsidR="00150946">
        <w:t xml:space="preserve"> </w:t>
      </w:r>
      <w:r w:rsidR="00B37FA7">
        <w:t xml:space="preserve">above, </w:t>
      </w:r>
      <w:r>
        <w:t>using</w:t>
      </w:r>
      <w:r w:rsidR="00C474F5">
        <w:t xml:space="preserve"> the published price of </w:t>
      </w:r>
      <w:r w:rsidR="0099127B">
        <w:t>BTA</w:t>
      </w:r>
      <w:r w:rsidR="00C474F5">
        <w:t xml:space="preserve"> and</w:t>
      </w:r>
      <w:r>
        <w:t xml:space="preserve"> </w:t>
      </w:r>
      <w:r w:rsidR="00C474F5">
        <w:t>the costing as presented in the submission, the cost per patie</w:t>
      </w:r>
      <w:r>
        <w:t>n</w:t>
      </w:r>
      <w:r w:rsidR="00C474F5">
        <w:t xml:space="preserve">t per year </w:t>
      </w:r>
      <w:r>
        <w:t xml:space="preserve">of </w:t>
      </w:r>
      <w:r w:rsidR="0099127B">
        <w:t xml:space="preserve">GPB </w:t>
      </w:r>
      <w:r>
        <w:t xml:space="preserve">treatment </w:t>
      </w:r>
      <w:r w:rsidR="00C474F5">
        <w:t>would be $2032.82</w:t>
      </w:r>
      <w:r>
        <w:t xml:space="preserve"> ($507.25</w:t>
      </w:r>
      <w:r w:rsidR="00C46313">
        <w:t xml:space="preserve"> </w:t>
      </w:r>
      <w:r>
        <w:t>+</w:t>
      </w:r>
      <w:r w:rsidR="00C46313">
        <w:t xml:space="preserve"> (</w:t>
      </w:r>
      <w:r>
        <w:t>$3558.38/2</w:t>
      </w:r>
      <w:r w:rsidR="00C46313">
        <w:t>)</w:t>
      </w:r>
      <w:r>
        <w:t>)</w:t>
      </w:r>
      <w:r w:rsidR="00681A1D">
        <w:t>.</w:t>
      </w:r>
      <w:r w:rsidR="00BD1C28">
        <w:t xml:space="preserve"> The proposed price</w:t>
      </w:r>
      <w:r w:rsidR="002A0F4C">
        <w:t xml:space="preserve"> for GPB was reduced in the pre-PBAC response.</w:t>
      </w:r>
    </w:p>
    <w:p w14:paraId="268768EF" w14:textId="3626F292" w:rsidR="00B60939" w:rsidRPr="0098262F" w:rsidRDefault="00B60939" w:rsidP="002B05A1">
      <w:pPr>
        <w:pStyle w:val="4-SubsectionHeading"/>
      </w:pPr>
      <w:bookmarkStart w:id="49" w:name="_Toc22897647"/>
      <w:bookmarkStart w:id="50" w:name="_Toc208997662"/>
      <w:bookmarkEnd w:id="48"/>
      <w:r w:rsidRPr="0098262F">
        <w:t>Estimated PBS usage &amp; financial implications</w:t>
      </w:r>
      <w:bookmarkEnd w:id="49"/>
      <w:bookmarkEnd w:id="50"/>
    </w:p>
    <w:p w14:paraId="21B7D200" w14:textId="154796A6" w:rsidR="001D41FF" w:rsidRPr="001D41FF" w:rsidRDefault="00C25D9C" w:rsidP="002721B7">
      <w:pPr>
        <w:pStyle w:val="3-BodyText"/>
        <w:rPr>
          <w:color w:val="0066FF"/>
        </w:rPr>
      </w:pPr>
      <w:r w:rsidRPr="0098262F">
        <w:t xml:space="preserve">This submission </w:t>
      </w:r>
      <w:r w:rsidR="004748B2">
        <w:t>was not</w:t>
      </w:r>
      <w:r w:rsidR="00D23D11" w:rsidRPr="0098262F">
        <w:t xml:space="preserve"> </w:t>
      </w:r>
      <w:r w:rsidRPr="0098262F">
        <w:t>considered by DUSC</w:t>
      </w:r>
      <w:r w:rsidRPr="0098262F">
        <w:rPr>
          <w:color w:val="0070C0"/>
        </w:rPr>
        <w:t>.</w:t>
      </w:r>
    </w:p>
    <w:p w14:paraId="04B31D2D" w14:textId="2CDD3D64" w:rsidR="0072416F" w:rsidRPr="00686210" w:rsidRDefault="001D41FF" w:rsidP="002721B7">
      <w:pPr>
        <w:pStyle w:val="3-BodyText"/>
        <w:rPr>
          <w:color w:val="0066FF"/>
        </w:rPr>
      </w:pPr>
      <w:r>
        <w:t xml:space="preserve">The submission appropriately used a mixed market share and epidemiological model to estimate utilisation and costs. </w:t>
      </w:r>
      <w:r w:rsidR="004B2C71">
        <w:t xml:space="preserve">For the market share component, the submission based its estimates on the substitution of </w:t>
      </w:r>
      <w:r w:rsidR="0099127B">
        <w:t>BTA.</w:t>
      </w:r>
      <w:r w:rsidR="004B2C71">
        <w:t xml:space="preserve"> The epidemiological component of the model was based on published data and expert opinion. The key inputs used for the financial estimates are shown in</w:t>
      </w:r>
      <w:r w:rsidR="00686210">
        <w:t xml:space="preserve"> </w:t>
      </w:r>
      <w:r w:rsidR="00686210">
        <w:fldChar w:fldCharType="begin" w:fldLock="1"/>
      </w:r>
      <w:r w:rsidR="00686210">
        <w:instrText xml:space="preserve"> REF _Ref104805262 \h </w:instrText>
      </w:r>
      <w:r w:rsidR="00686210">
        <w:fldChar w:fldCharType="separate"/>
      </w:r>
      <w:r w:rsidR="004D6DEB" w:rsidRPr="0098262F">
        <w:t xml:space="preserve">Table </w:t>
      </w:r>
      <w:r w:rsidR="004D6DEB">
        <w:rPr>
          <w:noProof/>
        </w:rPr>
        <w:t>11</w:t>
      </w:r>
      <w:r w:rsidR="00686210">
        <w:fldChar w:fldCharType="end"/>
      </w:r>
      <w:r w:rsidR="004B2C71">
        <w:t>.</w:t>
      </w:r>
      <w:r w:rsidR="009C1271" w:rsidRPr="00686210">
        <w:rPr>
          <w:color w:val="0066FF"/>
        </w:rPr>
        <w:t xml:space="preserve"> </w:t>
      </w:r>
    </w:p>
    <w:p w14:paraId="3393BCE7" w14:textId="56D1499A" w:rsidR="00E42F73" w:rsidRPr="0098262F" w:rsidRDefault="00E16AD8" w:rsidP="00E16AD8">
      <w:pPr>
        <w:pStyle w:val="Caption"/>
        <w:rPr>
          <w:rStyle w:val="CommentReference"/>
          <w:b/>
          <w:szCs w:val="24"/>
        </w:rPr>
      </w:pPr>
      <w:bookmarkStart w:id="51" w:name="_Ref104805262"/>
      <w:r w:rsidRPr="0098262F">
        <w:t xml:space="preserve">Table </w:t>
      </w:r>
      <w:r w:rsidR="007C24FD">
        <w:fldChar w:fldCharType="begin" w:fldLock="1"/>
      </w:r>
      <w:r w:rsidR="007C24FD">
        <w:instrText xml:space="preserve"> SEQ Table \* ARABIC </w:instrText>
      </w:r>
      <w:r w:rsidR="007C24FD">
        <w:fldChar w:fldCharType="separate"/>
      </w:r>
      <w:r w:rsidR="004D6DEB">
        <w:rPr>
          <w:noProof/>
        </w:rPr>
        <w:t>11</w:t>
      </w:r>
      <w:r w:rsidR="007C24FD">
        <w:rPr>
          <w:noProof/>
        </w:rPr>
        <w:fldChar w:fldCharType="end"/>
      </w:r>
      <w:bookmarkEnd w:id="51"/>
      <w:r w:rsidRPr="0098262F">
        <w:t>:</w:t>
      </w:r>
      <w:r w:rsidR="00E42F73"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w:tblDescription w:val="Key inputs for financial estimates"/>
      </w:tblPr>
      <w:tblGrid>
        <w:gridCol w:w="1713"/>
        <w:gridCol w:w="4094"/>
        <w:gridCol w:w="3210"/>
      </w:tblGrid>
      <w:tr w:rsidR="00E42F73" w:rsidRPr="00465EE4" w14:paraId="7AFD013A" w14:textId="77777777" w:rsidTr="009C3A3A">
        <w:trPr>
          <w:tblHeader/>
        </w:trPr>
        <w:tc>
          <w:tcPr>
            <w:tcW w:w="950" w:type="pct"/>
            <w:vAlign w:val="center"/>
          </w:tcPr>
          <w:p w14:paraId="45C2C4CE" w14:textId="370E9AAB" w:rsidR="00E42F73" w:rsidRPr="00465EE4" w:rsidRDefault="004658B5" w:rsidP="007925DF">
            <w:pPr>
              <w:pStyle w:val="In-tableHeading"/>
              <w:rPr>
                <w:lang w:val="en-AU"/>
              </w:rPr>
            </w:pPr>
            <w:r w:rsidRPr="00465EE4">
              <w:rPr>
                <w:lang w:val="en-AU"/>
              </w:rPr>
              <w:t>Parameter</w:t>
            </w:r>
          </w:p>
        </w:tc>
        <w:tc>
          <w:tcPr>
            <w:tcW w:w="2270" w:type="pct"/>
            <w:vAlign w:val="center"/>
          </w:tcPr>
          <w:p w14:paraId="5C04F956" w14:textId="559E8DB1" w:rsidR="00E42F73" w:rsidRPr="00465EE4" w:rsidRDefault="004658B5" w:rsidP="007925DF">
            <w:pPr>
              <w:pStyle w:val="In-tableHeading"/>
              <w:rPr>
                <w:lang w:val="en-AU"/>
              </w:rPr>
            </w:pPr>
            <w:r w:rsidRPr="00465EE4">
              <w:rPr>
                <w:lang w:val="en-AU"/>
              </w:rPr>
              <w:t>Value applied and source</w:t>
            </w:r>
          </w:p>
        </w:tc>
        <w:tc>
          <w:tcPr>
            <w:tcW w:w="1780" w:type="pct"/>
            <w:vAlign w:val="center"/>
          </w:tcPr>
          <w:p w14:paraId="45DE44AA" w14:textId="4713F72E" w:rsidR="00E42F73" w:rsidRPr="00465EE4" w:rsidRDefault="004658B5" w:rsidP="007925DF">
            <w:pPr>
              <w:pStyle w:val="In-tableHeading"/>
              <w:rPr>
                <w:lang w:val="en-AU"/>
              </w:rPr>
            </w:pPr>
            <w:r w:rsidRPr="00465EE4">
              <w:rPr>
                <w:lang w:val="en-AU"/>
              </w:rPr>
              <w:t>Comment</w:t>
            </w:r>
          </w:p>
        </w:tc>
      </w:tr>
      <w:tr w:rsidR="004B2C71" w:rsidRPr="00465EE4" w14:paraId="349E3BA3" w14:textId="77777777" w:rsidTr="004B2C71">
        <w:trPr>
          <w:tblHeader/>
        </w:trPr>
        <w:tc>
          <w:tcPr>
            <w:tcW w:w="5000" w:type="pct"/>
            <w:gridSpan w:val="3"/>
            <w:vAlign w:val="center"/>
          </w:tcPr>
          <w:p w14:paraId="1D572E77" w14:textId="2020568D" w:rsidR="004B2C71" w:rsidRPr="00465EE4" w:rsidRDefault="004B2C71" w:rsidP="007925DF">
            <w:pPr>
              <w:pStyle w:val="In-tableHeading"/>
              <w:rPr>
                <w:lang w:val="en-AU"/>
              </w:rPr>
            </w:pPr>
            <w:r w:rsidRPr="00465EE4">
              <w:rPr>
                <w:lang w:val="en-AU"/>
              </w:rPr>
              <w:t>Market Share</w:t>
            </w:r>
          </w:p>
        </w:tc>
      </w:tr>
      <w:tr w:rsidR="00E42F73" w:rsidRPr="00465EE4" w14:paraId="4BEF206D" w14:textId="77777777" w:rsidTr="009C3A3A">
        <w:tc>
          <w:tcPr>
            <w:tcW w:w="950" w:type="pct"/>
            <w:vAlign w:val="center"/>
          </w:tcPr>
          <w:p w14:paraId="5724F53F" w14:textId="57FA71B0" w:rsidR="00E42F73" w:rsidRPr="00465EE4" w:rsidRDefault="004B2C71" w:rsidP="00F03392">
            <w:pPr>
              <w:pStyle w:val="Tabletext"/>
            </w:pPr>
            <w:r w:rsidRPr="00465EE4">
              <w:t xml:space="preserve">PBS item statistics – services and benefits </w:t>
            </w:r>
          </w:p>
        </w:tc>
        <w:tc>
          <w:tcPr>
            <w:tcW w:w="2270" w:type="pct"/>
            <w:vAlign w:val="center"/>
          </w:tcPr>
          <w:p w14:paraId="73445D18" w14:textId="1BA2D60F" w:rsidR="00E42F73" w:rsidRPr="00465EE4" w:rsidRDefault="004B2C71" w:rsidP="00F03392">
            <w:pPr>
              <w:pStyle w:val="Tabletext"/>
            </w:pPr>
            <w:r w:rsidRPr="00465EE4">
              <w:t xml:space="preserve">2017-2024 data </w:t>
            </w:r>
            <w:r w:rsidR="00BD394F" w:rsidRPr="00465EE4">
              <w:t xml:space="preserve">for </w:t>
            </w:r>
            <w:r w:rsidR="00855732">
              <w:t>BTA</w:t>
            </w:r>
            <w:r w:rsidR="00855732" w:rsidRPr="00465EE4">
              <w:t xml:space="preserve"> </w:t>
            </w:r>
            <w:r w:rsidR="00BD394F" w:rsidRPr="00465EE4">
              <w:t>services, Item 11016T</w:t>
            </w:r>
          </w:p>
          <w:p w14:paraId="2974F923" w14:textId="5FAA2F94" w:rsidR="00BD394F" w:rsidRPr="00465EE4" w:rsidRDefault="00BD394F" w:rsidP="00F03392">
            <w:pPr>
              <w:pStyle w:val="Tabletext"/>
            </w:pPr>
            <w:r w:rsidRPr="00465EE4">
              <w:t>2024: 18778 services</w:t>
            </w:r>
          </w:p>
        </w:tc>
        <w:tc>
          <w:tcPr>
            <w:tcW w:w="1780" w:type="pct"/>
            <w:vAlign w:val="center"/>
          </w:tcPr>
          <w:p w14:paraId="078672CF" w14:textId="50FABA84" w:rsidR="00E42F73" w:rsidRPr="00465EE4" w:rsidRDefault="00E42F73" w:rsidP="00F03392">
            <w:pPr>
              <w:pStyle w:val="Tabletext"/>
            </w:pPr>
          </w:p>
        </w:tc>
      </w:tr>
      <w:tr w:rsidR="004B2C71" w:rsidRPr="00465EE4" w14:paraId="40F873B3" w14:textId="77777777" w:rsidTr="009C3A3A">
        <w:tc>
          <w:tcPr>
            <w:tcW w:w="950" w:type="pct"/>
            <w:vAlign w:val="center"/>
          </w:tcPr>
          <w:p w14:paraId="00F4B2FF" w14:textId="29ACD55F" w:rsidR="004B2C71" w:rsidRPr="00465EE4" w:rsidRDefault="004B2C71" w:rsidP="00F03392">
            <w:pPr>
              <w:pStyle w:val="Tabletext"/>
            </w:pPr>
            <w:r w:rsidRPr="00465EE4">
              <w:t xml:space="preserve">Prospection data </w:t>
            </w:r>
          </w:p>
        </w:tc>
        <w:tc>
          <w:tcPr>
            <w:tcW w:w="2270" w:type="pct"/>
            <w:vAlign w:val="center"/>
          </w:tcPr>
          <w:p w14:paraId="12D29F22" w14:textId="3DD23537" w:rsidR="004B2C71" w:rsidRPr="00465EE4" w:rsidRDefault="004B2C71" w:rsidP="00F03392">
            <w:pPr>
              <w:pStyle w:val="Tabletext"/>
            </w:pPr>
            <w:r w:rsidRPr="00465EE4">
              <w:t xml:space="preserve">Administration of </w:t>
            </w:r>
            <w:r w:rsidR="00855732">
              <w:t>BTA</w:t>
            </w:r>
            <w:r w:rsidRPr="00465EE4">
              <w:t xml:space="preserve"> per year: 2.65 </w:t>
            </w:r>
          </w:p>
          <w:p w14:paraId="46838C2C" w14:textId="6E313691" w:rsidR="004B2C71" w:rsidRPr="00465EE4" w:rsidRDefault="00420CA9" w:rsidP="00F03392">
            <w:pPr>
              <w:pStyle w:val="Tabletext"/>
            </w:pPr>
            <w:r>
              <w:t>N</w:t>
            </w:r>
            <w:r w:rsidR="004B2C71" w:rsidRPr="00465EE4">
              <w:t>umber of vials per administration: 1.56</w:t>
            </w:r>
          </w:p>
        </w:tc>
        <w:tc>
          <w:tcPr>
            <w:tcW w:w="1780" w:type="pct"/>
            <w:vAlign w:val="center"/>
          </w:tcPr>
          <w:p w14:paraId="3FA53BEB" w14:textId="445061F6" w:rsidR="004B2C71" w:rsidRPr="00465EE4" w:rsidRDefault="004B2C71" w:rsidP="00F03392">
            <w:pPr>
              <w:pStyle w:val="Tabletext"/>
            </w:pPr>
          </w:p>
        </w:tc>
      </w:tr>
      <w:tr w:rsidR="006512F6" w:rsidRPr="00465EE4" w14:paraId="04C79D62" w14:textId="77777777" w:rsidTr="009C3A3A">
        <w:tc>
          <w:tcPr>
            <w:tcW w:w="950" w:type="pct"/>
            <w:vAlign w:val="center"/>
          </w:tcPr>
          <w:p w14:paraId="07E8A70F" w14:textId="7731558D" w:rsidR="006512F6" w:rsidRPr="00465EE4" w:rsidRDefault="006512F6" w:rsidP="00F03392">
            <w:pPr>
              <w:pStyle w:val="Tabletext"/>
            </w:pPr>
            <w:r w:rsidRPr="00465EE4">
              <w:t>Market growth and market share</w:t>
            </w:r>
          </w:p>
        </w:tc>
        <w:tc>
          <w:tcPr>
            <w:tcW w:w="2270" w:type="pct"/>
            <w:vAlign w:val="center"/>
          </w:tcPr>
          <w:p w14:paraId="3F272FAD" w14:textId="5ACAF22F" w:rsidR="006512F6" w:rsidRPr="00465EE4" w:rsidRDefault="006512F6" w:rsidP="00F03392">
            <w:pPr>
              <w:pStyle w:val="Tabletext"/>
            </w:pPr>
            <w:r w:rsidRPr="00465EE4">
              <w:t xml:space="preserve">Based on extrapolation of </w:t>
            </w:r>
            <w:r w:rsidR="00F43AC2">
              <w:t>BTA</w:t>
            </w:r>
            <w:r w:rsidR="00F43AC2" w:rsidRPr="00465EE4">
              <w:t xml:space="preserve"> </w:t>
            </w:r>
            <w:r w:rsidRPr="00465EE4">
              <w:t xml:space="preserve">service </w:t>
            </w:r>
          </w:p>
          <w:tbl>
            <w:tblPr>
              <w:tblStyle w:val="TableGrid"/>
              <w:tblW w:w="0" w:type="auto"/>
              <w:tblLook w:val="04A0" w:firstRow="1" w:lastRow="0" w:firstColumn="1" w:lastColumn="0" w:noHBand="0" w:noVBand="1"/>
            </w:tblPr>
            <w:tblGrid>
              <w:gridCol w:w="1342"/>
              <w:gridCol w:w="1343"/>
              <w:gridCol w:w="1343"/>
            </w:tblGrid>
            <w:tr w:rsidR="006512F6" w:rsidRPr="00465EE4" w14:paraId="0A72AB43" w14:textId="4EA9F7A7" w:rsidTr="00834893">
              <w:tc>
                <w:tcPr>
                  <w:tcW w:w="1342" w:type="dxa"/>
                </w:tcPr>
                <w:p w14:paraId="6EEACC18" w14:textId="7565A8D6" w:rsidR="006512F6" w:rsidRPr="00465EE4" w:rsidRDefault="001474B9" w:rsidP="00F03392">
                  <w:pPr>
                    <w:pStyle w:val="Tabletext"/>
                  </w:pPr>
                  <w:r w:rsidRPr="00465EE4">
                    <w:t>Y</w:t>
                  </w:r>
                  <w:r w:rsidR="006512F6" w:rsidRPr="00465EE4">
                    <w:t>ear</w:t>
                  </w:r>
                </w:p>
              </w:tc>
              <w:tc>
                <w:tcPr>
                  <w:tcW w:w="1343" w:type="dxa"/>
                </w:tcPr>
                <w:p w14:paraId="40A4B9A4" w14:textId="77777777" w:rsidR="006512F6" w:rsidRPr="00465EE4" w:rsidRDefault="006512F6" w:rsidP="00F03392">
                  <w:pPr>
                    <w:pStyle w:val="Tabletext"/>
                  </w:pPr>
                  <w:r w:rsidRPr="00465EE4">
                    <w:t>Growth rate</w:t>
                  </w:r>
                </w:p>
              </w:tc>
              <w:tc>
                <w:tcPr>
                  <w:tcW w:w="1343" w:type="dxa"/>
                </w:tcPr>
                <w:p w14:paraId="698EA9AB" w14:textId="284A9165" w:rsidR="006512F6" w:rsidRPr="00465EE4" w:rsidRDefault="006512F6" w:rsidP="00F03392">
                  <w:pPr>
                    <w:pStyle w:val="Tabletext"/>
                  </w:pPr>
                  <w:r w:rsidRPr="00465EE4">
                    <w:t xml:space="preserve">Market share </w:t>
                  </w:r>
                </w:p>
              </w:tc>
            </w:tr>
            <w:tr w:rsidR="006512F6" w:rsidRPr="00465EE4" w14:paraId="00ABF7B2" w14:textId="210FE375" w:rsidTr="00834893">
              <w:tc>
                <w:tcPr>
                  <w:tcW w:w="1342" w:type="dxa"/>
                </w:tcPr>
                <w:p w14:paraId="6C20E548" w14:textId="77777777" w:rsidR="006512F6" w:rsidRPr="00465EE4" w:rsidRDefault="006512F6" w:rsidP="00F03392">
                  <w:pPr>
                    <w:pStyle w:val="Tabletext"/>
                  </w:pPr>
                  <w:r w:rsidRPr="00465EE4">
                    <w:t>2026</w:t>
                  </w:r>
                </w:p>
              </w:tc>
              <w:tc>
                <w:tcPr>
                  <w:tcW w:w="1343" w:type="dxa"/>
                </w:tcPr>
                <w:p w14:paraId="4508E0FC" w14:textId="6F6DA5D5" w:rsidR="006512F6" w:rsidRPr="00465EE4" w:rsidRDefault="006512F6" w:rsidP="00F03392">
                  <w:pPr>
                    <w:pStyle w:val="Tabletext"/>
                  </w:pPr>
                  <w:r w:rsidRPr="00465EE4">
                    <w:t>11.0%</w:t>
                  </w:r>
                </w:p>
              </w:tc>
              <w:tc>
                <w:tcPr>
                  <w:tcW w:w="1343" w:type="dxa"/>
                </w:tcPr>
                <w:p w14:paraId="7995CD47" w14:textId="4DB39B55" w:rsidR="006512F6" w:rsidRPr="00465EE4" w:rsidRDefault="00FE3B86" w:rsidP="00F03392">
                  <w:pPr>
                    <w:pStyle w:val="Tabletext"/>
                  </w:pPr>
                  <w:r w:rsidRPr="004F06D3">
                    <w:rPr>
                      <w:highlight w:val="black"/>
                    </w:rPr>
                    <w:t>&amp;&amp;&amp;&amp;</w:t>
                  </w:r>
                  <w:r w:rsidR="006512F6" w:rsidRPr="00465EE4">
                    <w:t>%</w:t>
                  </w:r>
                </w:p>
              </w:tc>
            </w:tr>
            <w:tr w:rsidR="006512F6" w:rsidRPr="00465EE4" w14:paraId="396FC297" w14:textId="02F10B77" w:rsidTr="00834893">
              <w:tc>
                <w:tcPr>
                  <w:tcW w:w="1342" w:type="dxa"/>
                </w:tcPr>
                <w:p w14:paraId="604A1A77" w14:textId="77777777" w:rsidR="006512F6" w:rsidRPr="00465EE4" w:rsidRDefault="006512F6" w:rsidP="00F03392">
                  <w:pPr>
                    <w:pStyle w:val="Tabletext"/>
                  </w:pPr>
                  <w:r w:rsidRPr="00465EE4">
                    <w:t>2027</w:t>
                  </w:r>
                </w:p>
              </w:tc>
              <w:tc>
                <w:tcPr>
                  <w:tcW w:w="1343" w:type="dxa"/>
                </w:tcPr>
                <w:p w14:paraId="15E626EB" w14:textId="136A9132" w:rsidR="006512F6" w:rsidRPr="00465EE4" w:rsidRDefault="006512F6" w:rsidP="00F03392">
                  <w:pPr>
                    <w:pStyle w:val="Tabletext"/>
                  </w:pPr>
                  <w:r w:rsidRPr="00465EE4">
                    <w:t>9.9%</w:t>
                  </w:r>
                </w:p>
              </w:tc>
              <w:tc>
                <w:tcPr>
                  <w:tcW w:w="1343" w:type="dxa"/>
                </w:tcPr>
                <w:p w14:paraId="745192A5" w14:textId="7E9EE75C" w:rsidR="006512F6" w:rsidRPr="00465EE4" w:rsidRDefault="00FE3B86" w:rsidP="00F03392">
                  <w:pPr>
                    <w:pStyle w:val="Tabletext"/>
                  </w:pPr>
                  <w:r w:rsidRPr="004F06D3">
                    <w:rPr>
                      <w:highlight w:val="black"/>
                    </w:rPr>
                    <w:t>&amp;&amp;&amp;&amp;</w:t>
                  </w:r>
                  <w:r w:rsidR="006512F6" w:rsidRPr="00465EE4">
                    <w:t>%</w:t>
                  </w:r>
                </w:p>
              </w:tc>
            </w:tr>
            <w:tr w:rsidR="006512F6" w:rsidRPr="00465EE4" w14:paraId="71611A32" w14:textId="7873A98B" w:rsidTr="00834893">
              <w:tc>
                <w:tcPr>
                  <w:tcW w:w="1342" w:type="dxa"/>
                </w:tcPr>
                <w:p w14:paraId="0F88DDB2" w14:textId="77777777" w:rsidR="006512F6" w:rsidRPr="00465EE4" w:rsidRDefault="006512F6" w:rsidP="00F03392">
                  <w:pPr>
                    <w:pStyle w:val="Tabletext"/>
                  </w:pPr>
                  <w:r w:rsidRPr="00465EE4">
                    <w:t>2028</w:t>
                  </w:r>
                </w:p>
              </w:tc>
              <w:tc>
                <w:tcPr>
                  <w:tcW w:w="1343" w:type="dxa"/>
                </w:tcPr>
                <w:p w14:paraId="10ADAA0B" w14:textId="2159DCCE" w:rsidR="006512F6" w:rsidRPr="00465EE4" w:rsidRDefault="006512F6" w:rsidP="00F03392">
                  <w:pPr>
                    <w:pStyle w:val="Tabletext"/>
                  </w:pPr>
                  <w:r w:rsidRPr="00465EE4">
                    <w:t>9.0%</w:t>
                  </w:r>
                </w:p>
              </w:tc>
              <w:tc>
                <w:tcPr>
                  <w:tcW w:w="1343" w:type="dxa"/>
                </w:tcPr>
                <w:p w14:paraId="083C35F5" w14:textId="00F03C4B" w:rsidR="006512F6" w:rsidRPr="00465EE4" w:rsidRDefault="00FE3B86" w:rsidP="00F03392">
                  <w:pPr>
                    <w:pStyle w:val="Tabletext"/>
                  </w:pPr>
                  <w:r w:rsidRPr="004F06D3">
                    <w:rPr>
                      <w:highlight w:val="black"/>
                    </w:rPr>
                    <w:t>&amp;&amp;&amp;&amp;</w:t>
                  </w:r>
                  <w:r w:rsidR="006512F6" w:rsidRPr="00465EE4">
                    <w:t>%</w:t>
                  </w:r>
                </w:p>
              </w:tc>
            </w:tr>
            <w:tr w:rsidR="006512F6" w:rsidRPr="00465EE4" w14:paraId="0335D964" w14:textId="08EEA03E" w:rsidTr="00834893">
              <w:tc>
                <w:tcPr>
                  <w:tcW w:w="1342" w:type="dxa"/>
                </w:tcPr>
                <w:p w14:paraId="3536E4D4" w14:textId="77777777" w:rsidR="006512F6" w:rsidRPr="00465EE4" w:rsidRDefault="006512F6" w:rsidP="00F03392">
                  <w:pPr>
                    <w:pStyle w:val="Tabletext"/>
                  </w:pPr>
                  <w:r w:rsidRPr="00465EE4">
                    <w:t>2029</w:t>
                  </w:r>
                </w:p>
              </w:tc>
              <w:tc>
                <w:tcPr>
                  <w:tcW w:w="1343" w:type="dxa"/>
                </w:tcPr>
                <w:p w14:paraId="15F56BD0" w14:textId="19F6B19E" w:rsidR="006512F6" w:rsidRPr="00465EE4" w:rsidRDefault="006512F6" w:rsidP="00F03392">
                  <w:pPr>
                    <w:pStyle w:val="Tabletext"/>
                  </w:pPr>
                  <w:r w:rsidRPr="00465EE4">
                    <w:t>8.3%</w:t>
                  </w:r>
                </w:p>
              </w:tc>
              <w:tc>
                <w:tcPr>
                  <w:tcW w:w="1343" w:type="dxa"/>
                </w:tcPr>
                <w:p w14:paraId="458632C1" w14:textId="5A6C1926" w:rsidR="006512F6" w:rsidRPr="00465EE4" w:rsidRDefault="00FE3B86" w:rsidP="00F03392">
                  <w:pPr>
                    <w:pStyle w:val="Tabletext"/>
                  </w:pPr>
                  <w:r w:rsidRPr="004F06D3">
                    <w:rPr>
                      <w:highlight w:val="black"/>
                    </w:rPr>
                    <w:t>&amp;&amp;&amp;&amp;</w:t>
                  </w:r>
                  <w:r w:rsidR="006512F6" w:rsidRPr="00465EE4">
                    <w:t>%</w:t>
                  </w:r>
                </w:p>
              </w:tc>
            </w:tr>
            <w:tr w:rsidR="006512F6" w:rsidRPr="00465EE4" w14:paraId="30BE32CF" w14:textId="4855F3D9" w:rsidTr="00834893">
              <w:tc>
                <w:tcPr>
                  <w:tcW w:w="1342" w:type="dxa"/>
                </w:tcPr>
                <w:p w14:paraId="43E1881A" w14:textId="77777777" w:rsidR="006512F6" w:rsidRPr="00465EE4" w:rsidRDefault="006512F6" w:rsidP="00F03392">
                  <w:pPr>
                    <w:pStyle w:val="Tabletext"/>
                  </w:pPr>
                  <w:r w:rsidRPr="00465EE4">
                    <w:t>2030</w:t>
                  </w:r>
                </w:p>
              </w:tc>
              <w:tc>
                <w:tcPr>
                  <w:tcW w:w="1343" w:type="dxa"/>
                </w:tcPr>
                <w:p w14:paraId="3E2F1ED2" w14:textId="14A9465D" w:rsidR="006512F6" w:rsidRPr="00465EE4" w:rsidRDefault="006512F6" w:rsidP="00F03392">
                  <w:pPr>
                    <w:pStyle w:val="Tabletext"/>
                  </w:pPr>
                  <w:r w:rsidRPr="00465EE4">
                    <w:t>7.7%</w:t>
                  </w:r>
                </w:p>
              </w:tc>
              <w:tc>
                <w:tcPr>
                  <w:tcW w:w="1343" w:type="dxa"/>
                </w:tcPr>
                <w:p w14:paraId="2478AE97" w14:textId="2A2FA998" w:rsidR="006512F6" w:rsidRPr="00465EE4" w:rsidRDefault="00FE3B86" w:rsidP="00F03392">
                  <w:pPr>
                    <w:pStyle w:val="Tabletext"/>
                  </w:pPr>
                  <w:r w:rsidRPr="004F06D3">
                    <w:rPr>
                      <w:highlight w:val="black"/>
                    </w:rPr>
                    <w:t>&amp;&amp;&amp;&amp;</w:t>
                  </w:r>
                  <w:r w:rsidR="006512F6" w:rsidRPr="00465EE4">
                    <w:t>%</w:t>
                  </w:r>
                </w:p>
              </w:tc>
            </w:tr>
            <w:tr w:rsidR="006512F6" w:rsidRPr="00465EE4" w14:paraId="4AC6DDD9" w14:textId="44CE99C4" w:rsidTr="00834893">
              <w:tc>
                <w:tcPr>
                  <w:tcW w:w="1342" w:type="dxa"/>
                </w:tcPr>
                <w:p w14:paraId="0BB004D9" w14:textId="77777777" w:rsidR="006512F6" w:rsidRPr="00465EE4" w:rsidRDefault="006512F6" w:rsidP="00F03392">
                  <w:pPr>
                    <w:pStyle w:val="Tabletext"/>
                  </w:pPr>
                  <w:r w:rsidRPr="00465EE4">
                    <w:t>2031</w:t>
                  </w:r>
                </w:p>
              </w:tc>
              <w:tc>
                <w:tcPr>
                  <w:tcW w:w="1343" w:type="dxa"/>
                </w:tcPr>
                <w:p w14:paraId="7AB69D8B" w14:textId="1A33B201" w:rsidR="006512F6" w:rsidRPr="00465EE4" w:rsidRDefault="006512F6" w:rsidP="00F03392">
                  <w:pPr>
                    <w:pStyle w:val="Tabletext"/>
                  </w:pPr>
                  <w:r w:rsidRPr="00465EE4">
                    <w:t>7.1%</w:t>
                  </w:r>
                </w:p>
              </w:tc>
              <w:tc>
                <w:tcPr>
                  <w:tcW w:w="1343" w:type="dxa"/>
                </w:tcPr>
                <w:p w14:paraId="44EDD5E9" w14:textId="238535E3" w:rsidR="006512F6" w:rsidRPr="00465EE4" w:rsidRDefault="00FE3B86" w:rsidP="00F03392">
                  <w:pPr>
                    <w:pStyle w:val="Tabletext"/>
                  </w:pPr>
                  <w:r w:rsidRPr="004F06D3">
                    <w:rPr>
                      <w:highlight w:val="black"/>
                    </w:rPr>
                    <w:t>&amp;&amp;&amp;&amp;</w:t>
                  </w:r>
                  <w:r w:rsidR="006512F6" w:rsidRPr="00465EE4">
                    <w:t>%</w:t>
                  </w:r>
                </w:p>
              </w:tc>
            </w:tr>
          </w:tbl>
          <w:p w14:paraId="035DA1C0" w14:textId="77777777" w:rsidR="006512F6" w:rsidRPr="00465EE4" w:rsidRDefault="006512F6" w:rsidP="00F03392">
            <w:pPr>
              <w:pStyle w:val="Tabletext"/>
            </w:pPr>
          </w:p>
        </w:tc>
        <w:tc>
          <w:tcPr>
            <w:tcW w:w="1780" w:type="pct"/>
            <w:vAlign w:val="center"/>
          </w:tcPr>
          <w:p w14:paraId="45D0963C" w14:textId="7A51A414" w:rsidR="006512F6" w:rsidRPr="00465EE4" w:rsidRDefault="00E110EB" w:rsidP="00F03392">
            <w:pPr>
              <w:pStyle w:val="Tabletext"/>
            </w:pPr>
            <w:r>
              <w:t>S</w:t>
            </w:r>
            <w:r w:rsidR="006512F6" w:rsidRPr="00465EE4">
              <w:t>ource of assumption not clear</w:t>
            </w:r>
            <w:r w:rsidR="00FA12D4" w:rsidRPr="00465EE4">
              <w:t>.</w:t>
            </w:r>
            <w:r w:rsidR="00F90F4F">
              <w:t xml:space="preserve"> The pre-PBAC response increased to </w:t>
            </w:r>
            <w:r w:rsidR="00FE3B86" w:rsidRPr="004F06D3">
              <w:rPr>
                <w:highlight w:val="black"/>
              </w:rPr>
              <w:t>&amp;&amp;&amp;&amp;</w:t>
            </w:r>
            <w:r w:rsidR="00F90F4F">
              <w:t xml:space="preserve">% in Year 1, increasing by </w:t>
            </w:r>
            <w:r w:rsidR="00FE3B86" w:rsidRPr="004F06D3">
              <w:rPr>
                <w:highlight w:val="black"/>
              </w:rPr>
              <w:t>&amp;&amp;&amp;&amp;</w:t>
            </w:r>
            <w:r w:rsidR="00F90F4F">
              <w:t xml:space="preserve"> percentage points each year</w:t>
            </w:r>
            <w:r w:rsidR="00822A16">
              <w:t>.</w:t>
            </w:r>
          </w:p>
          <w:p w14:paraId="3A12F82D" w14:textId="1ACB53D5" w:rsidR="00AA002C" w:rsidRPr="00465EE4" w:rsidRDefault="00AA002C" w:rsidP="00F03392">
            <w:pPr>
              <w:pStyle w:val="Tabletext"/>
            </w:pPr>
          </w:p>
        </w:tc>
      </w:tr>
      <w:tr w:rsidR="003E56B6" w:rsidRPr="00465EE4" w14:paraId="5394D4D9" w14:textId="77777777" w:rsidTr="009C3A3A">
        <w:tc>
          <w:tcPr>
            <w:tcW w:w="950" w:type="pct"/>
            <w:vAlign w:val="center"/>
          </w:tcPr>
          <w:p w14:paraId="5C86C018" w14:textId="2003588D" w:rsidR="003E56B6" w:rsidRPr="00465EE4" w:rsidRDefault="003E56B6" w:rsidP="00F03392">
            <w:pPr>
              <w:pStyle w:val="Tabletext"/>
            </w:pPr>
            <w:r w:rsidRPr="00465EE4">
              <w:t>Script equivalence</w:t>
            </w:r>
          </w:p>
        </w:tc>
        <w:tc>
          <w:tcPr>
            <w:tcW w:w="2270" w:type="pct"/>
            <w:vAlign w:val="center"/>
          </w:tcPr>
          <w:p w14:paraId="1CC7F3DD" w14:textId="20AD84F1" w:rsidR="003E56B6" w:rsidRPr="00465EE4" w:rsidRDefault="00E8200C" w:rsidP="00F03392">
            <w:pPr>
              <w:pStyle w:val="Tabletext"/>
            </w:pPr>
            <w:r>
              <w:t>Scripts BTA</w:t>
            </w:r>
            <w:r w:rsidR="00B24238">
              <w:t xml:space="preserve"> per year </w:t>
            </w:r>
            <w:r w:rsidR="003E56B6" w:rsidRPr="00465EE4">
              <w:t>2.65</w:t>
            </w:r>
            <w:r w:rsidR="00986340">
              <w:t xml:space="preserve"> </w:t>
            </w:r>
          </w:p>
          <w:p w14:paraId="5286CFDC" w14:textId="4CCECAFD" w:rsidR="003E56B6" w:rsidRPr="00465EE4" w:rsidRDefault="00957769" w:rsidP="00F03392">
            <w:pPr>
              <w:pStyle w:val="Tabletext"/>
            </w:pPr>
            <w:r>
              <w:t xml:space="preserve">Scripts </w:t>
            </w:r>
            <w:r w:rsidR="00E8200C">
              <w:t xml:space="preserve">GPB </w:t>
            </w:r>
            <w:r w:rsidR="00B24238">
              <w:t xml:space="preserve">per year </w:t>
            </w:r>
            <w:r w:rsidR="003E56B6" w:rsidRPr="00465EE4">
              <w:t>5.12</w:t>
            </w:r>
            <w:r w:rsidR="00986340">
              <w:t xml:space="preserve"> </w:t>
            </w:r>
          </w:p>
          <w:p w14:paraId="38844837" w14:textId="14AEDEDD" w:rsidR="003E56B6" w:rsidRPr="00465EE4" w:rsidRDefault="003E56B6" w:rsidP="00F03392">
            <w:pPr>
              <w:pStyle w:val="Tabletext"/>
            </w:pPr>
            <w:r w:rsidRPr="00465EE4">
              <w:t>Substitution rate: 1.93</w:t>
            </w:r>
          </w:p>
        </w:tc>
        <w:tc>
          <w:tcPr>
            <w:tcW w:w="1780" w:type="pct"/>
            <w:vAlign w:val="center"/>
          </w:tcPr>
          <w:p w14:paraId="4FFAD549" w14:textId="1298DA7F" w:rsidR="003E56B6" w:rsidRDefault="00097B28" w:rsidP="00F03392">
            <w:pPr>
              <w:pStyle w:val="Tabletext"/>
            </w:pPr>
            <w:r>
              <w:t>Scripts for BTA based on economic</w:t>
            </w:r>
            <w:r w:rsidR="00101840">
              <w:t xml:space="preserve"> analysis</w:t>
            </w:r>
            <w:r>
              <w:t xml:space="preserve"> (see </w:t>
            </w:r>
            <w:r>
              <w:fldChar w:fldCharType="begin" w:fldLock="1"/>
            </w:r>
            <w:r>
              <w:instrText xml:space="preserve"> REF _Ref205981542 \h </w:instrText>
            </w:r>
            <w:r>
              <w:fldChar w:fldCharType="separate"/>
            </w:r>
            <w:r w:rsidR="004D6DEB">
              <w:t xml:space="preserve">Table </w:t>
            </w:r>
            <w:r w:rsidR="004D6DEB">
              <w:rPr>
                <w:noProof/>
              </w:rPr>
              <w:t>8</w:t>
            </w:r>
            <w:r>
              <w:fldChar w:fldCharType="end"/>
            </w:r>
            <w:r>
              <w:t>)</w:t>
            </w:r>
          </w:p>
          <w:p w14:paraId="534F806F" w14:textId="77777777" w:rsidR="00097B28" w:rsidRDefault="00097B28" w:rsidP="00F03392">
            <w:pPr>
              <w:pStyle w:val="Tabletext"/>
            </w:pPr>
          </w:p>
          <w:p w14:paraId="45D33B40" w14:textId="0912245B" w:rsidR="00097B28" w:rsidRPr="00465EE4" w:rsidRDefault="00097B28" w:rsidP="00F03392">
            <w:pPr>
              <w:pStyle w:val="Tabletext"/>
            </w:pPr>
            <w:r>
              <w:t xml:space="preserve">Scripts for GPB </w:t>
            </w:r>
            <w:r w:rsidR="003C2D5C">
              <w:t xml:space="preserve">calculated </w:t>
            </w:r>
            <w:r>
              <w:t>over 6 years</w:t>
            </w:r>
            <w:r w:rsidR="00EC311E">
              <w:t xml:space="preserve"> </w:t>
            </w:r>
            <w:r w:rsidR="00101840">
              <w:t>(rather than over 2 years in economic analysis)</w:t>
            </w:r>
          </w:p>
        </w:tc>
      </w:tr>
      <w:tr w:rsidR="004B2C71" w:rsidRPr="00465EE4" w14:paraId="5EE7BA5D" w14:textId="77777777" w:rsidTr="004B2C71">
        <w:tc>
          <w:tcPr>
            <w:tcW w:w="5000" w:type="pct"/>
            <w:gridSpan w:val="3"/>
            <w:vAlign w:val="center"/>
          </w:tcPr>
          <w:p w14:paraId="588AC656" w14:textId="1D5833B8" w:rsidR="004B2C71" w:rsidRPr="00465EE4" w:rsidRDefault="004B2C71" w:rsidP="00686210">
            <w:pPr>
              <w:pStyle w:val="In-tableHeading"/>
              <w:rPr>
                <w:bCs/>
              </w:rPr>
            </w:pPr>
            <w:r w:rsidRPr="00465EE4">
              <w:t>Epidemiological approach</w:t>
            </w:r>
          </w:p>
        </w:tc>
      </w:tr>
      <w:tr w:rsidR="00A05C32" w:rsidRPr="00465EE4" w14:paraId="273D05F4" w14:textId="77777777" w:rsidTr="009C3A3A">
        <w:tc>
          <w:tcPr>
            <w:tcW w:w="950" w:type="pct"/>
            <w:vAlign w:val="center"/>
          </w:tcPr>
          <w:p w14:paraId="0152C8AA" w14:textId="3FF648E1" w:rsidR="00A05C32" w:rsidRPr="00465EE4" w:rsidRDefault="004B2C71" w:rsidP="00F03392">
            <w:pPr>
              <w:pStyle w:val="Tabletext"/>
            </w:pPr>
            <w:r w:rsidRPr="00465EE4">
              <w:t>Australian adult population</w:t>
            </w:r>
          </w:p>
        </w:tc>
        <w:tc>
          <w:tcPr>
            <w:tcW w:w="2270" w:type="pct"/>
            <w:vAlign w:val="center"/>
          </w:tcPr>
          <w:p w14:paraId="5FE8DC6D" w14:textId="33C9CA8B" w:rsidR="00A05C32" w:rsidRPr="00465EE4" w:rsidRDefault="004B2C71" w:rsidP="00F03392">
            <w:pPr>
              <w:pStyle w:val="Tabletext"/>
            </w:pPr>
            <w:r w:rsidRPr="00465EE4">
              <w:t>ABS data</w:t>
            </w:r>
          </w:p>
        </w:tc>
        <w:tc>
          <w:tcPr>
            <w:tcW w:w="1780" w:type="pct"/>
            <w:vAlign w:val="center"/>
          </w:tcPr>
          <w:p w14:paraId="035D240F" w14:textId="77777777" w:rsidR="00A05C32" w:rsidRPr="00465EE4" w:rsidRDefault="00A05C32" w:rsidP="00F03392">
            <w:pPr>
              <w:pStyle w:val="Tabletext"/>
            </w:pPr>
          </w:p>
        </w:tc>
      </w:tr>
      <w:tr w:rsidR="00E42F73" w:rsidRPr="00465EE4" w14:paraId="72C9FBDD" w14:textId="77777777" w:rsidTr="009C3A3A">
        <w:tc>
          <w:tcPr>
            <w:tcW w:w="950" w:type="pct"/>
            <w:vAlign w:val="center"/>
          </w:tcPr>
          <w:p w14:paraId="2FBBDC67" w14:textId="428AD5EA" w:rsidR="00E42F73" w:rsidRPr="00465EE4" w:rsidRDefault="004B2C71" w:rsidP="00F03392">
            <w:pPr>
              <w:pStyle w:val="Tabletext"/>
            </w:pPr>
            <w:r w:rsidRPr="00465EE4">
              <w:t>Prevalence of PAHH</w:t>
            </w:r>
          </w:p>
        </w:tc>
        <w:tc>
          <w:tcPr>
            <w:tcW w:w="2270" w:type="pct"/>
            <w:vAlign w:val="center"/>
          </w:tcPr>
          <w:p w14:paraId="550316FC" w14:textId="31E94F19" w:rsidR="00E42F73" w:rsidRPr="00465EE4" w:rsidRDefault="004B2C71" w:rsidP="00F03392">
            <w:pPr>
              <w:pStyle w:val="Tabletext"/>
            </w:pPr>
            <w:r w:rsidRPr="00465EE4">
              <w:t xml:space="preserve">4.8%; </w:t>
            </w:r>
            <w:r w:rsidR="00B70FCC" w:rsidRPr="00465EE4">
              <w:t xml:space="preserve">equals approximately 1.27 million. </w:t>
            </w:r>
            <w:r w:rsidRPr="00465EE4">
              <w:t>Doolittle et al 2016</w:t>
            </w:r>
          </w:p>
        </w:tc>
        <w:tc>
          <w:tcPr>
            <w:tcW w:w="1780" w:type="pct"/>
            <w:vAlign w:val="center"/>
          </w:tcPr>
          <w:p w14:paraId="7295AAE5" w14:textId="5864B1A6" w:rsidR="00E42F73" w:rsidRPr="00465EE4" w:rsidRDefault="00F47271" w:rsidP="00F03392">
            <w:pPr>
              <w:pStyle w:val="Tabletext"/>
            </w:pPr>
            <w:r w:rsidRPr="00465EE4">
              <w:t>Prevalence study of US population based on self</w:t>
            </w:r>
            <w:r w:rsidR="001474B9" w:rsidRPr="00465EE4">
              <w:t>-</w:t>
            </w:r>
            <w:r w:rsidRPr="00465EE4">
              <w:t>report. Higher estimate than other studies but lower than in other populations.</w:t>
            </w:r>
            <w:r w:rsidR="00AB04F6">
              <w:t xml:space="preserve"> </w:t>
            </w:r>
          </w:p>
        </w:tc>
      </w:tr>
      <w:tr w:rsidR="00A05C32" w:rsidRPr="00465EE4" w14:paraId="512A8938" w14:textId="77777777" w:rsidTr="009C3A3A">
        <w:tc>
          <w:tcPr>
            <w:tcW w:w="950" w:type="pct"/>
            <w:vAlign w:val="center"/>
          </w:tcPr>
          <w:p w14:paraId="006B470A" w14:textId="3C95391C" w:rsidR="004B2C71" w:rsidRPr="00465EE4" w:rsidRDefault="004B2C71" w:rsidP="00F03392">
            <w:pPr>
              <w:pStyle w:val="Tabletext"/>
            </w:pPr>
            <w:r w:rsidRPr="00465EE4">
              <w:t>Age &gt; 18</w:t>
            </w:r>
          </w:p>
          <w:p w14:paraId="1F4C70A3" w14:textId="0B53BEE5" w:rsidR="00A05C32" w:rsidRPr="00465EE4" w:rsidRDefault="00A05C32" w:rsidP="00F03392">
            <w:pPr>
              <w:pStyle w:val="Tabletext"/>
            </w:pPr>
          </w:p>
        </w:tc>
        <w:tc>
          <w:tcPr>
            <w:tcW w:w="2270" w:type="pct"/>
            <w:vAlign w:val="center"/>
          </w:tcPr>
          <w:p w14:paraId="5289CDB1" w14:textId="7FA293D5" w:rsidR="00A05C32" w:rsidRPr="00465EE4" w:rsidRDefault="004B2C71" w:rsidP="00F03392">
            <w:pPr>
              <w:pStyle w:val="Tabletext"/>
            </w:pPr>
            <w:r w:rsidRPr="00465EE4">
              <w:t>7</w:t>
            </w:r>
            <w:r w:rsidR="003174E9">
              <w:t>7.7</w:t>
            </w:r>
            <w:r w:rsidRPr="00465EE4">
              <w:t xml:space="preserve">%; stated to match </w:t>
            </w:r>
            <w:r w:rsidR="00E044EB">
              <w:t>BTA</w:t>
            </w:r>
            <w:r w:rsidRPr="00465EE4">
              <w:t xml:space="preserve"> restriction, assumes prevalence is unchanged with age</w:t>
            </w:r>
          </w:p>
        </w:tc>
        <w:tc>
          <w:tcPr>
            <w:tcW w:w="1780" w:type="pct"/>
            <w:vAlign w:val="center"/>
          </w:tcPr>
          <w:p w14:paraId="0BA4ED26" w14:textId="1A280593" w:rsidR="00A05C32" w:rsidRPr="00465EE4" w:rsidRDefault="00F47271" w:rsidP="00F03392">
            <w:pPr>
              <w:pStyle w:val="Tabletext"/>
            </w:pPr>
            <w:r w:rsidRPr="00465EE4">
              <w:t>May be reasonable if restriction specifies age.</w:t>
            </w:r>
            <w:r w:rsidR="00107355">
              <w:t xml:space="preserve"> The PBAC noted this should be amended to </w:t>
            </w:r>
            <w:r w:rsidR="001C1504">
              <w:t xml:space="preserve">85% to reflect </w:t>
            </w:r>
            <w:r w:rsidR="001E01AD">
              <w:t>use in people ≥</w:t>
            </w:r>
            <w:r w:rsidR="000C4159">
              <w:t> </w:t>
            </w:r>
            <w:r w:rsidR="001E01AD">
              <w:t>12 years of age.</w:t>
            </w:r>
          </w:p>
        </w:tc>
      </w:tr>
      <w:tr w:rsidR="004B2C71" w:rsidRPr="00465EE4" w14:paraId="53078991" w14:textId="77777777" w:rsidTr="009C3A3A">
        <w:tc>
          <w:tcPr>
            <w:tcW w:w="950" w:type="pct"/>
            <w:vAlign w:val="center"/>
          </w:tcPr>
          <w:p w14:paraId="78DB7316" w14:textId="480A9B31" w:rsidR="004B2C71" w:rsidRPr="00465EE4" w:rsidRDefault="00B70FCC" w:rsidP="00F03392">
            <w:pPr>
              <w:pStyle w:val="Tabletext"/>
            </w:pPr>
            <w:r w:rsidRPr="00465EE4">
              <w:t xml:space="preserve">Restrict to the proportion with </w:t>
            </w:r>
            <w:r w:rsidR="004B2C71" w:rsidRPr="00465EE4">
              <w:t>Severe PAHH</w:t>
            </w:r>
          </w:p>
        </w:tc>
        <w:tc>
          <w:tcPr>
            <w:tcW w:w="2270" w:type="pct"/>
            <w:vAlign w:val="center"/>
          </w:tcPr>
          <w:p w14:paraId="15DB184B" w14:textId="5FB3C26D" w:rsidR="004B2C71" w:rsidRPr="00465EE4" w:rsidRDefault="00C42173" w:rsidP="00F03392">
            <w:pPr>
              <w:pStyle w:val="Tabletext"/>
            </w:pPr>
            <w:r>
              <w:t>33.8</w:t>
            </w:r>
            <w:r w:rsidR="004B2C71" w:rsidRPr="00465EE4">
              <w:t>%; Doolittle et al 2016</w:t>
            </w:r>
          </w:p>
        </w:tc>
        <w:tc>
          <w:tcPr>
            <w:tcW w:w="1780" w:type="pct"/>
            <w:vAlign w:val="center"/>
          </w:tcPr>
          <w:p w14:paraId="113FAE1F" w14:textId="457B8757" w:rsidR="004B2C71" w:rsidRPr="00465EE4" w:rsidRDefault="004B2C71" w:rsidP="00F03392">
            <w:pPr>
              <w:pStyle w:val="Tabletext"/>
            </w:pPr>
          </w:p>
        </w:tc>
      </w:tr>
      <w:tr w:rsidR="004B2C71" w:rsidRPr="00465EE4" w14:paraId="01A568EB" w14:textId="77777777" w:rsidTr="009C3A3A">
        <w:tc>
          <w:tcPr>
            <w:tcW w:w="950" w:type="pct"/>
            <w:vAlign w:val="center"/>
          </w:tcPr>
          <w:p w14:paraId="74F8676B" w14:textId="2FC3633C" w:rsidR="004B2C71" w:rsidRPr="00465EE4" w:rsidRDefault="004B2C71" w:rsidP="00F03392">
            <w:pPr>
              <w:pStyle w:val="Tabletext"/>
            </w:pPr>
            <w:r w:rsidRPr="00465EE4">
              <w:t xml:space="preserve">Failed topical aluminium </w:t>
            </w:r>
            <w:r w:rsidR="0043037A" w:rsidRPr="00465EE4">
              <w:t>c</w:t>
            </w:r>
            <w:r w:rsidRPr="00465EE4">
              <w:t>hloride after 1-2 months of treatment OR intolerant</w:t>
            </w:r>
          </w:p>
        </w:tc>
        <w:tc>
          <w:tcPr>
            <w:tcW w:w="2270" w:type="pct"/>
            <w:vAlign w:val="center"/>
          </w:tcPr>
          <w:p w14:paraId="78A4714C" w14:textId="5E058152" w:rsidR="004B2C71" w:rsidRPr="00465EE4" w:rsidRDefault="004B2C71" w:rsidP="00F03392">
            <w:pPr>
              <w:pStyle w:val="Tabletext"/>
            </w:pPr>
            <w:r w:rsidRPr="00465EE4">
              <w:t xml:space="preserve">15%; </w:t>
            </w:r>
            <w:proofErr w:type="spellStart"/>
            <w:r w:rsidRPr="00465EE4">
              <w:t>Thianboonsong</w:t>
            </w:r>
            <w:proofErr w:type="spellEnd"/>
            <w:r w:rsidRPr="00465EE4">
              <w:t xml:space="preserve"> et al 2020</w:t>
            </w:r>
          </w:p>
        </w:tc>
        <w:tc>
          <w:tcPr>
            <w:tcW w:w="1780" w:type="pct"/>
            <w:vAlign w:val="center"/>
          </w:tcPr>
          <w:p w14:paraId="579B735C" w14:textId="0FC63D8D" w:rsidR="004B2C71" w:rsidRPr="00465EE4" w:rsidRDefault="0059749C" w:rsidP="00F03392">
            <w:pPr>
              <w:pStyle w:val="Tabletext"/>
            </w:pPr>
            <w:r w:rsidRPr="00465EE4">
              <w:t xml:space="preserve">Study of 20 subjects in Thailand. </w:t>
            </w:r>
            <w:r w:rsidR="0008302F" w:rsidRPr="00465EE4">
              <w:t>Unclear if</w:t>
            </w:r>
            <w:r w:rsidRPr="00465EE4">
              <w:t xml:space="preserve"> reflect</w:t>
            </w:r>
            <w:r w:rsidR="0008302F" w:rsidRPr="00465EE4">
              <w:t>s</w:t>
            </w:r>
            <w:r w:rsidRPr="00465EE4">
              <w:t xml:space="preserve"> </w:t>
            </w:r>
            <w:r w:rsidR="00686210" w:rsidRPr="00465EE4">
              <w:t>Australian</w:t>
            </w:r>
            <w:r w:rsidRPr="00465EE4">
              <w:t xml:space="preserve"> population.</w:t>
            </w:r>
          </w:p>
        </w:tc>
      </w:tr>
      <w:tr w:rsidR="004B2C71" w:rsidRPr="00465EE4" w14:paraId="5FC5E501" w14:textId="77777777" w:rsidTr="009C3A3A">
        <w:tc>
          <w:tcPr>
            <w:tcW w:w="950" w:type="pct"/>
            <w:vAlign w:val="center"/>
          </w:tcPr>
          <w:p w14:paraId="59594BAC" w14:textId="22226C78" w:rsidR="004B2C71" w:rsidRPr="00465EE4" w:rsidRDefault="004B2C71" w:rsidP="00F03392">
            <w:pPr>
              <w:pStyle w:val="Tabletext"/>
            </w:pPr>
            <w:r w:rsidRPr="00465EE4">
              <w:t xml:space="preserve">Untreated population = 1 minus the uptake of </w:t>
            </w:r>
            <w:r w:rsidR="007A218E">
              <w:t>BTA</w:t>
            </w:r>
          </w:p>
        </w:tc>
        <w:tc>
          <w:tcPr>
            <w:tcW w:w="2270" w:type="pct"/>
            <w:vAlign w:val="center"/>
          </w:tcPr>
          <w:p w14:paraId="51B8F07B" w14:textId="4E1FE124" w:rsidR="004B2C71" w:rsidRPr="00465EE4" w:rsidRDefault="004B2C71" w:rsidP="00F03392">
            <w:pPr>
              <w:pStyle w:val="Tabletext"/>
            </w:pPr>
            <w:r w:rsidRPr="00465EE4">
              <w:t xml:space="preserve">53.8% to 38.8%; As the </w:t>
            </w:r>
            <w:r w:rsidR="00270269">
              <w:t>BTA</w:t>
            </w:r>
            <w:r w:rsidR="00270269" w:rsidRPr="00465EE4">
              <w:t xml:space="preserve"> </w:t>
            </w:r>
            <w:r w:rsidRPr="00465EE4">
              <w:t xml:space="preserve">market is growing above population growth, available market for </w:t>
            </w:r>
            <w:r w:rsidR="00270269">
              <w:t>G</w:t>
            </w:r>
            <w:r w:rsidR="00372426">
              <w:t>PB</w:t>
            </w:r>
            <w:r w:rsidR="00270269" w:rsidRPr="00465EE4">
              <w:t xml:space="preserve"> </w:t>
            </w:r>
            <w:r w:rsidRPr="00465EE4">
              <w:t>is declining</w:t>
            </w:r>
          </w:p>
        </w:tc>
        <w:tc>
          <w:tcPr>
            <w:tcW w:w="1780" w:type="pct"/>
            <w:vAlign w:val="center"/>
          </w:tcPr>
          <w:p w14:paraId="3EEE8735" w14:textId="77777777" w:rsidR="004B2C71" w:rsidRPr="00465EE4" w:rsidRDefault="004B2C71" w:rsidP="00F03392">
            <w:pPr>
              <w:pStyle w:val="Tabletext"/>
            </w:pPr>
          </w:p>
        </w:tc>
      </w:tr>
      <w:tr w:rsidR="004B2C71" w:rsidRPr="00465EE4" w14:paraId="29B342E1" w14:textId="6D925F41" w:rsidTr="009C3A3A">
        <w:tc>
          <w:tcPr>
            <w:tcW w:w="950" w:type="pct"/>
            <w:vAlign w:val="center"/>
          </w:tcPr>
          <w:p w14:paraId="5DCFA341" w14:textId="36ABF109" w:rsidR="004B2C71" w:rsidRPr="00465EE4" w:rsidRDefault="004B2C71" w:rsidP="00F03392">
            <w:pPr>
              <w:pStyle w:val="Tabletext"/>
            </w:pPr>
            <w:r w:rsidRPr="00465EE4">
              <w:t>Patients electing treatment</w:t>
            </w:r>
            <w:r w:rsidR="005A1C16">
              <w:t xml:space="preserve"> with </w:t>
            </w:r>
            <w:r w:rsidR="00F45D9A">
              <w:t>GPB</w:t>
            </w:r>
            <w:r w:rsidRPr="00465EE4">
              <w:t xml:space="preserve">- </w:t>
            </w:r>
            <w:r w:rsidR="0046377A">
              <w:t>BTA</w:t>
            </w:r>
            <w:r w:rsidR="0046377A" w:rsidRPr="00465EE4">
              <w:t xml:space="preserve"> </w:t>
            </w:r>
            <w:r w:rsidRPr="00465EE4">
              <w:t>substitution</w:t>
            </w:r>
          </w:p>
        </w:tc>
        <w:tc>
          <w:tcPr>
            <w:tcW w:w="2270" w:type="pct"/>
            <w:vAlign w:val="center"/>
          </w:tcPr>
          <w:p w14:paraId="01B6EBFA" w14:textId="75344789" w:rsidR="004B2C71" w:rsidRPr="00465EE4" w:rsidRDefault="00FE3B86" w:rsidP="00F03392">
            <w:pPr>
              <w:pStyle w:val="Tabletext"/>
            </w:pPr>
            <w:r w:rsidRPr="004F06D3">
              <w:rPr>
                <w:highlight w:val="black"/>
              </w:rPr>
              <w:t>&amp;&amp;&amp;&amp;</w:t>
            </w:r>
            <w:r w:rsidR="004B2C71" w:rsidRPr="00465EE4">
              <w:t>-</w:t>
            </w:r>
            <w:r w:rsidRPr="004F06D3">
              <w:rPr>
                <w:highlight w:val="black"/>
              </w:rPr>
              <w:t>&amp;&amp;&amp;&amp;</w:t>
            </w:r>
            <w:r w:rsidR="004B2C71" w:rsidRPr="00465EE4">
              <w:t>%; expert opinion, Sponsor estimates</w:t>
            </w:r>
            <w:r w:rsidR="00E056C5">
              <w:t xml:space="preserve"> (</w:t>
            </w:r>
            <w:r w:rsidRPr="004F06D3">
              <w:rPr>
                <w:highlight w:val="black"/>
              </w:rPr>
              <w:t>&amp;&amp;&amp;&amp;</w:t>
            </w:r>
            <w:r w:rsidR="00E056C5">
              <w:t xml:space="preserve">% in Year 1, increasing by </w:t>
            </w:r>
            <w:r w:rsidRPr="004F06D3">
              <w:rPr>
                <w:highlight w:val="black"/>
              </w:rPr>
              <w:t>&amp;&amp;&amp;&amp;</w:t>
            </w:r>
            <w:r w:rsidR="00E056C5">
              <w:t xml:space="preserve"> percentage points each year)</w:t>
            </w:r>
          </w:p>
        </w:tc>
        <w:tc>
          <w:tcPr>
            <w:tcW w:w="1780" w:type="pct"/>
            <w:vAlign w:val="center"/>
          </w:tcPr>
          <w:p w14:paraId="618796DB" w14:textId="7F29FB1F" w:rsidR="00E056C5" w:rsidRPr="00465EE4" w:rsidRDefault="00E056C5" w:rsidP="00F03392">
            <w:pPr>
              <w:pStyle w:val="Tabletext"/>
            </w:pPr>
            <w:r>
              <w:t xml:space="preserve">The pre-PBAC response increased to </w:t>
            </w:r>
            <w:r w:rsidR="007135E1" w:rsidRPr="007135E1">
              <w:rPr>
                <w:highlight w:val="black"/>
              </w:rPr>
              <w:t>&amp;&amp;&amp;&amp;</w:t>
            </w:r>
            <w:r>
              <w:t xml:space="preserve">% in Year 1, increasing by </w:t>
            </w:r>
            <w:r w:rsidR="00FE3B86" w:rsidRPr="004F06D3">
              <w:rPr>
                <w:highlight w:val="black"/>
              </w:rPr>
              <w:t>&amp;&amp;&amp;&amp;</w:t>
            </w:r>
            <w:r>
              <w:t xml:space="preserve"> percentage points each year</w:t>
            </w:r>
          </w:p>
        </w:tc>
      </w:tr>
      <w:tr w:rsidR="004B2C71" w:rsidRPr="00465EE4" w14:paraId="63BA5A7E" w14:textId="77777777" w:rsidTr="009C3A3A">
        <w:tc>
          <w:tcPr>
            <w:tcW w:w="950" w:type="pct"/>
            <w:vAlign w:val="center"/>
          </w:tcPr>
          <w:p w14:paraId="06FA77D3" w14:textId="4E15B1DE" w:rsidR="004B2C71" w:rsidRPr="00465EE4" w:rsidRDefault="004B2C71" w:rsidP="00F03392">
            <w:pPr>
              <w:pStyle w:val="Tabletext"/>
            </w:pPr>
            <w:r w:rsidRPr="00465EE4">
              <w:t xml:space="preserve">Patients electing treatment- untreated </w:t>
            </w:r>
          </w:p>
        </w:tc>
        <w:tc>
          <w:tcPr>
            <w:tcW w:w="2270" w:type="pct"/>
            <w:vAlign w:val="center"/>
          </w:tcPr>
          <w:p w14:paraId="51D3984B" w14:textId="287FE3B9" w:rsidR="004B2C71" w:rsidRPr="00465EE4" w:rsidRDefault="00FE3B86" w:rsidP="00F03392">
            <w:pPr>
              <w:pStyle w:val="Tabletext"/>
            </w:pPr>
            <w:r w:rsidRPr="004F06D3">
              <w:rPr>
                <w:highlight w:val="black"/>
              </w:rPr>
              <w:t>&amp;&amp;&amp;&amp;</w:t>
            </w:r>
            <w:r w:rsidR="004B2C71" w:rsidRPr="00465EE4">
              <w:t>-</w:t>
            </w:r>
            <w:r w:rsidRPr="004F06D3">
              <w:rPr>
                <w:highlight w:val="black"/>
              </w:rPr>
              <w:t>&amp;&amp;&amp;&amp;</w:t>
            </w:r>
            <w:r w:rsidR="004B2C71" w:rsidRPr="00465EE4">
              <w:t>%; expert opinion, Sponsor estimates</w:t>
            </w:r>
          </w:p>
        </w:tc>
        <w:tc>
          <w:tcPr>
            <w:tcW w:w="1780" w:type="pct"/>
            <w:vAlign w:val="center"/>
          </w:tcPr>
          <w:p w14:paraId="3D864964" w14:textId="5F413B0D" w:rsidR="004B2C71" w:rsidRPr="00465EE4" w:rsidRDefault="0048176A" w:rsidP="00F03392">
            <w:pPr>
              <w:pStyle w:val="Tabletext"/>
            </w:pPr>
            <w:r>
              <w:t xml:space="preserve">The pre-PBAC response increased to </w:t>
            </w:r>
            <w:r w:rsidR="00FE3B86" w:rsidRPr="004F06D3">
              <w:rPr>
                <w:highlight w:val="black"/>
              </w:rPr>
              <w:t>&amp;&amp;&amp;&amp;</w:t>
            </w:r>
            <w:r w:rsidR="0043764B">
              <w:t>-</w:t>
            </w:r>
            <w:r>
              <w:t xml:space="preserve"> </w:t>
            </w:r>
            <w:r w:rsidR="00FE3B86" w:rsidRPr="004F06D3">
              <w:rPr>
                <w:highlight w:val="black"/>
              </w:rPr>
              <w:t>&amp;&amp;&amp;&amp;</w:t>
            </w:r>
            <w:r>
              <w:t>%.</w:t>
            </w:r>
            <w:r w:rsidR="00AB04F6">
              <w:t xml:space="preserve"> </w:t>
            </w:r>
          </w:p>
        </w:tc>
      </w:tr>
      <w:tr w:rsidR="004658B5" w:rsidRPr="00465EE4" w14:paraId="7B7FA999" w14:textId="77777777" w:rsidTr="009C3A3A">
        <w:tc>
          <w:tcPr>
            <w:tcW w:w="950" w:type="pct"/>
            <w:vAlign w:val="center"/>
          </w:tcPr>
          <w:p w14:paraId="2C67FF14" w14:textId="1352D584" w:rsidR="004658B5" w:rsidRPr="00465EE4" w:rsidRDefault="004658B5" w:rsidP="00F03392">
            <w:pPr>
              <w:pStyle w:val="Tabletext"/>
            </w:pPr>
            <w:r w:rsidRPr="00465EE4">
              <w:t>MBS item</w:t>
            </w:r>
            <w:r w:rsidR="007E7A87" w:rsidRPr="00465EE4">
              <w:t>s</w:t>
            </w:r>
          </w:p>
        </w:tc>
        <w:tc>
          <w:tcPr>
            <w:tcW w:w="2270" w:type="pct"/>
            <w:vAlign w:val="center"/>
          </w:tcPr>
          <w:p w14:paraId="7EEEA3B5" w14:textId="4C651377" w:rsidR="004658B5" w:rsidRPr="00465EE4" w:rsidRDefault="007E7A87" w:rsidP="00F03392">
            <w:pPr>
              <w:pStyle w:val="Tabletext"/>
            </w:pPr>
            <w:r w:rsidRPr="00465EE4">
              <w:t xml:space="preserve">Item </w:t>
            </w:r>
            <w:r w:rsidR="00FE7C59" w:rsidRPr="00465EE4">
              <w:t>numbers:</w:t>
            </w:r>
            <w:r w:rsidRPr="00465EE4">
              <w:t xml:space="preserve"> </w:t>
            </w:r>
          </w:p>
          <w:p w14:paraId="4B713F4C" w14:textId="0FABFC26" w:rsidR="007E7A87" w:rsidRPr="00465EE4" w:rsidRDefault="007E7A87" w:rsidP="00F03392">
            <w:pPr>
              <w:pStyle w:val="Tabletext"/>
            </w:pPr>
            <w:r w:rsidRPr="00465EE4">
              <w:t>18362 - Botulinum Toxin type A Purified Neurotoxin Complex (Botox), injection of, for the treatment of severe primary axillary hyperhidrosis: $287.80</w:t>
            </w:r>
          </w:p>
          <w:p w14:paraId="54770BBF" w14:textId="3903428E" w:rsidR="007E7A87" w:rsidRPr="00465EE4" w:rsidRDefault="007E7A87" w:rsidP="00F03392">
            <w:pPr>
              <w:pStyle w:val="Tabletext"/>
            </w:pPr>
            <w:r w:rsidRPr="00465EE4">
              <w:t>105 - Professional attendance by a specialist in the practice of the specialist's specialty following referral of the patient to the specialist-an attendance after the first in a single course of treatment, if that attendance is at consulting rooms or hospital, $50.95</w:t>
            </w:r>
          </w:p>
          <w:p w14:paraId="405E254A" w14:textId="61E21317" w:rsidR="007E7A87" w:rsidRPr="00465EE4" w:rsidRDefault="007E7A87" w:rsidP="00F03392">
            <w:pPr>
              <w:pStyle w:val="Tabletext"/>
            </w:pPr>
            <w:r w:rsidRPr="00465EE4">
              <w:t>104- Professional attendance at consulting rooms or hospital by a specialist in the practice of the specialist's specialty after referral of the patient to the specialist-each attendance, other than a second or subsequent attendance, in a single course of treatment, $101.30</w:t>
            </w:r>
          </w:p>
          <w:p w14:paraId="76AAA9FA" w14:textId="74205D66" w:rsidR="007E7A87" w:rsidRPr="00465EE4" w:rsidRDefault="007E7A87" w:rsidP="00F03392">
            <w:pPr>
              <w:pStyle w:val="Tabletext"/>
            </w:pPr>
            <w:r w:rsidRPr="00465EE4">
              <w:t>21600- initiation of management of anaesthesia for procedures on the skin or subcutaneous tissue of the shoulder or axilla</w:t>
            </w:r>
          </w:p>
          <w:p w14:paraId="35DC08D6" w14:textId="0C47C639" w:rsidR="007E7A87" w:rsidRPr="00465EE4" w:rsidRDefault="007E7A87" w:rsidP="00F03392">
            <w:pPr>
              <w:pStyle w:val="Tabletext"/>
            </w:pPr>
            <w:r w:rsidRPr="00465EE4">
              <w:t>(3 basic units)</w:t>
            </w:r>
          </w:p>
          <w:p w14:paraId="55FED466" w14:textId="38D12FD1" w:rsidR="007E7A87" w:rsidRPr="00465EE4" w:rsidRDefault="007E7A87" w:rsidP="00F03392">
            <w:pPr>
              <w:pStyle w:val="Tabletext"/>
            </w:pPr>
            <w:r w:rsidRPr="00465EE4">
              <w:t>23015- 16 minutes to 30 minutes</w:t>
            </w:r>
          </w:p>
          <w:p w14:paraId="2CB17643" w14:textId="4D1D1C53" w:rsidR="007E7A87" w:rsidRPr="00465EE4" w:rsidRDefault="007E7A87" w:rsidP="00F03392">
            <w:pPr>
              <w:pStyle w:val="Tabletext"/>
            </w:pPr>
            <w:r w:rsidRPr="00465EE4">
              <w:t>(2 basic units)</w:t>
            </w:r>
          </w:p>
        </w:tc>
        <w:tc>
          <w:tcPr>
            <w:tcW w:w="1780" w:type="pct"/>
            <w:vAlign w:val="center"/>
          </w:tcPr>
          <w:p w14:paraId="2F12B392" w14:textId="39272215" w:rsidR="004658B5" w:rsidRPr="00465EE4" w:rsidRDefault="00B65611" w:rsidP="00F03392">
            <w:pPr>
              <w:pStyle w:val="Tabletext"/>
            </w:pPr>
            <w:r w:rsidRPr="00465EE4">
              <w:t>A</w:t>
            </w:r>
            <w:r w:rsidR="007E7A87" w:rsidRPr="00465EE4">
              <w:t>pplies 80% of full fee</w:t>
            </w:r>
            <w:r w:rsidR="0005630C" w:rsidRPr="00465EE4">
              <w:t>. Use of local anaesthetic not supported by clinical trial data.</w:t>
            </w:r>
          </w:p>
        </w:tc>
      </w:tr>
    </w:tbl>
    <w:p w14:paraId="534D038A" w14:textId="5A428C52" w:rsidR="00B70FCC" w:rsidRDefault="00E42F73" w:rsidP="00A66708">
      <w:pPr>
        <w:pStyle w:val="FooterTableFigure"/>
      </w:pPr>
      <w:r w:rsidRPr="0098262F">
        <w:t>Source: Table</w:t>
      </w:r>
      <w:r w:rsidR="004B2C71">
        <w:t xml:space="preserve"> 4.1</w:t>
      </w:r>
      <w:r w:rsidRPr="0098262F">
        <w:t>, p</w:t>
      </w:r>
      <w:r w:rsidR="004B2C71">
        <w:t>172</w:t>
      </w:r>
      <w:r w:rsidR="006512F6">
        <w:t xml:space="preserve">; Tables 4.4 and 4.5, p174 </w:t>
      </w:r>
      <w:r w:rsidRPr="0098262F">
        <w:t>of the submission.</w:t>
      </w:r>
    </w:p>
    <w:p w14:paraId="496D8C28" w14:textId="6124E31D" w:rsidR="00AB04F6" w:rsidRDefault="00AB04F6">
      <w:pPr>
        <w:jc w:val="left"/>
        <w:rPr>
          <w:rFonts w:ascii="Arial Narrow" w:hAnsi="Arial Narrow"/>
          <w:snapToGrid w:val="0"/>
          <w:sz w:val="18"/>
          <w:szCs w:val="22"/>
        </w:rPr>
      </w:pPr>
      <w:r>
        <w:br w:type="page"/>
      </w:r>
    </w:p>
    <w:p w14:paraId="5F29BB6E" w14:textId="77777777" w:rsidR="00AB04F6" w:rsidRDefault="00AB04F6" w:rsidP="00A66708">
      <w:pPr>
        <w:pStyle w:val="FooterTableFigure"/>
      </w:pPr>
    </w:p>
    <w:p w14:paraId="266FCEB3" w14:textId="2A5C65F6" w:rsidR="00B70FCC" w:rsidRDefault="00BD394F" w:rsidP="002721B7">
      <w:pPr>
        <w:pStyle w:val="3-BodyText"/>
      </w:pPr>
      <w:r>
        <w:t xml:space="preserve">The results of the estimates </w:t>
      </w:r>
      <w:r w:rsidR="00B70FCC">
        <w:t>are shown in</w:t>
      </w:r>
      <w:r w:rsidR="00C73893">
        <w:t xml:space="preserve"> </w:t>
      </w:r>
      <w:r w:rsidR="00AD0699">
        <w:fldChar w:fldCharType="begin" w:fldLock="1"/>
      </w:r>
      <w:r w:rsidR="00AD0699">
        <w:instrText xml:space="preserve"> REF _Ref205982040 \h </w:instrText>
      </w:r>
      <w:r w:rsidR="00AD0699">
        <w:fldChar w:fldCharType="separate"/>
      </w:r>
      <w:r w:rsidR="004D6DEB">
        <w:t xml:space="preserve">Table </w:t>
      </w:r>
      <w:r w:rsidR="004D6DEB">
        <w:rPr>
          <w:noProof/>
        </w:rPr>
        <w:t>12</w:t>
      </w:r>
      <w:r w:rsidR="00AD0699">
        <w:fldChar w:fldCharType="end"/>
      </w:r>
      <w:r w:rsidR="00AD0699">
        <w:t>.</w:t>
      </w:r>
    </w:p>
    <w:p w14:paraId="4D7DCE5F" w14:textId="65494C44" w:rsidR="00B70FCC" w:rsidRPr="0098262F" w:rsidRDefault="00C73893" w:rsidP="00AD5FF5">
      <w:pPr>
        <w:pStyle w:val="Caption"/>
      </w:pPr>
      <w:bookmarkStart w:id="52" w:name="_Ref205982040"/>
      <w:r>
        <w:t xml:space="preserve">Table </w:t>
      </w:r>
      <w:r w:rsidR="007C24FD">
        <w:fldChar w:fldCharType="begin" w:fldLock="1"/>
      </w:r>
      <w:r w:rsidR="007C24FD">
        <w:instrText xml:space="preserve"> SEQ Table \* ARABIC </w:instrText>
      </w:r>
      <w:r w:rsidR="007C24FD">
        <w:fldChar w:fldCharType="separate"/>
      </w:r>
      <w:r w:rsidR="004D6DEB">
        <w:rPr>
          <w:noProof/>
        </w:rPr>
        <w:t>12</w:t>
      </w:r>
      <w:r w:rsidR="007C24FD">
        <w:rPr>
          <w:noProof/>
        </w:rPr>
        <w:fldChar w:fldCharType="end"/>
      </w:r>
      <w:bookmarkEnd w:id="52"/>
      <w:r>
        <w:t>: E</w:t>
      </w:r>
      <w:r w:rsidR="00B70FCC" w:rsidRPr="0098262F">
        <w:t>stimation of number of treated patients and prescriptions</w:t>
      </w:r>
      <w:r w:rsidR="00CD6172">
        <w:t xml:space="preserve"> </w:t>
      </w:r>
    </w:p>
    <w:tbl>
      <w:tblPr>
        <w:tblStyle w:val="TableGrid"/>
        <w:tblW w:w="5000" w:type="pct"/>
        <w:tblLook w:val="04A0" w:firstRow="1" w:lastRow="0" w:firstColumn="1" w:lastColumn="0" w:noHBand="0" w:noVBand="1"/>
        <w:tblCaption w:val="Table 12"/>
        <w:tblDescription w:val="Estimation of number of treated patients and prescriptions "/>
      </w:tblPr>
      <w:tblGrid>
        <w:gridCol w:w="2490"/>
        <w:gridCol w:w="1089"/>
        <w:gridCol w:w="1089"/>
        <w:gridCol w:w="1089"/>
        <w:gridCol w:w="1089"/>
        <w:gridCol w:w="1089"/>
        <w:gridCol w:w="1082"/>
      </w:tblGrid>
      <w:tr w:rsidR="00BD394F" w:rsidRPr="0098262F" w14:paraId="1B61C7C5" w14:textId="77777777" w:rsidTr="00ED2009">
        <w:tc>
          <w:tcPr>
            <w:tcW w:w="1380" w:type="pct"/>
          </w:tcPr>
          <w:p w14:paraId="1A8EC60D" w14:textId="77777777" w:rsidR="00BD394F" w:rsidRPr="0098262F" w:rsidRDefault="00BD394F" w:rsidP="00AD5FF5">
            <w:pPr>
              <w:pStyle w:val="TableFigureHeading"/>
              <w:keepLines/>
            </w:pPr>
          </w:p>
        </w:tc>
        <w:tc>
          <w:tcPr>
            <w:tcW w:w="604" w:type="pct"/>
            <w:vAlign w:val="center"/>
          </w:tcPr>
          <w:p w14:paraId="7250B2D7" w14:textId="2514C201" w:rsidR="00BD394F" w:rsidRPr="0098262F" w:rsidRDefault="00BD394F" w:rsidP="00AD5FF5">
            <w:pPr>
              <w:pStyle w:val="In-tableHeading"/>
            </w:pPr>
            <w:r w:rsidRPr="0098262F">
              <w:t>Year 1</w:t>
            </w:r>
            <w:r>
              <w:t xml:space="preserve"> (2026)</w:t>
            </w:r>
          </w:p>
        </w:tc>
        <w:tc>
          <w:tcPr>
            <w:tcW w:w="604" w:type="pct"/>
            <w:vAlign w:val="center"/>
          </w:tcPr>
          <w:p w14:paraId="1CE9E54F" w14:textId="53B42888" w:rsidR="00BD394F" w:rsidRPr="0098262F" w:rsidRDefault="00BD394F" w:rsidP="00AD5FF5">
            <w:pPr>
              <w:pStyle w:val="In-tableHeading"/>
            </w:pPr>
            <w:r w:rsidRPr="0098262F">
              <w:t>Year 2</w:t>
            </w:r>
            <w:r>
              <w:t xml:space="preserve"> (2027)</w:t>
            </w:r>
          </w:p>
        </w:tc>
        <w:tc>
          <w:tcPr>
            <w:tcW w:w="604" w:type="pct"/>
            <w:vAlign w:val="center"/>
          </w:tcPr>
          <w:p w14:paraId="1D473DB1" w14:textId="77777777" w:rsidR="00BD394F" w:rsidRDefault="00BD394F" w:rsidP="00AD5FF5">
            <w:pPr>
              <w:pStyle w:val="In-tableHeading"/>
            </w:pPr>
            <w:r w:rsidRPr="0098262F">
              <w:t>Year 3</w:t>
            </w:r>
          </w:p>
          <w:p w14:paraId="540EBD46" w14:textId="5116828C" w:rsidR="00BD394F" w:rsidRPr="0098262F" w:rsidRDefault="00BD394F" w:rsidP="00AD5FF5">
            <w:pPr>
              <w:pStyle w:val="In-tableHeading"/>
            </w:pPr>
            <w:r>
              <w:t>(2028)</w:t>
            </w:r>
          </w:p>
        </w:tc>
        <w:tc>
          <w:tcPr>
            <w:tcW w:w="604" w:type="pct"/>
            <w:vAlign w:val="center"/>
          </w:tcPr>
          <w:p w14:paraId="5E78FC91" w14:textId="77777777" w:rsidR="00BD394F" w:rsidRDefault="00BD394F" w:rsidP="00AD5FF5">
            <w:pPr>
              <w:pStyle w:val="In-tableHeading"/>
            </w:pPr>
            <w:r w:rsidRPr="0098262F">
              <w:t>Year 4</w:t>
            </w:r>
          </w:p>
          <w:p w14:paraId="547FFB66" w14:textId="627E266F" w:rsidR="00BD394F" w:rsidRPr="0098262F" w:rsidRDefault="00BD394F" w:rsidP="00AD5FF5">
            <w:pPr>
              <w:pStyle w:val="In-tableHeading"/>
            </w:pPr>
            <w:r>
              <w:t>(2029)</w:t>
            </w:r>
          </w:p>
        </w:tc>
        <w:tc>
          <w:tcPr>
            <w:tcW w:w="604" w:type="pct"/>
            <w:vAlign w:val="center"/>
          </w:tcPr>
          <w:p w14:paraId="6993612D" w14:textId="77777777" w:rsidR="00BD394F" w:rsidRDefault="00BD394F" w:rsidP="00AD5FF5">
            <w:pPr>
              <w:pStyle w:val="In-tableHeading"/>
            </w:pPr>
            <w:r w:rsidRPr="0098262F">
              <w:t>Year 5</w:t>
            </w:r>
          </w:p>
          <w:p w14:paraId="4CDC5125" w14:textId="5603D7E2" w:rsidR="00BD394F" w:rsidRPr="0098262F" w:rsidRDefault="00BD394F" w:rsidP="00AD5FF5">
            <w:pPr>
              <w:pStyle w:val="In-tableHeading"/>
            </w:pPr>
            <w:r>
              <w:t>(2030)</w:t>
            </w:r>
          </w:p>
        </w:tc>
        <w:tc>
          <w:tcPr>
            <w:tcW w:w="600" w:type="pct"/>
            <w:vAlign w:val="center"/>
          </w:tcPr>
          <w:p w14:paraId="3B21D128" w14:textId="677EE738" w:rsidR="00BD394F" w:rsidRPr="0098262F" w:rsidRDefault="00BD394F" w:rsidP="00AD5FF5">
            <w:pPr>
              <w:pStyle w:val="In-tableHeading"/>
            </w:pPr>
            <w:r w:rsidRPr="0098262F">
              <w:t>Year 6</w:t>
            </w:r>
            <w:r>
              <w:t xml:space="preserve"> (2031)</w:t>
            </w:r>
          </w:p>
        </w:tc>
      </w:tr>
      <w:tr w:rsidR="00BD394F" w:rsidRPr="0098262F" w14:paraId="62FEB9B6" w14:textId="77777777" w:rsidTr="00ED2009">
        <w:tc>
          <w:tcPr>
            <w:tcW w:w="5000" w:type="pct"/>
            <w:gridSpan w:val="7"/>
          </w:tcPr>
          <w:p w14:paraId="169165E5" w14:textId="325D4F4D" w:rsidR="00BD394F" w:rsidRPr="0098262F" w:rsidRDefault="00BD394F" w:rsidP="00AD5FF5">
            <w:pPr>
              <w:pStyle w:val="In-tableHeading"/>
            </w:pPr>
            <w:r>
              <w:t xml:space="preserve">Market share approach – substitution for </w:t>
            </w:r>
            <w:r w:rsidR="005F724D">
              <w:t>BT</w:t>
            </w:r>
            <w:r w:rsidR="00A300D7">
              <w:t>A</w:t>
            </w:r>
          </w:p>
        </w:tc>
      </w:tr>
      <w:tr w:rsidR="00BD394F" w:rsidRPr="0098262F" w14:paraId="28C7B562" w14:textId="77777777" w:rsidTr="00ED2009">
        <w:tc>
          <w:tcPr>
            <w:tcW w:w="1380" w:type="pct"/>
          </w:tcPr>
          <w:p w14:paraId="6EAAE353" w14:textId="44553239" w:rsidR="00BD394F" w:rsidRPr="007C485F" w:rsidRDefault="00BD394F" w:rsidP="00AD5FF5">
            <w:pPr>
              <w:pStyle w:val="Tabletext"/>
              <w:keepNext/>
              <w:keepLines/>
            </w:pPr>
            <w:r w:rsidRPr="007C485F">
              <w:t>Estimated script volume</w:t>
            </w:r>
          </w:p>
        </w:tc>
        <w:tc>
          <w:tcPr>
            <w:tcW w:w="604" w:type="pct"/>
            <w:vAlign w:val="center"/>
          </w:tcPr>
          <w:p w14:paraId="2CDFD8F8" w14:textId="50384D69" w:rsidR="00BD394F" w:rsidRPr="007C485F" w:rsidRDefault="00FE3B86" w:rsidP="00AD5FF5">
            <w:pPr>
              <w:pStyle w:val="Tabletext"/>
              <w:keepNext/>
              <w:keepLines/>
            </w:pPr>
            <w:r w:rsidRPr="004F06D3">
              <w:rPr>
                <w:highlight w:val="black"/>
              </w:rPr>
              <w:t>&amp;&amp;&amp;&amp;</w:t>
            </w:r>
            <w:r w:rsidR="00260878">
              <w:rPr>
                <w:vertAlign w:val="superscript"/>
              </w:rPr>
              <w:t>1</w:t>
            </w:r>
            <w:r w:rsidR="00BD394F" w:rsidRPr="007C485F">
              <w:t xml:space="preserve"> </w:t>
            </w:r>
          </w:p>
        </w:tc>
        <w:tc>
          <w:tcPr>
            <w:tcW w:w="604" w:type="pct"/>
            <w:vAlign w:val="center"/>
          </w:tcPr>
          <w:p w14:paraId="229378A3" w14:textId="62E6E4B0" w:rsidR="00BD394F" w:rsidRPr="007C485F" w:rsidRDefault="00FE3B86" w:rsidP="00AD5FF5">
            <w:pPr>
              <w:pStyle w:val="Tabletext"/>
              <w:keepNext/>
              <w:keepLines/>
            </w:pPr>
            <w:r w:rsidRPr="004F06D3">
              <w:rPr>
                <w:highlight w:val="black"/>
              </w:rPr>
              <w:t>&amp;&amp;&amp;&amp;</w:t>
            </w:r>
            <w:r w:rsidR="00260878">
              <w:rPr>
                <w:vertAlign w:val="superscript"/>
              </w:rPr>
              <w:t>1</w:t>
            </w:r>
          </w:p>
        </w:tc>
        <w:tc>
          <w:tcPr>
            <w:tcW w:w="604" w:type="pct"/>
            <w:vAlign w:val="center"/>
          </w:tcPr>
          <w:p w14:paraId="0E87D731" w14:textId="4F1C7F1E" w:rsidR="00BD394F" w:rsidRPr="007C485F" w:rsidRDefault="00FE3B86" w:rsidP="00AD5FF5">
            <w:pPr>
              <w:pStyle w:val="Tabletext"/>
              <w:keepNext/>
              <w:keepLines/>
            </w:pPr>
            <w:r w:rsidRPr="004F06D3">
              <w:rPr>
                <w:highlight w:val="black"/>
              </w:rPr>
              <w:t>&amp;&amp;&amp;&amp;</w:t>
            </w:r>
            <w:r w:rsidR="00260878">
              <w:rPr>
                <w:vertAlign w:val="superscript"/>
              </w:rPr>
              <w:t>1</w:t>
            </w:r>
          </w:p>
        </w:tc>
        <w:tc>
          <w:tcPr>
            <w:tcW w:w="604" w:type="pct"/>
            <w:vAlign w:val="center"/>
          </w:tcPr>
          <w:p w14:paraId="0C571B57" w14:textId="55C0A713" w:rsidR="00BD394F" w:rsidRPr="007C485F" w:rsidRDefault="00FE3B86" w:rsidP="00AD5FF5">
            <w:pPr>
              <w:pStyle w:val="Tabletext"/>
              <w:keepNext/>
              <w:keepLines/>
            </w:pPr>
            <w:r w:rsidRPr="004F06D3">
              <w:rPr>
                <w:highlight w:val="black"/>
              </w:rPr>
              <w:t>&amp;&amp;&amp;&amp;</w:t>
            </w:r>
            <w:r w:rsidR="0024560B">
              <w:rPr>
                <w:vertAlign w:val="superscript"/>
              </w:rPr>
              <w:t>2</w:t>
            </w:r>
          </w:p>
        </w:tc>
        <w:tc>
          <w:tcPr>
            <w:tcW w:w="604" w:type="pct"/>
            <w:vAlign w:val="center"/>
          </w:tcPr>
          <w:p w14:paraId="04C0965A" w14:textId="44EE3A08" w:rsidR="00BD394F" w:rsidRPr="007C485F" w:rsidRDefault="00FE3B86" w:rsidP="00AD5FF5">
            <w:pPr>
              <w:pStyle w:val="Tabletext"/>
              <w:keepNext/>
              <w:keepLines/>
            </w:pPr>
            <w:r w:rsidRPr="004F06D3">
              <w:rPr>
                <w:highlight w:val="black"/>
              </w:rPr>
              <w:t>&amp;&amp;&amp;&amp;</w:t>
            </w:r>
            <w:r w:rsidR="0024560B">
              <w:rPr>
                <w:vertAlign w:val="superscript"/>
              </w:rPr>
              <w:t>2</w:t>
            </w:r>
          </w:p>
        </w:tc>
        <w:tc>
          <w:tcPr>
            <w:tcW w:w="600" w:type="pct"/>
            <w:vAlign w:val="center"/>
          </w:tcPr>
          <w:p w14:paraId="6B54A195" w14:textId="4654D920" w:rsidR="00BD394F" w:rsidRPr="007C485F" w:rsidRDefault="00FE3B86" w:rsidP="00AD5FF5">
            <w:pPr>
              <w:pStyle w:val="Tabletext"/>
              <w:keepNext/>
              <w:keepLines/>
            </w:pPr>
            <w:r w:rsidRPr="004F06D3">
              <w:rPr>
                <w:highlight w:val="black"/>
              </w:rPr>
              <w:t>&amp;&amp;&amp;&amp;</w:t>
            </w:r>
            <w:r w:rsidR="0024560B">
              <w:rPr>
                <w:vertAlign w:val="superscript"/>
              </w:rPr>
              <w:t>2</w:t>
            </w:r>
          </w:p>
        </w:tc>
      </w:tr>
      <w:tr w:rsidR="00BD394F" w:rsidRPr="0098262F" w14:paraId="033D389D" w14:textId="77777777" w:rsidTr="00ED2009">
        <w:tc>
          <w:tcPr>
            <w:tcW w:w="1380" w:type="pct"/>
          </w:tcPr>
          <w:p w14:paraId="2947235B" w14:textId="4DF8ED15" w:rsidR="00BD394F" w:rsidRPr="007C485F" w:rsidRDefault="00BD394F" w:rsidP="00AD5FF5">
            <w:pPr>
              <w:pStyle w:val="Tabletext"/>
              <w:keepNext/>
              <w:keepLines/>
            </w:pPr>
            <w:r w:rsidRPr="007C485F">
              <w:t>Estimated annual rate of growth</w:t>
            </w:r>
          </w:p>
        </w:tc>
        <w:tc>
          <w:tcPr>
            <w:tcW w:w="604" w:type="pct"/>
            <w:vAlign w:val="center"/>
          </w:tcPr>
          <w:p w14:paraId="29242B82" w14:textId="1761573E" w:rsidR="00BD394F" w:rsidRPr="000C04AB" w:rsidRDefault="00BD394F" w:rsidP="00AD5FF5">
            <w:pPr>
              <w:pStyle w:val="Tabletext"/>
              <w:keepNext/>
              <w:keepLines/>
            </w:pPr>
            <w:bookmarkStart w:id="53" w:name="_Toc202531137"/>
            <w:r w:rsidRPr="000C04AB">
              <w:t>9.93%</w:t>
            </w:r>
            <w:bookmarkEnd w:id="53"/>
          </w:p>
        </w:tc>
        <w:tc>
          <w:tcPr>
            <w:tcW w:w="604" w:type="pct"/>
            <w:vAlign w:val="center"/>
          </w:tcPr>
          <w:p w14:paraId="6BA5DEB5" w14:textId="0C5CAE6F" w:rsidR="00BD394F" w:rsidRPr="000C04AB" w:rsidRDefault="00BD394F" w:rsidP="00AD5FF5">
            <w:pPr>
              <w:pStyle w:val="Tabletext"/>
              <w:keepNext/>
              <w:keepLines/>
            </w:pPr>
            <w:bookmarkStart w:id="54" w:name="_Toc202531138"/>
            <w:r w:rsidRPr="000C04AB">
              <w:t>9.03%</w:t>
            </w:r>
            <w:bookmarkEnd w:id="54"/>
          </w:p>
        </w:tc>
        <w:tc>
          <w:tcPr>
            <w:tcW w:w="604" w:type="pct"/>
            <w:vAlign w:val="center"/>
          </w:tcPr>
          <w:p w14:paraId="555DC6B4" w14:textId="5A9C81AF" w:rsidR="00BD394F" w:rsidRPr="000C04AB" w:rsidRDefault="00BD394F" w:rsidP="00AD5FF5">
            <w:pPr>
              <w:pStyle w:val="Tabletext"/>
              <w:keepNext/>
              <w:keepLines/>
            </w:pPr>
            <w:bookmarkStart w:id="55" w:name="_Toc202531139"/>
            <w:r w:rsidRPr="000C04AB">
              <w:t>8.28%</w:t>
            </w:r>
            <w:bookmarkEnd w:id="55"/>
          </w:p>
        </w:tc>
        <w:tc>
          <w:tcPr>
            <w:tcW w:w="604" w:type="pct"/>
            <w:vAlign w:val="center"/>
          </w:tcPr>
          <w:p w14:paraId="099CD876" w14:textId="4127FA9B" w:rsidR="00BD394F" w:rsidRPr="000C04AB" w:rsidRDefault="00BD394F" w:rsidP="00AD5FF5">
            <w:pPr>
              <w:pStyle w:val="Tabletext"/>
              <w:keepNext/>
              <w:keepLines/>
            </w:pPr>
            <w:bookmarkStart w:id="56" w:name="_Toc202531140"/>
            <w:r w:rsidRPr="000C04AB">
              <w:t>7.65%</w:t>
            </w:r>
            <w:bookmarkEnd w:id="56"/>
          </w:p>
        </w:tc>
        <w:tc>
          <w:tcPr>
            <w:tcW w:w="604" w:type="pct"/>
            <w:vAlign w:val="center"/>
          </w:tcPr>
          <w:p w14:paraId="6128DE03" w14:textId="35C5D298" w:rsidR="00BD394F" w:rsidRPr="000C04AB" w:rsidRDefault="00BD394F" w:rsidP="00AD5FF5">
            <w:pPr>
              <w:pStyle w:val="Tabletext"/>
              <w:keepNext/>
              <w:keepLines/>
            </w:pPr>
            <w:bookmarkStart w:id="57" w:name="_Toc202531141"/>
            <w:r w:rsidRPr="000C04AB">
              <w:t>7.11%</w:t>
            </w:r>
            <w:bookmarkEnd w:id="57"/>
          </w:p>
        </w:tc>
        <w:tc>
          <w:tcPr>
            <w:tcW w:w="600" w:type="pct"/>
            <w:vAlign w:val="center"/>
          </w:tcPr>
          <w:p w14:paraId="77DA0D4D" w14:textId="77777777" w:rsidR="00BD394F" w:rsidRPr="007C485F" w:rsidRDefault="00BD394F" w:rsidP="00AD5FF5">
            <w:pPr>
              <w:pStyle w:val="Tabletext"/>
              <w:keepNext/>
              <w:keepLines/>
            </w:pPr>
          </w:p>
        </w:tc>
      </w:tr>
      <w:tr w:rsidR="00BD394F" w:rsidRPr="0098262F" w14:paraId="165AB8C1" w14:textId="77777777" w:rsidTr="00ED2009">
        <w:tc>
          <w:tcPr>
            <w:tcW w:w="1380" w:type="pct"/>
          </w:tcPr>
          <w:p w14:paraId="4EEF609A" w14:textId="6A39844B" w:rsidR="00BD394F" w:rsidRPr="007C485F" w:rsidRDefault="00BD394F" w:rsidP="00AD5FF5">
            <w:pPr>
              <w:pStyle w:val="Tabletext"/>
              <w:keepNext/>
              <w:keepLines/>
            </w:pPr>
            <w:r w:rsidRPr="007C485F">
              <w:t>Proportion applicable to indication</w:t>
            </w:r>
          </w:p>
        </w:tc>
        <w:tc>
          <w:tcPr>
            <w:tcW w:w="604" w:type="pct"/>
            <w:vAlign w:val="center"/>
          </w:tcPr>
          <w:p w14:paraId="5059D19B" w14:textId="46FFF634" w:rsidR="00BD394F" w:rsidRPr="007C485F" w:rsidRDefault="00BD394F" w:rsidP="00AD5FF5">
            <w:pPr>
              <w:pStyle w:val="Tabletext"/>
              <w:keepNext/>
              <w:keepLines/>
            </w:pPr>
            <w:bookmarkStart w:id="58" w:name="_Toc202531143"/>
            <w:r w:rsidRPr="007C485F">
              <w:t>91.41%</w:t>
            </w:r>
            <w:bookmarkEnd w:id="58"/>
          </w:p>
        </w:tc>
        <w:tc>
          <w:tcPr>
            <w:tcW w:w="604" w:type="pct"/>
            <w:vAlign w:val="center"/>
          </w:tcPr>
          <w:p w14:paraId="20CB0319" w14:textId="6494FF95" w:rsidR="00BD394F" w:rsidRPr="007C485F" w:rsidRDefault="00BD394F" w:rsidP="00AD5FF5">
            <w:pPr>
              <w:pStyle w:val="Tabletext"/>
              <w:keepNext/>
              <w:keepLines/>
            </w:pPr>
            <w:bookmarkStart w:id="59" w:name="_Toc202531144"/>
            <w:r w:rsidRPr="007C485F">
              <w:t>91.41%</w:t>
            </w:r>
            <w:bookmarkEnd w:id="59"/>
          </w:p>
        </w:tc>
        <w:tc>
          <w:tcPr>
            <w:tcW w:w="604" w:type="pct"/>
            <w:vAlign w:val="center"/>
          </w:tcPr>
          <w:p w14:paraId="27429D1E" w14:textId="431DD70A" w:rsidR="00BD394F" w:rsidRPr="007C485F" w:rsidRDefault="00BD394F" w:rsidP="00AD5FF5">
            <w:pPr>
              <w:pStyle w:val="Tabletext"/>
              <w:keepNext/>
              <w:keepLines/>
            </w:pPr>
            <w:bookmarkStart w:id="60" w:name="_Toc202531145"/>
            <w:r w:rsidRPr="007C485F">
              <w:t>91.41%</w:t>
            </w:r>
            <w:bookmarkEnd w:id="60"/>
          </w:p>
        </w:tc>
        <w:tc>
          <w:tcPr>
            <w:tcW w:w="604" w:type="pct"/>
            <w:vAlign w:val="center"/>
          </w:tcPr>
          <w:p w14:paraId="419242DE" w14:textId="6ACF614A" w:rsidR="00BD394F" w:rsidRPr="007C485F" w:rsidRDefault="00BD394F" w:rsidP="00AD5FF5">
            <w:pPr>
              <w:pStyle w:val="Tabletext"/>
              <w:keepNext/>
              <w:keepLines/>
            </w:pPr>
            <w:bookmarkStart w:id="61" w:name="_Toc202531146"/>
            <w:r w:rsidRPr="007C485F">
              <w:t>91.41%</w:t>
            </w:r>
            <w:bookmarkEnd w:id="61"/>
          </w:p>
        </w:tc>
        <w:tc>
          <w:tcPr>
            <w:tcW w:w="604" w:type="pct"/>
            <w:vAlign w:val="center"/>
          </w:tcPr>
          <w:p w14:paraId="231C169E" w14:textId="30D438BD" w:rsidR="00BD394F" w:rsidRPr="007C485F" w:rsidRDefault="00BD394F" w:rsidP="00AD5FF5">
            <w:pPr>
              <w:pStyle w:val="Tabletext"/>
              <w:keepNext/>
              <w:keepLines/>
            </w:pPr>
            <w:bookmarkStart w:id="62" w:name="_Toc202531147"/>
            <w:r w:rsidRPr="007C485F">
              <w:t>91.41%</w:t>
            </w:r>
            <w:bookmarkEnd w:id="62"/>
          </w:p>
        </w:tc>
        <w:tc>
          <w:tcPr>
            <w:tcW w:w="600" w:type="pct"/>
            <w:vAlign w:val="center"/>
          </w:tcPr>
          <w:p w14:paraId="079C6852" w14:textId="589170DE" w:rsidR="00BD394F" w:rsidRPr="007C485F" w:rsidRDefault="00BD394F" w:rsidP="00AD5FF5">
            <w:pPr>
              <w:pStyle w:val="Tabletext"/>
              <w:keepNext/>
              <w:keepLines/>
            </w:pPr>
            <w:bookmarkStart w:id="63" w:name="_Toc202531148"/>
            <w:r w:rsidRPr="007C485F">
              <w:t>91.41%</w:t>
            </w:r>
            <w:bookmarkEnd w:id="63"/>
          </w:p>
        </w:tc>
      </w:tr>
      <w:tr w:rsidR="00BD394F" w:rsidRPr="0098262F" w14:paraId="3A3B2D14" w14:textId="77777777" w:rsidTr="00ED2009">
        <w:tc>
          <w:tcPr>
            <w:tcW w:w="1380" w:type="pct"/>
          </w:tcPr>
          <w:p w14:paraId="4F7037BA" w14:textId="3256CE72" w:rsidR="00BD394F" w:rsidRPr="007C485F" w:rsidRDefault="00BD394F" w:rsidP="00AD5FF5">
            <w:pPr>
              <w:pStyle w:val="Tabletext"/>
              <w:keepNext/>
              <w:keepLines/>
            </w:pPr>
            <w:r w:rsidRPr="007C485F">
              <w:t xml:space="preserve">Proportion affected by </w:t>
            </w:r>
            <w:r w:rsidR="003F34B8">
              <w:t>GPB</w:t>
            </w:r>
          </w:p>
        </w:tc>
        <w:tc>
          <w:tcPr>
            <w:tcW w:w="604" w:type="pct"/>
            <w:vAlign w:val="center"/>
          </w:tcPr>
          <w:p w14:paraId="1F16AFD7" w14:textId="3F57AA2C" w:rsidR="00BD394F" w:rsidRPr="007C485F" w:rsidRDefault="00FE3B86" w:rsidP="00AD5FF5">
            <w:pPr>
              <w:pStyle w:val="Tabletext"/>
              <w:keepNext/>
              <w:keepLines/>
            </w:pPr>
            <w:bookmarkStart w:id="64" w:name="_Toc202531150"/>
            <w:r w:rsidRPr="004F06D3">
              <w:rPr>
                <w:highlight w:val="black"/>
              </w:rPr>
              <w:t>&amp;&amp;&amp;&amp;</w:t>
            </w:r>
            <w:r w:rsidR="00BD394F" w:rsidRPr="007C485F">
              <w:t>%</w:t>
            </w:r>
            <w:bookmarkEnd w:id="64"/>
          </w:p>
        </w:tc>
        <w:tc>
          <w:tcPr>
            <w:tcW w:w="604" w:type="pct"/>
            <w:vAlign w:val="center"/>
          </w:tcPr>
          <w:p w14:paraId="446499B5" w14:textId="119421B1" w:rsidR="00BD394F" w:rsidRPr="007C485F" w:rsidRDefault="00FE3B86" w:rsidP="00AD5FF5">
            <w:pPr>
              <w:pStyle w:val="Tabletext"/>
              <w:keepNext/>
              <w:keepLines/>
            </w:pPr>
            <w:bookmarkStart w:id="65" w:name="_Toc202531151"/>
            <w:r w:rsidRPr="004F06D3">
              <w:rPr>
                <w:highlight w:val="black"/>
              </w:rPr>
              <w:t>&amp;&amp;&amp;&amp;</w:t>
            </w:r>
            <w:r w:rsidR="00BD394F" w:rsidRPr="007C485F">
              <w:t>%</w:t>
            </w:r>
            <w:bookmarkEnd w:id="65"/>
          </w:p>
        </w:tc>
        <w:tc>
          <w:tcPr>
            <w:tcW w:w="604" w:type="pct"/>
            <w:vAlign w:val="center"/>
          </w:tcPr>
          <w:p w14:paraId="62697CFC" w14:textId="4D8606E7" w:rsidR="00BD394F" w:rsidRPr="007C485F" w:rsidRDefault="00FE3B86" w:rsidP="00AD5FF5">
            <w:pPr>
              <w:pStyle w:val="Tabletext"/>
              <w:keepNext/>
              <w:keepLines/>
            </w:pPr>
            <w:bookmarkStart w:id="66" w:name="_Toc202531152"/>
            <w:r w:rsidRPr="004F06D3">
              <w:rPr>
                <w:highlight w:val="black"/>
              </w:rPr>
              <w:t>&amp;&amp;&amp;&amp;</w:t>
            </w:r>
            <w:r w:rsidR="00BD394F" w:rsidRPr="007C485F">
              <w:t>%</w:t>
            </w:r>
            <w:bookmarkEnd w:id="66"/>
          </w:p>
        </w:tc>
        <w:tc>
          <w:tcPr>
            <w:tcW w:w="604" w:type="pct"/>
            <w:vAlign w:val="center"/>
          </w:tcPr>
          <w:p w14:paraId="03ECAD49" w14:textId="11869765" w:rsidR="00BD394F" w:rsidRPr="007C485F" w:rsidRDefault="00FE3B86" w:rsidP="00AD5FF5">
            <w:pPr>
              <w:pStyle w:val="Tabletext"/>
              <w:keepNext/>
              <w:keepLines/>
            </w:pPr>
            <w:bookmarkStart w:id="67" w:name="_Toc202531153"/>
            <w:r w:rsidRPr="004F06D3">
              <w:rPr>
                <w:highlight w:val="black"/>
              </w:rPr>
              <w:t>&amp;&amp;&amp;&amp;</w:t>
            </w:r>
            <w:r w:rsidR="00BD394F" w:rsidRPr="007C485F">
              <w:t>%</w:t>
            </w:r>
            <w:bookmarkEnd w:id="67"/>
          </w:p>
        </w:tc>
        <w:tc>
          <w:tcPr>
            <w:tcW w:w="604" w:type="pct"/>
            <w:vAlign w:val="center"/>
          </w:tcPr>
          <w:p w14:paraId="29C085EA" w14:textId="4A58F207" w:rsidR="00BD394F" w:rsidRPr="007C485F" w:rsidRDefault="00FE3B86" w:rsidP="00AD5FF5">
            <w:pPr>
              <w:pStyle w:val="Tabletext"/>
              <w:keepNext/>
              <w:keepLines/>
            </w:pPr>
            <w:bookmarkStart w:id="68" w:name="_Toc202531154"/>
            <w:r w:rsidRPr="004F06D3">
              <w:rPr>
                <w:highlight w:val="black"/>
              </w:rPr>
              <w:t>&amp;&amp;&amp;&amp;</w:t>
            </w:r>
            <w:r w:rsidR="00BD394F" w:rsidRPr="007C485F">
              <w:t>%</w:t>
            </w:r>
            <w:bookmarkEnd w:id="68"/>
          </w:p>
        </w:tc>
        <w:tc>
          <w:tcPr>
            <w:tcW w:w="600" w:type="pct"/>
            <w:vAlign w:val="center"/>
          </w:tcPr>
          <w:p w14:paraId="59DE24EB" w14:textId="741BB7F5" w:rsidR="00BD394F" w:rsidRPr="007C485F" w:rsidRDefault="00FE3B86" w:rsidP="00AD5FF5">
            <w:pPr>
              <w:pStyle w:val="Tabletext"/>
              <w:keepNext/>
              <w:keepLines/>
            </w:pPr>
            <w:bookmarkStart w:id="69" w:name="_Toc202531155"/>
            <w:r w:rsidRPr="004F06D3">
              <w:rPr>
                <w:highlight w:val="black"/>
              </w:rPr>
              <w:t>&amp;&amp;&amp;&amp;</w:t>
            </w:r>
            <w:r w:rsidR="00BD394F" w:rsidRPr="007C485F">
              <w:t>%</w:t>
            </w:r>
            <w:bookmarkEnd w:id="69"/>
          </w:p>
        </w:tc>
      </w:tr>
      <w:tr w:rsidR="00BD394F" w:rsidRPr="0098262F" w14:paraId="52355122" w14:textId="77777777" w:rsidTr="00ED2009">
        <w:tc>
          <w:tcPr>
            <w:tcW w:w="1380" w:type="pct"/>
          </w:tcPr>
          <w:p w14:paraId="68E9F037" w14:textId="6FA717A6" w:rsidR="00BD394F" w:rsidRPr="007C485F" w:rsidRDefault="00BD394F" w:rsidP="00AD5FF5">
            <w:pPr>
              <w:pStyle w:val="Tabletext"/>
              <w:keepNext/>
              <w:keepLines/>
            </w:pPr>
            <w:r w:rsidRPr="007C485F">
              <w:t>Net effect - PBS/RPBS</w:t>
            </w:r>
          </w:p>
        </w:tc>
        <w:tc>
          <w:tcPr>
            <w:tcW w:w="604" w:type="pct"/>
            <w:vAlign w:val="center"/>
          </w:tcPr>
          <w:p w14:paraId="71B159F3" w14:textId="228A2E4A" w:rsidR="00BD394F" w:rsidRPr="007C485F" w:rsidRDefault="00FE3B86" w:rsidP="00AD5FF5">
            <w:pPr>
              <w:pStyle w:val="Tabletext"/>
              <w:keepNext/>
              <w:keepLines/>
            </w:pPr>
            <w:r w:rsidRPr="004F06D3">
              <w:rPr>
                <w:highlight w:val="black"/>
              </w:rPr>
              <w:t>&amp;&amp;&amp;&amp;</w:t>
            </w:r>
            <w:r w:rsidR="00DF6E66">
              <w:rPr>
                <w:vertAlign w:val="superscript"/>
              </w:rPr>
              <w:t>3</w:t>
            </w:r>
          </w:p>
        </w:tc>
        <w:tc>
          <w:tcPr>
            <w:tcW w:w="604" w:type="pct"/>
            <w:vAlign w:val="center"/>
          </w:tcPr>
          <w:p w14:paraId="3BD4B5AA" w14:textId="203F4D3C" w:rsidR="00BD394F" w:rsidRPr="007C485F" w:rsidRDefault="00FE3B86" w:rsidP="00AD5FF5">
            <w:pPr>
              <w:pStyle w:val="Tabletext"/>
              <w:keepNext/>
              <w:keepLines/>
            </w:pPr>
            <w:r w:rsidRPr="004F06D3">
              <w:rPr>
                <w:highlight w:val="black"/>
              </w:rPr>
              <w:t>&amp;&amp;&amp;&amp;</w:t>
            </w:r>
            <w:r w:rsidR="00DF6E66">
              <w:rPr>
                <w:vertAlign w:val="superscript"/>
              </w:rPr>
              <w:t>3</w:t>
            </w:r>
          </w:p>
        </w:tc>
        <w:tc>
          <w:tcPr>
            <w:tcW w:w="604" w:type="pct"/>
            <w:vAlign w:val="center"/>
          </w:tcPr>
          <w:p w14:paraId="6A4A144B" w14:textId="1C9FD60D" w:rsidR="00BD394F" w:rsidRPr="007C485F" w:rsidRDefault="00FE3B86" w:rsidP="00AD5FF5">
            <w:pPr>
              <w:pStyle w:val="Tabletext"/>
              <w:keepNext/>
              <w:keepLines/>
            </w:pPr>
            <w:r w:rsidRPr="004F06D3">
              <w:rPr>
                <w:highlight w:val="black"/>
              </w:rPr>
              <w:t>&amp;&amp;&amp;&amp;</w:t>
            </w:r>
            <w:r w:rsidR="00DF6E66">
              <w:rPr>
                <w:vertAlign w:val="superscript"/>
              </w:rPr>
              <w:t>3</w:t>
            </w:r>
            <w:r w:rsidR="00BD394F" w:rsidRPr="007C485F">
              <w:t xml:space="preserve"> </w:t>
            </w:r>
          </w:p>
        </w:tc>
        <w:tc>
          <w:tcPr>
            <w:tcW w:w="604" w:type="pct"/>
            <w:vAlign w:val="center"/>
          </w:tcPr>
          <w:p w14:paraId="36F983C6" w14:textId="518B1EE6" w:rsidR="00BD394F" w:rsidRPr="007C485F" w:rsidRDefault="00FE3B86" w:rsidP="00AD5FF5">
            <w:pPr>
              <w:pStyle w:val="Tabletext"/>
              <w:keepNext/>
              <w:keepLines/>
            </w:pPr>
            <w:r w:rsidRPr="004F06D3">
              <w:rPr>
                <w:highlight w:val="black"/>
              </w:rPr>
              <w:t>&amp;&amp;&amp;&amp;</w:t>
            </w:r>
            <w:r w:rsidR="00064338">
              <w:rPr>
                <w:vertAlign w:val="superscript"/>
              </w:rPr>
              <w:t>4</w:t>
            </w:r>
          </w:p>
        </w:tc>
        <w:tc>
          <w:tcPr>
            <w:tcW w:w="604" w:type="pct"/>
            <w:vAlign w:val="center"/>
          </w:tcPr>
          <w:p w14:paraId="1D410671" w14:textId="669C8F62" w:rsidR="00BD394F" w:rsidRPr="007C485F" w:rsidRDefault="00FE3B86" w:rsidP="00AD5FF5">
            <w:pPr>
              <w:pStyle w:val="Tabletext"/>
              <w:keepNext/>
              <w:keepLines/>
            </w:pPr>
            <w:r w:rsidRPr="004F06D3">
              <w:rPr>
                <w:highlight w:val="black"/>
              </w:rPr>
              <w:t>&amp;&amp;&amp;&amp;</w:t>
            </w:r>
            <w:r w:rsidR="00064338" w:rsidRPr="00064338">
              <w:rPr>
                <w:vertAlign w:val="superscript"/>
              </w:rPr>
              <w:t>4</w:t>
            </w:r>
          </w:p>
        </w:tc>
        <w:tc>
          <w:tcPr>
            <w:tcW w:w="600" w:type="pct"/>
            <w:vAlign w:val="center"/>
          </w:tcPr>
          <w:p w14:paraId="62A0E9C7" w14:textId="4410B7D6" w:rsidR="00BD394F" w:rsidRPr="007C485F" w:rsidRDefault="00FE3B86" w:rsidP="00AD5FF5">
            <w:pPr>
              <w:pStyle w:val="Tabletext"/>
              <w:keepNext/>
              <w:keepLines/>
            </w:pPr>
            <w:r w:rsidRPr="004F06D3">
              <w:rPr>
                <w:highlight w:val="black"/>
              </w:rPr>
              <w:t>&amp;&amp;&amp;&amp;</w:t>
            </w:r>
            <w:r w:rsidR="00064338">
              <w:rPr>
                <w:vertAlign w:val="superscript"/>
              </w:rPr>
              <w:t>4</w:t>
            </w:r>
            <w:r w:rsidR="00BD394F" w:rsidRPr="007C485F">
              <w:t xml:space="preserve"> </w:t>
            </w:r>
          </w:p>
        </w:tc>
      </w:tr>
      <w:tr w:rsidR="00BD394F" w:rsidRPr="0098262F" w14:paraId="66517DAF" w14:textId="77777777" w:rsidTr="00ED2009">
        <w:tc>
          <w:tcPr>
            <w:tcW w:w="1380" w:type="pct"/>
          </w:tcPr>
          <w:p w14:paraId="70D97ACE" w14:textId="511F8A16" w:rsidR="00BD394F" w:rsidRPr="007C485F" w:rsidRDefault="00BD394F" w:rsidP="00AD5FF5">
            <w:pPr>
              <w:pStyle w:val="Tabletext"/>
              <w:keepNext/>
              <w:keepLines/>
            </w:pPr>
            <w:r w:rsidRPr="007C485F">
              <w:t>Script equivalence</w:t>
            </w:r>
          </w:p>
        </w:tc>
        <w:tc>
          <w:tcPr>
            <w:tcW w:w="604" w:type="pct"/>
            <w:vAlign w:val="center"/>
          </w:tcPr>
          <w:p w14:paraId="62492247" w14:textId="49A83272" w:rsidR="00BD394F" w:rsidRPr="007C485F" w:rsidRDefault="00BD394F" w:rsidP="00AD5FF5">
            <w:pPr>
              <w:pStyle w:val="Tabletext"/>
              <w:keepNext/>
              <w:keepLines/>
            </w:pPr>
            <w:r w:rsidRPr="007C485F">
              <w:t>1.93</w:t>
            </w:r>
          </w:p>
        </w:tc>
        <w:tc>
          <w:tcPr>
            <w:tcW w:w="604" w:type="pct"/>
            <w:vAlign w:val="center"/>
          </w:tcPr>
          <w:p w14:paraId="2AB4D7C9" w14:textId="2B331B08" w:rsidR="00BD394F" w:rsidRPr="007C485F" w:rsidRDefault="00BD394F" w:rsidP="00AD5FF5">
            <w:pPr>
              <w:pStyle w:val="Tabletext"/>
              <w:keepNext/>
              <w:keepLines/>
            </w:pPr>
            <w:r w:rsidRPr="007C485F">
              <w:t>1.93</w:t>
            </w:r>
          </w:p>
        </w:tc>
        <w:tc>
          <w:tcPr>
            <w:tcW w:w="604" w:type="pct"/>
            <w:vAlign w:val="center"/>
          </w:tcPr>
          <w:p w14:paraId="76C6F343" w14:textId="016BBE56" w:rsidR="00BD394F" w:rsidRPr="007C485F" w:rsidRDefault="00BD394F" w:rsidP="00AD5FF5">
            <w:pPr>
              <w:pStyle w:val="Tabletext"/>
              <w:keepNext/>
              <w:keepLines/>
            </w:pPr>
            <w:r w:rsidRPr="007C485F">
              <w:t>1.93</w:t>
            </w:r>
          </w:p>
        </w:tc>
        <w:tc>
          <w:tcPr>
            <w:tcW w:w="604" w:type="pct"/>
            <w:vAlign w:val="center"/>
          </w:tcPr>
          <w:p w14:paraId="496F48DA" w14:textId="0D2B613A" w:rsidR="00BD394F" w:rsidRPr="007C485F" w:rsidRDefault="00BD394F" w:rsidP="00AD5FF5">
            <w:pPr>
              <w:pStyle w:val="Tabletext"/>
              <w:keepNext/>
              <w:keepLines/>
            </w:pPr>
            <w:r w:rsidRPr="007C485F">
              <w:t>1.93</w:t>
            </w:r>
          </w:p>
        </w:tc>
        <w:tc>
          <w:tcPr>
            <w:tcW w:w="604" w:type="pct"/>
            <w:vAlign w:val="center"/>
          </w:tcPr>
          <w:p w14:paraId="4D4AA23F" w14:textId="523C424B" w:rsidR="00BD394F" w:rsidRPr="007C485F" w:rsidRDefault="00BD394F" w:rsidP="00AD5FF5">
            <w:pPr>
              <w:pStyle w:val="Tabletext"/>
              <w:keepNext/>
              <w:keepLines/>
            </w:pPr>
            <w:r w:rsidRPr="007C485F">
              <w:t>1.93</w:t>
            </w:r>
          </w:p>
        </w:tc>
        <w:tc>
          <w:tcPr>
            <w:tcW w:w="600" w:type="pct"/>
            <w:vAlign w:val="center"/>
          </w:tcPr>
          <w:p w14:paraId="433F1690" w14:textId="2D376644" w:rsidR="00BD394F" w:rsidRPr="007C485F" w:rsidRDefault="00BD394F" w:rsidP="00AD5FF5">
            <w:pPr>
              <w:pStyle w:val="Tabletext"/>
              <w:keepNext/>
              <w:keepLines/>
            </w:pPr>
            <w:r w:rsidRPr="007C485F">
              <w:t>1.93</w:t>
            </w:r>
          </w:p>
        </w:tc>
      </w:tr>
      <w:tr w:rsidR="00BD394F" w:rsidRPr="0098262F" w14:paraId="0491DCD7" w14:textId="77777777" w:rsidTr="00ED2009">
        <w:tc>
          <w:tcPr>
            <w:tcW w:w="1380" w:type="pct"/>
          </w:tcPr>
          <w:p w14:paraId="2BC2FE41" w14:textId="3FAFDAAF" w:rsidR="00BD394F" w:rsidRPr="007C485F" w:rsidRDefault="00BD394F" w:rsidP="00AD5FF5">
            <w:pPr>
              <w:pStyle w:val="Tabletext"/>
              <w:keepNext/>
              <w:keepLines/>
            </w:pPr>
            <w:r w:rsidRPr="007C485F">
              <w:t>Total prescriptions</w:t>
            </w:r>
          </w:p>
        </w:tc>
        <w:tc>
          <w:tcPr>
            <w:tcW w:w="604" w:type="pct"/>
            <w:vAlign w:val="center"/>
          </w:tcPr>
          <w:p w14:paraId="72A0D7C1" w14:textId="24E50C0F" w:rsidR="00BD394F" w:rsidRPr="00064338" w:rsidRDefault="00FE3B86" w:rsidP="00AD5FF5">
            <w:pPr>
              <w:pStyle w:val="Tabletext"/>
              <w:keepNext/>
              <w:keepLines/>
              <w:rPr>
                <w:vertAlign w:val="superscript"/>
              </w:rPr>
            </w:pPr>
            <w:r w:rsidRPr="004F06D3">
              <w:rPr>
                <w:highlight w:val="black"/>
              </w:rPr>
              <w:t>&amp;&amp;&amp;&amp;</w:t>
            </w:r>
            <w:r w:rsidR="00064338">
              <w:rPr>
                <w:vertAlign w:val="superscript"/>
              </w:rPr>
              <w:t>4</w:t>
            </w:r>
          </w:p>
        </w:tc>
        <w:tc>
          <w:tcPr>
            <w:tcW w:w="604" w:type="pct"/>
            <w:vAlign w:val="center"/>
          </w:tcPr>
          <w:p w14:paraId="1F8206A5" w14:textId="32D9EB1C" w:rsidR="00BD394F" w:rsidRPr="007C485F" w:rsidRDefault="00FE3B86" w:rsidP="00AD5FF5">
            <w:pPr>
              <w:pStyle w:val="Tabletext"/>
              <w:keepNext/>
              <w:keepLines/>
            </w:pPr>
            <w:r w:rsidRPr="004F06D3">
              <w:rPr>
                <w:highlight w:val="black"/>
              </w:rPr>
              <w:t>&amp;&amp;&amp;&amp;</w:t>
            </w:r>
            <w:r w:rsidR="00064338">
              <w:rPr>
                <w:vertAlign w:val="superscript"/>
              </w:rPr>
              <w:t>4</w:t>
            </w:r>
            <w:r w:rsidR="00BD394F" w:rsidRPr="007C485F">
              <w:t xml:space="preserve"> </w:t>
            </w:r>
          </w:p>
        </w:tc>
        <w:tc>
          <w:tcPr>
            <w:tcW w:w="604" w:type="pct"/>
            <w:vAlign w:val="center"/>
          </w:tcPr>
          <w:p w14:paraId="5A45A143" w14:textId="1877AA9E" w:rsidR="00BD394F" w:rsidRPr="007C485F" w:rsidRDefault="00FE3B86" w:rsidP="00AD5FF5">
            <w:pPr>
              <w:pStyle w:val="Tabletext"/>
              <w:keepNext/>
              <w:keepLines/>
            </w:pPr>
            <w:r w:rsidRPr="004F06D3">
              <w:rPr>
                <w:highlight w:val="black"/>
              </w:rPr>
              <w:t>&amp;&amp;&amp;&amp;</w:t>
            </w:r>
            <w:r w:rsidR="00064338">
              <w:rPr>
                <w:vertAlign w:val="superscript"/>
              </w:rPr>
              <w:t>4</w:t>
            </w:r>
            <w:r w:rsidR="00BD394F" w:rsidRPr="007C485F">
              <w:t xml:space="preserve"> </w:t>
            </w:r>
          </w:p>
        </w:tc>
        <w:tc>
          <w:tcPr>
            <w:tcW w:w="604" w:type="pct"/>
            <w:vAlign w:val="center"/>
          </w:tcPr>
          <w:p w14:paraId="3C485F75" w14:textId="44FB9BF0" w:rsidR="00BD394F" w:rsidRPr="007C485F" w:rsidRDefault="00FE3B86" w:rsidP="00AD5FF5">
            <w:pPr>
              <w:pStyle w:val="Tabletext"/>
              <w:keepNext/>
              <w:keepLines/>
            </w:pPr>
            <w:r w:rsidRPr="004F06D3">
              <w:rPr>
                <w:highlight w:val="black"/>
              </w:rPr>
              <w:t>&amp;&amp;&amp;&amp;</w:t>
            </w:r>
            <w:r w:rsidR="00101FC9">
              <w:rPr>
                <w:vertAlign w:val="superscript"/>
              </w:rPr>
              <w:t>5</w:t>
            </w:r>
            <w:r w:rsidR="00BD394F" w:rsidRPr="007C485F">
              <w:t xml:space="preserve"> </w:t>
            </w:r>
          </w:p>
        </w:tc>
        <w:tc>
          <w:tcPr>
            <w:tcW w:w="604" w:type="pct"/>
            <w:vAlign w:val="center"/>
          </w:tcPr>
          <w:p w14:paraId="3F82D65C" w14:textId="4D9A1DE2" w:rsidR="00BD394F" w:rsidRPr="007C485F" w:rsidRDefault="00FE3B86" w:rsidP="00AD5FF5">
            <w:pPr>
              <w:pStyle w:val="Tabletext"/>
              <w:keepNext/>
              <w:keepLines/>
            </w:pPr>
            <w:r w:rsidRPr="004F06D3">
              <w:rPr>
                <w:highlight w:val="black"/>
              </w:rPr>
              <w:t>&amp;&amp;&amp;&amp;</w:t>
            </w:r>
            <w:r w:rsidR="00101FC9">
              <w:rPr>
                <w:vertAlign w:val="superscript"/>
              </w:rPr>
              <w:t>5</w:t>
            </w:r>
            <w:r w:rsidR="00BD394F" w:rsidRPr="007C485F">
              <w:t xml:space="preserve"> </w:t>
            </w:r>
          </w:p>
        </w:tc>
        <w:tc>
          <w:tcPr>
            <w:tcW w:w="600" w:type="pct"/>
            <w:vAlign w:val="center"/>
          </w:tcPr>
          <w:p w14:paraId="19664C82" w14:textId="4380A66E" w:rsidR="00BD394F" w:rsidRPr="007C485F" w:rsidRDefault="00FE3B86" w:rsidP="00AD5FF5">
            <w:pPr>
              <w:pStyle w:val="Tabletext"/>
              <w:keepNext/>
              <w:keepLines/>
            </w:pPr>
            <w:r w:rsidRPr="004F06D3">
              <w:rPr>
                <w:highlight w:val="black"/>
              </w:rPr>
              <w:t>&amp;&amp;&amp;&amp;</w:t>
            </w:r>
            <w:r w:rsidR="00101FC9">
              <w:rPr>
                <w:vertAlign w:val="superscript"/>
              </w:rPr>
              <w:t>5</w:t>
            </w:r>
            <w:r w:rsidR="00BD394F" w:rsidRPr="007C485F">
              <w:t xml:space="preserve"> </w:t>
            </w:r>
          </w:p>
        </w:tc>
      </w:tr>
      <w:tr w:rsidR="00BD394F" w:rsidRPr="0098262F" w14:paraId="6CD98298" w14:textId="77777777" w:rsidTr="00ED2009">
        <w:tc>
          <w:tcPr>
            <w:tcW w:w="5000" w:type="pct"/>
            <w:gridSpan w:val="7"/>
          </w:tcPr>
          <w:p w14:paraId="35071C68" w14:textId="4B44C086" w:rsidR="00BD394F" w:rsidRPr="0098262F" w:rsidRDefault="00BD394F" w:rsidP="00AD5FF5">
            <w:pPr>
              <w:pStyle w:val="TableFigureHeading"/>
              <w:keepLines/>
            </w:pPr>
            <w:r>
              <w:t>Epidemiological approach</w:t>
            </w:r>
          </w:p>
        </w:tc>
      </w:tr>
      <w:tr w:rsidR="00BD394F" w:rsidRPr="0098262F" w14:paraId="5A997CC5" w14:textId="77777777" w:rsidTr="00ED2009">
        <w:tc>
          <w:tcPr>
            <w:tcW w:w="1380" w:type="pct"/>
          </w:tcPr>
          <w:p w14:paraId="576D9FDC" w14:textId="38812C9E" w:rsidR="00BD394F" w:rsidRPr="0098262F" w:rsidRDefault="00BD394F" w:rsidP="00AD5FF5">
            <w:pPr>
              <w:pStyle w:val="Tabletext"/>
              <w:keepNext/>
              <w:keepLines/>
            </w:pPr>
            <w:r>
              <w:t xml:space="preserve">Prevalent population </w:t>
            </w:r>
          </w:p>
        </w:tc>
        <w:tc>
          <w:tcPr>
            <w:tcW w:w="604" w:type="pct"/>
          </w:tcPr>
          <w:p w14:paraId="239AAE8A" w14:textId="22301619" w:rsidR="00BD394F" w:rsidRPr="00B70FCC" w:rsidRDefault="00FE3B86" w:rsidP="00AD5FF5">
            <w:pPr>
              <w:pStyle w:val="Tabletext"/>
              <w:keepNext/>
              <w:keepLines/>
            </w:pPr>
            <w:r w:rsidRPr="004F06D3">
              <w:rPr>
                <w:highlight w:val="black"/>
              </w:rPr>
              <w:t>&amp;&amp;&amp;&amp;</w:t>
            </w:r>
            <w:r w:rsidR="000051C6">
              <w:rPr>
                <w:vertAlign w:val="superscript"/>
              </w:rPr>
              <w:t>6</w:t>
            </w:r>
            <w:r w:rsidR="00BD394F" w:rsidRPr="00B70FCC">
              <w:t xml:space="preserve"> </w:t>
            </w:r>
          </w:p>
        </w:tc>
        <w:tc>
          <w:tcPr>
            <w:tcW w:w="604" w:type="pct"/>
          </w:tcPr>
          <w:p w14:paraId="0026A207" w14:textId="2545D5C2" w:rsidR="00BD394F" w:rsidRPr="00B70FCC" w:rsidRDefault="00FE3B86" w:rsidP="00AD5FF5">
            <w:pPr>
              <w:pStyle w:val="Tabletext"/>
              <w:keepNext/>
              <w:keepLines/>
            </w:pPr>
            <w:r w:rsidRPr="004F06D3">
              <w:rPr>
                <w:highlight w:val="black"/>
              </w:rPr>
              <w:t>&amp;&amp;&amp;&amp;</w:t>
            </w:r>
            <w:r w:rsidR="000051C6">
              <w:rPr>
                <w:vertAlign w:val="superscript"/>
              </w:rPr>
              <w:t>6</w:t>
            </w:r>
            <w:r w:rsidR="00BD394F" w:rsidRPr="00B70FCC">
              <w:t xml:space="preserve"> </w:t>
            </w:r>
          </w:p>
        </w:tc>
        <w:tc>
          <w:tcPr>
            <w:tcW w:w="604" w:type="pct"/>
          </w:tcPr>
          <w:p w14:paraId="65229B5E" w14:textId="6C96CEF2" w:rsidR="00BD394F" w:rsidRPr="00B70FCC" w:rsidRDefault="00FE3B86" w:rsidP="00AD5FF5">
            <w:pPr>
              <w:pStyle w:val="Tabletext"/>
              <w:keepNext/>
              <w:keepLines/>
            </w:pPr>
            <w:r w:rsidRPr="004F06D3">
              <w:rPr>
                <w:highlight w:val="black"/>
              </w:rPr>
              <w:t>&amp;&amp;&amp;&amp;</w:t>
            </w:r>
            <w:r w:rsidR="000051C6">
              <w:rPr>
                <w:vertAlign w:val="superscript"/>
              </w:rPr>
              <w:t>6</w:t>
            </w:r>
            <w:r w:rsidR="00BD394F" w:rsidRPr="00B70FCC">
              <w:t xml:space="preserve"> </w:t>
            </w:r>
          </w:p>
        </w:tc>
        <w:tc>
          <w:tcPr>
            <w:tcW w:w="604" w:type="pct"/>
          </w:tcPr>
          <w:p w14:paraId="7BAF4129" w14:textId="125F89B0" w:rsidR="00BD394F" w:rsidRPr="00B70FCC" w:rsidRDefault="00FE3B86" w:rsidP="00AD5FF5">
            <w:pPr>
              <w:pStyle w:val="Tabletext"/>
              <w:keepNext/>
              <w:keepLines/>
            </w:pPr>
            <w:r w:rsidRPr="004F06D3">
              <w:rPr>
                <w:highlight w:val="black"/>
              </w:rPr>
              <w:t>&amp;&amp;&amp;&amp;</w:t>
            </w:r>
            <w:r w:rsidR="000051C6">
              <w:rPr>
                <w:vertAlign w:val="superscript"/>
              </w:rPr>
              <w:t>6</w:t>
            </w:r>
            <w:r w:rsidR="00BD394F" w:rsidRPr="00B70FCC">
              <w:t xml:space="preserve"> </w:t>
            </w:r>
          </w:p>
        </w:tc>
        <w:tc>
          <w:tcPr>
            <w:tcW w:w="604" w:type="pct"/>
          </w:tcPr>
          <w:p w14:paraId="0D63AC39" w14:textId="6FA47F0F" w:rsidR="00BD394F" w:rsidRPr="00B70FCC" w:rsidRDefault="00FE3B86" w:rsidP="00AD5FF5">
            <w:pPr>
              <w:pStyle w:val="Tabletext"/>
              <w:keepNext/>
              <w:keepLines/>
            </w:pPr>
            <w:r w:rsidRPr="004F06D3">
              <w:rPr>
                <w:highlight w:val="black"/>
              </w:rPr>
              <w:t>&amp;&amp;&amp;&amp;</w:t>
            </w:r>
            <w:r w:rsidR="000051C6">
              <w:rPr>
                <w:vertAlign w:val="superscript"/>
              </w:rPr>
              <w:t>6</w:t>
            </w:r>
            <w:r w:rsidR="00BD394F" w:rsidRPr="00B70FCC">
              <w:t xml:space="preserve"> </w:t>
            </w:r>
          </w:p>
        </w:tc>
        <w:tc>
          <w:tcPr>
            <w:tcW w:w="600" w:type="pct"/>
          </w:tcPr>
          <w:p w14:paraId="43D2B098" w14:textId="0C118825" w:rsidR="00BD394F" w:rsidRPr="00B70FCC" w:rsidRDefault="00FE3B86" w:rsidP="00AD5FF5">
            <w:pPr>
              <w:pStyle w:val="Tabletext"/>
              <w:keepNext/>
              <w:keepLines/>
            </w:pPr>
            <w:r w:rsidRPr="004F06D3">
              <w:rPr>
                <w:highlight w:val="black"/>
              </w:rPr>
              <w:t>&amp;&amp;&amp;&amp;</w:t>
            </w:r>
            <w:r w:rsidR="000051C6">
              <w:rPr>
                <w:vertAlign w:val="superscript"/>
              </w:rPr>
              <w:t>6</w:t>
            </w:r>
            <w:r w:rsidR="00BD394F" w:rsidRPr="00B70FCC">
              <w:t xml:space="preserve"> </w:t>
            </w:r>
          </w:p>
        </w:tc>
      </w:tr>
      <w:tr w:rsidR="00BD394F" w:rsidRPr="0098262F" w14:paraId="77326F53" w14:textId="77777777" w:rsidTr="00ED2009">
        <w:tc>
          <w:tcPr>
            <w:tcW w:w="1380" w:type="pct"/>
          </w:tcPr>
          <w:p w14:paraId="3D3B88D7" w14:textId="299CFA30" w:rsidR="00BD394F" w:rsidRPr="0098262F" w:rsidRDefault="00BD394F" w:rsidP="00AD5FF5">
            <w:pPr>
              <w:pStyle w:val="Tabletext"/>
              <w:keepNext/>
              <w:keepLines/>
            </w:pPr>
            <w:r>
              <w:t>Age &gt;=</w:t>
            </w:r>
            <w:r w:rsidR="001063F0">
              <w:t xml:space="preserve"> </w:t>
            </w:r>
            <w:r>
              <w:t>18</w:t>
            </w:r>
          </w:p>
        </w:tc>
        <w:tc>
          <w:tcPr>
            <w:tcW w:w="604" w:type="pct"/>
            <w:vAlign w:val="center"/>
          </w:tcPr>
          <w:p w14:paraId="2FFD627E" w14:textId="5989937D" w:rsidR="00BD394F" w:rsidRPr="0098262F" w:rsidRDefault="00BD394F" w:rsidP="00AD5FF5">
            <w:pPr>
              <w:pStyle w:val="Tabletext"/>
              <w:keepNext/>
              <w:keepLines/>
            </w:pPr>
            <w:r>
              <w:t>77.70%</w:t>
            </w:r>
          </w:p>
        </w:tc>
        <w:tc>
          <w:tcPr>
            <w:tcW w:w="604" w:type="pct"/>
            <w:vAlign w:val="center"/>
          </w:tcPr>
          <w:p w14:paraId="26B85311" w14:textId="36AF3061" w:rsidR="00BD394F" w:rsidRPr="0098262F" w:rsidRDefault="00BD394F" w:rsidP="00AD5FF5">
            <w:pPr>
              <w:pStyle w:val="Tabletext"/>
              <w:keepNext/>
              <w:keepLines/>
            </w:pPr>
            <w:r>
              <w:t>77.70%</w:t>
            </w:r>
          </w:p>
        </w:tc>
        <w:tc>
          <w:tcPr>
            <w:tcW w:w="604" w:type="pct"/>
            <w:vAlign w:val="center"/>
          </w:tcPr>
          <w:p w14:paraId="08577E1C" w14:textId="6F1137A7" w:rsidR="00BD394F" w:rsidRPr="0098262F" w:rsidRDefault="00BD394F" w:rsidP="00AD5FF5">
            <w:pPr>
              <w:pStyle w:val="Tabletext"/>
              <w:keepNext/>
              <w:keepLines/>
            </w:pPr>
            <w:r>
              <w:t>77.70%</w:t>
            </w:r>
          </w:p>
        </w:tc>
        <w:tc>
          <w:tcPr>
            <w:tcW w:w="604" w:type="pct"/>
            <w:vAlign w:val="center"/>
          </w:tcPr>
          <w:p w14:paraId="1F8D9DDD" w14:textId="43C5BC97" w:rsidR="00BD394F" w:rsidRPr="0098262F" w:rsidRDefault="00BD394F" w:rsidP="00AD5FF5">
            <w:pPr>
              <w:pStyle w:val="Tabletext"/>
              <w:keepNext/>
              <w:keepLines/>
            </w:pPr>
            <w:r>
              <w:t>77.70%</w:t>
            </w:r>
          </w:p>
        </w:tc>
        <w:tc>
          <w:tcPr>
            <w:tcW w:w="604" w:type="pct"/>
            <w:vAlign w:val="center"/>
          </w:tcPr>
          <w:p w14:paraId="16EDE8C6" w14:textId="71537178" w:rsidR="00BD394F" w:rsidRPr="0098262F" w:rsidRDefault="00BD394F" w:rsidP="00AD5FF5">
            <w:pPr>
              <w:pStyle w:val="Tabletext"/>
              <w:keepNext/>
              <w:keepLines/>
            </w:pPr>
            <w:r>
              <w:t>77.70%</w:t>
            </w:r>
          </w:p>
        </w:tc>
        <w:tc>
          <w:tcPr>
            <w:tcW w:w="600" w:type="pct"/>
            <w:vAlign w:val="center"/>
          </w:tcPr>
          <w:p w14:paraId="4007C454" w14:textId="0CDBE55F" w:rsidR="00BD394F" w:rsidRPr="0098262F" w:rsidRDefault="00BD394F" w:rsidP="00AD5FF5">
            <w:pPr>
              <w:pStyle w:val="Tabletext"/>
              <w:keepNext/>
              <w:keepLines/>
            </w:pPr>
            <w:r>
              <w:t>77.70%</w:t>
            </w:r>
          </w:p>
        </w:tc>
      </w:tr>
      <w:tr w:rsidR="00BD394F" w:rsidRPr="0098262F" w14:paraId="6C47C09A" w14:textId="77777777" w:rsidTr="00ED2009">
        <w:tc>
          <w:tcPr>
            <w:tcW w:w="1380" w:type="pct"/>
          </w:tcPr>
          <w:p w14:paraId="5A738F09" w14:textId="4F28808C" w:rsidR="00BD394F" w:rsidRPr="0098262F" w:rsidRDefault="00BD394F" w:rsidP="00AD5FF5">
            <w:pPr>
              <w:pStyle w:val="Tabletext"/>
              <w:keepNext/>
              <w:keepLines/>
            </w:pPr>
            <w:r>
              <w:t>Severe axillary hyperhidrosis</w:t>
            </w:r>
          </w:p>
        </w:tc>
        <w:tc>
          <w:tcPr>
            <w:tcW w:w="604" w:type="pct"/>
            <w:vAlign w:val="center"/>
          </w:tcPr>
          <w:p w14:paraId="1E43322D" w14:textId="5B741AB0" w:rsidR="00BD394F" w:rsidRPr="0098262F" w:rsidRDefault="00BD394F" w:rsidP="00AD5FF5">
            <w:pPr>
              <w:pStyle w:val="Tabletext"/>
              <w:keepNext/>
              <w:keepLines/>
            </w:pPr>
            <w:r>
              <w:t>33.8%</w:t>
            </w:r>
          </w:p>
        </w:tc>
        <w:tc>
          <w:tcPr>
            <w:tcW w:w="604" w:type="pct"/>
            <w:vAlign w:val="center"/>
          </w:tcPr>
          <w:p w14:paraId="12E89D06" w14:textId="3BE0F089" w:rsidR="00BD394F" w:rsidRPr="0098262F" w:rsidRDefault="00BD394F" w:rsidP="00AD5FF5">
            <w:pPr>
              <w:pStyle w:val="Tabletext"/>
              <w:keepNext/>
              <w:keepLines/>
            </w:pPr>
            <w:r>
              <w:t>33.8%</w:t>
            </w:r>
          </w:p>
        </w:tc>
        <w:tc>
          <w:tcPr>
            <w:tcW w:w="604" w:type="pct"/>
            <w:vAlign w:val="center"/>
          </w:tcPr>
          <w:p w14:paraId="00DCBD42" w14:textId="6BEF614B" w:rsidR="00BD394F" w:rsidRPr="0098262F" w:rsidRDefault="00BD394F" w:rsidP="00AD5FF5">
            <w:pPr>
              <w:pStyle w:val="Tabletext"/>
              <w:keepNext/>
              <w:keepLines/>
            </w:pPr>
            <w:r>
              <w:t>33.8%</w:t>
            </w:r>
          </w:p>
        </w:tc>
        <w:tc>
          <w:tcPr>
            <w:tcW w:w="604" w:type="pct"/>
            <w:vAlign w:val="center"/>
          </w:tcPr>
          <w:p w14:paraId="2F554ACB" w14:textId="3FCC68E9" w:rsidR="00BD394F" w:rsidRPr="0098262F" w:rsidRDefault="00BD394F" w:rsidP="00AD5FF5">
            <w:pPr>
              <w:pStyle w:val="Tabletext"/>
              <w:keepNext/>
              <w:keepLines/>
            </w:pPr>
            <w:r>
              <w:t>33.8%</w:t>
            </w:r>
          </w:p>
        </w:tc>
        <w:tc>
          <w:tcPr>
            <w:tcW w:w="604" w:type="pct"/>
            <w:vAlign w:val="center"/>
          </w:tcPr>
          <w:p w14:paraId="762321F7" w14:textId="671C0599" w:rsidR="00BD394F" w:rsidRPr="0098262F" w:rsidRDefault="00BD394F" w:rsidP="00AD5FF5">
            <w:pPr>
              <w:pStyle w:val="Tabletext"/>
              <w:keepNext/>
              <w:keepLines/>
            </w:pPr>
            <w:r>
              <w:t>33.8%</w:t>
            </w:r>
          </w:p>
        </w:tc>
        <w:tc>
          <w:tcPr>
            <w:tcW w:w="600" w:type="pct"/>
            <w:vAlign w:val="center"/>
          </w:tcPr>
          <w:p w14:paraId="3CDAEC5E" w14:textId="4727710B" w:rsidR="00BD394F" w:rsidRPr="0098262F" w:rsidRDefault="00BD394F" w:rsidP="00AD5FF5">
            <w:pPr>
              <w:pStyle w:val="Tabletext"/>
              <w:keepNext/>
              <w:keepLines/>
            </w:pPr>
            <w:r>
              <w:t>33.8%</w:t>
            </w:r>
          </w:p>
        </w:tc>
      </w:tr>
      <w:tr w:rsidR="00BD394F" w:rsidRPr="0098262F" w14:paraId="3DC01970" w14:textId="77777777" w:rsidTr="00ED2009">
        <w:tc>
          <w:tcPr>
            <w:tcW w:w="1380" w:type="pct"/>
          </w:tcPr>
          <w:p w14:paraId="0CC32402" w14:textId="66E72947" w:rsidR="00BD394F" w:rsidRPr="0098262F" w:rsidRDefault="00BD394F" w:rsidP="00AD5FF5">
            <w:pPr>
              <w:pStyle w:val="Tabletext"/>
              <w:keepNext/>
              <w:keepLines/>
            </w:pPr>
            <w:r>
              <w:t>Proportion electing any treatment</w:t>
            </w:r>
          </w:p>
        </w:tc>
        <w:tc>
          <w:tcPr>
            <w:tcW w:w="604" w:type="pct"/>
            <w:vAlign w:val="center"/>
          </w:tcPr>
          <w:p w14:paraId="4E768DA0" w14:textId="0A6F68B1"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352406BF" w14:textId="547FDCB2"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42239C23" w14:textId="3ABEF30D"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6B29C0E1" w14:textId="0538AE5B"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3BD97398" w14:textId="1EB8491A" w:rsidR="00BD394F" w:rsidRPr="0098262F" w:rsidRDefault="00FE3B86" w:rsidP="00AD5FF5">
            <w:pPr>
              <w:pStyle w:val="Tabletext"/>
              <w:keepNext/>
              <w:keepLines/>
            </w:pPr>
            <w:r w:rsidRPr="004F06D3">
              <w:rPr>
                <w:highlight w:val="black"/>
              </w:rPr>
              <w:t>&amp;&amp;&amp;&amp;</w:t>
            </w:r>
            <w:r w:rsidR="00BD394F">
              <w:t>%</w:t>
            </w:r>
          </w:p>
        </w:tc>
        <w:tc>
          <w:tcPr>
            <w:tcW w:w="600" w:type="pct"/>
            <w:vAlign w:val="center"/>
          </w:tcPr>
          <w:p w14:paraId="203471CD" w14:textId="0C2F6375" w:rsidR="00BD394F" w:rsidRPr="0098262F" w:rsidRDefault="00FE3B86" w:rsidP="00AD5FF5">
            <w:pPr>
              <w:pStyle w:val="Tabletext"/>
              <w:keepNext/>
              <w:keepLines/>
            </w:pPr>
            <w:r w:rsidRPr="004F06D3">
              <w:rPr>
                <w:highlight w:val="black"/>
              </w:rPr>
              <w:t>&amp;&amp;&amp;&amp;</w:t>
            </w:r>
            <w:r w:rsidR="00BD394F">
              <w:t>%</w:t>
            </w:r>
          </w:p>
        </w:tc>
      </w:tr>
      <w:tr w:rsidR="00BD394F" w:rsidRPr="0098262F" w14:paraId="5E76C86B" w14:textId="77777777" w:rsidTr="00ED2009">
        <w:tc>
          <w:tcPr>
            <w:tcW w:w="1380" w:type="pct"/>
          </w:tcPr>
          <w:p w14:paraId="5008A9EA" w14:textId="4BD7B301" w:rsidR="00BD394F" w:rsidRPr="0098262F" w:rsidRDefault="00BD394F" w:rsidP="00AD5FF5">
            <w:pPr>
              <w:pStyle w:val="Tabletext"/>
              <w:keepNext/>
              <w:keepLines/>
            </w:pPr>
            <w:r>
              <w:t>Failed topical treatment or intolerant</w:t>
            </w:r>
          </w:p>
        </w:tc>
        <w:tc>
          <w:tcPr>
            <w:tcW w:w="604" w:type="pct"/>
            <w:vAlign w:val="center"/>
          </w:tcPr>
          <w:p w14:paraId="776B48BA" w14:textId="37CE26A7" w:rsidR="00BD394F" w:rsidRPr="0098262F" w:rsidRDefault="00BD394F" w:rsidP="00AD5FF5">
            <w:pPr>
              <w:pStyle w:val="Tabletext"/>
              <w:keepNext/>
              <w:keepLines/>
            </w:pPr>
            <w:r>
              <w:t>15.00%</w:t>
            </w:r>
          </w:p>
        </w:tc>
        <w:tc>
          <w:tcPr>
            <w:tcW w:w="604" w:type="pct"/>
            <w:vAlign w:val="center"/>
          </w:tcPr>
          <w:p w14:paraId="69D1F5CA" w14:textId="541EC4FA" w:rsidR="00BD394F" w:rsidRPr="0098262F" w:rsidRDefault="00BD394F" w:rsidP="00AD5FF5">
            <w:pPr>
              <w:pStyle w:val="Tabletext"/>
              <w:keepNext/>
              <w:keepLines/>
            </w:pPr>
            <w:r>
              <w:t>15.00%</w:t>
            </w:r>
          </w:p>
        </w:tc>
        <w:tc>
          <w:tcPr>
            <w:tcW w:w="604" w:type="pct"/>
            <w:vAlign w:val="center"/>
          </w:tcPr>
          <w:p w14:paraId="36CF27B7" w14:textId="547FD8CC" w:rsidR="00BD394F" w:rsidRPr="0098262F" w:rsidRDefault="00BD394F" w:rsidP="00AD5FF5">
            <w:pPr>
              <w:pStyle w:val="Tabletext"/>
              <w:keepNext/>
              <w:keepLines/>
            </w:pPr>
            <w:r>
              <w:t>15.00%</w:t>
            </w:r>
          </w:p>
        </w:tc>
        <w:tc>
          <w:tcPr>
            <w:tcW w:w="604" w:type="pct"/>
            <w:vAlign w:val="center"/>
          </w:tcPr>
          <w:p w14:paraId="44336F72" w14:textId="2552A489" w:rsidR="00BD394F" w:rsidRPr="0098262F" w:rsidRDefault="00BD394F" w:rsidP="00AD5FF5">
            <w:pPr>
              <w:pStyle w:val="Tabletext"/>
              <w:keepNext/>
              <w:keepLines/>
            </w:pPr>
            <w:r>
              <w:t>15.00%</w:t>
            </w:r>
          </w:p>
        </w:tc>
        <w:tc>
          <w:tcPr>
            <w:tcW w:w="604" w:type="pct"/>
            <w:vAlign w:val="center"/>
          </w:tcPr>
          <w:p w14:paraId="04474BB3" w14:textId="0BBEECFA" w:rsidR="00BD394F" w:rsidRPr="0098262F" w:rsidRDefault="00BD394F" w:rsidP="00AD5FF5">
            <w:pPr>
              <w:pStyle w:val="Tabletext"/>
              <w:keepNext/>
              <w:keepLines/>
            </w:pPr>
            <w:r>
              <w:t>15.00%</w:t>
            </w:r>
          </w:p>
        </w:tc>
        <w:tc>
          <w:tcPr>
            <w:tcW w:w="600" w:type="pct"/>
            <w:vAlign w:val="center"/>
          </w:tcPr>
          <w:p w14:paraId="3E2FB8FE" w14:textId="3A3A6DA8" w:rsidR="00BD394F" w:rsidRPr="0098262F" w:rsidRDefault="00BD394F" w:rsidP="00AD5FF5">
            <w:pPr>
              <w:pStyle w:val="Tabletext"/>
              <w:keepNext/>
              <w:keepLines/>
            </w:pPr>
            <w:r>
              <w:t>15.00%</w:t>
            </w:r>
          </w:p>
        </w:tc>
      </w:tr>
      <w:tr w:rsidR="00BD394F" w:rsidRPr="0098262F" w14:paraId="6D13C3B1" w14:textId="77777777" w:rsidTr="00ED2009">
        <w:tc>
          <w:tcPr>
            <w:tcW w:w="1380" w:type="pct"/>
          </w:tcPr>
          <w:p w14:paraId="537EF564" w14:textId="53F4EFA2" w:rsidR="00BD394F" w:rsidRPr="0098262F" w:rsidRDefault="00BD394F" w:rsidP="00AD5FF5">
            <w:pPr>
              <w:pStyle w:val="Tabletext"/>
              <w:keepNext/>
              <w:keepLines/>
            </w:pPr>
            <w:r w:rsidRPr="00B70FCC">
              <w:t>1</w:t>
            </w:r>
            <w:r>
              <w:t xml:space="preserve"> </w:t>
            </w:r>
            <w:r w:rsidRPr="00B70FCC">
              <w:t>-</w:t>
            </w:r>
            <w:r>
              <w:t xml:space="preserve"> Uptake of </w:t>
            </w:r>
            <w:r w:rsidR="00663B1D">
              <w:t>BTA</w:t>
            </w:r>
            <w:r>
              <w:t xml:space="preserve">, </w:t>
            </w:r>
            <w:r w:rsidR="002C5658">
              <w:t>i.e.</w:t>
            </w:r>
            <w:r>
              <w:t xml:space="preserve"> untreated</w:t>
            </w:r>
          </w:p>
        </w:tc>
        <w:tc>
          <w:tcPr>
            <w:tcW w:w="604" w:type="pct"/>
            <w:vAlign w:val="center"/>
          </w:tcPr>
          <w:p w14:paraId="2C71C80D" w14:textId="5F99F20E"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241461D5" w14:textId="71744F54"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3CF9EA51" w14:textId="23E6E363"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5A9EF945" w14:textId="0D67DFD2"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1FCDAFB9" w14:textId="21279719" w:rsidR="00BD394F" w:rsidRPr="0098262F" w:rsidRDefault="00FE3B86" w:rsidP="00AD5FF5">
            <w:pPr>
              <w:pStyle w:val="Tabletext"/>
              <w:keepNext/>
              <w:keepLines/>
            </w:pPr>
            <w:r w:rsidRPr="004F06D3">
              <w:rPr>
                <w:highlight w:val="black"/>
              </w:rPr>
              <w:t>&amp;&amp;&amp;&amp;</w:t>
            </w:r>
            <w:r w:rsidR="00BD394F">
              <w:t>%</w:t>
            </w:r>
          </w:p>
        </w:tc>
        <w:tc>
          <w:tcPr>
            <w:tcW w:w="600" w:type="pct"/>
            <w:vAlign w:val="center"/>
          </w:tcPr>
          <w:p w14:paraId="30DB1603" w14:textId="51AB7E2A" w:rsidR="00BD394F" w:rsidRPr="0098262F" w:rsidRDefault="00FE3B86" w:rsidP="00AD5FF5">
            <w:pPr>
              <w:pStyle w:val="Tabletext"/>
              <w:keepNext/>
              <w:keepLines/>
            </w:pPr>
            <w:r w:rsidRPr="004F06D3">
              <w:rPr>
                <w:highlight w:val="black"/>
              </w:rPr>
              <w:t>&amp;&amp;&amp;&amp;</w:t>
            </w:r>
            <w:r w:rsidR="00BD394F">
              <w:t>%</w:t>
            </w:r>
          </w:p>
        </w:tc>
      </w:tr>
      <w:tr w:rsidR="00BD394F" w:rsidRPr="0098262F" w14:paraId="383D0341" w14:textId="77777777" w:rsidTr="00ED2009">
        <w:tc>
          <w:tcPr>
            <w:tcW w:w="1380" w:type="pct"/>
          </w:tcPr>
          <w:p w14:paraId="0C992988" w14:textId="7C85CADE" w:rsidR="00BD394F" w:rsidRPr="0098262F" w:rsidRDefault="00BD394F" w:rsidP="00AD5FF5">
            <w:pPr>
              <w:pStyle w:val="Tabletext"/>
              <w:keepNext/>
              <w:keepLines/>
            </w:pPr>
            <w:r>
              <w:t>Overall eligibility</w:t>
            </w:r>
          </w:p>
        </w:tc>
        <w:tc>
          <w:tcPr>
            <w:tcW w:w="604" w:type="pct"/>
            <w:vAlign w:val="center"/>
          </w:tcPr>
          <w:p w14:paraId="6ADB1022" w14:textId="08AD130C"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7106DE5C" w14:textId="5B04E81A"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2F8D72EC" w14:textId="1C24BC1F"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607E992E" w14:textId="03CFC2CC" w:rsidR="00BD394F" w:rsidRPr="0098262F" w:rsidRDefault="00FE3B86" w:rsidP="00AD5FF5">
            <w:pPr>
              <w:pStyle w:val="Tabletext"/>
              <w:keepNext/>
              <w:keepLines/>
            </w:pPr>
            <w:r w:rsidRPr="004F06D3">
              <w:rPr>
                <w:highlight w:val="black"/>
              </w:rPr>
              <w:t>&amp;&amp;&amp;&amp;</w:t>
            </w:r>
            <w:r w:rsidR="00BD394F">
              <w:t>%</w:t>
            </w:r>
          </w:p>
        </w:tc>
        <w:tc>
          <w:tcPr>
            <w:tcW w:w="604" w:type="pct"/>
            <w:vAlign w:val="center"/>
          </w:tcPr>
          <w:p w14:paraId="73C7648E" w14:textId="01A9CF3E" w:rsidR="00BD394F" w:rsidRPr="0098262F" w:rsidRDefault="00FE3B86" w:rsidP="00AD5FF5">
            <w:pPr>
              <w:pStyle w:val="Tabletext"/>
              <w:keepNext/>
              <w:keepLines/>
            </w:pPr>
            <w:r w:rsidRPr="004F06D3">
              <w:rPr>
                <w:highlight w:val="black"/>
              </w:rPr>
              <w:t>&amp;&amp;&amp;&amp;</w:t>
            </w:r>
            <w:r w:rsidR="00BD394F">
              <w:t>%</w:t>
            </w:r>
          </w:p>
        </w:tc>
        <w:tc>
          <w:tcPr>
            <w:tcW w:w="600" w:type="pct"/>
            <w:vAlign w:val="center"/>
          </w:tcPr>
          <w:p w14:paraId="43699C8A" w14:textId="50C2773F" w:rsidR="00BD394F" w:rsidRPr="0098262F" w:rsidRDefault="00FE3B86" w:rsidP="00AD5FF5">
            <w:pPr>
              <w:pStyle w:val="Tabletext"/>
              <w:keepNext/>
              <w:keepLines/>
            </w:pPr>
            <w:r w:rsidRPr="004F06D3">
              <w:rPr>
                <w:highlight w:val="black"/>
              </w:rPr>
              <w:t>&amp;&amp;&amp;&amp;</w:t>
            </w:r>
            <w:r w:rsidR="00BD394F">
              <w:t>%</w:t>
            </w:r>
          </w:p>
        </w:tc>
      </w:tr>
      <w:tr w:rsidR="00BD394F" w:rsidRPr="0098262F" w14:paraId="74B94AED" w14:textId="77777777" w:rsidTr="00ED2009">
        <w:tc>
          <w:tcPr>
            <w:tcW w:w="1380" w:type="pct"/>
          </w:tcPr>
          <w:p w14:paraId="570C38C2" w14:textId="6C0B89E2" w:rsidR="00BD394F" w:rsidRDefault="00BD394F" w:rsidP="00AD5FF5">
            <w:pPr>
              <w:pStyle w:val="Tabletext"/>
              <w:keepNext/>
              <w:keepLines/>
            </w:pPr>
            <w:r>
              <w:t xml:space="preserve">Eligible patients </w:t>
            </w:r>
          </w:p>
        </w:tc>
        <w:tc>
          <w:tcPr>
            <w:tcW w:w="604" w:type="pct"/>
            <w:vAlign w:val="center"/>
          </w:tcPr>
          <w:p w14:paraId="0AEA5255" w14:textId="030A764B" w:rsidR="00BD394F" w:rsidRPr="00B70FCC" w:rsidRDefault="00FE3B86" w:rsidP="00AD5FF5">
            <w:pPr>
              <w:pStyle w:val="Tabletext"/>
              <w:keepNext/>
              <w:keepLines/>
            </w:pPr>
            <w:r w:rsidRPr="004F06D3">
              <w:rPr>
                <w:highlight w:val="black"/>
              </w:rPr>
              <w:t>&amp;&amp;&amp;&amp;</w:t>
            </w:r>
            <w:r w:rsidR="000051C6">
              <w:rPr>
                <w:vertAlign w:val="superscript"/>
              </w:rPr>
              <w:t>5</w:t>
            </w:r>
            <w:r w:rsidR="00BD394F" w:rsidRPr="00B70FCC">
              <w:t xml:space="preserve"> </w:t>
            </w:r>
          </w:p>
        </w:tc>
        <w:tc>
          <w:tcPr>
            <w:tcW w:w="604" w:type="pct"/>
            <w:vAlign w:val="center"/>
          </w:tcPr>
          <w:p w14:paraId="5A6530EA" w14:textId="24BB98CF" w:rsidR="00BD394F" w:rsidRPr="00B70FCC" w:rsidRDefault="00FE3B86" w:rsidP="00AD5FF5">
            <w:pPr>
              <w:pStyle w:val="Tabletext"/>
              <w:keepNext/>
              <w:keepLines/>
            </w:pPr>
            <w:r w:rsidRPr="004F06D3">
              <w:rPr>
                <w:highlight w:val="black"/>
              </w:rPr>
              <w:t>&amp;&amp;&amp;&amp;</w:t>
            </w:r>
            <w:r w:rsidR="000051C6">
              <w:rPr>
                <w:vertAlign w:val="superscript"/>
              </w:rPr>
              <w:t>5</w:t>
            </w:r>
            <w:r w:rsidR="00BD394F" w:rsidRPr="00B70FCC">
              <w:t xml:space="preserve"> </w:t>
            </w:r>
          </w:p>
        </w:tc>
        <w:tc>
          <w:tcPr>
            <w:tcW w:w="604" w:type="pct"/>
            <w:vAlign w:val="center"/>
          </w:tcPr>
          <w:p w14:paraId="77125706" w14:textId="38815000" w:rsidR="00BD394F" w:rsidRPr="00B70FCC" w:rsidRDefault="00FE3B86" w:rsidP="00AD5FF5">
            <w:pPr>
              <w:pStyle w:val="Tabletext"/>
              <w:keepNext/>
              <w:keepLines/>
            </w:pPr>
            <w:r w:rsidRPr="004F06D3">
              <w:rPr>
                <w:highlight w:val="black"/>
              </w:rPr>
              <w:t>&amp;&amp;&amp;&amp;</w:t>
            </w:r>
            <w:r w:rsidR="0007516D">
              <w:rPr>
                <w:vertAlign w:val="superscript"/>
              </w:rPr>
              <w:t>5</w:t>
            </w:r>
            <w:r w:rsidR="00BD394F" w:rsidRPr="00B70FCC">
              <w:t xml:space="preserve"> </w:t>
            </w:r>
          </w:p>
        </w:tc>
        <w:tc>
          <w:tcPr>
            <w:tcW w:w="604" w:type="pct"/>
            <w:vAlign w:val="center"/>
          </w:tcPr>
          <w:p w14:paraId="15A16F1A" w14:textId="5A8F06D5" w:rsidR="00BD394F" w:rsidRPr="00B70FCC" w:rsidRDefault="00FE3B86" w:rsidP="00AD5FF5">
            <w:pPr>
              <w:pStyle w:val="Tabletext"/>
              <w:keepNext/>
              <w:keepLines/>
            </w:pPr>
            <w:r w:rsidRPr="004F06D3">
              <w:rPr>
                <w:highlight w:val="black"/>
              </w:rPr>
              <w:t>&amp;&amp;&amp;&amp;</w:t>
            </w:r>
            <w:r w:rsidR="0007516D">
              <w:rPr>
                <w:vertAlign w:val="superscript"/>
              </w:rPr>
              <w:t>5</w:t>
            </w:r>
            <w:r w:rsidR="00BD394F" w:rsidRPr="00B70FCC">
              <w:t xml:space="preserve"> </w:t>
            </w:r>
          </w:p>
        </w:tc>
        <w:tc>
          <w:tcPr>
            <w:tcW w:w="604" w:type="pct"/>
            <w:vAlign w:val="center"/>
          </w:tcPr>
          <w:p w14:paraId="6D2FFDE7" w14:textId="4B227F16" w:rsidR="00BD394F" w:rsidRPr="00B70FCC" w:rsidRDefault="00FE3B86" w:rsidP="00AD5FF5">
            <w:pPr>
              <w:pStyle w:val="Tabletext"/>
              <w:keepNext/>
              <w:keepLines/>
            </w:pPr>
            <w:r w:rsidRPr="004F06D3">
              <w:rPr>
                <w:highlight w:val="black"/>
              </w:rPr>
              <w:t>&amp;&amp;&amp;&amp;</w:t>
            </w:r>
            <w:r w:rsidR="0007516D">
              <w:rPr>
                <w:vertAlign w:val="superscript"/>
              </w:rPr>
              <w:t>5</w:t>
            </w:r>
            <w:r w:rsidR="00BD394F" w:rsidRPr="00B70FCC">
              <w:t xml:space="preserve"> </w:t>
            </w:r>
          </w:p>
        </w:tc>
        <w:tc>
          <w:tcPr>
            <w:tcW w:w="600" w:type="pct"/>
            <w:vAlign w:val="center"/>
          </w:tcPr>
          <w:p w14:paraId="652C6F5E" w14:textId="0AB1B874" w:rsidR="00BD394F" w:rsidRPr="00B70FCC" w:rsidRDefault="00FE3B86" w:rsidP="00AD5FF5">
            <w:pPr>
              <w:pStyle w:val="Tabletext"/>
              <w:keepNext/>
              <w:keepLines/>
            </w:pPr>
            <w:r w:rsidRPr="004F06D3">
              <w:rPr>
                <w:highlight w:val="black"/>
              </w:rPr>
              <w:t>&amp;&amp;&amp;&amp;</w:t>
            </w:r>
            <w:r w:rsidR="0007516D">
              <w:rPr>
                <w:vertAlign w:val="superscript"/>
              </w:rPr>
              <w:t>5</w:t>
            </w:r>
            <w:r w:rsidR="00BD394F" w:rsidRPr="00B70FCC">
              <w:t xml:space="preserve"> </w:t>
            </w:r>
          </w:p>
        </w:tc>
      </w:tr>
      <w:tr w:rsidR="00BD394F" w:rsidRPr="0098262F" w14:paraId="20F41719" w14:textId="77777777" w:rsidTr="00ED2009">
        <w:tc>
          <w:tcPr>
            <w:tcW w:w="1380" w:type="pct"/>
          </w:tcPr>
          <w:p w14:paraId="736D6401" w14:textId="747DC6AC" w:rsidR="00BD394F" w:rsidRDefault="00BD394F" w:rsidP="00F03392">
            <w:pPr>
              <w:pStyle w:val="Tabletext"/>
            </w:pPr>
            <w:r>
              <w:t>Proportion of patients electing treatment</w:t>
            </w:r>
          </w:p>
        </w:tc>
        <w:tc>
          <w:tcPr>
            <w:tcW w:w="604" w:type="pct"/>
            <w:vAlign w:val="center"/>
          </w:tcPr>
          <w:p w14:paraId="46A27C5D" w14:textId="4F271158" w:rsidR="00BD394F" w:rsidRPr="00BD394F" w:rsidRDefault="00FE3B86" w:rsidP="00F03392">
            <w:pPr>
              <w:pStyle w:val="Tabletext"/>
            </w:pPr>
            <w:r w:rsidRPr="004F06D3">
              <w:rPr>
                <w:highlight w:val="black"/>
              </w:rPr>
              <w:t>&amp;&amp;&amp;&amp;</w:t>
            </w:r>
            <w:r w:rsidR="00BD394F" w:rsidRPr="00BD394F">
              <w:t>%</w:t>
            </w:r>
          </w:p>
        </w:tc>
        <w:tc>
          <w:tcPr>
            <w:tcW w:w="604" w:type="pct"/>
            <w:vAlign w:val="center"/>
          </w:tcPr>
          <w:p w14:paraId="6289DB51" w14:textId="7F809A3A" w:rsidR="00BD394F" w:rsidRPr="00BD394F" w:rsidRDefault="00FE3B86" w:rsidP="00F03392">
            <w:pPr>
              <w:pStyle w:val="Tabletext"/>
            </w:pPr>
            <w:r w:rsidRPr="004F06D3">
              <w:rPr>
                <w:highlight w:val="black"/>
              </w:rPr>
              <w:t>&amp;&amp;&amp;&amp;</w:t>
            </w:r>
            <w:r w:rsidR="00BD394F" w:rsidRPr="00BD394F">
              <w:t>%</w:t>
            </w:r>
          </w:p>
        </w:tc>
        <w:tc>
          <w:tcPr>
            <w:tcW w:w="604" w:type="pct"/>
            <w:vAlign w:val="center"/>
          </w:tcPr>
          <w:p w14:paraId="5DAFA2F7" w14:textId="1D1A8F7E" w:rsidR="00BD394F" w:rsidRPr="00BD394F" w:rsidRDefault="00FE3B86" w:rsidP="00F03392">
            <w:pPr>
              <w:pStyle w:val="Tabletext"/>
            </w:pPr>
            <w:r w:rsidRPr="004F06D3">
              <w:rPr>
                <w:highlight w:val="black"/>
              </w:rPr>
              <w:t>&amp;&amp;&amp;&amp;</w:t>
            </w:r>
            <w:r w:rsidR="00BD394F" w:rsidRPr="00BD394F">
              <w:t>%</w:t>
            </w:r>
          </w:p>
        </w:tc>
        <w:tc>
          <w:tcPr>
            <w:tcW w:w="604" w:type="pct"/>
            <w:vAlign w:val="center"/>
          </w:tcPr>
          <w:p w14:paraId="360BD731" w14:textId="4B8DF742" w:rsidR="00BD394F" w:rsidRPr="00BD394F" w:rsidRDefault="00FE3B86" w:rsidP="00F03392">
            <w:pPr>
              <w:pStyle w:val="Tabletext"/>
            </w:pPr>
            <w:r w:rsidRPr="004F06D3">
              <w:rPr>
                <w:highlight w:val="black"/>
              </w:rPr>
              <w:t>&amp;&amp;&amp;&amp;</w:t>
            </w:r>
            <w:r w:rsidR="00BD394F" w:rsidRPr="00BD394F">
              <w:t>%</w:t>
            </w:r>
          </w:p>
        </w:tc>
        <w:tc>
          <w:tcPr>
            <w:tcW w:w="604" w:type="pct"/>
            <w:vAlign w:val="center"/>
          </w:tcPr>
          <w:p w14:paraId="7F4B3722" w14:textId="3EC18AEA" w:rsidR="00BD394F" w:rsidRPr="00BD394F" w:rsidRDefault="00FE3B86" w:rsidP="00F03392">
            <w:pPr>
              <w:pStyle w:val="Tabletext"/>
            </w:pPr>
            <w:r w:rsidRPr="004F06D3">
              <w:rPr>
                <w:highlight w:val="black"/>
              </w:rPr>
              <w:t>&amp;&amp;&amp;&amp;</w:t>
            </w:r>
            <w:r w:rsidR="00BD394F" w:rsidRPr="00BD394F">
              <w:t>%</w:t>
            </w:r>
          </w:p>
        </w:tc>
        <w:tc>
          <w:tcPr>
            <w:tcW w:w="600" w:type="pct"/>
            <w:vAlign w:val="center"/>
          </w:tcPr>
          <w:p w14:paraId="038F065F" w14:textId="37E949D7" w:rsidR="00BD394F" w:rsidRPr="00BD394F" w:rsidRDefault="00FE3B86" w:rsidP="00F03392">
            <w:pPr>
              <w:pStyle w:val="Tabletext"/>
            </w:pPr>
            <w:r w:rsidRPr="004F06D3">
              <w:rPr>
                <w:highlight w:val="black"/>
              </w:rPr>
              <w:t>&amp;&amp;&amp;&amp;</w:t>
            </w:r>
            <w:r w:rsidR="00BD394F" w:rsidRPr="00BD394F">
              <w:t>%</w:t>
            </w:r>
          </w:p>
        </w:tc>
      </w:tr>
      <w:tr w:rsidR="00BD394F" w:rsidRPr="0098262F" w14:paraId="2CC74299" w14:textId="77777777" w:rsidTr="00ED2009">
        <w:tc>
          <w:tcPr>
            <w:tcW w:w="1380" w:type="pct"/>
          </w:tcPr>
          <w:p w14:paraId="1E93438D" w14:textId="0DF33D67" w:rsidR="00BD394F" w:rsidRDefault="00BD394F" w:rsidP="00F03392">
            <w:pPr>
              <w:pStyle w:val="Tabletext"/>
            </w:pPr>
            <w:r>
              <w:t xml:space="preserve">Treated </w:t>
            </w:r>
          </w:p>
        </w:tc>
        <w:tc>
          <w:tcPr>
            <w:tcW w:w="604" w:type="pct"/>
            <w:vAlign w:val="center"/>
          </w:tcPr>
          <w:p w14:paraId="12932E8C" w14:textId="41F2016D" w:rsidR="00BD394F" w:rsidRPr="00BD394F" w:rsidRDefault="00FE3B86" w:rsidP="00F03392">
            <w:pPr>
              <w:pStyle w:val="Tabletext"/>
            </w:pPr>
            <w:r w:rsidRPr="004F06D3">
              <w:rPr>
                <w:highlight w:val="black"/>
              </w:rPr>
              <w:t>&amp;&amp;&amp;&amp;</w:t>
            </w:r>
            <w:r w:rsidR="002D6336">
              <w:rPr>
                <w:vertAlign w:val="superscript"/>
              </w:rPr>
              <w:t>4</w:t>
            </w:r>
            <w:r w:rsidR="00BD394F" w:rsidRPr="00BD394F">
              <w:t xml:space="preserve"> </w:t>
            </w:r>
          </w:p>
        </w:tc>
        <w:tc>
          <w:tcPr>
            <w:tcW w:w="604" w:type="pct"/>
            <w:vAlign w:val="center"/>
          </w:tcPr>
          <w:p w14:paraId="336D7EC9" w14:textId="7777B8A1" w:rsidR="00BD394F" w:rsidRPr="00BD394F" w:rsidRDefault="00FE3B86" w:rsidP="00F03392">
            <w:pPr>
              <w:pStyle w:val="Tabletext"/>
            </w:pPr>
            <w:r w:rsidRPr="004F06D3">
              <w:rPr>
                <w:highlight w:val="black"/>
              </w:rPr>
              <w:t>&amp;&amp;&amp;&amp;</w:t>
            </w:r>
            <w:r w:rsidR="002D6336">
              <w:rPr>
                <w:vertAlign w:val="superscript"/>
              </w:rPr>
              <w:t>5</w:t>
            </w:r>
            <w:r w:rsidR="00BD394F" w:rsidRPr="00BD394F">
              <w:t xml:space="preserve"> </w:t>
            </w:r>
          </w:p>
        </w:tc>
        <w:tc>
          <w:tcPr>
            <w:tcW w:w="604" w:type="pct"/>
            <w:vAlign w:val="center"/>
          </w:tcPr>
          <w:p w14:paraId="0AA5BB44" w14:textId="6F1C53FF" w:rsidR="00BD394F" w:rsidRPr="00BD394F" w:rsidRDefault="00FE3B86" w:rsidP="00F03392">
            <w:pPr>
              <w:pStyle w:val="Tabletext"/>
            </w:pPr>
            <w:r w:rsidRPr="004F06D3">
              <w:rPr>
                <w:highlight w:val="black"/>
              </w:rPr>
              <w:t>&amp;&amp;&amp;&amp;</w:t>
            </w:r>
            <w:r w:rsidR="002D6336">
              <w:rPr>
                <w:vertAlign w:val="superscript"/>
              </w:rPr>
              <w:t>5</w:t>
            </w:r>
          </w:p>
        </w:tc>
        <w:tc>
          <w:tcPr>
            <w:tcW w:w="604" w:type="pct"/>
            <w:vAlign w:val="center"/>
          </w:tcPr>
          <w:p w14:paraId="130DD5CE" w14:textId="2A80B095" w:rsidR="00BD394F" w:rsidRPr="00BD394F" w:rsidRDefault="00FE3B86" w:rsidP="00F03392">
            <w:pPr>
              <w:pStyle w:val="Tabletext"/>
            </w:pPr>
            <w:r w:rsidRPr="004F06D3">
              <w:rPr>
                <w:highlight w:val="black"/>
              </w:rPr>
              <w:t>&amp;&amp;&amp;&amp;</w:t>
            </w:r>
            <w:r w:rsidR="002D6336">
              <w:rPr>
                <w:vertAlign w:val="superscript"/>
              </w:rPr>
              <w:t>5</w:t>
            </w:r>
            <w:r w:rsidR="00BD394F" w:rsidRPr="00BD394F">
              <w:t xml:space="preserve"> </w:t>
            </w:r>
          </w:p>
        </w:tc>
        <w:tc>
          <w:tcPr>
            <w:tcW w:w="604" w:type="pct"/>
            <w:vAlign w:val="center"/>
          </w:tcPr>
          <w:p w14:paraId="14CFF8DC" w14:textId="5BD05C3F" w:rsidR="00BD394F" w:rsidRPr="00BD394F" w:rsidRDefault="00FE3B86" w:rsidP="00F03392">
            <w:pPr>
              <w:pStyle w:val="Tabletext"/>
            </w:pPr>
            <w:r w:rsidRPr="004F06D3">
              <w:rPr>
                <w:highlight w:val="black"/>
              </w:rPr>
              <w:t>&amp;&amp;&amp;&amp;</w:t>
            </w:r>
            <w:r w:rsidR="002D6336">
              <w:rPr>
                <w:vertAlign w:val="superscript"/>
              </w:rPr>
              <w:t>5</w:t>
            </w:r>
            <w:r w:rsidR="00BD394F" w:rsidRPr="00BD394F">
              <w:t xml:space="preserve"> </w:t>
            </w:r>
          </w:p>
        </w:tc>
        <w:tc>
          <w:tcPr>
            <w:tcW w:w="600" w:type="pct"/>
            <w:vAlign w:val="center"/>
          </w:tcPr>
          <w:p w14:paraId="098ACC2B" w14:textId="502C2A75" w:rsidR="00BD394F" w:rsidRPr="00BD394F" w:rsidRDefault="00FE3B86" w:rsidP="00F03392">
            <w:pPr>
              <w:pStyle w:val="Tabletext"/>
            </w:pPr>
            <w:r w:rsidRPr="004F06D3">
              <w:rPr>
                <w:highlight w:val="black"/>
              </w:rPr>
              <w:t>&amp;&amp;&amp;&amp;</w:t>
            </w:r>
            <w:r w:rsidR="002D6336">
              <w:rPr>
                <w:vertAlign w:val="superscript"/>
              </w:rPr>
              <w:t>5</w:t>
            </w:r>
            <w:r w:rsidR="00BD394F" w:rsidRPr="00BD394F">
              <w:t xml:space="preserve"> </w:t>
            </w:r>
          </w:p>
        </w:tc>
      </w:tr>
      <w:tr w:rsidR="00BD394F" w:rsidRPr="0098262F" w14:paraId="16EA1BA8" w14:textId="77777777" w:rsidTr="00ED2009">
        <w:tc>
          <w:tcPr>
            <w:tcW w:w="1380" w:type="pct"/>
          </w:tcPr>
          <w:p w14:paraId="0EA10403" w14:textId="424EF26C" w:rsidR="00BD394F" w:rsidRDefault="00BD394F" w:rsidP="00F03392">
            <w:pPr>
              <w:pStyle w:val="Tabletext"/>
            </w:pPr>
            <w:r>
              <w:t>Scripts per year</w:t>
            </w:r>
          </w:p>
        </w:tc>
        <w:tc>
          <w:tcPr>
            <w:tcW w:w="604" w:type="pct"/>
            <w:vAlign w:val="center"/>
          </w:tcPr>
          <w:p w14:paraId="5223AF8B" w14:textId="0E336500" w:rsidR="00BD394F" w:rsidRPr="00B70FCC" w:rsidRDefault="00BD394F" w:rsidP="00F03392">
            <w:pPr>
              <w:pStyle w:val="Tabletext"/>
            </w:pPr>
            <w:r>
              <w:t>5.12</w:t>
            </w:r>
          </w:p>
        </w:tc>
        <w:tc>
          <w:tcPr>
            <w:tcW w:w="604" w:type="pct"/>
            <w:vAlign w:val="center"/>
          </w:tcPr>
          <w:p w14:paraId="3E125A23" w14:textId="0AFB2DB6" w:rsidR="00BD394F" w:rsidRPr="00B70FCC" w:rsidRDefault="00BD394F" w:rsidP="00F03392">
            <w:pPr>
              <w:pStyle w:val="Tabletext"/>
            </w:pPr>
            <w:r>
              <w:t>5.12</w:t>
            </w:r>
          </w:p>
        </w:tc>
        <w:tc>
          <w:tcPr>
            <w:tcW w:w="604" w:type="pct"/>
            <w:vAlign w:val="center"/>
          </w:tcPr>
          <w:p w14:paraId="6118C71B" w14:textId="78C4C419" w:rsidR="00BD394F" w:rsidRPr="00B70FCC" w:rsidRDefault="00BD394F" w:rsidP="00F03392">
            <w:pPr>
              <w:pStyle w:val="Tabletext"/>
            </w:pPr>
            <w:r>
              <w:t>5.12</w:t>
            </w:r>
          </w:p>
        </w:tc>
        <w:tc>
          <w:tcPr>
            <w:tcW w:w="604" w:type="pct"/>
            <w:vAlign w:val="center"/>
          </w:tcPr>
          <w:p w14:paraId="0E9B4136" w14:textId="56F207D5" w:rsidR="00BD394F" w:rsidRPr="00B70FCC" w:rsidRDefault="00BD394F" w:rsidP="00F03392">
            <w:pPr>
              <w:pStyle w:val="Tabletext"/>
            </w:pPr>
            <w:r>
              <w:t>5.12</w:t>
            </w:r>
          </w:p>
        </w:tc>
        <w:tc>
          <w:tcPr>
            <w:tcW w:w="604" w:type="pct"/>
            <w:vAlign w:val="center"/>
          </w:tcPr>
          <w:p w14:paraId="75216565" w14:textId="5F3525DB" w:rsidR="00BD394F" w:rsidRPr="00B70FCC" w:rsidRDefault="00BD394F" w:rsidP="00F03392">
            <w:pPr>
              <w:pStyle w:val="Tabletext"/>
            </w:pPr>
            <w:r>
              <w:t>5.12</w:t>
            </w:r>
          </w:p>
        </w:tc>
        <w:tc>
          <w:tcPr>
            <w:tcW w:w="600" w:type="pct"/>
            <w:vAlign w:val="center"/>
          </w:tcPr>
          <w:p w14:paraId="1D3BB70C" w14:textId="55517997" w:rsidR="00BD394F" w:rsidRPr="00B70FCC" w:rsidRDefault="00BD394F" w:rsidP="00F03392">
            <w:pPr>
              <w:pStyle w:val="Tabletext"/>
            </w:pPr>
            <w:r>
              <w:t>5.12</w:t>
            </w:r>
          </w:p>
        </w:tc>
      </w:tr>
      <w:tr w:rsidR="00BD394F" w:rsidRPr="0098262F" w14:paraId="33505D87" w14:textId="77777777" w:rsidTr="00ED2009">
        <w:tc>
          <w:tcPr>
            <w:tcW w:w="1380" w:type="pct"/>
            <w:tcBorders>
              <w:bottom w:val="double" w:sz="4" w:space="0" w:color="auto"/>
            </w:tcBorders>
          </w:tcPr>
          <w:p w14:paraId="461BA07F" w14:textId="23CD014E" w:rsidR="00BD394F" w:rsidRPr="00F03392" w:rsidRDefault="00BD394F" w:rsidP="00F03392">
            <w:pPr>
              <w:pStyle w:val="Tabletext"/>
            </w:pPr>
            <w:r w:rsidRPr="00F03392">
              <w:t>Total prescriptions</w:t>
            </w:r>
          </w:p>
        </w:tc>
        <w:tc>
          <w:tcPr>
            <w:tcW w:w="604" w:type="pct"/>
            <w:tcBorders>
              <w:bottom w:val="double" w:sz="4" w:space="0" w:color="auto"/>
            </w:tcBorders>
            <w:vAlign w:val="center"/>
          </w:tcPr>
          <w:p w14:paraId="2CE8FF5B" w14:textId="5B72B4BC" w:rsidR="00BD394F" w:rsidRPr="00F03392" w:rsidRDefault="00FE3B86" w:rsidP="00F03392">
            <w:pPr>
              <w:pStyle w:val="Tabletext"/>
            </w:pPr>
            <w:r w:rsidRPr="004F06D3">
              <w:rPr>
                <w:highlight w:val="black"/>
              </w:rPr>
              <w:t>&amp;&amp;&amp;&amp;</w:t>
            </w:r>
            <w:r w:rsidR="005536DF" w:rsidRPr="005536DF">
              <w:rPr>
                <w:vertAlign w:val="superscript"/>
              </w:rPr>
              <w:t>7</w:t>
            </w:r>
          </w:p>
        </w:tc>
        <w:tc>
          <w:tcPr>
            <w:tcW w:w="604" w:type="pct"/>
            <w:tcBorders>
              <w:bottom w:val="double" w:sz="4" w:space="0" w:color="auto"/>
            </w:tcBorders>
            <w:vAlign w:val="center"/>
          </w:tcPr>
          <w:p w14:paraId="01990A06" w14:textId="592C62BD" w:rsidR="00BD394F" w:rsidRPr="00F03392" w:rsidRDefault="00FE3B86" w:rsidP="00F03392">
            <w:pPr>
              <w:pStyle w:val="Tabletext"/>
            </w:pPr>
            <w:r w:rsidRPr="004F06D3">
              <w:rPr>
                <w:highlight w:val="black"/>
              </w:rPr>
              <w:t>&amp;&amp;&amp;&amp;</w:t>
            </w:r>
            <w:r w:rsidR="005536DF">
              <w:rPr>
                <w:vertAlign w:val="superscript"/>
              </w:rPr>
              <w:t>8</w:t>
            </w:r>
            <w:r w:rsidR="00BD394F" w:rsidRPr="00F03392">
              <w:t xml:space="preserve"> </w:t>
            </w:r>
          </w:p>
        </w:tc>
        <w:tc>
          <w:tcPr>
            <w:tcW w:w="604" w:type="pct"/>
            <w:tcBorders>
              <w:bottom w:val="double" w:sz="4" w:space="0" w:color="auto"/>
            </w:tcBorders>
            <w:vAlign w:val="center"/>
          </w:tcPr>
          <w:p w14:paraId="672231FD" w14:textId="7BC18ED1" w:rsidR="00BD394F" w:rsidRPr="00F03392" w:rsidRDefault="00FE3B86" w:rsidP="00F03392">
            <w:pPr>
              <w:pStyle w:val="Tabletext"/>
            </w:pPr>
            <w:r w:rsidRPr="004F06D3">
              <w:rPr>
                <w:highlight w:val="black"/>
              </w:rPr>
              <w:t>&amp;&amp;&amp;&amp;</w:t>
            </w:r>
            <w:r w:rsidR="005536DF">
              <w:rPr>
                <w:vertAlign w:val="superscript"/>
              </w:rPr>
              <w:t>8</w:t>
            </w:r>
            <w:r w:rsidR="00BD394F" w:rsidRPr="00F03392">
              <w:t xml:space="preserve"> </w:t>
            </w:r>
          </w:p>
        </w:tc>
        <w:tc>
          <w:tcPr>
            <w:tcW w:w="604" w:type="pct"/>
            <w:tcBorders>
              <w:bottom w:val="double" w:sz="4" w:space="0" w:color="auto"/>
            </w:tcBorders>
            <w:vAlign w:val="center"/>
          </w:tcPr>
          <w:p w14:paraId="25E49E64" w14:textId="0E6B8B17" w:rsidR="00BD394F" w:rsidRPr="00F03392" w:rsidRDefault="00FE3B86" w:rsidP="00F03392">
            <w:pPr>
              <w:pStyle w:val="Tabletext"/>
            </w:pPr>
            <w:r w:rsidRPr="004F06D3">
              <w:rPr>
                <w:highlight w:val="black"/>
              </w:rPr>
              <w:t>&amp;&amp;&amp;&amp;</w:t>
            </w:r>
            <w:r w:rsidR="005536DF">
              <w:rPr>
                <w:vertAlign w:val="superscript"/>
              </w:rPr>
              <w:t>8</w:t>
            </w:r>
            <w:r w:rsidR="00BD394F" w:rsidRPr="00F03392">
              <w:t xml:space="preserve"> </w:t>
            </w:r>
          </w:p>
        </w:tc>
        <w:tc>
          <w:tcPr>
            <w:tcW w:w="604" w:type="pct"/>
            <w:tcBorders>
              <w:bottom w:val="double" w:sz="4" w:space="0" w:color="auto"/>
            </w:tcBorders>
            <w:vAlign w:val="center"/>
          </w:tcPr>
          <w:p w14:paraId="4E9D1B59" w14:textId="431E6AF9" w:rsidR="00BD394F" w:rsidRPr="00F03392" w:rsidRDefault="00FE3B86" w:rsidP="00F03392">
            <w:pPr>
              <w:pStyle w:val="Tabletext"/>
            </w:pPr>
            <w:r w:rsidRPr="004F06D3">
              <w:rPr>
                <w:highlight w:val="black"/>
              </w:rPr>
              <w:t>&amp;&amp;&amp;&amp;</w:t>
            </w:r>
            <w:r w:rsidR="00AF2511">
              <w:rPr>
                <w:vertAlign w:val="superscript"/>
              </w:rPr>
              <w:t>9</w:t>
            </w:r>
            <w:r w:rsidR="00BD394F" w:rsidRPr="00F03392">
              <w:t xml:space="preserve"> </w:t>
            </w:r>
          </w:p>
        </w:tc>
        <w:tc>
          <w:tcPr>
            <w:tcW w:w="600" w:type="pct"/>
            <w:tcBorders>
              <w:bottom w:val="double" w:sz="4" w:space="0" w:color="auto"/>
            </w:tcBorders>
            <w:vAlign w:val="center"/>
          </w:tcPr>
          <w:p w14:paraId="7C2F07EF" w14:textId="2B57954B" w:rsidR="00BD394F" w:rsidRPr="00F03392" w:rsidRDefault="00FE3B86" w:rsidP="00F03392">
            <w:pPr>
              <w:pStyle w:val="Tabletext"/>
            </w:pPr>
            <w:r w:rsidRPr="004F06D3">
              <w:rPr>
                <w:highlight w:val="black"/>
              </w:rPr>
              <w:t>&amp;&amp;&amp;&amp;</w:t>
            </w:r>
            <w:r w:rsidR="00AF2511">
              <w:rPr>
                <w:vertAlign w:val="superscript"/>
              </w:rPr>
              <w:t>9</w:t>
            </w:r>
            <w:r w:rsidR="00BD394F" w:rsidRPr="00F03392">
              <w:t xml:space="preserve"> </w:t>
            </w:r>
          </w:p>
        </w:tc>
      </w:tr>
      <w:tr w:rsidR="00BD394F" w:rsidRPr="0098262F" w14:paraId="75B2814D" w14:textId="77777777" w:rsidTr="00ED2009">
        <w:tc>
          <w:tcPr>
            <w:tcW w:w="1380" w:type="pct"/>
            <w:tcBorders>
              <w:top w:val="double" w:sz="4" w:space="0" w:color="auto"/>
            </w:tcBorders>
          </w:tcPr>
          <w:p w14:paraId="3D028F47" w14:textId="26AFC15E" w:rsidR="00BD394F" w:rsidRPr="00F03392" w:rsidRDefault="00BD394F" w:rsidP="00F03392">
            <w:pPr>
              <w:pStyle w:val="Tabletext"/>
            </w:pPr>
            <w:r w:rsidRPr="00F03392">
              <w:t xml:space="preserve">TOTAL </w:t>
            </w:r>
          </w:p>
        </w:tc>
        <w:tc>
          <w:tcPr>
            <w:tcW w:w="604" w:type="pct"/>
            <w:tcBorders>
              <w:top w:val="double" w:sz="4" w:space="0" w:color="auto"/>
            </w:tcBorders>
            <w:vAlign w:val="center"/>
          </w:tcPr>
          <w:p w14:paraId="263F74FB" w14:textId="5E144E4C" w:rsidR="00BD394F" w:rsidRPr="00F03392" w:rsidRDefault="00FE3B86" w:rsidP="00F03392">
            <w:pPr>
              <w:pStyle w:val="Tabletext"/>
            </w:pPr>
            <w:r w:rsidRPr="004F06D3">
              <w:rPr>
                <w:highlight w:val="black"/>
              </w:rPr>
              <w:t>&amp;&amp;&amp;&amp;</w:t>
            </w:r>
            <w:r w:rsidR="00AF2511">
              <w:rPr>
                <w:vertAlign w:val="superscript"/>
              </w:rPr>
              <w:t>8</w:t>
            </w:r>
            <w:r w:rsidR="00BD394F" w:rsidRPr="00F03392">
              <w:t xml:space="preserve"> </w:t>
            </w:r>
          </w:p>
        </w:tc>
        <w:tc>
          <w:tcPr>
            <w:tcW w:w="604" w:type="pct"/>
            <w:tcBorders>
              <w:top w:val="double" w:sz="4" w:space="0" w:color="auto"/>
            </w:tcBorders>
            <w:vAlign w:val="center"/>
          </w:tcPr>
          <w:p w14:paraId="6B778105" w14:textId="1E751B6B" w:rsidR="00BD394F" w:rsidRPr="00F03392" w:rsidRDefault="00FE3B86" w:rsidP="00F03392">
            <w:pPr>
              <w:pStyle w:val="Tabletext"/>
            </w:pPr>
            <w:r w:rsidRPr="004F06D3">
              <w:rPr>
                <w:highlight w:val="black"/>
              </w:rPr>
              <w:t>&amp;&amp;&amp;&amp;</w:t>
            </w:r>
            <w:r w:rsidR="00AF2511">
              <w:rPr>
                <w:vertAlign w:val="superscript"/>
              </w:rPr>
              <w:t>8</w:t>
            </w:r>
            <w:r w:rsidR="00BD394F" w:rsidRPr="00F03392">
              <w:t xml:space="preserve"> </w:t>
            </w:r>
          </w:p>
        </w:tc>
        <w:tc>
          <w:tcPr>
            <w:tcW w:w="604" w:type="pct"/>
            <w:tcBorders>
              <w:top w:val="double" w:sz="4" w:space="0" w:color="auto"/>
            </w:tcBorders>
            <w:vAlign w:val="center"/>
          </w:tcPr>
          <w:p w14:paraId="629D93BA" w14:textId="3FDD1E44" w:rsidR="00BD394F" w:rsidRPr="00F03392" w:rsidRDefault="00FE3B86" w:rsidP="00F03392">
            <w:pPr>
              <w:pStyle w:val="Tabletext"/>
            </w:pPr>
            <w:r w:rsidRPr="004F06D3">
              <w:rPr>
                <w:highlight w:val="black"/>
              </w:rPr>
              <w:t>&amp;&amp;&amp;&amp;</w:t>
            </w:r>
            <w:r w:rsidR="00AF2511">
              <w:rPr>
                <w:vertAlign w:val="superscript"/>
              </w:rPr>
              <w:t>9</w:t>
            </w:r>
            <w:r w:rsidR="00BD394F" w:rsidRPr="00F03392">
              <w:t xml:space="preserve"> </w:t>
            </w:r>
          </w:p>
        </w:tc>
        <w:tc>
          <w:tcPr>
            <w:tcW w:w="604" w:type="pct"/>
            <w:tcBorders>
              <w:top w:val="double" w:sz="4" w:space="0" w:color="auto"/>
            </w:tcBorders>
            <w:vAlign w:val="center"/>
          </w:tcPr>
          <w:p w14:paraId="52392A99" w14:textId="249C2C36" w:rsidR="00BD394F" w:rsidRPr="00F03392" w:rsidRDefault="00FE3B86" w:rsidP="00F03392">
            <w:pPr>
              <w:pStyle w:val="Tabletext"/>
            </w:pPr>
            <w:r w:rsidRPr="004F06D3">
              <w:rPr>
                <w:highlight w:val="black"/>
              </w:rPr>
              <w:t>&amp;&amp;&amp;&amp;</w:t>
            </w:r>
            <w:r w:rsidR="00AF2511">
              <w:rPr>
                <w:vertAlign w:val="superscript"/>
              </w:rPr>
              <w:t>9</w:t>
            </w:r>
            <w:r w:rsidR="00BD394F" w:rsidRPr="00F03392">
              <w:t xml:space="preserve"> </w:t>
            </w:r>
          </w:p>
        </w:tc>
        <w:tc>
          <w:tcPr>
            <w:tcW w:w="604" w:type="pct"/>
            <w:tcBorders>
              <w:top w:val="double" w:sz="4" w:space="0" w:color="auto"/>
            </w:tcBorders>
            <w:vAlign w:val="center"/>
          </w:tcPr>
          <w:p w14:paraId="76241C3A" w14:textId="6AF9A5ED" w:rsidR="00BD394F" w:rsidRPr="00F03392" w:rsidRDefault="00FE3B86" w:rsidP="00F03392">
            <w:pPr>
              <w:pStyle w:val="Tabletext"/>
            </w:pPr>
            <w:r w:rsidRPr="004F06D3">
              <w:rPr>
                <w:highlight w:val="black"/>
              </w:rPr>
              <w:t>&amp;&amp;&amp;&amp;</w:t>
            </w:r>
            <w:r w:rsidR="008A3370">
              <w:rPr>
                <w:vertAlign w:val="superscript"/>
              </w:rPr>
              <w:t>10</w:t>
            </w:r>
            <w:r w:rsidR="00BD394F" w:rsidRPr="00F03392">
              <w:t xml:space="preserve"> </w:t>
            </w:r>
          </w:p>
        </w:tc>
        <w:tc>
          <w:tcPr>
            <w:tcW w:w="600" w:type="pct"/>
            <w:tcBorders>
              <w:top w:val="double" w:sz="4" w:space="0" w:color="auto"/>
            </w:tcBorders>
            <w:vAlign w:val="center"/>
          </w:tcPr>
          <w:p w14:paraId="625BC572" w14:textId="14A2D97D" w:rsidR="00BD394F" w:rsidRPr="00F03392" w:rsidRDefault="00FE3B86" w:rsidP="00F03392">
            <w:pPr>
              <w:pStyle w:val="Tabletext"/>
            </w:pPr>
            <w:r w:rsidRPr="004F06D3">
              <w:rPr>
                <w:highlight w:val="black"/>
              </w:rPr>
              <w:t>&amp;&amp;&amp;&amp;</w:t>
            </w:r>
            <w:r w:rsidR="008A3370">
              <w:rPr>
                <w:vertAlign w:val="superscript"/>
              </w:rPr>
              <w:t>10</w:t>
            </w:r>
            <w:r w:rsidR="00BD394F" w:rsidRPr="00F03392">
              <w:t xml:space="preserve"> </w:t>
            </w:r>
          </w:p>
        </w:tc>
      </w:tr>
    </w:tbl>
    <w:p w14:paraId="7AAA1DFD" w14:textId="77777777" w:rsidR="004F7DC9" w:rsidRDefault="00B70FCC" w:rsidP="004F7DC9">
      <w:pPr>
        <w:pStyle w:val="FooterTableFigure"/>
        <w:rPr>
          <w:i/>
          <w:szCs w:val="18"/>
        </w:rPr>
      </w:pPr>
      <w:r w:rsidRPr="0098262F">
        <w:t xml:space="preserve">Source: </w:t>
      </w:r>
      <w:r w:rsidR="00BD394F">
        <w:t xml:space="preserve">Table 4.7, p176; </w:t>
      </w:r>
      <w:r w:rsidRPr="0098262F">
        <w:t>Table</w:t>
      </w:r>
      <w:r>
        <w:t xml:space="preserve"> 4.9,</w:t>
      </w:r>
      <w:r w:rsidRPr="0098262F">
        <w:t xml:space="preserve"> p</w:t>
      </w:r>
      <w:r>
        <w:t xml:space="preserve"> 177</w:t>
      </w:r>
      <w:r w:rsidR="00BD394F">
        <w:t xml:space="preserve">; Table 4.10, p178; Table 4.11, p178 </w:t>
      </w:r>
      <w:r w:rsidRPr="0098262F">
        <w:t>of the submission.</w:t>
      </w:r>
      <w:r w:rsidR="004F7DC9" w:rsidRPr="004F7DC9">
        <w:rPr>
          <w:i/>
          <w:szCs w:val="18"/>
        </w:rPr>
        <w:t xml:space="preserve"> </w:t>
      </w:r>
    </w:p>
    <w:p w14:paraId="41B3C118" w14:textId="6709B679" w:rsidR="004F7DC9" w:rsidRPr="004F7DC9" w:rsidRDefault="004F7DC9" w:rsidP="004F7DC9">
      <w:pPr>
        <w:pStyle w:val="FooterTableFigure"/>
        <w:rPr>
          <w:i/>
        </w:rPr>
      </w:pPr>
      <w:r w:rsidRPr="004F7DC9">
        <w:rPr>
          <w:i/>
        </w:rPr>
        <w:t xml:space="preserve">The redacted values correspond to the following ranges: </w:t>
      </w:r>
    </w:p>
    <w:p w14:paraId="280382E6" w14:textId="03E6924A" w:rsidR="004F7DC9" w:rsidRPr="004F7DC9" w:rsidRDefault="004F7DC9" w:rsidP="004F7DC9">
      <w:pPr>
        <w:pStyle w:val="FooterTableFigure"/>
        <w:rPr>
          <w:i/>
        </w:rPr>
      </w:pPr>
      <w:r w:rsidRPr="004F7DC9">
        <w:rPr>
          <w:i/>
          <w:vertAlign w:val="superscript"/>
        </w:rPr>
        <w:t>1</w:t>
      </w:r>
      <w:r w:rsidRPr="004F7DC9">
        <w:rPr>
          <w:i/>
        </w:rPr>
        <w:t xml:space="preserve"> </w:t>
      </w:r>
      <w:r w:rsidR="00260878" w:rsidRPr="00260878">
        <w:rPr>
          <w:i/>
        </w:rPr>
        <w:t>20,000 to &lt; 30,000</w:t>
      </w:r>
    </w:p>
    <w:p w14:paraId="29C1687B" w14:textId="2460F321" w:rsidR="004F7DC9" w:rsidRPr="004F7DC9" w:rsidRDefault="004F7DC9" w:rsidP="004F7DC9">
      <w:pPr>
        <w:pStyle w:val="FooterTableFigure"/>
        <w:rPr>
          <w:i/>
        </w:rPr>
      </w:pPr>
      <w:r w:rsidRPr="004F7DC9">
        <w:rPr>
          <w:i/>
          <w:vertAlign w:val="superscript"/>
        </w:rPr>
        <w:t>2</w:t>
      </w:r>
      <w:r w:rsidRPr="004F7DC9">
        <w:rPr>
          <w:i/>
        </w:rPr>
        <w:t xml:space="preserve"> </w:t>
      </w:r>
      <w:r w:rsidR="0024560B" w:rsidRPr="0024560B">
        <w:rPr>
          <w:i/>
        </w:rPr>
        <w:t>30,000 to &lt; 40,000</w:t>
      </w:r>
    </w:p>
    <w:p w14:paraId="7BD1EFA0" w14:textId="22B1BB59" w:rsidR="004F7DC9" w:rsidRPr="004F7DC9" w:rsidRDefault="004F7DC9" w:rsidP="004F7DC9">
      <w:pPr>
        <w:pStyle w:val="FooterTableFigure"/>
        <w:rPr>
          <w:i/>
        </w:rPr>
      </w:pPr>
      <w:r w:rsidRPr="004F7DC9">
        <w:rPr>
          <w:i/>
          <w:vertAlign w:val="superscript"/>
        </w:rPr>
        <w:t>3</w:t>
      </w:r>
      <w:r w:rsidRPr="004F7DC9">
        <w:rPr>
          <w:i/>
        </w:rPr>
        <w:t xml:space="preserve"> </w:t>
      </w:r>
      <w:r w:rsidR="00DF6E66" w:rsidRPr="00DF6E66">
        <w:rPr>
          <w:i/>
        </w:rPr>
        <w:t>500 to &lt; 5,000</w:t>
      </w:r>
    </w:p>
    <w:p w14:paraId="3FE2CF20" w14:textId="6AF4804B" w:rsidR="004F7DC9" w:rsidRPr="004F7DC9" w:rsidRDefault="004F7DC9" w:rsidP="004F7DC9">
      <w:pPr>
        <w:pStyle w:val="FooterTableFigure"/>
        <w:rPr>
          <w:i/>
        </w:rPr>
      </w:pPr>
      <w:r w:rsidRPr="004F7DC9">
        <w:rPr>
          <w:i/>
          <w:vertAlign w:val="superscript"/>
        </w:rPr>
        <w:t>4</w:t>
      </w:r>
      <w:r w:rsidRPr="004F7DC9">
        <w:rPr>
          <w:i/>
        </w:rPr>
        <w:t xml:space="preserve"> </w:t>
      </w:r>
      <w:r w:rsidR="00CC3FB8" w:rsidRPr="00CC3FB8">
        <w:rPr>
          <w:i/>
        </w:rPr>
        <w:t>5,000 to &lt; 10,000</w:t>
      </w:r>
    </w:p>
    <w:p w14:paraId="7B30DE28" w14:textId="1B86BB42" w:rsidR="004F7DC9" w:rsidRPr="004F7DC9" w:rsidRDefault="004F7DC9" w:rsidP="004F7DC9">
      <w:pPr>
        <w:pStyle w:val="FooterTableFigure"/>
        <w:rPr>
          <w:i/>
        </w:rPr>
      </w:pPr>
      <w:r w:rsidRPr="004F7DC9">
        <w:rPr>
          <w:i/>
          <w:vertAlign w:val="superscript"/>
        </w:rPr>
        <w:t>5</w:t>
      </w:r>
      <w:r w:rsidRPr="004F7DC9">
        <w:rPr>
          <w:i/>
        </w:rPr>
        <w:t xml:space="preserve"> </w:t>
      </w:r>
      <w:r w:rsidR="00EE11DA" w:rsidRPr="00EE11DA">
        <w:rPr>
          <w:i/>
        </w:rPr>
        <w:t>10,000 to &lt; 20,000</w:t>
      </w:r>
    </w:p>
    <w:p w14:paraId="1CC79513" w14:textId="43F0C678" w:rsidR="004F7DC9" w:rsidRDefault="004F7DC9" w:rsidP="004F7DC9">
      <w:pPr>
        <w:pStyle w:val="FooterTableFigure"/>
        <w:rPr>
          <w:i/>
        </w:rPr>
      </w:pPr>
      <w:r w:rsidRPr="004F7DC9">
        <w:rPr>
          <w:i/>
          <w:vertAlign w:val="superscript"/>
        </w:rPr>
        <w:t>6</w:t>
      </w:r>
      <w:r w:rsidRPr="004F7DC9">
        <w:rPr>
          <w:i/>
        </w:rPr>
        <w:t xml:space="preserve"> </w:t>
      </w:r>
      <w:r w:rsidR="000051C6" w:rsidRPr="000051C6">
        <w:rPr>
          <w:i/>
        </w:rPr>
        <w:t>1,000,000 to &lt; 2,000,000</w:t>
      </w:r>
    </w:p>
    <w:p w14:paraId="13C7ECEB" w14:textId="77777777" w:rsidR="00132EE1" w:rsidRDefault="002D6336" w:rsidP="00132EE1">
      <w:pPr>
        <w:pStyle w:val="FooterTableFigure"/>
        <w:rPr>
          <w:i/>
        </w:rPr>
      </w:pPr>
      <w:r>
        <w:rPr>
          <w:i/>
          <w:vertAlign w:val="superscript"/>
        </w:rPr>
        <w:t>7</w:t>
      </w:r>
      <w:r>
        <w:rPr>
          <w:i/>
        </w:rPr>
        <w:t xml:space="preserve"> </w:t>
      </w:r>
      <w:r w:rsidR="00132EE1" w:rsidRPr="00132EE1">
        <w:rPr>
          <w:i/>
        </w:rPr>
        <w:t>40,000 to &lt; 50,000</w:t>
      </w:r>
    </w:p>
    <w:p w14:paraId="09B5D6FA" w14:textId="2C4AFD45" w:rsidR="00845B38" w:rsidRDefault="00845B38" w:rsidP="00132EE1">
      <w:pPr>
        <w:pStyle w:val="FooterTableFigure"/>
        <w:rPr>
          <w:i/>
        </w:rPr>
      </w:pPr>
      <w:r>
        <w:rPr>
          <w:i/>
          <w:vertAlign w:val="superscript"/>
        </w:rPr>
        <w:t>8</w:t>
      </w:r>
      <w:r>
        <w:rPr>
          <w:i/>
        </w:rPr>
        <w:t xml:space="preserve"> </w:t>
      </w:r>
      <w:r w:rsidR="00B45287" w:rsidRPr="00B45287">
        <w:rPr>
          <w:i/>
        </w:rPr>
        <w:t>50,000 to &lt; 60,000</w:t>
      </w:r>
    </w:p>
    <w:p w14:paraId="4038E5CD" w14:textId="54041699" w:rsidR="00AF2511" w:rsidRDefault="00AF2511" w:rsidP="00132EE1">
      <w:pPr>
        <w:pStyle w:val="FooterTableFigure"/>
        <w:rPr>
          <w:i/>
        </w:rPr>
      </w:pPr>
      <w:r>
        <w:rPr>
          <w:i/>
          <w:vertAlign w:val="superscript"/>
        </w:rPr>
        <w:t xml:space="preserve">9 </w:t>
      </w:r>
      <w:r w:rsidRPr="00AF2511">
        <w:rPr>
          <w:i/>
        </w:rPr>
        <w:t>60,000 to &lt; 70,000</w:t>
      </w:r>
    </w:p>
    <w:p w14:paraId="220DA9D9" w14:textId="73480B57" w:rsidR="00AB04F6" w:rsidRDefault="00AF2511" w:rsidP="00AD0699">
      <w:pPr>
        <w:pStyle w:val="FooterTableFigure"/>
        <w:rPr>
          <w:i/>
        </w:rPr>
      </w:pPr>
      <w:r>
        <w:rPr>
          <w:i/>
          <w:vertAlign w:val="superscript"/>
        </w:rPr>
        <w:t>10</w:t>
      </w:r>
      <w:r>
        <w:rPr>
          <w:i/>
        </w:rPr>
        <w:t xml:space="preserve"> </w:t>
      </w:r>
      <w:r w:rsidR="008A3370" w:rsidRPr="008A3370">
        <w:rPr>
          <w:i/>
        </w:rPr>
        <w:t>70,000 to &lt; 80,000</w:t>
      </w:r>
    </w:p>
    <w:p w14:paraId="2DE7F601" w14:textId="77777777" w:rsidR="00AB04F6" w:rsidRDefault="00AB04F6">
      <w:pPr>
        <w:jc w:val="left"/>
        <w:rPr>
          <w:rFonts w:ascii="Arial Narrow" w:hAnsi="Arial Narrow"/>
          <w:i/>
          <w:snapToGrid w:val="0"/>
          <w:sz w:val="18"/>
          <w:szCs w:val="22"/>
        </w:rPr>
      </w:pPr>
      <w:r>
        <w:rPr>
          <w:i/>
        </w:rPr>
        <w:br w:type="page"/>
      </w:r>
    </w:p>
    <w:p w14:paraId="26FB6670" w14:textId="751BD058" w:rsidR="00B505C8" w:rsidRPr="0098262F" w:rsidRDefault="007E7A87" w:rsidP="002721B7">
      <w:pPr>
        <w:pStyle w:val="3-BodyText"/>
        <w:rPr>
          <w:color w:val="0066FF"/>
        </w:rPr>
      </w:pPr>
      <w:r>
        <w:t xml:space="preserve">The estimated cost to the PBS based on the published price of </w:t>
      </w:r>
      <w:r w:rsidR="00072758">
        <w:t>BTA</w:t>
      </w:r>
      <w:r w:rsidR="00AD2516">
        <w:t xml:space="preserve"> and the proposed price for GPB in</w:t>
      </w:r>
      <w:r w:rsidDel="00AD2516">
        <w:t xml:space="preserve"> </w:t>
      </w:r>
      <w:r w:rsidR="009F42BE">
        <w:t xml:space="preserve">the submission </w:t>
      </w:r>
      <w:r>
        <w:t>is shown in</w:t>
      </w:r>
      <w:r w:rsidR="00AD0699">
        <w:t xml:space="preserve"> </w:t>
      </w:r>
      <w:r w:rsidR="00AD0699">
        <w:fldChar w:fldCharType="begin" w:fldLock="1"/>
      </w:r>
      <w:r w:rsidR="00AD0699">
        <w:instrText xml:space="preserve"> REF _Ref104805295 \h </w:instrText>
      </w:r>
      <w:r w:rsidR="00AD0699">
        <w:fldChar w:fldCharType="separate"/>
      </w:r>
      <w:r w:rsidR="004D6DEB" w:rsidRPr="0098262F">
        <w:t xml:space="preserve">Table </w:t>
      </w:r>
      <w:r w:rsidR="004D6DEB">
        <w:rPr>
          <w:noProof/>
        </w:rPr>
        <w:t>13</w:t>
      </w:r>
      <w:r w:rsidR="00AD0699">
        <w:fldChar w:fldCharType="end"/>
      </w:r>
      <w:r w:rsidRPr="00C574D8">
        <w:t>.</w:t>
      </w:r>
    </w:p>
    <w:p w14:paraId="38EC053C" w14:textId="0C85484B" w:rsidR="00C25D9C" w:rsidRPr="0098262F" w:rsidRDefault="00E16AD8" w:rsidP="00AD5FF5">
      <w:pPr>
        <w:pStyle w:val="Caption"/>
      </w:pPr>
      <w:bookmarkStart w:id="70" w:name="_Ref104805295"/>
      <w:r w:rsidRPr="0098262F">
        <w:t xml:space="preserve">Table </w:t>
      </w:r>
      <w:r w:rsidR="007C24FD">
        <w:fldChar w:fldCharType="begin" w:fldLock="1"/>
      </w:r>
      <w:r w:rsidR="007C24FD">
        <w:instrText xml:space="preserve"> SEQ Table \* ARABIC </w:instrText>
      </w:r>
      <w:r w:rsidR="007C24FD">
        <w:fldChar w:fldCharType="separate"/>
      </w:r>
      <w:r w:rsidR="004D6DEB">
        <w:rPr>
          <w:noProof/>
        </w:rPr>
        <w:t>13</w:t>
      </w:r>
      <w:r w:rsidR="007C24FD">
        <w:rPr>
          <w:noProof/>
        </w:rPr>
        <w:fldChar w:fldCharType="end"/>
      </w:r>
      <w:bookmarkEnd w:id="70"/>
      <w:r w:rsidRPr="0098262F">
        <w:t>:</w:t>
      </w:r>
      <w:r w:rsidR="002A2F50" w:rsidRPr="0098262F">
        <w:rPr>
          <w:rStyle w:val="CommentReference"/>
          <w:b/>
          <w:szCs w:val="24"/>
        </w:rPr>
        <w:t xml:space="preserve"> Estimated use and financial implications</w:t>
      </w:r>
      <w:r w:rsidR="007E7A87">
        <w:rPr>
          <w:rStyle w:val="CommentReference"/>
          <w:b/>
          <w:szCs w:val="24"/>
        </w:rPr>
        <w:t xml:space="preserve"> –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w:tblDescription w:val="Estimated use and financial implications – published prices"/>
      </w:tblPr>
      <w:tblGrid>
        <w:gridCol w:w="2405"/>
        <w:gridCol w:w="1102"/>
        <w:gridCol w:w="1102"/>
        <w:gridCol w:w="1102"/>
        <w:gridCol w:w="1102"/>
        <w:gridCol w:w="1102"/>
        <w:gridCol w:w="1102"/>
      </w:tblGrid>
      <w:tr w:rsidR="00385A9D" w:rsidRPr="0098262F" w14:paraId="43A2A3A1" w14:textId="77777777" w:rsidTr="008A3158">
        <w:trPr>
          <w:tblHeader/>
        </w:trPr>
        <w:tc>
          <w:tcPr>
            <w:tcW w:w="1334" w:type="pct"/>
            <w:vAlign w:val="center"/>
          </w:tcPr>
          <w:p w14:paraId="0A4E41E1" w14:textId="77777777" w:rsidR="00385A9D" w:rsidRPr="0098262F" w:rsidRDefault="00385A9D" w:rsidP="00AD5FF5">
            <w:pPr>
              <w:pStyle w:val="In-tableHeading"/>
              <w:jc w:val="center"/>
              <w:rPr>
                <w:lang w:val="en-AU"/>
              </w:rPr>
            </w:pPr>
          </w:p>
        </w:tc>
        <w:tc>
          <w:tcPr>
            <w:tcW w:w="611" w:type="pct"/>
            <w:vAlign w:val="center"/>
          </w:tcPr>
          <w:p w14:paraId="77420B6F" w14:textId="77777777" w:rsidR="00385A9D" w:rsidRPr="0098262F" w:rsidRDefault="00385A9D" w:rsidP="00AD5FF5">
            <w:pPr>
              <w:pStyle w:val="In-tableHeading"/>
              <w:jc w:val="center"/>
              <w:rPr>
                <w:lang w:val="en-AU"/>
              </w:rPr>
            </w:pPr>
            <w:r w:rsidRPr="0098262F">
              <w:rPr>
                <w:lang w:val="en-AU"/>
              </w:rPr>
              <w:t>Year 1</w:t>
            </w:r>
          </w:p>
        </w:tc>
        <w:tc>
          <w:tcPr>
            <w:tcW w:w="611" w:type="pct"/>
            <w:vAlign w:val="center"/>
          </w:tcPr>
          <w:p w14:paraId="3BBD9218" w14:textId="77777777" w:rsidR="00385A9D" w:rsidRPr="0098262F" w:rsidRDefault="00385A9D" w:rsidP="00AD5FF5">
            <w:pPr>
              <w:pStyle w:val="In-tableHeading"/>
              <w:jc w:val="center"/>
              <w:rPr>
                <w:lang w:val="en-AU"/>
              </w:rPr>
            </w:pPr>
            <w:r w:rsidRPr="0098262F">
              <w:rPr>
                <w:lang w:val="en-AU"/>
              </w:rPr>
              <w:t>Year 2</w:t>
            </w:r>
          </w:p>
        </w:tc>
        <w:tc>
          <w:tcPr>
            <w:tcW w:w="611" w:type="pct"/>
            <w:vAlign w:val="center"/>
          </w:tcPr>
          <w:p w14:paraId="729A646E" w14:textId="77777777" w:rsidR="00385A9D" w:rsidRPr="0098262F" w:rsidRDefault="00385A9D" w:rsidP="00AD5FF5">
            <w:pPr>
              <w:pStyle w:val="In-tableHeading"/>
              <w:jc w:val="center"/>
              <w:rPr>
                <w:lang w:val="en-AU"/>
              </w:rPr>
            </w:pPr>
            <w:r w:rsidRPr="0098262F">
              <w:rPr>
                <w:lang w:val="en-AU"/>
              </w:rPr>
              <w:t>Year 3</w:t>
            </w:r>
          </w:p>
        </w:tc>
        <w:tc>
          <w:tcPr>
            <w:tcW w:w="611" w:type="pct"/>
            <w:vAlign w:val="center"/>
          </w:tcPr>
          <w:p w14:paraId="280BB544" w14:textId="77777777" w:rsidR="00385A9D" w:rsidRPr="0098262F" w:rsidRDefault="00385A9D" w:rsidP="00AD5FF5">
            <w:pPr>
              <w:pStyle w:val="In-tableHeading"/>
              <w:jc w:val="center"/>
              <w:rPr>
                <w:lang w:val="en-AU"/>
              </w:rPr>
            </w:pPr>
            <w:r w:rsidRPr="0098262F">
              <w:rPr>
                <w:lang w:val="en-AU"/>
              </w:rPr>
              <w:t>Year 4</w:t>
            </w:r>
          </w:p>
        </w:tc>
        <w:tc>
          <w:tcPr>
            <w:tcW w:w="611" w:type="pct"/>
            <w:vAlign w:val="center"/>
          </w:tcPr>
          <w:p w14:paraId="6435BB5B" w14:textId="77777777" w:rsidR="00385A9D" w:rsidRPr="0098262F" w:rsidRDefault="00385A9D" w:rsidP="00AD5FF5">
            <w:pPr>
              <w:pStyle w:val="In-tableHeading"/>
              <w:jc w:val="center"/>
              <w:rPr>
                <w:lang w:val="en-AU"/>
              </w:rPr>
            </w:pPr>
            <w:r w:rsidRPr="0098262F">
              <w:rPr>
                <w:lang w:val="en-AU"/>
              </w:rPr>
              <w:t>Year 5</w:t>
            </w:r>
          </w:p>
        </w:tc>
        <w:tc>
          <w:tcPr>
            <w:tcW w:w="611" w:type="pct"/>
          </w:tcPr>
          <w:p w14:paraId="7C618119" w14:textId="77777777" w:rsidR="00385A9D" w:rsidRPr="0098262F" w:rsidRDefault="00385A9D" w:rsidP="00AD5FF5">
            <w:pPr>
              <w:pStyle w:val="In-tableHeading"/>
              <w:jc w:val="center"/>
              <w:rPr>
                <w:lang w:val="en-AU"/>
              </w:rPr>
            </w:pPr>
            <w:r w:rsidRPr="0098262F">
              <w:rPr>
                <w:lang w:val="en-AU"/>
              </w:rPr>
              <w:t>Year 6</w:t>
            </w:r>
          </w:p>
        </w:tc>
      </w:tr>
      <w:tr w:rsidR="00385A9D" w:rsidRPr="0098262F" w14:paraId="3C519059" w14:textId="77777777" w:rsidTr="009C3A3A">
        <w:tc>
          <w:tcPr>
            <w:tcW w:w="5000" w:type="pct"/>
            <w:gridSpan w:val="7"/>
            <w:vAlign w:val="center"/>
          </w:tcPr>
          <w:p w14:paraId="516C2197" w14:textId="77777777" w:rsidR="00385A9D" w:rsidRPr="0098262F" w:rsidRDefault="00385A9D" w:rsidP="00AD5FF5">
            <w:pPr>
              <w:pStyle w:val="In-tableHeading"/>
              <w:rPr>
                <w:bCs/>
                <w:color w:val="000000"/>
                <w:lang w:val="en-AU"/>
              </w:rPr>
            </w:pPr>
            <w:r w:rsidRPr="0098262F">
              <w:rPr>
                <w:bCs/>
                <w:color w:val="000000"/>
                <w:lang w:val="en-AU"/>
              </w:rPr>
              <w:t>Estimated extent of use</w:t>
            </w:r>
          </w:p>
        </w:tc>
      </w:tr>
      <w:tr w:rsidR="00A86601" w:rsidRPr="0098262F" w14:paraId="1CEE4D09" w14:textId="77777777" w:rsidTr="00834893">
        <w:tc>
          <w:tcPr>
            <w:tcW w:w="1334" w:type="pct"/>
            <w:vAlign w:val="center"/>
          </w:tcPr>
          <w:p w14:paraId="229A1EDF" w14:textId="623E2C88" w:rsidR="00A86601" w:rsidRPr="0098262F" w:rsidRDefault="00A86601" w:rsidP="00A86601">
            <w:pPr>
              <w:pStyle w:val="Tabletext"/>
              <w:keepNext/>
              <w:keepLines/>
              <w:rPr>
                <w:rFonts w:ascii="Times" w:hAnsi="Times"/>
              </w:rPr>
            </w:pPr>
            <w:r>
              <w:t>Total n</w:t>
            </w:r>
            <w:r w:rsidRPr="0098262F">
              <w:t xml:space="preserve">umber of scripts </w:t>
            </w:r>
            <w:proofErr w:type="spellStart"/>
            <w:r w:rsidRPr="0098262F">
              <w:t>dispensed</w:t>
            </w:r>
            <w:r w:rsidRPr="0098262F">
              <w:rPr>
                <w:vertAlign w:val="superscript"/>
              </w:rPr>
              <w:t>a</w:t>
            </w:r>
            <w:proofErr w:type="spellEnd"/>
          </w:p>
        </w:tc>
        <w:tc>
          <w:tcPr>
            <w:tcW w:w="611" w:type="pct"/>
            <w:vAlign w:val="center"/>
          </w:tcPr>
          <w:p w14:paraId="0D9F25C2" w14:textId="74ABD0E2" w:rsidR="00A86601" w:rsidRPr="007E7A87" w:rsidRDefault="00FE3B86" w:rsidP="00A86601">
            <w:pPr>
              <w:pStyle w:val="Tabletext"/>
              <w:keepNext/>
              <w:keepLines/>
              <w:rPr>
                <w:color w:val="000000"/>
              </w:rPr>
            </w:pPr>
            <w:r w:rsidRPr="004F06D3">
              <w:rPr>
                <w:highlight w:val="black"/>
              </w:rPr>
              <w:t>&amp;&amp;&amp;&amp;</w:t>
            </w:r>
            <w:r w:rsidR="00A707E9">
              <w:rPr>
                <w:vertAlign w:val="superscript"/>
              </w:rPr>
              <w:t>1</w:t>
            </w:r>
            <w:r w:rsidR="00A86601" w:rsidRPr="007E7A87">
              <w:t xml:space="preserve"> </w:t>
            </w:r>
          </w:p>
        </w:tc>
        <w:tc>
          <w:tcPr>
            <w:tcW w:w="611" w:type="pct"/>
            <w:vAlign w:val="center"/>
          </w:tcPr>
          <w:p w14:paraId="2D7847AA" w14:textId="1421D128" w:rsidR="00A86601" w:rsidRPr="007E7A87" w:rsidRDefault="00FE3B86" w:rsidP="00A86601">
            <w:pPr>
              <w:pStyle w:val="Tabletext"/>
              <w:keepNext/>
              <w:keepLines/>
              <w:rPr>
                <w:color w:val="000000"/>
              </w:rPr>
            </w:pPr>
            <w:r w:rsidRPr="004F06D3">
              <w:rPr>
                <w:highlight w:val="black"/>
              </w:rPr>
              <w:t>&amp;&amp;&amp;&amp;</w:t>
            </w:r>
            <w:r w:rsidR="00A707E9">
              <w:rPr>
                <w:vertAlign w:val="superscript"/>
              </w:rPr>
              <w:t>1</w:t>
            </w:r>
            <w:r w:rsidR="00A86601" w:rsidRPr="007E7A87">
              <w:t xml:space="preserve"> </w:t>
            </w:r>
          </w:p>
        </w:tc>
        <w:tc>
          <w:tcPr>
            <w:tcW w:w="611" w:type="pct"/>
            <w:vAlign w:val="center"/>
          </w:tcPr>
          <w:p w14:paraId="7A620378" w14:textId="6DD2CDBD" w:rsidR="00A86601" w:rsidRPr="007E7A87" w:rsidRDefault="00FE3B86" w:rsidP="00A86601">
            <w:pPr>
              <w:pStyle w:val="Tabletext"/>
              <w:keepNext/>
              <w:keepLines/>
              <w:rPr>
                <w:color w:val="000000"/>
              </w:rPr>
            </w:pPr>
            <w:r w:rsidRPr="004F06D3">
              <w:rPr>
                <w:highlight w:val="black"/>
              </w:rPr>
              <w:t>&amp;&amp;&amp;&amp;</w:t>
            </w:r>
            <w:r w:rsidR="004E061B">
              <w:rPr>
                <w:vertAlign w:val="superscript"/>
              </w:rPr>
              <w:t>2</w:t>
            </w:r>
            <w:r w:rsidR="00A86601" w:rsidRPr="007E7A87">
              <w:t xml:space="preserve"> </w:t>
            </w:r>
          </w:p>
        </w:tc>
        <w:tc>
          <w:tcPr>
            <w:tcW w:w="611" w:type="pct"/>
            <w:vAlign w:val="center"/>
          </w:tcPr>
          <w:p w14:paraId="1D2C1413" w14:textId="684A4546" w:rsidR="00A86601" w:rsidRPr="007E7A87" w:rsidRDefault="00FE3B86" w:rsidP="00A86601">
            <w:pPr>
              <w:pStyle w:val="Tabletext"/>
              <w:keepNext/>
              <w:keepLines/>
              <w:rPr>
                <w:color w:val="000000"/>
              </w:rPr>
            </w:pPr>
            <w:r w:rsidRPr="004F06D3">
              <w:rPr>
                <w:highlight w:val="black"/>
              </w:rPr>
              <w:t>&amp;&amp;&amp;&amp;</w:t>
            </w:r>
            <w:r w:rsidR="004E061B">
              <w:rPr>
                <w:vertAlign w:val="superscript"/>
              </w:rPr>
              <w:t>2</w:t>
            </w:r>
            <w:r w:rsidR="00A86601" w:rsidRPr="007E7A87">
              <w:t xml:space="preserve"> </w:t>
            </w:r>
          </w:p>
        </w:tc>
        <w:tc>
          <w:tcPr>
            <w:tcW w:w="611" w:type="pct"/>
            <w:vAlign w:val="center"/>
          </w:tcPr>
          <w:p w14:paraId="3F0ACB95" w14:textId="1F7465EF" w:rsidR="00A86601" w:rsidRPr="007E7A87" w:rsidRDefault="00FE3B86" w:rsidP="00A86601">
            <w:pPr>
              <w:pStyle w:val="Tabletext"/>
              <w:keepNext/>
              <w:keepLines/>
              <w:rPr>
                <w:color w:val="000000"/>
              </w:rPr>
            </w:pPr>
            <w:r w:rsidRPr="004F06D3">
              <w:rPr>
                <w:highlight w:val="black"/>
              </w:rPr>
              <w:t>&amp;&amp;&amp;&amp;</w:t>
            </w:r>
            <w:r w:rsidR="004E061B">
              <w:rPr>
                <w:vertAlign w:val="superscript"/>
              </w:rPr>
              <w:t>3</w:t>
            </w:r>
            <w:r w:rsidR="00A86601" w:rsidRPr="007E7A87">
              <w:t xml:space="preserve"> </w:t>
            </w:r>
          </w:p>
        </w:tc>
        <w:tc>
          <w:tcPr>
            <w:tcW w:w="611" w:type="pct"/>
            <w:vAlign w:val="center"/>
          </w:tcPr>
          <w:p w14:paraId="1C30F331" w14:textId="2DBFE011" w:rsidR="00A86601" w:rsidRPr="007E7A87" w:rsidRDefault="00FE3B86" w:rsidP="00A86601">
            <w:pPr>
              <w:pStyle w:val="Tabletext"/>
              <w:keepNext/>
              <w:keepLines/>
              <w:rPr>
                <w:color w:val="000000"/>
              </w:rPr>
            </w:pPr>
            <w:r w:rsidRPr="004F06D3">
              <w:rPr>
                <w:highlight w:val="black"/>
              </w:rPr>
              <w:t>&amp;&amp;&amp;&amp;</w:t>
            </w:r>
            <w:r w:rsidR="004E061B">
              <w:rPr>
                <w:vertAlign w:val="superscript"/>
              </w:rPr>
              <w:t>3</w:t>
            </w:r>
            <w:r w:rsidR="00A86601" w:rsidRPr="007E7A87">
              <w:t xml:space="preserve"> </w:t>
            </w:r>
          </w:p>
        </w:tc>
      </w:tr>
      <w:tr w:rsidR="00A86601" w:rsidRPr="001322EE" w14:paraId="1E699D47" w14:textId="77777777" w:rsidTr="009C3A3A">
        <w:tc>
          <w:tcPr>
            <w:tcW w:w="5000" w:type="pct"/>
            <w:gridSpan w:val="7"/>
            <w:vAlign w:val="center"/>
          </w:tcPr>
          <w:p w14:paraId="7D0E0884" w14:textId="2FB6522B" w:rsidR="00A86601" w:rsidRPr="001322EE" w:rsidRDefault="00A86601" w:rsidP="00A86601">
            <w:pPr>
              <w:pStyle w:val="Tabletext"/>
              <w:keepNext/>
              <w:keepLines/>
              <w:rPr>
                <w:b/>
                <w:bCs/>
              </w:rPr>
            </w:pPr>
            <w:r w:rsidRPr="001322EE">
              <w:rPr>
                <w:b/>
                <w:bCs/>
              </w:rPr>
              <w:t xml:space="preserve">Estimated financial implications of </w:t>
            </w:r>
            <w:r>
              <w:rPr>
                <w:b/>
                <w:bCs/>
              </w:rPr>
              <w:t>GPB</w:t>
            </w:r>
          </w:p>
        </w:tc>
      </w:tr>
      <w:tr w:rsidR="00A86601" w:rsidRPr="0098262F" w14:paraId="4B4ACF1A" w14:textId="77777777" w:rsidTr="00834893">
        <w:tc>
          <w:tcPr>
            <w:tcW w:w="1334" w:type="pct"/>
            <w:vAlign w:val="center"/>
          </w:tcPr>
          <w:p w14:paraId="467993BD" w14:textId="618A57F1" w:rsidR="00A86601" w:rsidRPr="0098262F" w:rsidRDefault="00A86601" w:rsidP="00A86601">
            <w:pPr>
              <w:pStyle w:val="Tabletext"/>
              <w:keepNext/>
              <w:keepLines/>
              <w:rPr>
                <w:sz w:val="19"/>
                <w:szCs w:val="19"/>
              </w:rPr>
            </w:pPr>
            <w:r w:rsidRPr="0098262F">
              <w:rPr>
                <w:sz w:val="19"/>
                <w:szCs w:val="19"/>
              </w:rPr>
              <w:t>Cost to PBS/RPBS less copayments</w:t>
            </w:r>
          </w:p>
        </w:tc>
        <w:tc>
          <w:tcPr>
            <w:tcW w:w="611" w:type="pct"/>
            <w:vAlign w:val="center"/>
          </w:tcPr>
          <w:p w14:paraId="4125A2B6" w14:textId="687DAAEA" w:rsidR="00A86601" w:rsidRPr="00865884" w:rsidRDefault="00A86601" w:rsidP="00A86601">
            <w:pPr>
              <w:pStyle w:val="Tabletext"/>
              <w:keepNext/>
              <w:keepLines/>
              <w:rPr>
                <w:vertAlign w:val="superscript"/>
              </w:rPr>
            </w:pPr>
            <w:r w:rsidRPr="007E7A87">
              <w:t>$</w:t>
            </w:r>
            <w:r w:rsidR="00FE3B86" w:rsidRPr="004F06D3">
              <w:rPr>
                <w:highlight w:val="black"/>
              </w:rPr>
              <w:t>&amp;&amp;&amp;&amp;</w:t>
            </w:r>
            <w:r w:rsidR="00865884">
              <w:rPr>
                <w:vertAlign w:val="superscript"/>
              </w:rPr>
              <w:t>4</w:t>
            </w:r>
          </w:p>
        </w:tc>
        <w:tc>
          <w:tcPr>
            <w:tcW w:w="611" w:type="pct"/>
            <w:vAlign w:val="center"/>
          </w:tcPr>
          <w:p w14:paraId="5BDFECEB" w14:textId="417A9B9D" w:rsidR="00A86601" w:rsidRPr="00865884" w:rsidRDefault="00A86601" w:rsidP="00A86601">
            <w:pPr>
              <w:pStyle w:val="Tabletext"/>
              <w:keepNext/>
              <w:keepLines/>
              <w:rPr>
                <w:vertAlign w:val="superscript"/>
              </w:rPr>
            </w:pPr>
            <w:r w:rsidRPr="007E7A87">
              <w:t>$</w:t>
            </w:r>
            <w:r w:rsidR="00FE3B86" w:rsidRPr="004F06D3">
              <w:rPr>
                <w:highlight w:val="black"/>
              </w:rPr>
              <w:t>&amp;&amp;&amp;&amp;</w:t>
            </w:r>
            <w:r w:rsidR="00865884">
              <w:rPr>
                <w:vertAlign w:val="superscript"/>
              </w:rPr>
              <w:t>4</w:t>
            </w:r>
          </w:p>
        </w:tc>
        <w:tc>
          <w:tcPr>
            <w:tcW w:w="611" w:type="pct"/>
            <w:vAlign w:val="center"/>
          </w:tcPr>
          <w:p w14:paraId="3890D42E" w14:textId="703297BA" w:rsidR="00A86601" w:rsidRPr="00384C06" w:rsidRDefault="00A86601" w:rsidP="00A86601">
            <w:pPr>
              <w:pStyle w:val="Tabletext"/>
              <w:keepNext/>
              <w:keepLines/>
              <w:rPr>
                <w:vertAlign w:val="superscript"/>
              </w:rPr>
            </w:pPr>
            <w:r w:rsidRPr="007E7A87">
              <w:t>$</w:t>
            </w:r>
            <w:r w:rsidR="00FE3B86" w:rsidRPr="004F06D3">
              <w:rPr>
                <w:highlight w:val="black"/>
              </w:rPr>
              <w:t>&amp;&amp;&amp;&amp;</w:t>
            </w:r>
            <w:r w:rsidR="00384C06">
              <w:rPr>
                <w:vertAlign w:val="superscript"/>
              </w:rPr>
              <w:t>5</w:t>
            </w:r>
          </w:p>
        </w:tc>
        <w:tc>
          <w:tcPr>
            <w:tcW w:w="611" w:type="pct"/>
            <w:vAlign w:val="center"/>
          </w:tcPr>
          <w:p w14:paraId="2728B643" w14:textId="20C79857" w:rsidR="00A86601" w:rsidRPr="008A7864" w:rsidRDefault="00A86601" w:rsidP="00A86601">
            <w:pPr>
              <w:pStyle w:val="Tabletext"/>
              <w:keepNext/>
              <w:keepLines/>
              <w:rPr>
                <w:vertAlign w:val="superscript"/>
              </w:rPr>
            </w:pPr>
            <w:r w:rsidRPr="007E7A87">
              <w:t>$</w:t>
            </w:r>
            <w:r w:rsidR="00FE3B86" w:rsidRPr="004F06D3">
              <w:rPr>
                <w:highlight w:val="black"/>
              </w:rPr>
              <w:t>&amp;&amp;&amp;&amp;</w:t>
            </w:r>
            <w:r w:rsidR="008A7864">
              <w:rPr>
                <w:vertAlign w:val="superscript"/>
              </w:rPr>
              <w:t>5</w:t>
            </w:r>
          </w:p>
        </w:tc>
        <w:tc>
          <w:tcPr>
            <w:tcW w:w="611" w:type="pct"/>
            <w:vAlign w:val="center"/>
          </w:tcPr>
          <w:p w14:paraId="5FE5021A" w14:textId="4A25E198" w:rsidR="00A86601" w:rsidRPr="008A7864" w:rsidRDefault="00A86601" w:rsidP="00A86601">
            <w:pPr>
              <w:pStyle w:val="Tabletext"/>
              <w:keepNext/>
              <w:keepLines/>
              <w:rPr>
                <w:vertAlign w:val="superscript"/>
              </w:rPr>
            </w:pPr>
            <w:r w:rsidRPr="007E7A87">
              <w:t>$</w:t>
            </w:r>
            <w:r w:rsidR="00FE3B86" w:rsidRPr="004F06D3">
              <w:rPr>
                <w:highlight w:val="black"/>
              </w:rPr>
              <w:t>&amp;&amp;&amp;&amp;</w:t>
            </w:r>
            <w:r w:rsidR="008A7864">
              <w:rPr>
                <w:vertAlign w:val="superscript"/>
              </w:rPr>
              <w:t>5</w:t>
            </w:r>
          </w:p>
        </w:tc>
        <w:tc>
          <w:tcPr>
            <w:tcW w:w="611" w:type="pct"/>
            <w:vAlign w:val="center"/>
          </w:tcPr>
          <w:p w14:paraId="6F8E9082" w14:textId="51E8F2C8" w:rsidR="00A86601" w:rsidRPr="008A7864" w:rsidRDefault="00A86601" w:rsidP="00A86601">
            <w:pPr>
              <w:pStyle w:val="Tabletext"/>
              <w:keepNext/>
              <w:keepLines/>
              <w:rPr>
                <w:vertAlign w:val="superscript"/>
              </w:rPr>
            </w:pPr>
            <w:r w:rsidRPr="007E7A87">
              <w:t>$</w:t>
            </w:r>
            <w:r w:rsidR="00FE3B86" w:rsidRPr="004F06D3">
              <w:rPr>
                <w:highlight w:val="black"/>
              </w:rPr>
              <w:t>&amp;&amp;&amp;&amp;</w:t>
            </w:r>
            <w:r w:rsidR="008A7864">
              <w:rPr>
                <w:vertAlign w:val="superscript"/>
              </w:rPr>
              <w:t>5</w:t>
            </w:r>
          </w:p>
        </w:tc>
      </w:tr>
      <w:tr w:rsidR="00A86601" w:rsidRPr="001322EE" w14:paraId="344AC0E2" w14:textId="77777777" w:rsidTr="009C3A3A">
        <w:tc>
          <w:tcPr>
            <w:tcW w:w="5000" w:type="pct"/>
            <w:gridSpan w:val="7"/>
            <w:vAlign w:val="center"/>
          </w:tcPr>
          <w:p w14:paraId="0FF7E64D" w14:textId="0CA9FB17" w:rsidR="00A86601" w:rsidRPr="001322EE" w:rsidRDefault="00A86601" w:rsidP="00A86601">
            <w:pPr>
              <w:pStyle w:val="Tabletext"/>
              <w:keepNext/>
              <w:keepLines/>
              <w:rPr>
                <w:b/>
                <w:bCs/>
              </w:rPr>
            </w:pPr>
            <w:r w:rsidRPr="001322EE">
              <w:rPr>
                <w:b/>
                <w:bCs/>
              </w:rPr>
              <w:t xml:space="preserve">Estimated financial implications for </w:t>
            </w:r>
            <w:r>
              <w:rPr>
                <w:b/>
                <w:bCs/>
              </w:rPr>
              <w:t>BTA</w:t>
            </w:r>
          </w:p>
        </w:tc>
      </w:tr>
      <w:tr w:rsidR="00A86601" w:rsidRPr="0098262F" w14:paraId="0CE077D9" w14:textId="77777777" w:rsidTr="00834893">
        <w:tc>
          <w:tcPr>
            <w:tcW w:w="1334" w:type="pct"/>
            <w:vAlign w:val="center"/>
          </w:tcPr>
          <w:p w14:paraId="40F6A2C5" w14:textId="135CB323" w:rsidR="00A86601" w:rsidRPr="0098262F" w:rsidRDefault="00A86601" w:rsidP="00A86601">
            <w:pPr>
              <w:pStyle w:val="Tabletext"/>
              <w:keepNext/>
              <w:keepLines/>
              <w:rPr>
                <w:sz w:val="19"/>
                <w:szCs w:val="19"/>
              </w:rPr>
            </w:pPr>
            <w:r w:rsidRPr="0098262F">
              <w:rPr>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tcPr>
          <w:p w14:paraId="50CF2446" w14:textId="2C47D2DF" w:rsidR="00A86601" w:rsidRPr="00C247AF" w:rsidRDefault="00A86601" w:rsidP="00A86601">
            <w:pPr>
              <w:pStyle w:val="Tabletext"/>
              <w:keepNext/>
              <w:keepLines/>
              <w:rPr>
                <w:vertAlign w:val="superscript"/>
              </w:rPr>
            </w:pPr>
            <w:r w:rsidRPr="007E7A87">
              <w:t>-$</w:t>
            </w:r>
            <w:r w:rsidR="00FE3B86" w:rsidRPr="004F06D3">
              <w:rPr>
                <w:highlight w:val="black"/>
              </w:rPr>
              <w:t>&amp;&amp;&amp;&amp;</w:t>
            </w:r>
            <w:r w:rsidR="00C247AF">
              <w:rPr>
                <w:vertAlign w:val="superscript"/>
              </w:rPr>
              <w:t>6</w:t>
            </w:r>
          </w:p>
        </w:tc>
        <w:tc>
          <w:tcPr>
            <w:tcW w:w="611" w:type="pct"/>
            <w:tcBorders>
              <w:top w:val="single" w:sz="4" w:space="0" w:color="auto"/>
              <w:left w:val="nil"/>
              <w:bottom w:val="single" w:sz="4" w:space="0" w:color="auto"/>
              <w:right w:val="single" w:sz="4" w:space="0" w:color="auto"/>
            </w:tcBorders>
            <w:vAlign w:val="center"/>
          </w:tcPr>
          <w:p w14:paraId="35AF80ED" w14:textId="50965D79" w:rsidR="00A86601" w:rsidRPr="00C247AF" w:rsidRDefault="00A86601" w:rsidP="00A86601">
            <w:pPr>
              <w:pStyle w:val="Tabletext"/>
              <w:keepNext/>
              <w:keepLines/>
              <w:rPr>
                <w:vertAlign w:val="superscript"/>
              </w:rPr>
            </w:pPr>
            <w:r w:rsidRPr="007E7A87">
              <w:t>-$</w:t>
            </w:r>
            <w:r w:rsidR="00FE3B86" w:rsidRPr="004F06D3">
              <w:rPr>
                <w:highlight w:val="black"/>
              </w:rPr>
              <w:t>&amp;&amp;&amp;&amp;</w:t>
            </w:r>
            <w:r w:rsidR="00C247AF">
              <w:rPr>
                <w:vertAlign w:val="superscript"/>
              </w:rPr>
              <w:t>6</w:t>
            </w:r>
          </w:p>
        </w:tc>
        <w:tc>
          <w:tcPr>
            <w:tcW w:w="611" w:type="pct"/>
            <w:tcBorders>
              <w:top w:val="single" w:sz="4" w:space="0" w:color="auto"/>
              <w:left w:val="nil"/>
              <w:bottom w:val="single" w:sz="4" w:space="0" w:color="auto"/>
              <w:right w:val="single" w:sz="4" w:space="0" w:color="auto"/>
            </w:tcBorders>
            <w:vAlign w:val="center"/>
          </w:tcPr>
          <w:p w14:paraId="28F1C25D" w14:textId="393BA53B" w:rsidR="00A86601" w:rsidRPr="00C247AF" w:rsidRDefault="00A86601" w:rsidP="00A86601">
            <w:pPr>
              <w:pStyle w:val="Tabletext"/>
              <w:keepNext/>
              <w:keepLines/>
              <w:rPr>
                <w:vertAlign w:val="superscript"/>
              </w:rPr>
            </w:pPr>
            <w:r w:rsidRPr="007E7A87">
              <w:t>-$</w:t>
            </w:r>
            <w:r w:rsidR="00FE3B86" w:rsidRPr="004F06D3">
              <w:rPr>
                <w:highlight w:val="black"/>
              </w:rPr>
              <w:t>&amp;&amp;&amp;&amp;</w:t>
            </w:r>
            <w:r w:rsidR="00C247AF">
              <w:rPr>
                <w:vertAlign w:val="superscript"/>
              </w:rPr>
              <w:t>6</w:t>
            </w:r>
          </w:p>
        </w:tc>
        <w:tc>
          <w:tcPr>
            <w:tcW w:w="611" w:type="pct"/>
            <w:tcBorders>
              <w:top w:val="single" w:sz="4" w:space="0" w:color="auto"/>
              <w:left w:val="nil"/>
              <w:bottom w:val="single" w:sz="4" w:space="0" w:color="auto"/>
              <w:right w:val="single" w:sz="4" w:space="0" w:color="auto"/>
            </w:tcBorders>
            <w:vAlign w:val="center"/>
          </w:tcPr>
          <w:p w14:paraId="5DBA4173" w14:textId="3ECFDE7F" w:rsidR="00A86601" w:rsidRPr="00C247AF" w:rsidRDefault="00A86601" w:rsidP="00A86601">
            <w:pPr>
              <w:pStyle w:val="Tabletext"/>
              <w:keepNext/>
              <w:keepLines/>
              <w:rPr>
                <w:vertAlign w:val="superscript"/>
              </w:rPr>
            </w:pPr>
            <w:r w:rsidRPr="007E7A87">
              <w:t>-$</w:t>
            </w:r>
            <w:r w:rsidR="00FE3B86" w:rsidRPr="004F06D3">
              <w:rPr>
                <w:highlight w:val="black"/>
              </w:rPr>
              <w:t>&amp;&amp;&amp;&amp;</w:t>
            </w:r>
            <w:r w:rsidR="00C247AF">
              <w:rPr>
                <w:vertAlign w:val="superscript"/>
              </w:rPr>
              <w:t>6</w:t>
            </w:r>
          </w:p>
        </w:tc>
        <w:tc>
          <w:tcPr>
            <w:tcW w:w="611" w:type="pct"/>
            <w:tcBorders>
              <w:top w:val="single" w:sz="4" w:space="0" w:color="auto"/>
              <w:left w:val="nil"/>
              <w:bottom w:val="single" w:sz="4" w:space="0" w:color="auto"/>
              <w:right w:val="single" w:sz="4" w:space="0" w:color="auto"/>
            </w:tcBorders>
            <w:vAlign w:val="center"/>
          </w:tcPr>
          <w:p w14:paraId="4D6DC68C" w14:textId="1C50C799" w:rsidR="00A86601" w:rsidRPr="00C247AF" w:rsidRDefault="00A86601" w:rsidP="00A86601">
            <w:pPr>
              <w:pStyle w:val="Tabletext"/>
              <w:keepNext/>
              <w:keepLines/>
              <w:rPr>
                <w:vertAlign w:val="superscript"/>
              </w:rPr>
            </w:pPr>
            <w:r w:rsidRPr="007E7A87">
              <w:t>-$</w:t>
            </w:r>
            <w:r w:rsidR="00FE3B86" w:rsidRPr="004F06D3">
              <w:rPr>
                <w:highlight w:val="black"/>
              </w:rPr>
              <w:t>&amp;&amp;&amp;&amp;</w:t>
            </w:r>
            <w:r w:rsidR="00C247AF">
              <w:rPr>
                <w:vertAlign w:val="superscript"/>
              </w:rPr>
              <w:t>6</w:t>
            </w:r>
          </w:p>
        </w:tc>
        <w:tc>
          <w:tcPr>
            <w:tcW w:w="611" w:type="pct"/>
            <w:tcBorders>
              <w:top w:val="single" w:sz="4" w:space="0" w:color="auto"/>
              <w:left w:val="nil"/>
              <w:bottom w:val="single" w:sz="4" w:space="0" w:color="auto"/>
              <w:right w:val="single" w:sz="4" w:space="0" w:color="auto"/>
            </w:tcBorders>
            <w:vAlign w:val="center"/>
          </w:tcPr>
          <w:p w14:paraId="0766C6AC" w14:textId="18D90624" w:rsidR="00A86601" w:rsidRPr="00C247AF" w:rsidRDefault="00A86601" w:rsidP="00A86601">
            <w:pPr>
              <w:pStyle w:val="Tabletext"/>
              <w:keepNext/>
              <w:keepLines/>
              <w:rPr>
                <w:vertAlign w:val="superscript"/>
              </w:rPr>
            </w:pPr>
            <w:r w:rsidRPr="007E7A87">
              <w:t>-$</w:t>
            </w:r>
            <w:r w:rsidR="00FE3B86" w:rsidRPr="004F06D3">
              <w:rPr>
                <w:highlight w:val="black"/>
              </w:rPr>
              <w:t>&amp;&amp;&amp;&amp;</w:t>
            </w:r>
            <w:r w:rsidR="00C247AF">
              <w:rPr>
                <w:vertAlign w:val="superscript"/>
              </w:rPr>
              <w:t>6</w:t>
            </w:r>
          </w:p>
        </w:tc>
      </w:tr>
      <w:tr w:rsidR="00A86601" w:rsidRPr="001322EE" w14:paraId="4FA07BD8" w14:textId="77777777" w:rsidTr="009C3A3A">
        <w:tc>
          <w:tcPr>
            <w:tcW w:w="5000" w:type="pct"/>
            <w:gridSpan w:val="7"/>
            <w:vAlign w:val="center"/>
          </w:tcPr>
          <w:p w14:paraId="1A627EA0" w14:textId="780FF74F" w:rsidR="00A86601" w:rsidRPr="001322EE" w:rsidRDefault="00A86601" w:rsidP="00A86601">
            <w:pPr>
              <w:pStyle w:val="Tabletext"/>
              <w:keepNext/>
              <w:keepLines/>
              <w:rPr>
                <w:b/>
                <w:bCs/>
              </w:rPr>
            </w:pPr>
            <w:r w:rsidRPr="001322EE">
              <w:rPr>
                <w:b/>
                <w:bCs/>
              </w:rPr>
              <w:t>Net financial implications</w:t>
            </w:r>
            <w:r w:rsidRPr="001322EE">
              <w:rPr>
                <w:b/>
                <w:bCs/>
                <w:color w:val="4BACC6" w:themeColor="accent5"/>
              </w:rPr>
              <w:t xml:space="preserve"> </w:t>
            </w:r>
          </w:p>
        </w:tc>
      </w:tr>
      <w:tr w:rsidR="00A86601" w:rsidRPr="0098262F" w14:paraId="3F33D4C6" w14:textId="77777777" w:rsidTr="00841019">
        <w:tc>
          <w:tcPr>
            <w:tcW w:w="1334" w:type="pct"/>
            <w:vAlign w:val="center"/>
          </w:tcPr>
          <w:p w14:paraId="5ABBDE64" w14:textId="77777777" w:rsidR="00A86601" w:rsidRPr="0098262F" w:rsidRDefault="00A86601" w:rsidP="00A86601">
            <w:pPr>
              <w:pStyle w:val="Tabletext"/>
              <w:keepNext/>
              <w:keepLines/>
              <w:rPr>
                <w:sz w:val="19"/>
                <w:szCs w:val="19"/>
              </w:rPr>
            </w:pPr>
            <w:r w:rsidRPr="0098262F">
              <w:rPr>
                <w:sz w:val="19"/>
                <w:szCs w:val="19"/>
              </w:rPr>
              <w:t>Net cost to PBS/RPBS</w:t>
            </w:r>
          </w:p>
        </w:tc>
        <w:tc>
          <w:tcPr>
            <w:tcW w:w="611" w:type="pct"/>
            <w:tcBorders>
              <w:top w:val="nil"/>
              <w:left w:val="nil"/>
              <w:bottom w:val="single" w:sz="4" w:space="0" w:color="auto"/>
              <w:right w:val="single" w:sz="4" w:space="0" w:color="auto"/>
            </w:tcBorders>
            <w:vAlign w:val="bottom"/>
          </w:tcPr>
          <w:p w14:paraId="744F82C2" w14:textId="572C7AD7" w:rsidR="00A86601" w:rsidRPr="00841019" w:rsidRDefault="00A86601" w:rsidP="00A86601">
            <w:pPr>
              <w:pStyle w:val="Tabletext"/>
              <w:keepNext/>
              <w:keepLines/>
            </w:pPr>
            <w:r w:rsidRPr="00841019">
              <w:t>$</w:t>
            </w:r>
            <w:r w:rsidR="00FE3B86" w:rsidRPr="004F06D3">
              <w:rPr>
                <w:highlight w:val="black"/>
              </w:rPr>
              <w:t>&amp;&amp;&amp;&amp;</w:t>
            </w:r>
            <w:r w:rsidR="00F15464">
              <w:rPr>
                <w:vertAlign w:val="superscript"/>
              </w:rPr>
              <w:t>4</w:t>
            </w:r>
            <w:r w:rsidRPr="00841019">
              <w:t xml:space="preserve"> </w:t>
            </w:r>
          </w:p>
        </w:tc>
        <w:tc>
          <w:tcPr>
            <w:tcW w:w="611" w:type="pct"/>
            <w:tcBorders>
              <w:top w:val="nil"/>
              <w:left w:val="single" w:sz="4" w:space="0" w:color="auto"/>
              <w:bottom w:val="single" w:sz="4" w:space="0" w:color="auto"/>
              <w:right w:val="single" w:sz="4" w:space="0" w:color="auto"/>
            </w:tcBorders>
            <w:vAlign w:val="bottom"/>
          </w:tcPr>
          <w:p w14:paraId="295843EA" w14:textId="7CF69FD6" w:rsidR="00A86601" w:rsidRPr="00841019" w:rsidRDefault="00A86601" w:rsidP="00A86601">
            <w:pPr>
              <w:pStyle w:val="Tabletext"/>
              <w:keepNext/>
              <w:keepLines/>
            </w:pPr>
            <w:r w:rsidRPr="00841019">
              <w:t>$</w:t>
            </w:r>
            <w:r w:rsidR="00FE3B86" w:rsidRPr="004F06D3">
              <w:rPr>
                <w:highlight w:val="black"/>
              </w:rPr>
              <w:t>&amp;&amp;&amp;&amp;</w:t>
            </w:r>
            <w:r w:rsidR="00F15464">
              <w:rPr>
                <w:vertAlign w:val="superscript"/>
              </w:rPr>
              <w:t>4</w:t>
            </w:r>
            <w:r w:rsidRPr="00841019">
              <w:t xml:space="preserve"> </w:t>
            </w:r>
          </w:p>
        </w:tc>
        <w:tc>
          <w:tcPr>
            <w:tcW w:w="611" w:type="pct"/>
            <w:tcBorders>
              <w:top w:val="nil"/>
              <w:left w:val="single" w:sz="4" w:space="0" w:color="auto"/>
              <w:bottom w:val="single" w:sz="4" w:space="0" w:color="auto"/>
              <w:right w:val="single" w:sz="4" w:space="0" w:color="auto"/>
            </w:tcBorders>
            <w:vAlign w:val="bottom"/>
          </w:tcPr>
          <w:p w14:paraId="3A32302A" w14:textId="7C13A58E" w:rsidR="00A86601" w:rsidRPr="00841019" w:rsidRDefault="00A86601" w:rsidP="00A86601">
            <w:pPr>
              <w:pStyle w:val="Tabletext"/>
              <w:keepNext/>
              <w:keepLines/>
            </w:pPr>
            <w:r w:rsidRPr="00841019">
              <w:t>$</w:t>
            </w:r>
            <w:r w:rsidR="00FE3B86" w:rsidRPr="004F06D3">
              <w:rPr>
                <w:highlight w:val="black"/>
              </w:rPr>
              <w:t>&amp;&amp;&amp;&amp;</w:t>
            </w:r>
            <w:r w:rsidR="00F15464">
              <w:rPr>
                <w:vertAlign w:val="superscript"/>
              </w:rPr>
              <w:t>5</w:t>
            </w:r>
            <w:r w:rsidRPr="00841019">
              <w:t xml:space="preserve"> </w:t>
            </w:r>
          </w:p>
        </w:tc>
        <w:tc>
          <w:tcPr>
            <w:tcW w:w="611" w:type="pct"/>
            <w:tcBorders>
              <w:top w:val="nil"/>
              <w:left w:val="single" w:sz="4" w:space="0" w:color="auto"/>
              <w:bottom w:val="single" w:sz="4" w:space="0" w:color="auto"/>
              <w:right w:val="single" w:sz="4" w:space="0" w:color="auto"/>
            </w:tcBorders>
            <w:vAlign w:val="bottom"/>
          </w:tcPr>
          <w:p w14:paraId="326E9207" w14:textId="14B40BB7" w:rsidR="00A86601" w:rsidRPr="00841019" w:rsidRDefault="00A86601" w:rsidP="00A86601">
            <w:pPr>
              <w:pStyle w:val="Tabletext"/>
              <w:keepNext/>
              <w:keepLines/>
            </w:pPr>
            <w:r w:rsidRPr="00841019">
              <w:t>$</w:t>
            </w:r>
            <w:r w:rsidR="00FE3B86" w:rsidRPr="004F06D3">
              <w:rPr>
                <w:highlight w:val="black"/>
              </w:rPr>
              <w:t>&amp;&amp;&amp;&amp;</w:t>
            </w:r>
            <w:r w:rsidR="00F15464">
              <w:rPr>
                <w:vertAlign w:val="superscript"/>
              </w:rPr>
              <w:t>5</w:t>
            </w:r>
            <w:r w:rsidRPr="00841019">
              <w:t xml:space="preserve"> </w:t>
            </w:r>
          </w:p>
        </w:tc>
        <w:tc>
          <w:tcPr>
            <w:tcW w:w="611" w:type="pct"/>
            <w:tcBorders>
              <w:top w:val="nil"/>
              <w:left w:val="single" w:sz="4" w:space="0" w:color="auto"/>
              <w:bottom w:val="single" w:sz="4" w:space="0" w:color="auto"/>
              <w:right w:val="single" w:sz="4" w:space="0" w:color="auto"/>
            </w:tcBorders>
            <w:vAlign w:val="bottom"/>
          </w:tcPr>
          <w:p w14:paraId="56E4D70E" w14:textId="527270CD" w:rsidR="00A86601" w:rsidRPr="00841019" w:rsidRDefault="00A86601" w:rsidP="00A86601">
            <w:pPr>
              <w:pStyle w:val="Tabletext"/>
              <w:keepNext/>
              <w:keepLines/>
            </w:pPr>
            <w:r w:rsidRPr="00841019">
              <w:t>$</w:t>
            </w:r>
            <w:r w:rsidR="00FE3B86" w:rsidRPr="004F06D3">
              <w:rPr>
                <w:highlight w:val="black"/>
              </w:rPr>
              <w:t>&amp;&amp;&amp;&amp;</w:t>
            </w:r>
            <w:r w:rsidR="00F15464">
              <w:rPr>
                <w:vertAlign w:val="superscript"/>
              </w:rPr>
              <w:t>5</w:t>
            </w:r>
            <w:r w:rsidRPr="00841019">
              <w:t xml:space="preserve"> </w:t>
            </w:r>
          </w:p>
        </w:tc>
        <w:tc>
          <w:tcPr>
            <w:tcW w:w="611" w:type="pct"/>
            <w:tcBorders>
              <w:top w:val="nil"/>
              <w:left w:val="single" w:sz="4" w:space="0" w:color="auto"/>
              <w:bottom w:val="single" w:sz="4" w:space="0" w:color="auto"/>
              <w:right w:val="single" w:sz="4" w:space="0" w:color="auto"/>
            </w:tcBorders>
            <w:vAlign w:val="bottom"/>
          </w:tcPr>
          <w:p w14:paraId="241B1CFD" w14:textId="3B229D3A" w:rsidR="00A86601" w:rsidRPr="00841019" w:rsidRDefault="00A86601" w:rsidP="00A86601">
            <w:pPr>
              <w:pStyle w:val="Tabletext"/>
              <w:keepNext/>
              <w:keepLines/>
            </w:pPr>
            <w:r w:rsidRPr="00841019">
              <w:t>$</w:t>
            </w:r>
            <w:r w:rsidR="00FE3B86" w:rsidRPr="004F06D3">
              <w:rPr>
                <w:highlight w:val="black"/>
              </w:rPr>
              <w:t>&amp;&amp;&amp;&amp;</w:t>
            </w:r>
            <w:r w:rsidR="00F15464">
              <w:rPr>
                <w:vertAlign w:val="superscript"/>
              </w:rPr>
              <w:t>5</w:t>
            </w:r>
            <w:r w:rsidRPr="00841019">
              <w:t xml:space="preserve"> </w:t>
            </w:r>
          </w:p>
        </w:tc>
      </w:tr>
      <w:tr w:rsidR="00A86601" w:rsidRPr="0098262F" w14:paraId="571B64F4" w14:textId="77777777" w:rsidTr="00841019">
        <w:tc>
          <w:tcPr>
            <w:tcW w:w="1334" w:type="pct"/>
            <w:tcBorders>
              <w:top w:val="single" w:sz="4" w:space="0" w:color="auto"/>
            </w:tcBorders>
            <w:vAlign w:val="center"/>
          </w:tcPr>
          <w:p w14:paraId="427698FB" w14:textId="2A463A02" w:rsidR="00A86601" w:rsidRPr="0098262F" w:rsidRDefault="00A86601" w:rsidP="00A86601">
            <w:pPr>
              <w:pStyle w:val="Tabletext"/>
              <w:keepNext/>
              <w:keepLines/>
              <w:rPr>
                <w:rFonts w:ascii="Times" w:hAnsi="Times"/>
              </w:rPr>
            </w:pPr>
            <w:r w:rsidRPr="0098262F">
              <w:rPr>
                <w:sz w:val="19"/>
                <w:szCs w:val="19"/>
              </w:rPr>
              <w:t>Net cost to MBS/Services Australia</w:t>
            </w:r>
          </w:p>
        </w:tc>
        <w:tc>
          <w:tcPr>
            <w:tcW w:w="611" w:type="pct"/>
            <w:tcBorders>
              <w:top w:val="single" w:sz="4" w:space="0" w:color="auto"/>
            </w:tcBorders>
            <w:vAlign w:val="center"/>
          </w:tcPr>
          <w:p w14:paraId="5AD7A1FC" w14:textId="404AE936" w:rsidR="00A86601" w:rsidRPr="0085171E" w:rsidRDefault="00A86601" w:rsidP="00A86601">
            <w:pPr>
              <w:pStyle w:val="Tabletext"/>
              <w:keepNext/>
              <w:keepLines/>
              <w:rPr>
                <w:vertAlign w:val="superscript"/>
              </w:rPr>
            </w:pPr>
            <w:r w:rsidRPr="00841019">
              <w:t>-$</w:t>
            </w:r>
            <w:r w:rsidR="00FE3B86" w:rsidRPr="004F06D3">
              <w:rPr>
                <w:highlight w:val="black"/>
              </w:rPr>
              <w:t>&amp;&amp;&amp;&amp;</w:t>
            </w:r>
            <w:r w:rsidR="0085171E">
              <w:rPr>
                <w:vertAlign w:val="superscript"/>
              </w:rPr>
              <w:t>6</w:t>
            </w:r>
          </w:p>
        </w:tc>
        <w:tc>
          <w:tcPr>
            <w:tcW w:w="611" w:type="pct"/>
            <w:tcBorders>
              <w:top w:val="single" w:sz="4" w:space="0" w:color="auto"/>
            </w:tcBorders>
            <w:vAlign w:val="center"/>
          </w:tcPr>
          <w:p w14:paraId="1D6E215B" w14:textId="2A3F5BBE" w:rsidR="00A86601" w:rsidRPr="0085171E" w:rsidRDefault="00A86601" w:rsidP="00A86601">
            <w:pPr>
              <w:pStyle w:val="Tabletext"/>
              <w:keepNext/>
              <w:keepLines/>
              <w:rPr>
                <w:vertAlign w:val="superscript"/>
              </w:rPr>
            </w:pPr>
            <w:r w:rsidRPr="00841019">
              <w:t>-$</w:t>
            </w:r>
            <w:r w:rsidR="00FE3B86" w:rsidRPr="004F06D3">
              <w:rPr>
                <w:highlight w:val="black"/>
              </w:rPr>
              <w:t>&amp;&amp;&amp;&amp;</w:t>
            </w:r>
            <w:r w:rsidR="0085171E">
              <w:rPr>
                <w:vertAlign w:val="superscript"/>
              </w:rPr>
              <w:t>6</w:t>
            </w:r>
          </w:p>
        </w:tc>
        <w:tc>
          <w:tcPr>
            <w:tcW w:w="611" w:type="pct"/>
            <w:tcBorders>
              <w:top w:val="single" w:sz="4" w:space="0" w:color="auto"/>
            </w:tcBorders>
            <w:vAlign w:val="center"/>
          </w:tcPr>
          <w:p w14:paraId="25026D9D" w14:textId="6F956C1F" w:rsidR="00A86601" w:rsidRPr="0085171E" w:rsidRDefault="00A86601" w:rsidP="00A86601">
            <w:pPr>
              <w:pStyle w:val="Tabletext"/>
              <w:keepNext/>
              <w:keepLines/>
              <w:rPr>
                <w:vertAlign w:val="superscript"/>
              </w:rPr>
            </w:pPr>
            <w:r w:rsidRPr="00841019">
              <w:t>-$</w:t>
            </w:r>
            <w:r w:rsidR="00FE3B86" w:rsidRPr="004F06D3">
              <w:rPr>
                <w:highlight w:val="black"/>
              </w:rPr>
              <w:t>&amp;&amp;&amp;&amp;</w:t>
            </w:r>
            <w:r w:rsidR="0085171E">
              <w:rPr>
                <w:vertAlign w:val="superscript"/>
              </w:rPr>
              <w:t>6</w:t>
            </w:r>
          </w:p>
        </w:tc>
        <w:tc>
          <w:tcPr>
            <w:tcW w:w="611" w:type="pct"/>
            <w:tcBorders>
              <w:top w:val="single" w:sz="4" w:space="0" w:color="auto"/>
            </w:tcBorders>
            <w:vAlign w:val="center"/>
          </w:tcPr>
          <w:p w14:paraId="6933D36F" w14:textId="0F5E4C0E" w:rsidR="00A86601" w:rsidRPr="0085171E" w:rsidRDefault="00A86601" w:rsidP="00A86601">
            <w:pPr>
              <w:pStyle w:val="Tabletext"/>
              <w:keepNext/>
              <w:keepLines/>
              <w:rPr>
                <w:vertAlign w:val="superscript"/>
              </w:rPr>
            </w:pPr>
            <w:r w:rsidRPr="00841019">
              <w:t>-$</w:t>
            </w:r>
            <w:r w:rsidR="00FE3B86" w:rsidRPr="004F06D3">
              <w:rPr>
                <w:highlight w:val="black"/>
              </w:rPr>
              <w:t>&amp;&amp;&amp;&amp;</w:t>
            </w:r>
            <w:r w:rsidR="0085171E">
              <w:rPr>
                <w:vertAlign w:val="superscript"/>
              </w:rPr>
              <w:t>6</w:t>
            </w:r>
          </w:p>
        </w:tc>
        <w:tc>
          <w:tcPr>
            <w:tcW w:w="611" w:type="pct"/>
            <w:tcBorders>
              <w:top w:val="single" w:sz="4" w:space="0" w:color="auto"/>
            </w:tcBorders>
            <w:vAlign w:val="center"/>
          </w:tcPr>
          <w:p w14:paraId="04433A65" w14:textId="0388DE27" w:rsidR="00A86601" w:rsidRPr="0085171E" w:rsidRDefault="00A86601" w:rsidP="00A86601">
            <w:pPr>
              <w:pStyle w:val="Tabletext"/>
              <w:keepNext/>
              <w:keepLines/>
              <w:rPr>
                <w:vertAlign w:val="superscript"/>
              </w:rPr>
            </w:pPr>
            <w:r w:rsidRPr="00841019">
              <w:t>-$</w:t>
            </w:r>
            <w:r w:rsidR="00FE3B86" w:rsidRPr="004F06D3">
              <w:rPr>
                <w:highlight w:val="black"/>
              </w:rPr>
              <w:t>&amp;&amp;&amp;&amp;</w:t>
            </w:r>
            <w:r w:rsidR="0085171E">
              <w:rPr>
                <w:vertAlign w:val="superscript"/>
              </w:rPr>
              <w:t>6</w:t>
            </w:r>
          </w:p>
        </w:tc>
        <w:tc>
          <w:tcPr>
            <w:tcW w:w="611" w:type="pct"/>
            <w:tcBorders>
              <w:top w:val="single" w:sz="4" w:space="0" w:color="auto"/>
            </w:tcBorders>
            <w:vAlign w:val="center"/>
          </w:tcPr>
          <w:p w14:paraId="2223EBD7" w14:textId="28449D12" w:rsidR="00A86601" w:rsidRPr="0085171E" w:rsidRDefault="00A86601" w:rsidP="00A86601">
            <w:pPr>
              <w:pStyle w:val="Tabletext"/>
              <w:keepNext/>
              <w:keepLines/>
              <w:rPr>
                <w:vertAlign w:val="superscript"/>
              </w:rPr>
            </w:pPr>
            <w:r w:rsidRPr="00841019">
              <w:t>-$</w:t>
            </w:r>
            <w:r w:rsidR="00FE3B86" w:rsidRPr="004F06D3">
              <w:rPr>
                <w:highlight w:val="black"/>
              </w:rPr>
              <w:t>&amp;&amp;&amp;&amp;</w:t>
            </w:r>
            <w:r w:rsidR="0085171E">
              <w:rPr>
                <w:vertAlign w:val="superscript"/>
              </w:rPr>
              <w:t>6</w:t>
            </w:r>
          </w:p>
        </w:tc>
      </w:tr>
      <w:tr w:rsidR="00A86601" w:rsidRPr="0098262F" w14:paraId="123830C0" w14:textId="77777777" w:rsidTr="00834893">
        <w:tc>
          <w:tcPr>
            <w:tcW w:w="1334" w:type="pct"/>
            <w:vAlign w:val="center"/>
          </w:tcPr>
          <w:p w14:paraId="50FCDA47" w14:textId="7A6B67E6" w:rsidR="00A86601" w:rsidRPr="0098262F" w:rsidRDefault="00A86601" w:rsidP="00A86601">
            <w:pPr>
              <w:pStyle w:val="Tabletext"/>
              <w:keepNext/>
              <w:keepLines/>
              <w:rPr>
                <w:sz w:val="19"/>
                <w:szCs w:val="19"/>
              </w:rPr>
            </w:pPr>
            <w:r w:rsidRPr="0098262F">
              <w:rPr>
                <w:sz w:val="19"/>
                <w:szCs w:val="19"/>
              </w:rPr>
              <w:t>Net cost to PBS/RPBS/MBS/Services Australia</w:t>
            </w:r>
          </w:p>
        </w:tc>
        <w:tc>
          <w:tcPr>
            <w:tcW w:w="611" w:type="pct"/>
            <w:vAlign w:val="center"/>
          </w:tcPr>
          <w:p w14:paraId="0F4EB661" w14:textId="222FD704" w:rsidR="00A86601" w:rsidRPr="00DC6C25" w:rsidRDefault="00A86601" w:rsidP="00A86601">
            <w:pPr>
              <w:pStyle w:val="Tabletext"/>
              <w:keepNext/>
              <w:keepLines/>
              <w:rPr>
                <w:vertAlign w:val="superscript"/>
              </w:rPr>
            </w:pPr>
            <w:r w:rsidRPr="00841019">
              <w:t>$</w:t>
            </w:r>
            <w:r w:rsidR="00FE3B86" w:rsidRPr="004F06D3">
              <w:rPr>
                <w:highlight w:val="black"/>
              </w:rPr>
              <w:t>&amp;&amp;&amp;&amp;</w:t>
            </w:r>
            <w:r w:rsidR="00DC6C25">
              <w:rPr>
                <w:vertAlign w:val="superscript"/>
              </w:rPr>
              <w:t>4</w:t>
            </w:r>
          </w:p>
        </w:tc>
        <w:tc>
          <w:tcPr>
            <w:tcW w:w="611" w:type="pct"/>
            <w:vAlign w:val="center"/>
          </w:tcPr>
          <w:p w14:paraId="59B75FE2" w14:textId="7B10A1B3" w:rsidR="00A86601" w:rsidRPr="00DC6C25" w:rsidRDefault="00A86601" w:rsidP="00A86601">
            <w:pPr>
              <w:pStyle w:val="Tabletext"/>
              <w:keepNext/>
              <w:keepLines/>
              <w:rPr>
                <w:vertAlign w:val="superscript"/>
              </w:rPr>
            </w:pPr>
            <w:r w:rsidRPr="00841019">
              <w:t>$</w:t>
            </w:r>
            <w:r w:rsidR="00FE3B86" w:rsidRPr="004F06D3">
              <w:rPr>
                <w:highlight w:val="black"/>
              </w:rPr>
              <w:t>&amp;&amp;&amp;&amp;</w:t>
            </w:r>
            <w:r w:rsidR="00DC6C25">
              <w:rPr>
                <w:vertAlign w:val="superscript"/>
              </w:rPr>
              <w:t>4</w:t>
            </w:r>
          </w:p>
        </w:tc>
        <w:tc>
          <w:tcPr>
            <w:tcW w:w="611" w:type="pct"/>
            <w:vAlign w:val="center"/>
          </w:tcPr>
          <w:p w14:paraId="6AE6473A" w14:textId="64C85BD6" w:rsidR="00A86601" w:rsidRPr="00DC6C25" w:rsidRDefault="00A86601" w:rsidP="00A86601">
            <w:pPr>
              <w:pStyle w:val="Tabletext"/>
              <w:keepNext/>
              <w:keepLines/>
              <w:rPr>
                <w:vertAlign w:val="superscript"/>
              </w:rPr>
            </w:pPr>
            <w:r w:rsidRPr="00841019">
              <w:t>$</w:t>
            </w:r>
            <w:r w:rsidR="00FE3B86" w:rsidRPr="004F06D3">
              <w:rPr>
                <w:highlight w:val="black"/>
              </w:rPr>
              <w:t>&amp;&amp;&amp;&amp;</w:t>
            </w:r>
            <w:r w:rsidR="00DC6C25">
              <w:rPr>
                <w:vertAlign w:val="superscript"/>
              </w:rPr>
              <w:t>4</w:t>
            </w:r>
          </w:p>
        </w:tc>
        <w:tc>
          <w:tcPr>
            <w:tcW w:w="611" w:type="pct"/>
            <w:vAlign w:val="center"/>
          </w:tcPr>
          <w:p w14:paraId="1F476C04" w14:textId="1C58584E" w:rsidR="00A86601" w:rsidRPr="00DC6C25" w:rsidRDefault="00A86601" w:rsidP="00A86601">
            <w:pPr>
              <w:pStyle w:val="Tabletext"/>
              <w:keepNext/>
              <w:keepLines/>
              <w:rPr>
                <w:vertAlign w:val="superscript"/>
              </w:rPr>
            </w:pPr>
            <w:r w:rsidRPr="00841019">
              <w:t>$</w:t>
            </w:r>
            <w:r w:rsidR="00FE3B86" w:rsidRPr="004F06D3">
              <w:rPr>
                <w:highlight w:val="black"/>
              </w:rPr>
              <w:t>&amp;&amp;&amp;&amp;</w:t>
            </w:r>
            <w:r w:rsidR="00DC6C25">
              <w:rPr>
                <w:vertAlign w:val="superscript"/>
              </w:rPr>
              <w:t>5</w:t>
            </w:r>
          </w:p>
        </w:tc>
        <w:tc>
          <w:tcPr>
            <w:tcW w:w="611" w:type="pct"/>
            <w:vAlign w:val="center"/>
          </w:tcPr>
          <w:p w14:paraId="12079751" w14:textId="35793BF1" w:rsidR="00A86601" w:rsidRPr="00DC6C25" w:rsidRDefault="00A86601" w:rsidP="00A86601">
            <w:pPr>
              <w:pStyle w:val="Tabletext"/>
              <w:keepNext/>
              <w:keepLines/>
              <w:rPr>
                <w:vertAlign w:val="superscript"/>
              </w:rPr>
            </w:pPr>
            <w:r w:rsidRPr="00841019">
              <w:t>$</w:t>
            </w:r>
            <w:r w:rsidR="00FE3B86" w:rsidRPr="004F06D3">
              <w:rPr>
                <w:highlight w:val="black"/>
              </w:rPr>
              <w:t>&amp;&amp;&amp;&amp;</w:t>
            </w:r>
            <w:r w:rsidR="00DC6C25">
              <w:rPr>
                <w:vertAlign w:val="superscript"/>
              </w:rPr>
              <w:t>5</w:t>
            </w:r>
          </w:p>
        </w:tc>
        <w:tc>
          <w:tcPr>
            <w:tcW w:w="611" w:type="pct"/>
            <w:vAlign w:val="center"/>
          </w:tcPr>
          <w:p w14:paraId="4844CB4D" w14:textId="3F290036" w:rsidR="00A86601" w:rsidRPr="00DC6C25" w:rsidRDefault="00A86601" w:rsidP="00A86601">
            <w:pPr>
              <w:pStyle w:val="Tabletext"/>
              <w:keepNext/>
              <w:keepLines/>
              <w:rPr>
                <w:vertAlign w:val="superscript"/>
              </w:rPr>
            </w:pPr>
            <w:r w:rsidRPr="00841019">
              <w:t>$</w:t>
            </w:r>
            <w:r w:rsidR="00FE3B86" w:rsidRPr="004F06D3">
              <w:rPr>
                <w:highlight w:val="black"/>
              </w:rPr>
              <w:t>&amp;&amp;&amp;&amp;</w:t>
            </w:r>
            <w:r w:rsidR="00DC6C25">
              <w:rPr>
                <w:vertAlign w:val="superscript"/>
              </w:rPr>
              <w:t>5</w:t>
            </w:r>
          </w:p>
        </w:tc>
      </w:tr>
    </w:tbl>
    <w:p w14:paraId="484CF5B6" w14:textId="4E833F4E" w:rsidR="00620C25" w:rsidRPr="0098262F" w:rsidRDefault="00620C25" w:rsidP="00620C25">
      <w:pPr>
        <w:pStyle w:val="FooterTableFigure"/>
        <w:rPr>
          <w:rStyle w:val="CommentReference"/>
        </w:rPr>
      </w:pPr>
      <w:r w:rsidRPr="0098262F">
        <w:t>Source: Table</w:t>
      </w:r>
      <w:r w:rsidR="00841019">
        <w:t xml:space="preserve"> 4.18, p182; Table 4.19, p 182</w:t>
      </w:r>
      <w:r w:rsidRPr="0098262F">
        <w:t>, of the submission.</w:t>
      </w:r>
    </w:p>
    <w:p w14:paraId="0CBB87F2" w14:textId="77777777" w:rsidR="00A44194" w:rsidRDefault="00E466F3" w:rsidP="00A44194">
      <w:pPr>
        <w:pStyle w:val="FooterTableFigure"/>
        <w:rPr>
          <w:i/>
        </w:rPr>
      </w:pPr>
      <w:r w:rsidRPr="0098262F">
        <w:rPr>
          <w:vertAlign w:val="superscript"/>
        </w:rPr>
        <w:t>a</w:t>
      </w:r>
      <w:r w:rsidR="00606FBA" w:rsidRPr="0098262F">
        <w:t xml:space="preserve"> </w:t>
      </w:r>
      <w:r w:rsidRPr="0098262F">
        <w:t xml:space="preserve">Assuming </w:t>
      </w:r>
      <w:r w:rsidR="007E7A87">
        <w:t>5.12</w:t>
      </w:r>
      <w:r w:rsidRPr="0098262F">
        <w:t xml:space="preserve"> per</w:t>
      </w:r>
      <w:r w:rsidR="00A354A0">
        <w:t xml:space="preserve"> patient per</w:t>
      </w:r>
      <w:r w:rsidRPr="0098262F">
        <w:t xml:space="preserve"> year as estimated by the submission.</w:t>
      </w:r>
      <w:r w:rsidR="00A44194" w:rsidRPr="00A44194">
        <w:rPr>
          <w:i/>
        </w:rPr>
        <w:t xml:space="preserve"> </w:t>
      </w:r>
    </w:p>
    <w:p w14:paraId="535D6DBD" w14:textId="73472DF8" w:rsidR="00A44194" w:rsidRPr="00A44194" w:rsidRDefault="00A44194" w:rsidP="00A44194">
      <w:pPr>
        <w:pStyle w:val="FooterTableFigure"/>
        <w:rPr>
          <w:i/>
        </w:rPr>
      </w:pPr>
      <w:r w:rsidRPr="00A44194">
        <w:rPr>
          <w:i/>
        </w:rPr>
        <w:t xml:space="preserve">The redacted values correspond to the following ranges: </w:t>
      </w:r>
    </w:p>
    <w:p w14:paraId="4247D9BB" w14:textId="51FE13A0" w:rsidR="00A44194" w:rsidRPr="00A44194" w:rsidRDefault="00A44194" w:rsidP="00A44194">
      <w:pPr>
        <w:pStyle w:val="FooterTableFigure"/>
        <w:rPr>
          <w:i/>
        </w:rPr>
      </w:pPr>
      <w:r w:rsidRPr="00A44194">
        <w:rPr>
          <w:i/>
          <w:vertAlign w:val="superscript"/>
        </w:rPr>
        <w:t>1</w:t>
      </w:r>
      <w:r w:rsidRPr="00A44194">
        <w:rPr>
          <w:i/>
        </w:rPr>
        <w:t xml:space="preserve"> </w:t>
      </w:r>
      <w:r w:rsidR="00A707E9" w:rsidRPr="00A707E9">
        <w:rPr>
          <w:i/>
        </w:rPr>
        <w:t>50,000 to &lt; 60,000</w:t>
      </w:r>
    </w:p>
    <w:p w14:paraId="5978AE41" w14:textId="498CFE9C" w:rsidR="00A44194" w:rsidRPr="00A44194" w:rsidRDefault="00A44194" w:rsidP="00A44194">
      <w:pPr>
        <w:pStyle w:val="FooterTableFigure"/>
        <w:rPr>
          <w:i/>
        </w:rPr>
      </w:pPr>
      <w:r w:rsidRPr="00A44194">
        <w:rPr>
          <w:i/>
          <w:vertAlign w:val="superscript"/>
        </w:rPr>
        <w:t>2</w:t>
      </w:r>
      <w:r w:rsidRPr="00A44194">
        <w:rPr>
          <w:i/>
        </w:rPr>
        <w:t xml:space="preserve"> </w:t>
      </w:r>
      <w:r w:rsidR="00A707E9" w:rsidRPr="00A707E9">
        <w:rPr>
          <w:i/>
        </w:rPr>
        <w:t>60,000 to &lt; 70,000</w:t>
      </w:r>
    </w:p>
    <w:p w14:paraId="05C1CCDB" w14:textId="64CA74D0" w:rsidR="00A44194" w:rsidRPr="00A44194" w:rsidRDefault="00A44194" w:rsidP="00A44194">
      <w:pPr>
        <w:pStyle w:val="FooterTableFigure"/>
        <w:rPr>
          <w:i/>
        </w:rPr>
      </w:pPr>
      <w:r w:rsidRPr="00A44194">
        <w:rPr>
          <w:i/>
          <w:vertAlign w:val="superscript"/>
        </w:rPr>
        <w:t>3</w:t>
      </w:r>
      <w:r w:rsidRPr="00A44194">
        <w:rPr>
          <w:i/>
        </w:rPr>
        <w:t xml:space="preserve"> </w:t>
      </w:r>
      <w:r w:rsidR="004E061B" w:rsidRPr="004E061B">
        <w:rPr>
          <w:i/>
        </w:rPr>
        <w:t>70,000 to &lt; 80,000</w:t>
      </w:r>
    </w:p>
    <w:p w14:paraId="76DCADD8" w14:textId="7F3A72C4" w:rsidR="00A44194" w:rsidRPr="00A44194" w:rsidRDefault="00A44194" w:rsidP="00A44194">
      <w:pPr>
        <w:pStyle w:val="FooterTableFigure"/>
        <w:rPr>
          <w:i/>
        </w:rPr>
      </w:pPr>
      <w:r w:rsidRPr="00A44194">
        <w:rPr>
          <w:i/>
          <w:vertAlign w:val="superscript"/>
        </w:rPr>
        <w:t>4</w:t>
      </w:r>
      <w:r w:rsidRPr="00A44194">
        <w:rPr>
          <w:i/>
        </w:rPr>
        <w:t xml:space="preserve"> </w:t>
      </w:r>
      <w:r w:rsidR="00865884" w:rsidRPr="00865884">
        <w:rPr>
          <w:i/>
        </w:rPr>
        <w:t>$10 million to &lt; $20 million</w:t>
      </w:r>
    </w:p>
    <w:p w14:paraId="0B0631D5" w14:textId="298977BC" w:rsidR="00A44194" w:rsidRPr="00A44194" w:rsidRDefault="00A44194" w:rsidP="00A44194">
      <w:pPr>
        <w:pStyle w:val="FooterTableFigure"/>
        <w:rPr>
          <w:i/>
        </w:rPr>
      </w:pPr>
      <w:r w:rsidRPr="00A44194">
        <w:rPr>
          <w:i/>
          <w:vertAlign w:val="superscript"/>
        </w:rPr>
        <w:t>5</w:t>
      </w:r>
      <w:r w:rsidRPr="00A44194">
        <w:rPr>
          <w:i/>
        </w:rPr>
        <w:t xml:space="preserve"> </w:t>
      </w:r>
      <w:r w:rsidR="00384C06" w:rsidRPr="00384C06">
        <w:rPr>
          <w:i/>
        </w:rPr>
        <w:t>$20 million to &lt; $30 million</w:t>
      </w:r>
    </w:p>
    <w:p w14:paraId="37D9F0EE" w14:textId="77777777" w:rsidR="00C247AF" w:rsidRDefault="00A44194" w:rsidP="00A44194">
      <w:pPr>
        <w:pStyle w:val="FooterTableFigure"/>
        <w:rPr>
          <w:i/>
        </w:rPr>
      </w:pPr>
      <w:r w:rsidRPr="00A44194">
        <w:rPr>
          <w:i/>
          <w:vertAlign w:val="superscript"/>
        </w:rPr>
        <w:t>6</w:t>
      </w:r>
      <w:r w:rsidRPr="00A44194">
        <w:rPr>
          <w:i/>
        </w:rPr>
        <w:t xml:space="preserve"> </w:t>
      </w:r>
      <w:r w:rsidR="00C247AF" w:rsidRPr="00C247AF">
        <w:rPr>
          <w:i/>
        </w:rPr>
        <w:t>$0 to &lt; $10 million</w:t>
      </w:r>
      <w:r w:rsidR="00C247AF" w:rsidRPr="00C247AF" w:rsidDel="00C247AF">
        <w:rPr>
          <w:i/>
        </w:rPr>
        <w:t xml:space="preserve"> </w:t>
      </w:r>
    </w:p>
    <w:p w14:paraId="2AB556FF" w14:textId="1119EEE8" w:rsidR="007E7A87" w:rsidRPr="0098262F" w:rsidRDefault="007E7A87" w:rsidP="00606FBA">
      <w:pPr>
        <w:pStyle w:val="FooterTableFigure"/>
      </w:pPr>
    </w:p>
    <w:p w14:paraId="1537C224" w14:textId="70DFC15F" w:rsidR="00843936" w:rsidRPr="00465EE4" w:rsidRDefault="0059749C" w:rsidP="002721B7">
      <w:pPr>
        <w:pStyle w:val="3-BodyText"/>
      </w:pPr>
      <w:r w:rsidRPr="00465EE4">
        <w:t xml:space="preserve">The submission presented sensitivity analyses varying uptake in both the epidemiological population and the market share population. </w:t>
      </w:r>
      <w:r w:rsidR="004748B2" w:rsidRPr="00465EE4">
        <w:t xml:space="preserve">The evaluation considered the likely uptake and overall cost of GPB was underestimated. </w:t>
      </w:r>
    </w:p>
    <w:p w14:paraId="6F4DBB1F" w14:textId="3EB55BEF" w:rsidR="00113CA6" w:rsidRDefault="004748B2" w:rsidP="002721B7">
      <w:pPr>
        <w:pStyle w:val="3-BodyText"/>
      </w:pPr>
      <w:bookmarkStart w:id="71" w:name="_Ref215140991"/>
      <w:r w:rsidRPr="00465EE4">
        <w:t xml:space="preserve">The </w:t>
      </w:r>
      <w:r w:rsidR="00843936" w:rsidRPr="00465EE4">
        <w:t>ESC considered the likely uptake and use of GPB in practice was underestimated, potentially to a substantial extent. The ESC considered that</w:t>
      </w:r>
      <w:r w:rsidR="00F30706">
        <w:t>,</w:t>
      </w:r>
      <w:r w:rsidR="00843936" w:rsidRPr="00465EE4">
        <w:t xml:space="preserve"> given the interpretation of symptoms is highly individual, </w:t>
      </w:r>
      <w:r w:rsidR="00AA002C" w:rsidRPr="00465EE4">
        <w:t xml:space="preserve">coupled with </w:t>
      </w:r>
      <w:r w:rsidR="00843936" w:rsidRPr="00465EE4">
        <w:t xml:space="preserve">the issues accessing BTA and nature of </w:t>
      </w:r>
      <w:r w:rsidR="00AA002C" w:rsidRPr="00465EE4">
        <w:t xml:space="preserve">BTA </w:t>
      </w:r>
      <w:r w:rsidR="00843936" w:rsidRPr="00465EE4">
        <w:t>treatment</w:t>
      </w:r>
      <w:r w:rsidR="00FA12D4" w:rsidRPr="00465EE4">
        <w:t>,</w:t>
      </w:r>
      <w:r w:rsidR="00843936" w:rsidRPr="00465EE4">
        <w:t xml:space="preserve"> </w:t>
      </w:r>
      <w:r w:rsidR="00AA002C" w:rsidRPr="00465EE4">
        <w:t xml:space="preserve">would likely lead to </w:t>
      </w:r>
      <w:r w:rsidR="00843936" w:rsidRPr="00465EE4">
        <w:t xml:space="preserve">some patients </w:t>
      </w:r>
      <w:r w:rsidR="00AA002C" w:rsidRPr="00465EE4">
        <w:t>electing</w:t>
      </w:r>
      <w:r w:rsidR="00843936" w:rsidRPr="00465EE4">
        <w:t xml:space="preserve"> not to be treated</w:t>
      </w:r>
      <w:r w:rsidR="00AA002C" w:rsidRPr="00465EE4">
        <w:t xml:space="preserve"> with BTA, and instead </w:t>
      </w:r>
      <w:r w:rsidR="00843936" w:rsidRPr="00465EE4">
        <w:t>self-manag</w:t>
      </w:r>
      <w:r w:rsidR="00AA002C" w:rsidRPr="00465EE4">
        <w:t>ing</w:t>
      </w:r>
      <w:r w:rsidR="00843936" w:rsidRPr="00465EE4">
        <w:t xml:space="preserve"> PAHH with topical aluminium preparations. Given the</w:t>
      </w:r>
      <w:r w:rsidR="00843936" w:rsidRPr="00465EE4" w:rsidDel="00377A01">
        <w:t xml:space="preserve"> </w:t>
      </w:r>
      <w:r w:rsidR="00F30706">
        <w:t>improved accessibility of</w:t>
      </w:r>
      <w:r w:rsidR="00843936" w:rsidRPr="00465EE4">
        <w:t xml:space="preserve"> GPB relative to BTA in the proposed listing, and the potential availability of a PBS-listed topical-based treatment, the ESC considered the use of GPB for PAHH in practice could be significantly higher than estimated. On that basis, the ESC advised any potential listing for GPB should include a Risk Sharing Arrangement </w:t>
      </w:r>
      <w:r w:rsidR="00A11BEB">
        <w:t xml:space="preserve">(RSA) </w:t>
      </w:r>
      <w:r w:rsidR="00843936" w:rsidRPr="00465EE4">
        <w:t>to mitigate this risk.</w:t>
      </w:r>
      <w:bookmarkEnd w:id="71"/>
      <w:r w:rsidR="00843936" w:rsidRPr="00465EE4">
        <w:t xml:space="preserve"> </w:t>
      </w:r>
    </w:p>
    <w:p w14:paraId="0857B674" w14:textId="3DD354FD" w:rsidR="00B46621" w:rsidRDefault="00860E26" w:rsidP="002721B7">
      <w:pPr>
        <w:pStyle w:val="3-BodyText"/>
        <w:rPr>
          <w:iCs/>
        </w:rPr>
      </w:pPr>
      <w:r>
        <w:t xml:space="preserve">The pre-PBAC response </w:t>
      </w:r>
      <w:r w:rsidR="00636A7B">
        <w:t>increase</w:t>
      </w:r>
      <w:r w:rsidR="00F35C96">
        <w:t xml:space="preserve">d </w:t>
      </w:r>
      <w:r w:rsidR="00636A7B">
        <w:t>the uptake rates</w:t>
      </w:r>
      <w:r w:rsidR="00243201">
        <w:t xml:space="preserve"> (as outlined in </w:t>
      </w:r>
      <w:r w:rsidR="00243201">
        <w:fldChar w:fldCharType="begin" w:fldLock="1"/>
      </w:r>
      <w:r w:rsidR="00243201">
        <w:instrText xml:space="preserve"> REF _Ref104805262 \h </w:instrText>
      </w:r>
      <w:r w:rsidR="00243201">
        <w:fldChar w:fldCharType="separate"/>
      </w:r>
      <w:r w:rsidR="004D6DEB" w:rsidRPr="0098262F">
        <w:t xml:space="preserve">Table </w:t>
      </w:r>
      <w:r w:rsidR="004D6DEB">
        <w:rPr>
          <w:noProof/>
        </w:rPr>
        <w:t>11</w:t>
      </w:r>
      <w:r w:rsidR="00243201">
        <w:fldChar w:fldCharType="end"/>
      </w:r>
      <w:r w:rsidR="00243201">
        <w:t>)</w:t>
      </w:r>
      <w:r w:rsidR="008B5FE1">
        <w:t xml:space="preserve">, </w:t>
      </w:r>
      <w:r w:rsidR="00636A7B">
        <w:t>remove</w:t>
      </w:r>
      <w:r w:rsidR="002242DF">
        <w:t>d</w:t>
      </w:r>
      <w:r w:rsidR="00636A7B">
        <w:t xml:space="preserve"> lidocain</w:t>
      </w:r>
      <w:r w:rsidR="002C218E">
        <w:t>e</w:t>
      </w:r>
      <w:r w:rsidR="00636A7B">
        <w:t xml:space="preserve"> use as an offset</w:t>
      </w:r>
      <w:r w:rsidR="008B5FE1">
        <w:t xml:space="preserve"> and reduced the </w:t>
      </w:r>
      <w:r w:rsidR="001B5DB6">
        <w:t>proposed AEMP to $</w:t>
      </w:r>
      <w:r w:rsidR="00FE3B86" w:rsidRPr="004F06D3">
        <w:rPr>
          <w:highlight w:val="black"/>
        </w:rPr>
        <w:t>&amp;&amp;&amp;&amp;</w:t>
      </w:r>
      <w:r w:rsidR="002242DF">
        <w:t xml:space="preserve"> (see </w:t>
      </w:r>
      <w:r w:rsidR="00FE0922" w:rsidRPr="00774CB3">
        <w:fldChar w:fldCharType="begin" w:fldLock="1"/>
      </w:r>
      <w:r w:rsidR="00FE0922" w:rsidRPr="00774CB3">
        <w:instrText xml:space="preserve"> REF _Ref215085296 \h </w:instrText>
      </w:r>
      <w:r w:rsidR="001F5474" w:rsidRPr="00774CB3">
        <w:instrText xml:space="preserve"> \* MERGEFORMAT </w:instrText>
      </w:r>
      <w:r w:rsidR="00FE0922" w:rsidRPr="00774CB3">
        <w:fldChar w:fldCharType="separate"/>
      </w:r>
      <w:r w:rsidR="00BC4F90" w:rsidRPr="0098262F">
        <w:t xml:space="preserve">Table </w:t>
      </w:r>
      <w:r w:rsidR="00BC4F90">
        <w:rPr>
          <w:noProof/>
        </w:rPr>
        <w:t>14</w:t>
      </w:r>
      <w:r w:rsidR="00FE0922" w:rsidRPr="00774CB3">
        <w:fldChar w:fldCharType="end"/>
      </w:r>
      <w:r w:rsidR="002242DF">
        <w:t>)</w:t>
      </w:r>
      <w:r w:rsidR="00AB04F6">
        <w:t xml:space="preserve"> </w:t>
      </w:r>
      <w:r w:rsidR="00D30BEE">
        <w:t xml:space="preserve">Additionally, </w:t>
      </w:r>
      <w:r w:rsidR="008B5FE1">
        <w:t xml:space="preserve">the pre-PBAC response </w:t>
      </w:r>
      <w:r w:rsidR="00D30BEE" w:rsidRPr="00E632CF">
        <w:t xml:space="preserve">proposed </w:t>
      </w:r>
      <w:r w:rsidR="008C3FA8">
        <w:t xml:space="preserve">an RSA </w:t>
      </w:r>
      <w:r w:rsidR="00D30BEE" w:rsidRPr="00E632CF">
        <w:t xml:space="preserve">with a rebate of </w:t>
      </w:r>
      <w:r w:rsidR="00FE3B86" w:rsidRPr="004F06D3">
        <w:rPr>
          <w:highlight w:val="black"/>
        </w:rPr>
        <w:t>&amp;&amp;&amp;&amp;</w:t>
      </w:r>
      <w:r w:rsidR="00D30BEE" w:rsidRPr="00E632CF">
        <w:t>%</w:t>
      </w:r>
      <w:r w:rsidR="00AB04F6">
        <w:t xml:space="preserve"> </w:t>
      </w:r>
      <w:r w:rsidR="00EB1DC7">
        <w:t>for use exceeding the financial caps</w:t>
      </w:r>
      <w:r w:rsidR="00AB04F6">
        <w:t xml:space="preserve"> </w:t>
      </w:r>
      <w:r w:rsidR="007B1FBC">
        <w:t xml:space="preserve">to mitigate the risk of </w:t>
      </w:r>
      <w:r w:rsidR="000A1269">
        <w:t xml:space="preserve">use </w:t>
      </w:r>
      <w:r w:rsidR="000A1269" w:rsidRPr="003A2787">
        <w:rPr>
          <w:snapToGrid w:val="0"/>
        </w:rPr>
        <w:t>beyond the restriction</w:t>
      </w:r>
      <w:r w:rsidR="00D30BEE" w:rsidRPr="00CF054B">
        <w:t>.</w:t>
      </w:r>
      <w:r w:rsidR="00843936" w:rsidRPr="00465EE4">
        <w:rPr>
          <w:iCs/>
        </w:rPr>
        <w:t xml:space="preserve"> </w:t>
      </w:r>
    </w:p>
    <w:p w14:paraId="40437C9B" w14:textId="24E527F8" w:rsidR="002242DF" w:rsidRPr="0098262F" w:rsidRDefault="00A45DFC" w:rsidP="002242DF">
      <w:pPr>
        <w:pStyle w:val="Caption"/>
      </w:pPr>
      <w:bookmarkStart w:id="72" w:name="_Ref215085296"/>
      <w:r w:rsidRPr="0098262F">
        <w:t xml:space="preserve">Table </w:t>
      </w:r>
      <w:r>
        <w:fldChar w:fldCharType="begin" w:fldLock="1"/>
      </w:r>
      <w:r>
        <w:instrText xml:space="preserve"> SEQ Table \* ARABIC </w:instrText>
      </w:r>
      <w:r>
        <w:fldChar w:fldCharType="separate"/>
      </w:r>
      <w:r w:rsidR="004D6DEB">
        <w:rPr>
          <w:noProof/>
        </w:rPr>
        <w:t>14</w:t>
      </w:r>
      <w:r>
        <w:rPr>
          <w:noProof/>
        </w:rPr>
        <w:fldChar w:fldCharType="end"/>
      </w:r>
      <w:bookmarkEnd w:id="72"/>
      <w:r w:rsidR="002242DF" w:rsidRPr="0098262F">
        <w:t>:</w:t>
      </w:r>
      <w:r w:rsidR="002242DF" w:rsidRPr="0098262F">
        <w:rPr>
          <w:rStyle w:val="CommentReference"/>
          <w:b/>
          <w:szCs w:val="24"/>
        </w:rPr>
        <w:t xml:space="preserve"> Estimated use and financial implications</w:t>
      </w:r>
      <w:r w:rsidR="002242DF">
        <w:rPr>
          <w:rStyle w:val="CommentReference"/>
          <w:b/>
          <w:szCs w:val="24"/>
        </w:rPr>
        <w:t xml:space="preserve"> – published prices, 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w:tblDescription w:val="Estimated use and financial implications – published prices, pre-PBAC response"/>
      </w:tblPr>
      <w:tblGrid>
        <w:gridCol w:w="2405"/>
        <w:gridCol w:w="1102"/>
        <w:gridCol w:w="1102"/>
        <w:gridCol w:w="1102"/>
        <w:gridCol w:w="1102"/>
        <w:gridCol w:w="1102"/>
        <w:gridCol w:w="1102"/>
      </w:tblGrid>
      <w:tr w:rsidR="002242DF" w:rsidRPr="0098262F" w14:paraId="1BA6F325" w14:textId="77777777">
        <w:trPr>
          <w:tblHeader/>
        </w:trPr>
        <w:tc>
          <w:tcPr>
            <w:tcW w:w="1334" w:type="pct"/>
            <w:vAlign w:val="center"/>
          </w:tcPr>
          <w:p w14:paraId="78102949" w14:textId="77777777" w:rsidR="002242DF" w:rsidRPr="0098262F" w:rsidRDefault="002242DF">
            <w:pPr>
              <w:pStyle w:val="In-tableHeading"/>
              <w:jc w:val="center"/>
              <w:rPr>
                <w:lang w:val="en-AU"/>
              </w:rPr>
            </w:pPr>
          </w:p>
        </w:tc>
        <w:tc>
          <w:tcPr>
            <w:tcW w:w="611" w:type="pct"/>
            <w:vAlign w:val="center"/>
          </w:tcPr>
          <w:p w14:paraId="1F0CD3B3" w14:textId="77777777" w:rsidR="002242DF" w:rsidRPr="0098262F" w:rsidRDefault="002242DF">
            <w:pPr>
              <w:pStyle w:val="In-tableHeading"/>
              <w:jc w:val="center"/>
              <w:rPr>
                <w:lang w:val="en-AU"/>
              </w:rPr>
            </w:pPr>
            <w:r w:rsidRPr="0098262F">
              <w:rPr>
                <w:lang w:val="en-AU"/>
              </w:rPr>
              <w:t>Year 1</w:t>
            </w:r>
          </w:p>
        </w:tc>
        <w:tc>
          <w:tcPr>
            <w:tcW w:w="611" w:type="pct"/>
            <w:vAlign w:val="center"/>
          </w:tcPr>
          <w:p w14:paraId="4A224F5F" w14:textId="77777777" w:rsidR="002242DF" w:rsidRPr="0098262F" w:rsidRDefault="002242DF">
            <w:pPr>
              <w:pStyle w:val="In-tableHeading"/>
              <w:jc w:val="center"/>
              <w:rPr>
                <w:lang w:val="en-AU"/>
              </w:rPr>
            </w:pPr>
            <w:r w:rsidRPr="0098262F">
              <w:rPr>
                <w:lang w:val="en-AU"/>
              </w:rPr>
              <w:t>Year 2</w:t>
            </w:r>
          </w:p>
        </w:tc>
        <w:tc>
          <w:tcPr>
            <w:tcW w:w="611" w:type="pct"/>
            <w:vAlign w:val="center"/>
          </w:tcPr>
          <w:p w14:paraId="214BC515" w14:textId="77777777" w:rsidR="002242DF" w:rsidRPr="0098262F" w:rsidRDefault="002242DF">
            <w:pPr>
              <w:pStyle w:val="In-tableHeading"/>
              <w:jc w:val="center"/>
              <w:rPr>
                <w:lang w:val="en-AU"/>
              </w:rPr>
            </w:pPr>
            <w:r w:rsidRPr="0098262F">
              <w:rPr>
                <w:lang w:val="en-AU"/>
              </w:rPr>
              <w:t>Year 3</w:t>
            </w:r>
          </w:p>
        </w:tc>
        <w:tc>
          <w:tcPr>
            <w:tcW w:w="611" w:type="pct"/>
            <w:vAlign w:val="center"/>
          </w:tcPr>
          <w:p w14:paraId="72D47ABC" w14:textId="77777777" w:rsidR="002242DF" w:rsidRPr="0098262F" w:rsidRDefault="002242DF">
            <w:pPr>
              <w:pStyle w:val="In-tableHeading"/>
              <w:jc w:val="center"/>
              <w:rPr>
                <w:lang w:val="en-AU"/>
              </w:rPr>
            </w:pPr>
            <w:r w:rsidRPr="0098262F">
              <w:rPr>
                <w:lang w:val="en-AU"/>
              </w:rPr>
              <w:t>Year 4</w:t>
            </w:r>
          </w:p>
        </w:tc>
        <w:tc>
          <w:tcPr>
            <w:tcW w:w="611" w:type="pct"/>
            <w:vAlign w:val="center"/>
          </w:tcPr>
          <w:p w14:paraId="5C7582C5" w14:textId="77777777" w:rsidR="002242DF" w:rsidRPr="0098262F" w:rsidRDefault="002242DF">
            <w:pPr>
              <w:pStyle w:val="In-tableHeading"/>
              <w:jc w:val="center"/>
              <w:rPr>
                <w:lang w:val="en-AU"/>
              </w:rPr>
            </w:pPr>
            <w:r w:rsidRPr="0098262F">
              <w:rPr>
                <w:lang w:val="en-AU"/>
              </w:rPr>
              <w:t>Year 5</w:t>
            </w:r>
          </w:p>
        </w:tc>
        <w:tc>
          <w:tcPr>
            <w:tcW w:w="611" w:type="pct"/>
          </w:tcPr>
          <w:p w14:paraId="23269ECD" w14:textId="77777777" w:rsidR="002242DF" w:rsidRPr="0098262F" w:rsidRDefault="002242DF">
            <w:pPr>
              <w:pStyle w:val="In-tableHeading"/>
              <w:jc w:val="center"/>
              <w:rPr>
                <w:lang w:val="en-AU"/>
              </w:rPr>
            </w:pPr>
            <w:r w:rsidRPr="0098262F">
              <w:rPr>
                <w:lang w:val="en-AU"/>
              </w:rPr>
              <w:t>Year 6</w:t>
            </w:r>
          </w:p>
        </w:tc>
      </w:tr>
      <w:tr w:rsidR="002242DF" w:rsidRPr="0098262F" w14:paraId="6BF6093A" w14:textId="77777777">
        <w:tc>
          <w:tcPr>
            <w:tcW w:w="5000" w:type="pct"/>
            <w:gridSpan w:val="7"/>
            <w:vAlign w:val="center"/>
          </w:tcPr>
          <w:p w14:paraId="6ECA8FA8" w14:textId="574BA420" w:rsidR="002242DF" w:rsidRPr="0098262F" w:rsidRDefault="002242DF">
            <w:pPr>
              <w:pStyle w:val="In-tableHeading"/>
              <w:rPr>
                <w:bCs/>
                <w:color w:val="000000"/>
                <w:lang w:val="en-AU"/>
              </w:rPr>
            </w:pPr>
            <w:r w:rsidRPr="0098262F">
              <w:rPr>
                <w:bCs/>
                <w:color w:val="000000"/>
                <w:lang w:val="en-AU"/>
              </w:rPr>
              <w:t>Estimated extent of use</w:t>
            </w:r>
          </w:p>
        </w:tc>
      </w:tr>
      <w:tr w:rsidR="00A86601" w:rsidRPr="0098262F" w14:paraId="4A387FD1" w14:textId="77777777" w:rsidTr="00F44962">
        <w:tc>
          <w:tcPr>
            <w:tcW w:w="1334" w:type="pct"/>
          </w:tcPr>
          <w:p w14:paraId="486A0F43" w14:textId="2B9448D8" w:rsidR="00A86601" w:rsidRDefault="00A86601" w:rsidP="00A86601">
            <w:pPr>
              <w:pStyle w:val="Tabletext"/>
              <w:keepNext/>
              <w:keepLines/>
            </w:pPr>
            <w:r w:rsidRPr="007C485F">
              <w:t xml:space="preserve">Proportion </w:t>
            </w:r>
            <w:r w:rsidR="00C75DC9">
              <w:t xml:space="preserve">of BTX scripts </w:t>
            </w:r>
            <w:r w:rsidRPr="007C485F">
              <w:t xml:space="preserve">affected by </w:t>
            </w:r>
            <w:r>
              <w:t>GPB</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860EC" w14:textId="3C2D4D24" w:rsidR="00A86601"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A86601">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330B0092" w14:textId="498919DA" w:rsidR="00A86601"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A86601">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4821BBC7" w14:textId="5994243D" w:rsidR="00A86601"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A86601">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512D99DC" w14:textId="48571C81" w:rsidR="00A86601"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A86601">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5D745B38" w14:textId="3D501678" w:rsidR="00A86601"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A86601">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53DC6C6D" w14:textId="343C9B75" w:rsidR="00A86601"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A86601">
              <w:rPr>
                <w:rFonts w:cs="Arial"/>
                <w:color w:val="000000"/>
                <w:sz w:val="18"/>
                <w:szCs w:val="22"/>
              </w:rPr>
              <w:t>%</w:t>
            </w:r>
          </w:p>
        </w:tc>
      </w:tr>
      <w:tr w:rsidR="00A86601" w:rsidRPr="0098262F" w14:paraId="2207DD9F" w14:textId="77777777" w:rsidTr="00B4270C">
        <w:tc>
          <w:tcPr>
            <w:tcW w:w="1334" w:type="pct"/>
            <w:vAlign w:val="center"/>
          </w:tcPr>
          <w:p w14:paraId="7DC89904" w14:textId="25C6F086" w:rsidR="00A86601" w:rsidRPr="0098262F" w:rsidRDefault="00A86601" w:rsidP="00A86601">
            <w:pPr>
              <w:pStyle w:val="Tabletext"/>
              <w:keepNext/>
              <w:keepLines/>
            </w:pPr>
            <w:r>
              <w:t xml:space="preserve">Number of scripts dispensed – market share population </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320DF" w14:textId="5E6C71DF"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896188">
              <w:rPr>
                <w:rFonts w:cs="Arial"/>
                <w:color w:val="000000"/>
                <w:sz w:val="18"/>
                <w:szCs w:val="22"/>
                <w:vertAlign w:val="superscript"/>
              </w:rPr>
              <w:t>1</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7430CC92" w14:textId="5E859D40"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896188">
              <w:rPr>
                <w:rFonts w:cs="Arial"/>
                <w:color w:val="000000"/>
                <w:sz w:val="18"/>
                <w:szCs w:val="22"/>
                <w:vertAlign w:val="superscript"/>
              </w:rPr>
              <w:t>2</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0F24FAC6" w14:textId="45644647"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896188">
              <w:rPr>
                <w:rFonts w:cs="Arial"/>
                <w:color w:val="000000"/>
                <w:sz w:val="18"/>
                <w:szCs w:val="22"/>
                <w:vertAlign w:val="superscript"/>
              </w:rPr>
              <w:t>3</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18B5299E" w14:textId="2B3A47D2"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896188">
              <w:rPr>
                <w:rFonts w:cs="Arial"/>
                <w:color w:val="000000"/>
                <w:sz w:val="18"/>
                <w:szCs w:val="22"/>
                <w:vertAlign w:val="superscript"/>
              </w:rPr>
              <w:t>4</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790A41E6" w14:textId="7BC6EC36"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4D610A">
              <w:rPr>
                <w:rFonts w:cs="Arial"/>
                <w:color w:val="000000"/>
                <w:sz w:val="18"/>
                <w:szCs w:val="22"/>
                <w:vertAlign w:val="superscript"/>
              </w:rPr>
              <w:t>2</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198F1AE7" w14:textId="33D5E396"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4D610A">
              <w:rPr>
                <w:rFonts w:cs="Arial"/>
                <w:color w:val="000000"/>
                <w:sz w:val="18"/>
                <w:szCs w:val="22"/>
                <w:vertAlign w:val="superscript"/>
              </w:rPr>
              <w:t>2</w:t>
            </w:r>
            <w:r w:rsidR="00A86601" w:rsidRPr="00AB3094">
              <w:rPr>
                <w:rFonts w:cs="Arial"/>
                <w:color w:val="000000"/>
                <w:sz w:val="18"/>
                <w:szCs w:val="22"/>
              </w:rPr>
              <w:t xml:space="preserve"> </w:t>
            </w:r>
          </w:p>
        </w:tc>
      </w:tr>
      <w:tr w:rsidR="0037698C" w:rsidRPr="0098262F" w14:paraId="5E90587D" w14:textId="77777777" w:rsidTr="00B4270C">
        <w:tc>
          <w:tcPr>
            <w:tcW w:w="1334" w:type="pct"/>
            <w:vAlign w:val="center"/>
          </w:tcPr>
          <w:p w14:paraId="686E7425" w14:textId="3F9AD6BE" w:rsidR="0037698C" w:rsidRDefault="0037698C" w:rsidP="00A86601">
            <w:pPr>
              <w:pStyle w:val="Tabletext"/>
              <w:keepNext/>
              <w:keepLines/>
            </w:pPr>
            <w:r>
              <w:t>Proportion of patients electing treatment</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A8D53" w14:textId="2DEA6DAE" w:rsidR="0037698C"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FB021D">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42BC99D8" w14:textId="32764C0F" w:rsidR="0037698C"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FB021D">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5866D480" w14:textId="54B25BCA" w:rsidR="0037698C"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FB021D">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7BF314F4" w14:textId="735B4953" w:rsidR="0037698C"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FB021D">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3777C868" w14:textId="257B98FC" w:rsidR="0037698C"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FB021D">
              <w:rPr>
                <w:rFonts w:cs="Arial"/>
                <w:color w:val="000000"/>
                <w:sz w:val="18"/>
                <w:szCs w:val="22"/>
              </w:rPr>
              <w:t>%</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095009B0" w14:textId="118B511E" w:rsidR="0037698C" w:rsidRPr="00AB3094"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D943AE">
              <w:rPr>
                <w:rFonts w:cs="Arial"/>
                <w:color w:val="000000"/>
                <w:sz w:val="18"/>
                <w:szCs w:val="22"/>
              </w:rPr>
              <w:t>%</w:t>
            </w:r>
          </w:p>
        </w:tc>
      </w:tr>
      <w:tr w:rsidR="00A86601" w:rsidRPr="0098262F" w14:paraId="5F50CECB" w14:textId="77777777" w:rsidTr="00B4270C">
        <w:tc>
          <w:tcPr>
            <w:tcW w:w="1334" w:type="pct"/>
            <w:vAlign w:val="center"/>
          </w:tcPr>
          <w:p w14:paraId="4F664E86" w14:textId="41A67FF1" w:rsidR="00A86601" w:rsidRPr="0098262F" w:rsidRDefault="00A86601" w:rsidP="00A86601">
            <w:pPr>
              <w:pStyle w:val="Tabletext"/>
              <w:keepNext/>
              <w:keepLines/>
            </w:pPr>
            <w:r>
              <w:t xml:space="preserve">Treated patients – epidemiological population </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F4738" w14:textId="1179AF12"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4D610A">
              <w:rPr>
                <w:rFonts w:cs="Arial"/>
                <w:color w:val="000000"/>
                <w:sz w:val="18"/>
                <w:szCs w:val="22"/>
                <w:vertAlign w:val="superscript"/>
              </w:rPr>
              <w:t>1</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6ABBEF55" w14:textId="5AA067F1"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4D610A">
              <w:rPr>
                <w:rFonts w:cs="Arial"/>
                <w:color w:val="000000"/>
                <w:sz w:val="18"/>
                <w:szCs w:val="22"/>
                <w:vertAlign w:val="superscript"/>
              </w:rPr>
              <w:t>2</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46D96E5D" w14:textId="2CF8CE99"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4D610A">
              <w:rPr>
                <w:rFonts w:cs="Arial"/>
                <w:color w:val="000000"/>
                <w:sz w:val="18"/>
                <w:szCs w:val="22"/>
                <w:vertAlign w:val="superscript"/>
              </w:rPr>
              <w:t>2</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1E6BC180" w14:textId="75054D36"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4D610A">
              <w:rPr>
                <w:rFonts w:cs="Arial"/>
                <w:color w:val="000000"/>
                <w:sz w:val="18"/>
                <w:szCs w:val="22"/>
                <w:vertAlign w:val="superscript"/>
              </w:rPr>
              <w:t>2</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26EB0B91" w14:textId="4D51275B"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4D610A">
              <w:rPr>
                <w:rFonts w:cs="Arial"/>
                <w:color w:val="000000"/>
                <w:sz w:val="18"/>
                <w:szCs w:val="22"/>
                <w:vertAlign w:val="superscript"/>
              </w:rPr>
              <w:t>2</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222778C4" w14:textId="17F5A889"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4D610A">
              <w:rPr>
                <w:rFonts w:cs="Arial"/>
                <w:color w:val="000000"/>
                <w:sz w:val="18"/>
                <w:szCs w:val="22"/>
                <w:vertAlign w:val="superscript"/>
              </w:rPr>
              <w:t>2</w:t>
            </w:r>
            <w:r w:rsidR="00A86601" w:rsidRPr="00AB3094">
              <w:rPr>
                <w:rFonts w:cs="Arial"/>
                <w:color w:val="000000"/>
                <w:sz w:val="18"/>
                <w:szCs w:val="22"/>
              </w:rPr>
              <w:t xml:space="preserve"> </w:t>
            </w:r>
          </w:p>
        </w:tc>
      </w:tr>
      <w:tr w:rsidR="00A86601" w:rsidRPr="0098262F" w14:paraId="5D359C84" w14:textId="77777777" w:rsidTr="00B4270C">
        <w:tc>
          <w:tcPr>
            <w:tcW w:w="1334" w:type="pct"/>
            <w:vAlign w:val="center"/>
          </w:tcPr>
          <w:p w14:paraId="5479413D" w14:textId="65242446" w:rsidR="00A86601" w:rsidRPr="0098262F" w:rsidRDefault="00A86601" w:rsidP="00A86601">
            <w:pPr>
              <w:pStyle w:val="Tabletext"/>
              <w:keepNext/>
              <w:keepLines/>
            </w:pPr>
            <w:r>
              <w:t xml:space="preserve">Number of scripts dispensed –epidemiological population </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B2E7" w14:textId="68FC0341"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FD3114">
              <w:rPr>
                <w:rFonts w:cs="Arial"/>
                <w:color w:val="000000"/>
                <w:sz w:val="18"/>
                <w:szCs w:val="22"/>
                <w:vertAlign w:val="superscript"/>
              </w:rPr>
              <w:t>3</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1084176C" w14:textId="0BD444A0"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FD3114">
              <w:rPr>
                <w:rFonts w:cs="Arial"/>
                <w:color w:val="000000"/>
                <w:sz w:val="18"/>
                <w:szCs w:val="22"/>
                <w:vertAlign w:val="superscript"/>
              </w:rPr>
              <w:t>3</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368332FF" w14:textId="27FBE059"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5D5B2C">
              <w:rPr>
                <w:rFonts w:cs="Arial"/>
                <w:color w:val="000000"/>
                <w:sz w:val="18"/>
                <w:szCs w:val="22"/>
                <w:vertAlign w:val="superscript"/>
              </w:rPr>
              <w:t>4</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62483348" w14:textId="4D197957"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5D5B2C">
              <w:rPr>
                <w:rFonts w:cs="Arial"/>
                <w:color w:val="000000"/>
                <w:sz w:val="18"/>
                <w:szCs w:val="22"/>
                <w:vertAlign w:val="superscript"/>
              </w:rPr>
              <w:t>4</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06E43869" w14:textId="6B4FAAC8"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5D5B2C">
              <w:rPr>
                <w:rFonts w:cs="Arial"/>
                <w:color w:val="000000"/>
                <w:sz w:val="18"/>
                <w:szCs w:val="22"/>
                <w:vertAlign w:val="superscript"/>
              </w:rPr>
              <w:t>4</w:t>
            </w:r>
            <w:r w:rsidR="00A86601" w:rsidRPr="00AB3094">
              <w:rPr>
                <w:rFonts w:cs="Arial"/>
                <w:color w:val="000000"/>
                <w:sz w:val="18"/>
                <w:szCs w:val="22"/>
              </w:rPr>
              <w:t xml:space="preserve"> </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tcPr>
          <w:p w14:paraId="7C54D328" w14:textId="3D9DB5D0" w:rsidR="00A86601" w:rsidRPr="00586C3F" w:rsidRDefault="00FE3B86" w:rsidP="00A86601">
            <w:pPr>
              <w:pStyle w:val="Tabletext"/>
              <w:keepNext/>
              <w:keepLines/>
              <w:rPr>
                <w:rFonts w:cs="Arial"/>
                <w:color w:val="000000"/>
                <w:sz w:val="18"/>
                <w:szCs w:val="22"/>
              </w:rPr>
            </w:pPr>
            <w:r w:rsidRPr="004F06D3">
              <w:rPr>
                <w:rFonts w:cs="Arial"/>
                <w:color w:val="000000"/>
                <w:sz w:val="18"/>
                <w:szCs w:val="22"/>
                <w:highlight w:val="black"/>
              </w:rPr>
              <w:t>&amp;&amp;&amp;&amp;</w:t>
            </w:r>
            <w:r w:rsidR="005D5B2C">
              <w:rPr>
                <w:rFonts w:cs="Arial"/>
                <w:color w:val="000000"/>
                <w:sz w:val="18"/>
                <w:szCs w:val="22"/>
                <w:vertAlign w:val="superscript"/>
              </w:rPr>
              <w:t>4</w:t>
            </w:r>
            <w:r w:rsidR="00A86601" w:rsidRPr="00AB3094">
              <w:rPr>
                <w:rFonts w:cs="Arial"/>
                <w:color w:val="000000"/>
                <w:sz w:val="18"/>
                <w:szCs w:val="22"/>
              </w:rPr>
              <w:t xml:space="preserve"> </w:t>
            </w:r>
          </w:p>
        </w:tc>
      </w:tr>
      <w:tr w:rsidR="00A86601" w:rsidRPr="0098262F" w14:paraId="3B90D661" w14:textId="77777777">
        <w:tc>
          <w:tcPr>
            <w:tcW w:w="1334" w:type="pct"/>
            <w:vAlign w:val="center"/>
          </w:tcPr>
          <w:p w14:paraId="58CCF72C" w14:textId="550C1A07" w:rsidR="00A86601" w:rsidRPr="0098262F" w:rsidRDefault="00A86601" w:rsidP="00A86601">
            <w:pPr>
              <w:pStyle w:val="Tabletext"/>
              <w:keepNext/>
              <w:keepLines/>
              <w:rPr>
                <w:rFonts w:ascii="Times" w:hAnsi="Times"/>
              </w:rPr>
            </w:pPr>
            <w:r>
              <w:t>Total n</w:t>
            </w:r>
            <w:r w:rsidRPr="0098262F">
              <w:t>umber of scripts dispensed</w:t>
            </w:r>
          </w:p>
        </w:tc>
        <w:tc>
          <w:tcPr>
            <w:tcW w:w="611" w:type="pct"/>
            <w:vAlign w:val="center"/>
          </w:tcPr>
          <w:p w14:paraId="4A332BA0" w14:textId="5AE7EAA3" w:rsidR="00A86601" w:rsidRPr="005D5B2C" w:rsidRDefault="00FE3B86" w:rsidP="00A86601">
            <w:pPr>
              <w:pStyle w:val="Tabletext"/>
              <w:keepNext/>
              <w:keepLines/>
              <w:rPr>
                <w:color w:val="000000"/>
                <w:vertAlign w:val="superscript"/>
              </w:rPr>
            </w:pPr>
            <w:r w:rsidRPr="004F06D3">
              <w:rPr>
                <w:rFonts w:cs="Arial"/>
                <w:color w:val="000000"/>
                <w:sz w:val="18"/>
                <w:szCs w:val="22"/>
                <w:highlight w:val="black"/>
              </w:rPr>
              <w:t>&amp;&amp;&amp;&amp;</w:t>
            </w:r>
            <w:r w:rsidR="005D5B2C">
              <w:rPr>
                <w:rFonts w:cs="Arial"/>
                <w:color w:val="000000"/>
                <w:sz w:val="18"/>
                <w:szCs w:val="22"/>
                <w:vertAlign w:val="superscript"/>
              </w:rPr>
              <w:t>4</w:t>
            </w:r>
          </w:p>
        </w:tc>
        <w:tc>
          <w:tcPr>
            <w:tcW w:w="611" w:type="pct"/>
            <w:vAlign w:val="center"/>
          </w:tcPr>
          <w:p w14:paraId="281D6E65" w14:textId="2D3BD86D" w:rsidR="00A86601" w:rsidRPr="00E92A4E" w:rsidRDefault="00FE3B86" w:rsidP="00A86601">
            <w:pPr>
              <w:pStyle w:val="Tabletext"/>
              <w:keepNext/>
              <w:keepLines/>
              <w:rPr>
                <w:color w:val="000000"/>
                <w:vertAlign w:val="superscript"/>
              </w:rPr>
            </w:pPr>
            <w:r w:rsidRPr="004F06D3">
              <w:rPr>
                <w:rFonts w:cs="Arial"/>
                <w:color w:val="000000"/>
                <w:sz w:val="18"/>
                <w:szCs w:val="22"/>
                <w:highlight w:val="black"/>
              </w:rPr>
              <w:t>&amp;&amp;&amp;&amp;</w:t>
            </w:r>
            <w:r w:rsidR="00E92A4E">
              <w:rPr>
                <w:rFonts w:cs="Arial"/>
                <w:color w:val="000000"/>
                <w:sz w:val="18"/>
                <w:szCs w:val="22"/>
                <w:vertAlign w:val="superscript"/>
              </w:rPr>
              <w:t>5</w:t>
            </w:r>
          </w:p>
        </w:tc>
        <w:tc>
          <w:tcPr>
            <w:tcW w:w="611" w:type="pct"/>
            <w:vAlign w:val="center"/>
          </w:tcPr>
          <w:p w14:paraId="0C20E74B" w14:textId="1F779B4A" w:rsidR="00A86601" w:rsidRPr="00E92A4E" w:rsidRDefault="00FE3B86" w:rsidP="00A86601">
            <w:pPr>
              <w:pStyle w:val="Tabletext"/>
              <w:keepNext/>
              <w:keepLines/>
              <w:rPr>
                <w:color w:val="000000"/>
                <w:vertAlign w:val="superscript"/>
              </w:rPr>
            </w:pPr>
            <w:r w:rsidRPr="004F06D3">
              <w:rPr>
                <w:rFonts w:cs="Arial"/>
                <w:color w:val="000000"/>
                <w:sz w:val="18"/>
                <w:szCs w:val="22"/>
                <w:highlight w:val="black"/>
              </w:rPr>
              <w:t>&amp;&amp;&amp;&amp;</w:t>
            </w:r>
            <w:r w:rsidR="00E92A4E">
              <w:rPr>
                <w:rFonts w:cs="Arial"/>
                <w:color w:val="000000"/>
                <w:sz w:val="18"/>
                <w:szCs w:val="22"/>
                <w:vertAlign w:val="superscript"/>
              </w:rPr>
              <w:t>5</w:t>
            </w:r>
          </w:p>
        </w:tc>
        <w:tc>
          <w:tcPr>
            <w:tcW w:w="611" w:type="pct"/>
            <w:vAlign w:val="center"/>
          </w:tcPr>
          <w:p w14:paraId="6555F07A" w14:textId="26963C1B" w:rsidR="00A86601" w:rsidRPr="000C6394" w:rsidRDefault="00FE3B86" w:rsidP="00A86601">
            <w:pPr>
              <w:pStyle w:val="Tabletext"/>
              <w:keepNext/>
              <w:keepLines/>
              <w:rPr>
                <w:color w:val="000000"/>
                <w:vertAlign w:val="superscript"/>
              </w:rPr>
            </w:pPr>
            <w:r w:rsidRPr="004F06D3">
              <w:rPr>
                <w:rFonts w:cs="Arial"/>
                <w:color w:val="000000"/>
                <w:sz w:val="18"/>
                <w:szCs w:val="22"/>
                <w:highlight w:val="black"/>
              </w:rPr>
              <w:t>&amp;&amp;&amp;&amp;</w:t>
            </w:r>
            <w:r w:rsidR="000C6394">
              <w:rPr>
                <w:rFonts w:cs="Arial"/>
                <w:color w:val="000000"/>
                <w:sz w:val="18"/>
                <w:szCs w:val="22"/>
                <w:vertAlign w:val="superscript"/>
              </w:rPr>
              <w:t>6</w:t>
            </w:r>
          </w:p>
        </w:tc>
        <w:tc>
          <w:tcPr>
            <w:tcW w:w="611" w:type="pct"/>
            <w:vAlign w:val="center"/>
          </w:tcPr>
          <w:p w14:paraId="2CF7560F" w14:textId="6B688BE8" w:rsidR="00A86601" w:rsidRPr="000C6394" w:rsidRDefault="00FE3B86" w:rsidP="00A86601">
            <w:pPr>
              <w:pStyle w:val="Tabletext"/>
              <w:keepNext/>
              <w:keepLines/>
              <w:rPr>
                <w:color w:val="000000"/>
                <w:vertAlign w:val="superscript"/>
              </w:rPr>
            </w:pPr>
            <w:r w:rsidRPr="004F06D3">
              <w:rPr>
                <w:rFonts w:cs="Arial"/>
                <w:color w:val="000000"/>
                <w:sz w:val="18"/>
                <w:szCs w:val="22"/>
                <w:highlight w:val="black"/>
              </w:rPr>
              <w:t>&amp;&amp;&amp;&amp;</w:t>
            </w:r>
            <w:r w:rsidR="000C6394">
              <w:rPr>
                <w:rFonts w:cs="Arial"/>
                <w:color w:val="000000"/>
                <w:sz w:val="18"/>
                <w:szCs w:val="22"/>
                <w:vertAlign w:val="superscript"/>
              </w:rPr>
              <w:t>6</w:t>
            </w:r>
          </w:p>
        </w:tc>
        <w:tc>
          <w:tcPr>
            <w:tcW w:w="611" w:type="pct"/>
            <w:vAlign w:val="center"/>
          </w:tcPr>
          <w:p w14:paraId="27AD39D8" w14:textId="49BECF62" w:rsidR="00A86601" w:rsidRPr="00000C9F" w:rsidRDefault="00FE3B86" w:rsidP="00A86601">
            <w:pPr>
              <w:pStyle w:val="Tabletext"/>
              <w:keepNext/>
              <w:keepLines/>
              <w:rPr>
                <w:color w:val="000000"/>
                <w:vertAlign w:val="superscript"/>
              </w:rPr>
            </w:pPr>
            <w:r w:rsidRPr="004F06D3">
              <w:rPr>
                <w:rFonts w:cs="Arial"/>
                <w:color w:val="000000"/>
                <w:sz w:val="18"/>
                <w:szCs w:val="22"/>
                <w:highlight w:val="black"/>
              </w:rPr>
              <w:t>&amp;&amp;&amp;&amp;</w:t>
            </w:r>
            <w:r w:rsidR="00000C9F">
              <w:rPr>
                <w:rFonts w:cs="Arial"/>
                <w:color w:val="000000"/>
                <w:sz w:val="18"/>
                <w:szCs w:val="22"/>
                <w:vertAlign w:val="superscript"/>
              </w:rPr>
              <w:t>7</w:t>
            </w:r>
          </w:p>
        </w:tc>
      </w:tr>
      <w:tr w:rsidR="00A86601" w:rsidRPr="001322EE" w14:paraId="6298A05B" w14:textId="77777777">
        <w:tc>
          <w:tcPr>
            <w:tcW w:w="5000" w:type="pct"/>
            <w:gridSpan w:val="7"/>
            <w:vAlign w:val="center"/>
          </w:tcPr>
          <w:p w14:paraId="3E7D28F2" w14:textId="77777777" w:rsidR="00A86601" w:rsidRPr="001322EE" w:rsidRDefault="00A86601" w:rsidP="00A86601">
            <w:pPr>
              <w:pStyle w:val="Tabletext"/>
              <w:keepNext/>
              <w:keepLines/>
              <w:rPr>
                <w:b/>
                <w:bCs/>
              </w:rPr>
            </w:pPr>
            <w:r w:rsidRPr="001322EE">
              <w:rPr>
                <w:b/>
                <w:bCs/>
              </w:rPr>
              <w:t xml:space="preserve">Estimated financial implications of </w:t>
            </w:r>
            <w:r>
              <w:rPr>
                <w:b/>
                <w:bCs/>
              </w:rPr>
              <w:t>GPB</w:t>
            </w:r>
          </w:p>
        </w:tc>
      </w:tr>
      <w:tr w:rsidR="00A86601" w:rsidRPr="0098262F" w14:paraId="60DE395C" w14:textId="77777777">
        <w:tc>
          <w:tcPr>
            <w:tcW w:w="1334" w:type="pct"/>
            <w:vAlign w:val="center"/>
          </w:tcPr>
          <w:p w14:paraId="144CB819" w14:textId="77777777" w:rsidR="00A86601" w:rsidRPr="0098262F" w:rsidRDefault="00A86601" w:rsidP="00A86601">
            <w:pPr>
              <w:pStyle w:val="Tabletext"/>
              <w:keepNext/>
              <w:keepLines/>
              <w:rPr>
                <w:sz w:val="19"/>
                <w:szCs w:val="19"/>
              </w:rPr>
            </w:pPr>
            <w:r w:rsidRPr="0098262F">
              <w:rPr>
                <w:sz w:val="19"/>
                <w:szCs w:val="19"/>
              </w:rPr>
              <w:t>Cost to PBS/RPBS less copayments</w:t>
            </w:r>
          </w:p>
        </w:tc>
        <w:tc>
          <w:tcPr>
            <w:tcW w:w="611" w:type="pct"/>
            <w:vAlign w:val="center"/>
          </w:tcPr>
          <w:p w14:paraId="5E3F6648" w14:textId="3FD33B56" w:rsidR="00A86601" w:rsidRPr="00066E9D" w:rsidRDefault="00A86601" w:rsidP="00A86601">
            <w:pPr>
              <w:pStyle w:val="Tabletext"/>
              <w:keepNext/>
              <w:keepLines/>
              <w:rPr>
                <w:vertAlign w:val="superscript"/>
              </w:rPr>
            </w:pPr>
            <w:r w:rsidRPr="00586C3F">
              <w:rPr>
                <w:rFonts w:cs="Arial"/>
                <w:color w:val="000000"/>
                <w:sz w:val="18"/>
                <w:szCs w:val="22"/>
              </w:rPr>
              <w:t>$</w:t>
            </w:r>
            <w:r w:rsidR="00FE3B86" w:rsidRPr="004F06D3">
              <w:rPr>
                <w:rFonts w:cs="Arial"/>
                <w:color w:val="000000"/>
                <w:sz w:val="18"/>
                <w:szCs w:val="22"/>
                <w:highlight w:val="black"/>
              </w:rPr>
              <w:t>&amp;&amp;&amp;&amp;</w:t>
            </w:r>
            <w:r w:rsidR="00066E9D">
              <w:rPr>
                <w:rFonts w:cs="Arial"/>
                <w:color w:val="000000"/>
                <w:sz w:val="18"/>
                <w:szCs w:val="22"/>
                <w:vertAlign w:val="superscript"/>
              </w:rPr>
              <w:t>8</w:t>
            </w:r>
          </w:p>
        </w:tc>
        <w:tc>
          <w:tcPr>
            <w:tcW w:w="611" w:type="pct"/>
            <w:vAlign w:val="center"/>
          </w:tcPr>
          <w:p w14:paraId="4143B1C5" w14:textId="5A9ACAE5" w:rsidR="00A86601" w:rsidRPr="00066E9D" w:rsidRDefault="00A86601" w:rsidP="00A86601">
            <w:pPr>
              <w:pStyle w:val="Tabletext"/>
              <w:keepNext/>
              <w:keepLines/>
              <w:rPr>
                <w:vertAlign w:val="superscript"/>
              </w:rPr>
            </w:pPr>
            <w:r w:rsidRPr="00586C3F">
              <w:rPr>
                <w:rFonts w:cs="Arial"/>
                <w:color w:val="000000"/>
                <w:sz w:val="18"/>
                <w:szCs w:val="22"/>
              </w:rPr>
              <w:t>$</w:t>
            </w:r>
            <w:r w:rsidR="00FE3B86" w:rsidRPr="004F06D3">
              <w:rPr>
                <w:rFonts w:cs="Arial"/>
                <w:color w:val="000000"/>
                <w:sz w:val="18"/>
                <w:szCs w:val="22"/>
                <w:highlight w:val="black"/>
              </w:rPr>
              <w:t>&amp;&amp;&amp;&amp;</w:t>
            </w:r>
            <w:r w:rsidR="00066E9D">
              <w:rPr>
                <w:rFonts w:cs="Arial"/>
                <w:color w:val="000000"/>
                <w:sz w:val="18"/>
                <w:szCs w:val="22"/>
                <w:vertAlign w:val="superscript"/>
              </w:rPr>
              <w:t>8</w:t>
            </w:r>
          </w:p>
        </w:tc>
        <w:tc>
          <w:tcPr>
            <w:tcW w:w="611" w:type="pct"/>
            <w:vAlign w:val="center"/>
          </w:tcPr>
          <w:p w14:paraId="5D07B5B2" w14:textId="1C45DD31" w:rsidR="00A86601" w:rsidRPr="00066E9D" w:rsidRDefault="00A86601" w:rsidP="00A86601">
            <w:pPr>
              <w:pStyle w:val="Tabletext"/>
              <w:keepNext/>
              <w:keepLines/>
              <w:rPr>
                <w:vertAlign w:val="superscript"/>
              </w:rPr>
            </w:pPr>
            <w:r w:rsidRPr="00586C3F">
              <w:rPr>
                <w:rFonts w:cs="Arial"/>
                <w:color w:val="000000"/>
                <w:sz w:val="18"/>
                <w:szCs w:val="22"/>
              </w:rPr>
              <w:t>$</w:t>
            </w:r>
            <w:r w:rsidR="00FE3B86" w:rsidRPr="004F06D3">
              <w:rPr>
                <w:rFonts w:cs="Arial"/>
                <w:color w:val="000000"/>
                <w:sz w:val="18"/>
                <w:szCs w:val="22"/>
                <w:highlight w:val="black"/>
              </w:rPr>
              <w:t>&amp;&amp;&amp;&amp;</w:t>
            </w:r>
            <w:r w:rsidR="00066E9D">
              <w:rPr>
                <w:rFonts w:cs="Arial"/>
                <w:color w:val="000000"/>
                <w:sz w:val="18"/>
                <w:szCs w:val="22"/>
                <w:vertAlign w:val="superscript"/>
              </w:rPr>
              <w:t>8</w:t>
            </w:r>
          </w:p>
        </w:tc>
        <w:tc>
          <w:tcPr>
            <w:tcW w:w="611" w:type="pct"/>
            <w:vAlign w:val="center"/>
          </w:tcPr>
          <w:p w14:paraId="0BD2536C" w14:textId="18DC0D3D" w:rsidR="00A86601" w:rsidRPr="00066E9D" w:rsidRDefault="00A86601" w:rsidP="00A86601">
            <w:pPr>
              <w:pStyle w:val="Tabletext"/>
              <w:keepNext/>
              <w:keepLines/>
              <w:rPr>
                <w:vertAlign w:val="superscript"/>
              </w:rPr>
            </w:pPr>
            <w:r w:rsidRPr="00586C3F">
              <w:rPr>
                <w:rFonts w:cs="Arial"/>
                <w:color w:val="000000"/>
                <w:sz w:val="18"/>
                <w:szCs w:val="22"/>
              </w:rPr>
              <w:t>$</w:t>
            </w:r>
            <w:r w:rsidR="00FE3B86" w:rsidRPr="004F06D3">
              <w:rPr>
                <w:rFonts w:cs="Arial"/>
                <w:color w:val="000000"/>
                <w:sz w:val="18"/>
                <w:szCs w:val="22"/>
                <w:highlight w:val="black"/>
              </w:rPr>
              <w:t>&amp;&amp;&amp;&amp;</w:t>
            </w:r>
            <w:r w:rsidR="00066E9D">
              <w:rPr>
                <w:rFonts w:cs="Arial"/>
                <w:color w:val="000000"/>
                <w:sz w:val="18"/>
                <w:szCs w:val="22"/>
                <w:vertAlign w:val="superscript"/>
              </w:rPr>
              <w:t>8</w:t>
            </w:r>
          </w:p>
        </w:tc>
        <w:tc>
          <w:tcPr>
            <w:tcW w:w="611" w:type="pct"/>
            <w:vAlign w:val="center"/>
          </w:tcPr>
          <w:p w14:paraId="1ED6FCFA" w14:textId="5ECD7E55" w:rsidR="00A86601" w:rsidRPr="00066E9D" w:rsidRDefault="00A86601" w:rsidP="00A86601">
            <w:pPr>
              <w:pStyle w:val="Tabletext"/>
              <w:keepNext/>
              <w:keepLines/>
              <w:rPr>
                <w:vertAlign w:val="superscript"/>
              </w:rPr>
            </w:pPr>
            <w:r w:rsidRPr="00586C3F">
              <w:rPr>
                <w:rFonts w:cs="Arial"/>
                <w:color w:val="000000"/>
                <w:sz w:val="18"/>
                <w:szCs w:val="22"/>
              </w:rPr>
              <w:t>$</w:t>
            </w:r>
            <w:r w:rsidR="00FE3B86" w:rsidRPr="004F06D3">
              <w:rPr>
                <w:rFonts w:cs="Arial"/>
                <w:color w:val="000000"/>
                <w:sz w:val="18"/>
                <w:szCs w:val="22"/>
                <w:highlight w:val="black"/>
              </w:rPr>
              <w:t>&amp;&amp;&amp;&amp;</w:t>
            </w:r>
            <w:r w:rsidR="00066E9D">
              <w:rPr>
                <w:rFonts w:cs="Arial"/>
                <w:color w:val="000000"/>
                <w:sz w:val="18"/>
                <w:szCs w:val="22"/>
                <w:vertAlign w:val="superscript"/>
              </w:rPr>
              <w:t>8</w:t>
            </w:r>
          </w:p>
        </w:tc>
        <w:tc>
          <w:tcPr>
            <w:tcW w:w="611" w:type="pct"/>
            <w:vAlign w:val="center"/>
          </w:tcPr>
          <w:p w14:paraId="38B3B2C6" w14:textId="687480BC" w:rsidR="00A86601" w:rsidRPr="00066E9D" w:rsidRDefault="00A86601" w:rsidP="00A86601">
            <w:pPr>
              <w:pStyle w:val="Tabletext"/>
              <w:keepNext/>
              <w:keepLines/>
              <w:rPr>
                <w:vertAlign w:val="superscript"/>
              </w:rPr>
            </w:pPr>
            <w:r w:rsidRPr="00586C3F">
              <w:rPr>
                <w:rFonts w:cs="Arial"/>
                <w:color w:val="000000"/>
                <w:sz w:val="18"/>
                <w:szCs w:val="22"/>
              </w:rPr>
              <w:t>$</w:t>
            </w:r>
            <w:r w:rsidR="00FE3B86" w:rsidRPr="004F06D3">
              <w:rPr>
                <w:rFonts w:cs="Arial"/>
                <w:color w:val="000000"/>
                <w:sz w:val="18"/>
                <w:szCs w:val="22"/>
                <w:highlight w:val="black"/>
              </w:rPr>
              <w:t>&amp;&amp;&amp;&amp;</w:t>
            </w:r>
            <w:r w:rsidR="00066E9D">
              <w:rPr>
                <w:rFonts w:cs="Arial"/>
                <w:color w:val="000000"/>
                <w:sz w:val="18"/>
                <w:szCs w:val="22"/>
                <w:vertAlign w:val="superscript"/>
              </w:rPr>
              <w:t>8</w:t>
            </w:r>
          </w:p>
        </w:tc>
      </w:tr>
      <w:tr w:rsidR="00A86601" w:rsidRPr="001322EE" w14:paraId="0DBC718F" w14:textId="77777777">
        <w:tc>
          <w:tcPr>
            <w:tcW w:w="5000" w:type="pct"/>
            <w:gridSpan w:val="7"/>
            <w:vAlign w:val="center"/>
          </w:tcPr>
          <w:p w14:paraId="484B59AF" w14:textId="77777777" w:rsidR="00A86601" w:rsidRPr="001322EE" w:rsidRDefault="00A86601" w:rsidP="00A86601">
            <w:pPr>
              <w:pStyle w:val="Tabletext"/>
              <w:keepNext/>
              <w:keepLines/>
              <w:rPr>
                <w:b/>
                <w:bCs/>
              </w:rPr>
            </w:pPr>
            <w:r w:rsidRPr="001322EE">
              <w:rPr>
                <w:b/>
                <w:bCs/>
              </w:rPr>
              <w:t xml:space="preserve">Estimated financial implications for </w:t>
            </w:r>
            <w:r>
              <w:rPr>
                <w:b/>
                <w:bCs/>
              </w:rPr>
              <w:t>BTX</w:t>
            </w:r>
          </w:p>
        </w:tc>
      </w:tr>
      <w:tr w:rsidR="00A86601" w:rsidRPr="0098262F" w14:paraId="4ACC8AE3" w14:textId="77777777">
        <w:tc>
          <w:tcPr>
            <w:tcW w:w="1334" w:type="pct"/>
            <w:vAlign w:val="center"/>
          </w:tcPr>
          <w:p w14:paraId="115D2C68" w14:textId="77777777" w:rsidR="00A86601" w:rsidRPr="0098262F" w:rsidRDefault="00A86601" w:rsidP="00A86601">
            <w:pPr>
              <w:pStyle w:val="Tabletext"/>
              <w:keepNext/>
              <w:keepLines/>
              <w:rPr>
                <w:sz w:val="19"/>
                <w:szCs w:val="19"/>
              </w:rPr>
            </w:pPr>
            <w:r w:rsidRPr="0098262F">
              <w:rPr>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tcPr>
          <w:p w14:paraId="3E7D40C3" w14:textId="1AE903EF" w:rsidR="00A86601" w:rsidRPr="001A081C"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1A081C">
              <w:rPr>
                <w:rFonts w:cs="Arial"/>
                <w:sz w:val="18"/>
                <w:szCs w:val="22"/>
                <w:vertAlign w:val="superscript"/>
              </w:rPr>
              <w:t>9</w:t>
            </w:r>
          </w:p>
        </w:tc>
        <w:tc>
          <w:tcPr>
            <w:tcW w:w="611" w:type="pct"/>
            <w:tcBorders>
              <w:top w:val="single" w:sz="4" w:space="0" w:color="auto"/>
              <w:left w:val="nil"/>
              <w:bottom w:val="single" w:sz="4" w:space="0" w:color="auto"/>
              <w:right w:val="single" w:sz="4" w:space="0" w:color="auto"/>
            </w:tcBorders>
            <w:vAlign w:val="center"/>
          </w:tcPr>
          <w:p w14:paraId="662A4E68" w14:textId="16F8CDF0" w:rsidR="00A86601" w:rsidRPr="001A081C"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1A081C">
              <w:rPr>
                <w:rFonts w:cs="Arial"/>
                <w:sz w:val="18"/>
                <w:szCs w:val="22"/>
                <w:vertAlign w:val="superscript"/>
              </w:rPr>
              <w:t>9</w:t>
            </w:r>
          </w:p>
        </w:tc>
        <w:tc>
          <w:tcPr>
            <w:tcW w:w="611" w:type="pct"/>
            <w:tcBorders>
              <w:top w:val="single" w:sz="4" w:space="0" w:color="auto"/>
              <w:left w:val="nil"/>
              <w:bottom w:val="single" w:sz="4" w:space="0" w:color="auto"/>
              <w:right w:val="single" w:sz="4" w:space="0" w:color="auto"/>
            </w:tcBorders>
            <w:vAlign w:val="center"/>
          </w:tcPr>
          <w:p w14:paraId="000ED642" w14:textId="6190F91E" w:rsidR="00A86601" w:rsidRPr="001A081C"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1A081C">
              <w:rPr>
                <w:rFonts w:cs="Arial"/>
                <w:sz w:val="18"/>
                <w:szCs w:val="22"/>
                <w:vertAlign w:val="superscript"/>
              </w:rPr>
              <w:t>9</w:t>
            </w:r>
          </w:p>
        </w:tc>
        <w:tc>
          <w:tcPr>
            <w:tcW w:w="611" w:type="pct"/>
            <w:tcBorders>
              <w:top w:val="single" w:sz="4" w:space="0" w:color="auto"/>
              <w:left w:val="nil"/>
              <w:bottom w:val="single" w:sz="4" w:space="0" w:color="auto"/>
              <w:right w:val="single" w:sz="4" w:space="0" w:color="auto"/>
            </w:tcBorders>
            <w:vAlign w:val="center"/>
          </w:tcPr>
          <w:p w14:paraId="543E59B9" w14:textId="6EA44C84" w:rsidR="00A86601" w:rsidRPr="001A081C"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1A081C">
              <w:rPr>
                <w:rFonts w:cs="Arial"/>
                <w:sz w:val="18"/>
                <w:szCs w:val="22"/>
                <w:vertAlign w:val="superscript"/>
              </w:rPr>
              <w:t>9</w:t>
            </w:r>
          </w:p>
        </w:tc>
        <w:tc>
          <w:tcPr>
            <w:tcW w:w="611" w:type="pct"/>
            <w:tcBorders>
              <w:top w:val="single" w:sz="4" w:space="0" w:color="auto"/>
              <w:left w:val="nil"/>
              <w:bottom w:val="single" w:sz="4" w:space="0" w:color="auto"/>
              <w:right w:val="single" w:sz="4" w:space="0" w:color="auto"/>
            </w:tcBorders>
            <w:vAlign w:val="center"/>
          </w:tcPr>
          <w:p w14:paraId="7704ED70" w14:textId="32E9A2BA" w:rsidR="00A86601" w:rsidRPr="001A081C"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1A081C">
              <w:rPr>
                <w:rFonts w:cs="Arial"/>
                <w:sz w:val="18"/>
                <w:szCs w:val="22"/>
                <w:vertAlign w:val="superscript"/>
              </w:rPr>
              <w:t>9</w:t>
            </w:r>
          </w:p>
        </w:tc>
        <w:tc>
          <w:tcPr>
            <w:tcW w:w="611" w:type="pct"/>
            <w:tcBorders>
              <w:top w:val="single" w:sz="4" w:space="0" w:color="auto"/>
              <w:left w:val="nil"/>
              <w:bottom w:val="single" w:sz="4" w:space="0" w:color="auto"/>
              <w:right w:val="single" w:sz="4" w:space="0" w:color="auto"/>
            </w:tcBorders>
            <w:vAlign w:val="center"/>
          </w:tcPr>
          <w:p w14:paraId="1315EA5C" w14:textId="57B89CB4" w:rsidR="00A86601" w:rsidRPr="001A081C"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1A081C">
              <w:rPr>
                <w:rFonts w:cs="Arial"/>
                <w:sz w:val="18"/>
                <w:szCs w:val="22"/>
                <w:vertAlign w:val="superscript"/>
              </w:rPr>
              <w:t>9</w:t>
            </w:r>
          </w:p>
        </w:tc>
      </w:tr>
      <w:tr w:rsidR="00A86601" w:rsidRPr="001322EE" w14:paraId="21B02BF8" w14:textId="77777777">
        <w:tc>
          <w:tcPr>
            <w:tcW w:w="5000" w:type="pct"/>
            <w:gridSpan w:val="7"/>
            <w:vAlign w:val="center"/>
          </w:tcPr>
          <w:p w14:paraId="23F8FA89" w14:textId="77777777" w:rsidR="00A86601" w:rsidRPr="001322EE" w:rsidRDefault="00A86601" w:rsidP="00A86601">
            <w:pPr>
              <w:pStyle w:val="Tabletext"/>
              <w:keepNext/>
              <w:keepLines/>
              <w:rPr>
                <w:b/>
                <w:bCs/>
              </w:rPr>
            </w:pPr>
            <w:r w:rsidRPr="001322EE">
              <w:rPr>
                <w:b/>
                <w:bCs/>
              </w:rPr>
              <w:t>Net financial implications</w:t>
            </w:r>
            <w:r w:rsidRPr="00002914">
              <w:rPr>
                <w:b/>
              </w:rPr>
              <w:t xml:space="preserve"> </w:t>
            </w:r>
          </w:p>
        </w:tc>
      </w:tr>
      <w:tr w:rsidR="00A86601" w:rsidRPr="0098262F" w14:paraId="38A6646E" w14:textId="77777777" w:rsidTr="00D240F5">
        <w:tc>
          <w:tcPr>
            <w:tcW w:w="1334" w:type="pct"/>
            <w:vAlign w:val="center"/>
          </w:tcPr>
          <w:p w14:paraId="7E938688" w14:textId="77777777" w:rsidR="00A86601" w:rsidRPr="0098262F" w:rsidRDefault="00A86601" w:rsidP="00A86601">
            <w:pPr>
              <w:pStyle w:val="Tabletext"/>
              <w:keepNext/>
              <w:keepLines/>
              <w:rPr>
                <w:sz w:val="19"/>
                <w:szCs w:val="19"/>
              </w:rPr>
            </w:pPr>
            <w:r w:rsidRPr="0098262F">
              <w:rPr>
                <w:sz w:val="19"/>
                <w:szCs w:val="19"/>
              </w:rPr>
              <w:t>Net cost to PBS/RPBS</w:t>
            </w:r>
          </w:p>
        </w:tc>
        <w:tc>
          <w:tcPr>
            <w:tcW w:w="611" w:type="pct"/>
            <w:tcBorders>
              <w:top w:val="nil"/>
              <w:left w:val="nil"/>
              <w:bottom w:val="single" w:sz="4" w:space="0" w:color="auto"/>
              <w:right w:val="single" w:sz="4" w:space="0" w:color="auto"/>
            </w:tcBorders>
            <w:vAlign w:val="center"/>
          </w:tcPr>
          <w:p w14:paraId="7C9D0D82" w14:textId="741A0848" w:rsidR="00A86601" w:rsidRPr="00066E9D"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066E9D">
              <w:rPr>
                <w:rFonts w:cs="Arial"/>
                <w:sz w:val="18"/>
                <w:szCs w:val="22"/>
                <w:vertAlign w:val="superscript"/>
              </w:rPr>
              <w:t>8</w:t>
            </w:r>
          </w:p>
        </w:tc>
        <w:tc>
          <w:tcPr>
            <w:tcW w:w="611" w:type="pct"/>
            <w:tcBorders>
              <w:top w:val="nil"/>
              <w:left w:val="single" w:sz="4" w:space="0" w:color="auto"/>
              <w:bottom w:val="single" w:sz="4" w:space="0" w:color="auto"/>
              <w:right w:val="single" w:sz="4" w:space="0" w:color="auto"/>
            </w:tcBorders>
            <w:vAlign w:val="center"/>
          </w:tcPr>
          <w:p w14:paraId="301C290B" w14:textId="4EA99811" w:rsidR="00A86601" w:rsidRPr="00066E9D"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066E9D">
              <w:rPr>
                <w:rFonts w:cs="Arial"/>
                <w:sz w:val="18"/>
                <w:szCs w:val="22"/>
                <w:vertAlign w:val="superscript"/>
              </w:rPr>
              <w:t>8</w:t>
            </w:r>
          </w:p>
        </w:tc>
        <w:tc>
          <w:tcPr>
            <w:tcW w:w="611" w:type="pct"/>
            <w:tcBorders>
              <w:top w:val="nil"/>
              <w:left w:val="single" w:sz="4" w:space="0" w:color="auto"/>
              <w:bottom w:val="single" w:sz="4" w:space="0" w:color="auto"/>
              <w:right w:val="single" w:sz="4" w:space="0" w:color="auto"/>
            </w:tcBorders>
            <w:vAlign w:val="center"/>
          </w:tcPr>
          <w:p w14:paraId="435F455E" w14:textId="1C6E4B7E" w:rsidR="00A86601" w:rsidRPr="00066E9D"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066E9D">
              <w:rPr>
                <w:rFonts w:cs="Arial"/>
                <w:sz w:val="18"/>
                <w:szCs w:val="22"/>
                <w:vertAlign w:val="superscript"/>
              </w:rPr>
              <w:t>8</w:t>
            </w:r>
          </w:p>
        </w:tc>
        <w:tc>
          <w:tcPr>
            <w:tcW w:w="611" w:type="pct"/>
            <w:tcBorders>
              <w:top w:val="nil"/>
              <w:left w:val="single" w:sz="4" w:space="0" w:color="auto"/>
              <w:bottom w:val="single" w:sz="4" w:space="0" w:color="auto"/>
              <w:right w:val="single" w:sz="4" w:space="0" w:color="auto"/>
            </w:tcBorders>
            <w:vAlign w:val="center"/>
          </w:tcPr>
          <w:p w14:paraId="38F4EDBB" w14:textId="5ED59CAF" w:rsidR="00A86601" w:rsidRPr="00066E9D"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066E9D">
              <w:rPr>
                <w:rFonts w:cs="Arial"/>
                <w:sz w:val="18"/>
                <w:szCs w:val="22"/>
                <w:vertAlign w:val="superscript"/>
              </w:rPr>
              <w:t>8</w:t>
            </w:r>
          </w:p>
        </w:tc>
        <w:tc>
          <w:tcPr>
            <w:tcW w:w="611" w:type="pct"/>
            <w:tcBorders>
              <w:top w:val="nil"/>
              <w:left w:val="single" w:sz="4" w:space="0" w:color="auto"/>
              <w:bottom w:val="single" w:sz="4" w:space="0" w:color="auto"/>
              <w:right w:val="single" w:sz="4" w:space="0" w:color="auto"/>
            </w:tcBorders>
            <w:vAlign w:val="center"/>
          </w:tcPr>
          <w:p w14:paraId="2750FCD2" w14:textId="528E3C7B" w:rsidR="00A86601" w:rsidRPr="00066E9D"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066E9D">
              <w:rPr>
                <w:rFonts w:cs="Arial"/>
                <w:sz w:val="18"/>
                <w:szCs w:val="22"/>
                <w:vertAlign w:val="superscript"/>
              </w:rPr>
              <w:t>8</w:t>
            </w:r>
          </w:p>
        </w:tc>
        <w:tc>
          <w:tcPr>
            <w:tcW w:w="611" w:type="pct"/>
            <w:tcBorders>
              <w:top w:val="nil"/>
              <w:left w:val="single" w:sz="4" w:space="0" w:color="auto"/>
              <w:bottom w:val="single" w:sz="4" w:space="0" w:color="auto"/>
              <w:right w:val="single" w:sz="4" w:space="0" w:color="auto"/>
            </w:tcBorders>
            <w:vAlign w:val="center"/>
          </w:tcPr>
          <w:p w14:paraId="68FFCE9E" w14:textId="3468F05C" w:rsidR="00A86601" w:rsidRPr="00066E9D"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066E9D">
              <w:rPr>
                <w:rFonts w:cs="Arial"/>
                <w:sz w:val="18"/>
                <w:szCs w:val="22"/>
                <w:vertAlign w:val="superscript"/>
              </w:rPr>
              <w:t>8</w:t>
            </w:r>
          </w:p>
        </w:tc>
      </w:tr>
      <w:tr w:rsidR="00A86601" w:rsidRPr="0098262F" w14:paraId="5D64EC40" w14:textId="77777777">
        <w:tc>
          <w:tcPr>
            <w:tcW w:w="1334" w:type="pct"/>
            <w:tcBorders>
              <w:top w:val="single" w:sz="4" w:space="0" w:color="auto"/>
            </w:tcBorders>
            <w:vAlign w:val="center"/>
          </w:tcPr>
          <w:p w14:paraId="6267B26A" w14:textId="77777777" w:rsidR="00A86601" w:rsidRPr="0098262F" w:rsidRDefault="00A86601" w:rsidP="00A86601">
            <w:pPr>
              <w:pStyle w:val="Tabletext"/>
              <w:keepNext/>
              <w:keepLines/>
              <w:rPr>
                <w:rFonts w:ascii="Times" w:hAnsi="Times"/>
              </w:rPr>
            </w:pPr>
            <w:r w:rsidRPr="0098262F">
              <w:rPr>
                <w:sz w:val="19"/>
                <w:szCs w:val="19"/>
              </w:rPr>
              <w:t>Net cost to MBS/Services Australia</w:t>
            </w:r>
          </w:p>
        </w:tc>
        <w:tc>
          <w:tcPr>
            <w:tcW w:w="611" w:type="pct"/>
            <w:tcBorders>
              <w:top w:val="single" w:sz="4" w:space="0" w:color="auto"/>
            </w:tcBorders>
            <w:vAlign w:val="center"/>
          </w:tcPr>
          <w:p w14:paraId="3F348046" w14:textId="14124AFA" w:rsidR="00A86601" w:rsidRPr="00F465B2"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F465B2">
              <w:rPr>
                <w:rFonts w:cs="Arial"/>
                <w:sz w:val="18"/>
                <w:szCs w:val="22"/>
                <w:vertAlign w:val="superscript"/>
              </w:rPr>
              <w:t>9</w:t>
            </w:r>
          </w:p>
        </w:tc>
        <w:tc>
          <w:tcPr>
            <w:tcW w:w="611" w:type="pct"/>
            <w:tcBorders>
              <w:top w:val="single" w:sz="4" w:space="0" w:color="auto"/>
            </w:tcBorders>
            <w:vAlign w:val="center"/>
          </w:tcPr>
          <w:p w14:paraId="5C29C941" w14:textId="6896E540" w:rsidR="00A86601" w:rsidRPr="00F465B2"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F465B2">
              <w:rPr>
                <w:rFonts w:cs="Arial"/>
                <w:sz w:val="18"/>
                <w:szCs w:val="22"/>
                <w:vertAlign w:val="superscript"/>
              </w:rPr>
              <w:t>9</w:t>
            </w:r>
          </w:p>
        </w:tc>
        <w:tc>
          <w:tcPr>
            <w:tcW w:w="611" w:type="pct"/>
            <w:tcBorders>
              <w:top w:val="single" w:sz="4" w:space="0" w:color="auto"/>
            </w:tcBorders>
            <w:vAlign w:val="center"/>
          </w:tcPr>
          <w:p w14:paraId="4A1ABBEC" w14:textId="2D44FBF1" w:rsidR="00A86601" w:rsidRPr="00F465B2"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F465B2">
              <w:rPr>
                <w:rFonts w:cs="Arial"/>
                <w:sz w:val="18"/>
                <w:szCs w:val="22"/>
                <w:vertAlign w:val="superscript"/>
              </w:rPr>
              <w:t>9</w:t>
            </w:r>
          </w:p>
        </w:tc>
        <w:tc>
          <w:tcPr>
            <w:tcW w:w="611" w:type="pct"/>
            <w:tcBorders>
              <w:top w:val="single" w:sz="4" w:space="0" w:color="auto"/>
            </w:tcBorders>
            <w:vAlign w:val="center"/>
          </w:tcPr>
          <w:p w14:paraId="7EA8297E" w14:textId="7E975588" w:rsidR="00A86601" w:rsidRPr="00F465B2"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F465B2">
              <w:rPr>
                <w:rFonts w:cs="Arial"/>
                <w:sz w:val="18"/>
                <w:szCs w:val="22"/>
                <w:vertAlign w:val="superscript"/>
              </w:rPr>
              <w:t>9</w:t>
            </w:r>
          </w:p>
        </w:tc>
        <w:tc>
          <w:tcPr>
            <w:tcW w:w="611" w:type="pct"/>
            <w:tcBorders>
              <w:top w:val="single" w:sz="4" w:space="0" w:color="auto"/>
            </w:tcBorders>
            <w:vAlign w:val="center"/>
          </w:tcPr>
          <w:p w14:paraId="144CC209" w14:textId="7209C5C4" w:rsidR="00A86601" w:rsidRPr="00F465B2"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F465B2">
              <w:rPr>
                <w:rFonts w:cs="Arial"/>
                <w:sz w:val="18"/>
                <w:szCs w:val="22"/>
                <w:vertAlign w:val="superscript"/>
              </w:rPr>
              <w:t>9</w:t>
            </w:r>
          </w:p>
        </w:tc>
        <w:tc>
          <w:tcPr>
            <w:tcW w:w="611" w:type="pct"/>
            <w:tcBorders>
              <w:top w:val="single" w:sz="4" w:space="0" w:color="auto"/>
            </w:tcBorders>
            <w:vAlign w:val="center"/>
          </w:tcPr>
          <w:p w14:paraId="5FBC7F1A" w14:textId="7A426AF1" w:rsidR="00A86601" w:rsidRPr="00F465B2" w:rsidRDefault="00A86601" w:rsidP="00A86601">
            <w:pPr>
              <w:pStyle w:val="Tabletext"/>
              <w:keepNext/>
              <w:keepLines/>
              <w:rPr>
                <w:vertAlign w:val="superscript"/>
              </w:rPr>
            </w:pPr>
            <w:r w:rsidRPr="00002914">
              <w:rPr>
                <w:rFonts w:cs="Arial"/>
                <w:sz w:val="18"/>
                <w:szCs w:val="22"/>
              </w:rPr>
              <w:t>-$</w:t>
            </w:r>
            <w:r w:rsidR="00FE3B86" w:rsidRPr="004F06D3">
              <w:rPr>
                <w:rFonts w:cs="Arial"/>
                <w:sz w:val="18"/>
                <w:szCs w:val="22"/>
                <w:highlight w:val="black"/>
              </w:rPr>
              <w:t>&amp;&amp;&amp;&amp;</w:t>
            </w:r>
            <w:r w:rsidR="00F465B2">
              <w:rPr>
                <w:rFonts w:cs="Arial"/>
                <w:sz w:val="18"/>
                <w:szCs w:val="22"/>
                <w:vertAlign w:val="superscript"/>
              </w:rPr>
              <w:t>9</w:t>
            </w:r>
          </w:p>
        </w:tc>
      </w:tr>
      <w:tr w:rsidR="00A86601" w:rsidRPr="0098262F" w14:paraId="740F0F85" w14:textId="77777777">
        <w:tc>
          <w:tcPr>
            <w:tcW w:w="1334" w:type="pct"/>
            <w:vAlign w:val="center"/>
          </w:tcPr>
          <w:p w14:paraId="03C82AFF" w14:textId="77777777" w:rsidR="00A86601" w:rsidRPr="0098262F" w:rsidRDefault="00A86601" w:rsidP="00A86601">
            <w:pPr>
              <w:pStyle w:val="Tabletext"/>
              <w:keepNext/>
              <w:keepLines/>
              <w:rPr>
                <w:sz w:val="19"/>
                <w:szCs w:val="19"/>
              </w:rPr>
            </w:pPr>
            <w:r w:rsidRPr="0098262F">
              <w:rPr>
                <w:sz w:val="19"/>
                <w:szCs w:val="19"/>
              </w:rPr>
              <w:t>Net cost to PBS/RPBS/MBS/Services Australia</w:t>
            </w:r>
          </w:p>
        </w:tc>
        <w:tc>
          <w:tcPr>
            <w:tcW w:w="611" w:type="pct"/>
            <w:vAlign w:val="center"/>
          </w:tcPr>
          <w:p w14:paraId="312620A6" w14:textId="62B680DC" w:rsidR="00A86601" w:rsidRPr="00F465B2" w:rsidRDefault="00A86601" w:rsidP="00A86601">
            <w:pPr>
              <w:pStyle w:val="Tabletext"/>
              <w:keepNext/>
              <w:keepLines/>
              <w:rPr>
                <w:vertAlign w:val="superscript"/>
              </w:rPr>
            </w:pPr>
            <w:r w:rsidRPr="00D240F5">
              <w:rPr>
                <w:rFonts w:cs="Calibri"/>
                <w:sz w:val="18"/>
                <w:szCs w:val="22"/>
              </w:rPr>
              <w:t>$</w:t>
            </w:r>
            <w:r w:rsidR="00FE3B86" w:rsidRPr="004F06D3">
              <w:rPr>
                <w:rFonts w:cs="Calibri"/>
                <w:sz w:val="18"/>
                <w:szCs w:val="22"/>
                <w:highlight w:val="black"/>
              </w:rPr>
              <w:t>&amp;&amp;&amp;&amp;</w:t>
            </w:r>
            <w:r w:rsidR="00F465B2">
              <w:rPr>
                <w:rFonts w:cs="Calibri"/>
                <w:sz w:val="18"/>
                <w:szCs w:val="22"/>
                <w:vertAlign w:val="superscript"/>
              </w:rPr>
              <w:t>9</w:t>
            </w:r>
          </w:p>
        </w:tc>
        <w:tc>
          <w:tcPr>
            <w:tcW w:w="611" w:type="pct"/>
            <w:vAlign w:val="center"/>
          </w:tcPr>
          <w:p w14:paraId="1EBF59FF" w14:textId="06998C44" w:rsidR="00A86601" w:rsidRPr="00F465B2" w:rsidRDefault="00A86601" w:rsidP="00A86601">
            <w:pPr>
              <w:pStyle w:val="Tabletext"/>
              <w:keepNext/>
              <w:keepLines/>
              <w:rPr>
                <w:vertAlign w:val="superscript"/>
              </w:rPr>
            </w:pPr>
            <w:r w:rsidRPr="00D240F5">
              <w:rPr>
                <w:rFonts w:cs="Calibri"/>
                <w:sz w:val="18"/>
                <w:szCs w:val="22"/>
              </w:rPr>
              <w:t>$</w:t>
            </w:r>
            <w:r w:rsidR="00FE3B86" w:rsidRPr="004F06D3">
              <w:rPr>
                <w:rFonts w:cs="Calibri"/>
                <w:sz w:val="18"/>
                <w:szCs w:val="22"/>
                <w:highlight w:val="black"/>
              </w:rPr>
              <w:t>&amp;&amp;&amp;&amp;</w:t>
            </w:r>
            <w:r w:rsidR="00F465B2">
              <w:rPr>
                <w:rFonts w:cs="Calibri"/>
                <w:sz w:val="18"/>
                <w:szCs w:val="22"/>
                <w:vertAlign w:val="superscript"/>
              </w:rPr>
              <w:t>9</w:t>
            </w:r>
          </w:p>
        </w:tc>
        <w:tc>
          <w:tcPr>
            <w:tcW w:w="611" w:type="pct"/>
            <w:vAlign w:val="center"/>
          </w:tcPr>
          <w:p w14:paraId="2DEC4F60" w14:textId="55196E0C" w:rsidR="00A86601" w:rsidRPr="00F465B2" w:rsidRDefault="00A86601" w:rsidP="00A86601">
            <w:pPr>
              <w:pStyle w:val="Tabletext"/>
              <w:keepNext/>
              <w:keepLines/>
              <w:rPr>
                <w:vertAlign w:val="superscript"/>
              </w:rPr>
            </w:pPr>
            <w:r w:rsidRPr="00D240F5">
              <w:rPr>
                <w:rFonts w:cs="Calibri"/>
                <w:sz w:val="18"/>
                <w:szCs w:val="22"/>
              </w:rPr>
              <w:t>$</w:t>
            </w:r>
            <w:r w:rsidR="00FE3B86" w:rsidRPr="004F06D3">
              <w:rPr>
                <w:rFonts w:cs="Calibri"/>
                <w:sz w:val="18"/>
                <w:szCs w:val="22"/>
                <w:highlight w:val="black"/>
              </w:rPr>
              <w:t>&amp;&amp;&amp;&amp;</w:t>
            </w:r>
            <w:r w:rsidR="00F465B2">
              <w:rPr>
                <w:rFonts w:cs="Calibri"/>
                <w:sz w:val="18"/>
                <w:szCs w:val="22"/>
                <w:vertAlign w:val="superscript"/>
              </w:rPr>
              <w:t>9</w:t>
            </w:r>
          </w:p>
        </w:tc>
        <w:tc>
          <w:tcPr>
            <w:tcW w:w="611" w:type="pct"/>
            <w:vAlign w:val="center"/>
          </w:tcPr>
          <w:p w14:paraId="5DADD124" w14:textId="48EF9764" w:rsidR="00A86601" w:rsidRPr="00F465B2" w:rsidRDefault="00A86601" w:rsidP="00A86601">
            <w:pPr>
              <w:pStyle w:val="Tabletext"/>
              <w:keepNext/>
              <w:keepLines/>
              <w:rPr>
                <w:vertAlign w:val="superscript"/>
              </w:rPr>
            </w:pPr>
            <w:r w:rsidRPr="00D240F5">
              <w:rPr>
                <w:rFonts w:cs="Calibri"/>
                <w:sz w:val="18"/>
                <w:szCs w:val="22"/>
              </w:rPr>
              <w:t>$</w:t>
            </w:r>
            <w:r w:rsidR="00FE3B86" w:rsidRPr="004F06D3">
              <w:rPr>
                <w:rFonts w:cs="Calibri"/>
                <w:sz w:val="18"/>
                <w:szCs w:val="22"/>
                <w:highlight w:val="black"/>
              </w:rPr>
              <w:t>&amp;&amp;&amp;&amp;</w:t>
            </w:r>
            <w:r w:rsidR="00F465B2">
              <w:rPr>
                <w:rFonts w:cs="Calibri"/>
                <w:sz w:val="18"/>
                <w:szCs w:val="22"/>
                <w:vertAlign w:val="superscript"/>
              </w:rPr>
              <w:t>9</w:t>
            </w:r>
          </w:p>
        </w:tc>
        <w:tc>
          <w:tcPr>
            <w:tcW w:w="611" w:type="pct"/>
            <w:vAlign w:val="center"/>
          </w:tcPr>
          <w:p w14:paraId="703D45EA" w14:textId="6807D3B6" w:rsidR="00A86601" w:rsidRPr="00F465B2" w:rsidRDefault="00A86601" w:rsidP="00A86601">
            <w:pPr>
              <w:pStyle w:val="Tabletext"/>
              <w:keepNext/>
              <w:keepLines/>
              <w:rPr>
                <w:vertAlign w:val="superscript"/>
              </w:rPr>
            </w:pPr>
            <w:r w:rsidRPr="00D240F5">
              <w:rPr>
                <w:rFonts w:cs="Calibri"/>
                <w:sz w:val="18"/>
                <w:szCs w:val="22"/>
              </w:rPr>
              <w:t>$</w:t>
            </w:r>
            <w:r w:rsidR="00FE3B86" w:rsidRPr="004F06D3">
              <w:rPr>
                <w:rFonts w:cs="Calibri"/>
                <w:sz w:val="18"/>
                <w:szCs w:val="22"/>
                <w:highlight w:val="black"/>
              </w:rPr>
              <w:t>&amp;&amp;&amp;&amp;</w:t>
            </w:r>
            <w:r w:rsidR="00F465B2">
              <w:rPr>
                <w:rFonts w:cs="Calibri"/>
                <w:sz w:val="18"/>
                <w:szCs w:val="22"/>
                <w:vertAlign w:val="superscript"/>
              </w:rPr>
              <w:t>9</w:t>
            </w:r>
          </w:p>
        </w:tc>
        <w:tc>
          <w:tcPr>
            <w:tcW w:w="611" w:type="pct"/>
            <w:vAlign w:val="center"/>
          </w:tcPr>
          <w:p w14:paraId="79B01B2A" w14:textId="50B78640" w:rsidR="00A86601" w:rsidRPr="00F465B2" w:rsidRDefault="00A86601" w:rsidP="00A86601">
            <w:pPr>
              <w:pStyle w:val="Tabletext"/>
              <w:keepNext/>
              <w:keepLines/>
              <w:rPr>
                <w:vertAlign w:val="superscript"/>
              </w:rPr>
            </w:pPr>
            <w:r w:rsidRPr="00D240F5">
              <w:rPr>
                <w:rFonts w:cs="Calibri"/>
                <w:sz w:val="18"/>
                <w:szCs w:val="22"/>
              </w:rPr>
              <w:t>$</w:t>
            </w:r>
            <w:r w:rsidR="00FE3B86" w:rsidRPr="004F06D3">
              <w:rPr>
                <w:rFonts w:cs="Calibri"/>
                <w:sz w:val="18"/>
                <w:szCs w:val="22"/>
                <w:highlight w:val="black"/>
              </w:rPr>
              <w:t>&amp;&amp;&amp;&amp;</w:t>
            </w:r>
            <w:r w:rsidR="00F465B2">
              <w:rPr>
                <w:rFonts w:cs="Calibri"/>
                <w:sz w:val="18"/>
                <w:szCs w:val="22"/>
                <w:vertAlign w:val="superscript"/>
              </w:rPr>
              <w:t>9</w:t>
            </w:r>
          </w:p>
        </w:tc>
      </w:tr>
    </w:tbl>
    <w:p w14:paraId="6F1DEEF3" w14:textId="77777777" w:rsidR="008843CE" w:rsidRDefault="002242DF" w:rsidP="008843CE">
      <w:pPr>
        <w:pStyle w:val="FooterTableFigure"/>
        <w:rPr>
          <w:i/>
        </w:rPr>
      </w:pPr>
      <w:r w:rsidRPr="00AE43EA">
        <w:t xml:space="preserve">Source: </w:t>
      </w:r>
      <w:r w:rsidR="003E7CF5" w:rsidRPr="00AE43EA">
        <w:t>pre-PBAC response</w:t>
      </w:r>
      <w:r w:rsidR="00CD5718">
        <w:t xml:space="preserve"> and Attachment 6.</w:t>
      </w:r>
      <w:r w:rsidR="007F458B">
        <w:t xml:space="preserve">1 – </w:t>
      </w:r>
      <w:proofErr w:type="spellStart"/>
      <w:r w:rsidR="007F458B">
        <w:t>Axhidox</w:t>
      </w:r>
      <w:proofErr w:type="spellEnd"/>
      <w:r w:rsidR="007F458B">
        <w:t xml:space="preserve"> for PAHH UCM for pre-PBAC.xls</w:t>
      </w:r>
      <w:r w:rsidR="008843CE" w:rsidRPr="008843CE">
        <w:rPr>
          <w:i/>
        </w:rPr>
        <w:t xml:space="preserve"> </w:t>
      </w:r>
    </w:p>
    <w:p w14:paraId="43F7CE19" w14:textId="0D50C839" w:rsidR="008843CE" w:rsidRPr="008843CE" w:rsidRDefault="008843CE" w:rsidP="008843CE">
      <w:pPr>
        <w:pStyle w:val="FooterTableFigure"/>
        <w:rPr>
          <w:i/>
        </w:rPr>
      </w:pPr>
      <w:r w:rsidRPr="008843CE">
        <w:rPr>
          <w:i/>
        </w:rPr>
        <w:t xml:space="preserve">The redacted values correspond to the following ranges: </w:t>
      </w:r>
    </w:p>
    <w:p w14:paraId="14AA6389" w14:textId="49D49189" w:rsidR="008843CE" w:rsidRPr="008843CE" w:rsidRDefault="008843CE" w:rsidP="008843CE">
      <w:pPr>
        <w:pStyle w:val="FooterTableFigure"/>
        <w:rPr>
          <w:i/>
        </w:rPr>
      </w:pPr>
      <w:r w:rsidRPr="008843CE">
        <w:rPr>
          <w:i/>
          <w:vertAlign w:val="superscript"/>
        </w:rPr>
        <w:t>1</w:t>
      </w:r>
      <w:r w:rsidRPr="008843CE">
        <w:rPr>
          <w:i/>
        </w:rPr>
        <w:t xml:space="preserve"> </w:t>
      </w:r>
      <w:r w:rsidR="00896188" w:rsidRPr="00896188">
        <w:rPr>
          <w:i/>
        </w:rPr>
        <w:t>10,000 to &lt; 20,000</w:t>
      </w:r>
    </w:p>
    <w:p w14:paraId="67B93910" w14:textId="0F6DACCF" w:rsidR="008843CE" w:rsidRPr="008843CE" w:rsidRDefault="008843CE" w:rsidP="008843CE">
      <w:pPr>
        <w:pStyle w:val="FooterTableFigure"/>
        <w:rPr>
          <w:i/>
        </w:rPr>
      </w:pPr>
      <w:r w:rsidRPr="008843CE">
        <w:rPr>
          <w:i/>
          <w:vertAlign w:val="superscript"/>
        </w:rPr>
        <w:t>2</w:t>
      </w:r>
      <w:r w:rsidRPr="008843CE">
        <w:rPr>
          <w:i/>
        </w:rPr>
        <w:t xml:space="preserve"> </w:t>
      </w:r>
      <w:r w:rsidR="004D610A" w:rsidRPr="004D610A">
        <w:rPr>
          <w:i/>
        </w:rPr>
        <w:t>20,000 to &lt; 30,000</w:t>
      </w:r>
    </w:p>
    <w:p w14:paraId="47CF00CA" w14:textId="32FB3EA1" w:rsidR="008843CE" w:rsidRPr="008843CE" w:rsidRDefault="008843CE" w:rsidP="008843CE">
      <w:pPr>
        <w:pStyle w:val="FooterTableFigure"/>
        <w:rPr>
          <w:i/>
        </w:rPr>
      </w:pPr>
      <w:r w:rsidRPr="008843CE">
        <w:rPr>
          <w:i/>
          <w:vertAlign w:val="superscript"/>
        </w:rPr>
        <w:t>3</w:t>
      </w:r>
      <w:r w:rsidRPr="008843CE">
        <w:rPr>
          <w:i/>
        </w:rPr>
        <w:t xml:space="preserve"> </w:t>
      </w:r>
      <w:r w:rsidR="00797105" w:rsidRPr="00797105">
        <w:rPr>
          <w:i/>
        </w:rPr>
        <w:t>50,000 to &lt; 60,000</w:t>
      </w:r>
    </w:p>
    <w:p w14:paraId="6B5E2763" w14:textId="491B6AB4" w:rsidR="008843CE" w:rsidRPr="008843CE" w:rsidRDefault="008843CE" w:rsidP="008843CE">
      <w:pPr>
        <w:pStyle w:val="FooterTableFigure"/>
        <w:rPr>
          <w:i/>
        </w:rPr>
      </w:pPr>
      <w:r w:rsidRPr="008843CE">
        <w:rPr>
          <w:i/>
          <w:vertAlign w:val="superscript"/>
        </w:rPr>
        <w:t>4</w:t>
      </w:r>
      <w:r w:rsidRPr="008843CE">
        <w:rPr>
          <w:i/>
        </w:rPr>
        <w:t xml:space="preserve"> </w:t>
      </w:r>
      <w:r w:rsidR="005D5B2C" w:rsidRPr="005D5B2C">
        <w:rPr>
          <w:i/>
        </w:rPr>
        <w:t>60,000 to &lt; 70,000</w:t>
      </w:r>
    </w:p>
    <w:p w14:paraId="1619F149" w14:textId="34E5363F" w:rsidR="008843CE" w:rsidRPr="008843CE" w:rsidRDefault="008843CE" w:rsidP="008843CE">
      <w:pPr>
        <w:pStyle w:val="FooterTableFigure"/>
        <w:rPr>
          <w:i/>
        </w:rPr>
      </w:pPr>
      <w:r w:rsidRPr="008843CE">
        <w:rPr>
          <w:i/>
          <w:vertAlign w:val="superscript"/>
        </w:rPr>
        <w:t>5</w:t>
      </w:r>
      <w:r w:rsidRPr="008843CE">
        <w:rPr>
          <w:i/>
        </w:rPr>
        <w:t xml:space="preserve"> </w:t>
      </w:r>
      <w:r w:rsidR="00E92A4E" w:rsidRPr="00E92A4E">
        <w:rPr>
          <w:i/>
        </w:rPr>
        <w:t>70,000 to &lt; 80,000</w:t>
      </w:r>
    </w:p>
    <w:p w14:paraId="7C4A3BC8" w14:textId="69A65D13" w:rsidR="008843CE" w:rsidRDefault="008843CE" w:rsidP="008843CE">
      <w:pPr>
        <w:pStyle w:val="FooterTableFigure"/>
        <w:rPr>
          <w:i/>
        </w:rPr>
      </w:pPr>
      <w:r w:rsidRPr="008843CE">
        <w:rPr>
          <w:i/>
          <w:vertAlign w:val="superscript"/>
        </w:rPr>
        <w:t>6</w:t>
      </w:r>
      <w:r w:rsidRPr="008843CE">
        <w:rPr>
          <w:i/>
        </w:rPr>
        <w:t xml:space="preserve"> </w:t>
      </w:r>
      <w:r w:rsidR="000C6394" w:rsidRPr="000C6394">
        <w:rPr>
          <w:i/>
        </w:rPr>
        <w:t>80,000 to &lt; 90,000</w:t>
      </w:r>
    </w:p>
    <w:p w14:paraId="63DA282F" w14:textId="76DC2449" w:rsidR="00000C9F" w:rsidRDefault="00000C9F" w:rsidP="008843CE">
      <w:pPr>
        <w:pStyle w:val="FooterTableFigure"/>
        <w:rPr>
          <w:i/>
        </w:rPr>
      </w:pPr>
      <w:r>
        <w:rPr>
          <w:i/>
          <w:vertAlign w:val="superscript"/>
        </w:rPr>
        <w:t xml:space="preserve">7 </w:t>
      </w:r>
      <w:r w:rsidRPr="00000C9F">
        <w:rPr>
          <w:i/>
        </w:rPr>
        <w:t>90,000 to &lt; 100,000</w:t>
      </w:r>
    </w:p>
    <w:p w14:paraId="536EE498" w14:textId="6E7B0B46" w:rsidR="00066E9D" w:rsidRDefault="00066E9D" w:rsidP="008843CE">
      <w:pPr>
        <w:pStyle w:val="FooterTableFigure"/>
        <w:rPr>
          <w:i/>
        </w:rPr>
      </w:pPr>
      <w:r>
        <w:rPr>
          <w:i/>
          <w:vertAlign w:val="superscript"/>
        </w:rPr>
        <w:t>8</w:t>
      </w:r>
      <w:r>
        <w:rPr>
          <w:i/>
        </w:rPr>
        <w:t xml:space="preserve"> </w:t>
      </w:r>
      <w:r w:rsidRPr="00066E9D">
        <w:rPr>
          <w:i/>
        </w:rPr>
        <w:t>$10 million to &lt; $20 million</w:t>
      </w:r>
    </w:p>
    <w:p w14:paraId="19F19B4C" w14:textId="3B5ECA02" w:rsidR="001A081C" w:rsidRPr="008843CE" w:rsidRDefault="001A081C" w:rsidP="008843CE">
      <w:pPr>
        <w:pStyle w:val="FooterTableFigure"/>
        <w:rPr>
          <w:i/>
        </w:rPr>
      </w:pPr>
      <w:r>
        <w:rPr>
          <w:i/>
          <w:vertAlign w:val="superscript"/>
        </w:rPr>
        <w:t>9</w:t>
      </w:r>
      <w:r>
        <w:rPr>
          <w:i/>
        </w:rPr>
        <w:t xml:space="preserve"> </w:t>
      </w:r>
      <w:r w:rsidR="00F465B2" w:rsidRPr="00F465B2">
        <w:rPr>
          <w:i/>
        </w:rPr>
        <w:t>$0 to &lt; $10 million</w:t>
      </w:r>
    </w:p>
    <w:p w14:paraId="7B0C1A24" w14:textId="46E465B0" w:rsidR="002242DF" w:rsidRPr="00AE43EA" w:rsidRDefault="002242DF" w:rsidP="007072F4">
      <w:pPr>
        <w:pStyle w:val="FooterTableFigure"/>
      </w:pPr>
    </w:p>
    <w:p w14:paraId="1691882A" w14:textId="77777777" w:rsidR="005A11CD" w:rsidRDefault="009C7F52" w:rsidP="009C7F52">
      <w:pPr>
        <w:ind w:firstLine="709"/>
        <w:rPr>
          <w:rFonts w:asciiTheme="minorHAnsi" w:hAnsiTheme="minorHAnsi"/>
          <w:i/>
        </w:rPr>
      </w:pPr>
      <w:r w:rsidRPr="00C33D30">
        <w:rPr>
          <w:rFonts w:asciiTheme="minorHAnsi" w:hAnsiTheme="minorHAnsi"/>
          <w:i/>
        </w:rPr>
        <w:t>For more detail on PBAC’s view, see section 7 PBAC outcome</w:t>
      </w:r>
    </w:p>
    <w:p w14:paraId="20D6E258" w14:textId="77777777" w:rsidR="005C1F94" w:rsidRPr="0090150D" w:rsidRDefault="005C1F94" w:rsidP="005C1F94">
      <w:pPr>
        <w:pStyle w:val="2-SectionHeading"/>
        <w:numPr>
          <w:ilvl w:val="0"/>
          <w:numId w:val="1"/>
        </w:numPr>
      </w:pPr>
      <w:bookmarkStart w:id="73" w:name="_Hlk76381249"/>
      <w:bookmarkStart w:id="74" w:name="_Hlk76377955"/>
      <w:r w:rsidRPr="0090150D">
        <w:t>PBAC Outcome</w:t>
      </w:r>
    </w:p>
    <w:p w14:paraId="5D895109" w14:textId="659F9935" w:rsidR="00543BE0" w:rsidRPr="00543BE0" w:rsidRDefault="00206E4D" w:rsidP="002721B7">
      <w:pPr>
        <w:pStyle w:val="3-BodyText"/>
        <w:rPr>
          <w:snapToGrid w:val="0"/>
          <w:lang w:val="en-GB"/>
        </w:rPr>
      </w:pPr>
      <w:bookmarkStart w:id="75" w:name="_Hlk111543188"/>
      <w:r w:rsidRPr="008919DA">
        <w:rPr>
          <w:snapToGrid w:val="0"/>
        </w:rPr>
        <w:t>The PBAC recommended</w:t>
      </w:r>
      <w:r w:rsidR="00C775DC" w:rsidRPr="008919DA">
        <w:rPr>
          <w:snapToGrid w:val="0"/>
        </w:rPr>
        <w:t xml:space="preserve"> the General Schedule </w:t>
      </w:r>
      <w:r w:rsidR="004860C8" w:rsidRPr="008919DA">
        <w:rPr>
          <w:snapToGrid w:val="0"/>
        </w:rPr>
        <w:t>listing of</w:t>
      </w:r>
      <w:r w:rsidRPr="008919DA">
        <w:rPr>
          <w:snapToGrid w:val="0"/>
        </w:rPr>
        <w:t xml:space="preserve"> glycopyrronium bromide cream (GPB) for the treatment of patients with severe primary axillary hyperhidrosis (PAHH)</w:t>
      </w:r>
      <w:r w:rsidR="004860C8" w:rsidRPr="008919DA">
        <w:rPr>
          <w:snapToGrid w:val="0"/>
        </w:rPr>
        <w:t>.</w:t>
      </w:r>
      <w:r w:rsidR="00543BE0">
        <w:rPr>
          <w:snapToGrid w:val="0"/>
        </w:rPr>
        <w:t xml:space="preserve"> </w:t>
      </w:r>
      <w:r w:rsidR="00543BE0" w:rsidRPr="00543BE0">
        <w:rPr>
          <w:snapToGrid w:val="0"/>
        </w:rPr>
        <w:t xml:space="preserve">The PBAC was satisfied that </w:t>
      </w:r>
      <w:r w:rsidR="002E24F4">
        <w:rPr>
          <w:snapToGrid w:val="0"/>
        </w:rPr>
        <w:t>GPB</w:t>
      </w:r>
      <w:r w:rsidR="00543BE0" w:rsidRPr="00543BE0">
        <w:rPr>
          <w:snapToGrid w:val="0"/>
        </w:rPr>
        <w:t xml:space="preserve"> provides, for some patients, a significant improvement in efficacy </w:t>
      </w:r>
      <w:r w:rsidR="00543BE0" w:rsidRPr="0007303B">
        <w:rPr>
          <w:snapToGrid w:val="0"/>
        </w:rPr>
        <w:t xml:space="preserve">over </w:t>
      </w:r>
      <w:r w:rsidR="007A6609" w:rsidRPr="0007303B">
        <w:rPr>
          <w:snapToGrid w:val="0"/>
        </w:rPr>
        <w:t>placebo</w:t>
      </w:r>
      <w:r w:rsidR="00543BE0" w:rsidRPr="0007303B">
        <w:rPr>
          <w:snapToGrid w:val="0"/>
        </w:rPr>
        <w:t xml:space="preserve"> (</w:t>
      </w:r>
      <w:r w:rsidR="0007303B" w:rsidRPr="0007303B">
        <w:rPr>
          <w:snapToGrid w:val="0"/>
        </w:rPr>
        <w:t>no treatment</w:t>
      </w:r>
      <w:r w:rsidR="00543BE0" w:rsidRPr="0007303B">
        <w:rPr>
          <w:snapToGrid w:val="0"/>
        </w:rPr>
        <w:t>)</w:t>
      </w:r>
      <w:r w:rsidR="00F85743" w:rsidRPr="0007303B">
        <w:rPr>
          <w:snapToGrid w:val="0"/>
        </w:rPr>
        <w:t xml:space="preserve">, </w:t>
      </w:r>
      <w:r w:rsidR="0007303B" w:rsidRPr="0007303B">
        <w:rPr>
          <w:snapToGrid w:val="0"/>
        </w:rPr>
        <w:t>but considered GPB to be</w:t>
      </w:r>
      <w:r w:rsidR="00F85743" w:rsidRPr="0007303B">
        <w:rPr>
          <w:snapToGrid w:val="0"/>
        </w:rPr>
        <w:t xml:space="preserve"> less effective than </w:t>
      </w:r>
      <w:r w:rsidR="0007303B" w:rsidRPr="0007303B">
        <w:t>botulinum toxin</w:t>
      </w:r>
      <w:r w:rsidR="0007303B" w:rsidRPr="00465EE4">
        <w:t xml:space="preserve"> type A purified neurotoxin complex</w:t>
      </w:r>
      <w:r w:rsidR="0007303B" w:rsidRPr="00206E4D">
        <w:rPr>
          <w:snapToGrid w:val="0"/>
        </w:rPr>
        <w:t xml:space="preserve"> </w:t>
      </w:r>
      <w:r w:rsidR="0007303B">
        <w:rPr>
          <w:snapToGrid w:val="0"/>
        </w:rPr>
        <w:t>(</w:t>
      </w:r>
      <w:r w:rsidR="0007303B" w:rsidRPr="00206E4D">
        <w:rPr>
          <w:snapToGrid w:val="0"/>
        </w:rPr>
        <w:t>BTA</w:t>
      </w:r>
      <w:r w:rsidR="0007303B" w:rsidRPr="0007303B">
        <w:rPr>
          <w:snapToGrid w:val="0"/>
        </w:rPr>
        <w:t>)</w:t>
      </w:r>
      <w:r w:rsidR="00543BE0" w:rsidRPr="0007303B">
        <w:rPr>
          <w:snapToGrid w:val="0"/>
        </w:rPr>
        <w:t>. The</w:t>
      </w:r>
      <w:r w:rsidR="00543BE0" w:rsidRPr="00543BE0">
        <w:rPr>
          <w:snapToGrid w:val="0"/>
        </w:rPr>
        <w:t xml:space="preserve"> PBAC’s recommendation for listing was based on,</w:t>
      </w:r>
      <w:r w:rsidR="00543BE0" w:rsidRPr="00543BE0">
        <w:rPr>
          <w:snapToGrid w:val="0"/>
          <w:lang w:val="en-GB"/>
        </w:rPr>
        <w:t xml:space="preserve"> among other matters, its assessment that the cost-effectiveness of </w:t>
      </w:r>
      <w:r w:rsidR="003947AA">
        <w:rPr>
          <w:snapToGrid w:val="0"/>
          <w:lang w:val="en-GB"/>
        </w:rPr>
        <w:t>G</w:t>
      </w:r>
      <w:r w:rsidR="00AE5076">
        <w:rPr>
          <w:snapToGrid w:val="0"/>
          <w:lang w:val="en-GB"/>
        </w:rPr>
        <w:t>PB</w:t>
      </w:r>
      <w:r w:rsidR="00543BE0" w:rsidRPr="00543BE0">
        <w:rPr>
          <w:snapToGrid w:val="0"/>
          <w:lang w:val="en-GB"/>
        </w:rPr>
        <w:t xml:space="preserve"> would be acceptable </w:t>
      </w:r>
      <w:r w:rsidR="000A6BB5">
        <w:rPr>
          <w:snapToGrid w:val="0"/>
          <w:lang w:val="en-GB"/>
        </w:rPr>
        <w:t>with a price reduction and</w:t>
      </w:r>
      <w:r w:rsidR="00AE5076">
        <w:rPr>
          <w:snapToGrid w:val="0"/>
          <w:lang w:val="en-GB"/>
        </w:rPr>
        <w:t xml:space="preserve"> </w:t>
      </w:r>
      <w:r w:rsidR="007F041A">
        <w:rPr>
          <w:snapToGrid w:val="0"/>
          <w:lang w:val="en-GB"/>
        </w:rPr>
        <w:t xml:space="preserve">a Risk </w:t>
      </w:r>
      <w:r w:rsidR="00F85743">
        <w:rPr>
          <w:snapToGrid w:val="0"/>
          <w:lang w:val="en-GB"/>
        </w:rPr>
        <w:t>S</w:t>
      </w:r>
      <w:r w:rsidR="007F041A">
        <w:rPr>
          <w:snapToGrid w:val="0"/>
          <w:lang w:val="en-GB"/>
        </w:rPr>
        <w:t xml:space="preserve">haring </w:t>
      </w:r>
      <w:r w:rsidR="00F85743">
        <w:rPr>
          <w:snapToGrid w:val="0"/>
          <w:lang w:val="en-GB"/>
        </w:rPr>
        <w:t>A</w:t>
      </w:r>
      <w:r w:rsidR="007F041A">
        <w:rPr>
          <w:snapToGrid w:val="0"/>
          <w:lang w:val="en-GB"/>
        </w:rPr>
        <w:t>rrangement (RSA)</w:t>
      </w:r>
      <w:r w:rsidR="004F20F7">
        <w:rPr>
          <w:snapToGrid w:val="0"/>
          <w:lang w:val="en-GB"/>
        </w:rPr>
        <w:t xml:space="preserve"> that adequately managed the risk of use in a broader population</w:t>
      </w:r>
      <w:r w:rsidR="00543BE0" w:rsidRPr="00543BE0">
        <w:rPr>
          <w:snapToGrid w:val="0"/>
          <w:lang w:val="en-GB"/>
        </w:rPr>
        <w:t>.</w:t>
      </w:r>
    </w:p>
    <w:p w14:paraId="15F7FAAA" w14:textId="350CDBD6" w:rsidR="0040392C" w:rsidRDefault="00206E4D" w:rsidP="002721B7">
      <w:pPr>
        <w:pStyle w:val="3-BodyText"/>
        <w:rPr>
          <w:snapToGrid w:val="0"/>
        </w:rPr>
      </w:pPr>
      <w:r w:rsidRPr="00206E4D">
        <w:rPr>
          <w:snapToGrid w:val="0"/>
        </w:rPr>
        <w:t>The PBAC acknowledged PAHH can be a burdensome condition for some patients, as the symptoms can lead to anxiety and social isolation, especially for adolescents. The PBAC also acknowledged that the only treatment option on the PBS for PAHH,</w:t>
      </w:r>
      <w:r w:rsidR="00110585">
        <w:rPr>
          <w:snapToGrid w:val="0"/>
        </w:rPr>
        <w:t xml:space="preserve"> </w:t>
      </w:r>
      <w:r w:rsidRPr="00206E4D">
        <w:rPr>
          <w:snapToGrid w:val="0"/>
        </w:rPr>
        <w:t xml:space="preserve">BTA, can be costly, difficult to access (especially for regional and rural patients) and its administration </w:t>
      </w:r>
      <w:r w:rsidR="00F603E2">
        <w:rPr>
          <w:snapToGrid w:val="0"/>
        </w:rPr>
        <w:t xml:space="preserve">is </w:t>
      </w:r>
      <w:r w:rsidRPr="00206E4D">
        <w:rPr>
          <w:snapToGrid w:val="0"/>
        </w:rPr>
        <w:t>known to be painful</w:t>
      </w:r>
      <w:r w:rsidR="00F603E2">
        <w:rPr>
          <w:snapToGrid w:val="0"/>
        </w:rPr>
        <w:t xml:space="preserve"> for some patients</w:t>
      </w:r>
      <w:r w:rsidRPr="00206E4D">
        <w:rPr>
          <w:snapToGrid w:val="0"/>
        </w:rPr>
        <w:t xml:space="preserve">. However, the PBAC also noted high-strength aluminium containing antiperspirants are available as over the counter products and are effective for some </w:t>
      </w:r>
      <w:r w:rsidRPr="0040392C">
        <w:rPr>
          <w:snapToGrid w:val="0"/>
        </w:rPr>
        <w:t xml:space="preserve">patients. Overall, the Committee considered there to be a moderate clinical need for additional options on the PBS for </w:t>
      </w:r>
      <w:r w:rsidR="00665E8A">
        <w:rPr>
          <w:snapToGrid w:val="0"/>
        </w:rPr>
        <w:t xml:space="preserve">severe </w:t>
      </w:r>
      <w:r w:rsidRPr="0040392C">
        <w:rPr>
          <w:snapToGrid w:val="0"/>
        </w:rPr>
        <w:t xml:space="preserve">PAHH, given the known access issues for BTA. </w:t>
      </w:r>
    </w:p>
    <w:p w14:paraId="08DC84E2" w14:textId="172676C6" w:rsidR="00725C98" w:rsidRPr="0040392C" w:rsidRDefault="00725C98" w:rsidP="002721B7">
      <w:pPr>
        <w:pStyle w:val="3-BodyText"/>
        <w:rPr>
          <w:snapToGrid w:val="0"/>
        </w:rPr>
      </w:pPr>
      <w:r w:rsidRPr="0040392C">
        <w:rPr>
          <w:snapToGrid w:val="0"/>
        </w:rPr>
        <w:t>The PBAC considered the</w:t>
      </w:r>
      <w:r w:rsidR="007844FD">
        <w:rPr>
          <w:snapToGrid w:val="0"/>
        </w:rPr>
        <w:t xml:space="preserve"> most appropriate</w:t>
      </w:r>
      <w:r w:rsidRPr="0040392C">
        <w:rPr>
          <w:snapToGrid w:val="0"/>
        </w:rPr>
        <w:t xml:space="preserve"> clinical place of GPB </w:t>
      </w:r>
      <w:r w:rsidR="008D7F86" w:rsidRPr="0040392C">
        <w:rPr>
          <w:snapToGrid w:val="0"/>
        </w:rPr>
        <w:t xml:space="preserve">is likely </w:t>
      </w:r>
      <w:r w:rsidR="005179D3">
        <w:rPr>
          <w:snapToGrid w:val="0"/>
        </w:rPr>
        <w:t xml:space="preserve">after </w:t>
      </w:r>
      <w:r w:rsidR="00E71FD3" w:rsidRPr="0040392C">
        <w:rPr>
          <w:snapToGrid w:val="0"/>
        </w:rPr>
        <w:t xml:space="preserve">aluminium-based antiperspirants </w:t>
      </w:r>
      <w:r w:rsidR="00433418">
        <w:rPr>
          <w:snapToGrid w:val="0"/>
        </w:rPr>
        <w:t xml:space="preserve">have been ineffective </w:t>
      </w:r>
      <w:r w:rsidR="00842246" w:rsidRPr="0040392C">
        <w:rPr>
          <w:snapToGrid w:val="0"/>
        </w:rPr>
        <w:t xml:space="preserve">or </w:t>
      </w:r>
      <w:r w:rsidR="00433418">
        <w:rPr>
          <w:snapToGrid w:val="0"/>
        </w:rPr>
        <w:t>where patients are</w:t>
      </w:r>
      <w:r w:rsidR="00433418" w:rsidRPr="0040392C">
        <w:rPr>
          <w:snapToGrid w:val="0"/>
        </w:rPr>
        <w:t xml:space="preserve"> </w:t>
      </w:r>
      <w:r w:rsidR="00842246" w:rsidRPr="0040392C">
        <w:rPr>
          <w:snapToGrid w:val="0"/>
        </w:rPr>
        <w:t xml:space="preserve">intolerant to these </w:t>
      </w:r>
      <w:proofErr w:type="gramStart"/>
      <w:r w:rsidR="00842246" w:rsidRPr="0040392C">
        <w:rPr>
          <w:snapToGrid w:val="0"/>
        </w:rPr>
        <w:t>over the counter</w:t>
      </w:r>
      <w:proofErr w:type="gramEnd"/>
      <w:r w:rsidR="00842246" w:rsidRPr="0040392C">
        <w:rPr>
          <w:snapToGrid w:val="0"/>
        </w:rPr>
        <w:t xml:space="preserve"> treatments. Additionally, the </w:t>
      </w:r>
      <w:r w:rsidRPr="0040392C">
        <w:rPr>
          <w:snapToGrid w:val="0"/>
        </w:rPr>
        <w:t xml:space="preserve">PBAC considered GPB </w:t>
      </w:r>
      <w:r w:rsidR="008B753C" w:rsidRPr="0040392C">
        <w:rPr>
          <w:snapToGrid w:val="0"/>
        </w:rPr>
        <w:t xml:space="preserve">would likely be used prior to BTA </w:t>
      </w:r>
      <w:r w:rsidR="000F1AC4" w:rsidRPr="0040392C">
        <w:rPr>
          <w:snapToGrid w:val="0"/>
        </w:rPr>
        <w:t xml:space="preserve">given </w:t>
      </w:r>
      <w:r w:rsidR="003874B7" w:rsidRPr="0040392C">
        <w:rPr>
          <w:snapToGrid w:val="0"/>
        </w:rPr>
        <w:t>the known barriers to BTA treatment</w:t>
      </w:r>
      <w:r w:rsidR="00E721F2">
        <w:rPr>
          <w:snapToGrid w:val="0"/>
        </w:rPr>
        <w:t>.</w:t>
      </w:r>
      <w:r w:rsidR="003874B7" w:rsidRPr="0040392C">
        <w:rPr>
          <w:snapToGrid w:val="0"/>
        </w:rPr>
        <w:t xml:space="preserve"> </w:t>
      </w:r>
    </w:p>
    <w:p w14:paraId="1DEC8A08" w14:textId="2BF45C87" w:rsidR="00330238" w:rsidRPr="007B1B41" w:rsidRDefault="00330238" w:rsidP="002721B7">
      <w:pPr>
        <w:pStyle w:val="3-BodyText"/>
        <w:rPr>
          <w:bCs/>
          <w:snapToGrid w:val="0"/>
          <w:lang w:val="en-GB"/>
        </w:rPr>
      </w:pPr>
      <w:r w:rsidRPr="007B1B41">
        <w:rPr>
          <w:snapToGrid w:val="0"/>
          <w:lang w:val="en-GB"/>
        </w:rPr>
        <w:t>The PBAC considered a</w:t>
      </w:r>
      <w:r w:rsidR="006D3CB1">
        <w:rPr>
          <w:snapToGrid w:val="0"/>
          <w:lang w:val="en-GB"/>
        </w:rPr>
        <w:t>n</w:t>
      </w:r>
      <w:r w:rsidRPr="007B1B41">
        <w:rPr>
          <w:snapToGrid w:val="0"/>
          <w:lang w:val="en-GB"/>
        </w:rPr>
        <w:t xml:space="preserve"> Authority Required (Streamlined) listing for GPB to be appropriate</w:t>
      </w:r>
      <w:r w:rsidR="00F14110">
        <w:rPr>
          <w:snapToGrid w:val="0"/>
          <w:lang w:val="en-GB"/>
        </w:rPr>
        <w:t xml:space="preserve">. </w:t>
      </w:r>
      <w:r w:rsidR="006F54C3">
        <w:rPr>
          <w:snapToGrid w:val="0"/>
          <w:lang w:val="en-GB"/>
        </w:rPr>
        <w:t>T</w:t>
      </w:r>
      <w:r w:rsidR="00B625C2">
        <w:rPr>
          <w:snapToGrid w:val="0"/>
          <w:lang w:val="en-GB"/>
        </w:rPr>
        <w:t xml:space="preserve">he PBAC </w:t>
      </w:r>
      <w:r w:rsidR="00F81DB5">
        <w:rPr>
          <w:snapToGrid w:val="0"/>
          <w:lang w:val="en-GB"/>
        </w:rPr>
        <w:t xml:space="preserve">considered </w:t>
      </w:r>
      <w:r w:rsidR="007B325F">
        <w:rPr>
          <w:snapToGrid w:val="0"/>
          <w:lang w:val="en-GB"/>
        </w:rPr>
        <w:t xml:space="preserve">the </w:t>
      </w:r>
      <w:r w:rsidR="00F81DB5">
        <w:rPr>
          <w:snapToGrid w:val="0"/>
          <w:lang w:val="en-GB"/>
        </w:rPr>
        <w:t xml:space="preserve">following with respect to the </w:t>
      </w:r>
      <w:r w:rsidR="006F54C3">
        <w:rPr>
          <w:snapToGrid w:val="0"/>
          <w:lang w:val="en-GB"/>
        </w:rPr>
        <w:t xml:space="preserve">PBS </w:t>
      </w:r>
      <w:r w:rsidR="00CC0CC7">
        <w:rPr>
          <w:snapToGrid w:val="0"/>
          <w:lang w:val="en-GB"/>
        </w:rPr>
        <w:t>listing</w:t>
      </w:r>
      <w:r w:rsidR="00F81DB5">
        <w:rPr>
          <w:snapToGrid w:val="0"/>
          <w:lang w:val="en-GB"/>
        </w:rPr>
        <w:t xml:space="preserve"> and restrictions</w:t>
      </w:r>
      <w:r w:rsidR="00CF0322">
        <w:rPr>
          <w:snapToGrid w:val="0"/>
          <w:lang w:val="en-GB"/>
        </w:rPr>
        <w:t>:</w:t>
      </w:r>
    </w:p>
    <w:p w14:paraId="5A31955E" w14:textId="224B4CF5" w:rsidR="00CF0322" w:rsidRPr="00CF0322" w:rsidRDefault="00F81DB5" w:rsidP="006A026A">
      <w:pPr>
        <w:pStyle w:val="ListParagraph"/>
        <w:numPr>
          <w:ilvl w:val="0"/>
          <w:numId w:val="15"/>
        </w:numPr>
        <w:jc w:val="both"/>
        <w:rPr>
          <w:bCs/>
          <w:lang w:val="en-GB"/>
        </w:rPr>
      </w:pPr>
      <w:r>
        <w:rPr>
          <w:bCs/>
          <w:lang w:val="en-GB"/>
        </w:rPr>
        <w:t>The listing should be</w:t>
      </w:r>
      <w:r w:rsidR="00B92075">
        <w:rPr>
          <w:bCs/>
          <w:lang w:val="en-GB"/>
        </w:rPr>
        <w:t xml:space="preserve"> </w:t>
      </w:r>
      <w:r w:rsidR="00CF0322" w:rsidRPr="00CF0322">
        <w:rPr>
          <w:bCs/>
          <w:lang w:val="en-GB"/>
        </w:rPr>
        <w:t>age agnostic</w:t>
      </w:r>
      <w:r w:rsidR="002817C5">
        <w:rPr>
          <w:bCs/>
          <w:lang w:val="en-GB"/>
        </w:rPr>
        <w:t>,</w:t>
      </w:r>
      <w:r w:rsidR="00CF0322" w:rsidRPr="00CF0322">
        <w:rPr>
          <w:bCs/>
          <w:lang w:val="en-GB"/>
        </w:rPr>
        <w:t xml:space="preserve"> which is consistent with the BTA listing</w:t>
      </w:r>
      <w:r w:rsidR="002817C5">
        <w:rPr>
          <w:bCs/>
          <w:lang w:val="en-GB"/>
        </w:rPr>
        <w:t>.</w:t>
      </w:r>
    </w:p>
    <w:p w14:paraId="3B3C14BC" w14:textId="3011FBD3" w:rsidR="00CF0322" w:rsidRPr="00CF0322" w:rsidRDefault="00263358" w:rsidP="006A026A">
      <w:pPr>
        <w:pStyle w:val="ListParagraph"/>
        <w:numPr>
          <w:ilvl w:val="0"/>
          <w:numId w:val="15"/>
        </w:numPr>
        <w:jc w:val="both"/>
        <w:rPr>
          <w:bCs/>
          <w:lang w:val="en-GB"/>
        </w:rPr>
      </w:pPr>
      <w:r>
        <w:rPr>
          <w:bCs/>
          <w:lang w:val="en-GB"/>
        </w:rPr>
        <w:t>The listing should a</w:t>
      </w:r>
      <w:r w:rsidR="00CF0322" w:rsidRPr="00CF0322">
        <w:rPr>
          <w:bCs/>
          <w:lang w:val="en-GB"/>
        </w:rPr>
        <w:t xml:space="preserve">llow general practitioner prescribing given the </w:t>
      </w:r>
      <w:r w:rsidR="00C031CE">
        <w:rPr>
          <w:bCs/>
          <w:lang w:val="en-GB"/>
        </w:rPr>
        <w:t xml:space="preserve">nature of the condition, </w:t>
      </w:r>
      <w:r w:rsidR="00CF0322" w:rsidRPr="00CF0322">
        <w:rPr>
          <w:bCs/>
          <w:lang w:val="en-GB"/>
        </w:rPr>
        <w:t>route of administration and risk-benefit profile of the product</w:t>
      </w:r>
      <w:r w:rsidR="002817C5">
        <w:rPr>
          <w:bCs/>
          <w:lang w:val="en-GB"/>
        </w:rPr>
        <w:t>.</w:t>
      </w:r>
    </w:p>
    <w:p w14:paraId="0AF4451F" w14:textId="4C48ED03" w:rsidR="00CF0322" w:rsidRPr="00CF0322" w:rsidRDefault="00263358" w:rsidP="006A026A">
      <w:pPr>
        <w:pStyle w:val="ListParagraph"/>
        <w:numPr>
          <w:ilvl w:val="0"/>
          <w:numId w:val="15"/>
        </w:numPr>
        <w:jc w:val="both"/>
        <w:rPr>
          <w:bCs/>
          <w:lang w:val="en-GB"/>
        </w:rPr>
      </w:pPr>
      <w:r>
        <w:rPr>
          <w:bCs/>
          <w:lang w:val="en-GB"/>
        </w:rPr>
        <w:t xml:space="preserve">There is no requirement </w:t>
      </w:r>
      <w:r w:rsidR="00921298">
        <w:rPr>
          <w:bCs/>
          <w:lang w:val="en-GB"/>
        </w:rPr>
        <w:t xml:space="preserve">for prescribers </w:t>
      </w:r>
      <w:r>
        <w:rPr>
          <w:bCs/>
          <w:lang w:val="en-GB"/>
        </w:rPr>
        <w:t xml:space="preserve">to </w:t>
      </w:r>
      <w:r w:rsidR="00156624">
        <w:rPr>
          <w:bCs/>
          <w:lang w:val="en-GB"/>
        </w:rPr>
        <w:t xml:space="preserve">provide </w:t>
      </w:r>
      <w:r w:rsidR="00156624" w:rsidRPr="00CF0322">
        <w:rPr>
          <w:bCs/>
          <w:lang w:val="en-GB"/>
        </w:rPr>
        <w:t xml:space="preserve">the characteristics </w:t>
      </w:r>
      <w:r w:rsidR="00B150E1">
        <w:rPr>
          <w:bCs/>
          <w:lang w:val="en-GB"/>
        </w:rPr>
        <w:t>associated</w:t>
      </w:r>
      <w:r w:rsidR="00156624">
        <w:rPr>
          <w:bCs/>
          <w:lang w:val="en-GB"/>
        </w:rPr>
        <w:t xml:space="preserve"> with the </w:t>
      </w:r>
      <w:r w:rsidR="00CF0322" w:rsidRPr="00CF0322">
        <w:rPr>
          <w:bCs/>
          <w:lang w:val="en-GB"/>
        </w:rPr>
        <w:t xml:space="preserve">diagnosis of severe </w:t>
      </w:r>
      <w:r w:rsidR="00BA6E24">
        <w:rPr>
          <w:bCs/>
          <w:lang w:val="en-GB"/>
        </w:rPr>
        <w:t>PAHH</w:t>
      </w:r>
      <w:r w:rsidR="00CF0322" w:rsidRPr="00CF0322">
        <w:rPr>
          <w:bCs/>
          <w:lang w:val="en-GB"/>
        </w:rPr>
        <w:t xml:space="preserve"> to allow </w:t>
      </w:r>
      <w:r w:rsidR="008D5B2D">
        <w:rPr>
          <w:bCs/>
          <w:lang w:val="en-GB"/>
        </w:rPr>
        <w:t xml:space="preserve">prescribers to apply </w:t>
      </w:r>
      <w:r w:rsidR="00CF0322" w:rsidRPr="00CF0322">
        <w:rPr>
          <w:bCs/>
          <w:lang w:val="en-GB"/>
        </w:rPr>
        <w:t>clinical judgement, consistent with the BTA listing</w:t>
      </w:r>
      <w:r w:rsidR="002817C5">
        <w:rPr>
          <w:bCs/>
          <w:lang w:val="en-GB"/>
        </w:rPr>
        <w:t>.</w:t>
      </w:r>
    </w:p>
    <w:p w14:paraId="6D0DE2AD" w14:textId="57DAC716" w:rsidR="00CF0322" w:rsidRPr="00CF0322" w:rsidRDefault="006F474A" w:rsidP="006A026A">
      <w:pPr>
        <w:pStyle w:val="ListParagraph"/>
        <w:numPr>
          <w:ilvl w:val="0"/>
          <w:numId w:val="15"/>
        </w:numPr>
        <w:jc w:val="both"/>
        <w:rPr>
          <w:bCs/>
          <w:lang w:val="en-GB"/>
        </w:rPr>
      </w:pPr>
      <w:r>
        <w:rPr>
          <w:bCs/>
          <w:lang w:val="en-GB"/>
        </w:rPr>
        <w:t xml:space="preserve">The listing should include </w:t>
      </w:r>
      <w:r w:rsidR="00CF0322" w:rsidRPr="00CF0322">
        <w:rPr>
          <w:bCs/>
          <w:lang w:val="en-GB"/>
        </w:rPr>
        <w:t xml:space="preserve">a caution for </w:t>
      </w:r>
      <w:r>
        <w:rPr>
          <w:bCs/>
          <w:lang w:val="en-GB"/>
        </w:rPr>
        <w:t>G</w:t>
      </w:r>
      <w:r w:rsidR="00C945E7">
        <w:rPr>
          <w:bCs/>
          <w:lang w:val="en-GB"/>
        </w:rPr>
        <w:t>PB</w:t>
      </w:r>
      <w:r w:rsidR="00CF0322" w:rsidRPr="00CF0322">
        <w:rPr>
          <w:bCs/>
          <w:lang w:val="en-GB"/>
        </w:rPr>
        <w:t xml:space="preserve"> that aligns with the TGA-approved PI</w:t>
      </w:r>
      <w:r w:rsidR="0084195C">
        <w:rPr>
          <w:bCs/>
          <w:lang w:val="en-GB"/>
        </w:rPr>
        <w:t>.</w:t>
      </w:r>
    </w:p>
    <w:p w14:paraId="4BC1C1B8" w14:textId="63E29931" w:rsidR="008A4623" w:rsidRPr="00CF0322" w:rsidRDefault="008A4623" w:rsidP="006A026A">
      <w:pPr>
        <w:pStyle w:val="ListParagraph"/>
        <w:numPr>
          <w:ilvl w:val="0"/>
          <w:numId w:val="15"/>
        </w:numPr>
        <w:jc w:val="both"/>
        <w:rPr>
          <w:bCs/>
          <w:lang w:val="en-GB"/>
        </w:rPr>
      </w:pPr>
      <w:r>
        <w:rPr>
          <w:bCs/>
          <w:lang w:val="en-GB"/>
        </w:rPr>
        <w:t>The listing should include</w:t>
      </w:r>
      <w:r w:rsidRPr="00CF0322">
        <w:rPr>
          <w:bCs/>
          <w:lang w:val="en-GB"/>
        </w:rPr>
        <w:t xml:space="preserve"> a clinical criterion to ensure that treatment with </w:t>
      </w:r>
      <w:r w:rsidR="003503C7">
        <w:rPr>
          <w:bCs/>
          <w:lang w:val="en-GB"/>
        </w:rPr>
        <w:t>GPB</w:t>
      </w:r>
      <w:r w:rsidRPr="00CF0322">
        <w:rPr>
          <w:bCs/>
          <w:lang w:val="en-GB"/>
        </w:rPr>
        <w:t xml:space="preserve"> is the sole PBS-subsidised therapy for this condition</w:t>
      </w:r>
      <w:r>
        <w:rPr>
          <w:bCs/>
          <w:lang w:val="en-GB"/>
        </w:rPr>
        <w:t xml:space="preserve"> to prevent </w:t>
      </w:r>
      <w:r w:rsidRPr="00CF0322">
        <w:rPr>
          <w:bCs/>
          <w:lang w:val="en-GB"/>
        </w:rPr>
        <w:t>concomitant use of GPB and BTA</w:t>
      </w:r>
      <w:r w:rsidR="006C2242">
        <w:rPr>
          <w:bCs/>
          <w:lang w:val="en-GB"/>
        </w:rPr>
        <w:t xml:space="preserve">, </w:t>
      </w:r>
      <w:r w:rsidR="00C031CE">
        <w:rPr>
          <w:bCs/>
          <w:lang w:val="en-GB"/>
        </w:rPr>
        <w:t xml:space="preserve">whilst </w:t>
      </w:r>
      <w:r w:rsidR="006C2242">
        <w:rPr>
          <w:bCs/>
          <w:lang w:val="en-GB"/>
        </w:rPr>
        <w:t xml:space="preserve">noting that </w:t>
      </w:r>
      <w:r w:rsidR="006C2242" w:rsidRPr="008A7A84">
        <w:rPr>
          <w:bCs/>
        </w:rPr>
        <w:t xml:space="preserve">switching between these agents is clinically appropriate and </w:t>
      </w:r>
      <w:r w:rsidR="006C2242">
        <w:rPr>
          <w:bCs/>
          <w:lang w:val="en-GB"/>
        </w:rPr>
        <w:t>should not be prohibited</w:t>
      </w:r>
      <w:r>
        <w:rPr>
          <w:bCs/>
          <w:lang w:val="en-GB"/>
        </w:rPr>
        <w:t xml:space="preserve">. </w:t>
      </w:r>
      <w:r w:rsidR="0056415B">
        <w:rPr>
          <w:bCs/>
          <w:lang w:val="en-GB"/>
        </w:rPr>
        <w:t>The PBAC advised this</w:t>
      </w:r>
      <w:r w:rsidR="00DD7A59">
        <w:rPr>
          <w:bCs/>
          <w:lang w:val="en-GB"/>
        </w:rPr>
        <w:t xml:space="preserve"> criterion</w:t>
      </w:r>
      <w:r w:rsidR="0056415B">
        <w:rPr>
          <w:bCs/>
          <w:lang w:val="en-GB"/>
        </w:rPr>
        <w:t xml:space="preserve"> </w:t>
      </w:r>
      <w:r w:rsidR="00670627">
        <w:rPr>
          <w:bCs/>
          <w:lang w:val="en-GB"/>
        </w:rPr>
        <w:t>should also flow on to the BTA listing</w:t>
      </w:r>
      <w:r w:rsidR="00612CD3">
        <w:rPr>
          <w:bCs/>
          <w:lang w:val="en-GB"/>
        </w:rPr>
        <w:t xml:space="preserve"> for PAHH</w:t>
      </w:r>
      <w:r w:rsidR="00670627">
        <w:rPr>
          <w:bCs/>
          <w:lang w:val="en-GB"/>
        </w:rPr>
        <w:t>.</w:t>
      </w:r>
    </w:p>
    <w:p w14:paraId="4D819433" w14:textId="049D1031" w:rsidR="00272C10" w:rsidRDefault="00532749" w:rsidP="006A026A">
      <w:pPr>
        <w:pStyle w:val="ListParagraph"/>
        <w:numPr>
          <w:ilvl w:val="0"/>
          <w:numId w:val="15"/>
        </w:numPr>
        <w:jc w:val="both"/>
        <w:rPr>
          <w:bCs/>
          <w:lang w:val="en-GB"/>
        </w:rPr>
      </w:pPr>
      <w:r>
        <w:rPr>
          <w:bCs/>
          <w:lang w:val="en-GB"/>
        </w:rPr>
        <w:t xml:space="preserve">Amend the </w:t>
      </w:r>
      <w:r w:rsidR="00272C10" w:rsidRPr="00272C10">
        <w:rPr>
          <w:bCs/>
          <w:lang w:val="en-GB"/>
        </w:rPr>
        <w:t>clinical criteria to require that patients have previously failed or are intolerant to topical aluminium chloride; rather than topical aluminium chloride hexahydrate (</w:t>
      </w:r>
      <w:proofErr w:type="spellStart"/>
      <w:r w:rsidR="00272C10" w:rsidRPr="00272C10">
        <w:rPr>
          <w:bCs/>
          <w:lang w:val="en-GB"/>
        </w:rPr>
        <w:t>Driclor</w:t>
      </w:r>
      <w:proofErr w:type="spellEnd"/>
      <w:r w:rsidR="00272C10" w:rsidRPr="00272C10">
        <w:rPr>
          <w:bCs/>
          <w:lang w:val="en-GB"/>
        </w:rPr>
        <w:t>) as per the B</w:t>
      </w:r>
      <w:r w:rsidR="007E1871">
        <w:rPr>
          <w:bCs/>
          <w:lang w:val="en-GB"/>
        </w:rPr>
        <w:t>TA</w:t>
      </w:r>
      <w:r w:rsidR="00272C10" w:rsidRPr="00272C10">
        <w:rPr>
          <w:bCs/>
          <w:lang w:val="en-GB"/>
        </w:rPr>
        <w:t xml:space="preserve"> listing, as this item </w:t>
      </w:r>
      <w:r w:rsidR="00EA5794">
        <w:rPr>
          <w:bCs/>
          <w:lang w:val="en-GB"/>
        </w:rPr>
        <w:t>has been</w:t>
      </w:r>
      <w:r w:rsidR="00272C10" w:rsidRPr="00272C10">
        <w:rPr>
          <w:bCs/>
          <w:lang w:val="en-GB"/>
        </w:rPr>
        <w:t xml:space="preserve"> discontinued from the Australian market</w:t>
      </w:r>
      <w:r w:rsidR="00CD3A10">
        <w:rPr>
          <w:bCs/>
          <w:lang w:val="en-GB"/>
        </w:rPr>
        <w:t>, and flow</w:t>
      </w:r>
      <w:r w:rsidR="00A70206">
        <w:rPr>
          <w:bCs/>
          <w:lang w:val="en-GB"/>
        </w:rPr>
        <w:t xml:space="preserve"> on</w:t>
      </w:r>
      <w:r w:rsidR="00CD3A10">
        <w:rPr>
          <w:bCs/>
          <w:lang w:val="en-GB"/>
        </w:rPr>
        <w:t xml:space="preserve"> this change to the </w:t>
      </w:r>
      <w:r w:rsidR="00857C7C">
        <w:rPr>
          <w:bCs/>
          <w:lang w:val="en-GB"/>
        </w:rPr>
        <w:t xml:space="preserve">BTA </w:t>
      </w:r>
      <w:r w:rsidR="00F54DAD">
        <w:rPr>
          <w:bCs/>
          <w:lang w:val="en-GB"/>
        </w:rPr>
        <w:t xml:space="preserve">listing </w:t>
      </w:r>
      <w:r w:rsidR="007E1F01">
        <w:rPr>
          <w:bCs/>
          <w:lang w:val="en-GB"/>
        </w:rPr>
        <w:t>for PAHH</w:t>
      </w:r>
      <w:r w:rsidR="00272C10" w:rsidRPr="00272C10">
        <w:rPr>
          <w:bCs/>
          <w:lang w:val="en-GB"/>
        </w:rPr>
        <w:t xml:space="preserve">. </w:t>
      </w:r>
    </w:p>
    <w:p w14:paraId="7F4BADA6" w14:textId="53B2C84F" w:rsidR="00A0756F" w:rsidRPr="00206E4D" w:rsidRDefault="00206E4D" w:rsidP="002721B7">
      <w:pPr>
        <w:pStyle w:val="3-BodyText"/>
        <w:rPr>
          <w:snapToGrid w:val="0"/>
        </w:rPr>
      </w:pPr>
      <w:r w:rsidRPr="00206E4D">
        <w:rPr>
          <w:snapToGrid w:val="0"/>
        </w:rPr>
        <w:t>The</w:t>
      </w:r>
      <w:r w:rsidR="00163692">
        <w:rPr>
          <w:snapToGrid w:val="0"/>
        </w:rPr>
        <w:t xml:space="preserve"> submission </w:t>
      </w:r>
      <w:r w:rsidR="00242724">
        <w:rPr>
          <w:snapToGrid w:val="0"/>
        </w:rPr>
        <w:t xml:space="preserve">nominated BTA as the main comparator and </w:t>
      </w:r>
      <w:r w:rsidR="00533C7A" w:rsidRPr="00465EE4">
        <w:t xml:space="preserve">placebo as a secondary </w:t>
      </w:r>
      <w:r w:rsidR="00533C7A">
        <w:t>comparator. The</w:t>
      </w:r>
      <w:r w:rsidRPr="00206E4D">
        <w:rPr>
          <w:snapToGrid w:val="0"/>
        </w:rPr>
        <w:t xml:space="preserve"> PBAC accepted BTA as the </w:t>
      </w:r>
      <w:r w:rsidR="007666A6">
        <w:rPr>
          <w:snapToGrid w:val="0"/>
        </w:rPr>
        <w:t>main</w:t>
      </w:r>
      <w:r w:rsidR="007666A6" w:rsidRPr="00206E4D">
        <w:rPr>
          <w:snapToGrid w:val="0"/>
        </w:rPr>
        <w:t xml:space="preserve"> </w:t>
      </w:r>
      <w:r w:rsidRPr="00206E4D">
        <w:rPr>
          <w:snapToGrid w:val="0"/>
        </w:rPr>
        <w:t xml:space="preserve">comparator. The PBAC acknowledged the proposed restriction and treatment algorithm previously accepted for BTA for PAHH, however considered the relative ease of access to GPB through general practitioners and typical out of pocket cost to patients for high strength aluminium-based treatments would likely result in GPB directly replacing these in practice. Therefore, the PBAC considered high strength topical aluminium-based treatments to be </w:t>
      </w:r>
      <w:r w:rsidR="008003CA">
        <w:rPr>
          <w:snapToGrid w:val="0"/>
        </w:rPr>
        <w:t>an additional relevant comparator</w:t>
      </w:r>
      <w:r w:rsidR="00BA41E0">
        <w:rPr>
          <w:snapToGrid w:val="0"/>
        </w:rPr>
        <w:t xml:space="preserve">, </w:t>
      </w:r>
      <w:r w:rsidR="00BA41E0" w:rsidRPr="00465EE4">
        <w:rPr>
          <w:rFonts w:eastAsia="Calibri"/>
        </w:rPr>
        <w:t xml:space="preserve">however </w:t>
      </w:r>
      <w:r w:rsidR="002456E2">
        <w:rPr>
          <w:rFonts w:eastAsia="Calibri"/>
        </w:rPr>
        <w:t xml:space="preserve">acknowledged </w:t>
      </w:r>
      <w:r w:rsidR="00A0756F" w:rsidRPr="00231A9C">
        <w:rPr>
          <w:snapToGrid w:val="0"/>
        </w:rPr>
        <w:t xml:space="preserve">the </w:t>
      </w:r>
      <w:r w:rsidR="0061553D">
        <w:rPr>
          <w:snapToGrid w:val="0"/>
        </w:rPr>
        <w:t>limited available</w:t>
      </w:r>
      <w:r w:rsidR="00A0756F" w:rsidRPr="00231A9C">
        <w:rPr>
          <w:snapToGrid w:val="0"/>
        </w:rPr>
        <w:t xml:space="preserve"> clinical evidence </w:t>
      </w:r>
      <w:r w:rsidR="004F7A3D">
        <w:rPr>
          <w:snapToGrid w:val="0"/>
        </w:rPr>
        <w:t xml:space="preserve">for these products </w:t>
      </w:r>
      <w:r w:rsidR="002642E3">
        <w:rPr>
          <w:snapToGrid w:val="0"/>
        </w:rPr>
        <w:t xml:space="preserve">would </w:t>
      </w:r>
      <w:r w:rsidR="00A0756F" w:rsidRPr="00231A9C">
        <w:rPr>
          <w:snapToGrid w:val="0"/>
        </w:rPr>
        <w:t xml:space="preserve">prevent a reliable comparison </w:t>
      </w:r>
      <w:r w:rsidR="006A02C2">
        <w:rPr>
          <w:snapToGrid w:val="0"/>
        </w:rPr>
        <w:t>with</w:t>
      </w:r>
      <w:r w:rsidR="00A0756F" w:rsidRPr="00231A9C">
        <w:rPr>
          <w:snapToGrid w:val="0"/>
        </w:rPr>
        <w:t xml:space="preserve"> </w:t>
      </w:r>
      <w:r w:rsidR="0061553D">
        <w:rPr>
          <w:snapToGrid w:val="0"/>
        </w:rPr>
        <w:t>GPB</w:t>
      </w:r>
      <w:r w:rsidR="00350526">
        <w:rPr>
          <w:snapToGrid w:val="0"/>
        </w:rPr>
        <w:t xml:space="preserve"> (</w:t>
      </w:r>
      <w:r w:rsidR="00BF3A4F">
        <w:rPr>
          <w:snapToGrid w:val="0"/>
        </w:rPr>
        <w:t xml:space="preserve">paragraph </w:t>
      </w:r>
      <w:r w:rsidR="00BF3A4F">
        <w:rPr>
          <w:snapToGrid w:val="0"/>
        </w:rPr>
        <w:fldChar w:fldCharType="begin" w:fldLock="1"/>
      </w:r>
      <w:r w:rsidR="00BF3A4F">
        <w:rPr>
          <w:snapToGrid w:val="0"/>
        </w:rPr>
        <w:instrText xml:space="preserve"> REF _Ref215167840 \r \h </w:instrText>
      </w:r>
      <w:r w:rsidR="00BF3A4F">
        <w:rPr>
          <w:snapToGrid w:val="0"/>
        </w:rPr>
      </w:r>
      <w:r w:rsidR="00BF3A4F">
        <w:rPr>
          <w:snapToGrid w:val="0"/>
        </w:rPr>
        <w:fldChar w:fldCharType="separate"/>
      </w:r>
      <w:r w:rsidR="004D6DEB">
        <w:rPr>
          <w:snapToGrid w:val="0"/>
        </w:rPr>
        <w:t>6.23</w:t>
      </w:r>
      <w:r w:rsidR="00BF3A4F">
        <w:rPr>
          <w:snapToGrid w:val="0"/>
        </w:rPr>
        <w:fldChar w:fldCharType="end"/>
      </w:r>
      <w:r w:rsidR="00BF3A4F">
        <w:rPr>
          <w:snapToGrid w:val="0"/>
        </w:rPr>
        <w:t>)</w:t>
      </w:r>
      <w:r w:rsidR="00A0756F" w:rsidRPr="00231A9C">
        <w:rPr>
          <w:snapToGrid w:val="0"/>
        </w:rPr>
        <w:t>.</w:t>
      </w:r>
    </w:p>
    <w:p w14:paraId="542B7EB7" w14:textId="75045FE3" w:rsidR="00914CF4" w:rsidRPr="00BD7720" w:rsidRDefault="00F33D35" w:rsidP="002721B7">
      <w:pPr>
        <w:pStyle w:val="3-BodyText"/>
        <w:rPr>
          <w:snapToGrid w:val="0"/>
        </w:rPr>
      </w:pPr>
      <w:r w:rsidRPr="00F33D35">
        <w:t>T</w:t>
      </w:r>
      <w:r w:rsidR="00955AE3" w:rsidRPr="00F33D35">
        <w:t>he</w:t>
      </w:r>
      <w:r w:rsidR="00955AE3">
        <w:t xml:space="preserve"> PBAC noted that t</w:t>
      </w:r>
      <w:r w:rsidR="00955AE3" w:rsidRPr="002F54FB">
        <w:t xml:space="preserve">o support the clinical claim </w:t>
      </w:r>
      <w:r w:rsidR="00955AE3">
        <w:t>for</w:t>
      </w:r>
      <w:r w:rsidR="00955AE3" w:rsidRPr="002F54FB">
        <w:t xml:space="preserve"> </w:t>
      </w:r>
      <w:r w:rsidR="00955AE3">
        <w:t>GPB</w:t>
      </w:r>
      <w:r w:rsidR="00955AE3" w:rsidRPr="002F54FB">
        <w:t xml:space="preserve"> versus </w:t>
      </w:r>
      <w:r w:rsidR="00955AE3">
        <w:t>BTA</w:t>
      </w:r>
      <w:r w:rsidR="00955AE3" w:rsidRPr="002F54FB">
        <w:t xml:space="preserve">, the submission presented </w:t>
      </w:r>
      <w:r w:rsidR="00C76570" w:rsidRPr="00BD7720">
        <w:t>one randomised, placebo-controlled trial of topical GPB in adults with PAHH (Hyp1-18/2016)</w:t>
      </w:r>
      <w:r w:rsidR="00531C98" w:rsidRPr="00BD7720">
        <w:t xml:space="preserve"> and </w:t>
      </w:r>
      <w:r w:rsidR="00637490" w:rsidRPr="00BD7720">
        <w:t xml:space="preserve">two </w:t>
      </w:r>
      <w:r w:rsidR="00C76570" w:rsidRPr="00BD7720">
        <w:t>randomised, placebo-controlled trials</w:t>
      </w:r>
      <w:r w:rsidR="00637490" w:rsidRPr="00BD7720">
        <w:t xml:space="preserve"> of BTA</w:t>
      </w:r>
      <w:r w:rsidR="00C76570" w:rsidRPr="00BD7720">
        <w:t>.</w:t>
      </w:r>
      <w:r w:rsidR="003416A2" w:rsidRPr="00BD7720">
        <w:t xml:space="preserve"> Two additional relevant </w:t>
      </w:r>
      <w:r w:rsidR="000B08F0" w:rsidRPr="00BD7720">
        <w:t xml:space="preserve">randomised </w:t>
      </w:r>
      <w:r w:rsidR="009A39BF" w:rsidRPr="00BD7720">
        <w:t>BTA</w:t>
      </w:r>
      <w:r w:rsidR="000B08F0" w:rsidRPr="00BD7720">
        <w:t xml:space="preserve"> trials were identified during the evaluation (paragraph</w:t>
      </w:r>
      <w:r w:rsidR="00685082" w:rsidRPr="00BD7720">
        <w:t xml:space="preserve">s </w:t>
      </w:r>
      <w:r w:rsidR="00685082" w:rsidRPr="00BD7720">
        <w:fldChar w:fldCharType="begin" w:fldLock="1"/>
      </w:r>
      <w:r w:rsidR="00685082" w:rsidRPr="00BD7720">
        <w:instrText xml:space="preserve"> REF _Ref215169229 \r \h </w:instrText>
      </w:r>
      <w:r w:rsidR="00685082" w:rsidRPr="00BD7720">
        <w:fldChar w:fldCharType="separate"/>
      </w:r>
      <w:r w:rsidR="004D6DEB">
        <w:t>6.7</w:t>
      </w:r>
      <w:r w:rsidR="00685082" w:rsidRPr="00BD7720">
        <w:fldChar w:fldCharType="end"/>
      </w:r>
      <w:r w:rsidR="00685082" w:rsidRPr="00BD7720">
        <w:t xml:space="preserve"> - </w:t>
      </w:r>
      <w:r w:rsidR="00685082" w:rsidRPr="00BD7720">
        <w:fldChar w:fldCharType="begin" w:fldLock="1"/>
      </w:r>
      <w:r w:rsidR="00685082" w:rsidRPr="00BD7720">
        <w:instrText xml:space="preserve"> REF _Ref215169241 \r \h </w:instrText>
      </w:r>
      <w:r w:rsidR="00685082" w:rsidRPr="00BD7720">
        <w:fldChar w:fldCharType="separate"/>
      </w:r>
      <w:r w:rsidR="004D6DEB">
        <w:t>6.10</w:t>
      </w:r>
      <w:r w:rsidR="00685082" w:rsidRPr="00BD7720">
        <w:fldChar w:fldCharType="end"/>
      </w:r>
      <w:r w:rsidR="00685082" w:rsidRPr="00BD7720">
        <w:t>)</w:t>
      </w:r>
      <w:r w:rsidR="00BD7720" w:rsidRPr="00BD7720">
        <w:t>.</w:t>
      </w:r>
      <w:r w:rsidR="000B08F0" w:rsidRPr="00BD7720">
        <w:t xml:space="preserve"> </w:t>
      </w:r>
      <w:r w:rsidR="00C46041" w:rsidRPr="00BD7720">
        <w:rPr>
          <w:rFonts w:eastAsia="Calibri"/>
        </w:rPr>
        <w:t>The</w:t>
      </w:r>
      <w:r w:rsidR="00E00A22" w:rsidRPr="00BD7720">
        <w:rPr>
          <w:rFonts w:eastAsia="Calibri"/>
        </w:rPr>
        <w:t xml:space="preserve"> Committee </w:t>
      </w:r>
      <w:r w:rsidR="00843E6B" w:rsidRPr="00BD7720">
        <w:rPr>
          <w:rFonts w:eastAsia="Calibri"/>
        </w:rPr>
        <w:t>noted there</w:t>
      </w:r>
      <w:r w:rsidR="009353E2" w:rsidRPr="00BD7720">
        <w:rPr>
          <w:rFonts w:eastAsia="Calibri"/>
        </w:rPr>
        <w:t xml:space="preserve"> </w:t>
      </w:r>
      <w:r w:rsidR="00C46041" w:rsidRPr="00BD7720">
        <w:rPr>
          <w:rFonts w:eastAsia="Calibri"/>
        </w:rPr>
        <w:t>were</w:t>
      </w:r>
      <w:r w:rsidR="00D96AA2" w:rsidRPr="00BD7720">
        <w:rPr>
          <w:rFonts w:eastAsia="Calibri"/>
        </w:rPr>
        <w:t xml:space="preserve"> </w:t>
      </w:r>
      <w:r w:rsidR="00C46041" w:rsidRPr="00BD7720">
        <w:rPr>
          <w:rFonts w:eastAsia="Calibri"/>
        </w:rPr>
        <w:t xml:space="preserve">substantial transitivity issues between the GPB and BTA trials that </w:t>
      </w:r>
      <w:r w:rsidR="0079440D">
        <w:t>made</w:t>
      </w:r>
      <w:r w:rsidR="00C46041" w:rsidRPr="00BD7720">
        <w:rPr>
          <w:rFonts w:eastAsia="Calibri"/>
        </w:rPr>
        <w:t xml:space="preserve"> a formal indirect treatment comparison of these products problematic.</w:t>
      </w:r>
      <w:r w:rsidR="008D2CFE" w:rsidRPr="00BD7720">
        <w:rPr>
          <w:rFonts w:eastAsia="Calibri"/>
        </w:rPr>
        <w:t xml:space="preserve"> </w:t>
      </w:r>
      <w:r w:rsidR="00843E6B">
        <w:t>However</w:t>
      </w:r>
      <w:r w:rsidR="00843E6B" w:rsidRPr="00BD7720">
        <w:rPr>
          <w:rFonts w:eastAsia="Calibri"/>
        </w:rPr>
        <w:t xml:space="preserve">, these issues notwithstanding, </w:t>
      </w:r>
      <w:r w:rsidR="0010606C" w:rsidRPr="00BD7720">
        <w:rPr>
          <w:rFonts w:eastAsia="Calibri"/>
        </w:rPr>
        <w:t>t</w:t>
      </w:r>
      <w:r w:rsidR="00663091" w:rsidRPr="00BD7720">
        <w:rPr>
          <w:rFonts w:eastAsia="Calibri"/>
        </w:rPr>
        <w:t xml:space="preserve">he data showed that GPB consistently achieved poorer outcomes than BTA, including for the key outcomes of change in sweat production, the proportion of patients achieving a 50% or 75% reduction in sweat production, and subjective measures of disease impact. The </w:t>
      </w:r>
      <w:r w:rsidR="007141B7" w:rsidRPr="00BD7720">
        <w:rPr>
          <w:rFonts w:eastAsia="Calibri"/>
        </w:rPr>
        <w:t>PBAC</w:t>
      </w:r>
      <w:r w:rsidR="00663091" w:rsidRPr="00BD7720">
        <w:rPr>
          <w:rFonts w:eastAsia="Calibri"/>
        </w:rPr>
        <w:t xml:space="preserve"> considered that</w:t>
      </w:r>
      <w:r w:rsidR="00C031CE">
        <w:rPr>
          <w:rFonts w:eastAsia="Calibri"/>
        </w:rPr>
        <w:t>,</w:t>
      </w:r>
      <w:r w:rsidR="00663091" w:rsidRPr="00BD7720">
        <w:rPr>
          <w:rFonts w:eastAsia="Calibri"/>
        </w:rPr>
        <w:t xml:space="preserve"> whilst it is difficult to draw definitive conclusions on the</w:t>
      </w:r>
      <w:r w:rsidR="00843E6B" w:rsidRPr="00BD7720">
        <w:rPr>
          <w:rFonts w:eastAsia="Calibri"/>
        </w:rPr>
        <w:t xml:space="preserve"> likely</w:t>
      </w:r>
      <w:r w:rsidR="00663091" w:rsidRPr="00BD7720">
        <w:rPr>
          <w:rFonts w:eastAsia="Calibri"/>
        </w:rPr>
        <w:t xml:space="preserve"> magnitude of difference, the consistently lower response rates associated with GPB strongly suggest</w:t>
      </w:r>
      <w:r w:rsidR="0010606C" w:rsidRPr="00BD7720">
        <w:rPr>
          <w:rFonts w:eastAsia="Calibri"/>
        </w:rPr>
        <w:t>ed</w:t>
      </w:r>
      <w:r w:rsidR="00663091" w:rsidRPr="00BD7720">
        <w:rPr>
          <w:rFonts w:eastAsia="Calibri"/>
        </w:rPr>
        <w:t xml:space="preserve"> </w:t>
      </w:r>
      <w:r w:rsidR="004C77CB">
        <w:t>it</w:t>
      </w:r>
      <w:r w:rsidR="00663091" w:rsidRPr="00BD7720">
        <w:rPr>
          <w:rFonts w:eastAsia="Calibri"/>
        </w:rPr>
        <w:t xml:space="preserve"> is inferior to BTA</w:t>
      </w:r>
      <w:r w:rsidR="00642ADB">
        <w:t>.</w:t>
      </w:r>
      <w:r w:rsidR="004C77CB" w:rsidRPr="00BD7720">
        <w:rPr>
          <w:rFonts w:eastAsia="Calibri"/>
        </w:rPr>
        <w:t xml:space="preserve"> </w:t>
      </w:r>
    </w:p>
    <w:p w14:paraId="40533F0B" w14:textId="0B29DAFE" w:rsidR="00FC6E99" w:rsidRPr="00465EE4" w:rsidRDefault="00FC6E99" w:rsidP="002721B7">
      <w:pPr>
        <w:pStyle w:val="3-BodyText"/>
      </w:pPr>
      <w:r w:rsidRPr="00465EE4">
        <w:t xml:space="preserve">The submission claimed that </w:t>
      </w:r>
      <w:r w:rsidR="00FC7C28">
        <w:t xml:space="preserve">GPB </w:t>
      </w:r>
      <w:r w:rsidRPr="00465EE4">
        <w:t xml:space="preserve">was superior in terms of safety and patient acceptability compared to BTA. The </w:t>
      </w:r>
      <w:r w:rsidR="00920219">
        <w:t xml:space="preserve">PBAC </w:t>
      </w:r>
      <w:r w:rsidRPr="00465EE4">
        <w:t xml:space="preserve">considered this claim was not adequately supported because, although adverse events in </w:t>
      </w:r>
      <w:r w:rsidR="00CC0EE0">
        <w:t xml:space="preserve">the </w:t>
      </w:r>
      <w:r w:rsidRPr="00465EE4">
        <w:t>trials were mild and infrequent, GPB has been associated with severe adverse events in clinical use</w:t>
      </w:r>
      <w:r w:rsidR="00642ADB">
        <w:t xml:space="preserve"> that are consistent with the known </w:t>
      </w:r>
      <w:r w:rsidR="00647C6A">
        <w:t>effects of systemic exposure to anticholinergic</w:t>
      </w:r>
      <w:r w:rsidR="005B6CD8">
        <w:t xml:space="preserve"> agents</w:t>
      </w:r>
      <w:r w:rsidRPr="00465EE4">
        <w:t xml:space="preserve">. </w:t>
      </w:r>
      <w:r w:rsidR="00920219">
        <w:t xml:space="preserve">The PBAC considered </w:t>
      </w:r>
      <w:r w:rsidRPr="00465EE4">
        <w:t xml:space="preserve">GPB may be more acceptable to some patients than treatment with BTA </w:t>
      </w:r>
      <w:r w:rsidR="00484A27">
        <w:t>given its administration</w:t>
      </w:r>
      <w:r w:rsidRPr="00465EE4">
        <w:t>.</w:t>
      </w:r>
    </w:p>
    <w:p w14:paraId="573181BE" w14:textId="6B8249C8" w:rsidR="000D2F36" w:rsidRDefault="000D2F36" w:rsidP="002721B7">
      <w:pPr>
        <w:pStyle w:val="3-BodyText"/>
        <w:rPr>
          <w:snapToGrid w:val="0"/>
        </w:rPr>
      </w:pPr>
      <w:r w:rsidRPr="001B1361">
        <w:rPr>
          <w:snapToGrid w:val="0"/>
        </w:rPr>
        <w:t xml:space="preserve">The PBAC considered the submission’s claim that GPB was superior in terms of efficacy </w:t>
      </w:r>
      <w:r w:rsidR="00A22E43" w:rsidRPr="001B1361">
        <w:rPr>
          <w:snapToGrid w:val="0"/>
        </w:rPr>
        <w:t>to placebo (no treatment) was reasonable</w:t>
      </w:r>
      <w:r w:rsidR="00C031CE">
        <w:rPr>
          <w:snapToGrid w:val="0"/>
        </w:rPr>
        <w:t>,</w:t>
      </w:r>
      <w:r w:rsidR="00A22E43" w:rsidRPr="001B1361">
        <w:rPr>
          <w:snapToGrid w:val="0"/>
        </w:rPr>
        <w:t xml:space="preserve"> </w:t>
      </w:r>
      <w:r w:rsidR="00CA329E" w:rsidRPr="001B1361">
        <w:rPr>
          <w:rFonts w:eastAsia="Calibri"/>
        </w:rPr>
        <w:t xml:space="preserve">but the </w:t>
      </w:r>
      <w:r w:rsidR="00B25A70">
        <w:rPr>
          <w:rFonts w:eastAsia="Calibri"/>
        </w:rPr>
        <w:t>magnitude of benefit</w:t>
      </w:r>
      <w:r w:rsidR="00CA329E" w:rsidRPr="001B1361">
        <w:rPr>
          <w:rFonts w:eastAsia="Calibri"/>
        </w:rPr>
        <w:t xml:space="preserve"> is uncertain</w:t>
      </w:r>
      <w:r w:rsidR="00BE5938" w:rsidRPr="00BE5938">
        <w:rPr>
          <w:rFonts w:eastAsia="Calibri"/>
        </w:rPr>
        <w:t>.</w:t>
      </w:r>
      <w:r w:rsidR="00813A12">
        <w:rPr>
          <w:rFonts w:eastAsia="Calibri"/>
        </w:rPr>
        <w:t xml:space="preserve"> </w:t>
      </w:r>
      <w:r w:rsidR="001B1361">
        <w:rPr>
          <w:rFonts w:eastAsia="Calibri"/>
        </w:rPr>
        <w:t xml:space="preserve">The PBAC considered the submission’s claim that GBP was </w:t>
      </w:r>
      <w:r w:rsidRPr="001B1361">
        <w:rPr>
          <w:snapToGrid w:val="0"/>
        </w:rPr>
        <w:t xml:space="preserve">non-inferior to placebo (no treatment) in terms of safety </w:t>
      </w:r>
      <w:r w:rsidR="005224B1">
        <w:rPr>
          <w:snapToGrid w:val="0"/>
        </w:rPr>
        <w:t>was</w:t>
      </w:r>
      <w:r w:rsidR="005224B1" w:rsidRPr="001B1361">
        <w:rPr>
          <w:snapToGrid w:val="0"/>
        </w:rPr>
        <w:t xml:space="preserve"> </w:t>
      </w:r>
      <w:r w:rsidRPr="001B1361">
        <w:rPr>
          <w:snapToGrid w:val="0"/>
        </w:rPr>
        <w:t>not adequately supported</w:t>
      </w:r>
      <w:r w:rsidR="00E940FB">
        <w:rPr>
          <w:snapToGrid w:val="0"/>
        </w:rPr>
        <w:t xml:space="preserve"> </w:t>
      </w:r>
      <w:r w:rsidR="00E940FB" w:rsidRPr="00465EE4">
        <w:rPr>
          <w:rFonts w:eastAsia="Calibri"/>
        </w:rPr>
        <w:t xml:space="preserve">because adverse events associated with systemic anti-cholinergic action were </w:t>
      </w:r>
      <w:r w:rsidR="00C031CE">
        <w:rPr>
          <w:rFonts w:eastAsia="Calibri"/>
        </w:rPr>
        <w:t>not un</w:t>
      </w:r>
      <w:r w:rsidR="00E940FB" w:rsidRPr="00465EE4">
        <w:rPr>
          <w:rFonts w:eastAsia="Calibri"/>
        </w:rPr>
        <w:t xml:space="preserve">common during treatment with </w:t>
      </w:r>
      <w:r w:rsidR="00BA4178">
        <w:rPr>
          <w:rFonts w:eastAsia="Calibri"/>
        </w:rPr>
        <w:t>GPB</w:t>
      </w:r>
      <w:r w:rsidR="00E940FB" w:rsidRPr="00465EE4">
        <w:rPr>
          <w:rFonts w:eastAsia="Calibri"/>
        </w:rPr>
        <w:t xml:space="preserve">, and some of the reasonably anticipated adverse effects of </w:t>
      </w:r>
      <w:r w:rsidR="00EE7043">
        <w:rPr>
          <w:rFonts w:eastAsia="Calibri"/>
        </w:rPr>
        <w:t>GPB</w:t>
      </w:r>
      <w:r w:rsidR="00EE7043" w:rsidRPr="00465EE4">
        <w:rPr>
          <w:rFonts w:eastAsia="Calibri"/>
        </w:rPr>
        <w:t xml:space="preserve"> </w:t>
      </w:r>
      <w:r w:rsidR="00E940FB" w:rsidRPr="00465EE4">
        <w:rPr>
          <w:rFonts w:eastAsia="Calibri"/>
        </w:rPr>
        <w:t xml:space="preserve">in practice may be </w:t>
      </w:r>
      <w:r w:rsidR="00E940FB" w:rsidRPr="00A335F8">
        <w:rPr>
          <w:rFonts w:eastAsia="Calibri"/>
        </w:rPr>
        <w:t>severe, even if not readily observed in the clinical trials</w:t>
      </w:r>
      <w:r w:rsidRPr="001B1361">
        <w:rPr>
          <w:snapToGrid w:val="0"/>
        </w:rPr>
        <w:t xml:space="preserve">. </w:t>
      </w:r>
    </w:p>
    <w:p w14:paraId="084C1C75" w14:textId="70E8E25A" w:rsidR="00206E4D" w:rsidRPr="00206E4D" w:rsidRDefault="00206E4D" w:rsidP="002721B7">
      <w:pPr>
        <w:pStyle w:val="3-BodyText"/>
        <w:rPr>
          <w:snapToGrid w:val="0"/>
        </w:rPr>
      </w:pPr>
      <w:bookmarkStart w:id="76" w:name="_Ref215141293"/>
      <w:r w:rsidRPr="00206E4D">
        <w:rPr>
          <w:snapToGrid w:val="0"/>
        </w:rPr>
        <w:t>The PBAC noted the submission relied on the results of</w:t>
      </w:r>
      <w:r w:rsidR="008F4A89">
        <w:rPr>
          <w:snapToGrid w:val="0"/>
        </w:rPr>
        <w:t xml:space="preserve"> the uncertain clinical comparison to inform the </w:t>
      </w:r>
      <w:r w:rsidR="00C24344">
        <w:rPr>
          <w:snapToGrid w:val="0"/>
        </w:rPr>
        <w:t>economic analysis.</w:t>
      </w:r>
      <w:r w:rsidRPr="00206E4D">
        <w:rPr>
          <w:snapToGrid w:val="0"/>
        </w:rPr>
        <w:t xml:space="preserve"> Given these limitations, the submission’s subsequent economic analysis comparing GPB and BTA was largely uninformative and the economic analysis presented in the submission was not based on an incremental analysis</w:t>
      </w:r>
      <w:r w:rsidR="003E3749">
        <w:rPr>
          <w:snapToGrid w:val="0"/>
        </w:rPr>
        <w:t xml:space="preserve"> (see paragraph </w:t>
      </w:r>
      <w:r w:rsidR="001A14BC">
        <w:rPr>
          <w:snapToGrid w:val="0"/>
        </w:rPr>
        <w:fldChar w:fldCharType="begin" w:fldLock="1"/>
      </w:r>
      <w:r w:rsidR="001A14BC">
        <w:rPr>
          <w:snapToGrid w:val="0"/>
        </w:rPr>
        <w:instrText xml:space="preserve"> REF _Ref214014727 \r \h </w:instrText>
      </w:r>
      <w:r w:rsidR="001A14BC">
        <w:rPr>
          <w:snapToGrid w:val="0"/>
        </w:rPr>
      </w:r>
      <w:r w:rsidR="001A14BC">
        <w:rPr>
          <w:snapToGrid w:val="0"/>
        </w:rPr>
        <w:fldChar w:fldCharType="separate"/>
      </w:r>
      <w:r w:rsidR="004D6DEB">
        <w:rPr>
          <w:snapToGrid w:val="0"/>
        </w:rPr>
        <w:t>6.43</w:t>
      </w:r>
      <w:r w:rsidR="001A14BC">
        <w:rPr>
          <w:snapToGrid w:val="0"/>
        </w:rPr>
        <w:fldChar w:fldCharType="end"/>
      </w:r>
      <w:r w:rsidR="001A14BC">
        <w:rPr>
          <w:snapToGrid w:val="0"/>
        </w:rPr>
        <w:t>)</w:t>
      </w:r>
      <w:r w:rsidRPr="00206E4D">
        <w:rPr>
          <w:snapToGrid w:val="0"/>
        </w:rPr>
        <w:t xml:space="preserve">. To address these concerns, the pre-PBAC response proposed a price reduction </w:t>
      </w:r>
      <w:r w:rsidR="00F95E1B">
        <w:rPr>
          <w:snapToGrid w:val="0"/>
        </w:rPr>
        <w:t>for</w:t>
      </w:r>
      <w:r w:rsidR="00F95E1B" w:rsidRPr="00206E4D">
        <w:rPr>
          <w:snapToGrid w:val="0"/>
        </w:rPr>
        <w:t xml:space="preserve"> </w:t>
      </w:r>
      <w:r w:rsidRPr="00206E4D">
        <w:rPr>
          <w:snapToGrid w:val="0"/>
        </w:rPr>
        <w:t xml:space="preserve">GPB based on the difference in </w:t>
      </w:r>
      <w:r w:rsidR="00C031CE">
        <w:rPr>
          <w:snapToGrid w:val="0"/>
        </w:rPr>
        <w:t xml:space="preserve">naïve </w:t>
      </w:r>
      <w:r w:rsidRPr="00206E4D">
        <w:rPr>
          <w:snapToGrid w:val="0"/>
        </w:rPr>
        <w:t>response rates of GPB and BTA in the clinical comparison.</w:t>
      </w:r>
      <w:bookmarkEnd w:id="76"/>
    </w:p>
    <w:p w14:paraId="15E68B86" w14:textId="527F62AE" w:rsidR="006E2327" w:rsidRPr="006E2327" w:rsidRDefault="00206E4D" w:rsidP="002721B7">
      <w:pPr>
        <w:pStyle w:val="3-BodyText"/>
        <w:rPr>
          <w:snapToGrid w:val="0"/>
          <w:lang w:val="en-GB"/>
        </w:rPr>
      </w:pPr>
      <w:bookmarkStart w:id="77" w:name="_Ref215209239"/>
      <w:r w:rsidRPr="00206E4D">
        <w:rPr>
          <w:snapToGrid w:val="0"/>
        </w:rPr>
        <w:t xml:space="preserve">The PBAC noted it is not likely </w:t>
      </w:r>
      <w:r w:rsidR="00F76B5E">
        <w:rPr>
          <w:snapToGrid w:val="0"/>
        </w:rPr>
        <w:t xml:space="preserve">that </w:t>
      </w:r>
      <w:r w:rsidRPr="00206E4D">
        <w:rPr>
          <w:snapToGrid w:val="0"/>
        </w:rPr>
        <w:t xml:space="preserve">further data </w:t>
      </w:r>
      <w:r w:rsidR="001D59B9">
        <w:rPr>
          <w:snapToGrid w:val="0"/>
        </w:rPr>
        <w:t>for</w:t>
      </w:r>
      <w:r w:rsidR="001D59B9" w:rsidRPr="00206E4D">
        <w:rPr>
          <w:snapToGrid w:val="0"/>
        </w:rPr>
        <w:t xml:space="preserve"> </w:t>
      </w:r>
      <w:r w:rsidRPr="00206E4D">
        <w:rPr>
          <w:snapToGrid w:val="0"/>
        </w:rPr>
        <w:t>BTA will become available</w:t>
      </w:r>
      <w:r w:rsidR="006E1AEA">
        <w:rPr>
          <w:snapToGrid w:val="0"/>
        </w:rPr>
        <w:t xml:space="preserve">, </w:t>
      </w:r>
      <w:r w:rsidR="00C031CE">
        <w:rPr>
          <w:snapToGrid w:val="0"/>
        </w:rPr>
        <w:t xml:space="preserve">that </w:t>
      </w:r>
      <w:r w:rsidR="006E1AEA">
        <w:rPr>
          <w:snapToGrid w:val="0"/>
        </w:rPr>
        <w:t>the</w:t>
      </w:r>
      <w:r w:rsidRPr="00206E4D" w:rsidDel="006E1AEA">
        <w:rPr>
          <w:snapToGrid w:val="0"/>
        </w:rPr>
        <w:t xml:space="preserve"> </w:t>
      </w:r>
      <w:r w:rsidRPr="00206E4D">
        <w:rPr>
          <w:snapToGrid w:val="0"/>
        </w:rPr>
        <w:t>evidence</w:t>
      </w:r>
      <w:r w:rsidRPr="00206E4D" w:rsidDel="006E1AEA">
        <w:rPr>
          <w:snapToGrid w:val="0"/>
        </w:rPr>
        <w:t xml:space="preserve"> </w:t>
      </w:r>
      <w:r w:rsidR="006E1AEA">
        <w:rPr>
          <w:snapToGrid w:val="0"/>
        </w:rPr>
        <w:t>for</w:t>
      </w:r>
      <w:r w:rsidR="006E1AEA" w:rsidRPr="00206E4D">
        <w:rPr>
          <w:snapToGrid w:val="0"/>
        </w:rPr>
        <w:t xml:space="preserve"> </w:t>
      </w:r>
      <w:r w:rsidRPr="00206E4D">
        <w:rPr>
          <w:snapToGrid w:val="0"/>
        </w:rPr>
        <w:t>the efficacy of high-strength topical aluminium preparations for PAHH is very limited</w:t>
      </w:r>
      <w:r w:rsidR="00A31CA7">
        <w:rPr>
          <w:snapToGrid w:val="0"/>
        </w:rPr>
        <w:t>,</w:t>
      </w:r>
      <w:r w:rsidR="00CB16AD">
        <w:rPr>
          <w:snapToGrid w:val="0"/>
        </w:rPr>
        <w:t xml:space="preserve"> and</w:t>
      </w:r>
      <w:r w:rsidR="00C031CE">
        <w:rPr>
          <w:snapToGrid w:val="0"/>
        </w:rPr>
        <w:t xml:space="preserve"> that there is an </w:t>
      </w:r>
      <w:r w:rsidRPr="00206E4D">
        <w:rPr>
          <w:snapToGrid w:val="0"/>
        </w:rPr>
        <w:t>unmet need for additional and more accessible treatments for PAHH</w:t>
      </w:r>
      <w:r w:rsidR="008C0139">
        <w:rPr>
          <w:snapToGrid w:val="0"/>
        </w:rPr>
        <w:t>.</w:t>
      </w:r>
      <w:r w:rsidRPr="00206E4D">
        <w:rPr>
          <w:snapToGrid w:val="0"/>
        </w:rPr>
        <w:t xml:space="preserve"> </w:t>
      </w:r>
      <w:r w:rsidR="00CB16AD">
        <w:rPr>
          <w:snapToGrid w:val="0"/>
        </w:rPr>
        <w:t xml:space="preserve">Overall, </w:t>
      </w:r>
      <w:r w:rsidRPr="00206E4D">
        <w:rPr>
          <w:snapToGrid w:val="0"/>
        </w:rPr>
        <w:t xml:space="preserve">the PBAC considered the price proposed for GPB in the </w:t>
      </w:r>
      <w:r w:rsidR="000D44E6">
        <w:rPr>
          <w:snapToGrid w:val="0"/>
        </w:rPr>
        <w:t>p</w:t>
      </w:r>
      <w:r w:rsidRPr="00206E4D">
        <w:rPr>
          <w:snapToGrid w:val="0"/>
        </w:rPr>
        <w:t>re-PBAC response</w:t>
      </w:r>
      <w:r w:rsidR="002A5F31">
        <w:rPr>
          <w:snapToGrid w:val="0"/>
        </w:rPr>
        <w:t xml:space="preserve"> (DPMQ of $</w:t>
      </w:r>
      <w:r w:rsidR="00FE3B86" w:rsidRPr="004F06D3">
        <w:rPr>
          <w:snapToGrid w:val="0"/>
          <w:highlight w:val="black"/>
        </w:rPr>
        <w:t>&amp;&amp;&amp;&amp;</w:t>
      </w:r>
      <w:r w:rsidR="008F4D83">
        <w:rPr>
          <w:snapToGrid w:val="0"/>
        </w:rPr>
        <w:t>, annual cost of $</w:t>
      </w:r>
      <w:r w:rsidR="00FE3B86" w:rsidRPr="004F06D3">
        <w:rPr>
          <w:snapToGrid w:val="0"/>
          <w:highlight w:val="black"/>
        </w:rPr>
        <w:t>&amp;&amp;&amp;&amp;</w:t>
      </w:r>
      <w:r w:rsidR="007A54A5">
        <w:rPr>
          <w:snapToGrid w:val="0"/>
        </w:rPr>
        <w:t xml:space="preserve"> based on 5.12 scripts per year</w:t>
      </w:r>
      <w:r w:rsidR="00A96162">
        <w:rPr>
          <w:snapToGrid w:val="0"/>
        </w:rPr>
        <w:t xml:space="preserve"> as for the financial estimates</w:t>
      </w:r>
      <w:r w:rsidR="002A5F31">
        <w:rPr>
          <w:snapToGrid w:val="0"/>
        </w:rPr>
        <w:t>)</w:t>
      </w:r>
      <w:r w:rsidR="00FC1154">
        <w:rPr>
          <w:snapToGrid w:val="0"/>
        </w:rPr>
        <w:t xml:space="preserve"> was unacceptably high</w:t>
      </w:r>
      <w:r w:rsidR="002A5F31">
        <w:rPr>
          <w:snapToGrid w:val="0"/>
        </w:rPr>
        <w:t>,</w:t>
      </w:r>
      <w:r w:rsidR="00FC1154">
        <w:rPr>
          <w:snapToGrid w:val="0"/>
        </w:rPr>
        <w:t xml:space="preserve"> but that GPB</w:t>
      </w:r>
      <w:r w:rsidRPr="00206E4D">
        <w:rPr>
          <w:snapToGrid w:val="0"/>
        </w:rPr>
        <w:t xml:space="preserve"> </w:t>
      </w:r>
      <w:r w:rsidR="00C95200">
        <w:rPr>
          <w:snapToGrid w:val="0"/>
        </w:rPr>
        <w:t xml:space="preserve">may be acceptably </w:t>
      </w:r>
      <w:r w:rsidRPr="00206E4D">
        <w:rPr>
          <w:snapToGrid w:val="0"/>
        </w:rPr>
        <w:t>cost-effective</w:t>
      </w:r>
      <w:r w:rsidR="000A6BB5">
        <w:rPr>
          <w:snapToGrid w:val="0"/>
        </w:rPr>
        <w:t xml:space="preserve"> with a DPMQ of approximately $</w:t>
      </w:r>
      <w:r w:rsidR="00FE3B86" w:rsidRPr="004F06D3">
        <w:rPr>
          <w:snapToGrid w:val="0"/>
          <w:highlight w:val="black"/>
        </w:rPr>
        <w:t>&amp;&amp;&amp;&amp;</w:t>
      </w:r>
      <w:r w:rsidR="007A54A5">
        <w:rPr>
          <w:snapToGrid w:val="0"/>
        </w:rPr>
        <w:t xml:space="preserve"> (annual cost of $</w:t>
      </w:r>
      <w:r w:rsidR="00FE3B86" w:rsidRPr="004F06D3">
        <w:rPr>
          <w:snapToGrid w:val="0"/>
          <w:highlight w:val="black"/>
        </w:rPr>
        <w:t>&amp;&amp;&amp;&amp;</w:t>
      </w:r>
      <w:r w:rsidR="009177F0">
        <w:rPr>
          <w:snapToGrid w:val="0"/>
        </w:rPr>
        <w:t>)</w:t>
      </w:r>
      <w:r w:rsidRPr="00206E4D">
        <w:rPr>
          <w:snapToGrid w:val="0"/>
        </w:rPr>
        <w:t xml:space="preserve"> in the context of the cost for BTA, including </w:t>
      </w:r>
      <w:r w:rsidR="006E1AEA">
        <w:rPr>
          <w:snapToGrid w:val="0"/>
        </w:rPr>
        <w:t xml:space="preserve">its </w:t>
      </w:r>
      <w:r w:rsidRPr="00206E4D">
        <w:rPr>
          <w:snapToGrid w:val="0"/>
        </w:rPr>
        <w:t>administration</w:t>
      </w:r>
      <w:r w:rsidR="00A945C0">
        <w:rPr>
          <w:snapToGrid w:val="0"/>
        </w:rPr>
        <w:t xml:space="preserve"> (based on the effective BTA price and 2.65 scripts per year as for the financial estimates)</w:t>
      </w:r>
      <w:r w:rsidR="004A120A">
        <w:rPr>
          <w:snapToGrid w:val="0"/>
        </w:rPr>
        <w:t xml:space="preserve">, </w:t>
      </w:r>
      <w:r w:rsidR="00FC1154">
        <w:rPr>
          <w:snapToGrid w:val="0"/>
        </w:rPr>
        <w:t xml:space="preserve">and </w:t>
      </w:r>
      <w:r w:rsidR="000A6BB5">
        <w:rPr>
          <w:snapToGrid w:val="0"/>
        </w:rPr>
        <w:t xml:space="preserve">the cost for </w:t>
      </w:r>
      <w:r w:rsidR="000A6BB5" w:rsidRPr="009F0F34">
        <w:t>high strength topical aluminium-based treatments</w:t>
      </w:r>
      <w:r w:rsidR="000A6BB5">
        <w:rPr>
          <w:snapToGrid w:val="0"/>
        </w:rPr>
        <w:t xml:space="preserve">, </w:t>
      </w:r>
      <w:r w:rsidR="008C0139">
        <w:rPr>
          <w:snapToGrid w:val="0"/>
        </w:rPr>
        <w:t>provided</w:t>
      </w:r>
      <w:r w:rsidR="006D7433">
        <w:rPr>
          <w:snapToGrid w:val="0"/>
        </w:rPr>
        <w:t xml:space="preserve"> a</w:t>
      </w:r>
      <w:r w:rsidR="00F31CFB">
        <w:rPr>
          <w:snapToGrid w:val="0"/>
        </w:rPr>
        <w:t>n</w:t>
      </w:r>
      <w:r w:rsidR="006D7433">
        <w:rPr>
          <w:snapToGrid w:val="0"/>
        </w:rPr>
        <w:t xml:space="preserve"> </w:t>
      </w:r>
      <w:r w:rsidR="00F31CFB">
        <w:rPr>
          <w:snapToGrid w:val="0"/>
        </w:rPr>
        <w:t xml:space="preserve">RSA </w:t>
      </w:r>
      <w:r w:rsidR="004A120A">
        <w:rPr>
          <w:snapToGrid w:val="0"/>
        </w:rPr>
        <w:t>contain</w:t>
      </w:r>
      <w:r w:rsidR="008C0139">
        <w:rPr>
          <w:snapToGrid w:val="0"/>
        </w:rPr>
        <w:t>s</w:t>
      </w:r>
      <w:r w:rsidR="004A120A">
        <w:rPr>
          <w:snapToGrid w:val="0"/>
        </w:rPr>
        <w:t xml:space="preserve"> the risk of </w:t>
      </w:r>
      <w:r w:rsidR="00CB16AD">
        <w:rPr>
          <w:snapToGrid w:val="0"/>
        </w:rPr>
        <w:t xml:space="preserve">the </w:t>
      </w:r>
      <w:r w:rsidR="004A120A">
        <w:rPr>
          <w:snapToGrid w:val="0"/>
        </w:rPr>
        <w:t xml:space="preserve">use of GPB in </w:t>
      </w:r>
      <w:r w:rsidR="00366FDA">
        <w:rPr>
          <w:snapToGrid w:val="0"/>
        </w:rPr>
        <w:t>a broader population</w:t>
      </w:r>
      <w:r w:rsidR="006E2327">
        <w:rPr>
          <w:snapToGrid w:val="0"/>
        </w:rPr>
        <w:t>.</w:t>
      </w:r>
      <w:bookmarkEnd w:id="77"/>
      <w:r w:rsidRPr="00206E4D">
        <w:rPr>
          <w:snapToGrid w:val="0"/>
        </w:rPr>
        <w:t xml:space="preserve"> </w:t>
      </w:r>
    </w:p>
    <w:p w14:paraId="3AAF3A37" w14:textId="13A80160" w:rsidR="00214DB6" w:rsidRPr="00214DB6" w:rsidRDefault="00167F0A" w:rsidP="002721B7">
      <w:pPr>
        <w:pStyle w:val="3-BodyText"/>
        <w:rPr>
          <w:snapToGrid w:val="0"/>
          <w:lang w:val="en-GB"/>
        </w:rPr>
      </w:pPr>
      <w:r>
        <w:t>To estimate utilisation and costs t</w:t>
      </w:r>
      <w:r w:rsidR="00180915">
        <w:t xml:space="preserve">he PBAC </w:t>
      </w:r>
      <w:r w:rsidR="009233AD">
        <w:t xml:space="preserve">noted </w:t>
      </w:r>
      <w:r w:rsidR="00180915">
        <w:t>the submission appropriately used a market share</w:t>
      </w:r>
      <w:r>
        <w:t xml:space="preserve"> approach</w:t>
      </w:r>
      <w:r w:rsidR="00FC6C60">
        <w:t xml:space="preserve"> to estimate the extent to which GPB would replace BTA</w:t>
      </w:r>
      <w:r w:rsidR="00180915">
        <w:t xml:space="preserve"> and</w:t>
      </w:r>
      <w:r>
        <w:t xml:space="preserve"> an</w:t>
      </w:r>
      <w:r w:rsidR="00180915">
        <w:t xml:space="preserve"> epidemiological </w:t>
      </w:r>
      <w:r>
        <w:t xml:space="preserve">approach </w:t>
      </w:r>
      <w:r w:rsidR="001420E5">
        <w:t xml:space="preserve">to estimate the </w:t>
      </w:r>
      <w:r w:rsidR="008D1574">
        <w:t>new market for GPB in which no PBS treatment</w:t>
      </w:r>
      <w:r w:rsidR="007A3C4B">
        <w:t>s</w:t>
      </w:r>
      <w:r w:rsidR="008D1574">
        <w:t xml:space="preserve"> w</w:t>
      </w:r>
      <w:r w:rsidR="00493556">
        <w:t>ould</w:t>
      </w:r>
      <w:r w:rsidR="008D1574">
        <w:t xml:space="preserve"> be replaced</w:t>
      </w:r>
      <w:r w:rsidR="00180915">
        <w:t>.</w:t>
      </w:r>
      <w:r w:rsidR="000E3F7D">
        <w:t xml:space="preserve"> </w:t>
      </w:r>
      <w:r w:rsidR="0075710A">
        <w:rPr>
          <w:snapToGrid w:val="0"/>
        </w:rPr>
        <w:t>T</w:t>
      </w:r>
      <w:r w:rsidR="00884C15">
        <w:rPr>
          <w:snapToGrid w:val="0"/>
        </w:rPr>
        <w:t xml:space="preserve">o address </w:t>
      </w:r>
      <w:r w:rsidR="00D94EFE">
        <w:rPr>
          <w:snapToGrid w:val="0"/>
        </w:rPr>
        <w:t xml:space="preserve">the </w:t>
      </w:r>
      <w:r w:rsidR="00FA7B3A">
        <w:rPr>
          <w:snapToGrid w:val="0"/>
        </w:rPr>
        <w:t>ESC’</w:t>
      </w:r>
      <w:r w:rsidR="00E37226">
        <w:rPr>
          <w:snapToGrid w:val="0"/>
        </w:rPr>
        <w:t xml:space="preserve">s concern </w:t>
      </w:r>
      <w:r w:rsidR="00D73F9F">
        <w:rPr>
          <w:snapToGrid w:val="0"/>
        </w:rPr>
        <w:t xml:space="preserve">that </w:t>
      </w:r>
      <w:r w:rsidR="00E37226">
        <w:rPr>
          <w:snapToGrid w:val="0"/>
        </w:rPr>
        <w:t>uptake</w:t>
      </w:r>
      <w:r w:rsidR="00D73F9F">
        <w:rPr>
          <w:snapToGrid w:val="0"/>
        </w:rPr>
        <w:t xml:space="preserve"> was underestimated </w:t>
      </w:r>
      <w:r w:rsidR="00885454">
        <w:rPr>
          <w:snapToGrid w:val="0"/>
        </w:rPr>
        <w:t xml:space="preserve">in the submission </w:t>
      </w:r>
      <w:r w:rsidR="00D73F9F">
        <w:rPr>
          <w:snapToGrid w:val="0"/>
        </w:rPr>
        <w:t xml:space="preserve">(see paragraph </w:t>
      </w:r>
      <w:r w:rsidR="00D73F9F">
        <w:rPr>
          <w:snapToGrid w:val="0"/>
        </w:rPr>
        <w:fldChar w:fldCharType="begin" w:fldLock="1"/>
      </w:r>
      <w:r w:rsidR="00D73F9F">
        <w:rPr>
          <w:snapToGrid w:val="0"/>
        </w:rPr>
        <w:instrText xml:space="preserve"> REF _Ref215140991 \r \h </w:instrText>
      </w:r>
      <w:r w:rsidR="00D73F9F">
        <w:rPr>
          <w:snapToGrid w:val="0"/>
        </w:rPr>
      </w:r>
      <w:r w:rsidR="00D73F9F">
        <w:rPr>
          <w:snapToGrid w:val="0"/>
        </w:rPr>
        <w:fldChar w:fldCharType="separate"/>
      </w:r>
      <w:r w:rsidR="004D6DEB">
        <w:rPr>
          <w:snapToGrid w:val="0"/>
        </w:rPr>
        <w:t>6.59</w:t>
      </w:r>
      <w:r w:rsidR="00D73F9F">
        <w:rPr>
          <w:snapToGrid w:val="0"/>
        </w:rPr>
        <w:fldChar w:fldCharType="end"/>
      </w:r>
      <w:r w:rsidR="00854CAD">
        <w:rPr>
          <w:snapToGrid w:val="0"/>
        </w:rPr>
        <w:t>)</w:t>
      </w:r>
      <w:r w:rsidR="00884C15">
        <w:rPr>
          <w:snapToGrid w:val="0"/>
        </w:rPr>
        <w:t xml:space="preserve">, </w:t>
      </w:r>
      <w:r w:rsidR="00884C15">
        <w:t xml:space="preserve">the PBAC noted the pre-PBAC response provided revised </w:t>
      </w:r>
      <w:r w:rsidR="00064E6E">
        <w:t xml:space="preserve">utilisation estimates </w:t>
      </w:r>
      <w:r w:rsidR="00884C15">
        <w:t>that</w:t>
      </w:r>
      <w:r w:rsidR="005D16E8">
        <w:t>:</w:t>
      </w:r>
      <w:r w:rsidR="00884C15">
        <w:t xml:space="preserve"> </w:t>
      </w:r>
    </w:p>
    <w:p w14:paraId="2D979BEB" w14:textId="41566009" w:rsidR="00214DB6" w:rsidRDefault="00884C15" w:rsidP="002721B7">
      <w:pPr>
        <w:pStyle w:val="3-BodyText"/>
        <w:numPr>
          <w:ilvl w:val="0"/>
          <w:numId w:val="20"/>
        </w:numPr>
      </w:pPr>
      <w:r>
        <w:t>increased uptake in the market share population (</w:t>
      </w:r>
      <w:r w:rsidR="00946DCE">
        <w:t>change</w:t>
      </w:r>
      <w:r w:rsidR="00854CAD">
        <w:t>d</w:t>
      </w:r>
      <w:r w:rsidR="00946DCE">
        <w:t xml:space="preserve"> from a maximum of </w:t>
      </w:r>
      <w:r w:rsidR="00FE3B86" w:rsidRPr="004F06D3">
        <w:rPr>
          <w:highlight w:val="black"/>
        </w:rPr>
        <w:t>&amp;&amp;&amp;&amp;</w:t>
      </w:r>
      <w:r w:rsidR="008462EE">
        <w:t xml:space="preserve">% </w:t>
      </w:r>
      <w:r w:rsidR="00946DCE">
        <w:t xml:space="preserve">in </w:t>
      </w:r>
      <w:r w:rsidR="004317B5">
        <w:t xml:space="preserve">Year 6 to </w:t>
      </w:r>
      <w:r w:rsidR="00946DCE">
        <w:t xml:space="preserve">a maximum of </w:t>
      </w:r>
      <w:r w:rsidR="00FE3B86" w:rsidRPr="004F06D3">
        <w:rPr>
          <w:highlight w:val="black"/>
        </w:rPr>
        <w:t>&amp;&amp;&amp;&amp;</w:t>
      </w:r>
      <w:r w:rsidR="005D16E8">
        <w:t>% in Year 6)</w:t>
      </w:r>
      <w:r w:rsidR="008462EE">
        <w:t>;</w:t>
      </w:r>
      <w:r w:rsidR="00EC2E8F">
        <w:t xml:space="preserve"> and </w:t>
      </w:r>
    </w:p>
    <w:p w14:paraId="66D88604" w14:textId="54087A29" w:rsidR="008462EE" w:rsidRDefault="008462EE" w:rsidP="002721B7">
      <w:pPr>
        <w:pStyle w:val="3-BodyText"/>
        <w:numPr>
          <w:ilvl w:val="0"/>
          <w:numId w:val="20"/>
        </w:numPr>
      </w:pPr>
      <w:r>
        <w:t>increased uptake in the ep</w:t>
      </w:r>
      <w:r w:rsidR="00946DCE">
        <w:t xml:space="preserve">idemiological population </w:t>
      </w:r>
      <w:r w:rsidR="00BB5CB5">
        <w:t xml:space="preserve">(changed </w:t>
      </w:r>
      <w:r w:rsidR="008D5F52">
        <w:t xml:space="preserve">from a maximum of </w:t>
      </w:r>
      <w:r w:rsidR="008D5F52" w:rsidRPr="004F06D3">
        <w:rPr>
          <w:highlight w:val="black"/>
        </w:rPr>
        <w:t>&amp;&amp;&amp;&amp;</w:t>
      </w:r>
      <w:r w:rsidR="008D5F52">
        <w:t>% in Year 6</w:t>
      </w:r>
      <w:r w:rsidR="008E3FD2">
        <w:t xml:space="preserve"> </w:t>
      </w:r>
      <w:r w:rsidR="00EC2E8F">
        <w:t xml:space="preserve">to a maximum of </w:t>
      </w:r>
      <w:r w:rsidR="00FE3B86" w:rsidRPr="004F06D3">
        <w:rPr>
          <w:highlight w:val="black"/>
        </w:rPr>
        <w:t>&amp;&amp;&amp;&amp;</w:t>
      </w:r>
      <w:r w:rsidR="00EC2E8F">
        <w:t xml:space="preserve">% in Year 6). </w:t>
      </w:r>
    </w:p>
    <w:p w14:paraId="1F798E87" w14:textId="41DDD9F8" w:rsidR="00DA2E9B" w:rsidRPr="0029574F" w:rsidRDefault="00113DC1" w:rsidP="002721B7">
      <w:pPr>
        <w:pStyle w:val="3-BodyText"/>
        <w:rPr>
          <w:snapToGrid w:val="0"/>
          <w:lang w:val="en-GB"/>
        </w:rPr>
      </w:pPr>
      <w:r w:rsidRPr="0029574F">
        <w:rPr>
          <w:snapToGrid w:val="0"/>
          <w:lang w:val="en-GB"/>
        </w:rPr>
        <w:t xml:space="preserve">The PBAC considered the revised uptake in the market share population was reasonable. </w:t>
      </w:r>
      <w:r w:rsidR="00C31FBC" w:rsidRPr="0029574F">
        <w:rPr>
          <w:snapToGrid w:val="0"/>
          <w:lang w:val="en-GB"/>
        </w:rPr>
        <w:t>However, t</w:t>
      </w:r>
      <w:r w:rsidR="00DA2E9B" w:rsidRPr="0029574F">
        <w:rPr>
          <w:snapToGrid w:val="0"/>
          <w:lang w:val="en-GB"/>
        </w:rPr>
        <w:t xml:space="preserve">he PBAC noted that based on the revised utilisation estimates, </w:t>
      </w:r>
      <w:r w:rsidR="00DA416B">
        <w:rPr>
          <w:snapToGrid w:val="0"/>
          <w:lang w:val="en-GB"/>
        </w:rPr>
        <w:t xml:space="preserve">the number of scripts for the </w:t>
      </w:r>
      <w:r w:rsidR="00377DFE">
        <w:rPr>
          <w:snapToGrid w:val="0"/>
          <w:lang w:val="en-GB"/>
        </w:rPr>
        <w:t>epidemiological (new) population</w:t>
      </w:r>
      <w:r w:rsidR="004C4E2D">
        <w:rPr>
          <w:snapToGrid w:val="0"/>
          <w:lang w:val="en-GB"/>
        </w:rPr>
        <w:t xml:space="preserve"> was </w:t>
      </w:r>
      <w:r w:rsidR="00F11413">
        <w:rPr>
          <w:snapToGrid w:val="0"/>
          <w:lang w:val="en-GB"/>
        </w:rPr>
        <w:t>more than</w:t>
      </w:r>
      <w:r w:rsidR="004C4E2D">
        <w:rPr>
          <w:snapToGrid w:val="0"/>
          <w:lang w:val="en-GB"/>
        </w:rPr>
        <w:t xml:space="preserve"> three time</w:t>
      </w:r>
      <w:r w:rsidR="004039EF">
        <w:rPr>
          <w:snapToGrid w:val="0"/>
          <w:lang w:val="en-GB"/>
        </w:rPr>
        <w:t>s</w:t>
      </w:r>
      <w:r w:rsidR="004C4E2D">
        <w:rPr>
          <w:snapToGrid w:val="0"/>
          <w:lang w:val="en-GB"/>
        </w:rPr>
        <w:t xml:space="preserve"> that for the </w:t>
      </w:r>
      <w:r w:rsidR="00515DCE">
        <w:rPr>
          <w:snapToGrid w:val="0"/>
          <w:lang w:val="en-GB"/>
        </w:rPr>
        <w:t>market share population</w:t>
      </w:r>
      <w:r w:rsidR="006A7537">
        <w:rPr>
          <w:snapToGrid w:val="0"/>
          <w:lang w:val="en-GB"/>
        </w:rPr>
        <w:t>. The PBAC also considered the</w:t>
      </w:r>
      <w:r w:rsidR="0096559F">
        <w:rPr>
          <w:snapToGrid w:val="0"/>
          <w:lang w:val="en-GB"/>
        </w:rPr>
        <w:t xml:space="preserve"> estimated number of scripts for the new population to be uncertain </w:t>
      </w:r>
      <w:r w:rsidR="00231405">
        <w:rPr>
          <w:snapToGrid w:val="0"/>
          <w:lang w:val="en-GB"/>
        </w:rPr>
        <w:t>and potentially overestimated</w:t>
      </w:r>
      <w:r w:rsidR="00504B84">
        <w:rPr>
          <w:snapToGrid w:val="0"/>
          <w:lang w:val="en-GB"/>
        </w:rPr>
        <w:t xml:space="preserve">, </w:t>
      </w:r>
      <w:r w:rsidR="0096559F">
        <w:rPr>
          <w:snapToGrid w:val="0"/>
          <w:lang w:val="en-GB"/>
        </w:rPr>
        <w:t xml:space="preserve">noting that it relied on </w:t>
      </w:r>
      <w:proofErr w:type="gramStart"/>
      <w:r w:rsidR="0096559F">
        <w:rPr>
          <w:snapToGrid w:val="0"/>
          <w:lang w:val="en-GB"/>
        </w:rPr>
        <w:t>a number of</w:t>
      </w:r>
      <w:proofErr w:type="gramEnd"/>
      <w:r w:rsidR="0096559F">
        <w:rPr>
          <w:snapToGrid w:val="0"/>
          <w:lang w:val="en-GB"/>
        </w:rPr>
        <w:t xml:space="preserve"> steps and assumptions. </w:t>
      </w:r>
      <w:r w:rsidR="00376B2D" w:rsidRPr="00376B2D">
        <w:rPr>
          <w:snapToGrid w:val="0"/>
        </w:rPr>
        <w:t xml:space="preserve">The PBAC </w:t>
      </w:r>
      <w:r w:rsidR="00376B2D">
        <w:rPr>
          <w:snapToGrid w:val="0"/>
        </w:rPr>
        <w:t>considered</w:t>
      </w:r>
      <w:r w:rsidR="00376B2D" w:rsidRPr="00376B2D">
        <w:rPr>
          <w:snapToGrid w:val="0"/>
        </w:rPr>
        <w:t xml:space="preserve"> that uptake of </w:t>
      </w:r>
      <w:r w:rsidR="00FE3B86" w:rsidRPr="004F06D3">
        <w:rPr>
          <w:snapToGrid w:val="0"/>
          <w:highlight w:val="black"/>
        </w:rPr>
        <w:t>&amp;&amp;&amp;&amp;</w:t>
      </w:r>
      <w:r w:rsidR="00376B2D" w:rsidRPr="00376B2D">
        <w:rPr>
          <w:snapToGrid w:val="0"/>
        </w:rPr>
        <w:t xml:space="preserve">% in </w:t>
      </w:r>
      <w:r w:rsidR="006B5B22">
        <w:rPr>
          <w:snapToGrid w:val="0"/>
        </w:rPr>
        <w:t>Y</w:t>
      </w:r>
      <w:r w:rsidR="00376B2D" w:rsidRPr="00376B2D">
        <w:rPr>
          <w:snapToGrid w:val="0"/>
        </w:rPr>
        <w:t xml:space="preserve">ear 1 increasing to </w:t>
      </w:r>
      <w:r w:rsidR="00FE3B86" w:rsidRPr="004F06D3">
        <w:rPr>
          <w:snapToGrid w:val="0"/>
          <w:highlight w:val="black"/>
        </w:rPr>
        <w:t>&amp;&amp;&amp;&amp;</w:t>
      </w:r>
      <w:r w:rsidR="00376B2D" w:rsidRPr="00376B2D">
        <w:rPr>
          <w:snapToGrid w:val="0"/>
        </w:rPr>
        <w:t xml:space="preserve">% in </w:t>
      </w:r>
      <w:r w:rsidR="006B5B22">
        <w:rPr>
          <w:snapToGrid w:val="0"/>
        </w:rPr>
        <w:t>Y</w:t>
      </w:r>
      <w:r w:rsidR="00376B2D" w:rsidRPr="00376B2D">
        <w:rPr>
          <w:snapToGrid w:val="0"/>
        </w:rPr>
        <w:t>ear 6 (</w:t>
      </w:r>
      <w:r w:rsidR="00FE3B86" w:rsidRPr="004F06D3">
        <w:rPr>
          <w:snapToGrid w:val="0"/>
          <w:highlight w:val="black"/>
        </w:rPr>
        <w:t>&amp;&amp;&amp;&amp;</w:t>
      </w:r>
      <w:r w:rsidR="00376B2D" w:rsidRPr="00376B2D">
        <w:rPr>
          <w:snapToGrid w:val="0"/>
        </w:rPr>
        <w:t>% in the pre-PBAC</w:t>
      </w:r>
      <w:r w:rsidR="002A5F31">
        <w:rPr>
          <w:snapToGrid w:val="0"/>
        </w:rPr>
        <w:t xml:space="preserve"> response</w:t>
      </w:r>
      <w:r w:rsidR="00376B2D" w:rsidRPr="00376B2D">
        <w:rPr>
          <w:snapToGrid w:val="0"/>
        </w:rPr>
        <w:t xml:space="preserve">) in the </w:t>
      </w:r>
      <w:r w:rsidR="00C23571">
        <w:rPr>
          <w:snapToGrid w:val="0"/>
        </w:rPr>
        <w:t>new</w:t>
      </w:r>
      <w:r w:rsidR="00376B2D" w:rsidRPr="00376B2D">
        <w:rPr>
          <w:snapToGrid w:val="0"/>
        </w:rPr>
        <w:t xml:space="preserve"> population was excessive. The PBAC also </w:t>
      </w:r>
      <w:r w:rsidR="00376B2D">
        <w:rPr>
          <w:snapToGrid w:val="0"/>
        </w:rPr>
        <w:t>considered</w:t>
      </w:r>
      <w:r w:rsidR="00376B2D" w:rsidRPr="00376B2D">
        <w:rPr>
          <w:snapToGrid w:val="0"/>
        </w:rPr>
        <w:t xml:space="preserve"> that </w:t>
      </w:r>
      <w:proofErr w:type="gramStart"/>
      <w:r w:rsidR="00376B2D" w:rsidRPr="00376B2D">
        <w:rPr>
          <w:snapToGrid w:val="0"/>
        </w:rPr>
        <w:t>a number of</w:t>
      </w:r>
      <w:proofErr w:type="gramEnd"/>
      <w:r w:rsidR="00376B2D" w:rsidRPr="00376B2D">
        <w:rPr>
          <w:snapToGrid w:val="0"/>
        </w:rPr>
        <w:t xml:space="preserve"> patients </w:t>
      </w:r>
      <w:r w:rsidR="00376B2D">
        <w:rPr>
          <w:snapToGrid w:val="0"/>
        </w:rPr>
        <w:t>would</w:t>
      </w:r>
      <w:r w:rsidR="00376B2D" w:rsidRPr="00376B2D">
        <w:rPr>
          <w:snapToGrid w:val="0"/>
        </w:rPr>
        <w:t xml:space="preserve"> likely discontinue and restart </w:t>
      </w:r>
      <w:r w:rsidR="00111F09">
        <w:rPr>
          <w:snapToGrid w:val="0"/>
        </w:rPr>
        <w:t>GPB</w:t>
      </w:r>
      <w:r w:rsidR="006B5B22">
        <w:rPr>
          <w:snapToGrid w:val="0"/>
        </w:rPr>
        <w:t xml:space="preserve"> which had not been accounted for in the utilisation estimates</w:t>
      </w:r>
      <w:r w:rsidR="00376B2D" w:rsidRPr="00376B2D">
        <w:rPr>
          <w:snapToGrid w:val="0"/>
        </w:rPr>
        <w:t xml:space="preserve">. Overall, the PBAC </w:t>
      </w:r>
      <w:r w:rsidR="00FC1154">
        <w:rPr>
          <w:snapToGrid w:val="0"/>
        </w:rPr>
        <w:t>considered</w:t>
      </w:r>
      <w:r w:rsidR="00376B2D" w:rsidRPr="00376B2D">
        <w:rPr>
          <w:snapToGrid w:val="0"/>
        </w:rPr>
        <w:t xml:space="preserve"> that uptake rate in th</w:t>
      </w:r>
      <w:r w:rsidR="006B5B22">
        <w:rPr>
          <w:snapToGrid w:val="0"/>
        </w:rPr>
        <w:t xml:space="preserve">e epidemiological (new) </w:t>
      </w:r>
      <w:r w:rsidR="00376B2D" w:rsidRPr="00376B2D">
        <w:rPr>
          <w:snapToGrid w:val="0"/>
        </w:rPr>
        <w:t xml:space="preserve">population </w:t>
      </w:r>
      <w:r w:rsidR="00FC1154">
        <w:rPr>
          <w:snapToGrid w:val="0"/>
        </w:rPr>
        <w:t>should</w:t>
      </w:r>
      <w:r w:rsidR="00376B2D" w:rsidRPr="00376B2D">
        <w:rPr>
          <w:snapToGrid w:val="0"/>
        </w:rPr>
        <w:t xml:space="preserve"> be </w:t>
      </w:r>
      <w:r w:rsidR="00FE3B86" w:rsidRPr="004F06D3">
        <w:rPr>
          <w:snapToGrid w:val="0"/>
          <w:highlight w:val="black"/>
        </w:rPr>
        <w:t>&amp;&amp;&amp;&amp;</w:t>
      </w:r>
      <w:r w:rsidR="00376B2D" w:rsidRPr="00376B2D">
        <w:rPr>
          <w:snapToGrid w:val="0"/>
        </w:rPr>
        <w:t>% in year 1</w:t>
      </w:r>
      <w:r w:rsidR="002A5F31">
        <w:rPr>
          <w:snapToGrid w:val="0"/>
        </w:rPr>
        <w:t>,</w:t>
      </w:r>
      <w:r w:rsidR="00376B2D" w:rsidRPr="00376B2D">
        <w:rPr>
          <w:snapToGrid w:val="0"/>
        </w:rPr>
        <w:t xml:space="preserve"> increasing to </w:t>
      </w:r>
      <w:r w:rsidR="00FE3B86" w:rsidRPr="004F06D3">
        <w:rPr>
          <w:snapToGrid w:val="0"/>
          <w:highlight w:val="black"/>
        </w:rPr>
        <w:t>&amp;&amp;&amp;&amp;</w:t>
      </w:r>
      <w:r w:rsidR="00376B2D" w:rsidRPr="00376B2D">
        <w:rPr>
          <w:snapToGrid w:val="0"/>
        </w:rPr>
        <w:t xml:space="preserve">% in </w:t>
      </w:r>
      <w:r w:rsidR="006B5B22">
        <w:rPr>
          <w:snapToGrid w:val="0"/>
        </w:rPr>
        <w:t>Y</w:t>
      </w:r>
      <w:r w:rsidR="00376B2D" w:rsidRPr="00376B2D">
        <w:rPr>
          <w:snapToGrid w:val="0"/>
        </w:rPr>
        <w:t>ear 6.</w:t>
      </w:r>
    </w:p>
    <w:p w14:paraId="2839F262" w14:textId="2F87B91E" w:rsidR="00805687" w:rsidRPr="00940B0D" w:rsidRDefault="00092DDA" w:rsidP="002721B7">
      <w:pPr>
        <w:pStyle w:val="3-BodyText"/>
        <w:rPr>
          <w:snapToGrid w:val="0"/>
          <w:lang w:val="en-GB"/>
        </w:rPr>
      </w:pPr>
      <w:r>
        <w:rPr>
          <w:snapToGrid w:val="0"/>
        </w:rPr>
        <w:t>In addition to the amendment outlined in the paragraph above, t</w:t>
      </w:r>
      <w:r w:rsidR="008E7B32" w:rsidRPr="00206E4D">
        <w:rPr>
          <w:snapToGrid w:val="0"/>
        </w:rPr>
        <w:t xml:space="preserve">he PBAC considered the financial estimates presented in the </w:t>
      </w:r>
      <w:r w:rsidR="008E7B32">
        <w:rPr>
          <w:snapToGrid w:val="0"/>
        </w:rPr>
        <w:t>pre-PBAC response</w:t>
      </w:r>
      <w:r w:rsidR="008E7B32" w:rsidRPr="00206E4D">
        <w:rPr>
          <w:snapToGrid w:val="0"/>
        </w:rPr>
        <w:t xml:space="preserve"> should be revised to account for use in patients</w:t>
      </w:r>
      <w:r w:rsidR="003B7C70">
        <w:rPr>
          <w:snapToGrid w:val="0"/>
        </w:rPr>
        <w:t xml:space="preserve"> </w:t>
      </w:r>
      <w:r w:rsidR="007E07F8">
        <w:rPr>
          <w:snapToGrid w:val="0"/>
        </w:rPr>
        <w:t xml:space="preserve">over 12 years of age </w:t>
      </w:r>
      <w:r w:rsidR="003B7C70">
        <w:rPr>
          <w:snapToGrid w:val="0"/>
        </w:rPr>
        <w:t>(in the market share and epidemiological populations)</w:t>
      </w:r>
      <w:r w:rsidR="002A5F31">
        <w:rPr>
          <w:snapToGrid w:val="0"/>
        </w:rPr>
        <w:t xml:space="preserve">, and the revised GPB price as per paragraph </w:t>
      </w:r>
      <w:r w:rsidR="002A5F31">
        <w:rPr>
          <w:snapToGrid w:val="0"/>
        </w:rPr>
        <w:fldChar w:fldCharType="begin" w:fldLock="1"/>
      </w:r>
      <w:r w:rsidR="002A5F31">
        <w:rPr>
          <w:snapToGrid w:val="0"/>
        </w:rPr>
        <w:instrText xml:space="preserve"> REF _Ref215209239 \r \h </w:instrText>
      </w:r>
      <w:r w:rsidR="002A5F31">
        <w:rPr>
          <w:snapToGrid w:val="0"/>
        </w:rPr>
      </w:r>
      <w:r w:rsidR="002A5F31">
        <w:rPr>
          <w:snapToGrid w:val="0"/>
        </w:rPr>
        <w:fldChar w:fldCharType="separate"/>
      </w:r>
      <w:r w:rsidR="004D6DEB">
        <w:rPr>
          <w:snapToGrid w:val="0"/>
        </w:rPr>
        <w:t>7.10</w:t>
      </w:r>
      <w:r w:rsidR="002A5F31">
        <w:rPr>
          <w:snapToGrid w:val="0"/>
        </w:rPr>
        <w:fldChar w:fldCharType="end"/>
      </w:r>
      <w:r w:rsidR="003B7C70">
        <w:rPr>
          <w:snapToGrid w:val="0"/>
        </w:rPr>
        <w:t xml:space="preserve">. </w:t>
      </w:r>
    </w:p>
    <w:p w14:paraId="1B86DB2B" w14:textId="7302B7EB" w:rsidR="00206E4D" w:rsidRPr="00D624A1" w:rsidRDefault="002E783F" w:rsidP="002721B7">
      <w:pPr>
        <w:pStyle w:val="3-BodyText"/>
        <w:rPr>
          <w:snapToGrid w:val="0"/>
          <w:lang w:val="en-GB"/>
        </w:rPr>
      </w:pPr>
      <w:r w:rsidRPr="00486B93">
        <w:rPr>
          <w:snapToGrid w:val="0"/>
        </w:rPr>
        <w:t xml:space="preserve">The PBAC noted that the above changes would </w:t>
      </w:r>
      <w:r w:rsidR="004D16D0" w:rsidRPr="00486B93">
        <w:rPr>
          <w:snapToGrid w:val="0"/>
        </w:rPr>
        <w:t xml:space="preserve">overall </w:t>
      </w:r>
      <w:r w:rsidRPr="00486B93">
        <w:rPr>
          <w:snapToGrid w:val="0"/>
        </w:rPr>
        <w:t xml:space="preserve">result in </w:t>
      </w:r>
      <w:r w:rsidR="00470DAD" w:rsidRPr="00486B93">
        <w:rPr>
          <w:snapToGrid w:val="0"/>
          <w:lang w:val="en-GB"/>
        </w:rPr>
        <w:t xml:space="preserve">the number of scripts for the new population being approximately </w:t>
      </w:r>
      <w:r w:rsidR="00C152F3">
        <w:rPr>
          <w:snapToGrid w:val="0"/>
          <w:lang w:val="en-GB"/>
        </w:rPr>
        <w:t>double</w:t>
      </w:r>
      <w:r w:rsidR="00470DAD" w:rsidRPr="00486B93">
        <w:rPr>
          <w:snapToGrid w:val="0"/>
          <w:lang w:val="en-GB"/>
        </w:rPr>
        <w:t xml:space="preserve"> that for the market share population</w:t>
      </w:r>
      <w:r w:rsidR="000409A8">
        <w:rPr>
          <w:snapToGrid w:val="0"/>
          <w:lang w:val="en-GB"/>
        </w:rPr>
        <w:t>, which is considered reasonable</w:t>
      </w:r>
      <w:r w:rsidR="004D16D0" w:rsidRPr="00486B93">
        <w:rPr>
          <w:snapToGrid w:val="0"/>
          <w:lang w:val="en-GB"/>
        </w:rPr>
        <w:t xml:space="preserve">. </w:t>
      </w:r>
      <w:r w:rsidR="00CE331E" w:rsidRPr="00486B93">
        <w:rPr>
          <w:snapToGrid w:val="0"/>
        </w:rPr>
        <w:t xml:space="preserve">The PBAC </w:t>
      </w:r>
      <w:r w:rsidR="003B4A65" w:rsidRPr="00486B93">
        <w:rPr>
          <w:snapToGrid w:val="0"/>
        </w:rPr>
        <w:t xml:space="preserve">advised </w:t>
      </w:r>
      <w:r w:rsidR="00CE331E" w:rsidRPr="00486B93">
        <w:rPr>
          <w:snapToGrid w:val="0"/>
        </w:rPr>
        <w:t xml:space="preserve">an RSA </w:t>
      </w:r>
      <w:r w:rsidR="00B64060" w:rsidRPr="00486B93">
        <w:rPr>
          <w:snapToGrid w:val="0"/>
        </w:rPr>
        <w:t xml:space="preserve">be used to manage the risk of use in </w:t>
      </w:r>
      <w:r w:rsidR="00D53D5D">
        <w:rPr>
          <w:snapToGrid w:val="0"/>
        </w:rPr>
        <w:t xml:space="preserve">a larger population </w:t>
      </w:r>
      <w:r w:rsidR="0094560D">
        <w:rPr>
          <w:snapToGrid w:val="0"/>
        </w:rPr>
        <w:t xml:space="preserve">noting the potential for use in </w:t>
      </w:r>
      <w:r w:rsidR="00B64060" w:rsidRPr="00486B93">
        <w:rPr>
          <w:snapToGrid w:val="0"/>
        </w:rPr>
        <w:t>patients with less severe PAHH</w:t>
      </w:r>
      <w:r w:rsidR="00731B3F" w:rsidRPr="00486B93">
        <w:rPr>
          <w:snapToGrid w:val="0"/>
        </w:rPr>
        <w:t xml:space="preserve">, </w:t>
      </w:r>
      <w:r w:rsidR="000E13A4" w:rsidRPr="00486B93">
        <w:rPr>
          <w:snapToGrid w:val="0"/>
        </w:rPr>
        <w:t xml:space="preserve">including use in patients </w:t>
      </w:r>
      <w:r w:rsidR="001F73F4" w:rsidRPr="00486B93">
        <w:rPr>
          <w:snapToGrid w:val="0"/>
        </w:rPr>
        <w:t>able to be treated with</w:t>
      </w:r>
      <w:r w:rsidR="00206E4D" w:rsidRPr="00486B93">
        <w:rPr>
          <w:snapToGrid w:val="0"/>
        </w:rPr>
        <w:t xml:space="preserve"> high-strength topical aluminium preparations</w:t>
      </w:r>
      <w:r w:rsidR="000409A8">
        <w:rPr>
          <w:snapToGrid w:val="0"/>
        </w:rPr>
        <w:t>,</w:t>
      </w:r>
      <w:r w:rsidR="00ED7779">
        <w:rPr>
          <w:snapToGrid w:val="0"/>
        </w:rPr>
        <w:t xml:space="preserve"> and the highly </w:t>
      </w:r>
      <w:r w:rsidR="00ED7779" w:rsidRPr="00D624A1">
        <w:rPr>
          <w:snapToGrid w:val="0"/>
        </w:rPr>
        <w:t xml:space="preserve">uncertain </w:t>
      </w:r>
      <w:r w:rsidR="003B14D6" w:rsidRPr="00D624A1">
        <w:rPr>
          <w:snapToGrid w:val="0"/>
        </w:rPr>
        <w:t>pattern of clinical use of GPB</w:t>
      </w:r>
      <w:r w:rsidR="00AA6291" w:rsidRPr="00D624A1">
        <w:rPr>
          <w:snapToGrid w:val="0"/>
        </w:rPr>
        <w:t xml:space="preserve">, </w:t>
      </w:r>
      <w:r w:rsidR="00595F94" w:rsidRPr="00D624A1">
        <w:rPr>
          <w:snapToGrid w:val="0"/>
        </w:rPr>
        <w:t>noting</w:t>
      </w:r>
      <w:r w:rsidR="00AA6291" w:rsidRPr="00D624A1">
        <w:rPr>
          <w:snapToGrid w:val="0"/>
        </w:rPr>
        <w:t xml:space="preserve"> the potential for </w:t>
      </w:r>
      <w:r w:rsidR="00595F94" w:rsidRPr="00D624A1">
        <w:rPr>
          <w:snapToGrid w:val="0"/>
        </w:rPr>
        <w:t xml:space="preserve">patients receiving </w:t>
      </w:r>
      <w:r w:rsidR="00C21956" w:rsidRPr="00D624A1">
        <w:rPr>
          <w:snapToGrid w:val="0"/>
        </w:rPr>
        <w:t>more than 5 scripts per year</w:t>
      </w:r>
      <w:r w:rsidR="00731B3F" w:rsidRPr="00D624A1">
        <w:rPr>
          <w:snapToGrid w:val="0"/>
        </w:rPr>
        <w:t>.</w:t>
      </w:r>
      <w:r w:rsidR="00206E4D" w:rsidRPr="00D624A1">
        <w:rPr>
          <w:snapToGrid w:val="0"/>
        </w:rPr>
        <w:t xml:space="preserve"> </w:t>
      </w:r>
      <w:r w:rsidR="003A2787" w:rsidRPr="00D624A1">
        <w:rPr>
          <w:snapToGrid w:val="0"/>
        </w:rPr>
        <w:t xml:space="preserve">The PBAC </w:t>
      </w:r>
      <w:r w:rsidR="003B14D6" w:rsidRPr="00D624A1">
        <w:rPr>
          <w:snapToGrid w:val="0"/>
        </w:rPr>
        <w:t xml:space="preserve">further </w:t>
      </w:r>
      <w:r w:rsidR="003A2787" w:rsidRPr="00D624A1">
        <w:rPr>
          <w:snapToGrid w:val="0"/>
        </w:rPr>
        <w:t xml:space="preserve">advised </w:t>
      </w:r>
      <w:r w:rsidR="003B4A65" w:rsidRPr="00D624A1">
        <w:rPr>
          <w:snapToGrid w:val="0"/>
        </w:rPr>
        <w:t xml:space="preserve">the </w:t>
      </w:r>
      <w:r w:rsidR="003A2787" w:rsidRPr="00D624A1">
        <w:rPr>
          <w:snapToGrid w:val="0"/>
        </w:rPr>
        <w:t xml:space="preserve">rebate </w:t>
      </w:r>
      <w:r w:rsidR="003B4A65" w:rsidRPr="00D624A1">
        <w:rPr>
          <w:snapToGrid w:val="0"/>
        </w:rPr>
        <w:t>for use exceeding the</w:t>
      </w:r>
      <w:r w:rsidR="003A2787" w:rsidRPr="00D624A1">
        <w:rPr>
          <w:snapToGrid w:val="0"/>
        </w:rPr>
        <w:t xml:space="preserve"> financial caps </w:t>
      </w:r>
      <w:r w:rsidR="006C0867" w:rsidRPr="00D624A1">
        <w:rPr>
          <w:snapToGrid w:val="0"/>
        </w:rPr>
        <w:t xml:space="preserve">should </w:t>
      </w:r>
      <w:r w:rsidR="001A6593" w:rsidRPr="00D624A1">
        <w:rPr>
          <w:snapToGrid w:val="0"/>
        </w:rPr>
        <w:t>be high</w:t>
      </w:r>
      <w:r w:rsidR="00C4427B" w:rsidRPr="00D624A1">
        <w:rPr>
          <w:snapToGrid w:val="0"/>
        </w:rPr>
        <w:t xml:space="preserve"> to contain the financial risk</w:t>
      </w:r>
      <w:r w:rsidR="003A2787" w:rsidRPr="00D624A1">
        <w:rPr>
          <w:snapToGrid w:val="0"/>
        </w:rPr>
        <w:t>.</w:t>
      </w:r>
    </w:p>
    <w:bookmarkEnd w:id="75"/>
    <w:p w14:paraId="3CFE9D70" w14:textId="7DB28978" w:rsidR="00F23901" w:rsidRPr="006E4E73" w:rsidRDefault="00F23901" w:rsidP="002721B7">
      <w:pPr>
        <w:pStyle w:val="3-BodyText"/>
      </w:pPr>
      <w:r w:rsidRPr="007A51E7">
        <w:rPr>
          <w:snapToGrid w:val="0"/>
          <w:lang w:val="en-GB"/>
        </w:rPr>
        <w:t xml:space="preserve">The PBAC advised that </w:t>
      </w:r>
      <w:r w:rsidR="003D73AF">
        <w:rPr>
          <w:lang w:val="en-GB"/>
        </w:rPr>
        <w:t xml:space="preserve">GPB </w:t>
      </w:r>
      <w:r w:rsidRPr="007A51E7">
        <w:rPr>
          <w:snapToGrid w:val="0"/>
          <w:lang w:val="en-GB"/>
        </w:rPr>
        <w:t>is not suitable for prescribing by nurse practitioners</w:t>
      </w:r>
      <w:r>
        <w:rPr>
          <w:snapToGrid w:val="0"/>
          <w:lang w:val="en-GB"/>
        </w:rPr>
        <w:t xml:space="preserve">. </w:t>
      </w:r>
      <w:r w:rsidRPr="00D8553E">
        <w:rPr>
          <w:snapToGrid w:val="0"/>
          <w:lang w:val="en-GB"/>
        </w:rPr>
        <w:t xml:space="preserve">The PBAC advised that </w:t>
      </w:r>
      <w:r w:rsidR="003D73AF">
        <w:rPr>
          <w:lang w:val="en-GB"/>
        </w:rPr>
        <w:t>GPB</w:t>
      </w:r>
      <w:r w:rsidRPr="00525B39">
        <w:rPr>
          <w:lang w:val="en-GB"/>
        </w:rPr>
        <w:t xml:space="preserve"> </w:t>
      </w:r>
      <w:r w:rsidRPr="00D8553E">
        <w:rPr>
          <w:snapToGrid w:val="0"/>
          <w:lang w:val="en-GB"/>
        </w:rPr>
        <w:t>is suitable</w:t>
      </w:r>
      <w:r>
        <w:rPr>
          <w:snapToGrid w:val="0"/>
          <w:lang w:val="en-GB"/>
        </w:rPr>
        <w:t xml:space="preserve"> for prescribing by medical practitioners only.</w:t>
      </w:r>
    </w:p>
    <w:p w14:paraId="0EEA98F3" w14:textId="7D5C8B0E" w:rsidR="00F23901" w:rsidRPr="000D79D3" w:rsidRDefault="00F23901" w:rsidP="002721B7">
      <w:pPr>
        <w:pStyle w:val="3-BodyText"/>
      </w:pPr>
      <w:r w:rsidRPr="006E0938">
        <w:rPr>
          <w:snapToGrid w:val="0"/>
          <w:lang w:val="en-GB"/>
        </w:rPr>
        <w:t>The PBAC recommended that the E</w:t>
      </w:r>
      <w:r w:rsidRPr="00E83839">
        <w:rPr>
          <w:snapToGrid w:val="0"/>
          <w:lang w:val="en-GB"/>
        </w:rPr>
        <w:t xml:space="preserve">arly Supply Rule should </w:t>
      </w:r>
      <w:r w:rsidR="00210B1A" w:rsidRPr="00E83839">
        <w:rPr>
          <w:snapToGrid w:val="0"/>
          <w:lang w:val="en-GB"/>
        </w:rPr>
        <w:t xml:space="preserve">not </w:t>
      </w:r>
      <w:r w:rsidRPr="00E83839">
        <w:rPr>
          <w:snapToGrid w:val="0"/>
          <w:lang w:val="en-GB"/>
        </w:rPr>
        <w:t xml:space="preserve">apply to </w:t>
      </w:r>
      <w:r w:rsidR="003D73AF" w:rsidRPr="00E83839">
        <w:rPr>
          <w:lang w:val="en-GB"/>
        </w:rPr>
        <w:t>GPB</w:t>
      </w:r>
      <w:r w:rsidR="00891DEB">
        <w:rPr>
          <w:lang w:val="en-GB"/>
        </w:rPr>
        <w:t>.</w:t>
      </w:r>
      <w:r w:rsidR="00B423AC" w:rsidRPr="00E83839">
        <w:rPr>
          <w:lang w:val="en-GB"/>
        </w:rPr>
        <w:t xml:space="preserve"> </w:t>
      </w:r>
      <w:r w:rsidRPr="00E83839">
        <w:rPr>
          <w:snapToGrid w:val="0"/>
          <w:lang w:val="en-GB"/>
        </w:rPr>
        <w:t xml:space="preserve">The PBAC noted that the Early Supply Rule </w:t>
      </w:r>
      <w:r w:rsidR="00210B1A" w:rsidRPr="00E83839">
        <w:rPr>
          <w:snapToGrid w:val="0"/>
          <w:lang w:val="en-GB"/>
        </w:rPr>
        <w:t xml:space="preserve">does not apply to </w:t>
      </w:r>
      <w:r w:rsidR="00B423AC" w:rsidRPr="00E83839">
        <w:rPr>
          <w:snapToGrid w:val="0"/>
          <w:lang w:val="en-GB"/>
        </w:rPr>
        <w:t>BTA</w:t>
      </w:r>
      <w:r w:rsidRPr="00E83839">
        <w:rPr>
          <w:snapToGrid w:val="0"/>
          <w:lang w:val="en-GB"/>
        </w:rPr>
        <w:t>.</w:t>
      </w:r>
    </w:p>
    <w:p w14:paraId="322091B4" w14:textId="11C4F28D" w:rsidR="00125808" w:rsidRPr="005C1EC3" w:rsidRDefault="00125808" w:rsidP="002721B7">
      <w:pPr>
        <w:pStyle w:val="3-BodyText"/>
        <w:rPr>
          <w:b/>
          <w:lang w:val="en-GB"/>
        </w:rPr>
      </w:pPr>
      <w:r>
        <w:t xml:space="preserve">The </w:t>
      </w:r>
      <w:r w:rsidRPr="00F350D1">
        <w:rPr>
          <w:lang w:val="en-GB"/>
        </w:rPr>
        <w:t xml:space="preserve">PBAC found that the criteria prescribed by the </w:t>
      </w:r>
      <w:r w:rsidRPr="00F350D1">
        <w:rPr>
          <w:i/>
          <w:lang w:val="en-GB"/>
        </w:rPr>
        <w:t xml:space="preserve">National Health (Pharmaceuticals </w:t>
      </w:r>
      <w:r w:rsidRPr="005C1EC3">
        <w:rPr>
          <w:i/>
          <w:lang w:val="en-GB"/>
        </w:rPr>
        <w:t>and Vaccines – Cost Recovery) Regulations 2022</w:t>
      </w:r>
      <w:r w:rsidRPr="005C1EC3">
        <w:rPr>
          <w:lang w:val="en-GB"/>
        </w:rPr>
        <w:t xml:space="preserve"> for Pricing Pathway A were not met. </w:t>
      </w:r>
      <w:r w:rsidR="008D5F52" w:rsidRPr="005C1EC3">
        <w:rPr>
          <w:lang w:val="en-GB"/>
        </w:rPr>
        <w:t>Specifically,</w:t>
      </w:r>
      <w:r w:rsidRPr="005C1EC3">
        <w:rPr>
          <w:lang w:val="en-GB"/>
        </w:rPr>
        <w:t xml:space="preserve"> the PBAC found that in the circumstances of its recommendation GPB:</w:t>
      </w:r>
    </w:p>
    <w:p w14:paraId="26828540" w14:textId="6418BD71" w:rsidR="00125808" w:rsidRPr="005C1EC3" w:rsidRDefault="00125808" w:rsidP="00077318">
      <w:pPr>
        <w:pStyle w:val="ListParagraph"/>
        <w:numPr>
          <w:ilvl w:val="4"/>
          <w:numId w:val="16"/>
        </w:numPr>
        <w:spacing w:after="0"/>
        <w:ind w:left="960"/>
        <w:jc w:val="both"/>
        <w:rPr>
          <w:lang w:val="en-GB"/>
        </w:rPr>
      </w:pPr>
      <w:r w:rsidRPr="005C1EC3">
        <w:rPr>
          <w:lang w:val="en-GB"/>
        </w:rPr>
        <w:t xml:space="preserve">The treatment is not expected to provide a substantial and clinically relevant improvement in efficacy over alternative </w:t>
      </w:r>
      <w:proofErr w:type="gramStart"/>
      <w:r w:rsidRPr="005C1EC3">
        <w:rPr>
          <w:lang w:val="en-GB"/>
        </w:rPr>
        <w:t>therapies;</w:t>
      </w:r>
      <w:proofErr w:type="gramEnd"/>
      <w:r w:rsidRPr="005C1EC3">
        <w:rPr>
          <w:lang w:val="en-GB"/>
        </w:rPr>
        <w:t xml:space="preserve"> </w:t>
      </w:r>
    </w:p>
    <w:p w14:paraId="783EC070" w14:textId="77777777" w:rsidR="00125808" w:rsidRPr="00716624" w:rsidRDefault="00125808" w:rsidP="00077318">
      <w:pPr>
        <w:pStyle w:val="ListParagraph"/>
        <w:numPr>
          <w:ilvl w:val="4"/>
          <w:numId w:val="16"/>
        </w:numPr>
        <w:spacing w:after="0"/>
        <w:ind w:left="960"/>
        <w:jc w:val="both"/>
        <w:rPr>
          <w:lang w:val="en-GB"/>
        </w:rPr>
      </w:pPr>
      <w:r w:rsidRPr="00716624">
        <w:rPr>
          <w:lang w:val="en-GB"/>
        </w:rPr>
        <w:t xml:space="preserve">The treatment is not expected to address a high and urgent unmet clinical </w:t>
      </w:r>
      <w:proofErr w:type="gramStart"/>
      <w:r w:rsidRPr="00716624">
        <w:rPr>
          <w:lang w:val="en-GB"/>
        </w:rPr>
        <w:t>need;</w:t>
      </w:r>
      <w:proofErr w:type="gramEnd"/>
    </w:p>
    <w:p w14:paraId="376FED52" w14:textId="06B576A4" w:rsidR="00850636" w:rsidRPr="00716624" w:rsidRDefault="00125808" w:rsidP="00B441B0">
      <w:pPr>
        <w:pStyle w:val="ListParagraph"/>
        <w:numPr>
          <w:ilvl w:val="4"/>
          <w:numId w:val="16"/>
        </w:numPr>
        <w:ind w:left="958" w:hanging="357"/>
        <w:jc w:val="both"/>
      </w:pPr>
      <w:r w:rsidRPr="00716624">
        <w:rPr>
          <w:lang w:val="en-GB"/>
        </w:rPr>
        <w:t>It was not necessary to make a finding in relation to whether it would be in the public interest for the subsequent pricing application to be progressed under Pricing Pathway A because one or more of the preceding tests had failed</w:t>
      </w:r>
      <w:r w:rsidR="00850636" w:rsidRPr="00716624">
        <w:rPr>
          <w:rFonts w:cstheme="minorHAnsi"/>
          <w:lang w:val="en-GB"/>
        </w:rPr>
        <w:t>.</w:t>
      </w:r>
    </w:p>
    <w:p w14:paraId="153A4FFD" w14:textId="72335C7C" w:rsidR="00F23901" w:rsidRPr="005860B9" w:rsidRDefault="00F23901" w:rsidP="002721B7">
      <w:pPr>
        <w:pStyle w:val="3-BodyText"/>
        <w:rPr>
          <w:bCs/>
          <w:snapToGrid w:val="0"/>
          <w:lang w:val="en-GB"/>
        </w:rPr>
      </w:pPr>
      <w:r w:rsidRPr="00525B39">
        <w:rPr>
          <w:snapToGrid w:val="0"/>
          <w:lang w:val="en-GB"/>
        </w:rPr>
        <w:t>The PBAC noted that this submission is not eligible for an Independent Review</w:t>
      </w:r>
      <w:r>
        <w:rPr>
          <w:bCs/>
          <w:snapToGrid w:val="0"/>
          <w:lang w:val="en-GB"/>
        </w:rPr>
        <w:t xml:space="preserve"> because it received a positive recommendation.</w:t>
      </w:r>
    </w:p>
    <w:p w14:paraId="6E8F22DC" w14:textId="77777777" w:rsidR="005C1F94" w:rsidRPr="00525B39" w:rsidRDefault="005C1F94" w:rsidP="005C1F94">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4D155A7" w14:textId="4DBEB0D5" w:rsidR="00555D34" w:rsidRPr="00555D34" w:rsidRDefault="005C1F94" w:rsidP="00555D34">
      <w:pPr>
        <w:rPr>
          <w:rFonts w:asciiTheme="minorHAnsi" w:hAnsiTheme="minorHAnsi"/>
          <w:bCs/>
          <w:snapToGrid w:val="0"/>
          <w:lang w:val="en-GB"/>
        </w:rPr>
      </w:pPr>
      <w:r w:rsidRPr="00525B39">
        <w:rPr>
          <w:rFonts w:asciiTheme="minorHAnsi" w:hAnsiTheme="minorHAnsi"/>
          <w:bCs/>
          <w:snapToGrid w:val="0"/>
          <w:lang w:val="en-GB"/>
        </w:rPr>
        <w:t>Recommended</w:t>
      </w:r>
      <w:r w:rsidR="00555D34">
        <w:rPr>
          <w:rFonts w:asciiTheme="minorHAnsi" w:hAnsiTheme="minorHAnsi"/>
          <w:b/>
          <w:bCs/>
          <w:snapToGrid w:val="0"/>
        </w:rPr>
        <w:br w:type="page"/>
      </w:r>
    </w:p>
    <w:p w14:paraId="2D519DC1" w14:textId="77777777" w:rsidR="005C1F94" w:rsidRPr="00525B39" w:rsidRDefault="005C1F94" w:rsidP="005C1F94">
      <w:pPr>
        <w:widowControl w:val="0"/>
        <w:rPr>
          <w:rFonts w:asciiTheme="minorHAnsi" w:hAnsiTheme="minorHAnsi"/>
          <w:b/>
          <w:bCs/>
          <w:snapToGrid w:val="0"/>
        </w:rPr>
      </w:pPr>
    </w:p>
    <w:bookmarkEnd w:id="73"/>
    <w:p w14:paraId="38528239" w14:textId="16FADAA6" w:rsidR="005C1F94" w:rsidRPr="00907671" w:rsidRDefault="005C1F94" w:rsidP="005C1F94">
      <w:pPr>
        <w:pStyle w:val="2-SectionHeading"/>
        <w:numPr>
          <w:ilvl w:val="0"/>
          <w:numId w:val="1"/>
        </w:numPr>
      </w:pPr>
      <w:r w:rsidRPr="00907671">
        <w:t>Recommended listing</w:t>
      </w:r>
    </w:p>
    <w:p w14:paraId="3FFCCCF8" w14:textId="77777777" w:rsidR="005C1F94" w:rsidRPr="00EC2051" w:rsidRDefault="005C1F94" w:rsidP="00EC2051">
      <w:pPr>
        <w:widowControl w:val="0"/>
        <w:numPr>
          <w:ilvl w:val="1"/>
          <w:numId w:val="1"/>
        </w:numPr>
        <w:spacing w:after="120"/>
        <w:contextualSpacing/>
        <w:rPr>
          <w:rFonts w:asciiTheme="minorHAnsi" w:hAnsiTheme="minorHAnsi"/>
          <w:b/>
          <w:bCs/>
          <w:snapToGrid w:val="0"/>
        </w:rPr>
      </w:pPr>
      <w:r w:rsidRPr="00EC2051">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567"/>
        <w:gridCol w:w="2668"/>
        <w:gridCol w:w="811"/>
        <w:gridCol w:w="812"/>
        <w:gridCol w:w="811"/>
        <w:gridCol w:w="812"/>
        <w:gridCol w:w="1831"/>
      </w:tblGrid>
      <w:tr w:rsidR="0066421A" w14:paraId="39E2EE62" w14:textId="77777777" w:rsidTr="001B79AC">
        <w:trPr>
          <w:cantSplit/>
          <w:trHeight w:val="20"/>
        </w:trPr>
        <w:tc>
          <w:tcPr>
            <w:tcW w:w="3940" w:type="dxa"/>
            <w:gridSpan w:val="3"/>
            <w:tcBorders>
              <w:top w:val="single" w:sz="4" w:space="0" w:color="auto"/>
              <w:left w:val="single" w:sz="4" w:space="0" w:color="auto"/>
              <w:bottom w:val="single" w:sz="4" w:space="0" w:color="auto"/>
              <w:right w:val="single" w:sz="4" w:space="0" w:color="auto"/>
            </w:tcBorders>
            <w:vAlign w:val="center"/>
            <w:hideMark/>
          </w:tcPr>
          <w:p w14:paraId="53719B46" w14:textId="77777777" w:rsidR="0066421A" w:rsidRPr="00006E98" w:rsidRDefault="0066421A" w:rsidP="00006E98">
            <w:pPr>
              <w:keepLines/>
              <w:jc w:val="left"/>
              <w:rPr>
                <w:rFonts w:ascii="Arial Narrow" w:hAnsi="Arial Narrow"/>
                <w:b/>
                <w:sz w:val="20"/>
                <w:szCs w:val="20"/>
              </w:rPr>
            </w:pPr>
            <w:r w:rsidRPr="00006E98">
              <w:rPr>
                <w:rFonts w:ascii="Arial Narrow" w:hAnsi="Arial Narrow"/>
                <w:b/>
                <w:sz w:val="20"/>
                <w:szCs w:val="20"/>
              </w:rPr>
              <w:t>MEDICINAL PRODUCT</w:t>
            </w:r>
          </w:p>
          <w:p w14:paraId="485EA72B" w14:textId="77777777" w:rsidR="0066421A" w:rsidRDefault="0066421A" w:rsidP="00006E98">
            <w:pPr>
              <w:keepLines/>
              <w:jc w:val="left"/>
              <w:rPr>
                <w:b/>
              </w:rPr>
            </w:pPr>
            <w:r w:rsidRPr="00006E98">
              <w:rPr>
                <w:rFonts w:ascii="Arial Narrow" w:hAnsi="Arial Narrow"/>
                <w:b/>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723FF52F" w14:textId="77777777" w:rsidR="0066421A" w:rsidRDefault="0066421A">
            <w:pPr>
              <w:keepLines/>
              <w:jc w:val="center"/>
              <w:rPr>
                <w:rFonts w:ascii="Arial Narrow" w:hAnsi="Arial Narrow"/>
                <w:b/>
                <w:sz w:val="20"/>
                <w:szCs w:val="20"/>
              </w:rPr>
            </w:pPr>
            <w:r>
              <w:rPr>
                <w:rFonts w:ascii="Arial Narrow" w:hAnsi="Arial Narrow"/>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1AAE00BD" w14:textId="77777777" w:rsidR="0066421A" w:rsidRDefault="0066421A">
            <w:pPr>
              <w:keepLines/>
              <w:jc w:val="center"/>
              <w:rPr>
                <w:rFonts w:ascii="Arial Narrow" w:hAnsi="Arial Narrow"/>
                <w:b/>
                <w:sz w:val="20"/>
                <w:szCs w:val="20"/>
              </w:rPr>
            </w:pPr>
            <w:r>
              <w:rPr>
                <w:rFonts w:ascii="Arial Narrow" w:hAnsi="Arial Narrow"/>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205F2575" w14:textId="77777777" w:rsidR="0066421A" w:rsidRDefault="0066421A">
            <w:pPr>
              <w:keepLines/>
              <w:jc w:val="center"/>
              <w:rPr>
                <w:rFonts w:ascii="Arial Narrow" w:hAnsi="Arial Narrow"/>
                <w:b/>
                <w:sz w:val="20"/>
                <w:szCs w:val="20"/>
              </w:rPr>
            </w:pPr>
            <w:r>
              <w:rPr>
                <w:rFonts w:ascii="Arial Narrow" w:hAnsi="Arial Narrow"/>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7D2CC853" w14:textId="77777777" w:rsidR="0066421A" w:rsidRDefault="0066421A">
            <w:pPr>
              <w:keepLines/>
              <w:jc w:val="center"/>
              <w:rPr>
                <w:rFonts w:ascii="Arial Narrow" w:hAnsi="Arial Narrow"/>
                <w:b/>
                <w:sz w:val="20"/>
                <w:szCs w:val="20"/>
              </w:rPr>
            </w:pPr>
            <w:r>
              <w:rPr>
                <w:rFonts w:ascii="Arial Narrow" w:hAnsi="Arial Narrow"/>
                <w:b/>
                <w:sz w:val="20"/>
                <w:szCs w:val="20"/>
              </w:rPr>
              <w:t>№.of</w:t>
            </w:r>
          </w:p>
          <w:p w14:paraId="3A0E1BA7" w14:textId="77777777" w:rsidR="0066421A" w:rsidRDefault="0066421A">
            <w:pPr>
              <w:keepLines/>
              <w:jc w:val="center"/>
              <w:rPr>
                <w:rFonts w:ascii="Arial Narrow" w:hAnsi="Arial Narrow"/>
                <w:b/>
                <w:sz w:val="20"/>
                <w:szCs w:val="20"/>
              </w:rPr>
            </w:pPr>
            <w:proofErr w:type="spellStart"/>
            <w:r>
              <w:rPr>
                <w:rFonts w:ascii="Arial Narrow" w:hAnsi="Arial Narrow"/>
                <w:b/>
                <w:sz w:val="20"/>
                <w:szCs w:val="20"/>
              </w:rPr>
              <w:t>Rpts</w:t>
            </w:r>
            <w:proofErr w:type="spellEnd"/>
          </w:p>
        </w:tc>
        <w:tc>
          <w:tcPr>
            <w:tcW w:w="1831" w:type="dxa"/>
            <w:tcBorders>
              <w:top w:val="single" w:sz="4" w:space="0" w:color="auto"/>
              <w:left w:val="single" w:sz="4" w:space="0" w:color="auto"/>
              <w:bottom w:val="single" w:sz="4" w:space="0" w:color="auto"/>
              <w:right w:val="single" w:sz="4" w:space="0" w:color="auto"/>
            </w:tcBorders>
            <w:vAlign w:val="center"/>
            <w:hideMark/>
          </w:tcPr>
          <w:p w14:paraId="4A47A71D" w14:textId="77777777" w:rsidR="0066421A" w:rsidRDefault="0066421A">
            <w:pPr>
              <w:keepLines/>
              <w:rPr>
                <w:rFonts w:ascii="Arial Narrow" w:hAnsi="Arial Narrow"/>
                <w:b/>
                <w:sz w:val="20"/>
                <w:szCs w:val="20"/>
                <w:lang w:val="fr-FR"/>
              </w:rPr>
            </w:pPr>
            <w:r>
              <w:rPr>
                <w:rFonts w:ascii="Arial Narrow" w:hAnsi="Arial Narrow"/>
                <w:b/>
                <w:sz w:val="20"/>
                <w:szCs w:val="20"/>
              </w:rPr>
              <w:t>Available brands</w:t>
            </w:r>
          </w:p>
        </w:tc>
      </w:tr>
      <w:tr w:rsidR="0066421A" w14:paraId="1974226F" w14:textId="77777777" w:rsidTr="001B79AC">
        <w:trPr>
          <w:cantSplit/>
          <w:trHeight w:val="20"/>
        </w:trPr>
        <w:tc>
          <w:tcPr>
            <w:tcW w:w="9017" w:type="dxa"/>
            <w:gridSpan w:val="8"/>
            <w:tcBorders>
              <w:top w:val="single" w:sz="4" w:space="0" w:color="auto"/>
              <w:left w:val="single" w:sz="4" w:space="0" w:color="auto"/>
              <w:bottom w:val="single" w:sz="4" w:space="0" w:color="auto"/>
              <w:right w:val="single" w:sz="4" w:space="0" w:color="auto"/>
            </w:tcBorders>
            <w:vAlign w:val="center"/>
            <w:hideMark/>
          </w:tcPr>
          <w:p w14:paraId="51E00030" w14:textId="77777777" w:rsidR="0066421A" w:rsidRDefault="0066421A">
            <w:pPr>
              <w:keepLines/>
              <w:rPr>
                <w:rFonts w:ascii="Arial Narrow" w:hAnsi="Arial Narrow"/>
                <w:sz w:val="20"/>
                <w:szCs w:val="20"/>
              </w:rPr>
            </w:pPr>
            <w:r>
              <w:rPr>
                <w:rFonts w:ascii="Arial Narrow" w:hAnsi="Arial Narrow"/>
                <w:sz w:val="20"/>
                <w:szCs w:val="20"/>
              </w:rPr>
              <w:t>GLYCOPYRRONIUM</w:t>
            </w:r>
          </w:p>
        </w:tc>
      </w:tr>
      <w:tr w:rsidR="0066421A" w14:paraId="5C5BBC78" w14:textId="77777777" w:rsidTr="001B79AC">
        <w:trPr>
          <w:cantSplit/>
          <w:trHeight w:val="20"/>
        </w:trPr>
        <w:tc>
          <w:tcPr>
            <w:tcW w:w="3940" w:type="dxa"/>
            <w:gridSpan w:val="3"/>
            <w:tcBorders>
              <w:top w:val="single" w:sz="4" w:space="0" w:color="auto"/>
              <w:left w:val="single" w:sz="4" w:space="0" w:color="auto"/>
              <w:bottom w:val="single" w:sz="4" w:space="0" w:color="auto"/>
              <w:right w:val="single" w:sz="4" w:space="0" w:color="auto"/>
            </w:tcBorders>
            <w:hideMark/>
          </w:tcPr>
          <w:p w14:paraId="1759AC82" w14:textId="5AF063BC" w:rsidR="0066421A" w:rsidRDefault="0066421A">
            <w:pPr>
              <w:keepLines/>
              <w:rPr>
                <w:rFonts w:ascii="Arial Narrow" w:hAnsi="Arial Narrow"/>
                <w:sz w:val="20"/>
                <w:szCs w:val="20"/>
              </w:rPr>
            </w:pPr>
            <w:r>
              <w:rPr>
                <w:rFonts w:ascii="Arial Narrow" w:hAnsi="Arial Narrow"/>
                <w:sz w:val="20"/>
                <w:szCs w:val="20"/>
              </w:rPr>
              <w:t>Glycopyrronium bromide cream, 50 g</w:t>
            </w:r>
            <w:r w:rsidR="00AB04F6">
              <w:rPr>
                <w:rFonts w:ascii="Arial Narrow" w:hAnsi="Arial Narrow"/>
                <w:sz w:val="20"/>
                <w:szCs w:val="20"/>
              </w:rPr>
              <w:t xml:space="preserve"> </w:t>
            </w:r>
          </w:p>
        </w:tc>
        <w:tc>
          <w:tcPr>
            <w:tcW w:w="811" w:type="dxa"/>
            <w:tcBorders>
              <w:top w:val="single" w:sz="4" w:space="0" w:color="auto"/>
              <w:left w:val="single" w:sz="4" w:space="0" w:color="auto"/>
              <w:bottom w:val="single" w:sz="4" w:space="0" w:color="auto"/>
              <w:right w:val="single" w:sz="4" w:space="0" w:color="auto"/>
            </w:tcBorders>
            <w:hideMark/>
          </w:tcPr>
          <w:p w14:paraId="663BA2D5" w14:textId="77777777" w:rsidR="0066421A" w:rsidRDefault="0066421A">
            <w:pPr>
              <w:keepLines/>
              <w:jc w:val="center"/>
              <w:rPr>
                <w:rFonts w:ascii="Arial Narrow" w:hAnsi="Arial Narrow"/>
                <w:sz w:val="20"/>
                <w:szCs w:val="20"/>
              </w:rPr>
            </w:pPr>
            <w:r>
              <w:rPr>
                <w:rFonts w:ascii="Arial Narrow" w:hAnsi="Arial Narrow"/>
                <w:sz w:val="20"/>
                <w:szCs w:val="20"/>
              </w:rPr>
              <w:t>New</w:t>
            </w:r>
          </w:p>
        </w:tc>
        <w:tc>
          <w:tcPr>
            <w:tcW w:w="812" w:type="dxa"/>
            <w:tcBorders>
              <w:top w:val="single" w:sz="4" w:space="0" w:color="auto"/>
              <w:left w:val="single" w:sz="4" w:space="0" w:color="auto"/>
              <w:bottom w:val="single" w:sz="4" w:space="0" w:color="auto"/>
              <w:right w:val="single" w:sz="4" w:space="0" w:color="auto"/>
            </w:tcBorders>
            <w:hideMark/>
          </w:tcPr>
          <w:p w14:paraId="18E2BAA5" w14:textId="77777777" w:rsidR="0066421A" w:rsidRDefault="0066421A">
            <w:pPr>
              <w:keepLines/>
              <w:jc w:val="center"/>
              <w:rPr>
                <w:rFonts w:ascii="Arial Narrow" w:hAnsi="Arial Narrow"/>
                <w:sz w:val="20"/>
                <w:szCs w:val="20"/>
              </w:rPr>
            </w:pPr>
            <w:r>
              <w:rPr>
                <w:rFonts w:ascii="Arial Narrow" w:hAnsi="Arial Narrow"/>
                <w:sz w:val="20"/>
                <w:szCs w:val="20"/>
              </w:rPr>
              <w:t>1</w:t>
            </w:r>
          </w:p>
        </w:tc>
        <w:tc>
          <w:tcPr>
            <w:tcW w:w="811" w:type="dxa"/>
            <w:tcBorders>
              <w:top w:val="single" w:sz="4" w:space="0" w:color="auto"/>
              <w:left w:val="single" w:sz="4" w:space="0" w:color="auto"/>
              <w:bottom w:val="single" w:sz="4" w:space="0" w:color="auto"/>
              <w:right w:val="single" w:sz="4" w:space="0" w:color="auto"/>
            </w:tcBorders>
            <w:hideMark/>
          </w:tcPr>
          <w:p w14:paraId="4D1F09AF" w14:textId="77777777" w:rsidR="0066421A" w:rsidRDefault="0066421A">
            <w:pPr>
              <w:keepLines/>
              <w:jc w:val="center"/>
              <w:rPr>
                <w:rFonts w:ascii="Arial Narrow" w:hAnsi="Arial Narrow"/>
                <w:sz w:val="20"/>
                <w:szCs w:val="20"/>
              </w:rPr>
            </w:pPr>
            <w:r>
              <w:rPr>
                <w:rFonts w:ascii="Arial Narrow" w:hAnsi="Arial Narrow"/>
                <w:sz w:val="20"/>
                <w:szCs w:val="20"/>
              </w:rPr>
              <w:t>1</w:t>
            </w:r>
          </w:p>
        </w:tc>
        <w:tc>
          <w:tcPr>
            <w:tcW w:w="812" w:type="dxa"/>
            <w:tcBorders>
              <w:top w:val="single" w:sz="4" w:space="0" w:color="auto"/>
              <w:left w:val="single" w:sz="4" w:space="0" w:color="auto"/>
              <w:bottom w:val="single" w:sz="4" w:space="0" w:color="auto"/>
              <w:right w:val="single" w:sz="4" w:space="0" w:color="auto"/>
            </w:tcBorders>
            <w:hideMark/>
          </w:tcPr>
          <w:p w14:paraId="3AC34BD3" w14:textId="77777777" w:rsidR="0066421A" w:rsidRDefault="0066421A">
            <w:pPr>
              <w:keepLines/>
              <w:jc w:val="center"/>
              <w:rPr>
                <w:rFonts w:ascii="Arial Narrow" w:hAnsi="Arial Narrow"/>
                <w:sz w:val="20"/>
                <w:szCs w:val="20"/>
              </w:rPr>
            </w:pPr>
            <w:r>
              <w:rPr>
                <w:rFonts w:ascii="Arial Narrow" w:hAnsi="Arial Narrow"/>
                <w:sz w:val="20"/>
                <w:szCs w:val="20"/>
              </w:rPr>
              <w:t>2</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140C1E7" w14:textId="77777777" w:rsidR="0066421A" w:rsidRDefault="0066421A">
            <w:pPr>
              <w:keepLines/>
              <w:rPr>
                <w:rFonts w:ascii="Arial Narrow" w:hAnsi="Arial Narrow"/>
                <w:sz w:val="20"/>
                <w:szCs w:val="20"/>
              </w:rPr>
            </w:pPr>
            <w:r>
              <w:rPr>
                <w:rFonts w:ascii="Arial Narrow" w:hAnsi="Arial Narrow"/>
                <w:sz w:val="20"/>
                <w:szCs w:val="20"/>
              </w:rPr>
              <w:t>Axhidrox</w:t>
            </w:r>
          </w:p>
        </w:tc>
      </w:tr>
      <w:tr w:rsidR="0066421A" w14:paraId="0B17AD1F" w14:textId="77777777" w:rsidTr="001B79AC">
        <w:trPr>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5A23AE" w14:textId="77777777" w:rsidR="0066421A" w:rsidRDefault="0066421A">
            <w:pPr>
              <w:rPr>
                <w:rFonts w:ascii="Arial Narrow" w:hAnsi="Arial Narrow"/>
                <w:sz w:val="20"/>
                <w:szCs w:val="20"/>
              </w:rPr>
            </w:pPr>
          </w:p>
        </w:tc>
      </w:tr>
      <w:tr w:rsidR="0066421A" w14:paraId="457D00DA" w14:textId="77777777" w:rsidTr="001B79AC">
        <w:trPr>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5928BF" w14:textId="77777777" w:rsidR="0066421A" w:rsidRDefault="0066421A">
            <w:pPr>
              <w:keepLines/>
              <w:rPr>
                <w:rFonts w:ascii="Arial Narrow" w:hAnsi="Arial Narrow"/>
                <w:b/>
                <w:sz w:val="20"/>
                <w:szCs w:val="20"/>
              </w:rPr>
            </w:pPr>
            <w:r>
              <w:rPr>
                <w:rFonts w:ascii="Arial Narrow" w:hAnsi="Arial Narrow"/>
                <w:b/>
                <w:sz w:val="20"/>
                <w:szCs w:val="20"/>
              </w:rPr>
              <w:t>Restriction Summary [new]</w:t>
            </w:r>
            <w:r>
              <w:rPr>
                <w:rFonts w:ascii="Arial Narrow" w:hAnsi="Arial Narrow"/>
                <w:b/>
                <w:color w:val="FF0000"/>
                <w:sz w:val="20"/>
                <w:szCs w:val="20"/>
              </w:rPr>
              <w:t xml:space="preserve"> </w:t>
            </w:r>
            <w:r>
              <w:rPr>
                <w:rFonts w:ascii="Arial Narrow" w:hAnsi="Arial Narrow"/>
                <w:b/>
                <w:sz w:val="20"/>
                <w:szCs w:val="20"/>
              </w:rPr>
              <w:t>/ Treatment of Concept: [new]</w:t>
            </w:r>
          </w:p>
        </w:tc>
      </w:tr>
      <w:tr w:rsidR="0066421A" w14:paraId="04E400B9" w14:textId="77777777" w:rsidTr="001B79AC">
        <w:trPr>
          <w:trHeight w:val="20"/>
        </w:trPr>
        <w:tc>
          <w:tcPr>
            <w:tcW w:w="1272"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7968063" w14:textId="77777777" w:rsidR="0066421A" w:rsidRDefault="0066421A">
            <w:pPr>
              <w:jc w:val="center"/>
              <w:rPr>
                <w:rFonts w:ascii="Arial Narrow" w:hAnsi="Arial Narrow"/>
                <w:b/>
                <w:sz w:val="20"/>
                <w:szCs w:val="20"/>
              </w:rPr>
            </w:pPr>
            <w:r>
              <w:rPr>
                <w:rFonts w:ascii="Arial Narrow" w:hAnsi="Arial Narrow"/>
                <w:b/>
                <w:sz w:val="20"/>
                <w:szCs w:val="20"/>
              </w:rPr>
              <w:t xml:space="preserve">Concept ID </w:t>
            </w:r>
            <w:r>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C843F6" w14:textId="77777777" w:rsidR="0066421A" w:rsidRDefault="0066421A">
            <w:pPr>
              <w:keepLines/>
              <w:rPr>
                <w:rFonts w:ascii="Arial Narrow" w:hAnsi="Arial Narrow"/>
                <w:sz w:val="20"/>
                <w:szCs w:val="20"/>
              </w:rPr>
            </w:pPr>
            <w:r>
              <w:rPr>
                <w:rFonts w:ascii="Arial Narrow" w:hAnsi="Arial Narrow"/>
                <w:b/>
                <w:sz w:val="20"/>
                <w:szCs w:val="20"/>
              </w:rPr>
              <w:t>Category / Program:</w:t>
            </w:r>
            <w:r>
              <w:rPr>
                <w:rFonts w:ascii="Arial Narrow" w:hAnsi="Arial Narrow"/>
                <w:color w:val="FF0000"/>
                <w:sz w:val="20"/>
                <w:szCs w:val="20"/>
              </w:rPr>
              <w:t xml:space="preserve"> </w:t>
            </w:r>
            <w:r>
              <w:rPr>
                <w:rFonts w:ascii="Arial Narrow" w:eastAsia="Calibri" w:hAnsi="Arial Narrow"/>
                <w:sz w:val="20"/>
                <w:szCs w:val="20"/>
              </w:rPr>
              <w:fldChar w:fldCharType="begin" w:fldLock="1">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Times New Roman" w:eastAsiaTheme="minorHAnsi" w:hAnsi="Times New Roman" w:cs="Times New Roman"/>
                <w:lang w:eastAsia="en-US"/>
              </w:rPr>
              <w:fldChar w:fldCharType="end"/>
            </w:r>
            <w:r>
              <w:rPr>
                <w:rFonts w:ascii="Arial Narrow" w:eastAsia="Calibri" w:hAnsi="Arial Narrow"/>
                <w:sz w:val="20"/>
                <w:szCs w:val="20"/>
              </w:rPr>
              <w:t xml:space="preserve"> GENERAL - General Schedule (Code GE) </w:t>
            </w:r>
          </w:p>
        </w:tc>
      </w:tr>
      <w:tr w:rsidR="0066421A" w14:paraId="79C18622" w14:textId="77777777" w:rsidTr="001B79AC">
        <w:trPr>
          <w:trHeight w:val="20"/>
        </w:trPr>
        <w:tc>
          <w:tcPr>
            <w:tcW w:w="1272" w:type="dxa"/>
            <w:gridSpan w:val="2"/>
            <w:vMerge/>
            <w:tcBorders>
              <w:top w:val="single" w:sz="4" w:space="0" w:color="auto"/>
              <w:left w:val="single" w:sz="4" w:space="0" w:color="auto"/>
              <w:bottom w:val="single" w:sz="4" w:space="0" w:color="auto"/>
              <w:right w:val="single" w:sz="4" w:space="0" w:color="auto"/>
            </w:tcBorders>
            <w:vAlign w:val="center"/>
            <w:hideMark/>
          </w:tcPr>
          <w:p w14:paraId="39FC7035" w14:textId="77777777" w:rsidR="0066421A" w:rsidRDefault="0066421A">
            <w:pP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69612B" w14:textId="77777777" w:rsidR="0066421A" w:rsidRDefault="0066421A">
            <w:pPr>
              <w:keepLines/>
              <w:rPr>
                <w:rFonts w:ascii="Arial Narrow" w:hAnsi="Arial Narrow"/>
                <w:b/>
                <w:sz w:val="20"/>
                <w:szCs w:val="20"/>
              </w:rPr>
            </w:pPr>
            <w:r>
              <w:rPr>
                <w:rFonts w:ascii="Arial Narrow" w:hAnsi="Arial Narrow"/>
                <w:b/>
                <w:sz w:val="20"/>
                <w:szCs w:val="20"/>
              </w:rPr>
              <w:t>Prescriber type:</w:t>
            </w:r>
            <w:r>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p>
        </w:tc>
      </w:tr>
      <w:tr w:rsidR="0066421A" w14:paraId="04983F7E" w14:textId="77777777" w:rsidTr="001B79AC">
        <w:trPr>
          <w:trHeight w:val="20"/>
        </w:trPr>
        <w:tc>
          <w:tcPr>
            <w:tcW w:w="1272" w:type="dxa"/>
            <w:gridSpan w:val="2"/>
            <w:vMerge/>
            <w:tcBorders>
              <w:top w:val="single" w:sz="4" w:space="0" w:color="auto"/>
              <w:left w:val="single" w:sz="4" w:space="0" w:color="auto"/>
              <w:bottom w:val="single" w:sz="4" w:space="0" w:color="auto"/>
              <w:right w:val="single" w:sz="4" w:space="0" w:color="auto"/>
            </w:tcBorders>
            <w:vAlign w:val="center"/>
            <w:hideMark/>
          </w:tcPr>
          <w:p w14:paraId="1043CC8D" w14:textId="77777777" w:rsidR="0066421A" w:rsidRDefault="0066421A">
            <w:pP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0AFCFD" w14:textId="77777777" w:rsidR="0066421A" w:rsidRDefault="0066421A">
            <w:pPr>
              <w:keepLines/>
              <w:rPr>
                <w:rFonts w:ascii="Arial Narrow" w:hAnsi="Arial Narrow"/>
                <w:b/>
                <w:sz w:val="20"/>
                <w:szCs w:val="20"/>
              </w:rPr>
            </w:pPr>
            <w:r>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Authority Required (Streamlined) [new]</w:t>
            </w:r>
            <w:r>
              <w:rPr>
                <w:rFonts w:ascii="Arial Narrow" w:eastAsia="Calibri" w:hAnsi="Arial Narrow"/>
                <w:color w:val="FF0000"/>
                <w:sz w:val="20"/>
                <w:szCs w:val="20"/>
              </w:rPr>
              <w:t xml:space="preserve"> </w:t>
            </w:r>
          </w:p>
        </w:tc>
      </w:tr>
      <w:tr w:rsidR="0066421A" w14:paraId="626D1B60" w14:textId="77777777" w:rsidTr="001B79AC">
        <w:trPr>
          <w:trHeight w:val="1084"/>
        </w:trPr>
        <w:tc>
          <w:tcPr>
            <w:tcW w:w="70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5FC8867C" w14:textId="77777777" w:rsidR="0066421A" w:rsidRDefault="0066421A">
            <w:pPr>
              <w:jc w:val="center"/>
              <w:rPr>
                <w:rFonts w:ascii="Arial Narrow" w:hAnsi="Arial Narrow"/>
                <w:sz w:val="20"/>
                <w:szCs w:val="20"/>
              </w:rPr>
            </w:pPr>
            <w:r>
              <w:rPr>
                <w:rFonts w:ascii="Arial Narrow" w:hAnsi="Arial Narrow"/>
                <w:sz w:val="20"/>
                <w:szCs w:val="20"/>
              </w:rPr>
              <w:t>Prescribing rule level</w:t>
            </w:r>
          </w:p>
        </w:tc>
        <w:tc>
          <w:tcPr>
            <w:tcW w:w="56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DC285A" w14:textId="2144C59D" w:rsidR="0066421A" w:rsidRDefault="0066421A">
            <w:pPr>
              <w:jc w:val="center"/>
              <w:rPr>
                <w:rFonts w:ascii="Arial Narrow" w:hAnsi="Arial Narrow"/>
                <w:i/>
                <w:iCs/>
                <w:color w:val="333333"/>
                <w:sz w:val="20"/>
                <w:szCs w:val="20"/>
              </w:rPr>
            </w:pPr>
            <w:r>
              <w:rPr>
                <w:rFonts w:ascii="Arial Narrow" w:hAnsi="Arial Narrow"/>
                <w:i/>
                <w:iCs/>
                <w:color w:val="333333"/>
                <w:sz w:val="20"/>
                <w:szCs w:val="20"/>
              </w:rPr>
              <w:t xml:space="preserve">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04CE59" w14:textId="77777777" w:rsidR="0066421A" w:rsidRDefault="0066421A">
            <w:pPr>
              <w:rPr>
                <w:rFonts w:ascii="Arial Narrow" w:hAnsi="Arial Narrow"/>
                <w:b/>
                <w:bCs/>
                <w:color w:val="333333"/>
                <w:sz w:val="20"/>
                <w:szCs w:val="20"/>
              </w:rPr>
            </w:pPr>
            <w:r>
              <w:rPr>
                <w:rFonts w:ascii="Arial Narrow" w:hAnsi="Arial Narrow"/>
                <w:b/>
                <w:bCs/>
                <w:i/>
                <w:iCs/>
                <w:sz w:val="20"/>
                <w:szCs w:val="20"/>
                <w:bdr w:val="none" w:sz="0" w:space="0" w:color="auto" w:frame="1"/>
              </w:rPr>
              <w:t>Caution:</w:t>
            </w:r>
            <w:r>
              <w:rPr>
                <w:rFonts w:ascii="Arial Narrow" w:hAnsi="Arial Narrow"/>
                <w:i/>
                <w:iCs/>
                <w:sz w:val="20"/>
                <w:szCs w:val="20"/>
                <w:bdr w:val="none" w:sz="0" w:space="0" w:color="auto" w:frame="1"/>
              </w:rPr>
              <w:t xml:space="preserve"> The anticholinergic effect of this medicine may exacerbate pre-existing medical conditions including but not limited to </w:t>
            </w:r>
            <w:r>
              <w:rPr>
                <w:rFonts w:ascii="Arial Narrow" w:hAnsi="Arial Narrow"/>
                <w:i/>
                <w:iCs/>
                <w:sz w:val="20"/>
                <w:szCs w:val="20"/>
                <w:bdr w:val="none" w:sz="0" w:space="0" w:color="auto" w:frame="1"/>
                <w:lang w:bidi="en-US"/>
              </w:rPr>
              <w:t>cardiac arrhythmias</w:t>
            </w:r>
          </w:p>
        </w:tc>
      </w:tr>
      <w:tr w:rsidR="0066421A" w14:paraId="3AC163D8" w14:textId="77777777" w:rsidTr="001B79AC">
        <w:trPr>
          <w:cantSplit/>
          <w:trHeight w:val="20"/>
        </w:trPr>
        <w:tc>
          <w:tcPr>
            <w:tcW w:w="1272"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EC0130F" w14:textId="77777777" w:rsidR="0066421A" w:rsidRDefault="0066421A">
            <w:pPr>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A7F07A" w14:textId="77777777" w:rsidR="0066421A" w:rsidRDefault="0066421A">
            <w:pPr>
              <w:keepLines/>
              <w:rPr>
                <w:rFonts w:ascii="Arial Narrow" w:hAnsi="Arial Narrow"/>
                <w:bCs/>
                <w:sz w:val="20"/>
                <w:szCs w:val="20"/>
              </w:rPr>
            </w:pPr>
            <w:proofErr w:type="spellStart"/>
            <w:r>
              <w:rPr>
                <w:rFonts w:ascii="Arial Narrow" w:hAnsi="Arial Narrow"/>
                <w:b/>
                <w:bCs/>
                <w:sz w:val="20"/>
                <w:szCs w:val="20"/>
              </w:rPr>
              <w:t>Episodicity</w:t>
            </w:r>
            <w:proofErr w:type="spellEnd"/>
            <w:r>
              <w:rPr>
                <w:rFonts w:ascii="Arial Narrow" w:hAnsi="Arial Narrow"/>
                <w:b/>
                <w:bCs/>
                <w:sz w:val="20"/>
                <w:szCs w:val="20"/>
              </w:rPr>
              <w:t>:</w:t>
            </w:r>
            <w:r>
              <w:rPr>
                <w:rFonts w:ascii="Arial Narrow" w:hAnsi="Arial Narrow"/>
                <w:bCs/>
                <w:sz w:val="20"/>
                <w:szCs w:val="20"/>
              </w:rPr>
              <w:t xml:space="preserve"> [blank] </w:t>
            </w:r>
          </w:p>
        </w:tc>
      </w:tr>
      <w:tr w:rsidR="0066421A" w14:paraId="208F3826" w14:textId="77777777" w:rsidTr="001B79AC">
        <w:trPr>
          <w:cantSplit/>
          <w:trHeight w:val="20"/>
        </w:trPr>
        <w:tc>
          <w:tcPr>
            <w:tcW w:w="1272" w:type="dxa"/>
            <w:gridSpan w:val="2"/>
            <w:vMerge/>
            <w:tcBorders>
              <w:top w:val="single" w:sz="4" w:space="0" w:color="auto"/>
              <w:left w:val="single" w:sz="4" w:space="0" w:color="auto"/>
              <w:bottom w:val="single" w:sz="4" w:space="0" w:color="auto"/>
              <w:right w:val="single" w:sz="4" w:space="0" w:color="auto"/>
            </w:tcBorders>
            <w:vAlign w:val="center"/>
            <w:hideMark/>
          </w:tcPr>
          <w:p w14:paraId="2820221F" w14:textId="77777777" w:rsidR="0066421A" w:rsidRDefault="0066421A">
            <w:pP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C9D221" w14:textId="77777777" w:rsidR="0066421A" w:rsidRDefault="0066421A">
            <w:pPr>
              <w:keepLines/>
              <w:rPr>
                <w:rFonts w:ascii="Arial Narrow" w:hAnsi="Arial Narrow"/>
                <w:b/>
                <w:bCs/>
                <w:sz w:val="20"/>
                <w:szCs w:val="20"/>
              </w:rPr>
            </w:pPr>
            <w:r>
              <w:rPr>
                <w:rFonts w:ascii="Arial Narrow" w:hAnsi="Arial Narrow"/>
                <w:b/>
                <w:bCs/>
                <w:sz w:val="20"/>
                <w:szCs w:val="20"/>
              </w:rPr>
              <w:t xml:space="preserve">Severity: </w:t>
            </w:r>
            <w:r>
              <w:rPr>
                <w:rFonts w:ascii="Arial Narrow" w:hAnsi="Arial Narrow"/>
                <w:bCs/>
                <w:sz w:val="20"/>
                <w:szCs w:val="20"/>
              </w:rPr>
              <w:t>Severe</w:t>
            </w:r>
          </w:p>
        </w:tc>
      </w:tr>
      <w:tr w:rsidR="0066421A" w14:paraId="04902F81" w14:textId="77777777" w:rsidTr="001B79AC">
        <w:trPr>
          <w:cantSplit/>
          <w:trHeight w:val="20"/>
        </w:trPr>
        <w:tc>
          <w:tcPr>
            <w:tcW w:w="1272" w:type="dxa"/>
            <w:gridSpan w:val="2"/>
            <w:vMerge/>
            <w:tcBorders>
              <w:top w:val="single" w:sz="4" w:space="0" w:color="auto"/>
              <w:left w:val="single" w:sz="4" w:space="0" w:color="auto"/>
              <w:bottom w:val="single" w:sz="4" w:space="0" w:color="auto"/>
              <w:right w:val="single" w:sz="4" w:space="0" w:color="auto"/>
            </w:tcBorders>
            <w:vAlign w:val="center"/>
            <w:hideMark/>
          </w:tcPr>
          <w:p w14:paraId="3169BC88" w14:textId="77777777" w:rsidR="0066421A" w:rsidRDefault="0066421A">
            <w:pP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72861F" w14:textId="77777777" w:rsidR="0066421A" w:rsidRDefault="0066421A">
            <w:pPr>
              <w:keepLines/>
              <w:rPr>
                <w:rFonts w:ascii="Arial Narrow" w:hAnsi="Arial Narrow"/>
                <w:b/>
                <w:bCs/>
                <w:color w:val="333333"/>
                <w:sz w:val="20"/>
                <w:szCs w:val="20"/>
              </w:rPr>
            </w:pPr>
            <w:r>
              <w:rPr>
                <w:rFonts w:ascii="Arial Narrow" w:hAnsi="Arial Narrow"/>
                <w:b/>
                <w:bCs/>
                <w:color w:val="333333"/>
                <w:sz w:val="20"/>
                <w:szCs w:val="20"/>
              </w:rPr>
              <w:t xml:space="preserve">Condition: </w:t>
            </w:r>
            <w:r>
              <w:rPr>
                <w:rFonts w:ascii="Arial Narrow" w:hAnsi="Arial Narrow"/>
                <w:color w:val="333333"/>
                <w:sz w:val="20"/>
                <w:szCs w:val="20"/>
              </w:rPr>
              <w:t>Primary axillary hyperhidrosis</w:t>
            </w:r>
          </w:p>
        </w:tc>
      </w:tr>
      <w:tr w:rsidR="0066421A" w14:paraId="5E327398" w14:textId="77777777" w:rsidTr="001B79AC">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7B0BFB" w14:textId="665DE4FC" w:rsidR="0066421A" w:rsidRDefault="0066421A">
            <w:pPr>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8764CA" w14:textId="77777777" w:rsidR="0066421A" w:rsidRDefault="0066421A">
            <w:pPr>
              <w:keepLines/>
              <w:rPr>
                <w:rFonts w:ascii="Arial Narrow" w:hAnsi="Arial Narrow"/>
                <w:color w:val="333333"/>
                <w:sz w:val="20"/>
                <w:szCs w:val="20"/>
              </w:rPr>
            </w:pPr>
            <w:r>
              <w:rPr>
                <w:rFonts w:ascii="Arial Narrow" w:hAnsi="Arial Narrow"/>
                <w:b/>
                <w:bCs/>
                <w:color w:val="333333"/>
                <w:sz w:val="20"/>
                <w:szCs w:val="20"/>
              </w:rPr>
              <w:t>Indication:</w:t>
            </w:r>
            <w:r>
              <w:rPr>
                <w:rFonts w:ascii="Arial Narrow" w:hAnsi="Arial Narrow"/>
                <w:color w:val="333333"/>
                <w:sz w:val="20"/>
                <w:szCs w:val="20"/>
              </w:rPr>
              <w:t xml:space="preserve"> Severe primary axillary hyperhidrosis</w:t>
            </w:r>
          </w:p>
        </w:tc>
      </w:tr>
      <w:tr w:rsidR="0066421A" w14:paraId="4BA694BA" w14:textId="77777777" w:rsidTr="001B79AC">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08982BB" w14:textId="1EC0F602" w:rsidR="0066421A" w:rsidRDefault="0066421A">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6692B15" w14:textId="77777777" w:rsidR="0066421A" w:rsidRDefault="0066421A">
            <w:pPr>
              <w:rPr>
                <w:rFonts w:ascii="Arial Narrow" w:hAnsi="Arial Narrow"/>
                <w:color w:val="FF0000"/>
                <w:sz w:val="20"/>
                <w:szCs w:val="20"/>
              </w:rPr>
            </w:pPr>
            <w:r>
              <w:rPr>
                <w:rFonts w:ascii="Arial Narrow" w:hAnsi="Arial Narrow"/>
                <w:b/>
                <w:bCs/>
                <w:sz w:val="20"/>
                <w:szCs w:val="20"/>
                <w:bdr w:val="none" w:sz="0" w:space="0" w:color="auto" w:frame="1"/>
              </w:rPr>
              <w:t>Clinical criteria:</w:t>
            </w:r>
          </w:p>
        </w:tc>
      </w:tr>
      <w:tr w:rsidR="0066421A" w14:paraId="0C635996" w14:textId="77777777" w:rsidTr="001B79AC">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0A48414" w14:textId="6BAA7D12" w:rsidR="0066421A" w:rsidRDefault="0066421A">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26BCB4E" w14:textId="77777777" w:rsidR="0066421A" w:rsidRDefault="0066421A">
            <w:pPr>
              <w:rPr>
                <w:rFonts w:ascii="Arial Narrow" w:eastAsia="MS Gothic" w:hAnsi="Arial Narrow" w:cs="Times New Roman"/>
                <w:sz w:val="20"/>
                <w:szCs w:val="20"/>
                <w:bdr w:val="none" w:sz="0" w:space="0" w:color="auto" w:frame="1"/>
                <w:lang w:eastAsia="en-US" w:bidi="en-US"/>
              </w:rPr>
            </w:pPr>
            <w:r>
              <w:rPr>
                <w:rFonts w:ascii="Arial Narrow" w:eastAsia="MS Gothic" w:hAnsi="Arial Narrow"/>
                <w:sz w:val="20"/>
                <w:szCs w:val="20"/>
                <w:bdr w:val="none" w:sz="0" w:space="0" w:color="auto" w:frame="1"/>
                <w:lang w:bidi="en-US"/>
              </w:rPr>
              <w:t>Patient must have previously failed topical aluminium chloride after one to two months of treatment; OR</w:t>
            </w:r>
          </w:p>
        </w:tc>
      </w:tr>
      <w:tr w:rsidR="0066421A" w14:paraId="63A86DE2" w14:textId="77777777" w:rsidTr="001B79AC">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7098B2" w14:textId="02E1D041" w:rsidR="0066421A" w:rsidRDefault="0066421A">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C9ED043" w14:textId="77777777" w:rsidR="0066421A" w:rsidRDefault="0066421A">
            <w:pPr>
              <w:rPr>
                <w:rFonts w:ascii="Arial Narrow" w:eastAsia="MS Gothic" w:hAnsi="Arial Narrow" w:cs="Times New Roman"/>
                <w:b/>
                <w:bCs/>
                <w:sz w:val="20"/>
                <w:szCs w:val="20"/>
                <w:bdr w:val="none" w:sz="0" w:space="0" w:color="auto" w:frame="1"/>
                <w:lang w:eastAsia="en-US" w:bidi="en-US"/>
              </w:rPr>
            </w:pPr>
            <w:r>
              <w:rPr>
                <w:rFonts w:ascii="Arial Narrow" w:eastAsia="MS Gothic" w:hAnsi="Arial Narrow"/>
                <w:sz w:val="20"/>
                <w:szCs w:val="20"/>
                <w:bdr w:val="none" w:sz="0" w:space="0" w:color="auto" w:frame="1"/>
                <w:lang w:bidi="en-US"/>
              </w:rPr>
              <w:t>Patient must be intolerant to topical aluminium chloride treatment.</w:t>
            </w:r>
          </w:p>
        </w:tc>
      </w:tr>
      <w:tr w:rsidR="0066421A" w14:paraId="381B1F78" w14:textId="77777777" w:rsidTr="001B79AC">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8C653F" w14:textId="77777777" w:rsidR="0066421A" w:rsidRDefault="0066421A">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14FC2D" w14:textId="77777777" w:rsidR="0066421A" w:rsidRDefault="0066421A">
            <w:pPr>
              <w:rPr>
                <w:rFonts w:ascii="Arial Narrow" w:hAnsi="Arial Narrow"/>
                <w:b/>
                <w:bCs/>
                <w:color w:val="333333"/>
                <w:sz w:val="20"/>
                <w:szCs w:val="20"/>
              </w:rPr>
            </w:pPr>
            <w:r>
              <w:rPr>
                <w:rFonts w:ascii="Arial Narrow" w:hAnsi="Arial Narrow"/>
                <w:b/>
                <w:bCs/>
                <w:sz w:val="20"/>
                <w:szCs w:val="20"/>
                <w:bdr w:val="none" w:sz="0" w:space="0" w:color="auto" w:frame="1"/>
              </w:rPr>
              <w:t>AND</w:t>
            </w:r>
          </w:p>
        </w:tc>
      </w:tr>
      <w:tr w:rsidR="0066421A" w14:paraId="66C2B3C3" w14:textId="77777777" w:rsidTr="001B79AC">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92FF43" w14:textId="1D6C04C5" w:rsidR="0066421A" w:rsidRDefault="0066421A">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9575773" w14:textId="77777777" w:rsidR="0066421A" w:rsidRDefault="0066421A">
            <w:pPr>
              <w:rPr>
                <w:rFonts w:ascii="Arial Narrow" w:hAnsi="Arial Narrow"/>
                <w:sz w:val="20"/>
                <w:szCs w:val="20"/>
                <w:bdr w:val="none" w:sz="0" w:space="0" w:color="auto" w:frame="1"/>
              </w:rPr>
            </w:pPr>
            <w:r>
              <w:rPr>
                <w:rFonts w:ascii="Arial Narrow" w:hAnsi="Arial Narrow"/>
                <w:b/>
                <w:bCs/>
                <w:sz w:val="20"/>
                <w:szCs w:val="20"/>
                <w:bdr w:val="none" w:sz="0" w:space="0" w:color="auto" w:frame="1"/>
              </w:rPr>
              <w:t>Clinical criteria:</w:t>
            </w:r>
          </w:p>
        </w:tc>
      </w:tr>
      <w:tr w:rsidR="0066421A" w14:paraId="76B54733" w14:textId="77777777" w:rsidTr="001B79AC">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7729A3" w14:textId="53FFBC07" w:rsidR="0066421A" w:rsidRDefault="0066421A">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4853E56" w14:textId="77777777" w:rsidR="0066421A" w:rsidRDefault="0066421A">
            <w:pPr>
              <w:rPr>
                <w:rFonts w:ascii="Arial Narrow" w:hAnsi="Arial Narrow"/>
                <w:color w:val="333333"/>
                <w:sz w:val="20"/>
                <w:szCs w:val="20"/>
              </w:rPr>
            </w:pPr>
            <w:r>
              <w:rPr>
                <w:rFonts w:ascii="Arial Narrow" w:hAnsi="Arial Narrow"/>
                <w:sz w:val="20"/>
                <w:szCs w:val="20"/>
                <w:bdr w:val="none" w:sz="0" w:space="0" w:color="auto" w:frame="1"/>
              </w:rPr>
              <w:t>The treatment must be the sole PBS-subsidised therapy for this condition.</w:t>
            </w:r>
          </w:p>
        </w:tc>
      </w:tr>
    </w:tbl>
    <w:p w14:paraId="7785C295" w14:textId="77777777" w:rsidR="0066421A" w:rsidRDefault="0066421A" w:rsidP="0066421A">
      <w:pPr>
        <w:rPr>
          <w:rFonts w:cs="Calibri"/>
          <w:color w:val="365F91"/>
        </w:rPr>
      </w:pPr>
    </w:p>
    <w:p w14:paraId="6186C94F" w14:textId="77777777" w:rsidR="0066421A" w:rsidRDefault="0066421A" w:rsidP="0066421A">
      <w:pPr>
        <w:rPr>
          <w:rFonts w:cs="Calibri"/>
          <w:b/>
          <w:bCs/>
        </w:rPr>
      </w:pPr>
      <w:r>
        <w:rPr>
          <w:rFonts w:cs="Calibri"/>
          <w:b/>
          <w:bCs/>
        </w:rPr>
        <w:t>Flow-</w:t>
      </w:r>
      <w:proofErr w:type="spellStart"/>
      <w:r>
        <w:rPr>
          <w:rFonts w:cs="Calibri"/>
          <w:b/>
          <w:bCs/>
        </w:rPr>
        <w:t>ons</w:t>
      </w:r>
      <w:proofErr w:type="spellEnd"/>
      <w:r>
        <w:rPr>
          <w:rFonts w:cs="Calibri"/>
          <w:b/>
          <w:bCs/>
        </w:rPr>
        <w:t xml:space="preserve"> to Botulinum toxin type A 100 units injection (PBS item code: 11016T).</w:t>
      </w:r>
    </w:p>
    <w:p w14:paraId="0AE5CD38" w14:textId="77777777" w:rsidR="0066421A" w:rsidRDefault="0066421A" w:rsidP="0066421A">
      <w:pPr>
        <w:rPr>
          <w:rFonts w:cs="Calibri"/>
          <w:color w:val="365F91"/>
        </w:rPr>
      </w:pPr>
    </w:p>
    <w:p w14:paraId="2CFE97F0" w14:textId="77777777" w:rsidR="0066421A" w:rsidRDefault="0066421A" w:rsidP="00BE304E">
      <w:pPr>
        <w:widowControl w:val="0"/>
        <w:numPr>
          <w:ilvl w:val="1"/>
          <w:numId w:val="1"/>
        </w:numPr>
        <w:spacing w:after="120"/>
        <w:contextualSpacing/>
        <w:rPr>
          <w:rFonts w:cs="Calibri"/>
        </w:rPr>
      </w:pPr>
      <w:r>
        <w:rPr>
          <w:rFonts w:cs="Calibri"/>
        </w:rPr>
        <w:t>Amend the clinical criteria (concept ID 15286)</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793"/>
      </w:tblGrid>
      <w:tr w:rsidR="0066421A" w14:paraId="06B1E2F8" w14:textId="77777777" w:rsidTr="0066421A">
        <w:trPr>
          <w:cantSplit/>
          <w:trHeight w:val="20"/>
        </w:trPr>
        <w:tc>
          <w:tcPr>
            <w:tcW w:w="113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E17ADAD" w14:textId="14DD36CE" w:rsidR="0066421A" w:rsidRDefault="0066421A">
            <w:pPr>
              <w:jc w:val="center"/>
              <w:rPr>
                <w:rFonts w:ascii="Arial Narrow" w:hAnsi="Arial Narrow" w:cs="Segoe UI"/>
                <w:sz w:val="20"/>
                <w:szCs w:val="20"/>
              </w:rPr>
            </w:pPr>
          </w:p>
        </w:tc>
        <w:tc>
          <w:tcPr>
            <w:tcW w:w="77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D6E975F" w14:textId="77777777" w:rsidR="0066421A" w:rsidRDefault="0066421A">
            <w:pPr>
              <w:rPr>
                <w:rFonts w:ascii="Arial Narrow" w:eastAsia="MS Gothic" w:hAnsi="Arial Narrow" w:cs="Times New Roman"/>
                <w:b/>
                <w:bCs/>
                <w:sz w:val="20"/>
                <w:szCs w:val="20"/>
                <w:bdr w:val="none" w:sz="0" w:space="0" w:color="auto" w:frame="1"/>
                <w:lang w:eastAsia="en-US" w:bidi="en-US"/>
              </w:rPr>
            </w:pPr>
            <w:r>
              <w:rPr>
                <w:rFonts w:ascii="Arial Narrow" w:eastAsia="MS Gothic" w:hAnsi="Arial Narrow"/>
                <w:b/>
                <w:bCs/>
                <w:sz w:val="20"/>
                <w:szCs w:val="20"/>
                <w:bdr w:val="none" w:sz="0" w:space="0" w:color="auto" w:frame="1"/>
                <w:lang w:bidi="en-US"/>
              </w:rPr>
              <w:t>Clinical criteria:</w:t>
            </w:r>
          </w:p>
        </w:tc>
      </w:tr>
      <w:tr w:rsidR="0066421A" w14:paraId="28271B81" w14:textId="77777777" w:rsidTr="0066421A">
        <w:trPr>
          <w:cantSplit/>
          <w:trHeight w:val="20"/>
        </w:trPr>
        <w:tc>
          <w:tcPr>
            <w:tcW w:w="113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5CF432" w14:textId="73D12226" w:rsidR="0066421A" w:rsidRDefault="0066421A">
            <w:pPr>
              <w:jc w:val="center"/>
              <w:rPr>
                <w:rFonts w:ascii="Arial Narrow" w:hAnsi="Arial Narrow"/>
                <w:sz w:val="20"/>
                <w:szCs w:val="20"/>
              </w:rPr>
            </w:pPr>
          </w:p>
        </w:tc>
        <w:tc>
          <w:tcPr>
            <w:tcW w:w="77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6111389" w14:textId="77777777" w:rsidR="0066421A" w:rsidRDefault="0066421A">
            <w:pPr>
              <w:rPr>
                <w:rFonts w:ascii="Arial Narrow" w:eastAsia="MS Gothic" w:hAnsi="Arial Narrow" w:cs="Times New Roman"/>
                <w:sz w:val="20"/>
                <w:szCs w:val="20"/>
                <w:bdr w:val="none" w:sz="0" w:space="0" w:color="auto" w:frame="1"/>
                <w:lang w:eastAsia="en-US" w:bidi="en-US"/>
              </w:rPr>
            </w:pPr>
            <w:r>
              <w:rPr>
                <w:rFonts w:ascii="Arial Narrow" w:eastAsia="MS Gothic" w:hAnsi="Arial Narrow"/>
                <w:sz w:val="20"/>
                <w:szCs w:val="20"/>
                <w:bdr w:val="none" w:sz="0" w:space="0" w:color="auto" w:frame="1"/>
                <w:lang w:bidi="en-US"/>
              </w:rPr>
              <w:t>Patient must have previously failed topical aluminium chloride after one to two months of treatment; OR</w:t>
            </w:r>
          </w:p>
        </w:tc>
      </w:tr>
      <w:tr w:rsidR="0066421A" w14:paraId="36CAECA8" w14:textId="77777777" w:rsidTr="0066421A">
        <w:trPr>
          <w:cantSplit/>
          <w:trHeight w:val="20"/>
        </w:trPr>
        <w:tc>
          <w:tcPr>
            <w:tcW w:w="113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F56E832" w14:textId="68FF0C94" w:rsidR="0066421A" w:rsidRDefault="0066421A">
            <w:pPr>
              <w:jc w:val="center"/>
              <w:rPr>
                <w:rFonts w:ascii="Arial Narrow" w:hAnsi="Arial Narrow"/>
                <w:i/>
                <w:iCs/>
                <w:strike/>
                <w:sz w:val="20"/>
                <w:szCs w:val="20"/>
              </w:rPr>
            </w:pPr>
          </w:p>
        </w:tc>
        <w:tc>
          <w:tcPr>
            <w:tcW w:w="77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416B92E" w14:textId="77777777" w:rsidR="0066421A" w:rsidRDefault="0066421A">
            <w:pPr>
              <w:rPr>
                <w:rFonts w:ascii="Arial Narrow" w:eastAsia="MS Gothic" w:hAnsi="Arial Narrow" w:cs="Times New Roman"/>
                <w:sz w:val="20"/>
                <w:szCs w:val="20"/>
                <w:bdr w:val="none" w:sz="0" w:space="0" w:color="auto" w:frame="1"/>
                <w:lang w:eastAsia="en-US" w:bidi="en-US"/>
              </w:rPr>
            </w:pPr>
            <w:r>
              <w:rPr>
                <w:rFonts w:ascii="Arial Narrow" w:eastAsia="MS Gothic" w:hAnsi="Arial Narrow"/>
                <w:sz w:val="20"/>
                <w:szCs w:val="20"/>
                <w:bdr w:val="none" w:sz="0" w:space="0" w:color="auto" w:frame="1"/>
                <w:lang w:bidi="en-US"/>
              </w:rPr>
              <w:t xml:space="preserve">Patient must be intolerant to topical aluminium chloride </w:t>
            </w:r>
            <w:r>
              <w:rPr>
                <w:rFonts w:ascii="Arial Narrow" w:eastAsia="MS Gothic" w:hAnsi="Arial Narrow"/>
                <w:strike/>
                <w:sz w:val="20"/>
                <w:szCs w:val="20"/>
                <w:bdr w:val="none" w:sz="0" w:space="0" w:color="auto" w:frame="1"/>
                <w:lang w:bidi="en-US"/>
              </w:rPr>
              <w:t>hexahydrate</w:t>
            </w:r>
            <w:r>
              <w:rPr>
                <w:rFonts w:ascii="Arial Narrow" w:eastAsia="MS Gothic" w:hAnsi="Arial Narrow"/>
                <w:sz w:val="20"/>
                <w:szCs w:val="20"/>
                <w:bdr w:val="none" w:sz="0" w:space="0" w:color="auto" w:frame="1"/>
                <w:lang w:bidi="en-US"/>
              </w:rPr>
              <w:t xml:space="preserve"> treatment</w:t>
            </w:r>
          </w:p>
        </w:tc>
      </w:tr>
    </w:tbl>
    <w:p w14:paraId="21E5C5CB" w14:textId="77777777" w:rsidR="0066421A" w:rsidRDefault="0066421A" w:rsidP="0066421A">
      <w:pPr>
        <w:rPr>
          <w:rFonts w:cs="Calibri"/>
        </w:rPr>
      </w:pPr>
    </w:p>
    <w:p w14:paraId="06E1D1A5" w14:textId="77777777" w:rsidR="0066421A" w:rsidRDefault="0066421A" w:rsidP="00BE304E">
      <w:pPr>
        <w:widowControl w:val="0"/>
        <w:numPr>
          <w:ilvl w:val="1"/>
          <w:numId w:val="1"/>
        </w:numPr>
        <w:spacing w:after="120"/>
        <w:contextualSpacing/>
        <w:rPr>
          <w:rFonts w:cs="Calibri"/>
        </w:rPr>
      </w:pPr>
      <w:r>
        <w:rPr>
          <w:rFonts w:cs="Calibri"/>
        </w:rPr>
        <w:t>Add new clinical criteria (concept ID 7890)</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793"/>
      </w:tblGrid>
      <w:tr w:rsidR="0066421A" w14:paraId="7430EF25" w14:textId="77777777" w:rsidTr="0066421A">
        <w:trPr>
          <w:cantSplit/>
          <w:trHeight w:val="20"/>
        </w:trPr>
        <w:tc>
          <w:tcPr>
            <w:tcW w:w="113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3452B4" w14:textId="1B926BA0" w:rsidR="0066421A" w:rsidRDefault="0066421A">
            <w:pPr>
              <w:jc w:val="center"/>
              <w:rPr>
                <w:rFonts w:ascii="Arial Narrow" w:hAnsi="Arial Narrow"/>
                <w:i/>
                <w:iCs/>
                <w:color w:val="333333"/>
                <w:sz w:val="20"/>
                <w:szCs w:val="20"/>
              </w:rPr>
            </w:pPr>
          </w:p>
        </w:tc>
        <w:tc>
          <w:tcPr>
            <w:tcW w:w="77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25579DE" w14:textId="77777777" w:rsidR="0066421A" w:rsidRDefault="0066421A">
            <w:pPr>
              <w:rPr>
                <w:rFonts w:ascii="Arial Narrow" w:eastAsia="MS Gothic" w:hAnsi="Arial Narrow" w:cs="Times New Roman"/>
                <w:i/>
                <w:iCs/>
                <w:sz w:val="20"/>
                <w:szCs w:val="20"/>
                <w:bdr w:val="none" w:sz="0" w:space="0" w:color="auto" w:frame="1"/>
                <w:lang w:eastAsia="en-US" w:bidi="en-US"/>
              </w:rPr>
            </w:pPr>
            <w:r>
              <w:rPr>
                <w:rFonts w:ascii="Arial Narrow" w:eastAsia="MS Gothic" w:hAnsi="Arial Narrow"/>
                <w:b/>
                <w:bCs/>
                <w:i/>
                <w:iCs/>
                <w:sz w:val="20"/>
                <w:szCs w:val="20"/>
                <w:bdr w:val="none" w:sz="0" w:space="0" w:color="auto" w:frame="1"/>
                <w:lang w:bidi="en-US"/>
              </w:rPr>
              <w:t>Clinical criteria:</w:t>
            </w:r>
          </w:p>
        </w:tc>
      </w:tr>
      <w:tr w:rsidR="0066421A" w14:paraId="1ED23293" w14:textId="77777777" w:rsidTr="0066421A">
        <w:trPr>
          <w:cantSplit/>
          <w:trHeight w:val="20"/>
        </w:trPr>
        <w:tc>
          <w:tcPr>
            <w:tcW w:w="113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5352CF" w14:textId="38EF61A9" w:rsidR="0066421A" w:rsidRDefault="0066421A">
            <w:pPr>
              <w:jc w:val="center"/>
              <w:rPr>
                <w:rFonts w:ascii="Arial Narrow" w:hAnsi="Arial Narrow"/>
                <w:i/>
                <w:iCs/>
                <w:strike/>
                <w:color w:val="333333"/>
                <w:sz w:val="20"/>
                <w:szCs w:val="20"/>
              </w:rPr>
            </w:pPr>
          </w:p>
        </w:tc>
        <w:tc>
          <w:tcPr>
            <w:tcW w:w="77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9C861F" w14:textId="77777777" w:rsidR="0066421A" w:rsidRDefault="0066421A">
            <w:pPr>
              <w:rPr>
                <w:rFonts w:ascii="Arial Narrow" w:eastAsia="MS Gothic" w:hAnsi="Arial Narrow" w:cs="Times New Roman"/>
                <w:i/>
                <w:iCs/>
                <w:sz w:val="20"/>
                <w:szCs w:val="20"/>
                <w:bdr w:val="none" w:sz="0" w:space="0" w:color="auto" w:frame="1"/>
                <w:lang w:eastAsia="en-US" w:bidi="en-US"/>
              </w:rPr>
            </w:pPr>
            <w:r>
              <w:rPr>
                <w:rFonts w:ascii="Arial Narrow" w:eastAsia="MS Gothic" w:hAnsi="Arial Narrow"/>
                <w:i/>
                <w:iCs/>
                <w:sz w:val="20"/>
                <w:szCs w:val="20"/>
                <w:bdr w:val="none" w:sz="0" w:space="0" w:color="auto" w:frame="1"/>
                <w:lang w:bidi="en-US"/>
              </w:rPr>
              <w:t>The treatment must be the sole PBS-subsidised therapy for this condition.</w:t>
            </w:r>
          </w:p>
        </w:tc>
      </w:tr>
    </w:tbl>
    <w:p w14:paraId="1DADD430" w14:textId="3C489888" w:rsidR="005C1F94" w:rsidRPr="00525B39" w:rsidRDefault="005C1F94" w:rsidP="0066421A">
      <w:pPr>
        <w:widowControl w:val="0"/>
        <w:rPr>
          <w:rFonts w:asciiTheme="minorHAnsi" w:hAnsiTheme="minorHAnsi"/>
          <w:bCs/>
          <w:snapToGrid w:val="0"/>
        </w:rPr>
      </w:pPr>
    </w:p>
    <w:p w14:paraId="301649D0" w14:textId="2BC0F0E7" w:rsidR="00181674" w:rsidRDefault="005C1F94" w:rsidP="00555D34">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74"/>
    </w:p>
    <w:p w14:paraId="242AE200" w14:textId="77777777" w:rsidR="00DF73B3" w:rsidRPr="00DF73B3" w:rsidRDefault="00DF73B3" w:rsidP="00DF73B3">
      <w:pPr>
        <w:keepNext/>
        <w:spacing w:before="240" w:after="120"/>
        <w:ind w:left="720" w:hanging="720"/>
        <w:jc w:val="left"/>
        <w:outlineLvl w:val="0"/>
        <w:rPr>
          <w:rFonts w:asciiTheme="minorHAnsi" w:hAnsiTheme="minorHAnsi"/>
          <w:b/>
          <w:bCs/>
          <w:snapToGrid w:val="0"/>
          <w:sz w:val="32"/>
          <w:szCs w:val="32"/>
          <w:lang w:val="en-GB"/>
        </w:rPr>
      </w:pPr>
      <w:r w:rsidRPr="00DF73B3">
        <w:rPr>
          <w:rFonts w:asciiTheme="minorHAnsi" w:hAnsiTheme="minorHAnsi"/>
          <w:b/>
          <w:snapToGrid w:val="0"/>
          <w:sz w:val="32"/>
          <w:szCs w:val="32"/>
        </w:rPr>
        <w:t>9</w:t>
      </w:r>
      <w:r w:rsidRPr="00DF73B3">
        <w:rPr>
          <w:rFonts w:asciiTheme="minorHAnsi" w:hAnsiTheme="minorHAnsi"/>
          <w:b/>
          <w:snapToGrid w:val="0"/>
          <w:sz w:val="32"/>
          <w:szCs w:val="32"/>
        </w:rPr>
        <w:tab/>
        <w:t>Context for Decision</w:t>
      </w:r>
    </w:p>
    <w:p w14:paraId="6006F897" w14:textId="1C2CD4AC" w:rsidR="00DD771E" w:rsidRDefault="00DF73B3" w:rsidP="00DF73B3">
      <w:pPr>
        <w:spacing w:before="120"/>
        <w:ind w:left="720"/>
        <w:rPr>
          <w:rFonts w:asciiTheme="minorHAnsi" w:hAnsiTheme="minorHAnsi"/>
          <w:bCs/>
          <w:lang w:val="en-GB"/>
        </w:rPr>
      </w:pPr>
      <w:r w:rsidRPr="00DF73B3">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D8F017" w14:textId="77777777" w:rsidR="00D83272" w:rsidRPr="00D83272" w:rsidRDefault="00D83272" w:rsidP="00D83272">
      <w:pPr>
        <w:keepNext/>
        <w:spacing w:before="240" w:after="120"/>
        <w:ind w:left="720" w:hanging="720"/>
        <w:jc w:val="left"/>
        <w:outlineLvl w:val="0"/>
        <w:rPr>
          <w:rFonts w:asciiTheme="minorHAnsi" w:hAnsiTheme="minorHAnsi"/>
          <w:b/>
          <w:snapToGrid w:val="0"/>
          <w:sz w:val="32"/>
          <w:szCs w:val="32"/>
        </w:rPr>
      </w:pPr>
      <w:r w:rsidRPr="00D83272">
        <w:rPr>
          <w:rFonts w:asciiTheme="minorHAnsi" w:hAnsiTheme="minorHAnsi"/>
          <w:b/>
          <w:snapToGrid w:val="0"/>
          <w:sz w:val="32"/>
          <w:szCs w:val="32"/>
        </w:rPr>
        <w:t>10</w:t>
      </w:r>
      <w:r w:rsidRPr="00D83272">
        <w:rPr>
          <w:rFonts w:asciiTheme="minorHAnsi" w:hAnsiTheme="minorHAnsi"/>
          <w:b/>
          <w:snapToGrid w:val="0"/>
          <w:sz w:val="32"/>
          <w:szCs w:val="32"/>
        </w:rPr>
        <w:tab/>
        <w:t>Sponsor’s Comment</w:t>
      </w:r>
    </w:p>
    <w:p w14:paraId="164E8D62" w14:textId="6B1F97BF" w:rsidR="00113644" w:rsidRPr="00465EE4" w:rsidRDefault="000C5F02" w:rsidP="00D83272">
      <w:pPr>
        <w:spacing w:before="120"/>
        <w:ind w:left="720"/>
      </w:pPr>
      <w:r w:rsidRPr="000C5F02">
        <w:rPr>
          <w:rFonts w:asciiTheme="minorHAnsi" w:eastAsiaTheme="minorHAnsi" w:hAnsiTheme="minorHAnsi"/>
          <w:bCs/>
          <w:szCs w:val="22"/>
          <w:lang w:val="en-GB" w:eastAsia="en-US"/>
        </w:rPr>
        <w:t>The sponsor looks forward to working with the Department to facilitate access to glycopyrronium bromide cream for the treatment of patients with severe primary axillary hyperhidrosis.</w:t>
      </w:r>
    </w:p>
    <w:p w14:paraId="36F2095E" w14:textId="12FD94FF" w:rsidR="006D3C7D" w:rsidRPr="009208B1" w:rsidRDefault="006D3C7D" w:rsidP="00C73893">
      <w:pPr>
        <w:jc w:val="left"/>
        <w:rPr>
          <w:rFonts w:asciiTheme="minorHAnsi" w:hAnsiTheme="minorHAnsi"/>
          <w:b/>
          <w:snapToGrid w:val="0"/>
          <w:sz w:val="32"/>
          <w:szCs w:val="32"/>
        </w:rPr>
      </w:pPr>
    </w:p>
    <w:sectPr w:rsidR="006D3C7D" w:rsidRPr="009208B1"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F745" w14:textId="77777777" w:rsidR="00B1107F" w:rsidRDefault="00B1107F" w:rsidP="00124A51">
      <w:r>
        <w:separator/>
      </w:r>
    </w:p>
    <w:p w14:paraId="3B7009E1" w14:textId="77777777" w:rsidR="00B1107F" w:rsidRDefault="00B1107F"/>
  </w:endnote>
  <w:endnote w:type="continuationSeparator" w:id="0">
    <w:p w14:paraId="79FC824B" w14:textId="77777777" w:rsidR="00B1107F" w:rsidRDefault="00B1107F" w:rsidP="00124A51">
      <w:r>
        <w:continuationSeparator/>
      </w:r>
    </w:p>
    <w:p w14:paraId="671F683C" w14:textId="77777777" w:rsidR="00B1107F" w:rsidRDefault="00B11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BD9E" w14:textId="77777777" w:rsidR="000F3FCD" w:rsidRDefault="000F3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7D29506F" w:rsidR="00D843F2" w:rsidRPr="007C1CD9" w:rsidRDefault="00132CF8" w:rsidP="00132CF8">
    <w:pPr>
      <w:pStyle w:val="PageFooter"/>
    </w:pPr>
    <w:r w:rsidRPr="00836F75">
      <w:rPr>
        <w:b w:val="0"/>
      </w:rPr>
      <w:fldChar w:fldCharType="begin"/>
    </w:r>
    <w:r w:rsidRPr="00836F75">
      <w:instrText xml:space="preserve"> PAGE   \* MERGEFORMAT </w:instrText>
    </w:r>
    <w:r w:rsidRPr="00836F75">
      <w:rPr>
        <w:b w:val="0"/>
      </w:rPr>
      <w:fldChar w:fldCharType="separate"/>
    </w:r>
    <w:r w:rsidRPr="00836F75">
      <w:rPr>
        <w:noProof/>
      </w:rPr>
      <w:t>1</w:t>
    </w:r>
    <w:r w:rsidRPr="00836F75">
      <w:rPr>
        <w:b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4F20" w14:textId="77777777" w:rsidR="000F3FCD" w:rsidRDefault="000F3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20C7" w14:textId="77777777" w:rsidR="00B1107F" w:rsidRDefault="00B1107F" w:rsidP="00124A51">
      <w:r>
        <w:separator/>
      </w:r>
    </w:p>
    <w:p w14:paraId="1B6164DC" w14:textId="77777777" w:rsidR="00B1107F" w:rsidRDefault="00B1107F"/>
  </w:footnote>
  <w:footnote w:type="continuationSeparator" w:id="0">
    <w:p w14:paraId="4893CD5C" w14:textId="77777777" w:rsidR="00B1107F" w:rsidRDefault="00B1107F" w:rsidP="00124A51">
      <w:r>
        <w:continuationSeparator/>
      </w:r>
    </w:p>
    <w:p w14:paraId="693A1511" w14:textId="77777777" w:rsidR="00B1107F" w:rsidRDefault="00B1107F"/>
  </w:footnote>
  <w:footnote w:id="1">
    <w:p w14:paraId="64665CAC" w14:textId="77777777" w:rsidR="004F45C8" w:rsidRDefault="004F45C8" w:rsidP="004F45C8">
      <w:pPr>
        <w:pStyle w:val="FootnoteText"/>
      </w:pPr>
      <w:r>
        <w:rPr>
          <w:rStyle w:val="FootnoteReference"/>
        </w:rPr>
        <w:footnoteRef/>
      </w:r>
      <w:r>
        <w:t xml:space="preserve"> </w:t>
      </w:r>
      <w:r w:rsidRPr="00DF69AF">
        <w:t>Delegate</w:t>
      </w:r>
      <w:r>
        <w:t>'s</w:t>
      </w:r>
      <w:r w:rsidRPr="00DF69AF">
        <w:t xml:space="preserve"> Overview A</w:t>
      </w:r>
      <w:r>
        <w:t>xhidrox</w:t>
      </w:r>
      <w:r w:rsidRPr="00DF69AF">
        <w:t xml:space="preserve"> OM-2023-GL-05955-1</w:t>
      </w:r>
      <w:r>
        <w:t xml:space="preserve">, p2/26. </w:t>
      </w:r>
    </w:p>
  </w:footnote>
  <w:footnote w:id="2">
    <w:p w14:paraId="0D12555D" w14:textId="77777777" w:rsidR="00AA76DC" w:rsidRDefault="00AA76DC" w:rsidP="00AA76DC">
      <w:pPr>
        <w:pStyle w:val="FootnoteText"/>
      </w:pPr>
      <w:r>
        <w:rPr>
          <w:rStyle w:val="FootnoteReference"/>
        </w:rPr>
        <w:footnoteRef/>
      </w:r>
      <w:r>
        <w:t xml:space="preserve"> </w:t>
      </w:r>
      <w:r w:rsidRPr="00AF532E">
        <w:t>https://consultations.tga.gov.au/tga/scheduling-pre-meeting-november-2023/user_uploads/d23-2475485-v2---pre-meeting-public-notice-acms-43--accs--37---joint--35-november-2023-3--1.pdf</w:t>
      </w:r>
      <w:r>
        <w:t xml:space="preserve"> Accessed 30 July 2025. </w:t>
      </w:r>
    </w:p>
  </w:footnote>
  <w:footnote w:id="3">
    <w:p w14:paraId="1361999E" w14:textId="77777777" w:rsidR="00AA76DC" w:rsidRDefault="00AA76DC" w:rsidP="00AA76DC">
      <w:pPr>
        <w:pStyle w:val="FootnoteText"/>
      </w:pPr>
      <w:r>
        <w:rPr>
          <w:rStyle w:val="FootnoteReference"/>
        </w:rPr>
        <w:footnoteRef/>
      </w:r>
      <w:r>
        <w:t xml:space="preserve"> </w:t>
      </w:r>
      <w:r w:rsidRPr="00F75934">
        <w:t>https://www.tga.gov.au/sites/default/files/2024-09/notice-final-decisions-amend-not-amend-poisons-standard-glycopyrronium-palmitoylethanolamide.pdf</w:t>
      </w:r>
      <w:r>
        <w:t xml:space="preserve"> Accessed 30 July 2025. </w:t>
      </w:r>
    </w:p>
  </w:footnote>
  <w:footnote w:id="4">
    <w:p w14:paraId="017C710A" w14:textId="6840D04A" w:rsidR="002C45F0" w:rsidRDefault="002C45F0">
      <w:pPr>
        <w:pStyle w:val="FootnoteText"/>
      </w:pPr>
      <w:r>
        <w:rPr>
          <w:rStyle w:val="FootnoteReference"/>
        </w:rPr>
        <w:footnoteRef/>
      </w:r>
      <w:r>
        <w:t xml:space="preserve"> Smith CC, Pariser D. Primary focal hyperhidrosis. In: UpToDate, Connor RF, ed, </w:t>
      </w:r>
      <w:r w:rsidR="006C686D">
        <w:t xml:space="preserve">Wolters Kluwer, accessed 28 July 2025. </w:t>
      </w:r>
    </w:p>
  </w:footnote>
  <w:footnote w:id="5">
    <w:p w14:paraId="226ED84D" w14:textId="17AD8C47" w:rsidR="00001DD2" w:rsidRDefault="00001DD2">
      <w:pPr>
        <w:pStyle w:val="FootnoteText"/>
      </w:pPr>
      <w:r>
        <w:rPr>
          <w:rStyle w:val="FootnoteReference"/>
        </w:rPr>
        <w:footnoteRef/>
      </w:r>
      <w:r>
        <w:t xml:space="preserve"> </w:t>
      </w:r>
      <w:r w:rsidRPr="00001DD2">
        <w:t xml:space="preserve">Stefaniak TJ, </w:t>
      </w:r>
      <w:r w:rsidRPr="00001DD2">
        <w:t xml:space="preserve">Proczko M. Gravimetry in sweating assessment in primary hyperhidrosis and healthy individuals. </w:t>
      </w:r>
      <w:r w:rsidRPr="00001DD2">
        <w:rPr>
          <w:i/>
          <w:iCs/>
        </w:rPr>
        <w:t>Clin Auton Res</w:t>
      </w:r>
      <w:r>
        <w:rPr>
          <w:i/>
          <w:iCs/>
        </w:rPr>
        <w:t xml:space="preserve"> </w:t>
      </w:r>
      <w:r w:rsidRPr="00001DD2">
        <w:t>2013</w:t>
      </w:r>
      <w:r>
        <w:t>;</w:t>
      </w:r>
      <w:r w:rsidRPr="00001DD2">
        <w:t xml:space="preserve"> 23</w:t>
      </w:r>
      <w:r>
        <w:t>:</w:t>
      </w:r>
      <w:r w:rsidRPr="00001DD2">
        <w:t>197–200.</w:t>
      </w:r>
    </w:p>
  </w:footnote>
  <w:footnote w:id="6">
    <w:p w14:paraId="125E7362" w14:textId="64647A9E" w:rsidR="008A2685" w:rsidRDefault="008A2685">
      <w:pPr>
        <w:pStyle w:val="FootnoteText"/>
      </w:pPr>
      <w:r>
        <w:rPr>
          <w:rStyle w:val="FootnoteReference"/>
        </w:rPr>
        <w:footnoteRef/>
      </w:r>
      <w:r>
        <w:t xml:space="preserve"> </w:t>
      </w:r>
      <w:r w:rsidRPr="008A2685">
        <w:t>Gabes</w:t>
      </w:r>
      <w:r>
        <w:t xml:space="preserve"> M</w:t>
      </w:r>
      <w:r w:rsidRPr="008A2685">
        <w:t>, Jourdan</w:t>
      </w:r>
      <w:r>
        <w:t xml:space="preserve"> C</w:t>
      </w:r>
      <w:r w:rsidRPr="008A2685">
        <w:t>, Schramm</w:t>
      </w:r>
      <w:r>
        <w:t xml:space="preserve"> K et al.</w:t>
      </w:r>
      <w:r w:rsidRPr="008A2685">
        <w:t xml:space="preserve"> Hyperhidrosis Quality of Life Index (HidroQoL©): further validation and clinical application in patients with axillary hyperhidrosis using data from a phase III randomized controlled trial, </w:t>
      </w:r>
      <w:r w:rsidRPr="008A2685">
        <w:rPr>
          <w:i/>
          <w:iCs/>
        </w:rPr>
        <w:t>British Journal of Dermatology</w:t>
      </w:r>
      <w:r>
        <w:t xml:space="preserve"> 2021; </w:t>
      </w:r>
      <w:r w:rsidRPr="008A2685">
        <w:t>184</w:t>
      </w:r>
      <w:r>
        <w:t>:</w:t>
      </w:r>
      <w:r w:rsidRPr="008A2685">
        <w:t>473–481</w:t>
      </w:r>
      <w:r>
        <w:t xml:space="preserve">. </w:t>
      </w:r>
    </w:p>
  </w:footnote>
  <w:footnote w:id="7">
    <w:p w14:paraId="751352B5" w14:textId="3C8C2D0E" w:rsidR="00DC6EF0" w:rsidRDefault="00DC6EF0">
      <w:pPr>
        <w:pStyle w:val="FootnoteText"/>
      </w:pPr>
      <w:r>
        <w:rPr>
          <w:rStyle w:val="FootnoteReference"/>
        </w:rPr>
        <w:footnoteRef/>
      </w:r>
      <w:r>
        <w:t xml:space="preserve"> Hornberger J, Grimes K, Naumann M, et al. Recognition, diagnosis, and treatment of primary focal hyperhidrosis. </w:t>
      </w:r>
      <w:r w:rsidRPr="00DC6EF0">
        <w:rPr>
          <w:i/>
          <w:iCs/>
        </w:rPr>
        <w:t xml:space="preserve">J Am </w:t>
      </w:r>
      <w:r w:rsidRPr="00DC6EF0">
        <w:rPr>
          <w:i/>
          <w:iCs/>
        </w:rPr>
        <w:t>Acad Dermatol</w:t>
      </w:r>
      <w:r>
        <w:t xml:space="preserve"> 2004; 51:274-286. </w:t>
      </w:r>
      <w:r w:rsidRPr="00C2609F">
        <w:rPr>
          <w:i/>
          <w:iCs/>
        </w:rPr>
        <w:t xml:space="preserve">The meeting at which these criteria were developed was </w:t>
      </w:r>
      <w:r w:rsidR="00931C66" w:rsidRPr="00C2609F">
        <w:rPr>
          <w:i/>
          <w:iCs/>
        </w:rPr>
        <w:t>supported by Allergan, the manufacturer of Botox, and participants received expenses and an honorarium.</w:t>
      </w:r>
      <w:r w:rsidR="00931C66">
        <w:t xml:space="preserve"> </w:t>
      </w:r>
    </w:p>
  </w:footnote>
  <w:footnote w:id="8">
    <w:p w14:paraId="519C1E00" w14:textId="06DD85DE" w:rsidR="00EE783B" w:rsidRDefault="00EE783B">
      <w:pPr>
        <w:pStyle w:val="FootnoteText"/>
      </w:pPr>
      <w:r>
        <w:rPr>
          <w:rStyle w:val="FootnoteReference"/>
        </w:rPr>
        <w:footnoteRef/>
      </w:r>
      <w:r>
        <w:t xml:space="preserve"> Glycopyrronium is the International </w:t>
      </w:r>
      <w:r>
        <w:t xml:space="preserve">Nonproprietary Name; glycopyrrolate is the United States Adopted Name. </w:t>
      </w:r>
    </w:p>
  </w:footnote>
  <w:footnote w:id="9">
    <w:p w14:paraId="7E807A99" w14:textId="46554EED" w:rsidR="00EE783B" w:rsidRDefault="00EE783B" w:rsidP="0022626E">
      <w:pPr>
        <w:pStyle w:val="FootnoteText"/>
      </w:pPr>
      <w:r>
        <w:rPr>
          <w:rStyle w:val="FootnoteReference"/>
        </w:rPr>
        <w:footnoteRef/>
      </w:r>
      <w:r w:rsidR="00CC7C7D">
        <w:t xml:space="preserve"> </w:t>
      </w:r>
      <w:r w:rsidR="00294BE0" w:rsidRPr="00294BE0">
        <w:t>https://www.accessdata.fda.gov/scripts/cder/daf/index.cfm?event=overview.process&amp;ApplNo=012827</w:t>
      </w:r>
      <w:r>
        <w:t xml:space="preserve">-accessed 29 July 2025. </w:t>
      </w:r>
    </w:p>
  </w:footnote>
  <w:footnote w:id="10">
    <w:p w14:paraId="479F7BBD" w14:textId="4B5FF1C5" w:rsidR="00470654" w:rsidRDefault="00470654">
      <w:pPr>
        <w:pStyle w:val="FootnoteText"/>
      </w:pPr>
      <w:r>
        <w:rPr>
          <w:rStyle w:val="FootnoteReference"/>
        </w:rPr>
        <w:footnoteRef/>
      </w:r>
      <w:r>
        <w:t xml:space="preserve"> Attachment 4.1, Axhidrox Draft PI, p14. </w:t>
      </w:r>
    </w:p>
  </w:footnote>
  <w:footnote w:id="11">
    <w:p w14:paraId="501FED54" w14:textId="47F8E03F" w:rsidR="00CE0ED2" w:rsidRDefault="00CE0ED2">
      <w:pPr>
        <w:pStyle w:val="FootnoteText"/>
      </w:pPr>
      <w:r>
        <w:rPr>
          <w:rStyle w:val="FootnoteReference"/>
        </w:rPr>
        <w:footnoteRef/>
      </w:r>
      <w:r>
        <w:t xml:space="preserve"> </w:t>
      </w:r>
      <w:r w:rsidRPr="00CE0ED2">
        <w:t>Kaufman</w:t>
      </w:r>
      <w:r>
        <w:t xml:space="preserve"> AR,</w:t>
      </w:r>
      <w:r w:rsidRPr="00CE0ED2">
        <w:t xml:space="preserve"> Gulati</w:t>
      </w:r>
      <w:r>
        <w:t xml:space="preserve"> S,</w:t>
      </w:r>
      <w:r w:rsidRPr="00CE0ED2">
        <w:t xml:space="preserve"> Pula</w:t>
      </w:r>
      <w:r>
        <w:t xml:space="preserve"> JH, et al. </w:t>
      </w:r>
      <w:r w:rsidRPr="00CE0ED2">
        <w:t xml:space="preserve">Pharmacologic </w:t>
      </w:r>
      <w:r>
        <w:t>m</w:t>
      </w:r>
      <w:r w:rsidRPr="00CE0ED2">
        <w:t xml:space="preserve">ydriasis </w:t>
      </w:r>
      <w:r>
        <w:t>s</w:t>
      </w:r>
      <w:r w:rsidRPr="00CE0ED2">
        <w:t xml:space="preserve">econdary to </w:t>
      </w:r>
      <w:r>
        <w:t>t</w:t>
      </w:r>
      <w:r w:rsidRPr="00CE0ED2">
        <w:t xml:space="preserve">opical </w:t>
      </w:r>
      <w:r>
        <w:t>g</w:t>
      </w:r>
      <w:r w:rsidRPr="00CE0ED2">
        <w:t xml:space="preserve">lycopyrronium </w:t>
      </w:r>
      <w:r>
        <w:t>t</w:t>
      </w:r>
      <w:r w:rsidRPr="00CE0ED2">
        <w:t xml:space="preserve">osylate </w:t>
      </w:r>
      <w:r>
        <w:t>c</w:t>
      </w:r>
      <w:r w:rsidRPr="00CE0ED2">
        <w:t xml:space="preserve">loths: Clinical </w:t>
      </w:r>
      <w:r>
        <w:t>c</w:t>
      </w:r>
      <w:r w:rsidRPr="00CE0ED2">
        <w:t xml:space="preserve">haracterization </w:t>
      </w:r>
      <w:r>
        <w:t>f</w:t>
      </w:r>
      <w:r w:rsidRPr="00CE0ED2">
        <w:t xml:space="preserve">rom a </w:t>
      </w:r>
      <w:r>
        <w:t>m</w:t>
      </w:r>
      <w:r w:rsidRPr="00CE0ED2">
        <w:t xml:space="preserve">ulticenter </w:t>
      </w:r>
      <w:r>
        <w:t>a</w:t>
      </w:r>
      <w:r w:rsidRPr="00CE0ED2">
        <w:t xml:space="preserve">nalysis. </w:t>
      </w:r>
      <w:r w:rsidRPr="00CE0ED2">
        <w:rPr>
          <w:i/>
          <w:iCs/>
        </w:rPr>
        <w:t>J Neuro-Ophthalmol</w:t>
      </w:r>
      <w:r>
        <w:t xml:space="preserve"> 2022;</w:t>
      </w:r>
      <w:r w:rsidRPr="00CE0ED2">
        <w:t xml:space="preserve"> 42</w:t>
      </w:r>
      <w:r>
        <w:t>:</w:t>
      </w:r>
      <w:r w:rsidRPr="00CE0ED2">
        <w:t>530-534.</w:t>
      </w:r>
    </w:p>
  </w:footnote>
  <w:footnote w:id="12">
    <w:p w14:paraId="61EE4FBB" w14:textId="72B73BA1" w:rsidR="00A4783A" w:rsidRDefault="00A4783A">
      <w:pPr>
        <w:pStyle w:val="FootnoteText"/>
      </w:pPr>
      <w:r>
        <w:rPr>
          <w:rStyle w:val="FootnoteReference"/>
        </w:rPr>
        <w:footnoteRef/>
      </w:r>
      <w:r>
        <w:t xml:space="preserve"> This product is registered in Australia for treatment of focal spasticity in adults and children aged 2 years and older, spasmodic torticollis, blepharospasm, hemifacial spasm, and moderate to severe glabellar lines and/or lateral canthal lines. </w:t>
      </w:r>
      <w:r w:rsidRPr="00A4783A">
        <w:t>https://www.ebs.tga.gov.au/ebs/picmi/picmirepository.nsf/pdf?OpenAgent&amp;id=CP-2010-PI-05764-3</w:t>
      </w:r>
      <w:r>
        <w:t xml:space="preserve"> Accessed 6 August 2025. </w:t>
      </w:r>
    </w:p>
  </w:footnote>
  <w:footnote w:id="13">
    <w:p w14:paraId="31366C3A" w14:textId="77777777" w:rsidR="002865F7" w:rsidRDefault="002865F7" w:rsidP="002865F7">
      <w:pPr>
        <w:pStyle w:val="FootnoteText"/>
      </w:pPr>
      <w:r>
        <w:rPr>
          <w:rStyle w:val="FootnoteReference"/>
        </w:rPr>
        <w:footnoteRef/>
      </w:r>
      <w:r>
        <w:t xml:space="preserve"> Frevert J. Pharmaceutical, biological, and clinical properties of botulinum neurotoxin type A products. </w:t>
      </w:r>
      <w:r w:rsidRPr="00010249">
        <w:rPr>
          <w:i/>
          <w:iCs/>
        </w:rPr>
        <w:t>Drugs RD</w:t>
      </w:r>
      <w:r>
        <w:t xml:space="preserve"> 2015; 15:1-9. </w:t>
      </w:r>
    </w:p>
  </w:footnote>
  <w:footnote w:id="14">
    <w:p w14:paraId="062B9232" w14:textId="2DDD353E" w:rsidR="0097379A" w:rsidRDefault="0097379A" w:rsidP="0097379A">
      <w:pPr>
        <w:pStyle w:val="FootnoteText"/>
      </w:pPr>
      <w:r>
        <w:rPr>
          <w:rStyle w:val="FootnoteReference"/>
        </w:rPr>
        <w:footnoteRef/>
      </w:r>
      <w:r>
        <w:t xml:space="preserve"> Stuart ME, Strite SA, Gillard KK. A systematic evidence-based review of treatments for primary hyperhidrosis, </w:t>
      </w:r>
      <w:r w:rsidRPr="0097379A">
        <w:rPr>
          <w:i/>
          <w:iCs/>
        </w:rPr>
        <w:t>Journal of Drug Assessment</w:t>
      </w:r>
      <w:r>
        <w:t xml:space="preserve"> 2021; 10:35-50. </w:t>
      </w:r>
    </w:p>
  </w:footnote>
  <w:footnote w:id="15">
    <w:p w14:paraId="6F589902" w14:textId="128961EE" w:rsidR="0036407B" w:rsidRDefault="0036407B">
      <w:pPr>
        <w:pStyle w:val="FootnoteText"/>
      </w:pPr>
      <w:r>
        <w:rPr>
          <w:rStyle w:val="FootnoteReference"/>
        </w:rPr>
        <w:footnoteRef/>
      </w:r>
      <w:r>
        <w:t xml:space="preserve"> </w:t>
      </w:r>
      <w:r w:rsidRPr="0036407B">
        <w:t xml:space="preserve">Flanagan KH, King R, Glaser DA. Botulinum toxin type a versus topical 20% </w:t>
      </w:r>
      <w:r w:rsidR="008D5F52" w:rsidRPr="0036407B">
        <w:t>aluminium</w:t>
      </w:r>
      <w:r w:rsidRPr="0036407B">
        <w:t xml:space="preserve"> chloride for the treatment of moderate to severe primary focal axillary hyperhidrosis. </w:t>
      </w:r>
      <w:r w:rsidRPr="0036407B">
        <w:rPr>
          <w:i/>
          <w:iCs/>
        </w:rPr>
        <w:t>J Drugs Dermatol</w:t>
      </w:r>
      <w:r w:rsidRPr="0036407B">
        <w:t xml:space="preserve"> 2008;7:221-227.</w:t>
      </w:r>
    </w:p>
  </w:footnote>
  <w:footnote w:id="16">
    <w:p w14:paraId="61200741" w14:textId="5E83F831" w:rsidR="001843FF" w:rsidRDefault="001843FF">
      <w:pPr>
        <w:pStyle w:val="FootnoteText"/>
      </w:pPr>
      <w:r>
        <w:rPr>
          <w:rStyle w:val="FootnoteReference"/>
        </w:rPr>
        <w:footnoteRef/>
      </w:r>
      <w:r>
        <w:t xml:space="preserve"> </w:t>
      </w:r>
      <w:r w:rsidRPr="001843FF">
        <w:t>https://www.tga.gov.au/sites/default/files/2024-09/notice-final-decisions-amend-not-amend-poisons-standard-glycopyrronium-palmitoylethanolamide.pdf</w:t>
      </w:r>
      <w:r>
        <w:t xml:space="preserve"> Accessed 16 August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AB4A" w14:textId="77777777" w:rsidR="000F3FCD" w:rsidRDefault="000F3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D4F9" w14:textId="22A3E75A" w:rsidR="00BB0A56" w:rsidRDefault="004A709C" w:rsidP="000F3FCD">
    <w:pPr>
      <w:pStyle w:val="Header"/>
      <w:ind w:left="360"/>
      <w:rPr>
        <w:rFonts w:asciiTheme="minorHAnsi" w:hAnsiTheme="minorHAnsi"/>
        <w:i w:val="0"/>
        <w:color w:val="808080"/>
      </w:rPr>
    </w:pPr>
    <w:bookmarkStart w:id="78" w:name="_Hlk76375146"/>
    <w:r>
      <w:rPr>
        <w:rFonts w:asciiTheme="minorHAnsi" w:hAnsiTheme="minorHAnsi"/>
        <w:color w:val="808080"/>
      </w:rPr>
      <w:t xml:space="preserve">Public Summary Document </w:t>
    </w:r>
    <w:r w:rsidR="00BB0A56" w:rsidRPr="00056684">
      <w:rPr>
        <w:rFonts w:asciiTheme="minorHAnsi" w:hAnsiTheme="minorHAnsi"/>
        <w:color w:val="808080"/>
      </w:rPr>
      <w:t xml:space="preserve">– </w:t>
    </w:r>
    <w:r w:rsidR="00BB0A56">
      <w:rPr>
        <w:rFonts w:asciiTheme="minorHAnsi" w:hAnsiTheme="minorHAnsi"/>
        <w:color w:val="808080"/>
      </w:rPr>
      <w:t>November 2025</w:t>
    </w:r>
    <w:r w:rsidR="00BB0A56" w:rsidRPr="00056684">
      <w:rPr>
        <w:rFonts w:asciiTheme="minorHAnsi" w:hAnsiTheme="minorHAnsi"/>
        <w:color w:val="808080"/>
      </w:rPr>
      <w:t xml:space="preserve"> PBAC Meeting</w:t>
    </w:r>
  </w:p>
  <w:bookmarkEnd w:id="78"/>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B2B1" w14:textId="77777777" w:rsidR="000F3FCD" w:rsidRDefault="000F3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995C53"/>
    <w:multiLevelType w:val="hybridMultilevel"/>
    <w:tmpl w:val="4F5260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0A67275"/>
    <w:multiLevelType w:val="hybridMultilevel"/>
    <w:tmpl w:val="5D2CD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5F641C"/>
    <w:multiLevelType w:val="hybridMultilevel"/>
    <w:tmpl w:val="891A2064"/>
    <w:lvl w:ilvl="0" w:tplc="FAB23AE2">
      <w:start w:val="1"/>
      <w:numFmt w:val="bullet"/>
      <w:lvlText w:val=""/>
      <w:lvlJc w:val="left"/>
      <w:pPr>
        <w:ind w:left="720" w:hanging="360"/>
      </w:pPr>
      <w:rPr>
        <w:rFonts w:ascii="Symbol" w:hAnsi="Symbol"/>
      </w:rPr>
    </w:lvl>
    <w:lvl w:ilvl="1" w:tplc="64CC4F82">
      <w:start w:val="1"/>
      <w:numFmt w:val="bullet"/>
      <w:lvlText w:val=""/>
      <w:lvlJc w:val="left"/>
      <w:pPr>
        <w:ind w:left="720" w:hanging="360"/>
      </w:pPr>
      <w:rPr>
        <w:rFonts w:ascii="Symbol" w:hAnsi="Symbol"/>
      </w:rPr>
    </w:lvl>
    <w:lvl w:ilvl="2" w:tplc="C6DA4CD2">
      <w:start w:val="1"/>
      <w:numFmt w:val="bullet"/>
      <w:lvlText w:val=""/>
      <w:lvlJc w:val="left"/>
      <w:pPr>
        <w:ind w:left="720" w:hanging="360"/>
      </w:pPr>
      <w:rPr>
        <w:rFonts w:ascii="Symbol" w:hAnsi="Symbol"/>
      </w:rPr>
    </w:lvl>
    <w:lvl w:ilvl="3" w:tplc="71AEA5E2">
      <w:start w:val="1"/>
      <w:numFmt w:val="bullet"/>
      <w:lvlText w:val=""/>
      <w:lvlJc w:val="left"/>
      <w:pPr>
        <w:ind w:left="720" w:hanging="360"/>
      </w:pPr>
      <w:rPr>
        <w:rFonts w:ascii="Symbol" w:hAnsi="Symbol"/>
      </w:rPr>
    </w:lvl>
    <w:lvl w:ilvl="4" w:tplc="41FE1206">
      <w:start w:val="1"/>
      <w:numFmt w:val="bullet"/>
      <w:lvlText w:val=""/>
      <w:lvlJc w:val="left"/>
      <w:pPr>
        <w:ind w:left="720" w:hanging="360"/>
      </w:pPr>
      <w:rPr>
        <w:rFonts w:ascii="Symbol" w:hAnsi="Symbol"/>
      </w:rPr>
    </w:lvl>
    <w:lvl w:ilvl="5" w:tplc="C0A89466">
      <w:start w:val="1"/>
      <w:numFmt w:val="bullet"/>
      <w:lvlText w:val=""/>
      <w:lvlJc w:val="left"/>
      <w:pPr>
        <w:ind w:left="720" w:hanging="360"/>
      </w:pPr>
      <w:rPr>
        <w:rFonts w:ascii="Symbol" w:hAnsi="Symbol"/>
      </w:rPr>
    </w:lvl>
    <w:lvl w:ilvl="6" w:tplc="718A4E64">
      <w:start w:val="1"/>
      <w:numFmt w:val="bullet"/>
      <w:lvlText w:val=""/>
      <w:lvlJc w:val="left"/>
      <w:pPr>
        <w:ind w:left="720" w:hanging="360"/>
      </w:pPr>
      <w:rPr>
        <w:rFonts w:ascii="Symbol" w:hAnsi="Symbol"/>
      </w:rPr>
    </w:lvl>
    <w:lvl w:ilvl="7" w:tplc="B1520A40">
      <w:start w:val="1"/>
      <w:numFmt w:val="bullet"/>
      <w:lvlText w:val=""/>
      <w:lvlJc w:val="left"/>
      <w:pPr>
        <w:ind w:left="720" w:hanging="360"/>
      </w:pPr>
      <w:rPr>
        <w:rFonts w:ascii="Symbol" w:hAnsi="Symbol"/>
      </w:rPr>
    </w:lvl>
    <w:lvl w:ilvl="8" w:tplc="8BF80F48">
      <w:start w:val="1"/>
      <w:numFmt w:val="bullet"/>
      <w:lvlText w:val=""/>
      <w:lvlJc w:val="left"/>
      <w:pPr>
        <w:ind w:left="720" w:hanging="360"/>
      </w:pPr>
      <w:rPr>
        <w:rFonts w:ascii="Symbol" w:hAnsi="Symbol"/>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7296015"/>
    <w:multiLevelType w:val="multilevel"/>
    <w:tmpl w:val="FD1CD88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13F0D"/>
    <w:multiLevelType w:val="multilevel"/>
    <w:tmpl w:val="2CA63A9E"/>
    <w:lvl w:ilvl="0">
      <w:start w:val="1"/>
      <w:numFmt w:val="decimal"/>
      <w:lvlText w:val="%1"/>
      <w:lvlJc w:val="left"/>
      <w:pPr>
        <w:ind w:left="720" w:hanging="720"/>
      </w:pPr>
      <w:rPr>
        <w:rFonts w:hint="default"/>
        <w:b/>
        <w:i w:val="0"/>
        <w:iCs/>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Text w:val="%5)"/>
      <w:lvlJc w:val="left"/>
      <w:pPr>
        <w:ind w:left="360" w:hanging="360"/>
      </w:p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592E3C"/>
    <w:multiLevelType w:val="hybridMultilevel"/>
    <w:tmpl w:val="5D981676"/>
    <w:lvl w:ilvl="0" w:tplc="649E6718">
      <w:start w:val="1"/>
      <w:numFmt w:val="lowerRoman"/>
      <w:lvlText w:val="(%1)"/>
      <w:lvlJc w:val="left"/>
      <w:pPr>
        <w:ind w:left="1582" w:hanging="720"/>
      </w:pPr>
      <w:rPr>
        <w:rFonts w:hint="default"/>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14" w15:restartNumberingAfterBreak="0">
    <w:nsid w:val="5C8F2365"/>
    <w:multiLevelType w:val="hybridMultilevel"/>
    <w:tmpl w:val="47FC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B68E8"/>
    <w:multiLevelType w:val="hybridMultilevel"/>
    <w:tmpl w:val="AF1AEBB0"/>
    <w:lvl w:ilvl="0" w:tplc="4F469BBC">
      <w:start w:val="1"/>
      <w:numFmt w:val="bullet"/>
      <w:lvlText w:val=""/>
      <w:lvlJc w:val="left"/>
      <w:pPr>
        <w:ind w:left="720" w:hanging="360"/>
      </w:pPr>
      <w:rPr>
        <w:rFonts w:ascii="Symbol" w:hAnsi="Symbol"/>
      </w:rPr>
    </w:lvl>
    <w:lvl w:ilvl="1" w:tplc="27EE2BA8">
      <w:start w:val="1"/>
      <w:numFmt w:val="bullet"/>
      <w:lvlText w:val=""/>
      <w:lvlJc w:val="left"/>
      <w:pPr>
        <w:ind w:left="720" w:hanging="360"/>
      </w:pPr>
      <w:rPr>
        <w:rFonts w:ascii="Symbol" w:hAnsi="Symbol"/>
      </w:rPr>
    </w:lvl>
    <w:lvl w:ilvl="2" w:tplc="12A0C220">
      <w:start w:val="1"/>
      <w:numFmt w:val="bullet"/>
      <w:lvlText w:val=""/>
      <w:lvlJc w:val="left"/>
      <w:pPr>
        <w:ind w:left="720" w:hanging="360"/>
      </w:pPr>
      <w:rPr>
        <w:rFonts w:ascii="Symbol" w:hAnsi="Symbol"/>
      </w:rPr>
    </w:lvl>
    <w:lvl w:ilvl="3" w:tplc="00C02CE2">
      <w:start w:val="1"/>
      <w:numFmt w:val="bullet"/>
      <w:lvlText w:val=""/>
      <w:lvlJc w:val="left"/>
      <w:pPr>
        <w:ind w:left="720" w:hanging="360"/>
      </w:pPr>
      <w:rPr>
        <w:rFonts w:ascii="Symbol" w:hAnsi="Symbol"/>
      </w:rPr>
    </w:lvl>
    <w:lvl w:ilvl="4" w:tplc="3F32E0D6">
      <w:start w:val="1"/>
      <w:numFmt w:val="bullet"/>
      <w:lvlText w:val=""/>
      <w:lvlJc w:val="left"/>
      <w:pPr>
        <w:ind w:left="720" w:hanging="360"/>
      </w:pPr>
      <w:rPr>
        <w:rFonts w:ascii="Symbol" w:hAnsi="Symbol"/>
      </w:rPr>
    </w:lvl>
    <w:lvl w:ilvl="5" w:tplc="1CFEC3C2">
      <w:start w:val="1"/>
      <w:numFmt w:val="bullet"/>
      <w:lvlText w:val=""/>
      <w:lvlJc w:val="left"/>
      <w:pPr>
        <w:ind w:left="720" w:hanging="360"/>
      </w:pPr>
      <w:rPr>
        <w:rFonts w:ascii="Symbol" w:hAnsi="Symbol"/>
      </w:rPr>
    </w:lvl>
    <w:lvl w:ilvl="6" w:tplc="9150223A">
      <w:start w:val="1"/>
      <w:numFmt w:val="bullet"/>
      <w:lvlText w:val=""/>
      <w:lvlJc w:val="left"/>
      <w:pPr>
        <w:ind w:left="720" w:hanging="360"/>
      </w:pPr>
      <w:rPr>
        <w:rFonts w:ascii="Symbol" w:hAnsi="Symbol"/>
      </w:rPr>
    </w:lvl>
    <w:lvl w:ilvl="7" w:tplc="516E43F0">
      <w:start w:val="1"/>
      <w:numFmt w:val="bullet"/>
      <w:lvlText w:val=""/>
      <w:lvlJc w:val="left"/>
      <w:pPr>
        <w:ind w:left="720" w:hanging="360"/>
      </w:pPr>
      <w:rPr>
        <w:rFonts w:ascii="Symbol" w:hAnsi="Symbol"/>
      </w:rPr>
    </w:lvl>
    <w:lvl w:ilvl="8" w:tplc="C66A741C">
      <w:start w:val="1"/>
      <w:numFmt w:val="bullet"/>
      <w:lvlText w:val=""/>
      <w:lvlJc w:val="left"/>
      <w:pPr>
        <w:ind w:left="720" w:hanging="360"/>
      </w:pPr>
      <w:rPr>
        <w:rFonts w:ascii="Symbol" w:hAnsi="Symbol"/>
      </w:r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84D033C"/>
    <w:multiLevelType w:val="multilevel"/>
    <w:tmpl w:val="5FA221F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B640D0"/>
    <w:multiLevelType w:val="hybridMultilevel"/>
    <w:tmpl w:val="D71AA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17"/>
  </w:num>
  <w:num w:numId="2" w16cid:durableId="917793048">
    <w:abstractNumId w:val="10"/>
  </w:num>
  <w:num w:numId="3" w16cid:durableId="263461728">
    <w:abstractNumId w:val="0"/>
  </w:num>
  <w:num w:numId="4" w16cid:durableId="220360847">
    <w:abstractNumId w:val="16"/>
  </w:num>
  <w:num w:numId="5" w16cid:durableId="268196418">
    <w:abstractNumId w:val="8"/>
  </w:num>
  <w:num w:numId="6" w16cid:durableId="1048839230">
    <w:abstractNumId w:val="17"/>
  </w:num>
  <w:num w:numId="7" w16cid:durableId="488979545">
    <w:abstractNumId w:val="14"/>
  </w:num>
  <w:num w:numId="8" w16cid:durableId="323968689">
    <w:abstractNumId w:val="18"/>
  </w:num>
  <w:num w:numId="9" w16cid:durableId="339240100">
    <w:abstractNumId w:val="3"/>
  </w:num>
  <w:num w:numId="10" w16cid:durableId="1560435557">
    <w:abstractNumId w:val="9"/>
  </w:num>
  <w:num w:numId="11" w16cid:durableId="408699874">
    <w:abstractNumId w:val="12"/>
  </w:num>
  <w:num w:numId="12" w16cid:durableId="705176722">
    <w:abstractNumId w:val="1"/>
  </w:num>
  <w:num w:numId="13" w16cid:durableId="1926569401">
    <w:abstractNumId w:val="5"/>
  </w:num>
  <w:num w:numId="14" w16cid:durableId="1979457665">
    <w:abstractNumId w:val="7"/>
  </w:num>
  <w:num w:numId="15" w16cid:durableId="2038313566">
    <w:abstractNumId w:val="4"/>
  </w:num>
  <w:num w:numId="16" w16cid:durableId="365637912">
    <w:abstractNumId w:val="11"/>
  </w:num>
  <w:num w:numId="17" w16cid:durableId="1900092470">
    <w:abstractNumId w:val="2"/>
  </w:num>
  <w:num w:numId="18" w16cid:durableId="1788157482">
    <w:abstractNumId w:val="15"/>
  </w:num>
  <w:num w:numId="19" w16cid:durableId="1584795581">
    <w:abstractNumId w:val="6"/>
  </w:num>
  <w:num w:numId="20" w16cid:durableId="159039015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C9F"/>
    <w:rsid w:val="0000110B"/>
    <w:rsid w:val="00001D77"/>
    <w:rsid w:val="00001DD2"/>
    <w:rsid w:val="000024FF"/>
    <w:rsid w:val="0000262C"/>
    <w:rsid w:val="00002914"/>
    <w:rsid w:val="00002C42"/>
    <w:rsid w:val="00003499"/>
    <w:rsid w:val="000039B7"/>
    <w:rsid w:val="00003A3B"/>
    <w:rsid w:val="00003DFA"/>
    <w:rsid w:val="000044A4"/>
    <w:rsid w:val="00004A33"/>
    <w:rsid w:val="000051C6"/>
    <w:rsid w:val="000056B9"/>
    <w:rsid w:val="000058D7"/>
    <w:rsid w:val="00005C9A"/>
    <w:rsid w:val="00005F1C"/>
    <w:rsid w:val="0000639A"/>
    <w:rsid w:val="00006DD3"/>
    <w:rsid w:val="00006E98"/>
    <w:rsid w:val="000101FD"/>
    <w:rsid w:val="00010249"/>
    <w:rsid w:val="000114CE"/>
    <w:rsid w:val="0001240C"/>
    <w:rsid w:val="00012788"/>
    <w:rsid w:val="00012A47"/>
    <w:rsid w:val="00013247"/>
    <w:rsid w:val="00013349"/>
    <w:rsid w:val="00013A9E"/>
    <w:rsid w:val="00013C6E"/>
    <w:rsid w:val="00013D14"/>
    <w:rsid w:val="00014D68"/>
    <w:rsid w:val="000154F8"/>
    <w:rsid w:val="00015886"/>
    <w:rsid w:val="0001599B"/>
    <w:rsid w:val="00015B15"/>
    <w:rsid w:val="000162EF"/>
    <w:rsid w:val="00017082"/>
    <w:rsid w:val="000207C9"/>
    <w:rsid w:val="00020A71"/>
    <w:rsid w:val="00021FA1"/>
    <w:rsid w:val="0002225F"/>
    <w:rsid w:val="00022390"/>
    <w:rsid w:val="00023551"/>
    <w:rsid w:val="00023763"/>
    <w:rsid w:val="00023C6E"/>
    <w:rsid w:val="000249BD"/>
    <w:rsid w:val="00024EB5"/>
    <w:rsid w:val="000252CA"/>
    <w:rsid w:val="00027487"/>
    <w:rsid w:val="000274B8"/>
    <w:rsid w:val="00027A35"/>
    <w:rsid w:val="00030159"/>
    <w:rsid w:val="00030196"/>
    <w:rsid w:val="000304CF"/>
    <w:rsid w:val="00031874"/>
    <w:rsid w:val="0003196D"/>
    <w:rsid w:val="00031A0A"/>
    <w:rsid w:val="0003268B"/>
    <w:rsid w:val="00033254"/>
    <w:rsid w:val="0003368B"/>
    <w:rsid w:val="00033863"/>
    <w:rsid w:val="000339F6"/>
    <w:rsid w:val="00033D66"/>
    <w:rsid w:val="00034092"/>
    <w:rsid w:val="00035DC0"/>
    <w:rsid w:val="00036829"/>
    <w:rsid w:val="00036DAD"/>
    <w:rsid w:val="00037674"/>
    <w:rsid w:val="000407E0"/>
    <w:rsid w:val="00040895"/>
    <w:rsid w:val="000409A8"/>
    <w:rsid w:val="000410A0"/>
    <w:rsid w:val="00041E58"/>
    <w:rsid w:val="000422ED"/>
    <w:rsid w:val="00042675"/>
    <w:rsid w:val="00042A86"/>
    <w:rsid w:val="00042BBE"/>
    <w:rsid w:val="000435EE"/>
    <w:rsid w:val="00043C37"/>
    <w:rsid w:val="000441F8"/>
    <w:rsid w:val="000443B8"/>
    <w:rsid w:val="000444BF"/>
    <w:rsid w:val="00045017"/>
    <w:rsid w:val="0004564E"/>
    <w:rsid w:val="00045A2B"/>
    <w:rsid w:val="00045A5D"/>
    <w:rsid w:val="0004698F"/>
    <w:rsid w:val="00046D64"/>
    <w:rsid w:val="00047729"/>
    <w:rsid w:val="000508C2"/>
    <w:rsid w:val="00050FE3"/>
    <w:rsid w:val="00051199"/>
    <w:rsid w:val="00051DD7"/>
    <w:rsid w:val="0005385A"/>
    <w:rsid w:val="000539D0"/>
    <w:rsid w:val="00054621"/>
    <w:rsid w:val="000546D7"/>
    <w:rsid w:val="00054A8D"/>
    <w:rsid w:val="0005518F"/>
    <w:rsid w:val="00055E05"/>
    <w:rsid w:val="00055F69"/>
    <w:rsid w:val="0005630C"/>
    <w:rsid w:val="00056ECF"/>
    <w:rsid w:val="000604DF"/>
    <w:rsid w:val="000609BE"/>
    <w:rsid w:val="00060D40"/>
    <w:rsid w:val="00060D65"/>
    <w:rsid w:val="00061EC0"/>
    <w:rsid w:val="00062324"/>
    <w:rsid w:val="00062539"/>
    <w:rsid w:val="00064338"/>
    <w:rsid w:val="00064A76"/>
    <w:rsid w:val="00064E6E"/>
    <w:rsid w:val="000653B5"/>
    <w:rsid w:val="00066360"/>
    <w:rsid w:val="00066AF8"/>
    <w:rsid w:val="00066E9D"/>
    <w:rsid w:val="00067869"/>
    <w:rsid w:val="00070419"/>
    <w:rsid w:val="00071248"/>
    <w:rsid w:val="000720B9"/>
    <w:rsid w:val="00072758"/>
    <w:rsid w:val="0007303B"/>
    <w:rsid w:val="000737F7"/>
    <w:rsid w:val="0007407F"/>
    <w:rsid w:val="0007516D"/>
    <w:rsid w:val="00075298"/>
    <w:rsid w:val="0007672F"/>
    <w:rsid w:val="00076B54"/>
    <w:rsid w:val="00077318"/>
    <w:rsid w:val="000774F0"/>
    <w:rsid w:val="00077E6C"/>
    <w:rsid w:val="00080830"/>
    <w:rsid w:val="00080909"/>
    <w:rsid w:val="00080956"/>
    <w:rsid w:val="000812CA"/>
    <w:rsid w:val="00081E63"/>
    <w:rsid w:val="0008258D"/>
    <w:rsid w:val="00082BD8"/>
    <w:rsid w:val="0008302F"/>
    <w:rsid w:val="000831FB"/>
    <w:rsid w:val="00083E99"/>
    <w:rsid w:val="00084265"/>
    <w:rsid w:val="0008449C"/>
    <w:rsid w:val="00084B99"/>
    <w:rsid w:val="00084FA8"/>
    <w:rsid w:val="000856C5"/>
    <w:rsid w:val="00085C31"/>
    <w:rsid w:val="00085E8B"/>
    <w:rsid w:val="00090250"/>
    <w:rsid w:val="00090268"/>
    <w:rsid w:val="000902D9"/>
    <w:rsid w:val="000908C8"/>
    <w:rsid w:val="00090C7E"/>
    <w:rsid w:val="00090DB7"/>
    <w:rsid w:val="000911AC"/>
    <w:rsid w:val="00091518"/>
    <w:rsid w:val="00092600"/>
    <w:rsid w:val="0009262B"/>
    <w:rsid w:val="00092DDA"/>
    <w:rsid w:val="00093310"/>
    <w:rsid w:val="0009352A"/>
    <w:rsid w:val="00093E20"/>
    <w:rsid w:val="00093E5C"/>
    <w:rsid w:val="000942F1"/>
    <w:rsid w:val="0009445C"/>
    <w:rsid w:val="000948B5"/>
    <w:rsid w:val="000949BA"/>
    <w:rsid w:val="00094E60"/>
    <w:rsid w:val="00095200"/>
    <w:rsid w:val="000956CD"/>
    <w:rsid w:val="00095FE5"/>
    <w:rsid w:val="000961F4"/>
    <w:rsid w:val="00096284"/>
    <w:rsid w:val="00096330"/>
    <w:rsid w:val="00096E23"/>
    <w:rsid w:val="00097052"/>
    <w:rsid w:val="00097B28"/>
    <w:rsid w:val="00097F7F"/>
    <w:rsid w:val="000A04E1"/>
    <w:rsid w:val="000A1269"/>
    <w:rsid w:val="000A1333"/>
    <w:rsid w:val="000A1BC0"/>
    <w:rsid w:val="000A2457"/>
    <w:rsid w:val="000A2A7E"/>
    <w:rsid w:val="000A2F9E"/>
    <w:rsid w:val="000A3A5F"/>
    <w:rsid w:val="000A3E47"/>
    <w:rsid w:val="000A522B"/>
    <w:rsid w:val="000A5C35"/>
    <w:rsid w:val="000A5F51"/>
    <w:rsid w:val="000A602A"/>
    <w:rsid w:val="000A6039"/>
    <w:rsid w:val="000A6B3D"/>
    <w:rsid w:val="000A6BB5"/>
    <w:rsid w:val="000A7453"/>
    <w:rsid w:val="000A7960"/>
    <w:rsid w:val="000A7977"/>
    <w:rsid w:val="000A7AD0"/>
    <w:rsid w:val="000A7D08"/>
    <w:rsid w:val="000B0121"/>
    <w:rsid w:val="000B05AA"/>
    <w:rsid w:val="000B0670"/>
    <w:rsid w:val="000B0740"/>
    <w:rsid w:val="000B08F0"/>
    <w:rsid w:val="000B0E75"/>
    <w:rsid w:val="000B1384"/>
    <w:rsid w:val="000B1554"/>
    <w:rsid w:val="000B16F0"/>
    <w:rsid w:val="000B1776"/>
    <w:rsid w:val="000B1BDF"/>
    <w:rsid w:val="000B2DCB"/>
    <w:rsid w:val="000B2F58"/>
    <w:rsid w:val="000B4362"/>
    <w:rsid w:val="000B4724"/>
    <w:rsid w:val="000B4C9D"/>
    <w:rsid w:val="000B537C"/>
    <w:rsid w:val="000B5CE0"/>
    <w:rsid w:val="000B5DD2"/>
    <w:rsid w:val="000B65FE"/>
    <w:rsid w:val="000B67FE"/>
    <w:rsid w:val="000B6CAC"/>
    <w:rsid w:val="000B6F21"/>
    <w:rsid w:val="000B7612"/>
    <w:rsid w:val="000B78AE"/>
    <w:rsid w:val="000C04AB"/>
    <w:rsid w:val="000C178C"/>
    <w:rsid w:val="000C1D7F"/>
    <w:rsid w:val="000C2686"/>
    <w:rsid w:val="000C2DA4"/>
    <w:rsid w:val="000C3141"/>
    <w:rsid w:val="000C381B"/>
    <w:rsid w:val="000C3DF9"/>
    <w:rsid w:val="000C4159"/>
    <w:rsid w:val="000C4389"/>
    <w:rsid w:val="000C4CF2"/>
    <w:rsid w:val="000C4D24"/>
    <w:rsid w:val="000C4E66"/>
    <w:rsid w:val="000C5F02"/>
    <w:rsid w:val="000C6394"/>
    <w:rsid w:val="000C6713"/>
    <w:rsid w:val="000C7EDC"/>
    <w:rsid w:val="000D067E"/>
    <w:rsid w:val="000D0A42"/>
    <w:rsid w:val="000D1040"/>
    <w:rsid w:val="000D1BFC"/>
    <w:rsid w:val="000D1CAB"/>
    <w:rsid w:val="000D1D5D"/>
    <w:rsid w:val="000D1E61"/>
    <w:rsid w:val="000D1F52"/>
    <w:rsid w:val="000D2429"/>
    <w:rsid w:val="000D2470"/>
    <w:rsid w:val="000D281A"/>
    <w:rsid w:val="000D2848"/>
    <w:rsid w:val="000D2F36"/>
    <w:rsid w:val="000D3004"/>
    <w:rsid w:val="000D326A"/>
    <w:rsid w:val="000D3416"/>
    <w:rsid w:val="000D4110"/>
    <w:rsid w:val="000D4240"/>
    <w:rsid w:val="000D44E6"/>
    <w:rsid w:val="000D51FB"/>
    <w:rsid w:val="000D59F6"/>
    <w:rsid w:val="000D5ECF"/>
    <w:rsid w:val="000D6D7D"/>
    <w:rsid w:val="000D7363"/>
    <w:rsid w:val="000D7CB4"/>
    <w:rsid w:val="000E0640"/>
    <w:rsid w:val="000E135D"/>
    <w:rsid w:val="000E13A4"/>
    <w:rsid w:val="000E22FF"/>
    <w:rsid w:val="000E2373"/>
    <w:rsid w:val="000E26E8"/>
    <w:rsid w:val="000E2C6C"/>
    <w:rsid w:val="000E3F7D"/>
    <w:rsid w:val="000E592A"/>
    <w:rsid w:val="000E6E77"/>
    <w:rsid w:val="000E78C3"/>
    <w:rsid w:val="000F00BA"/>
    <w:rsid w:val="000F0C09"/>
    <w:rsid w:val="000F0C90"/>
    <w:rsid w:val="000F1AC4"/>
    <w:rsid w:val="000F2037"/>
    <w:rsid w:val="000F306D"/>
    <w:rsid w:val="000F3131"/>
    <w:rsid w:val="000F316A"/>
    <w:rsid w:val="000F3852"/>
    <w:rsid w:val="000F3A42"/>
    <w:rsid w:val="000F3A68"/>
    <w:rsid w:val="000F3B65"/>
    <w:rsid w:val="000F3C74"/>
    <w:rsid w:val="000F3FCD"/>
    <w:rsid w:val="000F438E"/>
    <w:rsid w:val="000F493F"/>
    <w:rsid w:val="000F4BB8"/>
    <w:rsid w:val="000F4F43"/>
    <w:rsid w:val="000F4FA9"/>
    <w:rsid w:val="000F526C"/>
    <w:rsid w:val="000F53FB"/>
    <w:rsid w:val="000F7127"/>
    <w:rsid w:val="000F7B54"/>
    <w:rsid w:val="000F7DD5"/>
    <w:rsid w:val="001000B3"/>
    <w:rsid w:val="001002AF"/>
    <w:rsid w:val="00100A42"/>
    <w:rsid w:val="00100F8A"/>
    <w:rsid w:val="00101840"/>
    <w:rsid w:val="00101FC9"/>
    <w:rsid w:val="001024C4"/>
    <w:rsid w:val="0010294E"/>
    <w:rsid w:val="001042C7"/>
    <w:rsid w:val="0010452E"/>
    <w:rsid w:val="001050CC"/>
    <w:rsid w:val="00105AE2"/>
    <w:rsid w:val="00105DEB"/>
    <w:rsid w:val="0010606C"/>
    <w:rsid w:val="001060C6"/>
    <w:rsid w:val="001063F0"/>
    <w:rsid w:val="00106AC8"/>
    <w:rsid w:val="00106ACF"/>
    <w:rsid w:val="00106B80"/>
    <w:rsid w:val="00106C5D"/>
    <w:rsid w:val="00106CEF"/>
    <w:rsid w:val="0010715E"/>
    <w:rsid w:val="00107355"/>
    <w:rsid w:val="0011032E"/>
    <w:rsid w:val="00110585"/>
    <w:rsid w:val="00110745"/>
    <w:rsid w:val="00110787"/>
    <w:rsid w:val="001115D6"/>
    <w:rsid w:val="00111F09"/>
    <w:rsid w:val="00113396"/>
    <w:rsid w:val="0011348B"/>
    <w:rsid w:val="00113644"/>
    <w:rsid w:val="0011377C"/>
    <w:rsid w:val="00113CA6"/>
    <w:rsid w:val="00113DC1"/>
    <w:rsid w:val="0011509B"/>
    <w:rsid w:val="00115982"/>
    <w:rsid w:val="00116136"/>
    <w:rsid w:val="0011683C"/>
    <w:rsid w:val="00116C53"/>
    <w:rsid w:val="00117859"/>
    <w:rsid w:val="001204F1"/>
    <w:rsid w:val="001207C6"/>
    <w:rsid w:val="00121799"/>
    <w:rsid w:val="001222FC"/>
    <w:rsid w:val="00123902"/>
    <w:rsid w:val="00123BB3"/>
    <w:rsid w:val="00124A51"/>
    <w:rsid w:val="00125808"/>
    <w:rsid w:val="00125EB3"/>
    <w:rsid w:val="00126621"/>
    <w:rsid w:val="00126B1D"/>
    <w:rsid w:val="00126C58"/>
    <w:rsid w:val="00126C85"/>
    <w:rsid w:val="00127595"/>
    <w:rsid w:val="00127F25"/>
    <w:rsid w:val="001301E9"/>
    <w:rsid w:val="001310F7"/>
    <w:rsid w:val="0013118B"/>
    <w:rsid w:val="00131D82"/>
    <w:rsid w:val="001322EE"/>
    <w:rsid w:val="00132B22"/>
    <w:rsid w:val="00132CF8"/>
    <w:rsid w:val="00132EE1"/>
    <w:rsid w:val="001331CE"/>
    <w:rsid w:val="00133D36"/>
    <w:rsid w:val="0013474A"/>
    <w:rsid w:val="001363AC"/>
    <w:rsid w:val="001370A8"/>
    <w:rsid w:val="00137645"/>
    <w:rsid w:val="001377CD"/>
    <w:rsid w:val="0014015A"/>
    <w:rsid w:val="00140754"/>
    <w:rsid w:val="0014078E"/>
    <w:rsid w:val="00140B36"/>
    <w:rsid w:val="00140E99"/>
    <w:rsid w:val="00141871"/>
    <w:rsid w:val="001420E5"/>
    <w:rsid w:val="00142C9F"/>
    <w:rsid w:val="00143B52"/>
    <w:rsid w:val="00143F02"/>
    <w:rsid w:val="00143F67"/>
    <w:rsid w:val="00144160"/>
    <w:rsid w:val="00144A33"/>
    <w:rsid w:val="00144DAB"/>
    <w:rsid w:val="00145234"/>
    <w:rsid w:val="00145540"/>
    <w:rsid w:val="001456B0"/>
    <w:rsid w:val="00145941"/>
    <w:rsid w:val="0014746F"/>
    <w:rsid w:val="001474B9"/>
    <w:rsid w:val="00147D60"/>
    <w:rsid w:val="00150946"/>
    <w:rsid w:val="00150E70"/>
    <w:rsid w:val="001511EC"/>
    <w:rsid w:val="00151274"/>
    <w:rsid w:val="00151DB7"/>
    <w:rsid w:val="00153950"/>
    <w:rsid w:val="001547AB"/>
    <w:rsid w:val="001550FD"/>
    <w:rsid w:val="00156624"/>
    <w:rsid w:val="00156F8F"/>
    <w:rsid w:val="00157130"/>
    <w:rsid w:val="001571A0"/>
    <w:rsid w:val="001576B1"/>
    <w:rsid w:val="0016047B"/>
    <w:rsid w:val="00160A4C"/>
    <w:rsid w:val="00160E66"/>
    <w:rsid w:val="0016255E"/>
    <w:rsid w:val="00162913"/>
    <w:rsid w:val="00163692"/>
    <w:rsid w:val="00163758"/>
    <w:rsid w:val="00163EFF"/>
    <w:rsid w:val="00163F66"/>
    <w:rsid w:val="0016478E"/>
    <w:rsid w:val="00164A52"/>
    <w:rsid w:val="00165C24"/>
    <w:rsid w:val="00165EC4"/>
    <w:rsid w:val="001661FB"/>
    <w:rsid w:val="00166E8D"/>
    <w:rsid w:val="001671A0"/>
    <w:rsid w:val="001671B1"/>
    <w:rsid w:val="0016767F"/>
    <w:rsid w:val="00167B08"/>
    <w:rsid w:val="00167F0A"/>
    <w:rsid w:val="001714FF"/>
    <w:rsid w:val="00172D79"/>
    <w:rsid w:val="00173565"/>
    <w:rsid w:val="001735BB"/>
    <w:rsid w:val="00173B07"/>
    <w:rsid w:val="0017449A"/>
    <w:rsid w:val="001745F2"/>
    <w:rsid w:val="001751FA"/>
    <w:rsid w:val="00175EDC"/>
    <w:rsid w:val="00176B79"/>
    <w:rsid w:val="001778DB"/>
    <w:rsid w:val="00177D48"/>
    <w:rsid w:val="00180915"/>
    <w:rsid w:val="00181583"/>
    <w:rsid w:val="00181674"/>
    <w:rsid w:val="00181986"/>
    <w:rsid w:val="00181C10"/>
    <w:rsid w:val="00181D9C"/>
    <w:rsid w:val="001820BE"/>
    <w:rsid w:val="0018220E"/>
    <w:rsid w:val="001824E8"/>
    <w:rsid w:val="001837FF"/>
    <w:rsid w:val="00183FC1"/>
    <w:rsid w:val="001843B8"/>
    <w:rsid w:val="001843FF"/>
    <w:rsid w:val="00184B0E"/>
    <w:rsid w:val="00185E3F"/>
    <w:rsid w:val="00187025"/>
    <w:rsid w:val="0018752F"/>
    <w:rsid w:val="00190E03"/>
    <w:rsid w:val="00190E27"/>
    <w:rsid w:val="00191E6E"/>
    <w:rsid w:val="0019266E"/>
    <w:rsid w:val="0019353F"/>
    <w:rsid w:val="00193838"/>
    <w:rsid w:val="0019403C"/>
    <w:rsid w:val="0019475A"/>
    <w:rsid w:val="001948AA"/>
    <w:rsid w:val="001949E9"/>
    <w:rsid w:val="00194AD8"/>
    <w:rsid w:val="001950EC"/>
    <w:rsid w:val="00195222"/>
    <w:rsid w:val="00195452"/>
    <w:rsid w:val="00195F2C"/>
    <w:rsid w:val="001974BA"/>
    <w:rsid w:val="001975C1"/>
    <w:rsid w:val="001975D8"/>
    <w:rsid w:val="00197B92"/>
    <w:rsid w:val="001A033B"/>
    <w:rsid w:val="001A0573"/>
    <w:rsid w:val="001A081C"/>
    <w:rsid w:val="001A0882"/>
    <w:rsid w:val="001A14BC"/>
    <w:rsid w:val="001A178E"/>
    <w:rsid w:val="001A2AF9"/>
    <w:rsid w:val="001A3930"/>
    <w:rsid w:val="001A43FA"/>
    <w:rsid w:val="001A47C5"/>
    <w:rsid w:val="001A4C6B"/>
    <w:rsid w:val="001A59FB"/>
    <w:rsid w:val="001A5E9E"/>
    <w:rsid w:val="001A6354"/>
    <w:rsid w:val="001A6366"/>
    <w:rsid w:val="001A6593"/>
    <w:rsid w:val="001A6826"/>
    <w:rsid w:val="001A6983"/>
    <w:rsid w:val="001A7362"/>
    <w:rsid w:val="001A73A2"/>
    <w:rsid w:val="001A7AE8"/>
    <w:rsid w:val="001A7C01"/>
    <w:rsid w:val="001A7CA4"/>
    <w:rsid w:val="001A7F14"/>
    <w:rsid w:val="001B01A8"/>
    <w:rsid w:val="001B0722"/>
    <w:rsid w:val="001B0AF0"/>
    <w:rsid w:val="001B0B22"/>
    <w:rsid w:val="001B1361"/>
    <w:rsid w:val="001B204E"/>
    <w:rsid w:val="001B2372"/>
    <w:rsid w:val="001B23AA"/>
    <w:rsid w:val="001B3443"/>
    <w:rsid w:val="001B3956"/>
    <w:rsid w:val="001B3E52"/>
    <w:rsid w:val="001B4CC7"/>
    <w:rsid w:val="001B4D20"/>
    <w:rsid w:val="001B4E35"/>
    <w:rsid w:val="001B5C0B"/>
    <w:rsid w:val="001B5DB6"/>
    <w:rsid w:val="001B6616"/>
    <w:rsid w:val="001B6DBD"/>
    <w:rsid w:val="001B79AC"/>
    <w:rsid w:val="001B7D3C"/>
    <w:rsid w:val="001B7F84"/>
    <w:rsid w:val="001C0D4D"/>
    <w:rsid w:val="001C110C"/>
    <w:rsid w:val="001C1504"/>
    <w:rsid w:val="001C1C52"/>
    <w:rsid w:val="001C1D15"/>
    <w:rsid w:val="001C277B"/>
    <w:rsid w:val="001C2A9B"/>
    <w:rsid w:val="001C3DD6"/>
    <w:rsid w:val="001C4299"/>
    <w:rsid w:val="001C4874"/>
    <w:rsid w:val="001C5450"/>
    <w:rsid w:val="001C584C"/>
    <w:rsid w:val="001C5F94"/>
    <w:rsid w:val="001C5FD6"/>
    <w:rsid w:val="001C68D5"/>
    <w:rsid w:val="001C6E66"/>
    <w:rsid w:val="001D0816"/>
    <w:rsid w:val="001D1100"/>
    <w:rsid w:val="001D1391"/>
    <w:rsid w:val="001D1B35"/>
    <w:rsid w:val="001D1CC9"/>
    <w:rsid w:val="001D21CB"/>
    <w:rsid w:val="001D25D7"/>
    <w:rsid w:val="001D41FF"/>
    <w:rsid w:val="001D4D7B"/>
    <w:rsid w:val="001D50B2"/>
    <w:rsid w:val="001D580C"/>
    <w:rsid w:val="001D59B9"/>
    <w:rsid w:val="001D71F4"/>
    <w:rsid w:val="001D7645"/>
    <w:rsid w:val="001E01AD"/>
    <w:rsid w:val="001E09C7"/>
    <w:rsid w:val="001E0EE7"/>
    <w:rsid w:val="001E1E86"/>
    <w:rsid w:val="001E238E"/>
    <w:rsid w:val="001E2483"/>
    <w:rsid w:val="001E2B1E"/>
    <w:rsid w:val="001E2CFF"/>
    <w:rsid w:val="001E2F24"/>
    <w:rsid w:val="001E30D4"/>
    <w:rsid w:val="001E3391"/>
    <w:rsid w:val="001E34DF"/>
    <w:rsid w:val="001E4019"/>
    <w:rsid w:val="001E4D23"/>
    <w:rsid w:val="001E4F96"/>
    <w:rsid w:val="001E52EB"/>
    <w:rsid w:val="001E6158"/>
    <w:rsid w:val="001E61D2"/>
    <w:rsid w:val="001E6920"/>
    <w:rsid w:val="001E6ECC"/>
    <w:rsid w:val="001E740C"/>
    <w:rsid w:val="001F0FBE"/>
    <w:rsid w:val="001F1235"/>
    <w:rsid w:val="001F1276"/>
    <w:rsid w:val="001F1CB3"/>
    <w:rsid w:val="001F2134"/>
    <w:rsid w:val="001F238D"/>
    <w:rsid w:val="001F38B5"/>
    <w:rsid w:val="001F4081"/>
    <w:rsid w:val="001F41E3"/>
    <w:rsid w:val="001F46DE"/>
    <w:rsid w:val="001F4C95"/>
    <w:rsid w:val="001F5241"/>
    <w:rsid w:val="001F5437"/>
    <w:rsid w:val="001F5474"/>
    <w:rsid w:val="001F64D9"/>
    <w:rsid w:val="001F6B1F"/>
    <w:rsid w:val="001F6B4C"/>
    <w:rsid w:val="001F7361"/>
    <w:rsid w:val="001F73F4"/>
    <w:rsid w:val="002011B0"/>
    <w:rsid w:val="00201823"/>
    <w:rsid w:val="00202281"/>
    <w:rsid w:val="002029DB"/>
    <w:rsid w:val="00203181"/>
    <w:rsid w:val="002031BE"/>
    <w:rsid w:val="00203783"/>
    <w:rsid w:val="0020385F"/>
    <w:rsid w:val="00205462"/>
    <w:rsid w:val="0020550E"/>
    <w:rsid w:val="00205531"/>
    <w:rsid w:val="00205F88"/>
    <w:rsid w:val="0020600E"/>
    <w:rsid w:val="002068A0"/>
    <w:rsid w:val="00206E4D"/>
    <w:rsid w:val="00207021"/>
    <w:rsid w:val="00207110"/>
    <w:rsid w:val="0020732F"/>
    <w:rsid w:val="00207D00"/>
    <w:rsid w:val="002105C1"/>
    <w:rsid w:val="00210B1A"/>
    <w:rsid w:val="00210B35"/>
    <w:rsid w:val="00210DC4"/>
    <w:rsid w:val="002116FD"/>
    <w:rsid w:val="00212D96"/>
    <w:rsid w:val="00213EF5"/>
    <w:rsid w:val="00214DB6"/>
    <w:rsid w:val="00214FDE"/>
    <w:rsid w:val="002156A6"/>
    <w:rsid w:val="002165DC"/>
    <w:rsid w:val="00216BF5"/>
    <w:rsid w:val="00216DBC"/>
    <w:rsid w:val="002200FE"/>
    <w:rsid w:val="0022059A"/>
    <w:rsid w:val="00221F12"/>
    <w:rsid w:val="0022281D"/>
    <w:rsid w:val="00222F0F"/>
    <w:rsid w:val="002236F6"/>
    <w:rsid w:val="002237CB"/>
    <w:rsid w:val="00223B49"/>
    <w:rsid w:val="00223D5A"/>
    <w:rsid w:val="00224021"/>
    <w:rsid w:val="002242DF"/>
    <w:rsid w:val="00224DD4"/>
    <w:rsid w:val="00224DF3"/>
    <w:rsid w:val="00224F85"/>
    <w:rsid w:val="0022626E"/>
    <w:rsid w:val="00226D80"/>
    <w:rsid w:val="002278A0"/>
    <w:rsid w:val="002278C5"/>
    <w:rsid w:val="00227E80"/>
    <w:rsid w:val="0023046C"/>
    <w:rsid w:val="0023071B"/>
    <w:rsid w:val="002309CC"/>
    <w:rsid w:val="00231405"/>
    <w:rsid w:val="00231A9C"/>
    <w:rsid w:val="00231BA9"/>
    <w:rsid w:val="0023209F"/>
    <w:rsid w:val="00232AD4"/>
    <w:rsid w:val="0023327B"/>
    <w:rsid w:val="00233C01"/>
    <w:rsid w:val="0023404C"/>
    <w:rsid w:val="0023413C"/>
    <w:rsid w:val="002346F0"/>
    <w:rsid w:val="00234A87"/>
    <w:rsid w:val="00234E51"/>
    <w:rsid w:val="00235D48"/>
    <w:rsid w:val="0023629D"/>
    <w:rsid w:val="00237162"/>
    <w:rsid w:val="00237243"/>
    <w:rsid w:val="00237255"/>
    <w:rsid w:val="00237DE2"/>
    <w:rsid w:val="002405A2"/>
    <w:rsid w:val="00240697"/>
    <w:rsid w:val="00240712"/>
    <w:rsid w:val="00241072"/>
    <w:rsid w:val="00241804"/>
    <w:rsid w:val="00242005"/>
    <w:rsid w:val="002422C8"/>
    <w:rsid w:val="002424AF"/>
    <w:rsid w:val="00242724"/>
    <w:rsid w:val="00243201"/>
    <w:rsid w:val="002439DC"/>
    <w:rsid w:val="002441D2"/>
    <w:rsid w:val="00244DC8"/>
    <w:rsid w:val="00244E57"/>
    <w:rsid w:val="0024548D"/>
    <w:rsid w:val="0024560B"/>
    <w:rsid w:val="002456E2"/>
    <w:rsid w:val="002458BA"/>
    <w:rsid w:val="00245CE9"/>
    <w:rsid w:val="0024636C"/>
    <w:rsid w:val="002463AE"/>
    <w:rsid w:val="00247218"/>
    <w:rsid w:val="00247925"/>
    <w:rsid w:val="00247DF6"/>
    <w:rsid w:val="002508F0"/>
    <w:rsid w:val="00251006"/>
    <w:rsid w:val="0025220C"/>
    <w:rsid w:val="002524D5"/>
    <w:rsid w:val="0025346C"/>
    <w:rsid w:val="00253B1D"/>
    <w:rsid w:val="0025417D"/>
    <w:rsid w:val="00254DCF"/>
    <w:rsid w:val="00254DE6"/>
    <w:rsid w:val="0025534B"/>
    <w:rsid w:val="00255BB7"/>
    <w:rsid w:val="00255D90"/>
    <w:rsid w:val="0025637E"/>
    <w:rsid w:val="00257541"/>
    <w:rsid w:val="00257A39"/>
    <w:rsid w:val="00257AC4"/>
    <w:rsid w:val="00257BBE"/>
    <w:rsid w:val="00260878"/>
    <w:rsid w:val="00260F1D"/>
    <w:rsid w:val="00261069"/>
    <w:rsid w:val="002612D2"/>
    <w:rsid w:val="00261EEF"/>
    <w:rsid w:val="002620EF"/>
    <w:rsid w:val="00262234"/>
    <w:rsid w:val="00262A1A"/>
    <w:rsid w:val="00262A87"/>
    <w:rsid w:val="00262B31"/>
    <w:rsid w:val="00262C4E"/>
    <w:rsid w:val="00262D1C"/>
    <w:rsid w:val="00262F9C"/>
    <w:rsid w:val="00263358"/>
    <w:rsid w:val="002642E3"/>
    <w:rsid w:val="00264BEF"/>
    <w:rsid w:val="00264D26"/>
    <w:rsid w:val="00264F7D"/>
    <w:rsid w:val="00265500"/>
    <w:rsid w:val="002663EC"/>
    <w:rsid w:val="00266566"/>
    <w:rsid w:val="00266675"/>
    <w:rsid w:val="00267642"/>
    <w:rsid w:val="00267AEA"/>
    <w:rsid w:val="002700A6"/>
    <w:rsid w:val="002700E6"/>
    <w:rsid w:val="00270269"/>
    <w:rsid w:val="00270F42"/>
    <w:rsid w:val="002721B7"/>
    <w:rsid w:val="0027294B"/>
    <w:rsid w:val="00272C10"/>
    <w:rsid w:val="002731C3"/>
    <w:rsid w:val="00273BE7"/>
    <w:rsid w:val="00273D5E"/>
    <w:rsid w:val="00273EB4"/>
    <w:rsid w:val="00274682"/>
    <w:rsid w:val="00274802"/>
    <w:rsid w:val="00274862"/>
    <w:rsid w:val="00274EAF"/>
    <w:rsid w:val="00275158"/>
    <w:rsid w:val="002751FB"/>
    <w:rsid w:val="002758B6"/>
    <w:rsid w:val="00275C5A"/>
    <w:rsid w:val="00275CC6"/>
    <w:rsid w:val="00275DCD"/>
    <w:rsid w:val="0027611B"/>
    <w:rsid w:val="00277F02"/>
    <w:rsid w:val="002802C8"/>
    <w:rsid w:val="002805A2"/>
    <w:rsid w:val="00280C42"/>
    <w:rsid w:val="00281014"/>
    <w:rsid w:val="002816CD"/>
    <w:rsid w:val="002817C5"/>
    <w:rsid w:val="00282179"/>
    <w:rsid w:val="0028317C"/>
    <w:rsid w:val="002844AC"/>
    <w:rsid w:val="002853BA"/>
    <w:rsid w:val="002853E1"/>
    <w:rsid w:val="00285634"/>
    <w:rsid w:val="00285BCE"/>
    <w:rsid w:val="00285E1A"/>
    <w:rsid w:val="0028618E"/>
    <w:rsid w:val="002861F2"/>
    <w:rsid w:val="00286289"/>
    <w:rsid w:val="002865F7"/>
    <w:rsid w:val="0028665D"/>
    <w:rsid w:val="002906AD"/>
    <w:rsid w:val="00290727"/>
    <w:rsid w:val="00290A06"/>
    <w:rsid w:val="002914EE"/>
    <w:rsid w:val="00291544"/>
    <w:rsid w:val="00292EB1"/>
    <w:rsid w:val="00293C53"/>
    <w:rsid w:val="00293EEE"/>
    <w:rsid w:val="00294BE0"/>
    <w:rsid w:val="00295536"/>
    <w:rsid w:val="0029574F"/>
    <w:rsid w:val="00296683"/>
    <w:rsid w:val="0029704B"/>
    <w:rsid w:val="00297492"/>
    <w:rsid w:val="0029783A"/>
    <w:rsid w:val="002A02E7"/>
    <w:rsid w:val="002A0F4C"/>
    <w:rsid w:val="002A101A"/>
    <w:rsid w:val="002A14AB"/>
    <w:rsid w:val="002A1871"/>
    <w:rsid w:val="002A1961"/>
    <w:rsid w:val="002A2ADE"/>
    <w:rsid w:val="002A2F50"/>
    <w:rsid w:val="002A3CE9"/>
    <w:rsid w:val="002A4141"/>
    <w:rsid w:val="002A4EC1"/>
    <w:rsid w:val="002A55DC"/>
    <w:rsid w:val="002A5F31"/>
    <w:rsid w:val="002A65CD"/>
    <w:rsid w:val="002A7943"/>
    <w:rsid w:val="002B05A1"/>
    <w:rsid w:val="002B09A4"/>
    <w:rsid w:val="002B1A8B"/>
    <w:rsid w:val="002B1BE2"/>
    <w:rsid w:val="002B1C1F"/>
    <w:rsid w:val="002B2936"/>
    <w:rsid w:val="002B2AD5"/>
    <w:rsid w:val="002B2D49"/>
    <w:rsid w:val="002B2FC4"/>
    <w:rsid w:val="002B3A1F"/>
    <w:rsid w:val="002B3FEB"/>
    <w:rsid w:val="002B432F"/>
    <w:rsid w:val="002B51B4"/>
    <w:rsid w:val="002B62B3"/>
    <w:rsid w:val="002B654C"/>
    <w:rsid w:val="002B65F7"/>
    <w:rsid w:val="002B6754"/>
    <w:rsid w:val="002B6BCA"/>
    <w:rsid w:val="002B6CCE"/>
    <w:rsid w:val="002B76AA"/>
    <w:rsid w:val="002C0B21"/>
    <w:rsid w:val="002C0F70"/>
    <w:rsid w:val="002C1101"/>
    <w:rsid w:val="002C1983"/>
    <w:rsid w:val="002C1DD2"/>
    <w:rsid w:val="002C218E"/>
    <w:rsid w:val="002C2510"/>
    <w:rsid w:val="002C2775"/>
    <w:rsid w:val="002C27C1"/>
    <w:rsid w:val="002C28D2"/>
    <w:rsid w:val="002C2FB2"/>
    <w:rsid w:val="002C34E4"/>
    <w:rsid w:val="002C36E3"/>
    <w:rsid w:val="002C45F0"/>
    <w:rsid w:val="002C5099"/>
    <w:rsid w:val="002C5658"/>
    <w:rsid w:val="002C5889"/>
    <w:rsid w:val="002C5F17"/>
    <w:rsid w:val="002C6539"/>
    <w:rsid w:val="002C672D"/>
    <w:rsid w:val="002C6A78"/>
    <w:rsid w:val="002C6DA0"/>
    <w:rsid w:val="002C71CE"/>
    <w:rsid w:val="002D08F8"/>
    <w:rsid w:val="002D1156"/>
    <w:rsid w:val="002D23F8"/>
    <w:rsid w:val="002D2EE5"/>
    <w:rsid w:val="002D3834"/>
    <w:rsid w:val="002D4E34"/>
    <w:rsid w:val="002D4E3F"/>
    <w:rsid w:val="002D53E3"/>
    <w:rsid w:val="002D577C"/>
    <w:rsid w:val="002D5A70"/>
    <w:rsid w:val="002D6336"/>
    <w:rsid w:val="002D6BDA"/>
    <w:rsid w:val="002D7832"/>
    <w:rsid w:val="002E0FFB"/>
    <w:rsid w:val="002E1071"/>
    <w:rsid w:val="002E15B9"/>
    <w:rsid w:val="002E1C86"/>
    <w:rsid w:val="002E1ED0"/>
    <w:rsid w:val="002E1EFC"/>
    <w:rsid w:val="002E208B"/>
    <w:rsid w:val="002E2158"/>
    <w:rsid w:val="002E22A1"/>
    <w:rsid w:val="002E233A"/>
    <w:rsid w:val="002E23DB"/>
    <w:rsid w:val="002E24F4"/>
    <w:rsid w:val="002E2D09"/>
    <w:rsid w:val="002E38BF"/>
    <w:rsid w:val="002E4F02"/>
    <w:rsid w:val="002E50C7"/>
    <w:rsid w:val="002E5235"/>
    <w:rsid w:val="002E5B0F"/>
    <w:rsid w:val="002E6419"/>
    <w:rsid w:val="002E64EC"/>
    <w:rsid w:val="002E6A2D"/>
    <w:rsid w:val="002E7722"/>
    <w:rsid w:val="002E783F"/>
    <w:rsid w:val="002F07BA"/>
    <w:rsid w:val="002F0DA9"/>
    <w:rsid w:val="002F1014"/>
    <w:rsid w:val="002F1125"/>
    <w:rsid w:val="002F149E"/>
    <w:rsid w:val="002F1E3B"/>
    <w:rsid w:val="002F1ECC"/>
    <w:rsid w:val="002F2372"/>
    <w:rsid w:val="002F376B"/>
    <w:rsid w:val="002F45A2"/>
    <w:rsid w:val="002F476E"/>
    <w:rsid w:val="002F505B"/>
    <w:rsid w:val="002F587C"/>
    <w:rsid w:val="002F643C"/>
    <w:rsid w:val="002F66BE"/>
    <w:rsid w:val="002F70B6"/>
    <w:rsid w:val="002F71C0"/>
    <w:rsid w:val="002F74F1"/>
    <w:rsid w:val="002F7D88"/>
    <w:rsid w:val="00301017"/>
    <w:rsid w:val="00301359"/>
    <w:rsid w:val="0030155F"/>
    <w:rsid w:val="0030261F"/>
    <w:rsid w:val="003031C3"/>
    <w:rsid w:val="0030360C"/>
    <w:rsid w:val="00304017"/>
    <w:rsid w:val="003044FD"/>
    <w:rsid w:val="003047B8"/>
    <w:rsid w:val="00304FC4"/>
    <w:rsid w:val="0030587B"/>
    <w:rsid w:val="003059FD"/>
    <w:rsid w:val="00306517"/>
    <w:rsid w:val="00306D98"/>
    <w:rsid w:val="00306DE8"/>
    <w:rsid w:val="00306F60"/>
    <w:rsid w:val="0030786C"/>
    <w:rsid w:val="0031031A"/>
    <w:rsid w:val="00310981"/>
    <w:rsid w:val="00310DB5"/>
    <w:rsid w:val="00311112"/>
    <w:rsid w:val="00311CCC"/>
    <w:rsid w:val="00311D9B"/>
    <w:rsid w:val="003124D9"/>
    <w:rsid w:val="00312594"/>
    <w:rsid w:val="0031261C"/>
    <w:rsid w:val="00313081"/>
    <w:rsid w:val="0031337D"/>
    <w:rsid w:val="003139CB"/>
    <w:rsid w:val="00315498"/>
    <w:rsid w:val="00315E28"/>
    <w:rsid w:val="00316474"/>
    <w:rsid w:val="00316B31"/>
    <w:rsid w:val="0031731B"/>
    <w:rsid w:val="003174E9"/>
    <w:rsid w:val="003177BC"/>
    <w:rsid w:val="00320036"/>
    <w:rsid w:val="0032114D"/>
    <w:rsid w:val="00321E07"/>
    <w:rsid w:val="00322107"/>
    <w:rsid w:val="00322355"/>
    <w:rsid w:val="00322846"/>
    <w:rsid w:val="00324046"/>
    <w:rsid w:val="00324AB7"/>
    <w:rsid w:val="00324DCB"/>
    <w:rsid w:val="00325A9E"/>
    <w:rsid w:val="00325BB3"/>
    <w:rsid w:val="00326CD0"/>
    <w:rsid w:val="00326DA7"/>
    <w:rsid w:val="00326F07"/>
    <w:rsid w:val="003270E4"/>
    <w:rsid w:val="003271D4"/>
    <w:rsid w:val="00327619"/>
    <w:rsid w:val="00330238"/>
    <w:rsid w:val="00330479"/>
    <w:rsid w:val="00330DAA"/>
    <w:rsid w:val="00330F5C"/>
    <w:rsid w:val="0033288A"/>
    <w:rsid w:val="003355EB"/>
    <w:rsid w:val="00335DE1"/>
    <w:rsid w:val="00335E8D"/>
    <w:rsid w:val="003366C9"/>
    <w:rsid w:val="00336E7B"/>
    <w:rsid w:val="003371B0"/>
    <w:rsid w:val="0033768A"/>
    <w:rsid w:val="0033792D"/>
    <w:rsid w:val="0034018C"/>
    <w:rsid w:val="00340DF1"/>
    <w:rsid w:val="003412DA"/>
    <w:rsid w:val="003416A2"/>
    <w:rsid w:val="00341B25"/>
    <w:rsid w:val="00341BE6"/>
    <w:rsid w:val="003426BC"/>
    <w:rsid w:val="003439D6"/>
    <w:rsid w:val="00344F79"/>
    <w:rsid w:val="0034599D"/>
    <w:rsid w:val="00345CA8"/>
    <w:rsid w:val="00347306"/>
    <w:rsid w:val="003503C7"/>
    <w:rsid w:val="00350491"/>
    <w:rsid w:val="00350526"/>
    <w:rsid w:val="003517F9"/>
    <w:rsid w:val="00351AD6"/>
    <w:rsid w:val="00351BA9"/>
    <w:rsid w:val="00351F09"/>
    <w:rsid w:val="00352D0A"/>
    <w:rsid w:val="00354F64"/>
    <w:rsid w:val="0035617D"/>
    <w:rsid w:val="0035620E"/>
    <w:rsid w:val="0035634E"/>
    <w:rsid w:val="003572A3"/>
    <w:rsid w:val="003575BE"/>
    <w:rsid w:val="00357DEF"/>
    <w:rsid w:val="00360345"/>
    <w:rsid w:val="003604D3"/>
    <w:rsid w:val="003609AD"/>
    <w:rsid w:val="00361A05"/>
    <w:rsid w:val="003624C4"/>
    <w:rsid w:val="003634E8"/>
    <w:rsid w:val="00363B00"/>
    <w:rsid w:val="0036407B"/>
    <w:rsid w:val="00364E09"/>
    <w:rsid w:val="003654AC"/>
    <w:rsid w:val="00366A8C"/>
    <w:rsid w:val="00366FDA"/>
    <w:rsid w:val="003705D3"/>
    <w:rsid w:val="003707E3"/>
    <w:rsid w:val="003710CF"/>
    <w:rsid w:val="003713EB"/>
    <w:rsid w:val="00371946"/>
    <w:rsid w:val="00372426"/>
    <w:rsid w:val="003732CD"/>
    <w:rsid w:val="0037358A"/>
    <w:rsid w:val="00374EA9"/>
    <w:rsid w:val="003750F6"/>
    <w:rsid w:val="00375581"/>
    <w:rsid w:val="00375797"/>
    <w:rsid w:val="00375C4A"/>
    <w:rsid w:val="003760FC"/>
    <w:rsid w:val="00376408"/>
    <w:rsid w:val="0037698C"/>
    <w:rsid w:val="00376B2D"/>
    <w:rsid w:val="0037711E"/>
    <w:rsid w:val="00377A01"/>
    <w:rsid w:val="00377DFE"/>
    <w:rsid w:val="0038017F"/>
    <w:rsid w:val="0038365C"/>
    <w:rsid w:val="0038369B"/>
    <w:rsid w:val="00383B78"/>
    <w:rsid w:val="003840AE"/>
    <w:rsid w:val="00384C06"/>
    <w:rsid w:val="003857E2"/>
    <w:rsid w:val="00385A9D"/>
    <w:rsid w:val="00386DA8"/>
    <w:rsid w:val="00387121"/>
    <w:rsid w:val="003874B7"/>
    <w:rsid w:val="00387FD6"/>
    <w:rsid w:val="0039021D"/>
    <w:rsid w:val="0039023B"/>
    <w:rsid w:val="0039028D"/>
    <w:rsid w:val="003902B1"/>
    <w:rsid w:val="003907BB"/>
    <w:rsid w:val="0039179C"/>
    <w:rsid w:val="003918DE"/>
    <w:rsid w:val="00391CBF"/>
    <w:rsid w:val="003920E6"/>
    <w:rsid w:val="003928CE"/>
    <w:rsid w:val="0039290E"/>
    <w:rsid w:val="003931D2"/>
    <w:rsid w:val="003932BA"/>
    <w:rsid w:val="003947AA"/>
    <w:rsid w:val="003949EB"/>
    <w:rsid w:val="00394D86"/>
    <w:rsid w:val="00396893"/>
    <w:rsid w:val="00396896"/>
    <w:rsid w:val="00396FD0"/>
    <w:rsid w:val="00397946"/>
    <w:rsid w:val="00397FF4"/>
    <w:rsid w:val="003A0939"/>
    <w:rsid w:val="003A0B78"/>
    <w:rsid w:val="003A0F5D"/>
    <w:rsid w:val="003A1A7A"/>
    <w:rsid w:val="003A1D4A"/>
    <w:rsid w:val="003A2392"/>
    <w:rsid w:val="003A2787"/>
    <w:rsid w:val="003A2831"/>
    <w:rsid w:val="003A2851"/>
    <w:rsid w:val="003A3CB6"/>
    <w:rsid w:val="003A3D4C"/>
    <w:rsid w:val="003A3ED1"/>
    <w:rsid w:val="003A44DB"/>
    <w:rsid w:val="003A4C14"/>
    <w:rsid w:val="003A5076"/>
    <w:rsid w:val="003A5107"/>
    <w:rsid w:val="003A54DE"/>
    <w:rsid w:val="003A6FD2"/>
    <w:rsid w:val="003A7798"/>
    <w:rsid w:val="003A7C99"/>
    <w:rsid w:val="003B0EDA"/>
    <w:rsid w:val="003B14D6"/>
    <w:rsid w:val="003B222F"/>
    <w:rsid w:val="003B3845"/>
    <w:rsid w:val="003B3971"/>
    <w:rsid w:val="003B39DC"/>
    <w:rsid w:val="003B4A65"/>
    <w:rsid w:val="003B4DA9"/>
    <w:rsid w:val="003B502A"/>
    <w:rsid w:val="003B55D1"/>
    <w:rsid w:val="003B5B61"/>
    <w:rsid w:val="003B5EEE"/>
    <w:rsid w:val="003B702D"/>
    <w:rsid w:val="003B7C70"/>
    <w:rsid w:val="003C0471"/>
    <w:rsid w:val="003C051D"/>
    <w:rsid w:val="003C05C4"/>
    <w:rsid w:val="003C129E"/>
    <w:rsid w:val="003C1654"/>
    <w:rsid w:val="003C1694"/>
    <w:rsid w:val="003C1781"/>
    <w:rsid w:val="003C2421"/>
    <w:rsid w:val="003C2570"/>
    <w:rsid w:val="003C297B"/>
    <w:rsid w:val="003C2C0A"/>
    <w:rsid w:val="003C2D5C"/>
    <w:rsid w:val="003C2FBF"/>
    <w:rsid w:val="003C394C"/>
    <w:rsid w:val="003C5542"/>
    <w:rsid w:val="003C5F32"/>
    <w:rsid w:val="003C7580"/>
    <w:rsid w:val="003C7C15"/>
    <w:rsid w:val="003C7D19"/>
    <w:rsid w:val="003C7D2F"/>
    <w:rsid w:val="003C7F62"/>
    <w:rsid w:val="003D0C5A"/>
    <w:rsid w:val="003D14D7"/>
    <w:rsid w:val="003D1828"/>
    <w:rsid w:val="003D1B27"/>
    <w:rsid w:val="003D1DE4"/>
    <w:rsid w:val="003D1E9A"/>
    <w:rsid w:val="003D2084"/>
    <w:rsid w:val="003D2422"/>
    <w:rsid w:val="003D2449"/>
    <w:rsid w:val="003D39A1"/>
    <w:rsid w:val="003D3F4D"/>
    <w:rsid w:val="003D3FBF"/>
    <w:rsid w:val="003D4327"/>
    <w:rsid w:val="003D4A30"/>
    <w:rsid w:val="003D65F9"/>
    <w:rsid w:val="003D68F5"/>
    <w:rsid w:val="003D6EFC"/>
    <w:rsid w:val="003D73AF"/>
    <w:rsid w:val="003D7452"/>
    <w:rsid w:val="003D79BB"/>
    <w:rsid w:val="003D7C98"/>
    <w:rsid w:val="003D7D9D"/>
    <w:rsid w:val="003E0543"/>
    <w:rsid w:val="003E1ECA"/>
    <w:rsid w:val="003E3749"/>
    <w:rsid w:val="003E3BC3"/>
    <w:rsid w:val="003E42D8"/>
    <w:rsid w:val="003E4391"/>
    <w:rsid w:val="003E462A"/>
    <w:rsid w:val="003E5603"/>
    <w:rsid w:val="003E56B6"/>
    <w:rsid w:val="003E749E"/>
    <w:rsid w:val="003E76FF"/>
    <w:rsid w:val="003E7869"/>
    <w:rsid w:val="003E7CF5"/>
    <w:rsid w:val="003E7F4B"/>
    <w:rsid w:val="003F0CBD"/>
    <w:rsid w:val="003F0F51"/>
    <w:rsid w:val="003F10C0"/>
    <w:rsid w:val="003F14E9"/>
    <w:rsid w:val="003F25F7"/>
    <w:rsid w:val="003F31C8"/>
    <w:rsid w:val="003F34B8"/>
    <w:rsid w:val="003F403F"/>
    <w:rsid w:val="003F4156"/>
    <w:rsid w:val="003F4D22"/>
    <w:rsid w:val="003F5ADF"/>
    <w:rsid w:val="003F6B55"/>
    <w:rsid w:val="003F7D32"/>
    <w:rsid w:val="00400B29"/>
    <w:rsid w:val="00401495"/>
    <w:rsid w:val="00401847"/>
    <w:rsid w:val="00402763"/>
    <w:rsid w:val="00402812"/>
    <w:rsid w:val="0040392C"/>
    <w:rsid w:val="004039EF"/>
    <w:rsid w:val="00404F97"/>
    <w:rsid w:val="0040504B"/>
    <w:rsid w:val="004059F4"/>
    <w:rsid w:val="00406083"/>
    <w:rsid w:val="004078F7"/>
    <w:rsid w:val="00407FE5"/>
    <w:rsid w:val="004101B0"/>
    <w:rsid w:val="0041029A"/>
    <w:rsid w:val="00410326"/>
    <w:rsid w:val="00410708"/>
    <w:rsid w:val="004108EC"/>
    <w:rsid w:val="00410EC7"/>
    <w:rsid w:val="00411AB2"/>
    <w:rsid w:val="00411B39"/>
    <w:rsid w:val="00411F17"/>
    <w:rsid w:val="00412314"/>
    <w:rsid w:val="004127A7"/>
    <w:rsid w:val="0041317C"/>
    <w:rsid w:val="00413A1E"/>
    <w:rsid w:val="00414476"/>
    <w:rsid w:val="00414C2E"/>
    <w:rsid w:val="004151CF"/>
    <w:rsid w:val="00415A24"/>
    <w:rsid w:val="00415CDC"/>
    <w:rsid w:val="00416364"/>
    <w:rsid w:val="0041679F"/>
    <w:rsid w:val="004176DC"/>
    <w:rsid w:val="004176EF"/>
    <w:rsid w:val="004179DF"/>
    <w:rsid w:val="00417BFB"/>
    <w:rsid w:val="00420307"/>
    <w:rsid w:val="0042047F"/>
    <w:rsid w:val="00420872"/>
    <w:rsid w:val="00420AA6"/>
    <w:rsid w:val="00420B9F"/>
    <w:rsid w:val="00420CA9"/>
    <w:rsid w:val="0042192C"/>
    <w:rsid w:val="00422260"/>
    <w:rsid w:val="00422723"/>
    <w:rsid w:val="00422A3C"/>
    <w:rsid w:val="0042413F"/>
    <w:rsid w:val="00426616"/>
    <w:rsid w:val="00426F80"/>
    <w:rsid w:val="0043037A"/>
    <w:rsid w:val="00430A38"/>
    <w:rsid w:val="00431271"/>
    <w:rsid w:val="004317B5"/>
    <w:rsid w:val="004319F8"/>
    <w:rsid w:val="00431E55"/>
    <w:rsid w:val="004321F6"/>
    <w:rsid w:val="0043302F"/>
    <w:rsid w:val="00433044"/>
    <w:rsid w:val="0043305D"/>
    <w:rsid w:val="004332DB"/>
    <w:rsid w:val="00433418"/>
    <w:rsid w:val="00433764"/>
    <w:rsid w:val="00434088"/>
    <w:rsid w:val="004340AE"/>
    <w:rsid w:val="0043427A"/>
    <w:rsid w:val="004350DC"/>
    <w:rsid w:val="00435242"/>
    <w:rsid w:val="00435443"/>
    <w:rsid w:val="0043682C"/>
    <w:rsid w:val="00436A4F"/>
    <w:rsid w:val="004375B9"/>
    <w:rsid w:val="0043764B"/>
    <w:rsid w:val="004405E5"/>
    <w:rsid w:val="004414C7"/>
    <w:rsid w:val="0044213E"/>
    <w:rsid w:val="004428D0"/>
    <w:rsid w:val="00442F55"/>
    <w:rsid w:val="00444185"/>
    <w:rsid w:val="004443A7"/>
    <w:rsid w:val="0044442C"/>
    <w:rsid w:val="00445816"/>
    <w:rsid w:val="00445941"/>
    <w:rsid w:val="004459E5"/>
    <w:rsid w:val="00445F39"/>
    <w:rsid w:val="004464EB"/>
    <w:rsid w:val="004465EB"/>
    <w:rsid w:val="00447333"/>
    <w:rsid w:val="00447770"/>
    <w:rsid w:val="00447D26"/>
    <w:rsid w:val="00447DFC"/>
    <w:rsid w:val="0045045B"/>
    <w:rsid w:val="004509EF"/>
    <w:rsid w:val="00450B26"/>
    <w:rsid w:val="00450C6B"/>
    <w:rsid w:val="00451FEA"/>
    <w:rsid w:val="0045340B"/>
    <w:rsid w:val="004539DB"/>
    <w:rsid w:val="00453AAC"/>
    <w:rsid w:val="0045402E"/>
    <w:rsid w:val="00455D45"/>
    <w:rsid w:val="004574BF"/>
    <w:rsid w:val="00457973"/>
    <w:rsid w:val="00457EE6"/>
    <w:rsid w:val="00460F5B"/>
    <w:rsid w:val="004610DB"/>
    <w:rsid w:val="00462948"/>
    <w:rsid w:val="00462C3F"/>
    <w:rsid w:val="0046377A"/>
    <w:rsid w:val="00463C2A"/>
    <w:rsid w:val="0046432E"/>
    <w:rsid w:val="00464595"/>
    <w:rsid w:val="00464C88"/>
    <w:rsid w:val="00464E84"/>
    <w:rsid w:val="00464EB4"/>
    <w:rsid w:val="004658B5"/>
    <w:rsid w:val="00465971"/>
    <w:rsid w:val="00465E65"/>
    <w:rsid w:val="00465EE4"/>
    <w:rsid w:val="00470109"/>
    <w:rsid w:val="00470654"/>
    <w:rsid w:val="00470DAD"/>
    <w:rsid w:val="00471EA5"/>
    <w:rsid w:val="00471FA5"/>
    <w:rsid w:val="00472A79"/>
    <w:rsid w:val="00472F68"/>
    <w:rsid w:val="00473691"/>
    <w:rsid w:val="004736D3"/>
    <w:rsid w:val="00473F19"/>
    <w:rsid w:val="004743DE"/>
    <w:rsid w:val="004748B2"/>
    <w:rsid w:val="004748EA"/>
    <w:rsid w:val="00474997"/>
    <w:rsid w:val="00474F73"/>
    <w:rsid w:val="00475443"/>
    <w:rsid w:val="00475E22"/>
    <w:rsid w:val="004768E8"/>
    <w:rsid w:val="0047706C"/>
    <w:rsid w:val="00480532"/>
    <w:rsid w:val="0048088E"/>
    <w:rsid w:val="00480EB3"/>
    <w:rsid w:val="00480F2B"/>
    <w:rsid w:val="0048176A"/>
    <w:rsid w:val="00481B7D"/>
    <w:rsid w:val="00482720"/>
    <w:rsid w:val="00482F6A"/>
    <w:rsid w:val="004835AA"/>
    <w:rsid w:val="004835E7"/>
    <w:rsid w:val="00483E85"/>
    <w:rsid w:val="00484A27"/>
    <w:rsid w:val="004859E1"/>
    <w:rsid w:val="004860C8"/>
    <w:rsid w:val="004864D1"/>
    <w:rsid w:val="004867E2"/>
    <w:rsid w:val="00486B25"/>
    <w:rsid w:val="00486B93"/>
    <w:rsid w:val="00486E79"/>
    <w:rsid w:val="00490353"/>
    <w:rsid w:val="00490382"/>
    <w:rsid w:val="00490B17"/>
    <w:rsid w:val="00491B3A"/>
    <w:rsid w:val="00492CFD"/>
    <w:rsid w:val="00492E9D"/>
    <w:rsid w:val="004931F4"/>
    <w:rsid w:val="00493556"/>
    <w:rsid w:val="004935F8"/>
    <w:rsid w:val="00494207"/>
    <w:rsid w:val="00494DD5"/>
    <w:rsid w:val="004951E9"/>
    <w:rsid w:val="00495724"/>
    <w:rsid w:val="00495D38"/>
    <w:rsid w:val="004962D2"/>
    <w:rsid w:val="00497BB7"/>
    <w:rsid w:val="004A0DA1"/>
    <w:rsid w:val="004A0E28"/>
    <w:rsid w:val="004A120A"/>
    <w:rsid w:val="004A13D6"/>
    <w:rsid w:val="004A2F43"/>
    <w:rsid w:val="004A3129"/>
    <w:rsid w:val="004A4B47"/>
    <w:rsid w:val="004A52E9"/>
    <w:rsid w:val="004A6040"/>
    <w:rsid w:val="004A6597"/>
    <w:rsid w:val="004A6C0F"/>
    <w:rsid w:val="004A6D9C"/>
    <w:rsid w:val="004A709C"/>
    <w:rsid w:val="004A7583"/>
    <w:rsid w:val="004A775A"/>
    <w:rsid w:val="004A7848"/>
    <w:rsid w:val="004A793B"/>
    <w:rsid w:val="004B0BF5"/>
    <w:rsid w:val="004B1151"/>
    <w:rsid w:val="004B1CB4"/>
    <w:rsid w:val="004B22DB"/>
    <w:rsid w:val="004B263F"/>
    <w:rsid w:val="004B2C71"/>
    <w:rsid w:val="004B2F18"/>
    <w:rsid w:val="004B3129"/>
    <w:rsid w:val="004B3C09"/>
    <w:rsid w:val="004B3DDB"/>
    <w:rsid w:val="004B43A7"/>
    <w:rsid w:val="004B44FD"/>
    <w:rsid w:val="004B48F6"/>
    <w:rsid w:val="004B4DAF"/>
    <w:rsid w:val="004B5CF7"/>
    <w:rsid w:val="004B5CFC"/>
    <w:rsid w:val="004B6DFC"/>
    <w:rsid w:val="004B6F79"/>
    <w:rsid w:val="004B774D"/>
    <w:rsid w:val="004C0069"/>
    <w:rsid w:val="004C1BD3"/>
    <w:rsid w:val="004C1F23"/>
    <w:rsid w:val="004C225C"/>
    <w:rsid w:val="004C226D"/>
    <w:rsid w:val="004C2AC2"/>
    <w:rsid w:val="004C2D52"/>
    <w:rsid w:val="004C2FAF"/>
    <w:rsid w:val="004C317A"/>
    <w:rsid w:val="004C3B02"/>
    <w:rsid w:val="004C459E"/>
    <w:rsid w:val="004C4ACF"/>
    <w:rsid w:val="004C4AED"/>
    <w:rsid w:val="004C4E2D"/>
    <w:rsid w:val="004C5423"/>
    <w:rsid w:val="004C5AED"/>
    <w:rsid w:val="004C7687"/>
    <w:rsid w:val="004C77CB"/>
    <w:rsid w:val="004C7A76"/>
    <w:rsid w:val="004D10E8"/>
    <w:rsid w:val="004D16AE"/>
    <w:rsid w:val="004D16D0"/>
    <w:rsid w:val="004D276D"/>
    <w:rsid w:val="004D2B57"/>
    <w:rsid w:val="004D2C2D"/>
    <w:rsid w:val="004D38C2"/>
    <w:rsid w:val="004D3B5B"/>
    <w:rsid w:val="004D4499"/>
    <w:rsid w:val="004D4BF0"/>
    <w:rsid w:val="004D52DE"/>
    <w:rsid w:val="004D55F4"/>
    <w:rsid w:val="004D560A"/>
    <w:rsid w:val="004D610A"/>
    <w:rsid w:val="004D69B5"/>
    <w:rsid w:val="004D6DEB"/>
    <w:rsid w:val="004D6DFB"/>
    <w:rsid w:val="004D7227"/>
    <w:rsid w:val="004D7B5E"/>
    <w:rsid w:val="004E061B"/>
    <w:rsid w:val="004E0E7F"/>
    <w:rsid w:val="004E0EB8"/>
    <w:rsid w:val="004E10DB"/>
    <w:rsid w:val="004E18E9"/>
    <w:rsid w:val="004E19D0"/>
    <w:rsid w:val="004E1CFF"/>
    <w:rsid w:val="004E1F4B"/>
    <w:rsid w:val="004E2ADC"/>
    <w:rsid w:val="004E2CB3"/>
    <w:rsid w:val="004E43B2"/>
    <w:rsid w:val="004E45D9"/>
    <w:rsid w:val="004E5035"/>
    <w:rsid w:val="004E5748"/>
    <w:rsid w:val="004E57FE"/>
    <w:rsid w:val="004E790E"/>
    <w:rsid w:val="004F0083"/>
    <w:rsid w:val="004F0355"/>
    <w:rsid w:val="004F06D3"/>
    <w:rsid w:val="004F0F52"/>
    <w:rsid w:val="004F16C3"/>
    <w:rsid w:val="004F1D02"/>
    <w:rsid w:val="004F20F7"/>
    <w:rsid w:val="004F21C6"/>
    <w:rsid w:val="004F2679"/>
    <w:rsid w:val="004F28BE"/>
    <w:rsid w:val="004F2F21"/>
    <w:rsid w:val="004F3DE5"/>
    <w:rsid w:val="004F45C8"/>
    <w:rsid w:val="004F477A"/>
    <w:rsid w:val="004F4F52"/>
    <w:rsid w:val="004F6913"/>
    <w:rsid w:val="004F7865"/>
    <w:rsid w:val="004F7A3D"/>
    <w:rsid w:val="004F7DC9"/>
    <w:rsid w:val="004F7ED2"/>
    <w:rsid w:val="00500C7E"/>
    <w:rsid w:val="00500EA4"/>
    <w:rsid w:val="005016A8"/>
    <w:rsid w:val="0050174E"/>
    <w:rsid w:val="00501854"/>
    <w:rsid w:val="005018BD"/>
    <w:rsid w:val="0050219B"/>
    <w:rsid w:val="00503C27"/>
    <w:rsid w:val="00503E3A"/>
    <w:rsid w:val="00503F17"/>
    <w:rsid w:val="00503F3A"/>
    <w:rsid w:val="00504B84"/>
    <w:rsid w:val="00505DAA"/>
    <w:rsid w:val="00506350"/>
    <w:rsid w:val="00506928"/>
    <w:rsid w:val="005077EF"/>
    <w:rsid w:val="00511AD5"/>
    <w:rsid w:val="00511DC7"/>
    <w:rsid w:val="00511E0B"/>
    <w:rsid w:val="0051284C"/>
    <w:rsid w:val="005142C5"/>
    <w:rsid w:val="005147ED"/>
    <w:rsid w:val="0051501B"/>
    <w:rsid w:val="005152B5"/>
    <w:rsid w:val="00515471"/>
    <w:rsid w:val="00515886"/>
    <w:rsid w:val="00515966"/>
    <w:rsid w:val="00515AF5"/>
    <w:rsid w:val="00515DCE"/>
    <w:rsid w:val="005160BD"/>
    <w:rsid w:val="0051683D"/>
    <w:rsid w:val="00516DD2"/>
    <w:rsid w:val="005179D3"/>
    <w:rsid w:val="00517CA0"/>
    <w:rsid w:val="00520D81"/>
    <w:rsid w:val="0052123C"/>
    <w:rsid w:val="00521319"/>
    <w:rsid w:val="0052131F"/>
    <w:rsid w:val="00521DC9"/>
    <w:rsid w:val="0052226E"/>
    <w:rsid w:val="005224B1"/>
    <w:rsid w:val="00522BC8"/>
    <w:rsid w:val="00523026"/>
    <w:rsid w:val="005232F6"/>
    <w:rsid w:val="0052357F"/>
    <w:rsid w:val="00523C28"/>
    <w:rsid w:val="00524F00"/>
    <w:rsid w:val="00525992"/>
    <w:rsid w:val="00526B6B"/>
    <w:rsid w:val="00527A5D"/>
    <w:rsid w:val="0053112C"/>
    <w:rsid w:val="0053176B"/>
    <w:rsid w:val="00531C98"/>
    <w:rsid w:val="00532749"/>
    <w:rsid w:val="00533C7A"/>
    <w:rsid w:val="005341B3"/>
    <w:rsid w:val="005359E9"/>
    <w:rsid w:val="00536E96"/>
    <w:rsid w:val="00536F42"/>
    <w:rsid w:val="00537025"/>
    <w:rsid w:val="00537182"/>
    <w:rsid w:val="00540FDE"/>
    <w:rsid w:val="005412A1"/>
    <w:rsid w:val="00541EDD"/>
    <w:rsid w:val="00541F78"/>
    <w:rsid w:val="00542743"/>
    <w:rsid w:val="0054283B"/>
    <w:rsid w:val="00542C2D"/>
    <w:rsid w:val="00543873"/>
    <w:rsid w:val="00543BE0"/>
    <w:rsid w:val="00544917"/>
    <w:rsid w:val="005451FC"/>
    <w:rsid w:val="00545939"/>
    <w:rsid w:val="005478BD"/>
    <w:rsid w:val="005478D6"/>
    <w:rsid w:val="005479E3"/>
    <w:rsid w:val="00547BB6"/>
    <w:rsid w:val="0055010C"/>
    <w:rsid w:val="005508B4"/>
    <w:rsid w:val="0055095D"/>
    <w:rsid w:val="00551985"/>
    <w:rsid w:val="005523DE"/>
    <w:rsid w:val="00552BD3"/>
    <w:rsid w:val="00552F82"/>
    <w:rsid w:val="005531B5"/>
    <w:rsid w:val="005532A0"/>
    <w:rsid w:val="005536DF"/>
    <w:rsid w:val="005536F1"/>
    <w:rsid w:val="00553A80"/>
    <w:rsid w:val="00553F46"/>
    <w:rsid w:val="0055483C"/>
    <w:rsid w:val="00555109"/>
    <w:rsid w:val="00555784"/>
    <w:rsid w:val="005559BD"/>
    <w:rsid w:val="00555D34"/>
    <w:rsid w:val="0055606F"/>
    <w:rsid w:val="005567A7"/>
    <w:rsid w:val="00556B35"/>
    <w:rsid w:val="00556DA2"/>
    <w:rsid w:val="0055741A"/>
    <w:rsid w:val="0055744A"/>
    <w:rsid w:val="00557792"/>
    <w:rsid w:val="00557C01"/>
    <w:rsid w:val="00560264"/>
    <w:rsid w:val="00560486"/>
    <w:rsid w:val="005604CE"/>
    <w:rsid w:val="005611B7"/>
    <w:rsid w:val="005618D4"/>
    <w:rsid w:val="005625D8"/>
    <w:rsid w:val="00562896"/>
    <w:rsid w:val="00562BFC"/>
    <w:rsid w:val="00563540"/>
    <w:rsid w:val="005635BC"/>
    <w:rsid w:val="0056415B"/>
    <w:rsid w:val="00564265"/>
    <w:rsid w:val="00564656"/>
    <w:rsid w:val="00564867"/>
    <w:rsid w:val="00565BB0"/>
    <w:rsid w:val="00565C79"/>
    <w:rsid w:val="00565DF0"/>
    <w:rsid w:val="0056696F"/>
    <w:rsid w:val="00570FD7"/>
    <w:rsid w:val="00572269"/>
    <w:rsid w:val="0057244A"/>
    <w:rsid w:val="00572456"/>
    <w:rsid w:val="00572F26"/>
    <w:rsid w:val="00573237"/>
    <w:rsid w:val="005746E4"/>
    <w:rsid w:val="005750C5"/>
    <w:rsid w:val="005752DE"/>
    <w:rsid w:val="005756EB"/>
    <w:rsid w:val="00575D60"/>
    <w:rsid w:val="00575D8D"/>
    <w:rsid w:val="00576609"/>
    <w:rsid w:val="00576972"/>
    <w:rsid w:val="00576EBA"/>
    <w:rsid w:val="00577248"/>
    <w:rsid w:val="00580B8E"/>
    <w:rsid w:val="00583699"/>
    <w:rsid w:val="005840C0"/>
    <w:rsid w:val="005852F5"/>
    <w:rsid w:val="00585994"/>
    <w:rsid w:val="00585CDD"/>
    <w:rsid w:val="005860B9"/>
    <w:rsid w:val="005867E7"/>
    <w:rsid w:val="00586E6D"/>
    <w:rsid w:val="00586F6A"/>
    <w:rsid w:val="00587058"/>
    <w:rsid w:val="00590AC6"/>
    <w:rsid w:val="005911A9"/>
    <w:rsid w:val="005916B3"/>
    <w:rsid w:val="00591957"/>
    <w:rsid w:val="005919C1"/>
    <w:rsid w:val="005936C2"/>
    <w:rsid w:val="00593F0A"/>
    <w:rsid w:val="00594A07"/>
    <w:rsid w:val="00595116"/>
    <w:rsid w:val="005956A5"/>
    <w:rsid w:val="005959A4"/>
    <w:rsid w:val="00595F94"/>
    <w:rsid w:val="00596BBC"/>
    <w:rsid w:val="0059749C"/>
    <w:rsid w:val="00597524"/>
    <w:rsid w:val="00597BF9"/>
    <w:rsid w:val="005A0558"/>
    <w:rsid w:val="005A061C"/>
    <w:rsid w:val="005A0C11"/>
    <w:rsid w:val="005A11CD"/>
    <w:rsid w:val="005A152D"/>
    <w:rsid w:val="005A1A81"/>
    <w:rsid w:val="005A1C16"/>
    <w:rsid w:val="005A1D4D"/>
    <w:rsid w:val="005A309A"/>
    <w:rsid w:val="005A373D"/>
    <w:rsid w:val="005A3ECB"/>
    <w:rsid w:val="005A459D"/>
    <w:rsid w:val="005A49B2"/>
    <w:rsid w:val="005A5B65"/>
    <w:rsid w:val="005A6169"/>
    <w:rsid w:val="005A6762"/>
    <w:rsid w:val="005A69D5"/>
    <w:rsid w:val="005B066B"/>
    <w:rsid w:val="005B0B58"/>
    <w:rsid w:val="005B0D8C"/>
    <w:rsid w:val="005B1418"/>
    <w:rsid w:val="005B356E"/>
    <w:rsid w:val="005B4961"/>
    <w:rsid w:val="005B4A89"/>
    <w:rsid w:val="005B4A9D"/>
    <w:rsid w:val="005B4E53"/>
    <w:rsid w:val="005B4F3D"/>
    <w:rsid w:val="005B5857"/>
    <w:rsid w:val="005B6CD8"/>
    <w:rsid w:val="005B7909"/>
    <w:rsid w:val="005C19C4"/>
    <w:rsid w:val="005C1B83"/>
    <w:rsid w:val="005C1EC3"/>
    <w:rsid w:val="005C1F94"/>
    <w:rsid w:val="005C25FF"/>
    <w:rsid w:val="005C2694"/>
    <w:rsid w:val="005C2D55"/>
    <w:rsid w:val="005C30ED"/>
    <w:rsid w:val="005C346B"/>
    <w:rsid w:val="005C3F78"/>
    <w:rsid w:val="005C4AB3"/>
    <w:rsid w:val="005C4C1E"/>
    <w:rsid w:val="005C5ABC"/>
    <w:rsid w:val="005C5F07"/>
    <w:rsid w:val="005C607F"/>
    <w:rsid w:val="005C6966"/>
    <w:rsid w:val="005C7C92"/>
    <w:rsid w:val="005D044D"/>
    <w:rsid w:val="005D0ABD"/>
    <w:rsid w:val="005D0AC8"/>
    <w:rsid w:val="005D16E8"/>
    <w:rsid w:val="005D18AD"/>
    <w:rsid w:val="005D26B4"/>
    <w:rsid w:val="005D3CE3"/>
    <w:rsid w:val="005D4213"/>
    <w:rsid w:val="005D4395"/>
    <w:rsid w:val="005D444C"/>
    <w:rsid w:val="005D5B2C"/>
    <w:rsid w:val="005D76F5"/>
    <w:rsid w:val="005E07B5"/>
    <w:rsid w:val="005E09AF"/>
    <w:rsid w:val="005E1995"/>
    <w:rsid w:val="005E1EFB"/>
    <w:rsid w:val="005E1F20"/>
    <w:rsid w:val="005E226A"/>
    <w:rsid w:val="005E2383"/>
    <w:rsid w:val="005E25DE"/>
    <w:rsid w:val="005E3053"/>
    <w:rsid w:val="005E3D4F"/>
    <w:rsid w:val="005E5BCE"/>
    <w:rsid w:val="005E6B69"/>
    <w:rsid w:val="005E6CBC"/>
    <w:rsid w:val="005E6E16"/>
    <w:rsid w:val="005E72FF"/>
    <w:rsid w:val="005E73C0"/>
    <w:rsid w:val="005E74FB"/>
    <w:rsid w:val="005E76DF"/>
    <w:rsid w:val="005E78C7"/>
    <w:rsid w:val="005F0550"/>
    <w:rsid w:val="005F07ED"/>
    <w:rsid w:val="005F090F"/>
    <w:rsid w:val="005F0A0C"/>
    <w:rsid w:val="005F0C08"/>
    <w:rsid w:val="005F11B2"/>
    <w:rsid w:val="005F18BE"/>
    <w:rsid w:val="005F1B8A"/>
    <w:rsid w:val="005F1DA5"/>
    <w:rsid w:val="005F2706"/>
    <w:rsid w:val="005F2A57"/>
    <w:rsid w:val="005F3C5F"/>
    <w:rsid w:val="005F49B2"/>
    <w:rsid w:val="005F5EAA"/>
    <w:rsid w:val="005F64A4"/>
    <w:rsid w:val="005F6A8F"/>
    <w:rsid w:val="005F6BB7"/>
    <w:rsid w:val="005F724D"/>
    <w:rsid w:val="005F7588"/>
    <w:rsid w:val="005F7A53"/>
    <w:rsid w:val="005F7BC5"/>
    <w:rsid w:val="00601A9A"/>
    <w:rsid w:val="00601C1C"/>
    <w:rsid w:val="00601CA8"/>
    <w:rsid w:val="006022A9"/>
    <w:rsid w:val="006028D3"/>
    <w:rsid w:val="00602D9C"/>
    <w:rsid w:val="00603B25"/>
    <w:rsid w:val="00603DB9"/>
    <w:rsid w:val="00604600"/>
    <w:rsid w:val="00605B33"/>
    <w:rsid w:val="00605F48"/>
    <w:rsid w:val="0060619F"/>
    <w:rsid w:val="006069DA"/>
    <w:rsid w:val="00606FBA"/>
    <w:rsid w:val="00607669"/>
    <w:rsid w:val="006076F4"/>
    <w:rsid w:val="00607AFD"/>
    <w:rsid w:val="006104DB"/>
    <w:rsid w:val="0061113F"/>
    <w:rsid w:val="00611B12"/>
    <w:rsid w:val="00611E07"/>
    <w:rsid w:val="00611FD8"/>
    <w:rsid w:val="00612CD3"/>
    <w:rsid w:val="00612F97"/>
    <w:rsid w:val="0061345D"/>
    <w:rsid w:val="006137D8"/>
    <w:rsid w:val="00613FF0"/>
    <w:rsid w:val="00613FF8"/>
    <w:rsid w:val="00614D78"/>
    <w:rsid w:val="0061549B"/>
    <w:rsid w:val="0061553D"/>
    <w:rsid w:val="00615E7A"/>
    <w:rsid w:val="00616802"/>
    <w:rsid w:val="00617E12"/>
    <w:rsid w:val="00620C25"/>
    <w:rsid w:val="00621155"/>
    <w:rsid w:val="00621477"/>
    <w:rsid w:val="00621ADA"/>
    <w:rsid w:val="006221E3"/>
    <w:rsid w:val="00622648"/>
    <w:rsid w:val="00622A03"/>
    <w:rsid w:val="00623DD9"/>
    <w:rsid w:val="00623F7B"/>
    <w:rsid w:val="00624AD6"/>
    <w:rsid w:val="00624BD4"/>
    <w:rsid w:val="00624C1D"/>
    <w:rsid w:val="006277E3"/>
    <w:rsid w:val="00630CA3"/>
    <w:rsid w:val="0063158F"/>
    <w:rsid w:val="00631D26"/>
    <w:rsid w:val="00631D6B"/>
    <w:rsid w:val="00632183"/>
    <w:rsid w:val="00632C36"/>
    <w:rsid w:val="00632ED4"/>
    <w:rsid w:val="006330A1"/>
    <w:rsid w:val="00633A4E"/>
    <w:rsid w:val="00633AA4"/>
    <w:rsid w:val="0063479F"/>
    <w:rsid w:val="00635097"/>
    <w:rsid w:val="006353F0"/>
    <w:rsid w:val="006357B5"/>
    <w:rsid w:val="00635C7D"/>
    <w:rsid w:val="00635E7E"/>
    <w:rsid w:val="006364A1"/>
    <w:rsid w:val="0063678E"/>
    <w:rsid w:val="00636A7B"/>
    <w:rsid w:val="00637490"/>
    <w:rsid w:val="006379B4"/>
    <w:rsid w:val="00637BFD"/>
    <w:rsid w:val="00637C5C"/>
    <w:rsid w:val="00640F16"/>
    <w:rsid w:val="00641C4E"/>
    <w:rsid w:val="00641FB3"/>
    <w:rsid w:val="006427C6"/>
    <w:rsid w:val="00642ADB"/>
    <w:rsid w:val="00643B63"/>
    <w:rsid w:val="00643E28"/>
    <w:rsid w:val="0064434C"/>
    <w:rsid w:val="006458CF"/>
    <w:rsid w:val="00645BEF"/>
    <w:rsid w:val="00646209"/>
    <w:rsid w:val="00646789"/>
    <w:rsid w:val="006471CC"/>
    <w:rsid w:val="006472FE"/>
    <w:rsid w:val="0064734D"/>
    <w:rsid w:val="00647A29"/>
    <w:rsid w:val="00647C4F"/>
    <w:rsid w:val="00647C6A"/>
    <w:rsid w:val="0065079F"/>
    <w:rsid w:val="006512F6"/>
    <w:rsid w:val="00652117"/>
    <w:rsid w:val="00652A28"/>
    <w:rsid w:val="00652D3C"/>
    <w:rsid w:val="00653397"/>
    <w:rsid w:val="0065379F"/>
    <w:rsid w:val="00654830"/>
    <w:rsid w:val="00654FB3"/>
    <w:rsid w:val="00656188"/>
    <w:rsid w:val="00656440"/>
    <w:rsid w:val="00656775"/>
    <w:rsid w:val="00656C54"/>
    <w:rsid w:val="00656EF3"/>
    <w:rsid w:val="0065715A"/>
    <w:rsid w:val="006601B7"/>
    <w:rsid w:val="00660A51"/>
    <w:rsid w:val="006610F1"/>
    <w:rsid w:val="00661489"/>
    <w:rsid w:val="006615CE"/>
    <w:rsid w:val="00661C6B"/>
    <w:rsid w:val="00662D3E"/>
    <w:rsid w:val="00663091"/>
    <w:rsid w:val="00663B1D"/>
    <w:rsid w:val="0066421A"/>
    <w:rsid w:val="00664C1E"/>
    <w:rsid w:val="00665291"/>
    <w:rsid w:val="006655C5"/>
    <w:rsid w:val="006657A3"/>
    <w:rsid w:val="006657AE"/>
    <w:rsid w:val="00665A1E"/>
    <w:rsid w:val="00665E8A"/>
    <w:rsid w:val="00665F5D"/>
    <w:rsid w:val="00666574"/>
    <w:rsid w:val="00666770"/>
    <w:rsid w:val="00667BE3"/>
    <w:rsid w:val="00670627"/>
    <w:rsid w:val="0067093F"/>
    <w:rsid w:val="00670ADC"/>
    <w:rsid w:val="00671004"/>
    <w:rsid w:val="00671DED"/>
    <w:rsid w:val="00671E9E"/>
    <w:rsid w:val="00672280"/>
    <w:rsid w:val="00672646"/>
    <w:rsid w:val="00674CDF"/>
    <w:rsid w:val="00674E42"/>
    <w:rsid w:val="00675011"/>
    <w:rsid w:val="00675B88"/>
    <w:rsid w:val="00675EA0"/>
    <w:rsid w:val="00676563"/>
    <w:rsid w:val="00676B5A"/>
    <w:rsid w:val="00677201"/>
    <w:rsid w:val="00677747"/>
    <w:rsid w:val="0068020A"/>
    <w:rsid w:val="006807C7"/>
    <w:rsid w:val="00680F71"/>
    <w:rsid w:val="0068116F"/>
    <w:rsid w:val="006813F8"/>
    <w:rsid w:val="00681A1D"/>
    <w:rsid w:val="00682112"/>
    <w:rsid w:val="00682BA6"/>
    <w:rsid w:val="006843E5"/>
    <w:rsid w:val="00685082"/>
    <w:rsid w:val="006855E7"/>
    <w:rsid w:val="00685734"/>
    <w:rsid w:val="00685CF5"/>
    <w:rsid w:val="00686210"/>
    <w:rsid w:val="00686957"/>
    <w:rsid w:val="00686BB7"/>
    <w:rsid w:val="006872BA"/>
    <w:rsid w:val="0068789A"/>
    <w:rsid w:val="00690125"/>
    <w:rsid w:val="00690795"/>
    <w:rsid w:val="00691648"/>
    <w:rsid w:val="006917D7"/>
    <w:rsid w:val="00692147"/>
    <w:rsid w:val="0069365D"/>
    <w:rsid w:val="00693CE8"/>
    <w:rsid w:val="0069434C"/>
    <w:rsid w:val="00694B70"/>
    <w:rsid w:val="00694BE4"/>
    <w:rsid w:val="00694F44"/>
    <w:rsid w:val="006964AE"/>
    <w:rsid w:val="00696804"/>
    <w:rsid w:val="0069696E"/>
    <w:rsid w:val="00696EF9"/>
    <w:rsid w:val="00696F51"/>
    <w:rsid w:val="006979A5"/>
    <w:rsid w:val="006A016F"/>
    <w:rsid w:val="006A026A"/>
    <w:rsid w:val="006A02C2"/>
    <w:rsid w:val="006A052D"/>
    <w:rsid w:val="006A0CAA"/>
    <w:rsid w:val="006A0DF7"/>
    <w:rsid w:val="006A13A1"/>
    <w:rsid w:val="006A22A0"/>
    <w:rsid w:val="006A2D88"/>
    <w:rsid w:val="006A3015"/>
    <w:rsid w:val="006A3A70"/>
    <w:rsid w:val="006A3D35"/>
    <w:rsid w:val="006A4321"/>
    <w:rsid w:val="006A43D9"/>
    <w:rsid w:val="006A49C3"/>
    <w:rsid w:val="006A6497"/>
    <w:rsid w:val="006A678C"/>
    <w:rsid w:val="006A6B99"/>
    <w:rsid w:val="006A6F7D"/>
    <w:rsid w:val="006A7163"/>
    <w:rsid w:val="006A7537"/>
    <w:rsid w:val="006A7E5F"/>
    <w:rsid w:val="006B1189"/>
    <w:rsid w:val="006B14B6"/>
    <w:rsid w:val="006B1ECC"/>
    <w:rsid w:val="006B20A3"/>
    <w:rsid w:val="006B2253"/>
    <w:rsid w:val="006B25F7"/>
    <w:rsid w:val="006B261B"/>
    <w:rsid w:val="006B2922"/>
    <w:rsid w:val="006B2C90"/>
    <w:rsid w:val="006B35E6"/>
    <w:rsid w:val="006B409F"/>
    <w:rsid w:val="006B465A"/>
    <w:rsid w:val="006B4F9B"/>
    <w:rsid w:val="006B5B22"/>
    <w:rsid w:val="006B5E49"/>
    <w:rsid w:val="006B6066"/>
    <w:rsid w:val="006B6846"/>
    <w:rsid w:val="006B6DD0"/>
    <w:rsid w:val="006B6FF9"/>
    <w:rsid w:val="006C0399"/>
    <w:rsid w:val="006C06D2"/>
    <w:rsid w:val="006C0794"/>
    <w:rsid w:val="006C0867"/>
    <w:rsid w:val="006C0C15"/>
    <w:rsid w:val="006C0C8A"/>
    <w:rsid w:val="006C1242"/>
    <w:rsid w:val="006C1609"/>
    <w:rsid w:val="006C16B4"/>
    <w:rsid w:val="006C2242"/>
    <w:rsid w:val="006C2464"/>
    <w:rsid w:val="006C2475"/>
    <w:rsid w:val="006C2A8E"/>
    <w:rsid w:val="006C3255"/>
    <w:rsid w:val="006C3F26"/>
    <w:rsid w:val="006C5CBD"/>
    <w:rsid w:val="006C5D42"/>
    <w:rsid w:val="006C686D"/>
    <w:rsid w:val="006D0D17"/>
    <w:rsid w:val="006D0DC4"/>
    <w:rsid w:val="006D14F1"/>
    <w:rsid w:val="006D1CD3"/>
    <w:rsid w:val="006D2413"/>
    <w:rsid w:val="006D24B3"/>
    <w:rsid w:val="006D3C7D"/>
    <w:rsid w:val="006D3CB1"/>
    <w:rsid w:val="006D4659"/>
    <w:rsid w:val="006D4920"/>
    <w:rsid w:val="006D5D5F"/>
    <w:rsid w:val="006D5E2D"/>
    <w:rsid w:val="006D636C"/>
    <w:rsid w:val="006D6437"/>
    <w:rsid w:val="006D68FB"/>
    <w:rsid w:val="006D6B1C"/>
    <w:rsid w:val="006D7433"/>
    <w:rsid w:val="006E024F"/>
    <w:rsid w:val="006E06FA"/>
    <w:rsid w:val="006E1106"/>
    <w:rsid w:val="006E1AEA"/>
    <w:rsid w:val="006E2327"/>
    <w:rsid w:val="006E2868"/>
    <w:rsid w:val="006E3BC8"/>
    <w:rsid w:val="006E3F0F"/>
    <w:rsid w:val="006E3F56"/>
    <w:rsid w:val="006E626D"/>
    <w:rsid w:val="006E6F6E"/>
    <w:rsid w:val="006E7623"/>
    <w:rsid w:val="006E7F6A"/>
    <w:rsid w:val="006F02C6"/>
    <w:rsid w:val="006F1240"/>
    <w:rsid w:val="006F306C"/>
    <w:rsid w:val="006F4253"/>
    <w:rsid w:val="006F4609"/>
    <w:rsid w:val="006F474A"/>
    <w:rsid w:val="006F4AE5"/>
    <w:rsid w:val="006F4F1F"/>
    <w:rsid w:val="006F54C3"/>
    <w:rsid w:val="006F57B1"/>
    <w:rsid w:val="006F6198"/>
    <w:rsid w:val="006F63A5"/>
    <w:rsid w:val="006F7456"/>
    <w:rsid w:val="006F7D1D"/>
    <w:rsid w:val="007004B7"/>
    <w:rsid w:val="0070142B"/>
    <w:rsid w:val="00701B18"/>
    <w:rsid w:val="0070276E"/>
    <w:rsid w:val="00702931"/>
    <w:rsid w:val="00702F8F"/>
    <w:rsid w:val="00704477"/>
    <w:rsid w:val="0070535F"/>
    <w:rsid w:val="00705DF4"/>
    <w:rsid w:val="00706F92"/>
    <w:rsid w:val="00707063"/>
    <w:rsid w:val="007072F4"/>
    <w:rsid w:val="007079FC"/>
    <w:rsid w:val="00707CE1"/>
    <w:rsid w:val="00710360"/>
    <w:rsid w:val="00710386"/>
    <w:rsid w:val="00711A36"/>
    <w:rsid w:val="007125D3"/>
    <w:rsid w:val="00713464"/>
    <w:rsid w:val="007135E1"/>
    <w:rsid w:val="00713809"/>
    <w:rsid w:val="00714186"/>
    <w:rsid w:val="007141B7"/>
    <w:rsid w:val="00714966"/>
    <w:rsid w:val="00714C26"/>
    <w:rsid w:val="0071529C"/>
    <w:rsid w:val="00715C06"/>
    <w:rsid w:val="00716624"/>
    <w:rsid w:val="00717043"/>
    <w:rsid w:val="007170DA"/>
    <w:rsid w:val="007172AD"/>
    <w:rsid w:val="00717546"/>
    <w:rsid w:val="00717F25"/>
    <w:rsid w:val="007204D8"/>
    <w:rsid w:val="00720606"/>
    <w:rsid w:val="00720801"/>
    <w:rsid w:val="007216B1"/>
    <w:rsid w:val="00721AC8"/>
    <w:rsid w:val="00722186"/>
    <w:rsid w:val="00722B1B"/>
    <w:rsid w:val="00723590"/>
    <w:rsid w:val="00723B5B"/>
    <w:rsid w:val="00723D03"/>
    <w:rsid w:val="0072416F"/>
    <w:rsid w:val="007246E2"/>
    <w:rsid w:val="007255FF"/>
    <w:rsid w:val="00725A5D"/>
    <w:rsid w:val="00725C98"/>
    <w:rsid w:val="007260C4"/>
    <w:rsid w:val="007268EF"/>
    <w:rsid w:val="00726EDC"/>
    <w:rsid w:val="00726F6A"/>
    <w:rsid w:val="00727C94"/>
    <w:rsid w:val="00727F8F"/>
    <w:rsid w:val="00730851"/>
    <w:rsid w:val="00731B0A"/>
    <w:rsid w:val="00731B3F"/>
    <w:rsid w:val="00731EAE"/>
    <w:rsid w:val="00732490"/>
    <w:rsid w:val="0073255B"/>
    <w:rsid w:val="007327D8"/>
    <w:rsid w:val="00732B6F"/>
    <w:rsid w:val="00733073"/>
    <w:rsid w:val="00733B4C"/>
    <w:rsid w:val="00735033"/>
    <w:rsid w:val="00735080"/>
    <w:rsid w:val="00735328"/>
    <w:rsid w:val="0073616D"/>
    <w:rsid w:val="0073685B"/>
    <w:rsid w:val="007370E4"/>
    <w:rsid w:val="00737D4D"/>
    <w:rsid w:val="00741487"/>
    <w:rsid w:val="0074161D"/>
    <w:rsid w:val="007416E5"/>
    <w:rsid w:val="00741836"/>
    <w:rsid w:val="00743465"/>
    <w:rsid w:val="00743A95"/>
    <w:rsid w:val="007449BF"/>
    <w:rsid w:val="00744DAF"/>
    <w:rsid w:val="007456FA"/>
    <w:rsid w:val="007463FE"/>
    <w:rsid w:val="00746BC0"/>
    <w:rsid w:val="00746FD7"/>
    <w:rsid w:val="0074766C"/>
    <w:rsid w:val="0074786F"/>
    <w:rsid w:val="00747B40"/>
    <w:rsid w:val="00747C22"/>
    <w:rsid w:val="00750032"/>
    <w:rsid w:val="0075058A"/>
    <w:rsid w:val="00751046"/>
    <w:rsid w:val="007510B4"/>
    <w:rsid w:val="007514EB"/>
    <w:rsid w:val="00752142"/>
    <w:rsid w:val="007523F9"/>
    <w:rsid w:val="0075310B"/>
    <w:rsid w:val="0075357E"/>
    <w:rsid w:val="00753B29"/>
    <w:rsid w:val="00753C0C"/>
    <w:rsid w:val="00753C25"/>
    <w:rsid w:val="00753FCD"/>
    <w:rsid w:val="00755082"/>
    <w:rsid w:val="00755CE1"/>
    <w:rsid w:val="007563D7"/>
    <w:rsid w:val="0075679B"/>
    <w:rsid w:val="00756F2E"/>
    <w:rsid w:val="0075710A"/>
    <w:rsid w:val="007573E8"/>
    <w:rsid w:val="0075757A"/>
    <w:rsid w:val="0075784E"/>
    <w:rsid w:val="00757A9B"/>
    <w:rsid w:val="00757AAA"/>
    <w:rsid w:val="00760429"/>
    <w:rsid w:val="00760C4E"/>
    <w:rsid w:val="00760DE6"/>
    <w:rsid w:val="00760F9E"/>
    <w:rsid w:val="007616E6"/>
    <w:rsid w:val="007619C9"/>
    <w:rsid w:val="00761FCA"/>
    <w:rsid w:val="007627BE"/>
    <w:rsid w:val="00763248"/>
    <w:rsid w:val="00764752"/>
    <w:rsid w:val="00764B5C"/>
    <w:rsid w:val="00764F03"/>
    <w:rsid w:val="00765493"/>
    <w:rsid w:val="00765B1A"/>
    <w:rsid w:val="00765DC1"/>
    <w:rsid w:val="00766177"/>
    <w:rsid w:val="007666A6"/>
    <w:rsid w:val="00766B69"/>
    <w:rsid w:val="00767445"/>
    <w:rsid w:val="00767A37"/>
    <w:rsid w:val="0077050D"/>
    <w:rsid w:val="007708CC"/>
    <w:rsid w:val="0077136F"/>
    <w:rsid w:val="007724C5"/>
    <w:rsid w:val="0077305B"/>
    <w:rsid w:val="00773370"/>
    <w:rsid w:val="0077348B"/>
    <w:rsid w:val="007735F6"/>
    <w:rsid w:val="007739F5"/>
    <w:rsid w:val="007746FC"/>
    <w:rsid w:val="00774A6C"/>
    <w:rsid w:val="00774B78"/>
    <w:rsid w:val="00774BEE"/>
    <w:rsid w:val="00774CB3"/>
    <w:rsid w:val="007760BE"/>
    <w:rsid w:val="00776446"/>
    <w:rsid w:val="00776A29"/>
    <w:rsid w:val="00777335"/>
    <w:rsid w:val="007773F7"/>
    <w:rsid w:val="00777BCD"/>
    <w:rsid w:val="00777EAB"/>
    <w:rsid w:val="00780936"/>
    <w:rsid w:val="007814C2"/>
    <w:rsid w:val="007814DF"/>
    <w:rsid w:val="0078166C"/>
    <w:rsid w:val="007820DC"/>
    <w:rsid w:val="007821EB"/>
    <w:rsid w:val="0078242C"/>
    <w:rsid w:val="00783753"/>
    <w:rsid w:val="00783CCE"/>
    <w:rsid w:val="00784264"/>
    <w:rsid w:val="007843F2"/>
    <w:rsid w:val="007844FD"/>
    <w:rsid w:val="007846FA"/>
    <w:rsid w:val="00785859"/>
    <w:rsid w:val="00785A9F"/>
    <w:rsid w:val="00786E27"/>
    <w:rsid w:val="007879A1"/>
    <w:rsid w:val="00791163"/>
    <w:rsid w:val="00791D6D"/>
    <w:rsid w:val="007925DF"/>
    <w:rsid w:val="00793384"/>
    <w:rsid w:val="0079440D"/>
    <w:rsid w:val="00795CF8"/>
    <w:rsid w:val="00795D86"/>
    <w:rsid w:val="00796D33"/>
    <w:rsid w:val="00797105"/>
    <w:rsid w:val="00797F32"/>
    <w:rsid w:val="007A06CC"/>
    <w:rsid w:val="007A08AA"/>
    <w:rsid w:val="007A0A12"/>
    <w:rsid w:val="007A132D"/>
    <w:rsid w:val="007A1345"/>
    <w:rsid w:val="007A1351"/>
    <w:rsid w:val="007A218E"/>
    <w:rsid w:val="007A26A0"/>
    <w:rsid w:val="007A2DDB"/>
    <w:rsid w:val="007A3652"/>
    <w:rsid w:val="007A3980"/>
    <w:rsid w:val="007A3AA1"/>
    <w:rsid w:val="007A3B1E"/>
    <w:rsid w:val="007A3C31"/>
    <w:rsid w:val="007A3C4B"/>
    <w:rsid w:val="007A4184"/>
    <w:rsid w:val="007A54A5"/>
    <w:rsid w:val="007A6609"/>
    <w:rsid w:val="007A6D23"/>
    <w:rsid w:val="007A70BA"/>
    <w:rsid w:val="007A7AC8"/>
    <w:rsid w:val="007B0D68"/>
    <w:rsid w:val="007B19A6"/>
    <w:rsid w:val="007B1B41"/>
    <w:rsid w:val="007B1BC9"/>
    <w:rsid w:val="007B1FBC"/>
    <w:rsid w:val="007B251D"/>
    <w:rsid w:val="007B28FE"/>
    <w:rsid w:val="007B325F"/>
    <w:rsid w:val="007B32AD"/>
    <w:rsid w:val="007B3533"/>
    <w:rsid w:val="007B3E76"/>
    <w:rsid w:val="007B40B5"/>
    <w:rsid w:val="007B4C0E"/>
    <w:rsid w:val="007B4EC0"/>
    <w:rsid w:val="007B4EE2"/>
    <w:rsid w:val="007B4EF2"/>
    <w:rsid w:val="007B4F58"/>
    <w:rsid w:val="007B528D"/>
    <w:rsid w:val="007B63CA"/>
    <w:rsid w:val="007B77D1"/>
    <w:rsid w:val="007C07C7"/>
    <w:rsid w:val="007C0B24"/>
    <w:rsid w:val="007C185B"/>
    <w:rsid w:val="007C1C3C"/>
    <w:rsid w:val="007C1CD9"/>
    <w:rsid w:val="007C20D9"/>
    <w:rsid w:val="007C24FD"/>
    <w:rsid w:val="007C32EF"/>
    <w:rsid w:val="007C361D"/>
    <w:rsid w:val="007C4259"/>
    <w:rsid w:val="007C4434"/>
    <w:rsid w:val="007C47B8"/>
    <w:rsid w:val="007C485F"/>
    <w:rsid w:val="007C4B84"/>
    <w:rsid w:val="007C66A9"/>
    <w:rsid w:val="007C6DCE"/>
    <w:rsid w:val="007C70FF"/>
    <w:rsid w:val="007C743F"/>
    <w:rsid w:val="007C7C25"/>
    <w:rsid w:val="007D004F"/>
    <w:rsid w:val="007D0336"/>
    <w:rsid w:val="007D035F"/>
    <w:rsid w:val="007D06B2"/>
    <w:rsid w:val="007D0B38"/>
    <w:rsid w:val="007D15B1"/>
    <w:rsid w:val="007D34EF"/>
    <w:rsid w:val="007D359D"/>
    <w:rsid w:val="007D3B35"/>
    <w:rsid w:val="007D5269"/>
    <w:rsid w:val="007D5440"/>
    <w:rsid w:val="007D55AB"/>
    <w:rsid w:val="007D5724"/>
    <w:rsid w:val="007D62B0"/>
    <w:rsid w:val="007D649B"/>
    <w:rsid w:val="007D69EB"/>
    <w:rsid w:val="007D6E96"/>
    <w:rsid w:val="007D7FF4"/>
    <w:rsid w:val="007E02CE"/>
    <w:rsid w:val="007E07AA"/>
    <w:rsid w:val="007E07F8"/>
    <w:rsid w:val="007E128F"/>
    <w:rsid w:val="007E1871"/>
    <w:rsid w:val="007E1F01"/>
    <w:rsid w:val="007E4528"/>
    <w:rsid w:val="007E4A00"/>
    <w:rsid w:val="007E7543"/>
    <w:rsid w:val="007E7A87"/>
    <w:rsid w:val="007F03C4"/>
    <w:rsid w:val="007F041A"/>
    <w:rsid w:val="007F09BE"/>
    <w:rsid w:val="007F0E5E"/>
    <w:rsid w:val="007F1017"/>
    <w:rsid w:val="007F20D9"/>
    <w:rsid w:val="007F2C5B"/>
    <w:rsid w:val="007F2CDE"/>
    <w:rsid w:val="007F3794"/>
    <w:rsid w:val="007F3BC0"/>
    <w:rsid w:val="007F458B"/>
    <w:rsid w:val="007F4A3F"/>
    <w:rsid w:val="007F4A61"/>
    <w:rsid w:val="007F4E44"/>
    <w:rsid w:val="007F5255"/>
    <w:rsid w:val="007F56CC"/>
    <w:rsid w:val="007F61C2"/>
    <w:rsid w:val="007F793F"/>
    <w:rsid w:val="008003CA"/>
    <w:rsid w:val="008007B9"/>
    <w:rsid w:val="00800EAF"/>
    <w:rsid w:val="008020EE"/>
    <w:rsid w:val="008024AE"/>
    <w:rsid w:val="00802E52"/>
    <w:rsid w:val="00803BC0"/>
    <w:rsid w:val="00803BD7"/>
    <w:rsid w:val="00803FEC"/>
    <w:rsid w:val="00805142"/>
    <w:rsid w:val="0080566B"/>
    <w:rsid w:val="00805687"/>
    <w:rsid w:val="00805DDA"/>
    <w:rsid w:val="00805FCE"/>
    <w:rsid w:val="00806907"/>
    <w:rsid w:val="00806E7E"/>
    <w:rsid w:val="00807198"/>
    <w:rsid w:val="0080742E"/>
    <w:rsid w:val="00807A8B"/>
    <w:rsid w:val="00810A76"/>
    <w:rsid w:val="00811383"/>
    <w:rsid w:val="008113BA"/>
    <w:rsid w:val="00812149"/>
    <w:rsid w:val="0081240A"/>
    <w:rsid w:val="008128F8"/>
    <w:rsid w:val="00812CAC"/>
    <w:rsid w:val="00813A12"/>
    <w:rsid w:val="00814238"/>
    <w:rsid w:val="00815926"/>
    <w:rsid w:val="00815928"/>
    <w:rsid w:val="00816361"/>
    <w:rsid w:val="00816554"/>
    <w:rsid w:val="008166EF"/>
    <w:rsid w:val="00816FEF"/>
    <w:rsid w:val="00817209"/>
    <w:rsid w:val="00820A8C"/>
    <w:rsid w:val="00820E47"/>
    <w:rsid w:val="00820F8E"/>
    <w:rsid w:val="00820FAA"/>
    <w:rsid w:val="008215FB"/>
    <w:rsid w:val="00821883"/>
    <w:rsid w:val="008220CC"/>
    <w:rsid w:val="00822A16"/>
    <w:rsid w:val="00823174"/>
    <w:rsid w:val="00823EA7"/>
    <w:rsid w:val="00824030"/>
    <w:rsid w:val="008243AA"/>
    <w:rsid w:val="00824F1C"/>
    <w:rsid w:val="008255D7"/>
    <w:rsid w:val="00825751"/>
    <w:rsid w:val="008264EB"/>
    <w:rsid w:val="008265A2"/>
    <w:rsid w:val="008268CE"/>
    <w:rsid w:val="00827208"/>
    <w:rsid w:val="00827850"/>
    <w:rsid w:val="00827C23"/>
    <w:rsid w:val="008300B1"/>
    <w:rsid w:val="00831650"/>
    <w:rsid w:val="008326E7"/>
    <w:rsid w:val="008328A8"/>
    <w:rsid w:val="00832C7D"/>
    <w:rsid w:val="00833B05"/>
    <w:rsid w:val="00833D99"/>
    <w:rsid w:val="00834379"/>
    <w:rsid w:val="00834893"/>
    <w:rsid w:val="0083542B"/>
    <w:rsid w:val="008362B4"/>
    <w:rsid w:val="008368F3"/>
    <w:rsid w:val="0083739F"/>
    <w:rsid w:val="00837CA1"/>
    <w:rsid w:val="008401E2"/>
    <w:rsid w:val="008405B1"/>
    <w:rsid w:val="00840CA2"/>
    <w:rsid w:val="00841019"/>
    <w:rsid w:val="0084128C"/>
    <w:rsid w:val="0084195C"/>
    <w:rsid w:val="00841D63"/>
    <w:rsid w:val="00842246"/>
    <w:rsid w:val="0084374F"/>
    <w:rsid w:val="00843936"/>
    <w:rsid w:val="00843AA1"/>
    <w:rsid w:val="00843E6B"/>
    <w:rsid w:val="008445DD"/>
    <w:rsid w:val="0084495D"/>
    <w:rsid w:val="00844A22"/>
    <w:rsid w:val="0084583E"/>
    <w:rsid w:val="00845B38"/>
    <w:rsid w:val="008462EE"/>
    <w:rsid w:val="008465AE"/>
    <w:rsid w:val="008466BD"/>
    <w:rsid w:val="00846E21"/>
    <w:rsid w:val="00847092"/>
    <w:rsid w:val="008475A6"/>
    <w:rsid w:val="00847703"/>
    <w:rsid w:val="008477E0"/>
    <w:rsid w:val="00847DF5"/>
    <w:rsid w:val="00850636"/>
    <w:rsid w:val="00850844"/>
    <w:rsid w:val="00850DB9"/>
    <w:rsid w:val="0085171E"/>
    <w:rsid w:val="00851A87"/>
    <w:rsid w:val="00851AF8"/>
    <w:rsid w:val="0085309D"/>
    <w:rsid w:val="0085326C"/>
    <w:rsid w:val="0085372E"/>
    <w:rsid w:val="00854125"/>
    <w:rsid w:val="00854771"/>
    <w:rsid w:val="00854CAD"/>
    <w:rsid w:val="00855732"/>
    <w:rsid w:val="00855743"/>
    <w:rsid w:val="00855F1C"/>
    <w:rsid w:val="00856897"/>
    <w:rsid w:val="00856E9A"/>
    <w:rsid w:val="00857171"/>
    <w:rsid w:val="00857C7C"/>
    <w:rsid w:val="0086075D"/>
    <w:rsid w:val="00860A99"/>
    <w:rsid w:val="00860E26"/>
    <w:rsid w:val="008611B5"/>
    <w:rsid w:val="00862502"/>
    <w:rsid w:val="00862CC1"/>
    <w:rsid w:val="008642A7"/>
    <w:rsid w:val="0086497F"/>
    <w:rsid w:val="00865884"/>
    <w:rsid w:val="008660D4"/>
    <w:rsid w:val="0087000B"/>
    <w:rsid w:val="0087184D"/>
    <w:rsid w:val="00871B39"/>
    <w:rsid w:val="00871FA9"/>
    <w:rsid w:val="008721A8"/>
    <w:rsid w:val="008724B9"/>
    <w:rsid w:val="00872702"/>
    <w:rsid w:val="008728E9"/>
    <w:rsid w:val="00872F7C"/>
    <w:rsid w:val="008767F2"/>
    <w:rsid w:val="00877FEE"/>
    <w:rsid w:val="00880169"/>
    <w:rsid w:val="008802F4"/>
    <w:rsid w:val="00881D44"/>
    <w:rsid w:val="008822C0"/>
    <w:rsid w:val="00882874"/>
    <w:rsid w:val="00882E3C"/>
    <w:rsid w:val="0088308A"/>
    <w:rsid w:val="00883787"/>
    <w:rsid w:val="008843CE"/>
    <w:rsid w:val="00884C15"/>
    <w:rsid w:val="00885454"/>
    <w:rsid w:val="008855E4"/>
    <w:rsid w:val="00886CD2"/>
    <w:rsid w:val="008913AE"/>
    <w:rsid w:val="00891603"/>
    <w:rsid w:val="008919DA"/>
    <w:rsid w:val="00891DEB"/>
    <w:rsid w:val="00891E6F"/>
    <w:rsid w:val="0089275D"/>
    <w:rsid w:val="00892A36"/>
    <w:rsid w:val="00893239"/>
    <w:rsid w:val="00893789"/>
    <w:rsid w:val="0089415E"/>
    <w:rsid w:val="0089420E"/>
    <w:rsid w:val="00894218"/>
    <w:rsid w:val="00894489"/>
    <w:rsid w:val="00894795"/>
    <w:rsid w:val="00894AAC"/>
    <w:rsid w:val="00894CD6"/>
    <w:rsid w:val="00894DD7"/>
    <w:rsid w:val="0089591F"/>
    <w:rsid w:val="00895929"/>
    <w:rsid w:val="00896188"/>
    <w:rsid w:val="00896357"/>
    <w:rsid w:val="008963A5"/>
    <w:rsid w:val="008967F9"/>
    <w:rsid w:val="00896D5D"/>
    <w:rsid w:val="008978FD"/>
    <w:rsid w:val="008A166B"/>
    <w:rsid w:val="008A2362"/>
    <w:rsid w:val="008A2685"/>
    <w:rsid w:val="008A3158"/>
    <w:rsid w:val="008A3363"/>
    <w:rsid w:val="008A3370"/>
    <w:rsid w:val="008A3371"/>
    <w:rsid w:val="008A368B"/>
    <w:rsid w:val="008A3912"/>
    <w:rsid w:val="008A393F"/>
    <w:rsid w:val="008A3B7C"/>
    <w:rsid w:val="008A3C3E"/>
    <w:rsid w:val="008A3E71"/>
    <w:rsid w:val="008A450E"/>
    <w:rsid w:val="008A4623"/>
    <w:rsid w:val="008A48CE"/>
    <w:rsid w:val="008A5097"/>
    <w:rsid w:val="008A5135"/>
    <w:rsid w:val="008A5BB1"/>
    <w:rsid w:val="008A61D4"/>
    <w:rsid w:val="008A6B96"/>
    <w:rsid w:val="008A7864"/>
    <w:rsid w:val="008A79DE"/>
    <w:rsid w:val="008A7A84"/>
    <w:rsid w:val="008B053A"/>
    <w:rsid w:val="008B05CF"/>
    <w:rsid w:val="008B0FD6"/>
    <w:rsid w:val="008B1047"/>
    <w:rsid w:val="008B13C6"/>
    <w:rsid w:val="008B1757"/>
    <w:rsid w:val="008B195C"/>
    <w:rsid w:val="008B1C33"/>
    <w:rsid w:val="008B3479"/>
    <w:rsid w:val="008B4874"/>
    <w:rsid w:val="008B4B6F"/>
    <w:rsid w:val="008B5E41"/>
    <w:rsid w:val="008B5FE1"/>
    <w:rsid w:val="008B65B6"/>
    <w:rsid w:val="008B6885"/>
    <w:rsid w:val="008B753C"/>
    <w:rsid w:val="008B7992"/>
    <w:rsid w:val="008B7D7E"/>
    <w:rsid w:val="008C0139"/>
    <w:rsid w:val="008C10EE"/>
    <w:rsid w:val="008C1CE8"/>
    <w:rsid w:val="008C1D22"/>
    <w:rsid w:val="008C26C8"/>
    <w:rsid w:val="008C2ADC"/>
    <w:rsid w:val="008C331E"/>
    <w:rsid w:val="008C3E8F"/>
    <w:rsid w:val="008C3FA8"/>
    <w:rsid w:val="008C4024"/>
    <w:rsid w:val="008C4B53"/>
    <w:rsid w:val="008C5610"/>
    <w:rsid w:val="008C5739"/>
    <w:rsid w:val="008C63FA"/>
    <w:rsid w:val="008C69A7"/>
    <w:rsid w:val="008C7282"/>
    <w:rsid w:val="008C7932"/>
    <w:rsid w:val="008C79BF"/>
    <w:rsid w:val="008C7ECB"/>
    <w:rsid w:val="008C7EDF"/>
    <w:rsid w:val="008C7FA6"/>
    <w:rsid w:val="008D0F95"/>
    <w:rsid w:val="008D1574"/>
    <w:rsid w:val="008D1EF1"/>
    <w:rsid w:val="008D2000"/>
    <w:rsid w:val="008D2CFE"/>
    <w:rsid w:val="008D38CE"/>
    <w:rsid w:val="008D3B86"/>
    <w:rsid w:val="008D3D07"/>
    <w:rsid w:val="008D43FD"/>
    <w:rsid w:val="008D45EB"/>
    <w:rsid w:val="008D4755"/>
    <w:rsid w:val="008D4971"/>
    <w:rsid w:val="008D4A86"/>
    <w:rsid w:val="008D4C3D"/>
    <w:rsid w:val="008D5B2D"/>
    <w:rsid w:val="008D5F52"/>
    <w:rsid w:val="008D743C"/>
    <w:rsid w:val="008D7E0E"/>
    <w:rsid w:val="008D7F86"/>
    <w:rsid w:val="008E00B9"/>
    <w:rsid w:val="008E0C6F"/>
    <w:rsid w:val="008E0D3C"/>
    <w:rsid w:val="008E1B9E"/>
    <w:rsid w:val="008E213F"/>
    <w:rsid w:val="008E2CE9"/>
    <w:rsid w:val="008E3FD2"/>
    <w:rsid w:val="008E40BA"/>
    <w:rsid w:val="008E4317"/>
    <w:rsid w:val="008E4AC1"/>
    <w:rsid w:val="008E4BA9"/>
    <w:rsid w:val="008E55AB"/>
    <w:rsid w:val="008E5C01"/>
    <w:rsid w:val="008E70CD"/>
    <w:rsid w:val="008E7707"/>
    <w:rsid w:val="008E7B32"/>
    <w:rsid w:val="008F120A"/>
    <w:rsid w:val="008F1E26"/>
    <w:rsid w:val="008F2147"/>
    <w:rsid w:val="008F224B"/>
    <w:rsid w:val="008F2299"/>
    <w:rsid w:val="008F22FF"/>
    <w:rsid w:val="008F27E0"/>
    <w:rsid w:val="008F405C"/>
    <w:rsid w:val="008F48EB"/>
    <w:rsid w:val="008F499F"/>
    <w:rsid w:val="008F49AB"/>
    <w:rsid w:val="008F4A89"/>
    <w:rsid w:val="008F4D83"/>
    <w:rsid w:val="008F4F0B"/>
    <w:rsid w:val="008F58F2"/>
    <w:rsid w:val="008F6770"/>
    <w:rsid w:val="008F6DE1"/>
    <w:rsid w:val="008F72A5"/>
    <w:rsid w:val="009003B6"/>
    <w:rsid w:val="009008B3"/>
    <w:rsid w:val="0090091F"/>
    <w:rsid w:val="00900E6C"/>
    <w:rsid w:val="009011D4"/>
    <w:rsid w:val="00902499"/>
    <w:rsid w:val="009031E9"/>
    <w:rsid w:val="00903218"/>
    <w:rsid w:val="009046C4"/>
    <w:rsid w:val="00904943"/>
    <w:rsid w:val="00904C98"/>
    <w:rsid w:val="0090547D"/>
    <w:rsid w:val="009062A5"/>
    <w:rsid w:val="00906A45"/>
    <w:rsid w:val="009075F4"/>
    <w:rsid w:val="00907699"/>
    <w:rsid w:val="009101D6"/>
    <w:rsid w:val="00910828"/>
    <w:rsid w:val="00910FA7"/>
    <w:rsid w:val="00911272"/>
    <w:rsid w:val="00911339"/>
    <w:rsid w:val="009135D6"/>
    <w:rsid w:val="00914190"/>
    <w:rsid w:val="00914B95"/>
    <w:rsid w:val="00914C77"/>
    <w:rsid w:val="00914CF4"/>
    <w:rsid w:val="00915086"/>
    <w:rsid w:val="00915383"/>
    <w:rsid w:val="0091751E"/>
    <w:rsid w:val="009177F0"/>
    <w:rsid w:val="00917A83"/>
    <w:rsid w:val="00920219"/>
    <w:rsid w:val="00920490"/>
    <w:rsid w:val="009208B1"/>
    <w:rsid w:val="00920C74"/>
    <w:rsid w:val="00921298"/>
    <w:rsid w:val="00921ACB"/>
    <w:rsid w:val="009233AD"/>
    <w:rsid w:val="0092369B"/>
    <w:rsid w:val="0092542F"/>
    <w:rsid w:val="00925622"/>
    <w:rsid w:val="009259DF"/>
    <w:rsid w:val="00925EE8"/>
    <w:rsid w:val="00925FF8"/>
    <w:rsid w:val="009269E4"/>
    <w:rsid w:val="00926C86"/>
    <w:rsid w:val="00926FB4"/>
    <w:rsid w:val="00930780"/>
    <w:rsid w:val="0093081F"/>
    <w:rsid w:val="009319D2"/>
    <w:rsid w:val="00931ACF"/>
    <w:rsid w:val="00931C66"/>
    <w:rsid w:val="00931F69"/>
    <w:rsid w:val="00934956"/>
    <w:rsid w:val="00934988"/>
    <w:rsid w:val="009353E2"/>
    <w:rsid w:val="00936A6C"/>
    <w:rsid w:val="00937089"/>
    <w:rsid w:val="00940B0D"/>
    <w:rsid w:val="00940B16"/>
    <w:rsid w:val="009421CD"/>
    <w:rsid w:val="00942A4C"/>
    <w:rsid w:val="009437FD"/>
    <w:rsid w:val="0094380D"/>
    <w:rsid w:val="00944F1E"/>
    <w:rsid w:val="00944F8A"/>
    <w:rsid w:val="0094560D"/>
    <w:rsid w:val="00945C30"/>
    <w:rsid w:val="00945C6F"/>
    <w:rsid w:val="00946DCE"/>
    <w:rsid w:val="00946FE7"/>
    <w:rsid w:val="00947586"/>
    <w:rsid w:val="0094759F"/>
    <w:rsid w:val="009479F6"/>
    <w:rsid w:val="00947FB3"/>
    <w:rsid w:val="009510A2"/>
    <w:rsid w:val="00951D64"/>
    <w:rsid w:val="0095301D"/>
    <w:rsid w:val="00953257"/>
    <w:rsid w:val="00953350"/>
    <w:rsid w:val="0095474C"/>
    <w:rsid w:val="00954805"/>
    <w:rsid w:val="00954AC4"/>
    <w:rsid w:val="009551EA"/>
    <w:rsid w:val="00955306"/>
    <w:rsid w:val="0095555E"/>
    <w:rsid w:val="00955AE3"/>
    <w:rsid w:val="00956625"/>
    <w:rsid w:val="0095700B"/>
    <w:rsid w:val="009576DF"/>
    <w:rsid w:val="00957769"/>
    <w:rsid w:val="00957BF0"/>
    <w:rsid w:val="00957D92"/>
    <w:rsid w:val="0096019E"/>
    <w:rsid w:val="00960397"/>
    <w:rsid w:val="00962CB9"/>
    <w:rsid w:val="009633BD"/>
    <w:rsid w:val="00964312"/>
    <w:rsid w:val="00964826"/>
    <w:rsid w:val="00964D6E"/>
    <w:rsid w:val="009652C3"/>
    <w:rsid w:val="0096559F"/>
    <w:rsid w:val="00965B8A"/>
    <w:rsid w:val="00967D00"/>
    <w:rsid w:val="0097071F"/>
    <w:rsid w:val="00971273"/>
    <w:rsid w:val="009716E6"/>
    <w:rsid w:val="009717AC"/>
    <w:rsid w:val="009730F7"/>
    <w:rsid w:val="0097379A"/>
    <w:rsid w:val="00973E95"/>
    <w:rsid w:val="00975059"/>
    <w:rsid w:val="009751C1"/>
    <w:rsid w:val="00975B39"/>
    <w:rsid w:val="00975D54"/>
    <w:rsid w:val="009800BE"/>
    <w:rsid w:val="009803D5"/>
    <w:rsid w:val="009811F1"/>
    <w:rsid w:val="0098262F"/>
    <w:rsid w:val="009830D4"/>
    <w:rsid w:val="009839C5"/>
    <w:rsid w:val="00983AB9"/>
    <w:rsid w:val="00983B26"/>
    <w:rsid w:val="00983D6F"/>
    <w:rsid w:val="00983E57"/>
    <w:rsid w:val="009840AF"/>
    <w:rsid w:val="009850DB"/>
    <w:rsid w:val="009857DC"/>
    <w:rsid w:val="0098581D"/>
    <w:rsid w:val="00985DE2"/>
    <w:rsid w:val="009862F2"/>
    <w:rsid w:val="00986340"/>
    <w:rsid w:val="009864DF"/>
    <w:rsid w:val="009866C6"/>
    <w:rsid w:val="0098675D"/>
    <w:rsid w:val="00986C00"/>
    <w:rsid w:val="00987A33"/>
    <w:rsid w:val="00987BA4"/>
    <w:rsid w:val="009903F2"/>
    <w:rsid w:val="00991116"/>
    <w:rsid w:val="0099127B"/>
    <w:rsid w:val="009926E0"/>
    <w:rsid w:val="00992828"/>
    <w:rsid w:val="009929C5"/>
    <w:rsid w:val="00993850"/>
    <w:rsid w:val="00994050"/>
    <w:rsid w:val="0099451E"/>
    <w:rsid w:val="00994E23"/>
    <w:rsid w:val="0099607D"/>
    <w:rsid w:val="00996663"/>
    <w:rsid w:val="00996B1A"/>
    <w:rsid w:val="00997D1E"/>
    <w:rsid w:val="009A005E"/>
    <w:rsid w:val="009A08F4"/>
    <w:rsid w:val="009A12BC"/>
    <w:rsid w:val="009A18F6"/>
    <w:rsid w:val="009A2245"/>
    <w:rsid w:val="009A22E4"/>
    <w:rsid w:val="009A2DCC"/>
    <w:rsid w:val="009A32BF"/>
    <w:rsid w:val="009A39BF"/>
    <w:rsid w:val="009A4202"/>
    <w:rsid w:val="009A526A"/>
    <w:rsid w:val="009A57F5"/>
    <w:rsid w:val="009A5ABC"/>
    <w:rsid w:val="009A5BA3"/>
    <w:rsid w:val="009A7116"/>
    <w:rsid w:val="009A7180"/>
    <w:rsid w:val="009A7785"/>
    <w:rsid w:val="009A7F10"/>
    <w:rsid w:val="009B072F"/>
    <w:rsid w:val="009B0D00"/>
    <w:rsid w:val="009B10F7"/>
    <w:rsid w:val="009B183A"/>
    <w:rsid w:val="009B1855"/>
    <w:rsid w:val="009B1FF7"/>
    <w:rsid w:val="009B2673"/>
    <w:rsid w:val="009B2E85"/>
    <w:rsid w:val="009B300F"/>
    <w:rsid w:val="009B386C"/>
    <w:rsid w:val="009B3997"/>
    <w:rsid w:val="009B3D33"/>
    <w:rsid w:val="009B3E26"/>
    <w:rsid w:val="009B4530"/>
    <w:rsid w:val="009B464E"/>
    <w:rsid w:val="009B4CE2"/>
    <w:rsid w:val="009B5E78"/>
    <w:rsid w:val="009B708E"/>
    <w:rsid w:val="009C0284"/>
    <w:rsid w:val="009C0329"/>
    <w:rsid w:val="009C0CD3"/>
    <w:rsid w:val="009C0D0F"/>
    <w:rsid w:val="009C1271"/>
    <w:rsid w:val="009C20AD"/>
    <w:rsid w:val="009C2140"/>
    <w:rsid w:val="009C3706"/>
    <w:rsid w:val="009C3A3A"/>
    <w:rsid w:val="009C426B"/>
    <w:rsid w:val="009C427A"/>
    <w:rsid w:val="009C474E"/>
    <w:rsid w:val="009C4939"/>
    <w:rsid w:val="009C5A82"/>
    <w:rsid w:val="009C6574"/>
    <w:rsid w:val="009C6CEA"/>
    <w:rsid w:val="009C7009"/>
    <w:rsid w:val="009C7AD9"/>
    <w:rsid w:val="009C7B85"/>
    <w:rsid w:val="009C7F52"/>
    <w:rsid w:val="009C7F5D"/>
    <w:rsid w:val="009D0254"/>
    <w:rsid w:val="009D0A31"/>
    <w:rsid w:val="009D1A64"/>
    <w:rsid w:val="009D21B8"/>
    <w:rsid w:val="009D29FF"/>
    <w:rsid w:val="009D31C2"/>
    <w:rsid w:val="009D3844"/>
    <w:rsid w:val="009D4604"/>
    <w:rsid w:val="009D52AD"/>
    <w:rsid w:val="009D5B91"/>
    <w:rsid w:val="009D63FD"/>
    <w:rsid w:val="009D6695"/>
    <w:rsid w:val="009D6A82"/>
    <w:rsid w:val="009D792E"/>
    <w:rsid w:val="009E08B7"/>
    <w:rsid w:val="009E0DFE"/>
    <w:rsid w:val="009E141F"/>
    <w:rsid w:val="009E1AFC"/>
    <w:rsid w:val="009E31F6"/>
    <w:rsid w:val="009E35DF"/>
    <w:rsid w:val="009E3F63"/>
    <w:rsid w:val="009E4501"/>
    <w:rsid w:val="009E4C07"/>
    <w:rsid w:val="009E51A5"/>
    <w:rsid w:val="009E588D"/>
    <w:rsid w:val="009E6212"/>
    <w:rsid w:val="009E6772"/>
    <w:rsid w:val="009E777F"/>
    <w:rsid w:val="009E7ED5"/>
    <w:rsid w:val="009E7F7A"/>
    <w:rsid w:val="009F002F"/>
    <w:rsid w:val="009F00FB"/>
    <w:rsid w:val="009F05EC"/>
    <w:rsid w:val="009F0F34"/>
    <w:rsid w:val="009F11C7"/>
    <w:rsid w:val="009F12AC"/>
    <w:rsid w:val="009F3375"/>
    <w:rsid w:val="009F367E"/>
    <w:rsid w:val="009F3C1E"/>
    <w:rsid w:val="009F42BE"/>
    <w:rsid w:val="009F541B"/>
    <w:rsid w:val="009F55EE"/>
    <w:rsid w:val="009F5DF6"/>
    <w:rsid w:val="009F6120"/>
    <w:rsid w:val="009F6561"/>
    <w:rsid w:val="009F6F67"/>
    <w:rsid w:val="009F7238"/>
    <w:rsid w:val="009F7C15"/>
    <w:rsid w:val="00A00D76"/>
    <w:rsid w:val="00A01184"/>
    <w:rsid w:val="00A01449"/>
    <w:rsid w:val="00A028E5"/>
    <w:rsid w:val="00A02EB5"/>
    <w:rsid w:val="00A0319E"/>
    <w:rsid w:val="00A034A1"/>
    <w:rsid w:val="00A03691"/>
    <w:rsid w:val="00A037C2"/>
    <w:rsid w:val="00A03905"/>
    <w:rsid w:val="00A03A2F"/>
    <w:rsid w:val="00A03D43"/>
    <w:rsid w:val="00A042C5"/>
    <w:rsid w:val="00A04380"/>
    <w:rsid w:val="00A046C3"/>
    <w:rsid w:val="00A04786"/>
    <w:rsid w:val="00A04AF7"/>
    <w:rsid w:val="00A04CB5"/>
    <w:rsid w:val="00A04D60"/>
    <w:rsid w:val="00A05472"/>
    <w:rsid w:val="00A05C32"/>
    <w:rsid w:val="00A0653F"/>
    <w:rsid w:val="00A06C08"/>
    <w:rsid w:val="00A06FD8"/>
    <w:rsid w:val="00A07235"/>
    <w:rsid w:val="00A0756F"/>
    <w:rsid w:val="00A07B8B"/>
    <w:rsid w:val="00A1005F"/>
    <w:rsid w:val="00A102B6"/>
    <w:rsid w:val="00A117EC"/>
    <w:rsid w:val="00A11BEB"/>
    <w:rsid w:val="00A11CD0"/>
    <w:rsid w:val="00A11E21"/>
    <w:rsid w:val="00A1270E"/>
    <w:rsid w:val="00A12A79"/>
    <w:rsid w:val="00A13037"/>
    <w:rsid w:val="00A13948"/>
    <w:rsid w:val="00A141A6"/>
    <w:rsid w:val="00A14D6B"/>
    <w:rsid w:val="00A1555B"/>
    <w:rsid w:val="00A155C5"/>
    <w:rsid w:val="00A15DD2"/>
    <w:rsid w:val="00A16660"/>
    <w:rsid w:val="00A16AD8"/>
    <w:rsid w:val="00A17144"/>
    <w:rsid w:val="00A17C31"/>
    <w:rsid w:val="00A2021E"/>
    <w:rsid w:val="00A20D89"/>
    <w:rsid w:val="00A217A4"/>
    <w:rsid w:val="00A217AC"/>
    <w:rsid w:val="00A21C95"/>
    <w:rsid w:val="00A21CF3"/>
    <w:rsid w:val="00A22E43"/>
    <w:rsid w:val="00A23620"/>
    <w:rsid w:val="00A24813"/>
    <w:rsid w:val="00A257A9"/>
    <w:rsid w:val="00A257FA"/>
    <w:rsid w:val="00A2666D"/>
    <w:rsid w:val="00A27AEC"/>
    <w:rsid w:val="00A300D7"/>
    <w:rsid w:val="00A318BF"/>
    <w:rsid w:val="00A31A11"/>
    <w:rsid w:val="00A31CA7"/>
    <w:rsid w:val="00A320DB"/>
    <w:rsid w:val="00A32E31"/>
    <w:rsid w:val="00A335F8"/>
    <w:rsid w:val="00A33661"/>
    <w:rsid w:val="00A33692"/>
    <w:rsid w:val="00A3436D"/>
    <w:rsid w:val="00A35451"/>
    <w:rsid w:val="00A354A0"/>
    <w:rsid w:val="00A3563C"/>
    <w:rsid w:val="00A35D16"/>
    <w:rsid w:val="00A35DA3"/>
    <w:rsid w:val="00A36D1C"/>
    <w:rsid w:val="00A36DBA"/>
    <w:rsid w:val="00A373E6"/>
    <w:rsid w:val="00A3776F"/>
    <w:rsid w:val="00A37BCD"/>
    <w:rsid w:val="00A40CD9"/>
    <w:rsid w:val="00A41365"/>
    <w:rsid w:val="00A41689"/>
    <w:rsid w:val="00A42058"/>
    <w:rsid w:val="00A42592"/>
    <w:rsid w:val="00A42D20"/>
    <w:rsid w:val="00A43AA1"/>
    <w:rsid w:val="00A43C59"/>
    <w:rsid w:val="00A44194"/>
    <w:rsid w:val="00A4436F"/>
    <w:rsid w:val="00A44AE6"/>
    <w:rsid w:val="00A45DFC"/>
    <w:rsid w:val="00A45FD5"/>
    <w:rsid w:val="00A46119"/>
    <w:rsid w:val="00A4783A"/>
    <w:rsid w:val="00A50452"/>
    <w:rsid w:val="00A5096D"/>
    <w:rsid w:val="00A50BD6"/>
    <w:rsid w:val="00A50ECD"/>
    <w:rsid w:val="00A515FA"/>
    <w:rsid w:val="00A518F3"/>
    <w:rsid w:val="00A51C0A"/>
    <w:rsid w:val="00A522EA"/>
    <w:rsid w:val="00A52729"/>
    <w:rsid w:val="00A52B01"/>
    <w:rsid w:val="00A52DF9"/>
    <w:rsid w:val="00A5302C"/>
    <w:rsid w:val="00A53675"/>
    <w:rsid w:val="00A53D25"/>
    <w:rsid w:val="00A5515B"/>
    <w:rsid w:val="00A55C0F"/>
    <w:rsid w:val="00A564D7"/>
    <w:rsid w:val="00A56B6A"/>
    <w:rsid w:val="00A576A4"/>
    <w:rsid w:val="00A578DC"/>
    <w:rsid w:val="00A57C00"/>
    <w:rsid w:val="00A57DC3"/>
    <w:rsid w:val="00A608DB"/>
    <w:rsid w:val="00A60AFD"/>
    <w:rsid w:val="00A6166A"/>
    <w:rsid w:val="00A61D2F"/>
    <w:rsid w:val="00A61E4A"/>
    <w:rsid w:val="00A620E8"/>
    <w:rsid w:val="00A6236E"/>
    <w:rsid w:val="00A623D4"/>
    <w:rsid w:val="00A639D8"/>
    <w:rsid w:val="00A640E2"/>
    <w:rsid w:val="00A64624"/>
    <w:rsid w:val="00A64D65"/>
    <w:rsid w:val="00A66708"/>
    <w:rsid w:val="00A66717"/>
    <w:rsid w:val="00A6725B"/>
    <w:rsid w:val="00A674DB"/>
    <w:rsid w:val="00A67634"/>
    <w:rsid w:val="00A677E7"/>
    <w:rsid w:val="00A67931"/>
    <w:rsid w:val="00A700ED"/>
    <w:rsid w:val="00A70206"/>
    <w:rsid w:val="00A70605"/>
    <w:rsid w:val="00A707E9"/>
    <w:rsid w:val="00A70D3C"/>
    <w:rsid w:val="00A715ED"/>
    <w:rsid w:val="00A73134"/>
    <w:rsid w:val="00A7365A"/>
    <w:rsid w:val="00A74534"/>
    <w:rsid w:val="00A747F2"/>
    <w:rsid w:val="00A74B5D"/>
    <w:rsid w:val="00A74FE7"/>
    <w:rsid w:val="00A75871"/>
    <w:rsid w:val="00A759C4"/>
    <w:rsid w:val="00A75E44"/>
    <w:rsid w:val="00A76001"/>
    <w:rsid w:val="00A76B67"/>
    <w:rsid w:val="00A77672"/>
    <w:rsid w:val="00A777B2"/>
    <w:rsid w:val="00A7790D"/>
    <w:rsid w:val="00A80996"/>
    <w:rsid w:val="00A8099B"/>
    <w:rsid w:val="00A80B2A"/>
    <w:rsid w:val="00A80D89"/>
    <w:rsid w:val="00A825D4"/>
    <w:rsid w:val="00A828F6"/>
    <w:rsid w:val="00A82A7B"/>
    <w:rsid w:val="00A82B73"/>
    <w:rsid w:val="00A839B4"/>
    <w:rsid w:val="00A843E1"/>
    <w:rsid w:val="00A853EE"/>
    <w:rsid w:val="00A856C3"/>
    <w:rsid w:val="00A86601"/>
    <w:rsid w:val="00A86D20"/>
    <w:rsid w:val="00A86E8B"/>
    <w:rsid w:val="00A86F6B"/>
    <w:rsid w:val="00A87164"/>
    <w:rsid w:val="00A871A9"/>
    <w:rsid w:val="00A87391"/>
    <w:rsid w:val="00A929C9"/>
    <w:rsid w:val="00A92EA0"/>
    <w:rsid w:val="00A93072"/>
    <w:rsid w:val="00A938BD"/>
    <w:rsid w:val="00A93953"/>
    <w:rsid w:val="00A93F3C"/>
    <w:rsid w:val="00A945C0"/>
    <w:rsid w:val="00A947B5"/>
    <w:rsid w:val="00A9489E"/>
    <w:rsid w:val="00A953E4"/>
    <w:rsid w:val="00A959D8"/>
    <w:rsid w:val="00A95E34"/>
    <w:rsid w:val="00A96162"/>
    <w:rsid w:val="00A97B7B"/>
    <w:rsid w:val="00AA002C"/>
    <w:rsid w:val="00AA074F"/>
    <w:rsid w:val="00AA0907"/>
    <w:rsid w:val="00AA0D49"/>
    <w:rsid w:val="00AA103F"/>
    <w:rsid w:val="00AA113D"/>
    <w:rsid w:val="00AA1B2F"/>
    <w:rsid w:val="00AA21BC"/>
    <w:rsid w:val="00AA2A3E"/>
    <w:rsid w:val="00AA4F49"/>
    <w:rsid w:val="00AA5741"/>
    <w:rsid w:val="00AA6291"/>
    <w:rsid w:val="00AA64A5"/>
    <w:rsid w:val="00AA6BD5"/>
    <w:rsid w:val="00AA6BD8"/>
    <w:rsid w:val="00AA6C7D"/>
    <w:rsid w:val="00AA6EAB"/>
    <w:rsid w:val="00AA76DC"/>
    <w:rsid w:val="00AA7C72"/>
    <w:rsid w:val="00AA7CB0"/>
    <w:rsid w:val="00AA7FD6"/>
    <w:rsid w:val="00AB042A"/>
    <w:rsid w:val="00AB04F6"/>
    <w:rsid w:val="00AB062B"/>
    <w:rsid w:val="00AB11AD"/>
    <w:rsid w:val="00AB15EA"/>
    <w:rsid w:val="00AB19EF"/>
    <w:rsid w:val="00AB240B"/>
    <w:rsid w:val="00AB2495"/>
    <w:rsid w:val="00AB2D34"/>
    <w:rsid w:val="00AB3094"/>
    <w:rsid w:val="00AB3430"/>
    <w:rsid w:val="00AB3508"/>
    <w:rsid w:val="00AB37B9"/>
    <w:rsid w:val="00AB398E"/>
    <w:rsid w:val="00AB3C73"/>
    <w:rsid w:val="00AB4456"/>
    <w:rsid w:val="00AB4536"/>
    <w:rsid w:val="00AB4AD1"/>
    <w:rsid w:val="00AB4F0F"/>
    <w:rsid w:val="00AB5E07"/>
    <w:rsid w:val="00AB60EB"/>
    <w:rsid w:val="00AB7CFA"/>
    <w:rsid w:val="00AC040C"/>
    <w:rsid w:val="00AC0AA2"/>
    <w:rsid w:val="00AC0AB2"/>
    <w:rsid w:val="00AC0C7B"/>
    <w:rsid w:val="00AC13D2"/>
    <w:rsid w:val="00AC15D8"/>
    <w:rsid w:val="00AC17E3"/>
    <w:rsid w:val="00AC299A"/>
    <w:rsid w:val="00AC5B42"/>
    <w:rsid w:val="00AC5B48"/>
    <w:rsid w:val="00AC6489"/>
    <w:rsid w:val="00AC67E1"/>
    <w:rsid w:val="00AC77FF"/>
    <w:rsid w:val="00AC789D"/>
    <w:rsid w:val="00AC7BE5"/>
    <w:rsid w:val="00AD0699"/>
    <w:rsid w:val="00AD09A2"/>
    <w:rsid w:val="00AD1450"/>
    <w:rsid w:val="00AD15E8"/>
    <w:rsid w:val="00AD22D6"/>
    <w:rsid w:val="00AD24D3"/>
    <w:rsid w:val="00AD2516"/>
    <w:rsid w:val="00AD254B"/>
    <w:rsid w:val="00AD356D"/>
    <w:rsid w:val="00AD35FD"/>
    <w:rsid w:val="00AD5FF5"/>
    <w:rsid w:val="00AD6118"/>
    <w:rsid w:val="00AD6502"/>
    <w:rsid w:val="00AD74EA"/>
    <w:rsid w:val="00AD7913"/>
    <w:rsid w:val="00AE00AC"/>
    <w:rsid w:val="00AE0695"/>
    <w:rsid w:val="00AE2E41"/>
    <w:rsid w:val="00AE3D05"/>
    <w:rsid w:val="00AE3E7E"/>
    <w:rsid w:val="00AE3E8B"/>
    <w:rsid w:val="00AE43EA"/>
    <w:rsid w:val="00AE4691"/>
    <w:rsid w:val="00AE4DFF"/>
    <w:rsid w:val="00AE5076"/>
    <w:rsid w:val="00AE5A4E"/>
    <w:rsid w:val="00AE5BE3"/>
    <w:rsid w:val="00AE5E7C"/>
    <w:rsid w:val="00AE616C"/>
    <w:rsid w:val="00AE670F"/>
    <w:rsid w:val="00AE76A2"/>
    <w:rsid w:val="00AE7B85"/>
    <w:rsid w:val="00AE7E53"/>
    <w:rsid w:val="00AF00B5"/>
    <w:rsid w:val="00AF031B"/>
    <w:rsid w:val="00AF0F5D"/>
    <w:rsid w:val="00AF11BB"/>
    <w:rsid w:val="00AF1315"/>
    <w:rsid w:val="00AF19BF"/>
    <w:rsid w:val="00AF1C02"/>
    <w:rsid w:val="00AF2511"/>
    <w:rsid w:val="00AF298E"/>
    <w:rsid w:val="00AF2DC3"/>
    <w:rsid w:val="00AF2EC7"/>
    <w:rsid w:val="00AF33E5"/>
    <w:rsid w:val="00AF3425"/>
    <w:rsid w:val="00AF39CE"/>
    <w:rsid w:val="00AF402E"/>
    <w:rsid w:val="00AF423D"/>
    <w:rsid w:val="00AF532E"/>
    <w:rsid w:val="00AF5E3F"/>
    <w:rsid w:val="00AF748C"/>
    <w:rsid w:val="00AF791F"/>
    <w:rsid w:val="00B013A9"/>
    <w:rsid w:val="00B01B32"/>
    <w:rsid w:val="00B033E5"/>
    <w:rsid w:val="00B03A63"/>
    <w:rsid w:val="00B046D6"/>
    <w:rsid w:val="00B05559"/>
    <w:rsid w:val="00B05755"/>
    <w:rsid w:val="00B06158"/>
    <w:rsid w:val="00B06649"/>
    <w:rsid w:val="00B07FBD"/>
    <w:rsid w:val="00B10760"/>
    <w:rsid w:val="00B1107F"/>
    <w:rsid w:val="00B1260B"/>
    <w:rsid w:val="00B129A4"/>
    <w:rsid w:val="00B129FD"/>
    <w:rsid w:val="00B13C29"/>
    <w:rsid w:val="00B1485C"/>
    <w:rsid w:val="00B150E1"/>
    <w:rsid w:val="00B156D7"/>
    <w:rsid w:val="00B15B4E"/>
    <w:rsid w:val="00B16378"/>
    <w:rsid w:val="00B16C04"/>
    <w:rsid w:val="00B16F4A"/>
    <w:rsid w:val="00B17429"/>
    <w:rsid w:val="00B17792"/>
    <w:rsid w:val="00B201A4"/>
    <w:rsid w:val="00B201D1"/>
    <w:rsid w:val="00B20796"/>
    <w:rsid w:val="00B21246"/>
    <w:rsid w:val="00B213A6"/>
    <w:rsid w:val="00B23534"/>
    <w:rsid w:val="00B235B0"/>
    <w:rsid w:val="00B23649"/>
    <w:rsid w:val="00B24238"/>
    <w:rsid w:val="00B243D4"/>
    <w:rsid w:val="00B244E8"/>
    <w:rsid w:val="00B24DF6"/>
    <w:rsid w:val="00B24E78"/>
    <w:rsid w:val="00B24FC5"/>
    <w:rsid w:val="00B2591A"/>
    <w:rsid w:val="00B25A70"/>
    <w:rsid w:val="00B25F51"/>
    <w:rsid w:val="00B263B9"/>
    <w:rsid w:val="00B26DE5"/>
    <w:rsid w:val="00B2742F"/>
    <w:rsid w:val="00B27A61"/>
    <w:rsid w:val="00B32241"/>
    <w:rsid w:val="00B33F02"/>
    <w:rsid w:val="00B34511"/>
    <w:rsid w:val="00B34FE2"/>
    <w:rsid w:val="00B35166"/>
    <w:rsid w:val="00B357D8"/>
    <w:rsid w:val="00B35E4D"/>
    <w:rsid w:val="00B360F4"/>
    <w:rsid w:val="00B36990"/>
    <w:rsid w:val="00B36A00"/>
    <w:rsid w:val="00B3768C"/>
    <w:rsid w:val="00B3792B"/>
    <w:rsid w:val="00B37BFC"/>
    <w:rsid w:val="00B37FA7"/>
    <w:rsid w:val="00B37FAF"/>
    <w:rsid w:val="00B40358"/>
    <w:rsid w:val="00B41614"/>
    <w:rsid w:val="00B41BEC"/>
    <w:rsid w:val="00B423AC"/>
    <w:rsid w:val="00B4270C"/>
    <w:rsid w:val="00B42851"/>
    <w:rsid w:val="00B42CA7"/>
    <w:rsid w:val="00B42F80"/>
    <w:rsid w:val="00B4344D"/>
    <w:rsid w:val="00B435CB"/>
    <w:rsid w:val="00B438C3"/>
    <w:rsid w:val="00B441B0"/>
    <w:rsid w:val="00B45287"/>
    <w:rsid w:val="00B45706"/>
    <w:rsid w:val="00B45A7B"/>
    <w:rsid w:val="00B45CCE"/>
    <w:rsid w:val="00B4658C"/>
    <w:rsid w:val="00B465EC"/>
    <w:rsid w:val="00B46621"/>
    <w:rsid w:val="00B474B1"/>
    <w:rsid w:val="00B50287"/>
    <w:rsid w:val="00B505C8"/>
    <w:rsid w:val="00B50DB8"/>
    <w:rsid w:val="00B513A9"/>
    <w:rsid w:val="00B51434"/>
    <w:rsid w:val="00B52925"/>
    <w:rsid w:val="00B52FAF"/>
    <w:rsid w:val="00B53654"/>
    <w:rsid w:val="00B5368F"/>
    <w:rsid w:val="00B53905"/>
    <w:rsid w:val="00B54566"/>
    <w:rsid w:val="00B546DB"/>
    <w:rsid w:val="00B54A2E"/>
    <w:rsid w:val="00B54B5B"/>
    <w:rsid w:val="00B54C40"/>
    <w:rsid w:val="00B551B2"/>
    <w:rsid w:val="00B5562E"/>
    <w:rsid w:val="00B55862"/>
    <w:rsid w:val="00B55BFA"/>
    <w:rsid w:val="00B55D65"/>
    <w:rsid w:val="00B56305"/>
    <w:rsid w:val="00B57000"/>
    <w:rsid w:val="00B60939"/>
    <w:rsid w:val="00B60AFD"/>
    <w:rsid w:val="00B625C2"/>
    <w:rsid w:val="00B62715"/>
    <w:rsid w:val="00B62A2C"/>
    <w:rsid w:val="00B62C21"/>
    <w:rsid w:val="00B635AF"/>
    <w:rsid w:val="00B64060"/>
    <w:rsid w:val="00B641E9"/>
    <w:rsid w:val="00B648D4"/>
    <w:rsid w:val="00B64CD9"/>
    <w:rsid w:val="00B65611"/>
    <w:rsid w:val="00B65CC0"/>
    <w:rsid w:val="00B672DC"/>
    <w:rsid w:val="00B703F3"/>
    <w:rsid w:val="00B70728"/>
    <w:rsid w:val="00B7093B"/>
    <w:rsid w:val="00B70E8E"/>
    <w:rsid w:val="00B70EEB"/>
    <w:rsid w:val="00B70FCC"/>
    <w:rsid w:val="00B7254A"/>
    <w:rsid w:val="00B751C8"/>
    <w:rsid w:val="00B75E0D"/>
    <w:rsid w:val="00B76505"/>
    <w:rsid w:val="00B76AFD"/>
    <w:rsid w:val="00B76C92"/>
    <w:rsid w:val="00B76F51"/>
    <w:rsid w:val="00B77509"/>
    <w:rsid w:val="00B77F06"/>
    <w:rsid w:val="00B80EFD"/>
    <w:rsid w:val="00B818A4"/>
    <w:rsid w:val="00B82589"/>
    <w:rsid w:val="00B83739"/>
    <w:rsid w:val="00B839A9"/>
    <w:rsid w:val="00B83F25"/>
    <w:rsid w:val="00B84117"/>
    <w:rsid w:val="00B8481E"/>
    <w:rsid w:val="00B858F0"/>
    <w:rsid w:val="00B85AA2"/>
    <w:rsid w:val="00B8649C"/>
    <w:rsid w:val="00B8695D"/>
    <w:rsid w:val="00B87F0A"/>
    <w:rsid w:val="00B901C0"/>
    <w:rsid w:val="00B91053"/>
    <w:rsid w:val="00B92075"/>
    <w:rsid w:val="00B92630"/>
    <w:rsid w:val="00B92D0B"/>
    <w:rsid w:val="00B932A8"/>
    <w:rsid w:val="00B93D44"/>
    <w:rsid w:val="00B93DEE"/>
    <w:rsid w:val="00B9407B"/>
    <w:rsid w:val="00B9429D"/>
    <w:rsid w:val="00B943D7"/>
    <w:rsid w:val="00B94945"/>
    <w:rsid w:val="00B94C04"/>
    <w:rsid w:val="00B94D76"/>
    <w:rsid w:val="00B94DD6"/>
    <w:rsid w:val="00B9672C"/>
    <w:rsid w:val="00B96868"/>
    <w:rsid w:val="00B97AA6"/>
    <w:rsid w:val="00BA14EA"/>
    <w:rsid w:val="00BA1863"/>
    <w:rsid w:val="00BA1F09"/>
    <w:rsid w:val="00BA273A"/>
    <w:rsid w:val="00BA322D"/>
    <w:rsid w:val="00BA3737"/>
    <w:rsid w:val="00BA3832"/>
    <w:rsid w:val="00BA3C0A"/>
    <w:rsid w:val="00BA4178"/>
    <w:rsid w:val="00BA41E0"/>
    <w:rsid w:val="00BA63FA"/>
    <w:rsid w:val="00BA6E24"/>
    <w:rsid w:val="00BB00B3"/>
    <w:rsid w:val="00BB0A0F"/>
    <w:rsid w:val="00BB0A56"/>
    <w:rsid w:val="00BB0BDD"/>
    <w:rsid w:val="00BB0FB4"/>
    <w:rsid w:val="00BB176C"/>
    <w:rsid w:val="00BB1F87"/>
    <w:rsid w:val="00BB2A73"/>
    <w:rsid w:val="00BB2D65"/>
    <w:rsid w:val="00BB3304"/>
    <w:rsid w:val="00BB3A45"/>
    <w:rsid w:val="00BB44D4"/>
    <w:rsid w:val="00BB49FE"/>
    <w:rsid w:val="00BB4ACC"/>
    <w:rsid w:val="00BB5341"/>
    <w:rsid w:val="00BB5CB5"/>
    <w:rsid w:val="00BB63CB"/>
    <w:rsid w:val="00BB6DA4"/>
    <w:rsid w:val="00BB703E"/>
    <w:rsid w:val="00BB7284"/>
    <w:rsid w:val="00BB732D"/>
    <w:rsid w:val="00BB73CF"/>
    <w:rsid w:val="00BB7405"/>
    <w:rsid w:val="00BC0ABA"/>
    <w:rsid w:val="00BC3071"/>
    <w:rsid w:val="00BC3631"/>
    <w:rsid w:val="00BC4554"/>
    <w:rsid w:val="00BC4F90"/>
    <w:rsid w:val="00BC53CF"/>
    <w:rsid w:val="00BC591F"/>
    <w:rsid w:val="00BC6B6A"/>
    <w:rsid w:val="00BC6C3B"/>
    <w:rsid w:val="00BC7D6D"/>
    <w:rsid w:val="00BD1C28"/>
    <w:rsid w:val="00BD2108"/>
    <w:rsid w:val="00BD2123"/>
    <w:rsid w:val="00BD270F"/>
    <w:rsid w:val="00BD302A"/>
    <w:rsid w:val="00BD394F"/>
    <w:rsid w:val="00BD3D05"/>
    <w:rsid w:val="00BD5D30"/>
    <w:rsid w:val="00BD649D"/>
    <w:rsid w:val="00BD68A3"/>
    <w:rsid w:val="00BD6938"/>
    <w:rsid w:val="00BD6CF3"/>
    <w:rsid w:val="00BD6DD2"/>
    <w:rsid w:val="00BD7182"/>
    <w:rsid w:val="00BD7720"/>
    <w:rsid w:val="00BD79F5"/>
    <w:rsid w:val="00BD7F72"/>
    <w:rsid w:val="00BE0163"/>
    <w:rsid w:val="00BE0346"/>
    <w:rsid w:val="00BE0640"/>
    <w:rsid w:val="00BE0ECA"/>
    <w:rsid w:val="00BE1AB9"/>
    <w:rsid w:val="00BE2180"/>
    <w:rsid w:val="00BE21F2"/>
    <w:rsid w:val="00BE29DA"/>
    <w:rsid w:val="00BE304E"/>
    <w:rsid w:val="00BE344B"/>
    <w:rsid w:val="00BE4275"/>
    <w:rsid w:val="00BE5938"/>
    <w:rsid w:val="00BE6537"/>
    <w:rsid w:val="00BE6A49"/>
    <w:rsid w:val="00BE6E80"/>
    <w:rsid w:val="00BF003D"/>
    <w:rsid w:val="00BF013A"/>
    <w:rsid w:val="00BF02A4"/>
    <w:rsid w:val="00BF06AE"/>
    <w:rsid w:val="00BF0F34"/>
    <w:rsid w:val="00BF0F95"/>
    <w:rsid w:val="00BF1A90"/>
    <w:rsid w:val="00BF2433"/>
    <w:rsid w:val="00BF2555"/>
    <w:rsid w:val="00BF2E6E"/>
    <w:rsid w:val="00BF2FDA"/>
    <w:rsid w:val="00BF32E6"/>
    <w:rsid w:val="00BF3A4F"/>
    <w:rsid w:val="00BF4377"/>
    <w:rsid w:val="00BF4492"/>
    <w:rsid w:val="00BF4E53"/>
    <w:rsid w:val="00BF554D"/>
    <w:rsid w:val="00BF61C9"/>
    <w:rsid w:val="00BF6857"/>
    <w:rsid w:val="00BF6C94"/>
    <w:rsid w:val="00BF6CC3"/>
    <w:rsid w:val="00BF7AA9"/>
    <w:rsid w:val="00C00424"/>
    <w:rsid w:val="00C00821"/>
    <w:rsid w:val="00C00BB0"/>
    <w:rsid w:val="00C013EB"/>
    <w:rsid w:val="00C01743"/>
    <w:rsid w:val="00C02E17"/>
    <w:rsid w:val="00C031CE"/>
    <w:rsid w:val="00C03DDB"/>
    <w:rsid w:val="00C04860"/>
    <w:rsid w:val="00C063C5"/>
    <w:rsid w:val="00C0655C"/>
    <w:rsid w:val="00C06822"/>
    <w:rsid w:val="00C07F36"/>
    <w:rsid w:val="00C10A32"/>
    <w:rsid w:val="00C10F3E"/>
    <w:rsid w:val="00C1105E"/>
    <w:rsid w:val="00C1179F"/>
    <w:rsid w:val="00C127B9"/>
    <w:rsid w:val="00C128FA"/>
    <w:rsid w:val="00C12C14"/>
    <w:rsid w:val="00C12FA6"/>
    <w:rsid w:val="00C14FF1"/>
    <w:rsid w:val="00C152F3"/>
    <w:rsid w:val="00C156E5"/>
    <w:rsid w:val="00C158DD"/>
    <w:rsid w:val="00C15F04"/>
    <w:rsid w:val="00C1711A"/>
    <w:rsid w:val="00C17323"/>
    <w:rsid w:val="00C177B3"/>
    <w:rsid w:val="00C179B3"/>
    <w:rsid w:val="00C17E3F"/>
    <w:rsid w:val="00C200AA"/>
    <w:rsid w:val="00C20959"/>
    <w:rsid w:val="00C212A6"/>
    <w:rsid w:val="00C21917"/>
    <w:rsid w:val="00C21956"/>
    <w:rsid w:val="00C22005"/>
    <w:rsid w:val="00C2205D"/>
    <w:rsid w:val="00C224D3"/>
    <w:rsid w:val="00C22E8C"/>
    <w:rsid w:val="00C23223"/>
    <w:rsid w:val="00C23571"/>
    <w:rsid w:val="00C237ED"/>
    <w:rsid w:val="00C23E24"/>
    <w:rsid w:val="00C241DB"/>
    <w:rsid w:val="00C24344"/>
    <w:rsid w:val="00C24632"/>
    <w:rsid w:val="00C246BC"/>
    <w:rsid w:val="00C247AF"/>
    <w:rsid w:val="00C24945"/>
    <w:rsid w:val="00C24A50"/>
    <w:rsid w:val="00C24C15"/>
    <w:rsid w:val="00C25418"/>
    <w:rsid w:val="00C25C7C"/>
    <w:rsid w:val="00C25D9C"/>
    <w:rsid w:val="00C2609F"/>
    <w:rsid w:val="00C26122"/>
    <w:rsid w:val="00C268AC"/>
    <w:rsid w:val="00C2778B"/>
    <w:rsid w:val="00C27A18"/>
    <w:rsid w:val="00C3005D"/>
    <w:rsid w:val="00C309A1"/>
    <w:rsid w:val="00C31649"/>
    <w:rsid w:val="00C31764"/>
    <w:rsid w:val="00C31F5C"/>
    <w:rsid w:val="00C31FBC"/>
    <w:rsid w:val="00C32167"/>
    <w:rsid w:val="00C32760"/>
    <w:rsid w:val="00C32BD7"/>
    <w:rsid w:val="00C335FE"/>
    <w:rsid w:val="00C336B3"/>
    <w:rsid w:val="00C33EE1"/>
    <w:rsid w:val="00C3434C"/>
    <w:rsid w:val="00C34C12"/>
    <w:rsid w:val="00C34D4B"/>
    <w:rsid w:val="00C35498"/>
    <w:rsid w:val="00C355D7"/>
    <w:rsid w:val="00C3680F"/>
    <w:rsid w:val="00C36D2B"/>
    <w:rsid w:val="00C37DF5"/>
    <w:rsid w:val="00C40385"/>
    <w:rsid w:val="00C41768"/>
    <w:rsid w:val="00C41A87"/>
    <w:rsid w:val="00C42173"/>
    <w:rsid w:val="00C42585"/>
    <w:rsid w:val="00C435A1"/>
    <w:rsid w:val="00C43E83"/>
    <w:rsid w:val="00C4427B"/>
    <w:rsid w:val="00C442A3"/>
    <w:rsid w:val="00C442A8"/>
    <w:rsid w:val="00C45DF8"/>
    <w:rsid w:val="00C46041"/>
    <w:rsid w:val="00C46313"/>
    <w:rsid w:val="00C474F5"/>
    <w:rsid w:val="00C475AA"/>
    <w:rsid w:val="00C477D6"/>
    <w:rsid w:val="00C5026B"/>
    <w:rsid w:val="00C51759"/>
    <w:rsid w:val="00C51C37"/>
    <w:rsid w:val="00C5242C"/>
    <w:rsid w:val="00C527C7"/>
    <w:rsid w:val="00C52D2C"/>
    <w:rsid w:val="00C53C98"/>
    <w:rsid w:val="00C54496"/>
    <w:rsid w:val="00C54613"/>
    <w:rsid w:val="00C55BAD"/>
    <w:rsid w:val="00C56FCF"/>
    <w:rsid w:val="00C572F6"/>
    <w:rsid w:val="00C574D8"/>
    <w:rsid w:val="00C57525"/>
    <w:rsid w:val="00C57B6C"/>
    <w:rsid w:val="00C60741"/>
    <w:rsid w:val="00C60CB5"/>
    <w:rsid w:val="00C61354"/>
    <w:rsid w:val="00C6144C"/>
    <w:rsid w:val="00C61879"/>
    <w:rsid w:val="00C61A59"/>
    <w:rsid w:val="00C628A6"/>
    <w:rsid w:val="00C62AF9"/>
    <w:rsid w:val="00C62CC9"/>
    <w:rsid w:val="00C63426"/>
    <w:rsid w:val="00C63480"/>
    <w:rsid w:val="00C636EF"/>
    <w:rsid w:val="00C64344"/>
    <w:rsid w:val="00C65108"/>
    <w:rsid w:val="00C65576"/>
    <w:rsid w:val="00C65B82"/>
    <w:rsid w:val="00C66165"/>
    <w:rsid w:val="00C668A6"/>
    <w:rsid w:val="00C6791E"/>
    <w:rsid w:val="00C67941"/>
    <w:rsid w:val="00C67C6D"/>
    <w:rsid w:val="00C67DF8"/>
    <w:rsid w:val="00C67F64"/>
    <w:rsid w:val="00C7060A"/>
    <w:rsid w:val="00C7093B"/>
    <w:rsid w:val="00C7151A"/>
    <w:rsid w:val="00C716B5"/>
    <w:rsid w:val="00C717E3"/>
    <w:rsid w:val="00C71C34"/>
    <w:rsid w:val="00C71F60"/>
    <w:rsid w:val="00C72241"/>
    <w:rsid w:val="00C73200"/>
    <w:rsid w:val="00C73893"/>
    <w:rsid w:val="00C750C8"/>
    <w:rsid w:val="00C75549"/>
    <w:rsid w:val="00C7560F"/>
    <w:rsid w:val="00C75D9A"/>
    <w:rsid w:val="00C75DC9"/>
    <w:rsid w:val="00C76149"/>
    <w:rsid w:val="00C76570"/>
    <w:rsid w:val="00C7712D"/>
    <w:rsid w:val="00C77412"/>
    <w:rsid w:val="00C775DC"/>
    <w:rsid w:val="00C77D28"/>
    <w:rsid w:val="00C8082B"/>
    <w:rsid w:val="00C80A0E"/>
    <w:rsid w:val="00C8213F"/>
    <w:rsid w:val="00C8302C"/>
    <w:rsid w:val="00C8303F"/>
    <w:rsid w:val="00C83C6A"/>
    <w:rsid w:val="00C83C6B"/>
    <w:rsid w:val="00C85154"/>
    <w:rsid w:val="00C85319"/>
    <w:rsid w:val="00C855FC"/>
    <w:rsid w:val="00C85A70"/>
    <w:rsid w:val="00C85F2B"/>
    <w:rsid w:val="00C8604E"/>
    <w:rsid w:val="00C86DF4"/>
    <w:rsid w:val="00C87792"/>
    <w:rsid w:val="00C8797A"/>
    <w:rsid w:val="00C900B8"/>
    <w:rsid w:val="00C90197"/>
    <w:rsid w:val="00C90C71"/>
    <w:rsid w:val="00C90CA4"/>
    <w:rsid w:val="00C918E7"/>
    <w:rsid w:val="00C91FD1"/>
    <w:rsid w:val="00C92951"/>
    <w:rsid w:val="00C931CF"/>
    <w:rsid w:val="00C938CF"/>
    <w:rsid w:val="00C94053"/>
    <w:rsid w:val="00C945E7"/>
    <w:rsid w:val="00C95200"/>
    <w:rsid w:val="00C9624D"/>
    <w:rsid w:val="00C9694D"/>
    <w:rsid w:val="00C969DA"/>
    <w:rsid w:val="00C96EF9"/>
    <w:rsid w:val="00CA0197"/>
    <w:rsid w:val="00CA0938"/>
    <w:rsid w:val="00CA11CD"/>
    <w:rsid w:val="00CA2153"/>
    <w:rsid w:val="00CA2C77"/>
    <w:rsid w:val="00CA2C7B"/>
    <w:rsid w:val="00CA329E"/>
    <w:rsid w:val="00CA33F2"/>
    <w:rsid w:val="00CA444F"/>
    <w:rsid w:val="00CA4B72"/>
    <w:rsid w:val="00CA4BF3"/>
    <w:rsid w:val="00CA4E33"/>
    <w:rsid w:val="00CA5245"/>
    <w:rsid w:val="00CA5B69"/>
    <w:rsid w:val="00CA6513"/>
    <w:rsid w:val="00CA69B3"/>
    <w:rsid w:val="00CA71F4"/>
    <w:rsid w:val="00CA7AF6"/>
    <w:rsid w:val="00CA7B09"/>
    <w:rsid w:val="00CA7B59"/>
    <w:rsid w:val="00CA7BD5"/>
    <w:rsid w:val="00CB011C"/>
    <w:rsid w:val="00CB0DAD"/>
    <w:rsid w:val="00CB12A5"/>
    <w:rsid w:val="00CB13A4"/>
    <w:rsid w:val="00CB16AD"/>
    <w:rsid w:val="00CB1C44"/>
    <w:rsid w:val="00CB1CAC"/>
    <w:rsid w:val="00CB2F2A"/>
    <w:rsid w:val="00CB37DF"/>
    <w:rsid w:val="00CB3AE0"/>
    <w:rsid w:val="00CB4CFB"/>
    <w:rsid w:val="00CB52C0"/>
    <w:rsid w:val="00CB5A60"/>
    <w:rsid w:val="00CB5B1A"/>
    <w:rsid w:val="00CB5CE2"/>
    <w:rsid w:val="00CB5E27"/>
    <w:rsid w:val="00CB6384"/>
    <w:rsid w:val="00CB6B22"/>
    <w:rsid w:val="00CB6EA3"/>
    <w:rsid w:val="00CB7B26"/>
    <w:rsid w:val="00CB7F5F"/>
    <w:rsid w:val="00CC0CC7"/>
    <w:rsid w:val="00CC0EE0"/>
    <w:rsid w:val="00CC14BA"/>
    <w:rsid w:val="00CC1B39"/>
    <w:rsid w:val="00CC1BFA"/>
    <w:rsid w:val="00CC20E8"/>
    <w:rsid w:val="00CC2E9F"/>
    <w:rsid w:val="00CC34DC"/>
    <w:rsid w:val="00CC35EA"/>
    <w:rsid w:val="00CC3848"/>
    <w:rsid w:val="00CC3FB8"/>
    <w:rsid w:val="00CC44CC"/>
    <w:rsid w:val="00CC61DD"/>
    <w:rsid w:val="00CC6D5E"/>
    <w:rsid w:val="00CC73EF"/>
    <w:rsid w:val="00CC749C"/>
    <w:rsid w:val="00CC783A"/>
    <w:rsid w:val="00CC7AB2"/>
    <w:rsid w:val="00CC7C7D"/>
    <w:rsid w:val="00CD0200"/>
    <w:rsid w:val="00CD02BD"/>
    <w:rsid w:val="00CD21EB"/>
    <w:rsid w:val="00CD3A10"/>
    <w:rsid w:val="00CD3F77"/>
    <w:rsid w:val="00CD4A3B"/>
    <w:rsid w:val="00CD502B"/>
    <w:rsid w:val="00CD5718"/>
    <w:rsid w:val="00CD6172"/>
    <w:rsid w:val="00CD6ADC"/>
    <w:rsid w:val="00CD7193"/>
    <w:rsid w:val="00CE0ED2"/>
    <w:rsid w:val="00CE1B99"/>
    <w:rsid w:val="00CE20DE"/>
    <w:rsid w:val="00CE331E"/>
    <w:rsid w:val="00CE38C8"/>
    <w:rsid w:val="00CE42EF"/>
    <w:rsid w:val="00CE4605"/>
    <w:rsid w:val="00CE4AF3"/>
    <w:rsid w:val="00CE4E0E"/>
    <w:rsid w:val="00CE524F"/>
    <w:rsid w:val="00CE58CC"/>
    <w:rsid w:val="00CE6274"/>
    <w:rsid w:val="00CE77B6"/>
    <w:rsid w:val="00CF0322"/>
    <w:rsid w:val="00CF19F2"/>
    <w:rsid w:val="00CF2B8D"/>
    <w:rsid w:val="00CF34E9"/>
    <w:rsid w:val="00CF372C"/>
    <w:rsid w:val="00CF3A1B"/>
    <w:rsid w:val="00CF42A5"/>
    <w:rsid w:val="00CF456B"/>
    <w:rsid w:val="00CF4F80"/>
    <w:rsid w:val="00CF5000"/>
    <w:rsid w:val="00CF513E"/>
    <w:rsid w:val="00CF5A22"/>
    <w:rsid w:val="00CF605B"/>
    <w:rsid w:val="00CF754A"/>
    <w:rsid w:val="00D0262E"/>
    <w:rsid w:val="00D02A8A"/>
    <w:rsid w:val="00D033E3"/>
    <w:rsid w:val="00D03679"/>
    <w:rsid w:val="00D056F4"/>
    <w:rsid w:val="00D05E3D"/>
    <w:rsid w:val="00D06139"/>
    <w:rsid w:val="00D0682E"/>
    <w:rsid w:val="00D06A7A"/>
    <w:rsid w:val="00D07283"/>
    <w:rsid w:val="00D103D0"/>
    <w:rsid w:val="00D110BD"/>
    <w:rsid w:val="00D123A0"/>
    <w:rsid w:val="00D125C4"/>
    <w:rsid w:val="00D13675"/>
    <w:rsid w:val="00D13D2D"/>
    <w:rsid w:val="00D141E1"/>
    <w:rsid w:val="00D14E7D"/>
    <w:rsid w:val="00D15003"/>
    <w:rsid w:val="00D15314"/>
    <w:rsid w:val="00D15AA9"/>
    <w:rsid w:val="00D15AEC"/>
    <w:rsid w:val="00D15B48"/>
    <w:rsid w:val="00D162FD"/>
    <w:rsid w:val="00D16739"/>
    <w:rsid w:val="00D16D64"/>
    <w:rsid w:val="00D16E63"/>
    <w:rsid w:val="00D173A4"/>
    <w:rsid w:val="00D17D6C"/>
    <w:rsid w:val="00D20722"/>
    <w:rsid w:val="00D2155B"/>
    <w:rsid w:val="00D216E3"/>
    <w:rsid w:val="00D2205A"/>
    <w:rsid w:val="00D22AEC"/>
    <w:rsid w:val="00D2347B"/>
    <w:rsid w:val="00D23D11"/>
    <w:rsid w:val="00D240E6"/>
    <w:rsid w:val="00D240F5"/>
    <w:rsid w:val="00D244B6"/>
    <w:rsid w:val="00D2471B"/>
    <w:rsid w:val="00D24B8C"/>
    <w:rsid w:val="00D2608B"/>
    <w:rsid w:val="00D2754D"/>
    <w:rsid w:val="00D27574"/>
    <w:rsid w:val="00D27B27"/>
    <w:rsid w:val="00D27F05"/>
    <w:rsid w:val="00D30343"/>
    <w:rsid w:val="00D30BEE"/>
    <w:rsid w:val="00D30D5B"/>
    <w:rsid w:val="00D315FE"/>
    <w:rsid w:val="00D32EC0"/>
    <w:rsid w:val="00D33440"/>
    <w:rsid w:val="00D33BE9"/>
    <w:rsid w:val="00D33F93"/>
    <w:rsid w:val="00D357FF"/>
    <w:rsid w:val="00D3681A"/>
    <w:rsid w:val="00D36A9F"/>
    <w:rsid w:val="00D36ED6"/>
    <w:rsid w:val="00D37333"/>
    <w:rsid w:val="00D379FF"/>
    <w:rsid w:val="00D37FD4"/>
    <w:rsid w:val="00D41A09"/>
    <w:rsid w:val="00D424C7"/>
    <w:rsid w:val="00D428E5"/>
    <w:rsid w:val="00D42C1B"/>
    <w:rsid w:val="00D42D1C"/>
    <w:rsid w:val="00D43B2A"/>
    <w:rsid w:val="00D43CF1"/>
    <w:rsid w:val="00D43D83"/>
    <w:rsid w:val="00D47575"/>
    <w:rsid w:val="00D47759"/>
    <w:rsid w:val="00D5111E"/>
    <w:rsid w:val="00D51853"/>
    <w:rsid w:val="00D51B1F"/>
    <w:rsid w:val="00D521F0"/>
    <w:rsid w:val="00D52205"/>
    <w:rsid w:val="00D5243B"/>
    <w:rsid w:val="00D5298D"/>
    <w:rsid w:val="00D52E7E"/>
    <w:rsid w:val="00D533EC"/>
    <w:rsid w:val="00D53AF0"/>
    <w:rsid w:val="00D53D5D"/>
    <w:rsid w:val="00D54805"/>
    <w:rsid w:val="00D56A95"/>
    <w:rsid w:val="00D57992"/>
    <w:rsid w:val="00D57B17"/>
    <w:rsid w:val="00D57BF8"/>
    <w:rsid w:val="00D6076E"/>
    <w:rsid w:val="00D60AD8"/>
    <w:rsid w:val="00D61B0F"/>
    <w:rsid w:val="00D6203E"/>
    <w:rsid w:val="00D624A1"/>
    <w:rsid w:val="00D6353F"/>
    <w:rsid w:val="00D64176"/>
    <w:rsid w:val="00D64595"/>
    <w:rsid w:val="00D67A19"/>
    <w:rsid w:val="00D67CC6"/>
    <w:rsid w:val="00D70495"/>
    <w:rsid w:val="00D70784"/>
    <w:rsid w:val="00D70F16"/>
    <w:rsid w:val="00D71105"/>
    <w:rsid w:val="00D72617"/>
    <w:rsid w:val="00D72BDF"/>
    <w:rsid w:val="00D72F57"/>
    <w:rsid w:val="00D7385D"/>
    <w:rsid w:val="00D73A41"/>
    <w:rsid w:val="00D73F7F"/>
    <w:rsid w:val="00D73F9F"/>
    <w:rsid w:val="00D76A44"/>
    <w:rsid w:val="00D77502"/>
    <w:rsid w:val="00D7770A"/>
    <w:rsid w:val="00D77ECA"/>
    <w:rsid w:val="00D815EF"/>
    <w:rsid w:val="00D81949"/>
    <w:rsid w:val="00D81F26"/>
    <w:rsid w:val="00D822E2"/>
    <w:rsid w:val="00D83230"/>
    <w:rsid w:val="00D83272"/>
    <w:rsid w:val="00D83805"/>
    <w:rsid w:val="00D843F2"/>
    <w:rsid w:val="00D856A3"/>
    <w:rsid w:val="00D85AEF"/>
    <w:rsid w:val="00D86055"/>
    <w:rsid w:val="00D86231"/>
    <w:rsid w:val="00D86374"/>
    <w:rsid w:val="00D869AE"/>
    <w:rsid w:val="00D86C60"/>
    <w:rsid w:val="00D87BD6"/>
    <w:rsid w:val="00D9055D"/>
    <w:rsid w:val="00D906B0"/>
    <w:rsid w:val="00D912AB"/>
    <w:rsid w:val="00D91923"/>
    <w:rsid w:val="00D91A5E"/>
    <w:rsid w:val="00D91DE9"/>
    <w:rsid w:val="00D91F35"/>
    <w:rsid w:val="00D92D9D"/>
    <w:rsid w:val="00D93753"/>
    <w:rsid w:val="00D942F5"/>
    <w:rsid w:val="00D943AE"/>
    <w:rsid w:val="00D94EFE"/>
    <w:rsid w:val="00D95664"/>
    <w:rsid w:val="00D95A9B"/>
    <w:rsid w:val="00D95D05"/>
    <w:rsid w:val="00D96AA2"/>
    <w:rsid w:val="00DA0FB1"/>
    <w:rsid w:val="00DA12B2"/>
    <w:rsid w:val="00DA1E27"/>
    <w:rsid w:val="00DA2E63"/>
    <w:rsid w:val="00DA2E9B"/>
    <w:rsid w:val="00DA3167"/>
    <w:rsid w:val="00DA34FC"/>
    <w:rsid w:val="00DA416B"/>
    <w:rsid w:val="00DA49F0"/>
    <w:rsid w:val="00DA4BB2"/>
    <w:rsid w:val="00DA4DC3"/>
    <w:rsid w:val="00DA56DB"/>
    <w:rsid w:val="00DA67E2"/>
    <w:rsid w:val="00DA76EB"/>
    <w:rsid w:val="00DA7717"/>
    <w:rsid w:val="00DA77A5"/>
    <w:rsid w:val="00DB00E3"/>
    <w:rsid w:val="00DB064D"/>
    <w:rsid w:val="00DB0DF1"/>
    <w:rsid w:val="00DB0E36"/>
    <w:rsid w:val="00DB1CFD"/>
    <w:rsid w:val="00DB2723"/>
    <w:rsid w:val="00DB27E3"/>
    <w:rsid w:val="00DB3DBF"/>
    <w:rsid w:val="00DB484F"/>
    <w:rsid w:val="00DB6158"/>
    <w:rsid w:val="00DB7B28"/>
    <w:rsid w:val="00DC04F6"/>
    <w:rsid w:val="00DC0690"/>
    <w:rsid w:val="00DC12CD"/>
    <w:rsid w:val="00DC1939"/>
    <w:rsid w:val="00DC19B0"/>
    <w:rsid w:val="00DC1D65"/>
    <w:rsid w:val="00DC2E96"/>
    <w:rsid w:val="00DC3C57"/>
    <w:rsid w:val="00DC3C7C"/>
    <w:rsid w:val="00DC4255"/>
    <w:rsid w:val="00DC449D"/>
    <w:rsid w:val="00DC45EB"/>
    <w:rsid w:val="00DC4D85"/>
    <w:rsid w:val="00DC4F1B"/>
    <w:rsid w:val="00DC5501"/>
    <w:rsid w:val="00DC5DE4"/>
    <w:rsid w:val="00DC62F5"/>
    <w:rsid w:val="00DC6C25"/>
    <w:rsid w:val="00DC6EF0"/>
    <w:rsid w:val="00DC7154"/>
    <w:rsid w:val="00DC7E8A"/>
    <w:rsid w:val="00DD09F6"/>
    <w:rsid w:val="00DD0F78"/>
    <w:rsid w:val="00DD0FEB"/>
    <w:rsid w:val="00DD273C"/>
    <w:rsid w:val="00DD3A1F"/>
    <w:rsid w:val="00DD3F28"/>
    <w:rsid w:val="00DD4446"/>
    <w:rsid w:val="00DD4537"/>
    <w:rsid w:val="00DD47DB"/>
    <w:rsid w:val="00DD4E15"/>
    <w:rsid w:val="00DD50BE"/>
    <w:rsid w:val="00DD58CF"/>
    <w:rsid w:val="00DD5D37"/>
    <w:rsid w:val="00DD6952"/>
    <w:rsid w:val="00DD7256"/>
    <w:rsid w:val="00DD771E"/>
    <w:rsid w:val="00DD7A59"/>
    <w:rsid w:val="00DE0E27"/>
    <w:rsid w:val="00DE2304"/>
    <w:rsid w:val="00DE2551"/>
    <w:rsid w:val="00DE2977"/>
    <w:rsid w:val="00DE2C70"/>
    <w:rsid w:val="00DE3138"/>
    <w:rsid w:val="00DE334F"/>
    <w:rsid w:val="00DE37F8"/>
    <w:rsid w:val="00DE38FF"/>
    <w:rsid w:val="00DE4273"/>
    <w:rsid w:val="00DE4434"/>
    <w:rsid w:val="00DE4FCB"/>
    <w:rsid w:val="00DE586C"/>
    <w:rsid w:val="00DE5B4E"/>
    <w:rsid w:val="00DE5D07"/>
    <w:rsid w:val="00DE64E8"/>
    <w:rsid w:val="00DE72A7"/>
    <w:rsid w:val="00DE73DC"/>
    <w:rsid w:val="00DE7832"/>
    <w:rsid w:val="00DE7B04"/>
    <w:rsid w:val="00DF067D"/>
    <w:rsid w:val="00DF18B5"/>
    <w:rsid w:val="00DF18FC"/>
    <w:rsid w:val="00DF201C"/>
    <w:rsid w:val="00DF472F"/>
    <w:rsid w:val="00DF473F"/>
    <w:rsid w:val="00DF4D4F"/>
    <w:rsid w:val="00DF5622"/>
    <w:rsid w:val="00DF5D2B"/>
    <w:rsid w:val="00DF6341"/>
    <w:rsid w:val="00DF69AF"/>
    <w:rsid w:val="00DF6E01"/>
    <w:rsid w:val="00DF6E34"/>
    <w:rsid w:val="00DF6E66"/>
    <w:rsid w:val="00DF6EA4"/>
    <w:rsid w:val="00DF6FAA"/>
    <w:rsid w:val="00DF73B3"/>
    <w:rsid w:val="00E0065D"/>
    <w:rsid w:val="00E00A22"/>
    <w:rsid w:val="00E00E8E"/>
    <w:rsid w:val="00E018DE"/>
    <w:rsid w:val="00E030C3"/>
    <w:rsid w:val="00E0427E"/>
    <w:rsid w:val="00E044EB"/>
    <w:rsid w:val="00E0551C"/>
    <w:rsid w:val="00E05630"/>
    <w:rsid w:val="00E056C5"/>
    <w:rsid w:val="00E064CC"/>
    <w:rsid w:val="00E06DBB"/>
    <w:rsid w:val="00E07571"/>
    <w:rsid w:val="00E10149"/>
    <w:rsid w:val="00E10516"/>
    <w:rsid w:val="00E10998"/>
    <w:rsid w:val="00E10FAB"/>
    <w:rsid w:val="00E110EB"/>
    <w:rsid w:val="00E11340"/>
    <w:rsid w:val="00E12244"/>
    <w:rsid w:val="00E122A1"/>
    <w:rsid w:val="00E1274F"/>
    <w:rsid w:val="00E13922"/>
    <w:rsid w:val="00E14A6D"/>
    <w:rsid w:val="00E1554B"/>
    <w:rsid w:val="00E157F4"/>
    <w:rsid w:val="00E16372"/>
    <w:rsid w:val="00E165F5"/>
    <w:rsid w:val="00E169F2"/>
    <w:rsid w:val="00E16AD8"/>
    <w:rsid w:val="00E17786"/>
    <w:rsid w:val="00E17A54"/>
    <w:rsid w:val="00E17FFA"/>
    <w:rsid w:val="00E20460"/>
    <w:rsid w:val="00E20E4D"/>
    <w:rsid w:val="00E20ED6"/>
    <w:rsid w:val="00E21358"/>
    <w:rsid w:val="00E21EF3"/>
    <w:rsid w:val="00E2249B"/>
    <w:rsid w:val="00E22A0D"/>
    <w:rsid w:val="00E23779"/>
    <w:rsid w:val="00E244F6"/>
    <w:rsid w:val="00E24B8C"/>
    <w:rsid w:val="00E258DB"/>
    <w:rsid w:val="00E25EAB"/>
    <w:rsid w:val="00E26F72"/>
    <w:rsid w:val="00E2771E"/>
    <w:rsid w:val="00E307F8"/>
    <w:rsid w:val="00E311EF"/>
    <w:rsid w:val="00E32180"/>
    <w:rsid w:val="00E3228E"/>
    <w:rsid w:val="00E34221"/>
    <w:rsid w:val="00E34948"/>
    <w:rsid w:val="00E3509D"/>
    <w:rsid w:val="00E36736"/>
    <w:rsid w:val="00E36E28"/>
    <w:rsid w:val="00E37226"/>
    <w:rsid w:val="00E372E9"/>
    <w:rsid w:val="00E3731C"/>
    <w:rsid w:val="00E37569"/>
    <w:rsid w:val="00E401B2"/>
    <w:rsid w:val="00E4057E"/>
    <w:rsid w:val="00E405C4"/>
    <w:rsid w:val="00E40AB4"/>
    <w:rsid w:val="00E40B1E"/>
    <w:rsid w:val="00E40DD2"/>
    <w:rsid w:val="00E410B5"/>
    <w:rsid w:val="00E41842"/>
    <w:rsid w:val="00E41AA9"/>
    <w:rsid w:val="00E41CAB"/>
    <w:rsid w:val="00E41E30"/>
    <w:rsid w:val="00E42874"/>
    <w:rsid w:val="00E42F73"/>
    <w:rsid w:val="00E43C7F"/>
    <w:rsid w:val="00E43D70"/>
    <w:rsid w:val="00E44EED"/>
    <w:rsid w:val="00E45D9D"/>
    <w:rsid w:val="00E45E82"/>
    <w:rsid w:val="00E46288"/>
    <w:rsid w:val="00E466F3"/>
    <w:rsid w:val="00E47B2C"/>
    <w:rsid w:val="00E5046D"/>
    <w:rsid w:val="00E51560"/>
    <w:rsid w:val="00E51821"/>
    <w:rsid w:val="00E51A9F"/>
    <w:rsid w:val="00E52DBB"/>
    <w:rsid w:val="00E53FC8"/>
    <w:rsid w:val="00E5421A"/>
    <w:rsid w:val="00E54347"/>
    <w:rsid w:val="00E54C13"/>
    <w:rsid w:val="00E55424"/>
    <w:rsid w:val="00E5570A"/>
    <w:rsid w:val="00E55915"/>
    <w:rsid w:val="00E55A18"/>
    <w:rsid w:val="00E55BB5"/>
    <w:rsid w:val="00E55F43"/>
    <w:rsid w:val="00E57321"/>
    <w:rsid w:val="00E57AAB"/>
    <w:rsid w:val="00E6036E"/>
    <w:rsid w:val="00E60C60"/>
    <w:rsid w:val="00E611DF"/>
    <w:rsid w:val="00E62043"/>
    <w:rsid w:val="00E6250C"/>
    <w:rsid w:val="00E629DA"/>
    <w:rsid w:val="00E63426"/>
    <w:rsid w:val="00E6392A"/>
    <w:rsid w:val="00E639FD"/>
    <w:rsid w:val="00E63B6B"/>
    <w:rsid w:val="00E6421F"/>
    <w:rsid w:val="00E64A8C"/>
    <w:rsid w:val="00E65E79"/>
    <w:rsid w:val="00E66195"/>
    <w:rsid w:val="00E66BA2"/>
    <w:rsid w:val="00E6724E"/>
    <w:rsid w:val="00E67416"/>
    <w:rsid w:val="00E67691"/>
    <w:rsid w:val="00E67B7E"/>
    <w:rsid w:val="00E7165D"/>
    <w:rsid w:val="00E718B6"/>
    <w:rsid w:val="00E71FD3"/>
    <w:rsid w:val="00E721F2"/>
    <w:rsid w:val="00E723BA"/>
    <w:rsid w:val="00E72749"/>
    <w:rsid w:val="00E727E5"/>
    <w:rsid w:val="00E73581"/>
    <w:rsid w:val="00E73621"/>
    <w:rsid w:val="00E7377F"/>
    <w:rsid w:val="00E73C1A"/>
    <w:rsid w:val="00E746BE"/>
    <w:rsid w:val="00E7576A"/>
    <w:rsid w:val="00E77039"/>
    <w:rsid w:val="00E7720C"/>
    <w:rsid w:val="00E8044F"/>
    <w:rsid w:val="00E81DBB"/>
    <w:rsid w:val="00E8200C"/>
    <w:rsid w:val="00E8246D"/>
    <w:rsid w:val="00E828C9"/>
    <w:rsid w:val="00E829E5"/>
    <w:rsid w:val="00E82A31"/>
    <w:rsid w:val="00E82A37"/>
    <w:rsid w:val="00E833F7"/>
    <w:rsid w:val="00E8377E"/>
    <w:rsid w:val="00E83839"/>
    <w:rsid w:val="00E83BDF"/>
    <w:rsid w:val="00E84180"/>
    <w:rsid w:val="00E8587A"/>
    <w:rsid w:val="00E86DB4"/>
    <w:rsid w:val="00E86FCC"/>
    <w:rsid w:val="00E87A1D"/>
    <w:rsid w:val="00E9094A"/>
    <w:rsid w:val="00E91203"/>
    <w:rsid w:val="00E9131E"/>
    <w:rsid w:val="00E9153B"/>
    <w:rsid w:val="00E91D35"/>
    <w:rsid w:val="00E9242B"/>
    <w:rsid w:val="00E926A5"/>
    <w:rsid w:val="00E92A4E"/>
    <w:rsid w:val="00E93CFD"/>
    <w:rsid w:val="00E940FB"/>
    <w:rsid w:val="00E94249"/>
    <w:rsid w:val="00E9428C"/>
    <w:rsid w:val="00E94F23"/>
    <w:rsid w:val="00E9566A"/>
    <w:rsid w:val="00E95FBA"/>
    <w:rsid w:val="00E962CC"/>
    <w:rsid w:val="00E963F9"/>
    <w:rsid w:val="00EA0650"/>
    <w:rsid w:val="00EA17C3"/>
    <w:rsid w:val="00EA183C"/>
    <w:rsid w:val="00EA1DC7"/>
    <w:rsid w:val="00EA2A1A"/>
    <w:rsid w:val="00EA2CAA"/>
    <w:rsid w:val="00EA2F32"/>
    <w:rsid w:val="00EA3864"/>
    <w:rsid w:val="00EA48AD"/>
    <w:rsid w:val="00EA4AE8"/>
    <w:rsid w:val="00EA4D30"/>
    <w:rsid w:val="00EA53F0"/>
    <w:rsid w:val="00EA5794"/>
    <w:rsid w:val="00EA619B"/>
    <w:rsid w:val="00EA6EBF"/>
    <w:rsid w:val="00EA747C"/>
    <w:rsid w:val="00EA7F1C"/>
    <w:rsid w:val="00EB0065"/>
    <w:rsid w:val="00EB15B6"/>
    <w:rsid w:val="00EB1A5D"/>
    <w:rsid w:val="00EB1DC7"/>
    <w:rsid w:val="00EB214C"/>
    <w:rsid w:val="00EB21FF"/>
    <w:rsid w:val="00EB2455"/>
    <w:rsid w:val="00EB253B"/>
    <w:rsid w:val="00EB374C"/>
    <w:rsid w:val="00EB3D06"/>
    <w:rsid w:val="00EB45CD"/>
    <w:rsid w:val="00EB4916"/>
    <w:rsid w:val="00EB4F39"/>
    <w:rsid w:val="00EB55C0"/>
    <w:rsid w:val="00EB5B81"/>
    <w:rsid w:val="00EB5C59"/>
    <w:rsid w:val="00EB60F4"/>
    <w:rsid w:val="00EB6A46"/>
    <w:rsid w:val="00EC00C9"/>
    <w:rsid w:val="00EC04E1"/>
    <w:rsid w:val="00EC0504"/>
    <w:rsid w:val="00EC0DD9"/>
    <w:rsid w:val="00EC184D"/>
    <w:rsid w:val="00EC18B1"/>
    <w:rsid w:val="00EC1D7E"/>
    <w:rsid w:val="00EC2051"/>
    <w:rsid w:val="00EC2649"/>
    <w:rsid w:val="00EC28A6"/>
    <w:rsid w:val="00EC2E8F"/>
    <w:rsid w:val="00EC2EEC"/>
    <w:rsid w:val="00EC311E"/>
    <w:rsid w:val="00EC31ED"/>
    <w:rsid w:val="00EC3485"/>
    <w:rsid w:val="00EC3FB3"/>
    <w:rsid w:val="00EC486D"/>
    <w:rsid w:val="00EC5836"/>
    <w:rsid w:val="00EC60CB"/>
    <w:rsid w:val="00EC60CF"/>
    <w:rsid w:val="00EC66CC"/>
    <w:rsid w:val="00EC688C"/>
    <w:rsid w:val="00EC7315"/>
    <w:rsid w:val="00EC7BEB"/>
    <w:rsid w:val="00EC7C50"/>
    <w:rsid w:val="00ED09FE"/>
    <w:rsid w:val="00ED0CBB"/>
    <w:rsid w:val="00ED12E3"/>
    <w:rsid w:val="00ED13BC"/>
    <w:rsid w:val="00ED2009"/>
    <w:rsid w:val="00ED2240"/>
    <w:rsid w:val="00ED264E"/>
    <w:rsid w:val="00ED26EB"/>
    <w:rsid w:val="00ED3201"/>
    <w:rsid w:val="00ED3573"/>
    <w:rsid w:val="00ED4B04"/>
    <w:rsid w:val="00ED558F"/>
    <w:rsid w:val="00ED57EA"/>
    <w:rsid w:val="00ED5BD4"/>
    <w:rsid w:val="00ED6163"/>
    <w:rsid w:val="00ED7014"/>
    <w:rsid w:val="00ED7779"/>
    <w:rsid w:val="00ED7B93"/>
    <w:rsid w:val="00EE014D"/>
    <w:rsid w:val="00EE03E0"/>
    <w:rsid w:val="00EE07D3"/>
    <w:rsid w:val="00EE11DA"/>
    <w:rsid w:val="00EE1299"/>
    <w:rsid w:val="00EE1567"/>
    <w:rsid w:val="00EE1688"/>
    <w:rsid w:val="00EE1996"/>
    <w:rsid w:val="00EE1C01"/>
    <w:rsid w:val="00EE22AF"/>
    <w:rsid w:val="00EE356B"/>
    <w:rsid w:val="00EE45FC"/>
    <w:rsid w:val="00EE464D"/>
    <w:rsid w:val="00EE492D"/>
    <w:rsid w:val="00EE5303"/>
    <w:rsid w:val="00EE60AB"/>
    <w:rsid w:val="00EE6637"/>
    <w:rsid w:val="00EE7043"/>
    <w:rsid w:val="00EE7434"/>
    <w:rsid w:val="00EE783B"/>
    <w:rsid w:val="00EE7A01"/>
    <w:rsid w:val="00EF0171"/>
    <w:rsid w:val="00EF0A32"/>
    <w:rsid w:val="00EF0E27"/>
    <w:rsid w:val="00EF15E0"/>
    <w:rsid w:val="00EF1706"/>
    <w:rsid w:val="00EF1B25"/>
    <w:rsid w:val="00EF1DA0"/>
    <w:rsid w:val="00EF4747"/>
    <w:rsid w:val="00EF4BF8"/>
    <w:rsid w:val="00EF4CB1"/>
    <w:rsid w:val="00EF6CA6"/>
    <w:rsid w:val="00EF7DB2"/>
    <w:rsid w:val="00EF7E4E"/>
    <w:rsid w:val="00F00EA6"/>
    <w:rsid w:val="00F015AB"/>
    <w:rsid w:val="00F0163A"/>
    <w:rsid w:val="00F02253"/>
    <w:rsid w:val="00F0230F"/>
    <w:rsid w:val="00F02E45"/>
    <w:rsid w:val="00F03392"/>
    <w:rsid w:val="00F03C2E"/>
    <w:rsid w:val="00F04A66"/>
    <w:rsid w:val="00F04B4B"/>
    <w:rsid w:val="00F04E0E"/>
    <w:rsid w:val="00F04FE7"/>
    <w:rsid w:val="00F05039"/>
    <w:rsid w:val="00F0516C"/>
    <w:rsid w:val="00F05660"/>
    <w:rsid w:val="00F05F22"/>
    <w:rsid w:val="00F067A2"/>
    <w:rsid w:val="00F07B9E"/>
    <w:rsid w:val="00F1036F"/>
    <w:rsid w:val="00F10557"/>
    <w:rsid w:val="00F1116F"/>
    <w:rsid w:val="00F11413"/>
    <w:rsid w:val="00F11B20"/>
    <w:rsid w:val="00F1263A"/>
    <w:rsid w:val="00F12A1D"/>
    <w:rsid w:val="00F135D8"/>
    <w:rsid w:val="00F139C5"/>
    <w:rsid w:val="00F14110"/>
    <w:rsid w:val="00F15464"/>
    <w:rsid w:val="00F15B77"/>
    <w:rsid w:val="00F17CFE"/>
    <w:rsid w:val="00F21236"/>
    <w:rsid w:val="00F212B4"/>
    <w:rsid w:val="00F23901"/>
    <w:rsid w:val="00F239DF"/>
    <w:rsid w:val="00F23F09"/>
    <w:rsid w:val="00F2403D"/>
    <w:rsid w:val="00F24837"/>
    <w:rsid w:val="00F24E84"/>
    <w:rsid w:val="00F24ED9"/>
    <w:rsid w:val="00F2534F"/>
    <w:rsid w:val="00F2575F"/>
    <w:rsid w:val="00F25BEB"/>
    <w:rsid w:val="00F267BB"/>
    <w:rsid w:val="00F274FB"/>
    <w:rsid w:val="00F27565"/>
    <w:rsid w:val="00F30706"/>
    <w:rsid w:val="00F30870"/>
    <w:rsid w:val="00F30B99"/>
    <w:rsid w:val="00F30F69"/>
    <w:rsid w:val="00F310D4"/>
    <w:rsid w:val="00F31143"/>
    <w:rsid w:val="00F31CFB"/>
    <w:rsid w:val="00F31D5A"/>
    <w:rsid w:val="00F32336"/>
    <w:rsid w:val="00F33975"/>
    <w:rsid w:val="00F33D35"/>
    <w:rsid w:val="00F33DE9"/>
    <w:rsid w:val="00F348D4"/>
    <w:rsid w:val="00F353A0"/>
    <w:rsid w:val="00F35C96"/>
    <w:rsid w:val="00F35E6D"/>
    <w:rsid w:val="00F3619A"/>
    <w:rsid w:val="00F36D8F"/>
    <w:rsid w:val="00F36DA9"/>
    <w:rsid w:val="00F3769F"/>
    <w:rsid w:val="00F378B7"/>
    <w:rsid w:val="00F4075C"/>
    <w:rsid w:val="00F4082A"/>
    <w:rsid w:val="00F40AAA"/>
    <w:rsid w:val="00F40BA7"/>
    <w:rsid w:val="00F40F9D"/>
    <w:rsid w:val="00F41729"/>
    <w:rsid w:val="00F41ACD"/>
    <w:rsid w:val="00F43AC2"/>
    <w:rsid w:val="00F4443A"/>
    <w:rsid w:val="00F44962"/>
    <w:rsid w:val="00F44DEE"/>
    <w:rsid w:val="00F45D9A"/>
    <w:rsid w:val="00F465B2"/>
    <w:rsid w:val="00F46CB6"/>
    <w:rsid w:val="00F46DDB"/>
    <w:rsid w:val="00F46EB2"/>
    <w:rsid w:val="00F47271"/>
    <w:rsid w:val="00F47273"/>
    <w:rsid w:val="00F4756D"/>
    <w:rsid w:val="00F47C60"/>
    <w:rsid w:val="00F47DE8"/>
    <w:rsid w:val="00F50E99"/>
    <w:rsid w:val="00F5163F"/>
    <w:rsid w:val="00F51E25"/>
    <w:rsid w:val="00F53925"/>
    <w:rsid w:val="00F53AC6"/>
    <w:rsid w:val="00F542C1"/>
    <w:rsid w:val="00F54DAD"/>
    <w:rsid w:val="00F550E3"/>
    <w:rsid w:val="00F552B1"/>
    <w:rsid w:val="00F55E73"/>
    <w:rsid w:val="00F55EDA"/>
    <w:rsid w:val="00F56C80"/>
    <w:rsid w:val="00F57784"/>
    <w:rsid w:val="00F60092"/>
    <w:rsid w:val="00F6012F"/>
    <w:rsid w:val="00F603E2"/>
    <w:rsid w:val="00F61C18"/>
    <w:rsid w:val="00F622E9"/>
    <w:rsid w:val="00F62857"/>
    <w:rsid w:val="00F635ED"/>
    <w:rsid w:val="00F63659"/>
    <w:rsid w:val="00F64332"/>
    <w:rsid w:val="00F65854"/>
    <w:rsid w:val="00F65C36"/>
    <w:rsid w:val="00F65F4B"/>
    <w:rsid w:val="00F675F1"/>
    <w:rsid w:val="00F67A53"/>
    <w:rsid w:val="00F67A69"/>
    <w:rsid w:val="00F70BFF"/>
    <w:rsid w:val="00F70C9D"/>
    <w:rsid w:val="00F71288"/>
    <w:rsid w:val="00F71C82"/>
    <w:rsid w:val="00F7220A"/>
    <w:rsid w:val="00F72C55"/>
    <w:rsid w:val="00F72FAA"/>
    <w:rsid w:val="00F73CAD"/>
    <w:rsid w:val="00F73E08"/>
    <w:rsid w:val="00F74CD9"/>
    <w:rsid w:val="00F75934"/>
    <w:rsid w:val="00F76272"/>
    <w:rsid w:val="00F76B5E"/>
    <w:rsid w:val="00F772C2"/>
    <w:rsid w:val="00F80A7B"/>
    <w:rsid w:val="00F80E5D"/>
    <w:rsid w:val="00F81C8E"/>
    <w:rsid w:val="00F81DB5"/>
    <w:rsid w:val="00F81E78"/>
    <w:rsid w:val="00F82166"/>
    <w:rsid w:val="00F821F3"/>
    <w:rsid w:val="00F82AB1"/>
    <w:rsid w:val="00F83730"/>
    <w:rsid w:val="00F83916"/>
    <w:rsid w:val="00F83BB5"/>
    <w:rsid w:val="00F83CC2"/>
    <w:rsid w:val="00F83D51"/>
    <w:rsid w:val="00F83D74"/>
    <w:rsid w:val="00F84094"/>
    <w:rsid w:val="00F851CE"/>
    <w:rsid w:val="00F85743"/>
    <w:rsid w:val="00F86265"/>
    <w:rsid w:val="00F86AC2"/>
    <w:rsid w:val="00F876ED"/>
    <w:rsid w:val="00F87F6D"/>
    <w:rsid w:val="00F90BF8"/>
    <w:rsid w:val="00F90F4F"/>
    <w:rsid w:val="00F91219"/>
    <w:rsid w:val="00F91790"/>
    <w:rsid w:val="00F91FE3"/>
    <w:rsid w:val="00F92444"/>
    <w:rsid w:val="00F9263A"/>
    <w:rsid w:val="00F931D3"/>
    <w:rsid w:val="00F93646"/>
    <w:rsid w:val="00F9375B"/>
    <w:rsid w:val="00F9393E"/>
    <w:rsid w:val="00F93CBA"/>
    <w:rsid w:val="00F93D2E"/>
    <w:rsid w:val="00F93FAF"/>
    <w:rsid w:val="00F95E1B"/>
    <w:rsid w:val="00F96483"/>
    <w:rsid w:val="00F96583"/>
    <w:rsid w:val="00F96AE6"/>
    <w:rsid w:val="00F96FD0"/>
    <w:rsid w:val="00F9767B"/>
    <w:rsid w:val="00F97A78"/>
    <w:rsid w:val="00FA0B20"/>
    <w:rsid w:val="00FA11FC"/>
    <w:rsid w:val="00FA12D4"/>
    <w:rsid w:val="00FA1E46"/>
    <w:rsid w:val="00FA205A"/>
    <w:rsid w:val="00FA24E7"/>
    <w:rsid w:val="00FA25B4"/>
    <w:rsid w:val="00FA2E2E"/>
    <w:rsid w:val="00FA2F38"/>
    <w:rsid w:val="00FA3729"/>
    <w:rsid w:val="00FA406E"/>
    <w:rsid w:val="00FA5409"/>
    <w:rsid w:val="00FA560E"/>
    <w:rsid w:val="00FA5EE6"/>
    <w:rsid w:val="00FA7956"/>
    <w:rsid w:val="00FA7ACB"/>
    <w:rsid w:val="00FA7B3A"/>
    <w:rsid w:val="00FB021D"/>
    <w:rsid w:val="00FB029D"/>
    <w:rsid w:val="00FB033B"/>
    <w:rsid w:val="00FB0824"/>
    <w:rsid w:val="00FB1FA6"/>
    <w:rsid w:val="00FB2FCB"/>
    <w:rsid w:val="00FB3A29"/>
    <w:rsid w:val="00FB4B30"/>
    <w:rsid w:val="00FB4C9C"/>
    <w:rsid w:val="00FB4F43"/>
    <w:rsid w:val="00FB5121"/>
    <w:rsid w:val="00FB5C1A"/>
    <w:rsid w:val="00FB61F3"/>
    <w:rsid w:val="00FB6495"/>
    <w:rsid w:val="00FB7401"/>
    <w:rsid w:val="00FB76D5"/>
    <w:rsid w:val="00FB79BD"/>
    <w:rsid w:val="00FB7B51"/>
    <w:rsid w:val="00FB7B6A"/>
    <w:rsid w:val="00FB7C55"/>
    <w:rsid w:val="00FC0675"/>
    <w:rsid w:val="00FC1074"/>
    <w:rsid w:val="00FC109C"/>
    <w:rsid w:val="00FC1154"/>
    <w:rsid w:val="00FC1174"/>
    <w:rsid w:val="00FC1884"/>
    <w:rsid w:val="00FC25FA"/>
    <w:rsid w:val="00FC2A8B"/>
    <w:rsid w:val="00FC2DC1"/>
    <w:rsid w:val="00FC2E8B"/>
    <w:rsid w:val="00FC371D"/>
    <w:rsid w:val="00FC474C"/>
    <w:rsid w:val="00FC5676"/>
    <w:rsid w:val="00FC5F0B"/>
    <w:rsid w:val="00FC5FAF"/>
    <w:rsid w:val="00FC6C60"/>
    <w:rsid w:val="00FC6E99"/>
    <w:rsid w:val="00FC7462"/>
    <w:rsid w:val="00FC7924"/>
    <w:rsid w:val="00FC7C28"/>
    <w:rsid w:val="00FD0D97"/>
    <w:rsid w:val="00FD1582"/>
    <w:rsid w:val="00FD2100"/>
    <w:rsid w:val="00FD2EF1"/>
    <w:rsid w:val="00FD3114"/>
    <w:rsid w:val="00FD341D"/>
    <w:rsid w:val="00FD3463"/>
    <w:rsid w:val="00FD436C"/>
    <w:rsid w:val="00FD43A4"/>
    <w:rsid w:val="00FD446D"/>
    <w:rsid w:val="00FD460E"/>
    <w:rsid w:val="00FD4F2C"/>
    <w:rsid w:val="00FD5371"/>
    <w:rsid w:val="00FD54C0"/>
    <w:rsid w:val="00FD6394"/>
    <w:rsid w:val="00FD6886"/>
    <w:rsid w:val="00FD7846"/>
    <w:rsid w:val="00FD78F0"/>
    <w:rsid w:val="00FD7D8D"/>
    <w:rsid w:val="00FE033B"/>
    <w:rsid w:val="00FE041C"/>
    <w:rsid w:val="00FE0922"/>
    <w:rsid w:val="00FE0E6C"/>
    <w:rsid w:val="00FE1CDC"/>
    <w:rsid w:val="00FE1E19"/>
    <w:rsid w:val="00FE291A"/>
    <w:rsid w:val="00FE2F4F"/>
    <w:rsid w:val="00FE3350"/>
    <w:rsid w:val="00FE33DD"/>
    <w:rsid w:val="00FE3B86"/>
    <w:rsid w:val="00FE696E"/>
    <w:rsid w:val="00FE70C3"/>
    <w:rsid w:val="00FE7917"/>
    <w:rsid w:val="00FE7C59"/>
    <w:rsid w:val="00FE7C9B"/>
    <w:rsid w:val="00FE7EF3"/>
    <w:rsid w:val="00FE7FD8"/>
    <w:rsid w:val="00FF0783"/>
    <w:rsid w:val="00FF0937"/>
    <w:rsid w:val="00FF1A8B"/>
    <w:rsid w:val="00FF2AD9"/>
    <w:rsid w:val="00FF3022"/>
    <w:rsid w:val="00FF359F"/>
    <w:rsid w:val="00FF3B9C"/>
    <w:rsid w:val="00FF3CBA"/>
    <w:rsid w:val="00FF3DCF"/>
    <w:rsid w:val="00FF492C"/>
    <w:rsid w:val="00FF4A21"/>
    <w:rsid w:val="00FF4BA1"/>
    <w:rsid w:val="00FF55D0"/>
    <w:rsid w:val="00FF5AA3"/>
    <w:rsid w:val="00FF5AD8"/>
    <w:rsid w:val="00FF682A"/>
    <w:rsid w:val="00FF73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4F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Caption Char1 Char,Caption Char Char Char,Bayer Caption,IB Caption,Medical Caption,CSR Caption,CAPTION,Caption2,Caption Char1 Char Char Char,Caption Char Char Char Char Char,Caption Char Char1 Char,Caption Char1 Char1,- H17,! Q,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Caption Char,Caption Char1 Char Char,Caption Char Char Char Char,Bayer Caption Char,IB Caption Char,Medical Caption Char,CSR Caption Char,CAPTION Char,Caption2 Char,Caption Char1 Char Char Char Char,Caption Char Char1 Char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HEOR bullet list,Bullet List,Bullets Points,Colorful List - Accent 11,Bullet1,Section 5"/>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HEOR bullet lis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styleId="IntenseEmphasis">
    <w:name w:val="Intense Emphasis"/>
    <w:uiPriority w:val="21"/>
    <w:qFormat/>
    <w:rsid w:val="002C6DA0"/>
    <w:rPr>
      <w:b/>
      <w:bCs/>
      <w:i/>
      <w:i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2721B7"/>
    <w:pPr>
      <w:numPr>
        <w:ilvl w:val="1"/>
        <w:numId w:val="6"/>
      </w:numPr>
      <w:spacing w:before="60" w:after="6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2721B7"/>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0F0C90"/>
    <w:pPr>
      <w:keepLines/>
      <w:spacing w:after="120"/>
      <w:contextualSpacing/>
      <w:jc w:val="left"/>
    </w:pPr>
    <w:rPr>
      <w:rFonts w:ascii="Arial Narrow" w:hAnsi="Arial Narrow"/>
      <w:snapToGrid w:val="0"/>
      <w:sz w:val="18"/>
    </w:rPr>
  </w:style>
  <w:style w:type="character" w:customStyle="1" w:styleId="TableFigureFooterChar">
    <w:name w:val="Table/Figure Footer Char"/>
    <w:link w:val="TableFigureFooter"/>
    <w:rsid w:val="000F0C90"/>
    <w:rPr>
      <w:rFonts w:ascii="Arial Narrow" w:hAnsi="Arial Narrow" w:cs="Arial"/>
      <w:snapToGrid w:val="0"/>
      <w:sz w:val="18"/>
      <w:szCs w:val="24"/>
    </w:rPr>
  </w:style>
  <w:style w:type="character" w:customStyle="1" w:styleId="SmallBold">
    <w:name w:val="Small Bold"/>
    <w:basedOn w:val="DefaultParagraphFont"/>
    <w:uiPriority w:val="4"/>
    <w:rsid w:val="002B6BCA"/>
    <w:rPr>
      <w:rFonts w:ascii="Calibri" w:hAnsi="Calibri"/>
      <w:b/>
      <w:sz w:val="20"/>
      <w:lang w:val="en-AU"/>
    </w:rPr>
  </w:style>
  <w:style w:type="paragraph" w:customStyle="1" w:styleId="TableCentre">
    <w:name w:val="Table Centre"/>
    <w:basedOn w:val="Normal"/>
    <w:uiPriority w:val="1"/>
    <w:qFormat/>
    <w:rsid w:val="002B6BCA"/>
    <w:pPr>
      <w:jc w:val="center"/>
    </w:pPr>
    <w:rPr>
      <w:rFonts w:eastAsiaTheme="majorEastAsia" w:cstheme="majorBidi"/>
      <w:sz w:val="18"/>
      <w:szCs w:val="22"/>
      <w:lang w:eastAsia="en-US" w:bidi="en-US"/>
    </w:rPr>
  </w:style>
  <w:style w:type="paragraph" w:styleId="FootnoteText">
    <w:name w:val="footnote text"/>
    <w:basedOn w:val="Normal"/>
    <w:link w:val="FootnoteTextChar"/>
    <w:uiPriority w:val="99"/>
    <w:semiHidden/>
    <w:unhideWhenUsed/>
    <w:rsid w:val="00A318BF"/>
    <w:rPr>
      <w:sz w:val="20"/>
      <w:szCs w:val="20"/>
    </w:rPr>
  </w:style>
  <w:style w:type="character" w:customStyle="1" w:styleId="FootnoteTextChar">
    <w:name w:val="Footnote Text Char"/>
    <w:basedOn w:val="DefaultParagraphFont"/>
    <w:link w:val="FootnoteText"/>
    <w:uiPriority w:val="99"/>
    <w:semiHidden/>
    <w:rsid w:val="00A318BF"/>
    <w:rPr>
      <w:rFonts w:ascii="Calibri" w:hAnsi="Calibri" w:cs="Arial"/>
    </w:rPr>
  </w:style>
  <w:style w:type="character" w:styleId="FootnoteReference">
    <w:name w:val="footnote reference"/>
    <w:basedOn w:val="DefaultParagraphFont"/>
    <w:uiPriority w:val="99"/>
    <w:semiHidden/>
    <w:unhideWhenUsed/>
    <w:rsid w:val="00A318BF"/>
    <w:rPr>
      <w:vertAlign w:val="superscript"/>
    </w:rPr>
  </w:style>
  <w:style w:type="character" w:styleId="UnresolvedMention">
    <w:name w:val="Unresolved Mention"/>
    <w:basedOn w:val="DefaultParagraphFont"/>
    <w:uiPriority w:val="99"/>
    <w:semiHidden/>
    <w:unhideWhenUsed/>
    <w:rsid w:val="00C67C6D"/>
    <w:rPr>
      <w:color w:val="605E5C"/>
      <w:shd w:val="clear" w:color="auto" w:fill="E1DFDD"/>
    </w:rPr>
  </w:style>
  <w:style w:type="paragraph" w:customStyle="1" w:styleId="p1">
    <w:name w:val="p1"/>
    <w:basedOn w:val="Normal"/>
    <w:rsid w:val="009E6212"/>
    <w:pPr>
      <w:jc w:val="left"/>
    </w:pPr>
    <w:rPr>
      <w:rFonts w:ascii="Helvetica" w:hAnsi="Helvetica" w:cs="Times New Roman"/>
      <w:color w:val="141413"/>
      <w:sz w:val="23"/>
      <w:szCs w:val="23"/>
      <w:lang w:eastAsia="en-GB"/>
    </w:rPr>
  </w:style>
  <w:style w:type="character" w:customStyle="1" w:styleId="padding-left-05">
    <w:name w:val="padding-left-05"/>
    <w:basedOn w:val="DefaultParagraphFont"/>
    <w:rsid w:val="00A853EE"/>
  </w:style>
  <w:style w:type="character" w:customStyle="1" w:styleId="CaptionFootnoteChar">
    <w:name w:val="Caption Footnote Char"/>
    <w:basedOn w:val="DefaultParagraphFont"/>
    <w:link w:val="CaptionFootnote"/>
    <w:rsid w:val="00800EAF"/>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800EAF"/>
    <w:rPr>
      <w:rFonts w:asciiTheme="minorHAnsi" w:hAnsiTheme="minorHAnsi" w:cs="Times New Roman"/>
      <w:kern w:val="28"/>
      <w:sz w:val="16"/>
      <w:lang w:eastAsia="en-GB"/>
    </w:rPr>
  </w:style>
  <w:style w:type="paragraph" w:customStyle="1" w:styleId="TableLeft">
    <w:name w:val="Table Left"/>
    <w:basedOn w:val="Normal"/>
    <w:link w:val="TableLeftChar"/>
    <w:uiPriority w:val="99"/>
    <w:qFormat/>
    <w:rsid w:val="002D3834"/>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2D3834"/>
    <w:rPr>
      <w:rFonts w:ascii="Calibri" w:eastAsiaTheme="majorEastAsia" w:hAnsi="Calibri" w:cstheme="majorBidi"/>
      <w:sz w:val="18"/>
      <w:szCs w:val="22"/>
      <w:lang w:eastAsia="en-US" w:bidi="en-US"/>
    </w:rPr>
  </w:style>
  <w:style w:type="table" w:customStyle="1" w:styleId="Submissionstandard1">
    <w:name w:val="Submission standard1"/>
    <w:basedOn w:val="TableNormal"/>
    <w:uiPriority w:val="99"/>
    <w:qFormat/>
    <w:rsid w:val="002D383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ptos Narrow" w:hAnsi="Aptos Narrow"/>
        <w:b/>
        <w:sz w:val="20"/>
      </w:rPr>
      <w:tblPr/>
      <w:tcPr>
        <w:shd w:val="clear" w:color="auto" w:fill="BFBFBF" w:themeFill="background1" w:themeFillShade="BF"/>
      </w:tcPr>
    </w:tblStylePr>
  </w:style>
  <w:style w:type="character" w:customStyle="1" w:styleId="cf01">
    <w:name w:val="cf01"/>
    <w:basedOn w:val="DefaultParagraphFont"/>
    <w:rsid w:val="00E828C9"/>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78585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85859"/>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902">
      <w:bodyDiv w:val="1"/>
      <w:marLeft w:val="0"/>
      <w:marRight w:val="0"/>
      <w:marTop w:val="0"/>
      <w:marBottom w:val="0"/>
      <w:divBdr>
        <w:top w:val="none" w:sz="0" w:space="0" w:color="auto"/>
        <w:left w:val="none" w:sz="0" w:space="0" w:color="auto"/>
        <w:bottom w:val="none" w:sz="0" w:space="0" w:color="auto"/>
        <w:right w:val="none" w:sz="0" w:space="0" w:color="auto"/>
      </w:divBdr>
    </w:div>
    <w:div w:id="6187254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553829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4295845">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2708519">
      <w:bodyDiv w:val="1"/>
      <w:marLeft w:val="0"/>
      <w:marRight w:val="0"/>
      <w:marTop w:val="0"/>
      <w:marBottom w:val="0"/>
      <w:divBdr>
        <w:top w:val="none" w:sz="0" w:space="0" w:color="auto"/>
        <w:left w:val="none" w:sz="0" w:space="0" w:color="auto"/>
        <w:bottom w:val="none" w:sz="0" w:space="0" w:color="auto"/>
        <w:right w:val="none" w:sz="0" w:space="0" w:color="auto"/>
      </w:divBdr>
    </w:div>
    <w:div w:id="73427560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3811357">
      <w:bodyDiv w:val="1"/>
      <w:marLeft w:val="0"/>
      <w:marRight w:val="0"/>
      <w:marTop w:val="0"/>
      <w:marBottom w:val="0"/>
      <w:divBdr>
        <w:top w:val="none" w:sz="0" w:space="0" w:color="auto"/>
        <w:left w:val="none" w:sz="0" w:space="0" w:color="auto"/>
        <w:bottom w:val="none" w:sz="0" w:space="0" w:color="auto"/>
        <w:right w:val="none" w:sz="0" w:space="0" w:color="auto"/>
      </w:divBdr>
      <w:divsChild>
        <w:div w:id="2040661764">
          <w:marLeft w:val="0"/>
          <w:marRight w:val="0"/>
          <w:marTop w:val="0"/>
          <w:marBottom w:val="0"/>
          <w:divBdr>
            <w:top w:val="none" w:sz="0" w:space="0" w:color="auto"/>
            <w:left w:val="none" w:sz="0" w:space="0" w:color="auto"/>
            <w:bottom w:val="none" w:sz="0" w:space="0" w:color="auto"/>
            <w:right w:val="none" w:sz="0" w:space="0" w:color="auto"/>
          </w:divBdr>
        </w:div>
      </w:divsChild>
    </w:div>
    <w:div w:id="1010721968">
      <w:bodyDiv w:val="1"/>
      <w:marLeft w:val="0"/>
      <w:marRight w:val="0"/>
      <w:marTop w:val="0"/>
      <w:marBottom w:val="0"/>
      <w:divBdr>
        <w:top w:val="none" w:sz="0" w:space="0" w:color="auto"/>
        <w:left w:val="none" w:sz="0" w:space="0" w:color="auto"/>
        <w:bottom w:val="none" w:sz="0" w:space="0" w:color="auto"/>
        <w:right w:val="none" w:sz="0" w:space="0" w:color="auto"/>
      </w:divBdr>
    </w:div>
    <w:div w:id="106746136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0311253">
      <w:bodyDiv w:val="1"/>
      <w:marLeft w:val="0"/>
      <w:marRight w:val="0"/>
      <w:marTop w:val="0"/>
      <w:marBottom w:val="0"/>
      <w:divBdr>
        <w:top w:val="none" w:sz="0" w:space="0" w:color="auto"/>
        <w:left w:val="none" w:sz="0" w:space="0" w:color="auto"/>
        <w:bottom w:val="none" w:sz="0" w:space="0" w:color="auto"/>
        <w:right w:val="none" w:sz="0" w:space="0" w:color="auto"/>
      </w:divBdr>
      <w:divsChild>
        <w:div w:id="56712632">
          <w:marLeft w:val="0"/>
          <w:marRight w:val="0"/>
          <w:marTop w:val="0"/>
          <w:marBottom w:val="0"/>
          <w:divBdr>
            <w:top w:val="none" w:sz="0" w:space="0" w:color="auto"/>
            <w:left w:val="none" w:sz="0" w:space="0" w:color="auto"/>
            <w:bottom w:val="none" w:sz="0" w:space="0" w:color="auto"/>
            <w:right w:val="none" w:sz="0" w:space="0" w:color="auto"/>
          </w:divBdr>
        </w:div>
        <w:div w:id="101190322">
          <w:marLeft w:val="0"/>
          <w:marRight w:val="0"/>
          <w:marTop w:val="0"/>
          <w:marBottom w:val="0"/>
          <w:divBdr>
            <w:top w:val="none" w:sz="0" w:space="0" w:color="auto"/>
            <w:left w:val="none" w:sz="0" w:space="0" w:color="auto"/>
            <w:bottom w:val="none" w:sz="0" w:space="0" w:color="auto"/>
            <w:right w:val="none" w:sz="0" w:space="0" w:color="auto"/>
          </w:divBdr>
        </w:div>
      </w:divsChild>
    </w:div>
    <w:div w:id="1283272094">
      <w:bodyDiv w:val="1"/>
      <w:marLeft w:val="0"/>
      <w:marRight w:val="0"/>
      <w:marTop w:val="0"/>
      <w:marBottom w:val="0"/>
      <w:divBdr>
        <w:top w:val="none" w:sz="0" w:space="0" w:color="auto"/>
        <w:left w:val="none" w:sz="0" w:space="0" w:color="auto"/>
        <w:bottom w:val="none" w:sz="0" w:space="0" w:color="auto"/>
        <w:right w:val="none" w:sz="0" w:space="0" w:color="auto"/>
      </w:divBdr>
    </w:div>
    <w:div w:id="1408186958">
      <w:bodyDiv w:val="1"/>
      <w:marLeft w:val="0"/>
      <w:marRight w:val="0"/>
      <w:marTop w:val="0"/>
      <w:marBottom w:val="0"/>
      <w:divBdr>
        <w:top w:val="none" w:sz="0" w:space="0" w:color="auto"/>
        <w:left w:val="none" w:sz="0" w:space="0" w:color="auto"/>
        <w:bottom w:val="none" w:sz="0" w:space="0" w:color="auto"/>
        <w:right w:val="none" w:sz="0" w:space="0" w:color="auto"/>
      </w:divBdr>
    </w:div>
    <w:div w:id="1422797489">
      <w:bodyDiv w:val="1"/>
      <w:marLeft w:val="0"/>
      <w:marRight w:val="0"/>
      <w:marTop w:val="0"/>
      <w:marBottom w:val="0"/>
      <w:divBdr>
        <w:top w:val="none" w:sz="0" w:space="0" w:color="auto"/>
        <w:left w:val="none" w:sz="0" w:space="0" w:color="auto"/>
        <w:bottom w:val="none" w:sz="0" w:space="0" w:color="auto"/>
        <w:right w:val="none" w:sz="0" w:space="0" w:color="auto"/>
      </w:divBdr>
    </w:div>
    <w:div w:id="1581519469">
      <w:bodyDiv w:val="1"/>
      <w:marLeft w:val="0"/>
      <w:marRight w:val="0"/>
      <w:marTop w:val="0"/>
      <w:marBottom w:val="0"/>
      <w:divBdr>
        <w:top w:val="none" w:sz="0" w:space="0" w:color="auto"/>
        <w:left w:val="none" w:sz="0" w:space="0" w:color="auto"/>
        <w:bottom w:val="none" w:sz="0" w:space="0" w:color="auto"/>
        <w:right w:val="none" w:sz="0" w:space="0" w:color="auto"/>
      </w:divBdr>
    </w:div>
    <w:div w:id="1651522882">
      <w:bodyDiv w:val="1"/>
      <w:marLeft w:val="0"/>
      <w:marRight w:val="0"/>
      <w:marTop w:val="0"/>
      <w:marBottom w:val="0"/>
      <w:divBdr>
        <w:top w:val="none" w:sz="0" w:space="0" w:color="auto"/>
        <w:left w:val="none" w:sz="0" w:space="0" w:color="auto"/>
        <w:bottom w:val="none" w:sz="0" w:space="0" w:color="auto"/>
        <w:right w:val="none" w:sz="0" w:space="0" w:color="auto"/>
      </w:divBdr>
    </w:div>
    <w:div w:id="1863669895">
      <w:bodyDiv w:val="1"/>
      <w:marLeft w:val="0"/>
      <w:marRight w:val="0"/>
      <w:marTop w:val="0"/>
      <w:marBottom w:val="0"/>
      <w:divBdr>
        <w:top w:val="none" w:sz="0" w:space="0" w:color="auto"/>
        <w:left w:val="none" w:sz="0" w:space="0" w:color="auto"/>
        <w:bottom w:val="none" w:sz="0" w:space="0" w:color="auto"/>
        <w:right w:val="none" w:sz="0" w:space="0" w:color="auto"/>
      </w:divBdr>
      <w:divsChild>
        <w:div w:id="935021960">
          <w:marLeft w:val="0"/>
          <w:marRight w:val="0"/>
          <w:marTop w:val="0"/>
          <w:marBottom w:val="0"/>
          <w:divBdr>
            <w:top w:val="none" w:sz="0" w:space="0" w:color="auto"/>
            <w:left w:val="none" w:sz="0" w:space="0" w:color="auto"/>
            <w:bottom w:val="none" w:sz="0" w:space="0" w:color="auto"/>
            <w:right w:val="none" w:sz="0" w:space="0" w:color="auto"/>
          </w:divBdr>
        </w:div>
      </w:divsChild>
    </w:div>
    <w:div w:id="194596200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9351356">
      <w:bodyDiv w:val="1"/>
      <w:marLeft w:val="0"/>
      <w:marRight w:val="0"/>
      <w:marTop w:val="0"/>
      <w:marBottom w:val="0"/>
      <w:divBdr>
        <w:top w:val="none" w:sz="0" w:space="0" w:color="auto"/>
        <w:left w:val="none" w:sz="0" w:space="0" w:color="auto"/>
        <w:bottom w:val="none" w:sz="0" w:space="0" w:color="auto"/>
        <w:right w:val="none" w:sz="0" w:space="0" w:color="auto"/>
      </w:divBdr>
    </w:div>
    <w:div w:id="2096970939">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D296-FC81-4542-99C9-30DE1974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00494-3C9E-4082-A7AB-965FCF950756}">
  <ds:schemaRefs>
    <ds:schemaRef ds:uri="http://schemas.microsoft.com/sharepoint/v3/contenttype/forms"/>
  </ds:schemaRefs>
</ds:datastoreItem>
</file>

<file path=customXml/itemProps3.xml><?xml version="1.0" encoding="utf-8"?>
<ds:datastoreItem xmlns:ds="http://schemas.openxmlformats.org/officeDocument/2006/customXml" ds:itemID="{90C2EBBC-ADCE-410C-9146-D8C44BF4648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12000</Words>
  <Characters>65938</Characters>
  <Application>Microsoft Office Word</Application>
  <DocSecurity>0</DocSecurity>
  <Lines>1782</Lines>
  <Paragraphs>1199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2026-02-22T23:32:00Z</dcterms:created>
  <dcterms:modified xsi:type="dcterms:W3CDTF">2026-02-24T05:27:00Z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MSIP_Label_7cd3e8b9-ffed-43a8-b7f4-cc2fa0382d36_Removed">
    <vt:lpwstr>False</vt:lpwstr>
  </property>
  <property fmtid="{D5CDD505-2E9C-101B-9397-08002B2CF9AE}" pid="4" name="MSIP_Label_7cd3e8b9-ffed-43a8-b7f4-cc2fa0382d36_ActionId">
    <vt:lpwstr>1f2ac130-b2c4-456a-9885-77727c3adf6c</vt:lpwstr>
  </property>
  <property fmtid="{D5CDD505-2E9C-101B-9397-08002B2CF9AE}" pid="5" name="MediaServiceImageTags">
    <vt:lpwstr/>
  </property>
  <property fmtid="{D5CDD505-2E9C-101B-9397-08002B2CF9AE}" pid="6" name="ContentTypeId">
    <vt:lpwstr>0x0101007FED174C5281F747A8037A05221D6DBD</vt:lpwstr>
  </property>
  <property fmtid="{D5CDD505-2E9C-101B-9397-08002B2CF9AE}" pid="7" name="docLang">
    <vt:lpwstr>en</vt:lpwstr>
  </property>
  <property fmtid="{D5CDD505-2E9C-101B-9397-08002B2CF9AE}" pid="8" name="MSIP_Label_7cd3e8b9-ffed-43a8-b7f4-cc2fa0382d36_Name">
    <vt:lpwstr>OFFICIAL</vt:lpwstr>
  </property>
  <property fmtid="{D5CDD505-2E9C-101B-9397-08002B2CF9AE}" pid="9" name="MSIP_Label_7cd3e8b9-ffed-43a8-b7f4-cc2fa0382d36_Extended_MSFT_Method">
    <vt:lpwstr>Standard</vt:lpwstr>
  </property>
  <property fmtid="{D5CDD505-2E9C-101B-9397-08002B2CF9AE}" pid="10" name="MSIP_Label_7cd3e8b9-ffed-43a8-b7f4-cc2fa0382d36_Enabled">
    <vt:lpwstr>True</vt:lpwstr>
  </property>
  <property fmtid="{D5CDD505-2E9C-101B-9397-08002B2CF9AE}" pid="11" name="Sensitivity">
    <vt:lpwstr>OFFICIAL</vt:lpwstr>
  </property>
  <property fmtid="{D5CDD505-2E9C-101B-9397-08002B2CF9AE}" pid="12" name="MSIP_Label_7cd3e8b9-ffed-43a8-b7f4-cc2fa0382d36_SetDate">
    <vt:lpwstr>2025-10-21T04:22:58Z</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