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5FAE" w14:textId="6D11632C" w:rsidR="007C0FA2" w:rsidRDefault="007C0FA2" w:rsidP="007C0FA2">
      <w:pPr>
        <w:rPr>
          <w:color w:val="FF0000"/>
        </w:rPr>
      </w:pPr>
      <w:bookmarkStart w:id="0" w:name="_Toc198715348"/>
      <w:bookmarkStart w:id="1" w:name="_Toc22897637"/>
      <w:r w:rsidRPr="00D8290D">
        <w:rPr>
          <w:color w:val="FF0000"/>
        </w:rPr>
        <w:t>An addendum</w:t>
      </w:r>
      <w:r w:rsidR="00B062B0">
        <w:rPr>
          <w:color w:val="FF0000"/>
        </w:rPr>
        <w:t xml:space="preserve"> to this Public Summary Document</w:t>
      </w:r>
      <w:r w:rsidRPr="00D8290D">
        <w:rPr>
          <w:color w:val="FF0000"/>
        </w:rPr>
        <w:t xml:space="preserve"> has been included at the end of the</w:t>
      </w:r>
      <w:r>
        <w:rPr>
          <w:color w:val="FF0000"/>
        </w:rPr>
        <w:t xml:space="preserve"> </w:t>
      </w:r>
      <w:r w:rsidR="005514B7">
        <w:rPr>
          <w:color w:val="FF0000"/>
        </w:rPr>
        <w:t>document</w:t>
      </w:r>
      <w:r w:rsidRPr="00D8290D">
        <w:rPr>
          <w:color w:val="FF0000"/>
        </w:rPr>
        <w:t>.</w:t>
      </w:r>
    </w:p>
    <w:p w14:paraId="3F107EA6" w14:textId="77777777" w:rsidR="00284D61" w:rsidRPr="00497554" w:rsidRDefault="00284D61" w:rsidP="00E072B9">
      <w:pPr>
        <w:rPr>
          <w:rFonts w:cs="Calibri"/>
        </w:rPr>
      </w:pPr>
    </w:p>
    <w:p w14:paraId="28EBAAB9" w14:textId="3F30519B" w:rsidR="00501DD5" w:rsidRPr="00E750DB" w:rsidRDefault="00272E69" w:rsidP="00E072B9">
      <w:pPr>
        <w:pStyle w:val="1-MainHeading"/>
      </w:pPr>
      <w:r w:rsidRPr="00E750DB">
        <w:t>5.04</w:t>
      </w:r>
      <w:r w:rsidR="00501DD5" w:rsidRPr="00E750DB">
        <w:tab/>
      </w:r>
      <w:r w:rsidRPr="00E750DB">
        <w:t>GIVOSIRAN</w:t>
      </w:r>
      <w:r w:rsidR="00501DD5" w:rsidRPr="00E750DB">
        <w:t>,</w:t>
      </w:r>
      <w:r w:rsidR="00501DD5" w:rsidRPr="00E750DB">
        <w:br/>
        <w:t>Solution for injection</w:t>
      </w:r>
      <w:r w:rsidR="0053165C" w:rsidRPr="00E750DB">
        <w:t xml:space="preserve"> </w:t>
      </w:r>
      <w:r w:rsidR="00501DD5" w:rsidRPr="00E750DB">
        <w:t>189 mg in 1 mL,</w:t>
      </w:r>
      <w:r w:rsidR="00501DD5" w:rsidRPr="00E750DB">
        <w:br/>
        <w:t>Givlaari</w:t>
      </w:r>
      <w:r w:rsidR="00501DD5" w:rsidRPr="00E750DB">
        <w:rPr>
          <w:vertAlign w:val="superscript"/>
        </w:rPr>
        <w:t>®</w:t>
      </w:r>
      <w:r w:rsidR="00501DD5" w:rsidRPr="00E750DB">
        <w:t>,</w:t>
      </w:r>
      <w:r w:rsidR="00501DD5" w:rsidRPr="00E750DB">
        <w:br/>
        <w:t>MEDISON PHARMA AUSTRALIA PTY LIMITED</w:t>
      </w:r>
      <w:bookmarkEnd w:id="0"/>
      <w:r w:rsidR="00501DD5" w:rsidRPr="00E750DB">
        <w:t xml:space="preserve"> </w:t>
      </w:r>
    </w:p>
    <w:p w14:paraId="05E7B14F" w14:textId="77777777" w:rsidR="00580B8F" w:rsidRPr="00E750DB" w:rsidRDefault="00580B8F" w:rsidP="00E072B9">
      <w:pPr>
        <w:pStyle w:val="2-SectionHeading"/>
        <w:ind w:left="709" w:hanging="709"/>
      </w:pPr>
      <w:bookmarkStart w:id="2" w:name="_Toc198715350"/>
      <w:bookmarkEnd w:id="1"/>
      <w:r w:rsidRPr="00E750DB">
        <w:t>Purpose of submission</w:t>
      </w:r>
      <w:bookmarkEnd w:id="2"/>
    </w:p>
    <w:p w14:paraId="2489D83A" w14:textId="0503BC73" w:rsidR="00580B8F" w:rsidRPr="00E750DB" w:rsidRDefault="00580B8F" w:rsidP="00E072B9">
      <w:pPr>
        <w:pStyle w:val="3-BodyText"/>
      </w:pPr>
      <w:r w:rsidRPr="00E750DB">
        <w:t>The Category 1 submission requested a General Schedule Authority Required listing for the initial treatment and an Authority Required (</w:t>
      </w:r>
      <w:r w:rsidR="006E2802" w:rsidRPr="00E750DB">
        <w:t>STREAMLINED</w:t>
      </w:r>
      <w:r w:rsidRPr="00E750DB">
        <w:t>) listing for the continuing treatment of Acute Hepatic Porphyria</w:t>
      </w:r>
      <w:r w:rsidR="00785925" w:rsidRPr="00E750DB">
        <w:t xml:space="preserve"> (AHP)</w:t>
      </w:r>
      <w:r w:rsidRPr="00E750DB">
        <w:t xml:space="preserve"> in adults and adolescents aged 12 years and older.</w:t>
      </w:r>
    </w:p>
    <w:p w14:paraId="5738E935" w14:textId="7BB75680" w:rsidR="00580B8F" w:rsidRPr="00E750DB" w:rsidRDefault="00580B8F" w:rsidP="00E072B9">
      <w:pPr>
        <w:pStyle w:val="3-BodyText"/>
      </w:pPr>
      <w:r w:rsidRPr="00E750DB">
        <w:t xml:space="preserve">Listing was requested </w:t>
      </w:r>
      <w:proofErr w:type="gramStart"/>
      <w:r w:rsidRPr="00E750DB">
        <w:t>on the basis of</w:t>
      </w:r>
      <w:proofErr w:type="gramEnd"/>
      <w:r w:rsidRPr="00E750DB">
        <w:t xml:space="preserve"> a cost</w:t>
      </w:r>
      <w:r w:rsidR="00E072B9">
        <w:noBreakHyphen/>
      </w:r>
      <w:r w:rsidRPr="00E750DB">
        <w:t xml:space="preserve">effectiveness analysis versus </w:t>
      </w:r>
      <w:r w:rsidR="005C088A" w:rsidRPr="00E750DB">
        <w:t>b</w:t>
      </w:r>
      <w:r w:rsidRPr="00E750DB">
        <w:t xml:space="preserve">est supportive care </w:t>
      </w:r>
      <w:r w:rsidR="00736E92" w:rsidRPr="00E750DB">
        <w:t xml:space="preserve">(BSC) </w:t>
      </w:r>
      <w:r w:rsidRPr="00E750DB">
        <w:t>which was based on review of locally available therapies and consultation with Australian clinical experts involved in the treatment of AHP.</w:t>
      </w:r>
      <w:r w:rsidR="00B35ACC" w:rsidRPr="00D11B13">
        <w:rPr>
          <w:color w:val="0066FF"/>
          <w:w w:val="15"/>
          <w:shd w:val="solid" w:color="000000" w:fill="000000"/>
          <w:fitText w:val="-20" w:id="-625250048"/>
          <w14:textFill>
            <w14:solidFill>
              <w14:srgbClr w14:val="0066FF">
                <w14:alpha w14:val="100000"/>
              </w14:srgbClr>
            </w14:solidFill>
          </w14:textFill>
        </w:rPr>
        <w:t>|</w:t>
      </w:r>
      <w:r w:rsidR="00A550BD" w:rsidRPr="00D11B13">
        <w:rPr>
          <w:color w:val="0066FF"/>
          <w:w w:val="15"/>
          <w:shd w:val="solid" w:color="000000" w:fill="000000"/>
          <w:fitText w:val="-20" w:id="-625250048"/>
          <w14:textFill>
            <w14:solidFill>
              <w14:srgbClr w14:val="0066FF">
                <w14:alpha w14:val="100000"/>
              </w14:srgbClr>
            </w14:solidFill>
          </w14:textFill>
        </w:rPr>
        <w:t xml:space="preserve"> </w:t>
      </w:r>
      <w:r w:rsidR="00B35ACC" w:rsidRPr="00D11B13">
        <w:rPr>
          <w:color w:val="0066FF"/>
          <w:spacing w:val="-61"/>
          <w:w w:val="15"/>
          <w:shd w:val="solid" w:color="000000" w:fill="000000"/>
          <w:fitText w:val="-20" w:id="-625250048"/>
          <w14:textFill>
            <w14:solidFill>
              <w14:srgbClr w14:val="0066FF">
                <w14:alpha w14:val="100000"/>
              </w14:srgbClr>
            </w14:solidFill>
          </w14:textFill>
        </w:rPr>
        <w:t>|</w:t>
      </w:r>
    </w:p>
    <w:p w14:paraId="3D5782AD" w14:textId="73D75ED3" w:rsidR="00580B8F" w:rsidRPr="00E750DB" w:rsidRDefault="002F4514" w:rsidP="00E072B9">
      <w:pPr>
        <w:pStyle w:val="Caption"/>
        <w:rPr>
          <w:rStyle w:val="CommentReference"/>
          <w:b/>
          <w:szCs w:val="24"/>
        </w:rPr>
      </w:pPr>
      <w:r w:rsidRPr="00E750DB">
        <w:t xml:space="preserve">Table </w:t>
      </w:r>
      <w:r w:rsidR="00E750DB">
        <w:fldChar w:fldCharType="begin" w:fldLock="1"/>
      </w:r>
      <w:r w:rsidR="00E750DB">
        <w:instrText xml:space="preserve"> SEQ Table \* ARABIC </w:instrText>
      </w:r>
      <w:r w:rsidR="00E750DB">
        <w:fldChar w:fldCharType="separate"/>
      </w:r>
      <w:r w:rsidR="00E750DB" w:rsidRPr="00E750DB">
        <w:t>1</w:t>
      </w:r>
      <w:r w:rsidR="00E750DB">
        <w:fldChar w:fldCharType="end"/>
      </w:r>
      <w:r w:rsidR="00580B8F" w:rsidRPr="00E750DB">
        <w:t>:</w:t>
      </w:r>
      <w:r w:rsidR="00580B8F" w:rsidRPr="00E750DB">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29"/>
        <w:gridCol w:w="7888"/>
      </w:tblGrid>
      <w:tr w:rsidR="00580B8F" w:rsidRPr="00E750DB" w14:paraId="0E2ADE5C" w14:textId="77777777" w:rsidTr="002F4514">
        <w:trPr>
          <w:cantSplit/>
          <w:tblHeader/>
        </w:trPr>
        <w:tc>
          <w:tcPr>
            <w:tcW w:w="626" w:type="pct"/>
          </w:tcPr>
          <w:p w14:paraId="613CFA51" w14:textId="77777777" w:rsidR="00580B8F" w:rsidRPr="00E750DB" w:rsidRDefault="00580B8F" w:rsidP="00E072B9">
            <w:pPr>
              <w:pStyle w:val="TableText0"/>
              <w:widowControl/>
            </w:pPr>
            <w:r w:rsidRPr="00E750DB">
              <w:t>Component</w:t>
            </w:r>
          </w:p>
        </w:tc>
        <w:tc>
          <w:tcPr>
            <w:tcW w:w="4374" w:type="pct"/>
          </w:tcPr>
          <w:p w14:paraId="7B5BDC99" w14:textId="77777777" w:rsidR="00580B8F" w:rsidRPr="00E750DB" w:rsidRDefault="00580B8F" w:rsidP="00E072B9">
            <w:pPr>
              <w:pStyle w:val="TableText0"/>
              <w:widowControl/>
            </w:pPr>
            <w:r w:rsidRPr="00E750DB">
              <w:t>Description</w:t>
            </w:r>
          </w:p>
        </w:tc>
      </w:tr>
      <w:tr w:rsidR="00580B8F" w:rsidRPr="00915DBD" w14:paraId="78E34C4D" w14:textId="77777777" w:rsidTr="002F4514">
        <w:trPr>
          <w:cantSplit/>
        </w:trPr>
        <w:tc>
          <w:tcPr>
            <w:tcW w:w="626" w:type="pct"/>
            <w:vAlign w:val="center"/>
          </w:tcPr>
          <w:p w14:paraId="1DA11DCE" w14:textId="77777777" w:rsidR="00580B8F" w:rsidRPr="00915DBD" w:rsidRDefault="00580B8F" w:rsidP="00E072B9">
            <w:pPr>
              <w:pStyle w:val="Tabletext"/>
              <w:rPr>
                <w:i/>
              </w:rPr>
            </w:pPr>
            <w:r w:rsidRPr="00915DBD">
              <w:t>Population</w:t>
            </w:r>
          </w:p>
        </w:tc>
        <w:tc>
          <w:tcPr>
            <w:tcW w:w="4374" w:type="pct"/>
          </w:tcPr>
          <w:p w14:paraId="4D02A0E5" w14:textId="57B5F284" w:rsidR="00580B8F" w:rsidRPr="00915DBD" w:rsidRDefault="00580B8F" w:rsidP="00E072B9">
            <w:pPr>
              <w:pStyle w:val="Tabletext"/>
            </w:pPr>
            <w:r w:rsidRPr="00915DBD">
              <w:rPr>
                <w:rFonts w:eastAsiaTheme="majorEastAsia" w:cstheme="majorBidi"/>
                <w:bCs/>
              </w:rPr>
              <w:t>Adults and adolescents aged 12 years and older with AHP. The proposed PBS listing is for patients with a confirmed diagnosis and recurrent disease, defined as ≥2 porphyria attacks requiring hospitalisation, presentation at an emergency department or medical intervention via a porphyria clinic within the 6 months prior to treatment initiation.</w:t>
            </w:r>
          </w:p>
        </w:tc>
      </w:tr>
      <w:tr w:rsidR="00580B8F" w:rsidRPr="00915DBD" w14:paraId="34E82613" w14:textId="77777777" w:rsidTr="002F4514">
        <w:trPr>
          <w:cantSplit/>
        </w:trPr>
        <w:tc>
          <w:tcPr>
            <w:tcW w:w="626" w:type="pct"/>
            <w:vAlign w:val="center"/>
          </w:tcPr>
          <w:p w14:paraId="42F32161" w14:textId="77777777" w:rsidR="00580B8F" w:rsidRPr="00915DBD" w:rsidRDefault="00580B8F" w:rsidP="00E072B9">
            <w:pPr>
              <w:pStyle w:val="Tabletext"/>
              <w:rPr>
                <w:i/>
              </w:rPr>
            </w:pPr>
            <w:r w:rsidRPr="00915DBD">
              <w:t>Intervention</w:t>
            </w:r>
          </w:p>
        </w:tc>
        <w:tc>
          <w:tcPr>
            <w:tcW w:w="4374" w:type="pct"/>
          </w:tcPr>
          <w:p w14:paraId="04546660" w14:textId="77777777" w:rsidR="00580B8F" w:rsidRPr="00915DBD" w:rsidRDefault="00580B8F" w:rsidP="00E072B9">
            <w:pPr>
              <w:pStyle w:val="Tabletext"/>
              <w:rPr>
                <w:i/>
              </w:rPr>
            </w:pPr>
            <w:r w:rsidRPr="00915DBD">
              <w:t xml:space="preserve">Givosiran 2.5 mg/kg body weight once monthly, administered as a subcutaneous injection by a healthcare professional </w:t>
            </w:r>
          </w:p>
        </w:tc>
      </w:tr>
      <w:tr w:rsidR="00580B8F" w:rsidRPr="00915DBD" w14:paraId="1DA6F8AA" w14:textId="77777777" w:rsidTr="002F4514">
        <w:trPr>
          <w:cantSplit/>
        </w:trPr>
        <w:tc>
          <w:tcPr>
            <w:tcW w:w="626" w:type="pct"/>
            <w:vAlign w:val="center"/>
          </w:tcPr>
          <w:p w14:paraId="49097F64" w14:textId="77777777" w:rsidR="00580B8F" w:rsidRPr="00915DBD" w:rsidRDefault="00580B8F" w:rsidP="00E072B9">
            <w:pPr>
              <w:pStyle w:val="Tabletext"/>
              <w:rPr>
                <w:i/>
              </w:rPr>
            </w:pPr>
            <w:r w:rsidRPr="00915DBD">
              <w:t>Comparator</w:t>
            </w:r>
          </w:p>
        </w:tc>
        <w:tc>
          <w:tcPr>
            <w:tcW w:w="4374" w:type="pct"/>
          </w:tcPr>
          <w:p w14:paraId="0C690D07"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 xml:space="preserve">Best supportive care (BSC), which includes: </w:t>
            </w:r>
          </w:p>
          <w:p w14:paraId="35257606"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 xml:space="preserve">Rescue therapy for acute attacks, including IV hemin (via the Special Access Scheme) </w:t>
            </w:r>
          </w:p>
          <w:p w14:paraId="792D8BA8"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Supportive therapy for chronic symptoms such as pain, hypertension, gastrointestinal issues, and sleep or mood disorders (i.e., opioids, OTC analgesics)</w:t>
            </w:r>
          </w:p>
          <w:p w14:paraId="6353B72C" w14:textId="72129AD5" w:rsidR="00580B8F" w:rsidRPr="00915DBD" w:rsidRDefault="00580B8F" w:rsidP="00E072B9">
            <w:pPr>
              <w:pStyle w:val="Tabletext"/>
              <w:rPr>
                <w:i/>
              </w:rPr>
            </w:pPr>
            <w:r w:rsidRPr="00915DBD">
              <w:t>Preventative therapy, not TGA</w:t>
            </w:r>
            <w:r w:rsidR="00E072B9">
              <w:noBreakHyphen/>
            </w:r>
            <w:r w:rsidRPr="00915DBD">
              <w:t>registered for AHP (i.e., GnRH analogues for women, prophylactic IV hemin)</w:t>
            </w:r>
          </w:p>
        </w:tc>
      </w:tr>
      <w:tr w:rsidR="00580B8F" w:rsidRPr="00915DBD" w14:paraId="4229DB75" w14:textId="77777777" w:rsidTr="002F4514">
        <w:trPr>
          <w:cantSplit/>
        </w:trPr>
        <w:tc>
          <w:tcPr>
            <w:tcW w:w="626" w:type="pct"/>
            <w:vAlign w:val="center"/>
          </w:tcPr>
          <w:p w14:paraId="299E57E4" w14:textId="77777777" w:rsidR="00580B8F" w:rsidRPr="00915DBD" w:rsidRDefault="00580B8F" w:rsidP="00E072B9">
            <w:pPr>
              <w:pStyle w:val="Tabletext"/>
              <w:rPr>
                <w:i/>
              </w:rPr>
            </w:pPr>
            <w:r w:rsidRPr="00915DBD">
              <w:t>Outcomes</w:t>
            </w:r>
          </w:p>
        </w:tc>
        <w:tc>
          <w:tcPr>
            <w:tcW w:w="4374" w:type="pct"/>
          </w:tcPr>
          <w:p w14:paraId="3A9EA044"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 xml:space="preserve">Annualised number of acute attacks (defined as porphyria attacks requiring hospitalisation, an urgent healthcare visit or treated with IV hemin at home) </w:t>
            </w:r>
          </w:p>
          <w:p w14:paraId="727733C1"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Porphyrin precursor concentrations in urine</w:t>
            </w:r>
          </w:p>
          <w:p w14:paraId="62097842"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Chronic symptoms: levels of pain, nausea and fatigue</w:t>
            </w:r>
          </w:p>
          <w:p w14:paraId="205773A4"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Safety</w:t>
            </w:r>
          </w:p>
          <w:p w14:paraId="55FC1120" w14:textId="55DD434F" w:rsidR="00580B8F" w:rsidRPr="00915DBD" w:rsidRDefault="00580B8F" w:rsidP="00E072B9">
            <w:pPr>
              <w:pStyle w:val="Tabletext"/>
              <w:rPr>
                <w:rFonts w:eastAsiaTheme="majorEastAsia" w:cstheme="majorBidi"/>
                <w:bCs/>
                <w:iCs/>
              </w:rPr>
            </w:pPr>
            <w:r w:rsidRPr="00915DBD">
              <w:rPr>
                <w:rFonts w:eastAsiaTheme="majorEastAsia" w:cstheme="majorBidi"/>
                <w:bCs/>
                <w:iCs/>
              </w:rPr>
              <w:t>Quality of life and other patient</w:t>
            </w:r>
            <w:r w:rsidR="00E072B9">
              <w:rPr>
                <w:rFonts w:eastAsiaTheme="majorEastAsia" w:cstheme="majorBidi"/>
                <w:bCs/>
                <w:iCs/>
              </w:rPr>
              <w:noBreakHyphen/>
            </w:r>
            <w:r w:rsidRPr="00915DBD">
              <w:rPr>
                <w:rFonts w:eastAsiaTheme="majorEastAsia" w:cstheme="majorBidi"/>
                <w:bCs/>
                <w:iCs/>
              </w:rPr>
              <w:t>rated outcomes.</w:t>
            </w:r>
          </w:p>
        </w:tc>
      </w:tr>
      <w:tr w:rsidR="00580B8F" w:rsidRPr="00915DBD" w14:paraId="6545E841" w14:textId="77777777" w:rsidTr="002F4514">
        <w:trPr>
          <w:cantSplit/>
        </w:trPr>
        <w:tc>
          <w:tcPr>
            <w:tcW w:w="626" w:type="pct"/>
            <w:vAlign w:val="center"/>
          </w:tcPr>
          <w:p w14:paraId="5AD4E162" w14:textId="77777777" w:rsidR="00580B8F" w:rsidRPr="00915DBD" w:rsidRDefault="00580B8F" w:rsidP="00E072B9">
            <w:pPr>
              <w:pStyle w:val="Tabletext"/>
              <w:rPr>
                <w:i/>
              </w:rPr>
            </w:pPr>
            <w:r w:rsidRPr="00915DBD">
              <w:t>Clinical claim</w:t>
            </w:r>
          </w:p>
        </w:tc>
        <w:tc>
          <w:tcPr>
            <w:tcW w:w="4374" w:type="pct"/>
          </w:tcPr>
          <w:p w14:paraId="33D74A30" w14:textId="603BE15D" w:rsidR="00580B8F" w:rsidRPr="00915DBD" w:rsidRDefault="00580B8F" w:rsidP="00E072B9">
            <w:pPr>
              <w:pStyle w:val="Tabletext"/>
              <w:rPr>
                <w:i/>
              </w:rPr>
            </w:pPr>
            <w:r w:rsidRPr="00915DBD">
              <w:t>In adults and adolescents with AHP, givosiran is superior to BSC at reducing the frequency and severity of porphyria attacks, and non</w:t>
            </w:r>
            <w:r w:rsidR="00E072B9">
              <w:noBreakHyphen/>
            </w:r>
            <w:r w:rsidRPr="00915DBD">
              <w:t>inferior in terms of safety.</w:t>
            </w:r>
          </w:p>
        </w:tc>
      </w:tr>
    </w:tbl>
    <w:p w14:paraId="45EBF721" w14:textId="77777777" w:rsidR="00580B8F" w:rsidRPr="00E750DB" w:rsidRDefault="00580B8F" w:rsidP="00E072B9">
      <w:pPr>
        <w:pStyle w:val="FooterTableFigure"/>
        <w:keepNext/>
        <w:keepLines/>
      </w:pPr>
      <w:r w:rsidRPr="00E750DB">
        <w:lastRenderedPageBreak/>
        <w:t xml:space="preserve">Source: Table 1.1, p13 of the submission </w:t>
      </w:r>
    </w:p>
    <w:p w14:paraId="39AD22BC" w14:textId="11AE101A" w:rsidR="002F4514" w:rsidRPr="00E750DB" w:rsidRDefault="00580B8F" w:rsidP="00E072B9">
      <w:pPr>
        <w:pStyle w:val="FooterTableFigure"/>
        <w:keepNext/>
        <w:keepLines/>
      </w:pPr>
      <w:r w:rsidRPr="00E750DB">
        <w:t>Abbreviations: AHP, acute hepatic porphyria; BSC, best supportive care; GnRH, gonadotropin</w:t>
      </w:r>
      <w:r w:rsidR="00E072B9">
        <w:noBreakHyphen/>
      </w:r>
      <w:r w:rsidRPr="00E750DB">
        <w:t>releasing hormone; IV, intravenous; OTC, over the counter; TGA, Therapeutic Goods Administration</w:t>
      </w:r>
      <w:r w:rsidR="002F4514" w:rsidRPr="00E750DB">
        <w:t xml:space="preserve"> </w:t>
      </w:r>
    </w:p>
    <w:p w14:paraId="7A765866" w14:textId="77777777" w:rsidR="00580B8F" w:rsidRPr="00E750DB" w:rsidRDefault="00580B8F" w:rsidP="00E072B9">
      <w:pPr>
        <w:pStyle w:val="2-SectionHeading"/>
        <w:ind w:left="709" w:hanging="709"/>
      </w:pPr>
      <w:bookmarkStart w:id="3" w:name="_Toc198715351"/>
      <w:r w:rsidRPr="00E750DB">
        <w:t>Background</w:t>
      </w:r>
      <w:bookmarkEnd w:id="3"/>
    </w:p>
    <w:p w14:paraId="292A38F1" w14:textId="77777777" w:rsidR="00580B8F" w:rsidRPr="00E750DB" w:rsidRDefault="00580B8F" w:rsidP="00E072B9">
      <w:pPr>
        <w:pStyle w:val="4-SubsectionHeading"/>
      </w:pPr>
      <w:bookmarkStart w:id="4" w:name="_Toc198715352"/>
      <w:r w:rsidRPr="00E750DB">
        <w:t>Registration status</w:t>
      </w:r>
      <w:bookmarkEnd w:id="4"/>
    </w:p>
    <w:p w14:paraId="53D74101" w14:textId="47C50250" w:rsidR="00580B8F" w:rsidRPr="00E750DB" w:rsidRDefault="00580B8F" w:rsidP="00E072B9">
      <w:pPr>
        <w:pStyle w:val="3-BodyText"/>
      </w:pPr>
      <w:r w:rsidRPr="00E750DB">
        <w:t>Givosiran was TGA registered on 16 November 2023 for the treatment of AHP in adults and adolescents aged 12 years and older.</w:t>
      </w:r>
    </w:p>
    <w:p w14:paraId="03E599D6" w14:textId="77777777" w:rsidR="00580B8F" w:rsidRDefault="00580B8F" w:rsidP="00E072B9">
      <w:pPr>
        <w:pStyle w:val="2-SectionHeading"/>
        <w:ind w:left="709" w:hanging="709"/>
      </w:pPr>
      <w:bookmarkStart w:id="5" w:name="_Toc198715353"/>
      <w:r w:rsidRPr="00E750DB">
        <w:t>Requested listing</w:t>
      </w:r>
      <w:bookmarkEnd w:id="5"/>
    </w:p>
    <w:p w14:paraId="71F1D1BD" w14:textId="6A3AD087" w:rsidR="008751AA" w:rsidRPr="00FF12F6" w:rsidRDefault="009F63DE" w:rsidP="00E072B9">
      <w:pPr>
        <w:pStyle w:val="3-BodyText"/>
      </w:pPr>
      <w:r w:rsidRPr="00FF12F6">
        <w:rPr>
          <w:rFonts w:cstheme="minorHAnsi"/>
        </w:rPr>
        <w:t>Secretariat suggested changes to the restriction are shown below</w:t>
      </w:r>
      <w:r w:rsidR="00FF12F6" w:rsidRPr="00FF12F6">
        <w:rPr>
          <w:rFonts w:cstheme="minorHAnsi"/>
        </w:rPr>
        <w:t>; s</w:t>
      </w:r>
      <w:r w:rsidRPr="00FF12F6">
        <w:rPr>
          <w:rFonts w:cstheme="minorHAnsi"/>
        </w:rPr>
        <w:t>uggested additions are in italics and deletions are in strikethrough</w:t>
      </w:r>
      <w:r w:rsidR="00FF12F6" w:rsidRPr="00FF12F6">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477"/>
        <w:gridCol w:w="16"/>
        <w:gridCol w:w="744"/>
        <w:gridCol w:w="44"/>
        <w:gridCol w:w="1691"/>
        <w:gridCol w:w="1779"/>
        <w:gridCol w:w="812"/>
        <w:gridCol w:w="811"/>
        <w:gridCol w:w="812"/>
        <w:gridCol w:w="1809"/>
        <w:gridCol w:w="22"/>
      </w:tblGrid>
      <w:tr w:rsidR="00580B8F" w:rsidRPr="00915DBD" w14:paraId="592C05AC" w14:textId="77777777" w:rsidTr="00565C79">
        <w:trPr>
          <w:cantSplit/>
          <w:trHeight w:val="20"/>
        </w:trPr>
        <w:tc>
          <w:tcPr>
            <w:tcW w:w="2972" w:type="dxa"/>
            <w:gridSpan w:val="5"/>
            <w:vAlign w:val="center"/>
          </w:tcPr>
          <w:p w14:paraId="1A4B4B62" w14:textId="77777777" w:rsidR="00580B8F" w:rsidRPr="00915DBD" w:rsidRDefault="00580B8F" w:rsidP="00E072B9">
            <w:pPr>
              <w:keepLines/>
              <w:rPr>
                <w:rFonts w:ascii="Arial Narrow" w:hAnsi="Arial Narrow"/>
                <w:b/>
                <w:bCs/>
                <w:sz w:val="20"/>
                <w:szCs w:val="20"/>
              </w:rPr>
            </w:pPr>
            <w:r w:rsidRPr="00915DBD">
              <w:rPr>
                <w:rFonts w:ascii="Arial Narrow" w:hAnsi="Arial Narrow"/>
                <w:b/>
                <w:bCs/>
                <w:sz w:val="20"/>
                <w:szCs w:val="20"/>
              </w:rPr>
              <w:t>MEDICINAL PRODUCT</w:t>
            </w:r>
          </w:p>
          <w:p w14:paraId="5597C19F" w14:textId="77777777" w:rsidR="00580B8F" w:rsidRPr="00915DBD" w:rsidRDefault="00580B8F" w:rsidP="00E072B9">
            <w:pPr>
              <w:keepLines/>
              <w:rPr>
                <w:rFonts w:ascii="Arial Narrow" w:hAnsi="Arial Narrow"/>
                <w:b/>
                <w:sz w:val="20"/>
                <w:szCs w:val="20"/>
              </w:rPr>
            </w:pPr>
            <w:r w:rsidRPr="00915DBD">
              <w:rPr>
                <w:rFonts w:ascii="Arial Narrow" w:hAnsi="Arial Narrow"/>
                <w:b/>
                <w:bCs/>
                <w:sz w:val="20"/>
                <w:szCs w:val="20"/>
              </w:rPr>
              <w:t>medicinal product pack</w:t>
            </w:r>
          </w:p>
        </w:tc>
        <w:tc>
          <w:tcPr>
            <w:tcW w:w="1779" w:type="dxa"/>
            <w:vAlign w:val="center"/>
          </w:tcPr>
          <w:p w14:paraId="39EBD47E" w14:textId="77777777" w:rsidR="00580B8F" w:rsidRPr="008E03BF" w:rsidRDefault="00580B8F" w:rsidP="00E072B9">
            <w:pPr>
              <w:pStyle w:val="TableText0"/>
              <w:widowControl/>
              <w:rPr>
                <w:i/>
                <w:szCs w:val="20"/>
              </w:rPr>
            </w:pPr>
            <w:r w:rsidRPr="008E03BF">
              <w:t xml:space="preserve">Dispensed Price for Max. Qty </w:t>
            </w:r>
          </w:p>
        </w:tc>
        <w:tc>
          <w:tcPr>
            <w:tcW w:w="812" w:type="dxa"/>
            <w:vAlign w:val="center"/>
          </w:tcPr>
          <w:p w14:paraId="2743B68C"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Max. qty packs</w:t>
            </w:r>
          </w:p>
        </w:tc>
        <w:tc>
          <w:tcPr>
            <w:tcW w:w="811" w:type="dxa"/>
            <w:vAlign w:val="center"/>
          </w:tcPr>
          <w:p w14:paraId="6BBEEB5A"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Max. qty units</w:t>
            </w:r>
          </w:p>
        </w:tc>
        <w:tc>
          <w:tcPr>
            <w:tcW w:w="812" w:type="dxa"/>
            <w:vAlign w:val="center"/>
          </w:tcPr>
          <w:p w14:paraId="1657DB60"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№.of</w:t>
            </w:r>
          </w:p>
          <w:p w14:paraId="4387B922"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Rpts</w:t>
            </w:r>
          </w:p>
        </w:tc>
        <w:tc>
          <w:tcPr>
            <w:tcW w:w="1831" w:type="dxa"/>
            <w:gridSpan w:val="2"/>
            <w:vAlign w:val="center"/>
          </w:tcPr>
          <w:p w14:paraId="48D61D3A" w14:textId="77777777" w:rsidR="00580B8F" w:rsidRPr="00915DBD" w:rsidRDefault="00580B8F" w:rsidP="00E072B9">
            <w:pPr>
              <w:keepLines/>
              <w:rPr>
                <w:rFonts w:ascii="Arial Narrow" w:hAnsi="Arial Narrow"/>
                <w:b/>
                <w:sz w:val="20"/>
                <w:szCs w:val="20"/>
              </w:rPr>
            </w:pPr>
            <w:r w:rsidRPr="00915DBD">
              <w:rPr>
                <w:rFonts w:ascii="Arial Narrow" w:hAnsi="Arial Narrow"/>
                <w:b/>
                <w:sz w:val="20"/>
                <w:szCs w:val="20"/>
              </w:rPr>
              <w:t>Available brands</w:t>
            </w:r>
          </w:p>
        </w:tc>
      </w:tr>
      <w:tr w:rsidR="00580B8F" w:rsidRPr="00915DBD" w14:paraId="73B79C96" w14:textId="77777777" w:rsidTr="00A2021E">
        <w:trPr>
          <w:cantSplit/>
          <w:trHeight w:val="20"/>
        </w:trPr>
        <w:tc>
          <w:tcPr>
            <w:tcW w:w="9017" w:type="dxa"/>
            <w:gridSpan w:val="11"/>
            <w:vAlign w:val="center"/>
          </w:tcPr>
          <w:p w14:paraId="08E27BE4" w14:textId="77777777" w:rsidR="00580B8F" w:rsidRPr="00915DBD" w:rsidRDefault="00580B8F" w:rsidP="00E072B9">
            <w:pPr>
              <w:pStyle w:val="TableText0"/>
              <w:widowControl/>
              <w:rPr>
                <w:rFonts w:cs="Arial"/>
                <w:i/>
                <w:szCs w:val="20"/>
              </w:rPr>
            </w:pPr>
            <w:r w:rsidRPr="00915DBD">
              <w:t>GIVOSIRAN</w:t>
            </w:r>
            <w:r w:rsidRPr="00915DBD">
              <w:rPr>
                <w:rFonts w:cs="Arial"/>
                <w:color w:val="0066FF"/>
                <w:szCs w:val="20"/>
              </w:rPr>
              <w:t xml:space="preserve"> </w:t>
            </w:r>
          </w:p>
        </w:tc>
      </w:tr>
      <w:tr w:rsidR="00580B8F" w:rsidRPr="00854FEF" w14:paraId="0603118C" w14:textId="77777777" w:rsidTr="006472FE">
        <w:trPr>
          <w:cantSplit/>
          <w:trHeight w:val="20"/>
        </w:trPr>
        <w:tc>
          <w:tcPr>
            <w:tcW w:w="2972" w:type="dxa"/>
            <w:gridSpan w:val="5"/>
            <w:vAlign w:val="center"/>
          </w:tcPr>
          <w:p w14:paraId="65FF20A0" w14:textId="77777777" w:rsidR="00580B8F" w:rsidRPr="00D378F6" w:rsidRDefault="00580B8F" w:rsidP="00E072B9">
            <w:pPr>
              <w:pStyle w:val="TableText0"/>
              <w:widowControl/>
              <w:rPr>
                <w:b w:val="0"/>
                <w:bCs/>
                <w:i/>
                <w:color w:val="0066FF"/>
                <w:szCs w:val="20"/>
              </w:rPr>
            </w:pPr>
            <w:r w:rsidRPr="00D378F6">
              <w:rPr>
                <w:b w:val="0"/>
                <w:bCs/>
              </w:rPr>
              <w:t>Givosiran, (189mg per 1ml vial)*, solution for SC injection</w:t>
            </w:r>
            <w:r w:rsidRPr="00D378F6">
              <w:rPr>
                <w:b w:val="0"/>
                <w:bCs/>
                <w:color w:val="0066FF"/>
                <w:szCs w:val="20"/>
              </w:rPr>
              <w:t xml:space="preserve"> </w:t>
            </w:r>
          </w:p>
        </w:tc>
        <w:tc>
          <w:tcPr>
            <w:tcW w:w="1779" w:type="dxa"/>
          </w:tcPr>
          <w:p w14:paraId="079376F7" w14:textId="77777777" w:rsidR="00580B8F" w:rsidRPr="00D378F6" w:rsidRDefault="00580B8F" w:rsidP="00E072B9">
            <w:pPr>
              <w:pStyle w:val="TableText0"/>
              <w:widowControl/>
              <w:rPr>
                <w:b w:val="0"/>
                <w:bCs/>
                <w:i/>
              </w:rPr>
            </w:pPr>
            <w:r w:rsidRPr="00D378F6">
              <w:rPr>
                <w:b w:val="0"/>
                <w:bCs/>
              </w:rPr>
              <w:t>$153,585.94 published price</w:t>
            </w:r>
          </w:p>
          <w:p w14:paraId="3F47973B" w14:textId="7B76F10B" w:rsidR="00580B8F" w:rsidRPr="00D378F6" w:rsidRDefault="00580B8F" w:rsidP="00E072B9">
            <w:pPr>
              <w:pStyle w:val="TableText0"/>
              <w:widowControl/>
              <w:rPr>
                <w:b w:val="0"/>
                <w:bCs/>
                <w:i/>
                <w:szCs w:val="20"/>
              </w:rPr>
            </w:pPr>
            <w:r w:rsidRPr="00D378F6">
              <w:rPr>
                <w:b w:val="0"/>
                <w:bCs/>
              </w:rPr>
              <w:t>$</w:t>
            </w:r>
            <w:r w:rsidR="00B35ACC" w:rsidRPr="009742C5">
              <w:rPr>
                <w:b w:val="0"/>
                <w:color w:val="000000"/>
                <w:spacing w:val="53"/>
                <w:shd w:val="solid" w:color="000000" w:fill="000000"/>
                <w:fitText w:val="330" w:id="-625250047"/>
                <w14:textFill>
                  <w14:solidFill>
                    <w14:srgbClr w14:val="000000">
                      <w14:alpha w14:val="100000"/>
                    </w14:srgbClr>
                  </w14:solidFill>
                </w14:textFill>
              </w:rPr>
              <w:t>|||</w:t>
            </w:r>
            <w:r w:rsidR="00B35ACC" w:rsidRPr="009742C5">
              <w:rPr>
                <w:b w:val="0"/>
                <w:color w:val="000000"/>
                <w:spacing w:val="1"/>
                <w:shd w:val="solid" w:color="000000" w:fill="000000"/>
                <w:fitText w:val="330" w:id="-625250047"/>
                <w14:textFill>
                  <w14:solidFill>
                    <w14:srgbClr w14:val="000000">
                      <w14:alpha w14:val="100000"/>
                    </w14:srgbClr>
                  </w14:solidFill>
                </w14:textFill>
              </w:rPr>
              <w:t>|</w:t>
            </w:r>
            <w:r w:rsidRPr="00D378F6">
              <w:rPr>
                <w:b w:val="0"/>
                <w:bCs/>
              </w:rPr>
              <w:t xml:space="preserve"> effective price </w:t>
            </w:r>
          </w:p>
        </w:tc>
        <w:tc>
          <w:tcPr>
            <w:tcW w:w="812" w:type="dxa"/>
            <w:vAlign w:val="center"/>
          </w:tcPr>
          <w:p w14:paraId="3881806F" w14:textId="7DED88E8" w:rsidR="00580B8F" w:rsidRPr="00126ECA" w:rsidRDefault="00126ECA" w:rsidP="00E072B9">
            <w:pPr>
              <w:keepLines/>
              <w:jc w:val="center"/>
              <w:rPr>
                <w:rFonts w:ascii="Arial Narrow" w:hAnsi="Arial Narrow"/>
                <w:sz w:val="20"/>
                <w:szCs w:val="20"/>
              </w:rPr>
            </w:pPr>
            <w:r w:rsidRPr="00126ECA">
              <w:rPr>
                <w:rFonts w:ascii="Arial Narrow" w:hAnsi="Arial Narrow"/>
                <w:sz w:val="20"/>
              </w:rPr>
              <w:t>2</w:t>
            </w:r>
          </w:p>
        </w:tc>
        <w:tc>
          <w:tcPr>
            <w:tcW w:w="811" w:type="dxa"/>
            <w:vAlign w:val="center"/>
          </w:tcPr>
          <w:p w14:paraId="5B28FF89" w14:textId="29CFD37F" w:rsidR="00580B8F" w:rsidRPr="00915DBD" w:rsidRDefault="00580B8F" w:rsidP="00E072B9">
            <w:pPr>
              <w:keepLines/>
              <w:jc w:val="center"/>
              <w:rPr>
                <w:rFonts w:ascii="Arial Narrow" w:hAnsi="Arial Narrow"/>
                <w:sz w:val="20"/>
                <w:szCs w:val="20"/>
                <w:vertAlign w:val="superscript"/>
              </w:rPr>
            </w:pPr>
            <w:r w:rsidRPr="00915DBD">
              <w:rPr>
                <w:rFonts w:ascii="Arial Narrow" w:hAnsi="Arial Narrow"/>
                <w:sz w:val="20"/>
              </w:rPr>
              <w:t>2</w:t>
            </w:r>
          </w:p>
        </w:tc>
        <w:tc>
          <w:tcPr>
            <w:tcW w:w="812" w:type="dxa"/>
            <w:vAlign w:val="center"/>
          </w:tcPr>
          <w:p w14:paraId="4EE0031C" w14:textId="77777777" w:rsidR="00580B8F" w:rsidRPr="00915DBD" w:rsidRDefault="00580B8F" w:rsidP="00E072B9">
            <w:pPr>
              <w:keepLines/>
              <w:jc w:val="center"/>
              <w:rPr>
                <w:rFonts w:ascii="Arial Narrow" w:hAnsi="Arial Narrow"/>
                <w:sz w:val="20"/>
                <w:szCs w:val="20"/>
              </w:rPr>
            </w:pPr>
            <w:r w:rsidRPr="00915DBD">
              <w:rPr>
                <w:rFonts w:ascii="Arial Narrow" w:hAnsi="Arial Narrow"/>
                <w:sz w:val="20"/>
              </w:rPr>
              <w:t>5</w:t>
            </w:r>
          </w:p>
        </w:tc>
        <w:tc>
          <w:tcPr>
            <w:tcW w:w="1831" w:type="dxa"/>
            <w:gridSpan w:val="2"/>
            <w:vAlign w:val="center"/>
          </w:tcPr>
          <w:p w14:paraId="02E428EF" w14:textId="77777777" w:rsidR="00580B8F" w:rsidRPr="00EF23DC" w:rsidRDefault="00580B8F" w:rsidP="00E072B9">
            <w:pPr>
              <w:keepLines/>
              <w:jc w:val="center"/>
              <w:rPr>
                <w:rFonts w:ascii="Arial Narrow" w:hAnsi="Arial Narrow"/>
                <w:color w:val="0066FF"/>
                <w:sz w:val="20"/>
                <w:szCs w:val="20"/>
                <w:lang w:val="it-IT"/>
              </w:rPr>
            </w:pPr>
            <w:r w:rsidRPr="00EF23DC">
              <w:rPr>
                <w:rFonts w:ascii="Arial Narrow" w:hAnsi="Arial Narrow"/>
                <w:sz w:val="20"/>
                <w:lang w:val="it-IT"/>
              </w:rPr>
              <w:t>GIVLAARI®, Medison Pharma Australia Pty Ltd</w:t>
            </w:r>
          </w:p>
        </w:tc>
      </w:tr>
      <w:tr w:rsidR="00FB406E" w:rsidRPr="008751AA" w14:paraId="09502648"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8995" w:type="dxa"/>
            <w:gridSpan w:val="10"/>
            <w:tcBorders>
              <w:top w:val="single" w:sz="4" w:space="0" w:color="auto"/>
              <w:left w:val="single" w:sz="4" w:space="0" w:color="auto"/>
              <w:right w:val="single" w:sz="4" w:space="0" w:color="auto"/>
            </w:tcBorders>
            <w:vAlign w:val="center"/>
          </w:tcPr>
          <w:p w14:paraId="60FDF295" w14:textId="77777777" w:rsidR="00FB406E" w:rsidRPr="00FF12F6" w:rsidRDefault="00FB406E" w:rsidP="00E072B9">
            <w:pPr>
              <w:keepNext/>
              <w:keepLines/>
              <w:rPr>
                <w:rFonts w:ascii="Arial Narrow" w:hAnsi="Arial Narrow"/>
                <w:b/>
                <w:sz w:val="20"/>
                <w:szCs w:val="20"/>
              </w:rPr>
            </w:pPr>
            <w:r w:rsidRPr="00FF12F6">
              <w:rPr>
                <w:rFonts w:ascii="Arial Narrow" w:hAnsi="Arial Narrow"/>
                <w:b/>
                <w:sz w:val="20"/>
                <w:szCs w:val="20"/>
              </w:rPr>
              <w:t>Restriction Summary NEW1 / Treatment of Concept: NEW1A</w:t>
            </w:r>
          </w:p>
        </w:tc>
      </w:tr>
      <w:tr w:rsidR="00FB406E" w:rsidRPr="008751AA" w14:paraId="6ECF4A2B"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37" w:type="dxa"/>
            <w:gridSpan w:val="3"/>
            <w:vMerge w:val="restart"/>
            <w:tcBorders>
              <w:top w:val="single" w:sz="4" w:space="0" w:color="auto"/>
              <w:left w:val="single" w:sz="4" w:space="0" w:color="auto"/>
              <w:right w:val="single" w:sz="4" w:space="0" w:color="auto"/>
            </w:tcBorders>
          </w:tcPr>
          <w:p w14:paraId="62D95E10" w14:textId="77777777" w:rsidR="00FB406E" w:rsidRPr="00FF12F6" w:rsidRDefault="00FB406E" w:rsidP="00E072B9">
            <w:pPr>
              <w:keepNext/>
              <w:keepLines/>
              <w:jc w:val="center"/>
              <w:rPr>
                <w:rFonts w:ascii="Arial Narrow" w:hAnsi="Arial Narrow"/>
                <w:b/>
                <w:sz w:val="20"/>
                <w:szCs w:val="20"/>
              </w:rPr>
            </w:pPr>
            <w:r w:rsidRPr="00FF12F6">
              <w:rPr>
                <w:rFonts w:ascii="Arial Narrow" w:hAnsi="Arial Narrow"/>
                <w:b/>
                <w:sz w:val="20"/>
                <w:szCs w:val="20"/>
              </w:rPr>
              <w:t xml:space="preserve">Concept ID </w:t>
            </w:r>
            <w:r w:rsidRPr="00FF12F6">
              <w:rPr>
                <w:rFonts w:ascii="Arial Narrow" w:hAnsi="Arial Narrow"/>
                <w:sz w:val="20"/>
                <w:szCs w:val="20"/>
              </w:rPr>
              <w:t>(for internal Dept. use)</w:t>
            </w:r>
          </w:p>
        </w:tc>
        <w:tc>
          <w:tcPr>
            <w:tcW w:w="7758" w:type="dxa"/>
            <w:gridSpan w:val="7"/>
            <w:tcBorders>
              <w:top w:val="single" w:sz="4" w:space="0" w:color="auto"/>
              <w:left w:val="single" w:sz="4" w:space="0" w:color="auto"/>
              <w:bottom w:val="single" w:sz="4" w:space="0" w:color="auto"/>
              <w:right w:val="single" w:sz="4" w:space="0" w:color="auto"/>
            </w:tcBorders>
            <w:vAlign w:val="center"/>
          </w:tcPr>
          <w:p w14:paraId="47FA77B6" w14:textId="77777777" w:rsidR="00FB406E" w:rsidRPr="00FF12F6" w:rsidRDefault="00FB406E" w:rsidP="00E072B9">
            <w:pPr>
              <w:keepNext/>
              <w:keepLines/>
              <w:rPr>
                <w:rFonts w:ascii="Arial Narrow" w:hAnsi="Arial Narrow"/>
                <w:sz w:val="20"/>
                <w:szCs w:val="20"/>
              </w:rPr>
            </w:pPr>
            <w:r w:rsidRPr="00FF12F6">
              <w:rPr>
                <w:rFonts w:ascii="Arial Narrow" w:hAnsi="Arial Narrow"/>
                <w:b/>
                <w:sz w:val="20"/>
                <w:szCs w:val="20"/>
              </w:rPr>
              <w:t>Category / Program:</w:t>
            </w:r>
            <w:r w:rsidRPr="00FF12F6">
              <w:rPr>
                <w:rFonts w:ascii="Arial Narrow" w:hAnsi="Arial Narrow"/>
                <w:sz w:val="20"/>
                <w:szCs w:val="20"/>
              </w:rPr>
              <w:t xml:space="preserv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 xml:space="preserve"> General Schedule</w:t>
            </w:r>
          </w:p>
        </w:tc>
      </w:tr>
      <w:tr w:rsidR="00FB406E" w:rsidRPr="008751AA" w14:paraId="1077FCB6"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37" w:type="dxa"/>
            <w:gridSpan w:val="3"/>
            <w:vMerge/>
            <w:tcBorders>
              <w:left w:val="single" w:sz="4" w:space="0" w:color="auto"/>
              <w:right w:val="single" w:sz="4" w:space="0" w:color="auto"/>
            </w:tcBorders>
          </w:tcPr>
          <w:p w14:paraId="215D57A6" w14:textId="77777777" w:rsidR="00FB406E" w:rsidRPr="00FF12F6" w:rsidRDefault="00FB406E" w:rsidP="00E072B9">
            <w:pPr>
              <w:rPr>
                <w:rFonts w:ascii="Arial Narrow" w:hAnsi="Arial Narrow"/>
                <w:sz w:val="20"/>
                <w:szCs w:val="20"/>
              </w:rPr>
            </w:pPr>
          </w:p>
        </w:tc>
        <w:tc>
          <w:tcPr>
            <w:tcW w:w="7758" w:type="dxa"/>
            <w:gridSpan w:val="7"/>
            <w:tcBorders>
              <w:top w:val="single" w:sz="4" w:space="0" w:color="auto"/>
              <w:left w:val="single" w:sz="4" w:space="0" w:color="auto"/>
              <w:bottom w:val="single" w:sz="4" w:space="0" w:color="auto"/>
              <w:right w:val="single" w:sz="4" w:space="0" w:color="auto"/>
            </w:tcBorders>
            <w:vAlign w:val="center"/>
          </w:tcPr>
          <w:p w14:paraId="14F830E2" w14:textId="77777777" w:rsidR="00FB406E" w:rsidRPr="00FF12F6" w:rsidRDefault="00FB406E" w:rsidP="00E072B9">
            <w:pPr>
              <w:keepLines/>
              <w:rPr>
                <w:rFonts w:ascii="Arial Narrow" w:hAnsi="Arial Narrow"/>
                <w:b/>
                <w:sz w:val="20"/>
                <w:szCs w:val="20"/>
              </w:rPr>
            </w:pPr>
            <w:r w:rsidRPr="00FF12F6">
              <w:rPr>
                <w:rFonts w:ascii="Arial Narrow" w:hAnsi="Arial Narrow"/>
                <w:b/>
                <w:sz w:val="20"/>
                <w:szCs w:val="20"/>
              </w:rPr>
              <w:t xml:space="preserve">Prescriber type: </w:t>
            </w:r>
            <w:r w:rsidRPr="00FF12F6">
              <w:rPr>
                <w:rFonts w:ascii="Arial Narrow" w:hAnsi="Arial Narrow"/>
                <w:sz w:val="20"/>
                <w:szCs w:val="20"/>
              </w:rPr>
              <w:fldChar w:fldCharType="begin" w:fldLock="1">
                <w:ffData>
                  <w:name w:val=""/>
                  <w:enabled/>
                  <w:calcOnExit w:val="0"/>
                  <w:checkBox>
                    <w:sizeAuto/>
                    <w:default w:val="1"/>
                  </w:checkBox>
                </w:ffData>
              </w:fldChar>
            </w:r>
            <w:r w:rsidRPr="00FF12F6">
              <w:rPr>
                <w:rFonts w:ascii="Arial Narrow" w:hAnsi="Arial Narrow"/>
                <w:sz w:val="20"/>
                <w:szCs w:val="20"/>
              </w:rPr>
              <w:instrText xml:space="preserve"> FORMCHECKBOX </w:instrText>
            </w:r>
            <w:r w:rsidRPr="00FF12F6">
              <w:rPr>
                <w:rFonts w:ascii="Arial Narrow" w:hAnsi="Arial Narrow"/>
                <w:sz w:val="20"/>
                <w:szCs w:val="20"/>
              </w:rPr>
            </w:r>
            <w:r w:rsidRPr="00FF12F6">
              <w:rPr>
                <w:rFonts w:ascii="Arial Narrow" w:hAnsi="Arial Narrow"/>
                <w:sz w:val="20"/>
                <w:szCs w:val="20"/>
              </w:rPr>
              <w:fldChar w:fldCharType="separate"/>
            </w:r>
            <w:r w:rsidRPr="00FF12F6">
              <w:rPr>
                <w:rFonts w:ascii="Arial Narrow" w:hAnsi="Arial Narrow"/>
                <w:sz w:val="20"/>
                <w:szCs w:val="20"/>
              </w:rPr>
              <w:fldChar w:fldCharType="end"/>
            </w:r>
            <w:r w:rsidRPr="00FF12F6">
              <w:rPr>
                <w:rFonts w:ascii="Arial Narrow" w:hAnsi="Arial Narrow"/>
                <w:sz w:val="20"/>
                <w:szCs w:val="20"/>
              </w:rPr>
              <w:t>Medical Practitioners</w:t>
            </w:r>
          </w:p>
        </w:tc>
      </w:tr>
      <w:tr w:rsidR="00FB406E" w:rsidRPr="008751AA" w14:paraId="505C864F"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37" w:type="dxa"/>
            <w:gridSpan w:val="3"/>
            <w:vMerge/>
            <w:tcBorders>
              <w:left w:val="single" w:sz="4" w:space="0" w:color="auto"/>
              <w:right w:val="single" w:sz="4" w:space="0" w:color="auto"/>
            </w:tcBorders>
          </w:tcPr>
          <w:p w14:paraId="662684D7" w14:textId="77777777" w:rsidR="00FB406E" w:rsidRPr="00FF12F6" w:rsidRDefault="00FB406E" w:rsidP="00E072B9">
            <w:pPr>
              <w:rPr>
                <w:rFonts w:ascii="Arial Narrow" w:hAnsi="Arial Narrow"/>
                <w:sz w:val="20"/>
                <w:szCs w:val="20"/>
              </w:rPr>
            </w:pPr>
          </w:p>
        </w:tc>
        <w:tc>
          <w:tcPr>
            <w:tcW w:w="7758" w:type="dxa"/>
            <w:gridSpan w:val="7"/>
            <w:tcBorders>
              <w:top w:val="single" w:sz="4" w:space="0" w:color="auto"/>
              <w:left w:val="single" w:sz="4" w:space="0" w:color="auto"/>
              <w:bottom w:val="single" w:sz="4" w:space="0" w:color="auto"/>
              <w:right w:val="single" w:sz="4" w:space="0" w:color="auto"/>
            </w:tcBorders>
            <w:vAlign w:val="center"/>
          </w:tcPr>
          <w:p w14:paraId="6EC32B2E" w14:textId="77777777" w:rsidR="00FB406E" w:rsidRPr="00FF12F6" w:rsidRDefault="00FB406E" w:rsidP="00E072B9">
            <w:pPr>
              <w:keepLines/>
              <w:rPr>
                <w:rFonts w:ascii="Arial Narrow" w:eastAsia="Calibri" w:hAnsi="Arial Narrow"/>
                <w:sz w:val="20"/>
                <w:szCs w:val="20"/>
              </w:rPr>
            </w:pPr>
            <w:r w:rsidRPr="00FF12F6">
              <w:rPr>
                <w:rFonts w:ascii="Arial Narrow" w:hAnsi="Arial Narrow"/>
                <w:b/>
                <w:sz w:val="20"/>
                <w:szCs w:val="20"/>
              </w:rPr>
              <w:t xml:space="preserve">Restriction type: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 xml:space="preserve">Authority Required </w:t>
            </w:r>
            <w:r w:rsidRPr="00FF12F6">
              <w:rPr>
                <w:rFonts w:ascii="Arial Narrow" w:eastAsia="Calibri" w:hAnsi="Arial Narrow"/>
                <w:i/>
                <w:iCs/>
                <w:sz w:val="20"/>
                <w:szCs w:val="20"/>
              </w:rPr>
              <w:t>– full assessment (in writing only via post/HPOS upload)</w:t>
            </w:r>
          </w:p>
        </w:tc>
      </w:tr>
      <w:tr w:rsidR="00FB406E" w:rsidRPr="008751AA" w14:paraId="2E9662C0" w14:textId="77777777" w:rsidTr="0044281C">
        <w:tblPrEx>
          <w:tblCellMar>
            <w:top w:w="15" w:type="dxa"/>
            <w:bottom w:w="15" w:type="dxa"/>
          </w:tblCellMar>
        </w:tblPrEx>
        <w:trPr>
          <w:gridAfter w:val="1"/>
          <w:wAfter w:w="22" w:type="dxa"/>
          <w:trHeight w:val="20"/>
        </w:trPr>
        <w:tc>
          <w:tcPr>
            <w:tcW w:w="477" w:type="dxa"/>
            <w:vMerge w:val="restart"/>
            <w:tcBorders>
              <w:left w:val="single" w:sz="4" w:space="0" w:color="auto"/>
              <w:right w:val="single" w:sz="4" w:space="0" w:color="auto"/>
            </w:tcBorders>
            <w:textDirection w:val="btLr"/>
          </w:tcPr>
          <w:p w14:paraId="0899759F" w14:textId="77777777" w:rsidR="00FB406E" w:rsidRPr="00FF12F6" w:rsidRDefault="00FB406E" w:rsidP="00E072B9">
            <w:pPr>
              <w:ind w:left="113" w:right="113"/>
              <w:rPr>
                <w:rFonts w:ascii="Arial Narrow" w:hAnsi="Arial Narrow"/>
                <w:sz w:val="10"/>
                <w:szCs w:val="10"/>
              </w:rPr>
            </w:pPr>
            <w:r w:rsidRPr="00FF12F6">
              <w:rPr>
                <w:rFonts w:ascii="Arial Narrow" w:hAnsi="Arial Narrow"/>
                <w:sz w:val="10"/>
                <w:szCs w:val="10"/>
              </w:rPr>
              <w:t>Prescribing rule</w:t>
            </w:r>
          </w:p>
        </w:tc>
        <w:tc>
          <w:tcPr>
            <w:tcW w:w="760" w:type="dxa"/>
            <w:gridSpan w:val="2"/>
            <w:vAlign w:val="center"/>
          </w:tcPr>
          <w:p w14:paraId="0241FDFA" w14:textId="1BBFB8EE" w:rsidR="00FB406E" w:rsidRPr="00FF12F6" w:rsidRDefault="00FB406E" w:rsidP="00E072B9">
            <w:pPr>
              <w:jc w:val="center"/>
              <w:rPr>
                <w:rFonts w:ascii="Arial Narrow" w:hAnsi="Arial Narrow"/>
                <w:i/>
                <w:sz w:val="20"/>
                <w:szCs w:val="20"/>
              </w:rPr>
            </w:pPr>
          </w:p>
        </w:tc>
        <w:tc>
          <w:tcPr>
            <w:tcW w:w="7758" w:type="dxa"/>
            <w:gridSpan w:val="7"/>
            <w:vAlign w:val="center"/>
          </w:tcPr>
          <w:p w14:paraId="38B90F8D" w14:textId="77777777" w:rsidR="00FB406E" w:rsidRPr="00FF12F6" w:rsidRDefault="00FB406E"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No increase in the maximum number of repeats may be authorised.</w:t>
            </w:r>
          </w:p>
        </w:tc>
      </w:tr>
      <w:tr w:rsidR="00FB406E" w:rsidRPr="008751AA" w14:paraId="0511BF4C"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477" w:type="dxa"/>
            <w:vMerge/>
            <w:tcBorders>
              <w:left w:val="single" w:sz="4" w:space="0" w:color="auto"/>
              <w:bottom w:val="single" w:sz="4" w:space="0" w:color="auto"/>
              <w:right w:val="single" w:sz="4" w:space="0" w:color="auto"/>
            </w:tcBorders>
          </w:tcPr>
          <w:p w14:paraId="5A573804" w14:textId="77777777" w:rsidR="00FB406E" w:rsidRPr="00FF12F6" w:rsidRDefault="00FB406E" w:rsidP="00E072B9">
            <w:pPr>
              <w:rPr>
                <w:rFonts w:ascii="Arial Narrow" w:hAnsi="Arial Narrow"/>
                <w:sz w:val="20"/>
                <w:szCs w:val="20"/>
              </w:rPr>
            </w:pPr>
          </w:p>
        </w:tc>
        <w:tc>
          <w:tcPr>
            <w:tcW w:w="760" w:type="dxa"/>
            <w:gridSpan w:val="2"/>
            <w:vAlign w:val="center"/>
          </w:tcPr>
          <w:p w14:paraId="5F0CCA3E" w14:textId="252637D0" w:rsidR="00FB406E" w:rsidRPr="00FF12F6" w:rsidRDefault="00FB406E" w:rsidP="00E072B9">
            <w:pPr>
              <w:jc w:val="center"/>
              <w:rPr>
                <w:rFonts w:ascii="Arial Narrow" w:hAnsi="Arial Narrow"/>
                <w:i/>
                <w:sz w:val="20"/>
                <w:szCs w:val="20"/>
              </w:rPr>
            </w:pPr>
          </w:p>
        </w:tc>
        <w:tc>
          <w:tcPr>
            <w:tcW w:w="7758" w:type="dxa"/>
            <w:gridSpan w:val="7"/>
            <w:vAlign w:val="center"/>
          </w:tcPr>
          <w:p w14:paraId="08B78FBB" w14:textId="77777777" w:rsidR="00FB406E" w:rsidRPr="00FF12F6" w:rsidRDefault="00FB406E"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Special Pricing Arrangements apply.</w:t>
            </w:r>
          </w:p>
        </w:tc>
      </w:tr>
      <w:tr w:rsidR="00FB406E" w:rsidRPr="008751AA" w14:paraId="03E194C1"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hideMark/>
          </w:tcPr>
          <w:p w14:paraId="14E4693B" w14:textId="4637E6A0" w:rsidR="00FB406E" w:rsidRPr="00FF12F6" w:rsidRDefault="00FB406E" w:rsidP="00E072B9">
            <w:pPr>
              <w:keepLines/>
              <w:jc w:val="center"/>
              <w:rPr>
                <w:rFonts w:ascii="Arial Narrow" w:hAnsi="Arial Narrow"/>
                <w:sz w:val="20"/>
                <w:szCs w:val="20"/>
              </w:rPr>
            </w:pPr>
          </w:p>
        </w:tc>
        <w:tc>
          <w:tcPr>
            <w:tcW w:w="7758" w:type="dxa"/>
            <w:gridSpan w:val="7"/>
            <w:vAlign w:val="center"/>
            <w:hideMark/>
          </w:tcPr>
          <w:p w14:paraId="19A5ACC4" w14:textId="77777777" w:rsidR="00FB406E" w:rsidRPr="00FF12F6" w:rsidRDefault="00FB406E" w:rsidP="00E072B9">
            <w:pPr>
              <w:keepLines/>
              <w:rPr>
                <w:rFonts w:ascii="Arial Narrow" w:hAnsi="Arial Narrow"/>
                <w:sz w:val="20"/>
                <w:szCs w:val="20"/>
              </w:rPr>
            </w:pPr>
            <w:r w:rsidRPr="00FF12F6">
              <w:rPr>
                <w:rFonts w:ascii="Arial Narrow" w:hAnsi="Arial Narrow"/>
                <w:b/>
                <w:bCs/>
                <w:sz w:val="20"/>
                <w:szCs w:val="20"/>
              </w:rPr>
              <w:t>Indication:</w:t>
            </w:r>
            <w:r w:rsidRPr="00FF12F6">
              <w:rPr>
                <w:rFonts w:ascii="Arial Narrow" w:hAnsi="Arial Narrow"/>
                <w:sz w:val="20"/>
                <w:szCs w:val="20"/>
              </w:rPr>
              <w:t xml:space="preserve"> Chronic treatment of Acute Hepatic Porphyria (AHP)</w:t>
            </w:r>
          </w:p>
        </w:tc>
      </w:tr>
      <w:tr w:rsidR="00FB406E" w:rsidRPr="008751AA" w14:paraId="6D9C556C"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0145069" w14:textId="77777777" w:rsidR="00FB406E" w:rsidRPr="00FF12F6" w:rsidRDefault="00FB406E" w:rsidP="00E072B9">
            <w:pPr>
              <w:jc w:val="center"/>
              <w:rPr>
                <w:rFonts w:ascii="Arial Narrow" w:hAnsi="Arial Narrow"/>
                <w:sz w:val="20"/>
                <w:szCs w:val="20"/>
              </w:rPr>
            </w:pPr>
          </w:p>
        </w:tc>
        <w:tc>
          <w:tcPr>
            <w:tcW w:w="7758" w:type="dxa"/>
            <w:gridSpan w:val="7"/>
            <w:vAlign w:val="center"/>
          </w:tcPr>
          <w:p w14:paraId="265D8AA3" w14:textId="77777777" w:rsidR="00FB406E" w:rsidRPr="00FF12F6" w:rsidRDefault="00FB406E" w:rsidP="00E072B9">
            <w:pPr>
              <w:rPr>
                <w:rFonts w:ascii="Arial Narrow" w:hAnsi="Arial Narrow"/>
                <w:b/>
                <w:bCs/>
                <w:sz w:val="20"/>
                <w:szCs w:val="20"/>
              </w:rPr>
            </w:pPr>
            <w:r w:rsidRPr="00FF12F6">
              <w:rPr>
                <w:rFonts w:ascii="Arial Narrow" w:hAnsi="Arial Narrow"/>
                <w:b/>
                <w:bCs/>
                <w:sz w:val="20"/>
                <w:szCs w:val="20"/>
              </w:rPr>
              <w:t>Treatment Phase:</w:t>
            </w:r>
            <w:r w:rsidRPr="00FF12F6">
              <w:rPr>
                <w:rFonts w:ascii="Arial Narrow" w:hAnsi="Arial Narrow"/>
                <w:sz w:val="20"/>
                <w:szCs w:val="20"/>
              </w:rPr>
              <w:t xml:space="preserve"> </w:t>
            </w:r>
            <w:r w:rsidRPr="00FF12F6">
              <w:rPr>
                <w:rFonts w:ascii="Arial Narrow" w:hAnsi="Arial Narrow"/>
                <w:i/>
                <w:iCs/>
                <w:sz w:val="20"/>
                <w:szCs w:val="20"/>
              </w:rPr>
              <w:t>Initial</w:t>
            </w:r>
            <w:r w:rsidRPr="00FF12F6">
              <w:rPr>
                <w:rFonts w:ascii="Arial Narrow" w:hAnsi="Arial Narrow"/>
                <w:sz w:val="20"/>
                <w:szCs w:val="20"/>
              </w:rPr>
              <w:t xml:space="preserve"> treatment</w:t>
            </w:r>
            <w:r w:rsidRPr="00FF12F6">
              <w:rPr>
                <w:rFonts w:ascii="Arial Narrow" w:hAnsi="Arial Narrow"/>
                <w:strike/>
                <w:sz w:val="20"/>
                <w:szCs w:val="20"/>
              </w:rPr>
              <w:t xml:space="preserve"> </w:t>
            </w:r>
            <w:r w:rsidRPr="00FF12F6">
              <w:rPr>
                <w:rFonts w:ascii="Arial Narrow" w:hAnsi="Arial Narrow" w:cstheme="minorHAnsi"/>
                <w:strike/>
                <w:kern w:val="2"/>
                <w:sz w:val="20"/>
                <w:szCs w:val="20"/>
                <w14:ligatures w14:val="standardContextual"/>
              </w:rPr>
              <w:t>Initiation 1: New patient</w:t>
            </w:r>
          </w:p>
        </w:tc>
      </w:tr>
      <w:tr w:rsidR="00FB406E" w:rsidRPr="008751AA" w14:paraId="70D32B9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hideMark/>
          </w:tcPr>
          <w:p w14:paraId="2185FF48" w14:textId="77777777" w:rsidR="00FB406E" w:rsidRPr="00FF12F6" w:rsidRDefault="00FB406E" w:rsidP="00E072B9">
            <w:pPr>
              <w:jc w:val="center"/>
              <w:rPr>
                <w:rFonts w:ascii="Arial Narrow" w:hAnsi="Arial Narrow"/>
                <w:sz w:val="20"/>
                <w:szCs w:val="20"/>
              </w:rPr>
            </w:pPr>
          </w:p>
        </w:tc>
        <w:tc>
          <w:tcPr>
            <w:tcW w:w="7758" w:type="dxa"/>
            <w:gridSpan w:val="7"/>
            <w:vAlign w:val="center"/>
            <w:hideMark/>
          </w:tcPr>
          <w:p w14:paraId="2C9F2820"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 xml:space="preserve">Clinical criteria: </w:t>
            </w:r>
          </w:p>
        </w:tc>
      </w:tr>
      <w:tr w:rsidR="00FB406E" w:rsidRPr="008751AA" w14:paraId="407621C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703C2322" w14:textId="69976D93" w:rsidR="00FB406E" w:rsidRPr="00FF12F6" w:rsidRDefault="00FB406E" w:rsidP="00E072B9">
            <w:pPr>
              <w:jc w:val="center"/>
              <w:rPr>
                <w:rFonts w:ascii="Arial Narrow" w:hAnsi="Arial Narrow"/>
                <w:i/>
                <w:iCs/>
                <w:sz w:val="20"/>
                <w:szCs w:val="20"/>
              </w:rPr>
            </w:pPr>
          </w:p>
        </w:tc>
        <w:tc>
          <w:tcPr>
            <w:tcW w:w="7758" w:type="dxa"/>
            <w:gridSpan w:val="7"/>
            <w:vAlign w:val="center"/>
          </w:tcPr>
          <w:p w14:paraId="4E1CC31E" w14:textId="77777777" w:rsidR="00FB406E" w:rsidRPr="00FF12F6" w:rsidRDefault="00FB406E" w:rsidP="00E072B9">
            <w:pPr>
              <w:rPr>
                <w:rFonts w:ascii="Arial Narrow" w:hAnsi="Arial Narrow"/>
                <w:sz w:val="20"/>
                <w:szCs w:val="20"/>
              </w:rPr>
            </w:pPr>
            <w:r w:rsidRPr="00FF12F6">
              <w:rPr>
                <w:rFonts w:ascii="Arial Narrow" w:hAnsi="Arial Narrow" w:cstheme="minorHAnsi"/>
                <w:i/>
                <w:kern w:val="2"/>
                <w:sz w:val="20"/>
                <w:szCs w:val="20"/>
                <w14:ligatures w14:val="standardContextual"/>
              </w:rPr>
              <w:t xml:space="preserve">Patient must have </w:t>
            </w:r>
            <w:r w:rsidRPr="00FF12F6">
              <w:rPr>
                <w:rFonts w:ascii="Arial Narrow" w:hAnsi="Arial Narrow" w:cstheme="minorHAnsi"/>
                <w:strike/>
                <w:kern w:val="2"/>
                <w:sz w:val="20"/>
                <w:szCs w:val="20"/>
                <w14:ligatures w14:val="standardContextual"/>
              </w:rPr>
              <w:t>C</w:t>
            </w:r>
            <w:r w:rsidRPr="00FF12F6">
              <w:rPr>
                <w:rFonts w:ascii="Arial Narrow" w:hAnsi="Arial Narrow" w:cstheme="minorHAnsi"/>
                <w:i/>
                <w:iCs/>
                <w:kern w:val="2"/>
                <w:sz w:val="20"/>
                <w:szCs w:val="20"/>
                <w14:ligatures w14:val="standardContextual"/>
              </w:rPr>
              <w:t>c</w:t>
            </w:r>
            <w:r w:rsidRPr="00FF12F6">
              <w:rPr>
                <w:rFonts w:ascii="Arial Narrow" w:hAnsi="Arial Narrow" w:cstheme="minorHAnsi"/>
                <w:kern w:val="2"/>
                <w:sz w:val="20"/>
                <w:szCs w:val="20"/>
                <w14:ligatures w14:val="standardContextual"/>
              </w:rPr>
              <w:t xml:space="preserve">onfirmed diagnosis of AHP based on clinical features </w:t>
            </w:r>
            <w:r w:rsidRPr="00FF12F6">
              <w:rPr>
                <w:rFonts w:ascii="Arial Narrow" w:hAnsi="Arial Narrow" w:cstheme="minorHAnsi"/>
                <w:strike/>
                <w:kern w:val="2"/>
                <w:sz w:val="20"/>
                <w:szCs w:val="20"/>
                <w14:ligatures w14:val="standardContextual"/>
              </w:rPr>
              <w:t>(e.g., acute attacks of abdominal, back, chest, extremities, and/or limb pain)</w:t>
            </w:r>
          </w:p>
        </w:tc>
      </w:tr>
      <w:tr w:rsidR="00FB406E" w:rsidRPr="008751AA" w14:paraId="3D1C8C9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EFB8F64"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63B8A19A" w14:textId="77777777" w:rsidR="00FB406E" w:rsidRPr="00FF12F6" w:rsidRDefault="00FB406E" w:rsidP="00E072B9">
            <w:pPr>
              <w:rPr>
                <w:rFonts w:ascii="Arial Narrow" w:hAnsi="Arial Narrow"/>
                <w:b/>
                <w:bCs/>
                <w:sz w:val="20"/>
                <w:szCs w:val="20"/>
              </w:rPr>
            </w:pPr>
            <w:r w:rsidRPr="00FF12F6">
              <w:rPr>
                <w:rFonts w:ascii="Arial Narrow" w:hAnsi="Arial Narrow"/>
                <w:b/>
                <w:bCs/>
                <w:sz w:val="20"/>
                <w:szCs w:val="20"/>
              </w:rPr>
              <w:t>AND</w:t>
            </w:r>
          </w:p>
        </w:tc>
      </w:tr>
      <w:tr w:rsidR="00FB406E" w:rsidRPr="008751AA" w14:paraId="7A44A4F8"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B49D85E"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2AFE5662"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Clinical criteria:</w:t>
            </w:r>
          </w:p>
        </w:tc>
      </w:tr>
      <w:tr w:rsidR="00FB406E" w:rsidRPr="008751AA" w14:paraId="365E0B4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3679C737" w14:textId="77777777" w:rsidR="00FB406E" w:rsidRPr="00FF12F6" w:rsidRDefault="00FB406E" w:rsidP="00E072B9">
            <w:pPr>
              <w:jc w:val="center"/>
              <w:rPr>
                <w:rFonts w:ascii="Arial Narrow" w:hAnsi="Arial Narrow"/>
                <w:i/>
                <w:strike/>
                <w:sz w:val="20"/>
                <w:szCs w:val="20"/>
              </w:rPr>
            </w:pPr>
          </w:p>
        </w:tc>
        <w:tc>
          <w:tcPr>
            <w:tcW w:w="7758" w:type="dxa"/>
            <w:gridSpan w:val="7"/>
            <w:vAlign w:val="center"/>
          </w:tcPr>
          <w:p w14:paraId="78DC4C0A" w14:textId="39E03BCE" w:rsidR="00FB406E" w:rsidRPr="00FF12F6" w:rsidRDefault="00FB406E" w:rsidP="00E072B9">
            <w:pPr>
              <w:rPr>
                <w:rFonts w:ascii="Arial Narrow" w:hAnsi="Arial Narrow"/>
                <w:strike/>
                <w:sz w:val="20"/>
                <w:szCs w:val="20"/>
              </w:rPr>
            </w:pPr>
            <w:r w:rsidRPr="00FF12F6">
              <w:rPr>
                <w:rFonts w:ascii="Arial Narrow" w:hAnsi="Arial Narrow" w:cstheme="minorHAnsi"/>
                <w:strike/>
                <w:kern w:val="2"/>
                <w:sz w:val="20"/>
                <w:szCs w:val="20"/>
                <w14:ligatures w14:val="standardContextual"/>
              </w:rPr>
              <w:t>Documented urinary or plasma porphobilinogen or delta</w:t>
            </w:r>
            <w:r w:rsidR="00E072B9">
              <w:rPr>
                <w:rFonts w:ascii="Arial Narrow" w:hAnsi="Arial Narrow" w:cstheme="minorHAnsi"/>
                <w:strike/>
                <w:kern w:val="2"/>
                <w:sz w:val="20"/>
                <w:szCs w:val="20"/>
                <w14:ligatures w14:val="standardContextual"/>
              </w:rPr>
              <w:noBreakHyphen/>
            </w:r>
            <w:r w:rsidRPr="00FF12F6">
              <w:rPr>
                <w:rFonts w:ascii="Arial Narrow" w:hAnsi="Arial Narrow" w:cstheme="minorHAnsi"/>
                <w:strike/>
                <w:kern w:val="2"/>
                <w:sz w:val="20"/>
                <w:szCs w:val="20"/>
                <w14:ligatures w14:val="standardContextual"/>
              </w:rPr>
              <w:t xml:space="preserve">aminolevulinic acid value </w:t>
            </w:r>
            <w:r w:rsidRPr="00FF12F6">
              <w:rPr>
                <w:rFonts w:ascii="Arial Narrow" w:hAnsi="Arial Narrow" w:cstheme="minorHAnsi"/>
                <w:i/>
                <w:strike/>
                <w:kern w:val="2"/>
                <w:sz w:val="20"/>
                <w:szCs w:val="20"/>
                <w14:ligatures w14:val="standardContextual"/>
              </w:rPr>
              <w:t xml:space="preserve">at least </w:t>
            </w:r>
            <w:r w:rsidRPr="00FF12F6">
              <w:rPr>
                <w:rFonts w:ascii="Arial Narrow" w:hAnsi="Arial Narrow" w:cstheme="minorHAnsi"/>
                <w:strike/>
                <w:kern w:val="2"/>
                <w:sz w:val="20"/>
                <w:szCs w:val="20"/>
                <w14:ligatures w14:val="standardContextual"/>
              </w:rPr>
              <w:t xml:space="preserve">≥4× </w:t>
            </w:r>
            <w:r w:rsidRPr="00FF12F6">
              <w:rPr>
                <w:rFonts w:ascii="Arial Narrow" w:hAnsi="Arial Narrow" w:cstheme="minorHAnsi"/>
                <w:i/>
                <w:strike/>
                <w:kern w:val="2"/>
                <w:sz w:val="20"/>
                <w:szCs w:val="20"/>
                <w14:ligatures w14:val="standardContextual"/>
              </w:rPr>
              <w:t>times greater than</w:t>
            </w:r>
            <w:r w:rsidRPr="00FF12F6">
              <w:rPr>
                <w:rFonts w:ascii="Arial Narrow" w:hAnsi="Arial Narrow" w:cstheme="minorHAnsi"/>
                <w:strike/>
                <w:kern w:val="2"/>
                <w:sz w:val="20"/>
                <w:szCs w:val="20"/>
                <w14:ligatures w14:val="standardContextual"/>
              </w:rPr>
              <w:t xml:space="preserve"> upper limit of normal (ULN) on at least one occasion within the past year </w:t>
            </w:r>
          </w:p>
        </w:tc>
      </w:tr>
      <w:tr w:rsidR="00FB406E" w:rsidRPr="008751AA" w14:paraId="68D08DBF"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50E36F25" w14:textId="71539E5B" w:rsidR="00FB406E" w:rsidRPr="00FF12F6" w:rsidRDefault="00FB406E" w:rsidP="00E072B9">
            <w:pPr>
              <w:jc w:val="center"/>
              <w:rPr>
                <w:rFonts w:ascii="Arial Narrow" w:hAnsi="Arial Narrow"/>
                <w:i/>
                <w:iCs/>
                <w:sz w:val="20"/>
                <w:szCs w:val="20"/>
              </w:rPr>
            </w:pPr>
          </w:p>
        </w:tc>
        <w:tc>
          <w:tcPr>
            <w:tcW w:w="7758" w:type="dxa"/>
            <w:gridSpan w:val="7"/>
            <w:vAlign w:val="center"/>
          </w:tcPr>
          <w:p w14:paraId="402BBBCD" w14:textId="76E50150"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iCs/>
                <w:kern w:val="2"/>
                <w:sz w:val="20"/>
                <w:szCs w:val="20"/>
                <w14:ligatures w14:val="standardContextual"/>
              </w:rPr>
              <w:t>Patient must have a previous result that showed a 4 times greater than upper limit of the normal (ULN) on one of the following tests: (i) urinary porphobilinogen, (ii) plasma porphobilinogen, (iii) or delta</w:t>
            </w:r>
            <w:r w:rsidR="00E072B9">
              <w:rPr>
                <w:rFonts w:ascii="Arial Narrow" w:hAnsi="Arial Narrow" w:cstheme="minorHAnsi"/>
                <w:i/>
                <w:iCs/>
                <w:kern w:val="2"/>
                <w:sz w:val="20"/>
                <w:szCs w:val="20"/>
                <w14:ligatures w14:val="standardContextual"/>
              </w:rPr>
              <w:noBreakHyphen/>
            </w:r>
            <w:r w:rsidRPr="00FF12F6">
              <w:rPr>
                <w:rFonts w:ascii="Arial Narrow" w:hAnsi="Arial Narrow" w:cstheme="minorHAnsi"/>
                <w:i/>
                <w:iCs/>
                <w:kern w:val="2"/>
                <w:sz w:val="20"/>
                <w:szCs w:val="20"/>
                <w14:ligatures w14:val="standardContextual"/>
              </w:rPr>
              <w:t>aminolevulinic acid</w:t>
            </w:r>
          </w:p>
        </w:tc>
      </w:tr>
      <w:tr w:rsidR="00FB406E" w:rsidRPr="008751AA" w14:paraId="3FB243D2"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hideMark/>
          </w:tcPr>
          <w:p w14:paraId="23DAD645" w14:textId="77777777" w:rsidR="00FB406E" w:rsidRPr="00FF12F6" w:rsidRDefault="00FB406E" w:rsidP="00E072B9">
            <w:pPr>
              <w:jc w:val="center"/>
              <w:rPr>
                <w:rFonts w:ascii="Arial Narrow" w:hAnsi="Arial Narrow"/>
                <w:sz w:val="20"/>
                <w:szCs w:val="20"/>
              </w:rPr>
            </w:pPr>
          </w:p>
        </w:tc>
        <w:tc>
          <w:tcPr>
            <w:tcW w:w="7758" w:type="dxa"/>
            <w:gridSpan w:val="7"/>
            <w:vAlign w:val="center"/>
            <w:hideMark/>
          </w:tcPr>
          <w:p w14:paraId="1D5ACE8A"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AND</w:t>
            </w:r>
          </w:p>
        </w:tc>
      </w:tr>
      <w:tr w:rsidR="00FB406E" w:rsidRPr="008751AA" w14:paraId="0F4542B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34E0B844" w14:textId="77777777" w:rsidR="00FB406E" w:rsidRPr="00FF12F6" w:rsidRDefault="00FB406E" w:rsidP="00E072B9">
            <w:pPr>
              <w:jc w:val="center"/>
              <w:rPr>
                <w:rFonts w:ascii="Arial Narrow" w:hAnsi="Arial Narrow"/>
                <w:sz w:val="20"/>
                <w:szCs w:val="20"/>
              </w:rPr>
            </w:pPr>
          </w:p>
        </w:tc>
        <w:tc>
          <w:tcPr>
            <w:tcW w:w="7758" w:type="dxa"/>
            <w:gridSpan w:val="7"/>
            <w:vAlign w:val="center"/>
            <w:hideMark/>
          </w:tcPr>
          <w:p w14:paraId="2C09CE8A"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Clinical criteria:</w:t>
            </w:r>
          </w:p>
        </w:tc>
      </w:tr>
      <w:tr w:rsidR="00FB406E" w:rsidRPr="008751AA" w14:paraId="461B9D8B"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6F1C9A33" w14:textId="2FEEEFDD" w:rsidR="00FB406E" w:rsidRPr="00FF12F6" w:rsidRDefault="00FB406E" w:rsidP="00E072B9">
            <w:pPr>
              <w:jc w:val="center"/>
              <w:rPr>
                <w:rFonts w:ascii="Arial Narrow" w:hAnsi="Arial Narrow"/>
                <w:sz w:val="20"/>
                <w:szCs w:val="20"/>
              </w:rPr>
            </w:pPr>
          </w:p>
        </w:tc>
        <w:tc>
          <w:tcPr>
            <w:tcW w:w="7758" w:type="dxa"/>
            <w:gridSpan w:val="7"/>
            <w:vAlign w:val="center"/>
            <w:hideMark/>
          </w:tcPr>
          <w:p w14:paraId="37549A2D"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kern w:val="2"/>
                <w:sz w:val="20"/>
                <w:szCs w:val="20"/>
                <w14:ligatures w14:val="standardContextual"/>
              </w:rPr>
              <w:t xml:space="preserve">Patient must have </w:t>
            </w:r>
            <w:r w:rsidRPr="00FF12F6">
              <w:rPr>
                <w:rFonts w:ascii="Arial Narrow" w:hAnsi="Arial Narrow" w:cstheme="minorHAnsi"/>
                <w:i/>
                <w:iCs/>
                <w:kern w:val="2"/>
                <w:sz w:val="20"/>
                <w:szCs w:val="20"/>
                <w14:ligatures w14:val="standardContextual"/>
              </w:rPr>
              <w:t xml:space="preserve">had </w:t>
            </w:r>
            <w:r w:rsidRPr="00FF12F6">
              <w:rPr>
                <w:rFonts w:ascii="Arial Narrow" w:hAnsi="Arial Narrow" w:cstheme="minorHAnsi"/>
                <w:strike/>
                <w:kern w:val="2"/>
                <w:sz w:val="20"/>
                <w:szCs w:val="20"/>
                <w14:ligatures w14:val="standardContextual"/>
              </w:rPr>
              <w:t>Active disease, with</w:t>
            </w:r>
            <w:r w:rsidRPr="00FF12F6">
              <w:rPr>
                <w:rFonts w:ascii="Arial Narrow" w:hAnsi="Arial Narrow" w:cstheme="minorHAnsi"/>
                <w:kern w:val="2"/>
                <w:sz w:val="20"/>
                <w:szCs w:val="20"/>
                <w14:ligatures w14:val="standardContextual"/>
              </w:rPr>
              <w:t xml:space="preserve"> at least 2 porphyria attacks</w:t>
            </w:r>
            <w:r w:rsidRPr="00FF12F6">
              <w:rPr>
                <w:rFonts w:ascii="Arial Narrow" w:hAnsi="Arial Narrow" w:cstheme="minorHAnsi"/>
                <w:i/>
                <w:kern w:val="2"/>
                <w:sz w:val="20"/>
                <w:szCs w:val="20"/>
                <w14:ligatures w14:val="standardContextual"/>
              </w:rPr>
              <w:t xml:space="preserve"> </w:t>
            </w:r>
            <w:r w:rsidRPr="00FF12F6">
              <w:rPr>
                <w:rFonts w:ascii="Arial Narrow" w:hAnsi="Arial Narrow" w:cstheme="minorHAnsi"/>
                <w:i/>
                <w:iCs/>
                <w:kern w:val="2"/>
                <w:sz w:val="20"/>
                <w:szCs w:val="20"/>
                <w14:ligatures w14:val="standardContextual"/>
              </w:rPr>
              <w:t xml:space="preserve">within the 6 months prior to </w:t>
            </w:r>
          </w:p>
          <w:p w14:paraId="43AB8FBB"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iCs/>
                <w:kern w:val="2"/>
                <w:sz w:val="20"/>
                <w:szCs w:val="20"/>
                <w14:ligatures w14:val="standardContextual"/>
              </w:rPr>
              <w:t xml:space="preserve">(i) commencement of this drug or </w:t>
            </w:r>
          </w:p>
          <w:p w14:paraId="27B5DB8B" w14:textId="51D984BF"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iCs/>
                <w:kern w:val="2"/>
                <w:sz w:val="20"/>
                <w:szCs w:val="20"/>
                <w14:ligatures w14:val="standardContextual"/>
              </w:rPr>
              <w:t>(ii) prophylactic treatment with gonadotropin</w:t>
            </w:r>
            <w:r w:rsidR="00E072B9">
              <w:rPr>
                <w:rFonts w:ascii="Arial Narrow" w:hAnsi="Arial Narrow" w:cstheme="minorHAnsi"/>
                <w:i/>
                <w:iCs/>
                <w:kern w:val="2"/>
                <w:sz w:val="20"/>
                <w:szCs w:val="20"/>
                <w14:ligatures w14:val="standardContextual"/>
              </w:rPr>
              <w:noBreakHyphen/>
            </w:r>
            <w:r w:rsidRPr="00FF12F6">
              <w:rPr>
                <w:rFonts w:ascii="Arial Narrow" w:hAnsi="Arial Narrow" w:cstheme="minorHAnsi"/>
                <w:i/>
                <w:iCs/>
                <w:kern w:val="2"/>
                <w:sz w:val="20"/>
                <w:szCs w:val="20"/>
                <w14:ligatures w14:val="standardContextual"/>
              </w:rPr>
              <w:t xml:space="preserve">releasing hormone analogues or hemin </w:t>
            </w:r>
          </w:p>
          <w:p w14:paraId="06B41879" w14:textId="77777777" w:rsidR="00FB406E" w:rsidRPr="00FF12F6" w:rsidRDefault="00FB406E" w:rsidP="00E072B9">
            <w:pPr>
              <w:rPr>
                <w:rFonts w:ascii="Arial Narrow" w:hAnsi="Arial Narrow"/>
                <w:sz w:val="20"/>
                <w:szCs w:val="20"/>
              </w:rPr>
            </w:pPr>
            <w:r w:rsidRPr="00FF12F6">
              <w:rPr>
                <w:rFonts w:ascii="Arial Narrow" w:hAnsi="Arial Narrow" w:cstheme="minorHAnsi"/>
                <w:i/>
                <w:iCs/>
                <w:kern w:val="2"/>
                <w:sz w:val="20"/>
                <w:szCs w:val="20"/>
                <w14:ligatures w14:val="standardContextual"/>
              </w:rPr>
              <w:t>requiring</w:t>
            </w:r>
            <w:r w:rsidRPr="00FF12F6">
              <w:rPr>
                <w:rFonts w:ascii="Arial Narrow" w:hAnsi="Arial Narrow" w:cstheme="minorHAnsi"/>
                <w:kern w:val="2"/>
                <w:sz w:val="20"/>
                <w:szCs w:val="20"/>
                <w14:ligatures w14:val="standardContextual"/>
              </w:rPr>
              <w:t>:</w:t>
            </w:r>
            <w:r w:rsidRPr="00FF12F6">
              <w:rPr>
                <w:rFonts w:ascii="Arial Narrow" w:hAnsi="Arial Narrow" w:cstheme="minorHAnsi"/>
                <w:i/>
                <w:iCs/>
                <w:kern w:val="2"/>
                <w:sz w:val="20"/>
                <w:szCs w:val="20"/>
                <w14:ligatures w14:val="standardContextual"/>
              </w:rPr>
              <w:t xml:space="preserve"> (i)</w:t>
            </w:r>
            <w:r w:rsidRPr="00FF12F6">
              <w:rPr>
                <w:rFonts w:ascii="Arial Narrow" w:hAnsi="Arial Narrow" w:cstheme="minorHAnsi"/>
                <w:kern w:val="2"/>
                <w:sz w:val="20"/>
                <w:szCs w:val="20"/>
                <w14:ligatures w14:val="standardContextual"/>
              </w:rPr>
              <w:t xml:space="preserve"> hospitalisation, </w:t>
            </w:r>
            <w:r w:rsidRPr="00FF12F6">
              <w:rPr>
                <w:rFonts w:ascii="Arial Narrow" w:hAnsi="Arial Narrow" w:cstheme="minorHAnsi"/>
                <w:i/>
                <w:iCs/>
                <w:kern w:val="2"/>
                <w:sz w:val="20"/>
                <w:szCs w:val="20"/>
                <w14:ligatures w14:val="standardContextual"/>
              </w:rPr>
              <w:t>(ii)</w:t>
            </w:r>
            <w:r w:rsidRPr="00FF12F6">
              <w:rPr>
                <w:rFonts w:ascii="Arial Narrow" w:hAnsi="Arial Narrow" w:cstheme="minorHAnsi"/>
                <w:kern w:val="2"/>
                <w:sz w:val="20"/>
                <w:szCs w:val="20"/>
                <w14:ligatures w14:val="standardContextual"/>
              </w:rPr>
              <w:t xml:space="preserve"> presentation at an emergency department</w:t>
            </w:r>
            <w:r w:rsidRPr="00FF12F6">
              <w:rPr>
                <w:rFonts w:ascii="Arial Narrow" w:hAnsi="Arial Narrow" w:cstheme="minorHAnsi"/>
                <w:i/>
                <w:iCs/>
                <w:kern w:val="2"/>
                <w:sz w:val="20"/>
                <w:szCs w:val="20"/>
                <w14:ligatures w14:val="standardContextual"/>
              </w:rPr>
              <w:t>, or (iii)</w:t>
            </w:r>
            <w:r w:rsidRPr="00FF12F6">
              <w:rPr>
                <w:rFonts w:ascii="Arial Narrow" w:hAnsi="Arial Narrow" w:cstheme="minorHAnsi"/>
                <w:kern w:val="2"/>
                <w:sz w:val="20"/>
                <w:szCs w:val="20"/>
                <w14:ligatures w14:val="standardContextual"/>
              </w:rPr>
              <w:t xml:space="preserve"> </w:t>
            </w:r>
            <w:r w:rsidRPr="00FF12F6">
              <w:rPr>
                <w:rFonts w:ascii="Arial Narrow" w:hAnsi="Arial Narrow" w:cstheme="minorHAnsi"/>
                <w:strike/>
                <w:kern w:val="2"/>
                <w:sz w:val="20"/>
                <w:szCs w:val="20"/>
                <w14:ligatures w14:val="standardContextual"/>
              </w:rPr>
              <w:t>or</w:t>
            </w:r>
            <w:r w:rsidRPr="00FF12F6">
              <w:rPr>
                <w:rFonts w:ascii="Arial Narrow" w:hAnsi="Arial Narrow" w:cstheme="minorHAnsi"/>
                <w:kern w:val="2"/>
                <w:sz w:val="20"/>
                <w:szCs w:val="20"/>
                <w14:ligatures w14:val="standardContextual"/>
              </w:rPr>
              <w:t xml:space="preserve"> medical intervention via a porphyria clinic </w:t>
            </w:r>
            <w:r w:rsidRPr="00FF12F6">
              <w:rPr>
                <w:rFonts w:ascii="Arial Narrow" w:hAnsi="Arial Narrow" w:cstheme="minorHAnsi"/>
                <w:strike/>
                <w:kern w:val="2"/>
                <w:sz w:val="20"/>
                <w:szCs w:val="20"/>
                <w14:ligatures w14:val="standardContextual"/>
              </w:rPr>
              <w:t>within the 6 months prior to treatment initiation</w:t>
            </w:r>
          </w:p>
        </w:tc>
      </w:tr>
      <w:tr w:rsidR="00FB406E" w:rsidRPr="008751AA" w14:paraId="46CA125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2C77B131"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06D57A86" w14:textId="77777777" w:rsidR="00FB406E" w:rsidRPr="00FF12F6" w:rsidRDefault="00FB406E" w:rsidP="00E072B9">
            <w:pPr>
              <w:rPr>
                <w:rFonts w:ascii="Arial Narrow" w:hAnsi="Arial Narrow" w:cstheme="minorBidi"/>
                <w:i/>
                <w:iCs/>
                <w:kern w:val="2"/>
                <w:sz w:val="20"/>
                <w:szCs w:val="20"/>
                <w14:ligatures w14:val="standardContextual"/>
              </w:rPr>
            </w:pPr>
            <w:r w:rsidRPr="00FF12F6">
              <w:rPr>
                <w:rFonts w:ascii="Arial Narrow" w:hAnsi="Arial Narrow"/>
                <w:b/>
                <w:bCs/>
                <w:sz w:val="20"/>
                <w:szCs w:val="20"/>
              </w:rPr>
              <w:t>AND</w:t>
            </w:r>
          </w:p>
        </w:tc>
      </w:tr>
      <w:tr w:rsidR="00FB406E" w:rsidRPr="008751AA" w14:paraId="3486694B"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512F4FA7"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1F0F99A7" w14:textId="77777777" w:rsidR="00FB406E" w:rsidRPr="00FF12F6" w:rsidRDefault="00FB406E" w:rsidP="00E072B9">
            <w:pPr>
              <w:rPr>
                <w:rFonts w:ascii="Arial Narrow" w:hAnsi="Arial Narrow" w:cstheme="minorBidi"/>
                <w:i/>
                <w:iCs/>
                <w:kern w:val="2"/>
                <w:sz w:val="20"/>
                <w:szCs w:val="20"/>
                <w14:ligatures w14:val="standardContextual"/>
              </w:rPr>
            </w:pPr>
            <w:r w:rsidRPr="00FF12F6">
              <w:rPr>
                <w:rFonts w:ascii="Arial Narrow" w:hAnsi="Arial Narrow"/>
                <w:b/>
                <w:bCs/>
                <w:sz w:val="20"/>
                <w:szCs w:val="20"/>
              </w:rPr>
              <w:t>Clinical criteria:</w:t>
            </w:r>
          </w:p>
        </w:tc>
      </w:tr>
      <w:tr w:rsidR="00FB406E" w:rsidRPr="008751AA" w14:paraId="412A061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238242FB" w14:textId="7C74ACDA" w:rsidR="00FB406E" w:rsidRPr="00FF12F6" w:rsidRDefault="00FB406E" w:rsidP="00E072B9">
            <w:pPr>
              <w:jc w:val="center"/>
              <w:rPr>
                <w:rFonts w:ascii="Arial Narrow" w:hAnsi="Arial Narrow"/>
                <w:sz w:val="20"/>
                <w:szCs w:val="20"/>
              </w:rPr>
            </w:pPr>
          </w:p>
        </w:tc>
        <w:tc>
          <w:tcPr>
            <w:tcW w:w="7758" w:type="dxa"/>
            <w:gridSpan w:val="7"/>
            <w:vAlign w:val="center"/>
          </w:tcPr>
          <w:p w14:paraId="57505DC4" w14:textId="77777777" w:rsidR="00FB406E" w:rsidRPr="00FF12F6" w:rsidRDefault="00FB406E" w:rsidP="00E072B9">
            <w:pPr>
              <w:rPr>
                <w:rFonts w:ascii="Arial Narrow" w:hAnsi="Arial Narrow" w:cstheme="minorBidi"/>
                <w:kern w:val="2"/>
                <w:sz w:val="20"/>
                <w:szCs w:val="20"/>
                <w14:ligatures w14:val="standardContextual"/>
              </w:rPr>
            </w:pPr>
            <w:r w:rsidRPr="00FF12F6">
              <w:rPr>
                <w:rFonts w:ascii="Arial Narrow" w:hAnsi="Arial Narrow" w:cstheme="minorHAnsi"/>
                <w:kern w:val="2"/>
                <w:sz w:val="20"/>
                <w:szCs w:val="20"/>
                <w14:ligatures w14:val="standardContextual"/>
              </w:rPr>
              <w:t>Patient must not have previously undergone a liver transplant.</w:t>
            </w:r>
          </w:p>
        </w:tc>
      </w:tr>
      <w:tr w:rsidR="00FB406E" w:rsidRPr="008751AA" w14:paraId="52C1C8C3"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4386AB0" w14:textId="77777777" w:rsidR="00FB406E" w:rsidRPr="00FF12F6" w:rsidRDefault="00FB406E" w:rsidP="00E072B9">
            <w:pPr>
              <w:jc w:val="center"/>
              <w:rPr>
                <w:rFonts w:ascii="Arial Narrow" w:hAnsi="Arial Narrow"/>
                <w:sz w:val="20"/>
                <w:szCs w:val="20"/>
              </w:rPr>
            </w:pPr>
          </w:p>
        </w:tc>
        <w:tc>
          <w:tcPr>
            <w:tcW w:w="7758" w:type="dxa"/>
            <w:gridSpan w:val="7"/>
            <w:vAlign w:val="center"/>
          </w:tcPr>
          <w:p w14:paraId="03619C9C"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Treatment criteria:</w:t>
            </w:r>
          </w:p>
        </w:tc>
      </w:tr>
      <w:tr w:rsidR="00FB406E" w:rsidRPr="008751AA" w14:paraId="74ADB3A8"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6F3FD49A" w14:textId="2318108C" w:rsidR="00FB406E" w:rsidRPr="00FF12F6" w:rsidRDefault="00FB406E" w:rsidP="00E072B9">
            <w:pPr>
              <w:jc w:val="center"/>
              <w:rPr>
                <w:rFonts w:ascii="Arial Narrow" w:hAnsi="Arial Narrow"/>
                <w:sz w:val="20"/>
                <w:szCs w:val="20"/>
              </w:rPr>
            </w:pPr>
          </w:p>
        </w:tc>
        <w:tc>
          <w:tcPr>
            <w:tcW w:w="7758" w:type="dxa"/>
            <w:gridSpan w:val="7"/>
            <w:vAlign w:val="center"/>
          </w:tcPr>
          <w:p w14:paraId="7ECC0A22"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strike/>
                <w:kern w:val="2"/>
                <w:sz w:val="20"/>
                <w:szCs w:val="20"/>
                <w14:ligatures w14:val="standardContextual"/>
              </w:rPr>
              <w:t>Treatment should</w:t>
            </w:r>
            <w:r w:rsidRPr="00FF12F6">
              <w:rPr>
                <w:rFonts w:ascii="Arial Narrow" w:hAnsi="Arial Narrow" w:cstheme="minorHAnsi"/>
                <w:iCs/>
                <w:kern w:val="2"/>
                <w:sz w:val="20"/>
                <w:szCs w:val="20"/>
                <w14:ligatures w14:val="standardContextual"/>
              </w:rPr>
              <w:t xml:space="preserve"> </w:t>
            </w:r>
            <w:r w:rsidRPr="00FF12F6">
              <w:rPr>
                <w:rFonts w:ascii="Arial Narrow" w:hAnsi="Arial Narrow" w:cstheme="minorHAnsi"/>
                <w:i/>
                <w:kern w:val="2"/>
                <w:sz w:val="20"/>
                <w:szCs w:val="20"/>
                <w14:ligatures w14:val="standardContextual"/>
              </w:rPr>
              <w:t>Must</w:t>
            </w:r>
            <w:r w:rsidRPr="00FF12F6">
              <w:rPr>
                <w:rFonts w:ascii="Arial Narrow" w:hAnsi="Arial Narrow" w:cstheme="minorHAnsi"/>
                <w:iCs/>
                <w:kern w:val="2"/>
                <w:sz w:val="20"/>
                <w:szCs w:val="20"/>
                <w14:ligatures w14:val="standardContextual"/>
              </w:rPr>
              <w:t xml:space="preserve"> be initiated under the supervision of a healthcare professional experienced in the management of porphyria.</w:t>
            </w:r>
          </w:p>
        </w:tc>
      </w:tr>
      <w:tr w:rsidR="00FB406E" w:rsidRPr="008751AA" w14:paraId="0137477C"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46D2373B" w14:textId="77777777" w:rsidR="00FB406E" w:rsidRPr="00FF12F6" w:rsidRDefault="00FB406E" w:rsidP="00E072B9">
            <w:pPr>
              <w:jc w:val="center"/>
              <w:rPr>
                <w:rFonts w:ascii="Arial Narrow" w:hAnsi="Arial Narrow"/>
                <w:sz w:val="20"/>
                <w:szCs w:val="20"/>
              </w:rPr>
            </w:pPr>
          </w:p>
        </w:tc>
        <w:tc>
          <w:tcPr>
            <w:tcW w:w="7758" w:type="dxa"/>
            <w:gridSpan w:val="7"/>
            <w:vAlign w:val="center"/>
          </w:tcPr>
          <w:p w14:paraId="099DAE60"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Population criteria:</w:t>
            </w:r>
          </w:p>
        </w:tc>
      </w:tr>
      <w:tr w:rsidR="00FB406E" w:rsidRPr="008751AA" w14:paraId="5FB5B7A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40BE12C6" w14:textId="6D3F8D51" w:rsidR="00FB406E" w:rsidRPr="00FF12F6" w:rsidRDefault="00FB406E" w:rsidP="00E072B9">
            <w:pPr>
              <w:jc w:val="center"/>
              <w:rPr>
                <w:rFonts w:ascii="Arial Narrow" w:hAnsi="Arial Narrow"/>
                <w:sz w:val="20"/>
                <w:szCs w:val="20"/>
              </w:rPr>
            </w:pPr>
          </w:p>
        </w:tc>
        <w:tc>
          <w:tcPr>
            <w:tcW w:w="7758" w:type="dxa"/>
            <w:gridSpan w:val="7"/>
            <w:vAlign w:val="center"/>
          </w:tcPr>
          <w:p w14:paraId="56E30EA5"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kern w:val="2"/>
                <w:sz w:val="20"/>
                <w:szCs w:val="20"/>
                <w14:ligatures w14:val="standardContextual"/>
              </w:rPr>
              <w:t>Patient must be aged 12 years or older.</w:t>
            </w:r>
          </w:p>
        </w:tc>
      </w:tr>
      <w:tr w:rsidR="00FB406E" w:rsidRPr="008751AA" w14:paraId="022F063F"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5952F767" w14:textId="3A1D610D" w:rsidR="00FB406E" w:rsidRPr="00FF12F6" w:rsidRDefault="00FB406E" w:rsidP="00E072B9">
            <w:pPr>
              <w:jc w:val="center"/>
              <w:rPr>
                <w:rFonts w:ascii="Arial Narrow" w:hAnsi="Arial Narrow"/>
                <w:i/>
                <w:iCs/>
                <w:strike/>
                <w:sz w:val="20"/>
                <w:szCs w:val="20"/>
              </w:rPr>
            </w:pPr>
          </w:p>
        </w:tc>
        <w:tc>
          <w:tcPr>
            <w:tcW w:w="7758" w:type="dxa"/>
            <w:gridSpan w:val="7"/>
            <w:vAlign w:val="center"/>
          </w:tcPr>
          <w:p w14:paraId="5EEA08AD"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b/>
                <w:bCs/>
                <w:i/>
                <w:iCs/>
                <w:kern w:val="2"/>
                <w:sz w:val="20"/>
                <w:szCs w:val="20"/>
                <w14:ligatures w14:val="standardContextual"/>
              </w:rPr>
              <w:t>Prescribing Instructions</w:t>
            </w:r>
            <w:r w:rsidRPr="00FF12F6">
              <w:rPr>
                <w:rFonts w:ascii="Arial Narrow" w:hAnsi="Arial Narrow" w:cstheme="minorHAnsi"/>
                <w:i/>
                <w:iCs/>
                <w:kern w:val="2"/>
                <w:sz w:val="20"/>
                <w:szCs w:val="20"/>
                <w14:ligatures w14:val="standardContextual"/>
              </w:rPr>
              <w:t>:</w:t>
            </w:r>
          </w:p>
          <w:p w14:paraId="535BC204" w14:textId="77777777" w:rsidR="00FB406E" w:rsidRPr="00FF12F6" w:rsidRDefault="00FB406E" w:rsidP="00E072B9">
            <w:pPr>
              <w:rPr>
                <w:rFonts w:ascii="Arial Narrow" w:hAnsi="Arial Narrow" w:cstheme="minorHAnsi"/>
                <w:i/>
                <w:iCs/>
                <w:strike/>
                <w:kern w:val="2"/>
                <w:sz w:val="20"/>
                <w:szCs w:val="20"/>
                <w14:ligatures w14:val="standardContextual"/>
              </w:rPr>
            </w:pPr>
            <w:r w:rsidRPr="00FF12F6">
              <w:rPr>
                <w:rFonts w:ascii="Arial Narrow" w:hAnsi="Arial Narrow" w:cstheme="minorHAnsi"/>
                <w:i/>
                <w:iCs/>
                <w:kern w:val="2"/>
                <w:sz w:val="20"/>
                <w:szCs w:val="20"/>
                <w14:ligatures w14:val="standardContextual"/>
              </w:rPr>
              <w:t xml:space="preserve">For the purposes of administering this restriction clinical features to confirm a diagnosis of AHP can include, but are not limited to acute attacks of: abdominal, back, chest, extremities, and/or limb pain. </w:t>
            </w:r>
          </w:p>
        </w:tc>
      </w:tr>
      <w:tr w:rsidR="00FB406E" w:rsidRPr="008751AA" w14:paraId="43A7D41A"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610F5CDA" w14:textId="1420F6AF" w:rsidR="00FB406E" w:rsidRPr="00FF12F6" w:rsidRDefault="00FB406E" w:rsidP="00E072B9">
            <w:pPr>
              <w:jc w:val="center"/>
              <w:rPr>
                <w:rFonts w:ascii="Arial Narrow" w:hAnsi="Arial Narrow"/>
                <w:i/>
                <w:iCs/>
                <w:sz w:val="20"/>
                <w:szCs w:val="20"/>
              </w:rPr>
            </w:pPr>
          </w:p>
        </w:tc>
        <w:tc>
          <w:tcPr>
            <w:tcW w:w="7758" w:type="dxa"/>
            <w:gridSpan w:val="7"/>
            <w:vAlign w:val="center"/>
          </w:tcPr>
          <w:p w14:paraId="2569F95B"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cstheme="minorHAnsi"/>
                <w:b/>
                <w:bCs/>
                <w:kern w:val="2"/>
                <w:sz w:val="20"/>
                <w:szCs w:val="20"/>
                <w14:ligatures w14:val="standardContextual"/>
              </w:rPr>
              <w:t>Prescribing Instructions</w:t>
            </w:r>
            <w:r w:rsidRPr="00FF12F6">
              <w:rPr>
                <w:rFonts w:ascii="Arial Narrow" w:hAnsi="Arial Narrow" w:cstheme="minorHAnsi"/>
                <w:kern w:val="2"/>
                <w:sz w:val="20"/>
                <w:szCs w:val="20"/>
                <w14:ligatures w14:val="standardContextual"/>
              </w:rPr>
              <w:t>:</w:t>
            </w:r>
          </w:p>
          <w:p w14:paraId="6D8FE096"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cstheme="minorHAnsi"/>
                <w:kern w:val="2"/>
                <w:sz w:val="20"/>
                <w:szCs w:val="20"/>
                <w14:ligatures w14:val="standardContextual"/>
              </w:rPr>
              <w:t xml:space="preserve">At the time of the authority application, prescribers should request the appropriate number of vials for a single dose based on the patient's weight, as per </w:t>
            </w:r>
            <w:r w:rsidRPr="00FF12F6">
              <w:rPr>
                <w:rFonts w:ascii="Arial Narrow" w:hAnsi="Arial Narrow" w:cstheme="minorHAnsi"/>
                <w:i/>
                <w:kern w:val="2"/>
                <w:sz w:val="20"/>
                <w:szCs w:val="20"/>
                <w14:ligatures w14:val="standardContextual"/>
              </w:rPr>
              <w:t xml:space="preserve">the TGA approved </w:t>
            </w:r>
            <w:r w:rsidRPr="00FF12F6">
              <w:rPr>
                <w:rFonts w:ascii="Arial Narrow" w:hAnsi="Arial Narrow" w:cstheme="minorHAnsi"/>
                <w:kern w:val="2"/>
                <w:sz w:val="20"/>
                <w:szCs w:val="20"/>
                <w14:ligatures w14:val="standardContextual"/>
              </w:rPr>
              <w:t>Product Information</w:t>
            </w:r>
          </w:p>
        </w:tc>
      </w:tr>
      <w:tr w:rsidR="00FB406E" w:rsidRPr="008751AA" w14:paraId="1DDBF94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1880BBCB" w14:textId="77777777" w:rsidR="00FB406E" w:rsidRPr="00FF12F6" w:rsidRDefault="00FB406E" w:rsidP="00E072B9">
            <w:pPr>
              <w:jc w:val="center"/>
              <w:rPr>
                <w:rFonts w:ascii="Arial Narrow" w:hAnsi="Arial Narrow"/>
                <w:i/>
                <w:iCs/>
                <w:sz w:val="20"/>
                <w:szCs w:val="20"/>
              </w:rPr>
            </w:pPr>
          </w:p>
          <w:p w14:paraId="1DB12620" w14:textId="4FA44B93" w:rsidR="00FB406E" w:rsidRPr="00FF12F6" w:rsidRDefault="00FB406E" w:rsidP="00E072B9">
            <w:pPr>
              <w:jc w:val="center"/>
              <w:rPr>
                <w:rFonts w:ascii="Arial Narrow" w:hAnsi="Arial Narrow"/>
                <w:i/>
                <w:iCs/>
                <w:sz w:val="20"/>
                <w:szCs w:val="20"/>
              </w:rPr>
            </w:pPr>
          </w:p>
        </w:tc>
        <w:tc>
          <w:tcPr>
            <w:tcW w:w="7758" w:type="dxa"/>
            <w:gridSpan w:val="7"/>
            <w:vAlign w:val="center"/>
          </w:tcPr>
          <w:p w14:paraId="30106920" w14:textId="77777777" w:rsidR="00FB406E" w:rsidRPr="00FF12F6" w:rsidRDefault="00FB406E" w:rsidP="00E072B9">
            <w:pPr>
              <w:rPr>
                <w:rFonts w:ascii="Arial Narrow" w:hAnsi="Arial Narrow"/>
                <w:b/>
                <w:bCs/>
                <w:i/>
                <w:iCs/>
                <w:sz w:val="20"/>
                <w:szCs w:val="20"/>
              </w:rPr>
            </w:pPr>
            <w:r w:rsidRPr="00FF12F6">
              <w:rPr>
                <w:rFonts w:ascii="Arial Narrow" w:hAnsi="Arial Narrow"/>
                <w:b/>
                <w:bCs/>
                <w:i/>
                <w:iCs/>
                <w:sz w:val="20"/>
                <w:szCs w:val="20"/>
              </w:rPr>
              <w:t>Prescribing Instructions:</w:t>
            </w:r>
          </w:p>
          <w:p w14:paraId="009DBFC1" w14:textId="77777777" w:rsidR="00FB406E" w:rsidRPr="00FF12F6" w:rsidRDefault="00FB406E" w:rsidP="00E072B9">
            <w:pPr>
              <w:rPr>
                <w:rFonts w:ascii="Arial Narrow" w:hAnsi="Arial Narrow"/>
                <w:i/>
                <w:iCs/>
                <w:sz w:val="20"/>
                <w:szCs w:val="20"/>
              </w:rPr>
            </w:pPr>
            <w:r w:rsidRPr="00FF12F6">
              <w:rPr>
                <w:rFonts w:ascii="Arial Narrow" w:hAnsi="Arial Narrow"/>
                <w:i/>
                <w:iCs/>
                <w:sz w:val="20"/>
                <w:szCs w:val="20"/>
              </w:rPr>
              <w:t>The authority application must be made via the Online PBS Authorities System, or in writing via HPOS form upload or mail and must include:</w:t>
            </w:r>
          </w:p>
          <w:p w14:paraId="3ED1FB65" w14:textId="4C2D5F44" w:rsidR="00FB406E" w:rsidRPr="00FF12F6" w:rsidRDefault="00FB406E" w:rsidP="000869D3">
            <w:pPr>
              <w:pStyle w:val="ListParagraph"/>
              <w:numPr>
                <w:ilvl w:val="0"/>
                <w:numId w:val="15"/>
              </w:numPr>
              <w:spacing w:after="0"/>
              <w:contextualSpacing/>
              <w:rPr>
                <w:rFonts w:ascii="Arial Narrow" w:hAnsi="Arial Narrow"/>
                <w:i/>
                <w:iCs/>
                <w:sz w:val="20"/>
                <w:szCs w:val="20"/>
              </w:rPr>
            </w:pPr>
            <w:r w:rsidRPr="00FF12F6">
              <w:rPr>
                <w:rFonts w:ascii="Arial Narrow" w:hAnsi="Arial Narrow"/>
                <w:i/>
                <w:iCs/>
                <w:sz w:val="20"/>
                <w:szCs w:val="20"/>
              </w:rPr>
              <w:t>The baseline number of porphyria attacks within a defined 6</w:t>
            </w:r>
            <w:r w:rsidR="00E072B9">
              <w:rPr>
                <w:rFonts w:ascii="Arial Narrow" w:hAnsi="Arial Narrow"/>
                <w:i/>
                <w:iCs/>
                <w:sz w:val="20"/>
                <w:szCs w:val="20"/>
              </w:rPr>
              <w:noBreakHyphen/>
            </w:r>
            <w:r w:rsidRPr="00FF12F6">
              <w:rPr>
                <w:rFonts w:ascii="Arial Narrow" w:hAnsi="Arial Narrow"/>
                <w:i/>
                <w:iCs/>
                <w:sz w:val="20"/>
                <w:szCs w:val="20"/>
              </w:rPr>
              <w:t>month period [dates of the 6</w:t>
            </w:r>
            <w:r w:rsidR="00E072B9">
              <w:rPr>
                <w:rFonts w:ascii="Arial Narrow" w:hAnsi="Arial Narrow"/>
                <w:i/>
                <w:iCs/>
                <w:sz w:val="20"/>
                <w:szCs w:val="20"/>
              </w:rPr>
              <w:noBreakHyphen/>
            </w:r>
            <w:r w:rsidRPr="00FF12F6">
              <w:rPr>
                <w:rFonts w:ascii="Arial Narrow" w:hAnsi="Arial Narrow"/>
                <w:i/>
                <w:iCs/>
                <w:sz w:val="20"/>
                <w:szCs w:val="20"/>
              </w:rPr>
              <w:t>month period must be included]</w:t>
            </w:r>
          </w:p>
          <w:p w14:paraId="18A638F2" w14:textId="0CED089D" w:rsidR="00FB406E" w:rsidRPr="00FF12F6" w:rsidRDefault="00FB406E" w:rsidP="000869D3">
            <w:pPr>
              <w:pStyle w:val="ListParagraph"/>
              <w:numPr>
                <w:ilvl w:val="0"/>
                <w:numId w:val="15"/>
              </w:numPr>
              <w:spacing w:after="0"/>
              <w:contextualSpacing/>
              <w:rPr>
                <w:rFonts w:ascii="Arial Narrow" w:hAnsi="Arial Narrow"/>
                <w:i/>
                <w:iCs/>
                <w:sz w:val="20"/>
                <w:szCs w:val="20"/>
              </w:rPr>
            </w:pPr>
            <w:r w:rsidRPr="00FF12F6">
              <w:rPr>
                <w:rFonts w:ascii="Arial Narrow" w:hAnsi="Arial Narrow"/>
                <w:i/>
                <w:iCs/>
                <w:sz w:val="20"/>
                <w:szCs w:val="20"/>
              </w:rPr>
              <w:t xml:space="preserve">pathology measurements that indicate 4 times greater than the ULN of one of the following tests: (i) </w:t>
            </w:r>
            <w:r w:rsidRPr="00FF12F6">
              <w:rPr>
                <w:rFonts w:ascii="Arial Narrow" w:hAnsi="Arial Narrow" w:cstheme="minorHAnsi"/>
                <w:i/>
                <w:iCs/>
                <w:kern w:val="2"/>
                <w:sz w:val="20"/>
                <w:szCs w:val="20"/>
                <w14:ligatures w14:val="standardContextual"/>
              </w:rPr>
              <w:t>urinary porphobilinogen, (ii) plasma porphobilinogen, (iii) delta</w:t>
            </w:r>
            <w:r w:rsidR="00E072B9">
              <w:rPr>
                <w:rFonts w:ascii="Arial Narrow" w:hAnsi="Arial Narrow" w:cstheme="minorHAnsi"/>
                <w:i/>
                <w:iCs/>
                <w:kern w:val="2"/>
                <w:sz w:val="20"/>
                <w:szCs w:val="20"/>
                <w14:ligatures w14:val="standardContextual"/>
              </w:rPr>
              <w:noBreakHyphen/>
            </w:r>
            <w:r w:rsidRPr="00FF12F6">
              <w:rPr>
                <w:rFonts w:ascii="Arial Narrow" w:hAnsi="Arial Narrow" w:cstheme="minorHAnsi"/>
                <w:i/>
                <w:iCs/>
                <w:kern w:val="2"/>
                <w:sz w:val="20"/>
                <w:szCs w:val="20"/>
                <w14:ligatures w14:val="standardContextual"/>
              </w:rPr>
              <w:t>aminolevulinic acid. Date of pathology report and unique identifying number/code that links the pathology result to the individual patient must be included.</w:t>
            </w:r>
          </w:p>
          <w:p w14:paraId="3BE36665" w14:textId="77777777" w:rsidR="00FB406E" w:rsidRPr="00FF12F6" w:rsidRDefault="00FB406E" w:rsidP="000869D3">
            <w:pPr>
              <w:pStyle w:val="ListParagraph"/>
              <w:numPr>
                <w:ilvl w:val="0"/>
                <w:numId w:val="15"/>
              </w:numPr>
              <w:spacing w:after="0"/>
              <w:contextualSpacing/>
              <w:rPr>
                <w:rFonts w:ascii="Arial Narrow" w:hAnsi="Arial Narrow"/>
                <w:i/>
                <w:iCs/>
                <w:sz w:val="20"/>
                <w:szCs w:val="20"/>
              </w:rPr>
            </w:pPr>
            <w:r w:rsidRPr="00FF12F6">
              <w:rPr>
                <w:rFonts w:ascii="Arial Narrow" w:hAnsi="Arial Narrow" w:cstheme="minorHAnsi"/>
                <w:i/>
                <w:iCs/>
                <w:kern w:val="2"/>
                <w:sz w:val="20"/>
                <w:szCs w:val="20"/>
                <w14:ligatures w14:val="standardContextual"/>
              </w:rPr>
              <w:t>current weight of the patient</w:t>
            </w:r>
          </w:p>
        </w:tc>
      </w:tr>
      <w:tr w:rsidR="00FB406E" w:rsidRPr="008751AA" w14:paraId="22E4CBE0"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1AF7B2D3" w14:textId="6CF4227D" w:rsidR="00FB406E" w:rsidRPr="00FF12F6" w:rsidRDefault="00FB406E" w:rsidP="00E072B9">
            <w:pPr>
              <w:jc w:val="center"/>
              <w:rPr>
                <w:rFonts w:ascii="Arial Narrow" w:hAnsi="Arial Narrow"/>
                <w:i/>
                <w:iCs/>
                <w:sz w:val="20"/>
                <w:szCs w:val="20"/>
              </w:rPr>
            </w:pPr>
          </w:p>
        </w:tc>
        <w:tc>
          <w:tcPr>
            <w:tcW w:w="7758" w:type="dxa"/>
            <w:gridSpan w:val="7"/>
            <w:vAlign w:val="center"/>
          </w:tcPr>
          <w:p w14:paraId="2B9416CE" w14:textId="77777777" w:rsidR="00FB406E" w:rsidRPr="00FF12F6" w:rsidRDefault="00FB406E" w:rsidP="00E072B9">
            <w:pPr>
              <w:rPr>
                <w:rFonts w:ascii="Arial Narrow" w:hAnsi="Arial Narrow"/>
                <w:b/>
                <w:bCs/>
                <w:i/>
                <w:iCs/>
                <w:sz w:val="20"/>
                <w:szCs w:val="20"/>
              </w:rPr>
            </w:pPr>
            <w:r w:rsidRPr="00FF12F6">
              <w:rPr>
                <w:rFonts w:ascii="Arial Narrow" w:hAnsi="Arial Narrow"/>
                <w:b/>
                <w:bCs/>
                <w:i/>
                <w:iCs/>
                <w:sz w:val="20"/>
                <w:szCs w:val="20"/>
              </w:rPr>
              <w:t>Prescribing Instructions:</w:t>
            </w:r>
          </w:p>
          <w:p w14:paraId="6B3BA19E" w14:textId="77777777" w:rsidR="00FB406E" w:rsidRPr="00FF12F6" w:rsidRDefault="00FB406E" w:rsidP="00E072B9">
            <w:pPr>
              <w:rPr>
                <w:rFonts w:ascii="Arial Narrow" w:hAnsi="Arial Narrow"/>
                <w:i/>
                <w:iCs/>
                <w:sz w:val="20"/>
                <w:szCs w:val="20"/>
              </w:rPr>
            </w:pPr>
            <w:r w:rsidRPr="00FF12F6">
              <w:rPr>
                <w:rFonts w:ascii="Arial Narrow" w:hAnsi="Arial Narrow"/>
                <w:i/>
                <w:iCs/>
                <w:sz w:val="20"/>
                <w:szCs w:val="20"/>
              </w:rPr>
              <w:t>If the application is submitted through HPOS form upload or mail, it must include:</w:t>
            </w:r>
          </w:p>
          <w:p w14:paraId="69B420DC" w14:textId="77777777" w:rsidR="00FB406E" w:rsidRPr="00FF12F6" w:rsidRDefault="00FB406E" w:rsidP="00E072B9">
            <w:pPr>
              <w:rPr>
                <w:rFonts w:ascii="Arial Narrow" w:hAnsi="Arial Narrow"/>
                <w:i/>
                <w:iCs/>
                <w:sz w:val="20"/>
                <w:szCs w:val="20"/>
              </w:rPr>
            </w:pPr>
            <w:r w:rsidRPr="00FF12F6">
              <w:rPr>
                <w:rFonts w:ascii="Arial Narrow" w:hAnsi="Arial Narrow"/>
                <w:i/>
                <w:iCs/>
                <w:sz w:val="20"/>
                <w:szCs w:val="20"/>
              </w:rPr>
              <w:t>(i) details of the proposed prescription; and</w:t>
            </w:r>
          </w:p>
          <w:p w14:paraId="3E5D7881" w14:textId="77777777" w:rsidR="00FB406E" w:rsidRPr="00FF12F6" w:rsidRDefault="00FB406E" w:rsidP="00E072B9">
            <w:pPr>
              <w:rPr>
                <w:rFonts w:ascii="Arial Narrow" w:hAnsi="Arial Narrow" w:cstheme="minorHAnsi"/>
                <w:b/>
                <w:bCs/>
                <w:kern w:val="2"/>
                <w:sz w:val="20"/>
                <w:szCs w:val="20"/>
                <w14:ligatures w14:val="standardContextual"/>
              </w:rPr>
            </w:pPr>
            <w:r w:rsidRPr="00FF12F6">
              <w:rPr>
                <w:rFonts w:ascii="Arial Narrow" w:hAnsi="Arial Narrow"/>
                <w:i/>
                <w:iCs/>
                <w:sz w:val="20"/>
                <w:szCs w:val="20"/>
              </w:rPr>
              <w:t>(ii) a completed authority application form relevant to the indication and treatment phase (the latest version is located on the website specified in the Administrative Advice).</w:t>
            </w:r>
          </w:p>
        </w:tc>
      </w:tr>
      <w:tr w:rsidR="00FB406E" w:rsidRPr="008751AA" w14:paraId="71FA8712"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3E6E1024" w14:textId="6CDBF850" w:rsidR="00FB406E" w:rsidRPr="00FF12F6" w:rsidRDefault="00FB406E" w:rsidP="00E072B9">
            <w:pPr>
              <w:jc w:val="center"/>
              <w:rPr>
                <w:rFonts w:ascii="Arial Narrow" w:hAnsi="Arial Narrow"/>
                <w:i/>
                <w:sz w:val="20"/>
                <w:szCs w:val="20"/>
              </w:rPr>
            </w:pPr>
          </w:p>
        </w:tc>
        <w:tc>
          <w:tcPr>
            <w:tcW w:w="7758" w:type="dxa"/>
            <w:gridSpan w:val="7"/>
            <w:vAlign w:val="center"/>
          </w:tcPr>
          <w:p w14:paraId="1F6DFEA9" w14:textId="77777777" w:rsidR="00FB406E" w:rsidRPr="00FF12F6" w:rsidRDefault="00FB406E" w:rsidP="00E072B9">
            <w:pPr>
              <w:rPr>
                <w:rFonts w:ascii="Arial Narrow" w:hAnsi="Arial Narrow"/>
                <w:i/>
                <w:sz w:val="20"/>
                <w:szCs w:val="20"/>
              </w:rPr>
            </w:pPr>
            <w:r w:rsidRPr="00FF12F6">
              <w:rPr>
                <w:rFonts w:ascii="Arial Narrow" w:hAnsi="Arial Narrow"/>
                <w:b/>
                <w:i/>
                <w:sz w:val="20"/>
                <w:szCs w:val="20"/>
              </w:rPr>
              <w:t>Administrative Advice:</w:t>
            </w:r>
            <w:r w:rsidRPr="00FF12F6">
              <w:rPr>
                <w:rFonts w:ascii="Arial Narrow" w:hAnsi="Arial Narrow"/>
                <w:i/>
                <w:sz w:val="20"/>
                <w:szCs w:val="20"/>
              </w:rPr>
              <w:t xml:space="preserve"> </w:t>
            </w:r>
          </w:p>
          <w:p w14:paraId="59CF5B1B"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Any queries concerning the arrangements to prescribe may be directed to Services Australia on 1800 700 270 (hours of operation 8 a.m. to 5 p.m. Monday to Friday).</w:t>
            </w:r>
          </w:p>
          <w:p w14:paraId="02E7001E"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Prescribing information (including Authority Application forms and other relevant documentation as applicable) is available on the Services Australia website at www.servicesaustralia.gov.au</w:t>
            </w:r>
          </w:p>
          <w:p w14:paraId="72FC2230" w14:textId="77777777" w:rsidR="00FB406E" w:rsidRPr="00FF12F6" w:rsidRDefault="00FB406E" w:rsidP="00E072B9">
            <w:pPr>
              <w:rPr>
                <w:rFonts w:ascii="Arial Narrow" w:hAnsi="Arial Narrow"/>
                <w:i/>
                <w:iCs/>
                <w:sz w:val="20"/>
                <w:szCs w:val="20"/>
              </w:rPr>
            </w:pPr>
            <w:r w:rsidRPr="00FF12F6">
              <w:rPr>
                <w:rFonts w:ascii="Arial Narrow" w:hAnsi="Arial Narrow"/>
                <w:i/>
                <w:sz w:val="20"/>
                <w:szCs w:val="20"/>
              </w:rPr>
              <w:t xml:space="preserve">Applications for </w:t>
            </w:r>
            <w:r w:rsidRPr="00FF12F6">
              <w:rPr>
                <w:rFonts w:ascii="Arial Narrow" w:hAnsi="Arial Narrow"/>
                <w:i/>
                <w:iCs/>
                <w:sz w:val="20"/>
                <w:szCs w:val="20"/>
              </w:rPr>
              <w:t>authorisation under this restriction should be made using the Online PBS Authorities system (see www.servicesaustralia.gov.au/hpos)</w:t>
            </w:r>
          </w:p>
          <w:p w14:paraId="4DB87A7C" w14:textId="77777777" w:rsidR="00FB406E" w:rsidRPr="00FF12F6" w:rsidRDefault="00FB406E" w:rsidP="00E072B9">
            <w:pPr>
              <w:rPr>
                <w:rFonts w:ascii="Arial Narrow" w:hAnsi="Arial Narrow"/>
                <w:i/>
                <w:sz w:val="20"/>
                <w:szCs w:val="20"/>
              </w:rPr>
            </w:pPr>
            <w:r w:rsidRPr="00FF12F6">
              <w:rPr>
                <w:rFonts w:ascii="Arial Narrow" w:hAnsi="Arial Narrow"/>
                <w:i/>
                <w:iCs/>
                <w:sz w:val="20"/>
                <w:szCs w:val="20"/>
              </w:rPr>
              <w:t xml:space="preserve">Alternatively, applications for </w:t>
            </w:r>
            <w:r w:rsidRPr="00FF12F6">
              <w:rPr>
                <w:rFonts w:ascii="Arial Narrow" w:hAnsi="Arial Narrow"/>
                <w:i/>
                <w:sz w:val="20"/>
                <w:szCs w:val="20"/>
              </w:rPr>
              <w:t>authority to prescribe should be submitted online using the form upload facility in Health Professional Online Services (HPOS) at www.servicesaustralia.gov.au/hpos</w:t>
            </w:r>
          </w:p>
          <w:p w14:paraId="393FB8F2"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Or mailed to:</w:t>
            </w:r>
          </w:p>
          <w:p w14:paraId="5CA6E3D8"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Services Australia</w:t>
            </w:r>
          </w:p>
          <w:p w14:paraId="097FBDB3"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Complex Drugs</w:t>
            </w:r>
          </w:p>
          <w:p w14:paraId="049D228B"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Reply Paid 9826</w:t>
            </w:r>
          </w:p>
          <w:p w14:paraId="1B42EFE9" w14:textId="77777777" w:rsidR="00FB406E" w:rsidRPr="00FF12F6" w:rsidRDefault="00FB406E" w:rsidP="00E072B9">
            <w:pPr>
              <w:rPr>
                <w:rFonts w:ascii="Arial Narrow" w:hAnsi="Arial Narrow" w:cstheme="minorHAnsi"/>
                <w:i/>
                <w:kern w:val="2"/>
                <w:sz w:val="20"/>
                <w:szCs w:val="20"/>
                <w14:ligatures w14:val="standardContextual"/>
              </w:rPr>
            </w:pPr>
            <w:r w:rsidRPr="00FF12F6">
              <w:rPr>
                <w:rFonts w:ascii="Arial Narrow" w:hAnsi="Arial Narrow"/>
                <w:i/>
                <w:sz w:val="20"/>
                <w:szCs w:val="20"/>
              </w:rPr>
              <w:t>HOBART TAS 7001</w:t>
            </w:r>
          </w:p>
        </w:tc>
      </w:tr>
      <w:tr w:rsidR="00124634" w:rsidRPr="008751AA" w14:paraId="219AB890"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8995" w:type="dxa"/>
            <w:gridSpan w:val="10"/>
            <w:tcBorders>
              <w:top w:val="single" w:sz="4" w:space="0" w:color="auto"/>
              <w:left w:val="single" w:sz="4" w:space="0" w:color="auto"/>
              <w:right w:val="single" w:sz="4" w:space="0" w:color="auto"/>
            </w:tcBorders>
            <w:vAlign w:val="center"/>
          </w:tcPr>
          <w:p w14:paraId="3CFF1A24" w14:textId="77777777" w:rsidR="00124634" w:rsidRPr="00FF12F6" w:rsidRDefault="00124634" w:rsidP="00E072B9">
            <w:pPr>
              <w:rPr>
                <w:rFonts w:ascii="Arial Narrow" w:hAnsi="Arial Narrow"/>
                <w:sz w:val="20"/>
                <w:szCs w:val="20"/>
              </w:rPr>
            </w:pPr>
          </w:p>
        </w:tc>
      </w:tr>
      <w:tr w:rsidR="00124634" w:rsidRPr="008751AA" w14:paraId="734A253B"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8995" w:type="dxa"/>
            <w:gridSpan w:val="10"/>
            <w:tcBorders>
              <w:top w:val="single" w:sz="4" w:space="0" w:color="auto"/>
              <w:left w:val="single" w:sz="4" w:space="0" w:color="auto"/>
              <w:right w:val="single" w:sz="4" w:space="0" w:color="auto"/>
            </w:tcBorders>
            <w:vAlign w:val="center"/>
          </w:tcPr>
          <w:p w14:paraId="47A72BDA" w14:textId="77777777" w:rsidR="00124634" w:rsidRPr="00FF12F6" w:rsidRDefault="00124634" w:rsidP="00E072B9">
            <w:pPr>
              <w:rPr>
                <w:rFonts w:ascii="Arial Narrow" w:hAnsi="Arial Narrow"/>
                <w:b/>
                <w:sz w:val="20"/>
                <w:szCs w:val="20"/>
              </w:rPr>
            </w:pPr>
            <w:r w:rsidRPr="00FF12F6">
              <w:rPr>
                <w:rFonts w:ascii="Arial Narrow" w:hAnsi="Arial Narrow"/>
                <w:b/>
                <w:sz w:val="20"/>
                <w:szCs w:val="20"/>
              </w:rPr>
              <w:t>Restriction Summary NEW2 / Treatment of Concept: NEW2A</w:t>
            </w:r>
          </w:p>
        </w:tc>
      </w:tr>
      <w:tr w:rsidR="00124634" w:rsidRPr="008751AA" w14:paraId="56FCBAD6"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81" w:type="dxa"/>
            <w:gridSpan w:val="4"/>
            <w:vMerge w:val="restart"/>
            <w:tcBorders>
              <w:top w:val="single" w:sz="4" w:space="0" w:color="auto"/>
              <w:left w:val="single" w:sz="4" w:space="0" w:color="auto"/>
              <w:right w:val="single" w:sz="4" w:space="0" w:color="auto"/>
            </w:tcBorders>
          </w:tcPr>
          <w:p w14:paraId="7E833CDE" w14:textId="77777777" w:rsidR="00124634" w:rsidRPr="00FF12F6" w:rsidRDefault="00124634" w:rsidP="00E072B9">
            <w:pPr>
              <w:jc w:val="center"/>
              <w:rPr>
                <w:rFonts w:ascii="Arial Narrow" w:hAnsi="Arial Narrow"/>
                <w:b/>
                <w:sz w:val="20"/>
                <w:szCs w:val="20"/>
              </w:rPr>
            </w:pPr>
            <w:r w:rsidRPr="00FF12F6">
              <w:rPr>
                <w:rFonts w:ascii="Arial Narrow" w:hAnsi="Arial Narrow"/>
                <w:b/>
                <w:sz w:val="20"/>
                <w:szCs w:val="20"/>
              </w:rPr>
              <w:t xml:space="preserve">Concept ID </w:t>
            </w:r>
            <w:r w:rsidRPr="00FF12F6">
              <w:rPr>
                <w:rFonts w:ascii="Arial Narrow" w:hAnsi="Arial Narrow"/>
                <w:sz w:val="20"/>
                <w:szCs w:val="20"/>
              </w:rPr>
              <w:t>(for internal Dept. use)</w:t>
            </w:r>
          </w:p>
        </w:tc>
        <w:tc>
          <w:tcPr>
            <w:tcW w:w="7714" w:type="dxa"/>
            <w:gridSpan w:val="6"/>
            <w:tcBorders>
              <w:top w:val="single" w:sz="4" w:space="0" w:color="auto"/>
              <w:left w:val="single" w:sz="4" w:space="0" w:color="auto"/>
              <w:bottom w:val="single" w:sz="4" w:space="0" w:color="auto"/>
              <w:right w:val="single" w:sz="4" w:space="0" w:color="auto"/>
            </w:tcBorders>
            <w:vAlign w:val="center"/>
          </w:tcPr>
          <w:p w14:paraId="0BC31B58" w14:textId="77777777" w:rsidR="00124634" w:rsidRPr="00FF12F6" w:rsidRDefault="00124634" w:rsidP="00E072B9">
            <w:pPr>
              <w:rPr>
                <w:rFonts w:ascii="Arial Narrow" w:hAnsi="Arial Narrow"/>
                <w:sz w:val="20"/>
                <w:szCs w:val="20"/>
              </w:rPr>
            </w:pPr>
            <w:r w:rsidRPr="00FF12F6">
              <w:rPr>
                <w:rFonts w:ascii="Arial Narrow" w:hAnsi="Arial Narrow"/>
                <w:b/>
                <w:sz w:val="20"/>
                <w:szCs w:val="20"/>
              </w:rPr>
              <w:t>Category / Program:</w:t>
            </w:r>
            <w:r w:rsidRPr="00FF12F6">
              <w:rPr>
                <w:rFonts w:ascii="Arial Narrow" w:hAnsi="Arial Narrow"/>
                <w:sz w:val="20"/>
                <w:szCs w:val="20"/>
              </w:rPr>
              <w:t xml:space="preserv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 xml:space="preserve"> General schedule</w:t>
            </w:r>
          </w:p>
        </w:tc>
      </w:tr>
      <w:tr w:rsidR="00124634" w:rsidRPr="008751AA" w14:paraId="51DEDE89"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81" w:type="dxa"/>
            <w:gridSpan w:val="4"/>
            <w:vMerge/>
            <w:tcBorders>
              <w:left w:val="single" w:sz="4" w:space="0" w:color="auto"/>
              <w:right w:val="single" w:sz="4" w:space="0" w:color="auto"/>
            </w:tcBorders>
          </w:tcPr>
          <w:p w14:paraId="3898829A" w14:textId="77777777" w:rsidR="00124634" w:rsidRPr="00FF12F6" w:rsidRDefault="00124634" w:rsidP="00E072B9">
            <w:pPr>
              <w:rPr>
                <w:rFonts w:ascii="Arial Narrow" w:hAnsi="Arial Narrow"/>
                <w:sz w:val="20"/>
                <w:szCs w:val="20"/>
              </w:rPr>
            </w:pPr>
          </w:p>
        </w:tc>
        <w:tc>
          <w:tcPr>
            <w:tcW w:w="7714" w:type="dxa"/>
            <w:gridSpan w:val="6"/>
            <w:tcBorders>
              <w:top w:val="single" w:sz="4" w:space="0" w:color="auto"/>
              <w:left w:val="single" w:sz="4" w:space="0" w:color="auto"/>
              <w:bottom w:val="single" w:sz="4" w:space="0" w:color="auto"/>
              <w:right w:val="single" w:sz="4" w:space="0" w:color="auto"/>
            </w:tcBorders>
            <w:vAlign w:val="center"/>
          </w:tcPr>
          <w:p w14:paraId="4DD72623" w14:textId="77777777" w:rsidR="00124634" w:rsidRPr="00FF12F6" w:rsidRDefault="00124634" w:rsidP="00E072B9">
            <w:pPr>
              <w:rPr>
                <w:rFonts w:ascii="Arial Narrow" w:hAnsi="Arial Narrow"/>
                <w:b/>
                <w:sz w:val="20"/>
                <w:szCs w:val="20"/>
              </w:rPr>
            </w:pPr>
            <w:r w:rsidRPr="00FF12F6">
              <w:rPr>
                <w:rFonts w:ascii="Arial Narrow" w:hAnsi="Arial Narrow"/>
                <w:b/>
                <w:sz w:val="20"/>
                <w:szCs w:val="20"/>
              </w:rPr>
              <w:t xml:space="preserve">Prescriber type: </w:t>
            </w:r>
            <w:r w:rsidRPr="00FF12F6">
              <w:rPr>
                <w:rFonts w:ascii="Arial Narrow" w:hAnsi="Arial Narrow"/>
                <w:sz w:val="20"/>
                <w:szCs w:val="20"/>
              </w:rPr>
              <w:fldChar w:fldCharType="begin" w:fldLock="1">
                <w:ffData>
                  <w:name w:val=""/>
                  <w:enabled/>
                  <w:calcOnExit w:val="0"/>
                  <w:checkBox>
                    <w:sizeAuto/>
                    <w:default w:val="1"/>
                  </w:checkBox>
                </w:ffData>
              </w:fldChar>
            </w:r>
            <w:r w:rsidRPr="00FF12F6">
              <w:rPr>
                <w:rFonts w:ascii="Arial Narrow" w:hAnsi="Arial Narrow"/>
                <w:sz w:val="20"/>
                <w:szCs w:val="20"/>
              </w:rPr>
              <w:instrText xml:space="preserve"> FORMCHECKBOX </w:instrText>
            </w:r>
            <w:r w:rsidRPr="00FF12F6">
              <w:rPr>
                <w:rFonts w:ascii="Arial Narrow" w:hAnsi="Arial Narrow"/>
                <w:sz w:val="20"/>
                <w:szCs w:val="20"/>
              </w:rPr>
            </w:r>
            <w:r w:rsidRPr="00FF12F6">
              <w:rPr>
                <w:rFonts w:ascii="Arial Narrow" w:hAnsi="Arial Narrow"/>
                <w:sz w:val="20"/>
                <w:szCs w:val="20"/>
              </w:rPr>
              <w:fldChar w:fldCharType="separate"/>
            </w:r>
            <w:r w:rsidRPr="00FF12F6">
              <w:rPr>
                <w:rFonts w:ascii="Arial Narrow" w:hAnsi="Arial Narrow"/>
                <w:sz w:val="20"/>
                <w:szCs w:val="20"/>
              </w:rPr>
              <w:fldChar w:fldCharType="end"/>
            </w:r>
            <w:r w:rsidRPr="00FF12F6">
              <w:rPr>
                <w:rFonts w:ascii="Arial Narrow" w:hAnsi="Arial Narrow"/>
                <w:sz w:val="20"/>
                <w:szCs w:val="20"/>
              </w:rPr>
              <w:t>Medical Practitioners</w:t>
            </w:r>
          </w:p>
        </w:tc>
      </w:tr>
      <w:tr w:rsidR="00124634" w:rsidRPr="008751AA" w14:paraId="61CB26D3"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81" w:type="dxa"/>
            <w:gridSpan w:val="4"/>
            <w:vMerge/>
            <w:tcBorders>
              <w:left w:val="single" w:sz="4" w:space="0" w:color="auto"/>
              <w:right w:val="single" w:sz="4" w:space="0" w:color="auto"/>
            </w:tcBorders>
          </w:tcPr>
          <w:p w14:paraId="6E0C1518" w14:textId="77777777" w:rsidR="00124634" w:rsidRPr="00FF12F6" w:rsidRDefault="00124634" w:rsidP="00E072B9">
            <w:pPr>
              <w:rPr>
                <w:rFonts w:ascii="Arial Narrow" w:hAnsi="Arial Narrow"/>
                <w:sz w:val="20"/>
                <w:szCs w:val="20"/>
              </w:rPr>
            </w:pPr>
          </w:p>
        </w:tc>
        <w:tc>
          <w:tcPr>
            <w:tcW w:w="7714" w:type="dxa"/>
            <w:gridSpan w:val="6"/>
            <w:tcBorders>
              <w:top w:val="single" w:sz="4" w:space="0" w:color="auto"/>
              <w:left w:val="single" w:sz="4" w:space="0" w:color="auto"/>
              <w:bottom w:val="single" w:sz="4" w:space="0" w:color="auto"/>
              <w:right w:val="single" w:sz="4" w:space="0" w:color="auto"/>
            </w:tcBorders>
            <w:vAlign w:val="center"/>
          </w:tcPr>
          <w:p w14:paraId="60922610" w14:textId="77777777" w:rsidR="00124634" w:rsidRPr="00FF12F6" w:rsidRDefault="00124634" w:rsidP="00E072B9">
            <w:pPr>
              <w:rPr>
                <w:rFonts w:ascii="Arial Narrow" w:eastAsia="Calibri" w:hAnsi="Arial Narrow"/>
                <w:sz w:val="20"/>
                <w:szCs w:val="20"/>
              </w:rPr>
            </w:pPr>
            <w:r w:rsidRPr="00FF12F6">
              <w:rPr>
                <w:rFonts w:ascii="Arial Narrow" w:hAnsi="Arial Narrow"/>
                <w:b/>
                <w:sz w:val="20"/>
                <w:szCs w:val="20"/>
              </w:rPr>
              <w:t xml:space="preserve">Restriction type: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Authority Required (STREAMLINED)</w:t>
            </w:r>
          </w:p>
        </w:tc>
      </w:tr>
      <w:tr w:rsidR="00124634" w:rsidRPr="008751AA" w14:paraId="0D135106" w14:textId="77777777" w:rsidTr="0044281C">
        <w:tblPrEx>
          <w:tblCellMar>
            <w:top w:w="15" w:type="dxa"/>
            <w:bottom w:w="15" w:type="dxa"/>
          </w:tblCellMar>
        </w:tblPrEx>
        <w:trPr>
          <w:gridAfter w:val="1"/>
          <w:wAfter w:w="22" w:type="dxa"/>
          <w:trHeight w:val="20"/>
        </w:trPr>
        <w:tc>
          <w:tcPr>
            <w:tcW w:w="493" w:type="dxa"/>
            <w:gridSpan w:val="2"/>
            <w:vMerge w:val="restart"/>
            <w:tcBorders>
              <w:left w:val="single" w:sz="4" w:space="0" w:color="auto"/>
              <w:right w:val="single" w:sz="4" w:space="0" w:color="auto"/>
            </w:tcBorders>
            <w:textDirection w:val="btLr"/>
          </w:tcPr>
          <w:p w14:paraId="499D65E3" w14:textId="77777777" w:rsidR="00124634" w:rsidRPr="00FF12F6" w:rsidRDefault="00124634" w:rsidP="00E072B9">
            <w:pPr>
              <w:ind w:left="113" w:right="113"/>
              <w:rPr>
                <w:rFonts w:ascii="Arial Narrow" w:hAnsi="Arial Narrow"/>
                <w:sz w:val="10"/>
                <w:szCs w:val="10"/>
              </w:rPr>
            </w:pPr>
            <w:r w:rsidRPr="00FF12F6">
              <w:rPr>
                <w:rFonts w:ascii="Arial Narrow" w:hAnsi="Arial Narrow"/>
                <w:sz w:val="10"/>
                <w:szCs w:val="10"/>
              </w:rPr>
              <w:t>Prescribing rule</w:t>
            </w:r>
          </w:p>
        </w:tc>
        <w:tc>
          <w:tcPr>
            <w:tcW w:w="788" w:type="dxa"/>
            <w:gridSpan w:val="2"/>
            <w:vAlign w:val="center"/>
          </w:tcPr>
          <w:p w14:paraId="365A8B42" w14:textId="4DD20C46" w:rsidR="00124634" w:rsidRPr="00FF12F6" w:rsidRDefault="00124634" w:rsidP="00E072B9">
            <w:pPr>
              <w:jc w:val="center"/>
              <w:rPr>
                <w:rFonts w:ascii="Arial Narrow" w:hAnsi="Arial Narrow"/>
                <w:i/>
                <w:sz w:val="20"/>
                <w:szCs w:val="20"/>
              </w:rPr>
            </w:pPr>
          </w:p>
        </w:tc>
        <w:tc>
          <w:tcPr>
            <w:tcW w:w="7714" w:type="dxa"/>
            <w:gridSpan w:val="6"/>
            <w:vAlign w:val="center"/>
          </w:tcPr>
          <w:p w14:paraId="4A9D3BFE" w14:textId="77777777" w:rsidR="00124634" w:rsidRPr="00FF12F6" w:rsidRDefault="00124634"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No increase in the maximum number of repeats may be authorised.</w:t>
            </w:r>
          </w:p>
        </w:tc>
      </w:tr>
      <w:tr w:rsidR="00124634" w:rsidRPr="008751AA" w14:paraId="343FDE86"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493" w:type="dxa"/>
            <w:gridSpan w:val="2"/>
            <w:vMerge/>
            <w:tcBorders>
              <w:left w:val="single" w:sz="4" w:space="0" w:color="auto"/>
              <w:bottom w:val="single" w:sz="4" w:space="0" w:color="auto"/>
              <w:right w:val="single" w:sz="4" w:space="0" w:color="auto"/>
            </w:tcBorders>
          </w:tcPr>
          <w:p w14:paraId="39180D2D" w14:textId="77777777" w:rsidR="00124634" w:rsidRPr="00FF12F6" w:rsidRDefault="00124634" w:rsidP="00E072B9">
            <w:pPr>
              <w:rPr>
                <w:rFonts w:ascii="Arial Narrow" w:hAnsi="Arial Narrow"/>
                <w:sz w:val="20"/>
                <w:szCs w:val="20"/>
              </w:rPr>
            </w:pPr>
          </w:p>
        </w:tc>
        <w:tc>
          <w:tcPr>
            <w:tcW w:w="788" w:type="dxa"/>
            <w:gridSpan w:val="2"/>
            <w:vAlign w:val="center"/>
          </w:tcPr>
          <w:p w14:paraId="6ABE4173" w14:textId="0E2DB2F9" w:rsidR="00124634" w:rsidRPr="00FF12F6" w:rsidRDefault="00124634" w:rsidP="00E072B9">
            <w:pPr>
              <w:jc w:val="center"/>
              <w:rPr>
                <w:rFonts w:ascii="Arial Narrow" w:hAnsi="Arial Narrow"/>
                <w:i/>
                <w:sz w:val="20"/>
                <w:szCs w:val="20"/>
              </w:rPr>
            </w:pPr>
          </w:p>
        </w:tc>
        <w:tc>
          <w:tcPr>
            <w:tcW w:w="7714" w:type="dxa"/>
            <w:gridSpan w:val="6"/>
            <w:vAlign w:val="center"/>
          </w:tcPr>
          <w:p w14:paraId="1FE1CB45" w14:textId="77777777" w:rsidR="00124634" w:rsidRPr="00FF12F6" w:rsidRDefault="00124634"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Special Pricing Arrangements apply.</w:t>
            </w:r>
          </w:p>
        </w:tc>
      </w:tr>
      <w:tr w:rsidR="00124634" w:rsidRPr="008751AA" w14:paraId="6DE97C16"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114886F6" w14:textId="0A37B042" w:rsidR="00124634" w:rsidRPr="00FF12F6" w:rsidRDefault="00124634" w:rsidP="00E072B9">
            <w:pPr>
              <w:jc w:val="center"/>
              <w:rPr>
                <w:rFonts w:ascii="Arial Narrow" w:hAnsi="Arial Narrow"/>
                <w:sz w:val="20"/>
                <w:szCs w:val="20"/>
              </w:rPr>
            </w:pPr>
          </w:p>
        </w:tc>
        <w:tc>
          <w:tcPr>
            <w:tcW w:w="7714" w:type="dxa"/>
            <w:gridSpan w:val="6"/>
            <w:vAlign w:val="center"/>
            <w:hideMark/>
          </w:tcPr>
          <w:p w14:paraId="266E3B66"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Indication:</w:t>
            </w:r>
            <w:r w:rsidRPr="00FF12F6">
              <w:rPr>
                <w:rFonts w:ascii="Arial Narrow" w:hAnsi="Arial Narrow"/>
                <w:sz w:val="20"/>
                <w:szCs w:val="20"/>
              </w:rPr>
              <w:t xml:space="preserve"> Chronic treatment of Acute Hepatic Porphyria (AHP)</w:t>
            </w:r>
          </w:p>
        </w:tc>
      </w:tr>
      <w:tr w:rsidR="00124634" w:rsidRPr="008751AA" w14:paraId="31BAB1F1"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314A5580"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0BBECC92"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Treatment Phase:</w:t>
            </w:r>
            <w:r w:rsidRPr="00FF12F6">
              <w:rPr>
                <w:rFonts w:ascii="Arial Narrow" w:hAnsi="Arial Narrow"/>
                <w:sz w:val="20"/>
                <w:szCs w:val="20"/>
              </w:rPr>
              <w:t xml:space="preserve"> Continuing treatment</w:t>
            </w:r>
          </w:p>
        </w:tc>
      </w:tr>
      <w:tr w:rsidR="00124634" w:rsidRPr="008751AA" w14:paraId="142FC209"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6249272A"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2B707470"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 xml:space="preserve">Clinical criteria: </w:t>
            </w:r>
          </w:p>
        </w:tc>
      </w:tr>
      <w:tr w:rsidR="00124634" w:rsidRPr="008751AA" w14:paraId="3D97C812"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733827A" w14:textId="1571977D" w:rsidR="00124634" w:rsidRPr="00FF12F6" w:rsidRDefault="00124634" w:rsidP="00E072B9">
            <w:pPr>
              <w:jc w:val="center"/>
              <w:rPr>
                <w:rFonts w:ascii="Arial Narrow" w:hAnsi="Arial Narrow"/>
                <w:sz w:val="20"/>
                <w:szCs w:val="20"/>
              </w:rPr>
            </w:pPr>
          </w:p>
        </w:tc>
        <w:tc>
          <w:tcPr>
            <w:tcW w:w="7714" w:type="dxa"/>
            <w:gridSpan w:val="6"/>
            <w:vAlign w:val="center"/>
          </w:tcPr>
          <w:p w14:paraId="5E21466E" w14:textId="73EEB883" w:rsidR="00124634" w:rsidRPr="00FF12F6" w:rsidRDefault="00124634" w:rsidP="00E072B9">
            <w:pPr>
              <w:rPr>
                <w:rFonts w:ascii="Arial Narrow" w:hAnsi="Arial Narrow"/>
                <w:sz w:val="20"/>
                <w:szCs w:val="20"/>
              </w:rPr>
            </w:pPr>
            <w:r w:rsidRPr="00FF12F6">
              <w:rPr>
                <w:rFonts w:ascii="Arial Narrow" w:hAnsi="Arial Narrow" w:cstheme="minorHAnsi"/>
                <w:kern w:val="2"/>
                <w:sz w:val="20"/>
                <w:szCs w:val="20"/>
                <w14:ligatures w14:val="standardContextual"/>
              </w:rPr>
              <w:t>Patient must have previously received PBS</w:t>
            </w:r>
            <w:r w:rsidR="00E072B9">
              <w:rPr>
                <w:rFonts w:ascii="Arial Narrow" w:hAnsi="Arial Narrow" w:cstheme="minorHAnsi"/>
                <w:kern w:val="2"/>
                <w:sz w:val="20"/>
                <w:szCs w:val="20"/>
                <w14:ligatures w14:val="standardContextual"/>
              </w:rPr>
              <w:noBreakHyphen/>
            </w:r>
            <w:r w:rsidRPr="00FF12F6">
              <w:rPr>
                <w:rFonts w:ascii="Arial Narrow" w:hAnsi="Arial Narrow" w:cstheme="minorHAnsi"/>
                <w:kern w:val="2"/>
                <w:sz w:val="20"/>
                <w:szCs w:val="20"/>
                <w14:ligatures w14:val="standardContextual"/>
              </w:rPr>
              <w:t>subsidised treatment with this drug for this condition.</w:t>
            </w:r>
          </w:p>
        </w:tc>
      </w:tr>
      <w:tr w:rsidR="00124634" w:rsidRPr="008751AA" w14:paraId="5511122A"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2E339C7" w14:textId="77777777" w:rsidR="00124634" w:rsidRPr="00FF12F6" w:rsidRDefault="00124634" w:rsidP="00E072B9">
            <w:pPr>
              <w:jc w:val="center"/>
              <w:rPr>
                <w:rFonts w:ascii="Arial Narrow" w:hAnsi="Arial Narrow"/>
                <w:sz w:val="20"/>
                <w:szCs w:val="20"/>
              </w:rPr>
            </w:pPr>
          </w:p>
        </w:tc>
        <w:tc>
          <w:tcPr>
            <w:tcW w:w="7714" w:type="dxa"/>
            <w:gridSpan w:val="6"/>
            <w:vAlign w:val="center"/>
          </w:tcPr>
          <w:p w14:paraId="622C3599" w14:textId="77777777" w:rsidR="00124634" w:rsidRPr="00FF12F6" w:rsidRDefault="00124634" w:rsidP="00E072B9">
            <w:pPr>
              <w:rPr>
                <w:rFonts w:ascii="Arial Narrow" w:hAnsi="Arial Narrow"/>
                <w:b/>
                <w:bCs/>
                <w:sz w:val="20"/>
                <w:szCs w:val="20"/>
              </w:rPr>
            </w:pPr>
            <w:r w:rsidRPr="00FF12F6">
              <w:rPr>
                <w:rFonts w:ascii="Arial Narrow" w:hAnsi="Arial Narrow"/>
                <w:b/>
                <w:bCs/>
                <w:sz w:val="20"/>
                <w:szCs w:val="20"/>
              </w:rPr>
              <w:t>AND</w:t>
            </w:r>
          </w:p>
        </w:tc>
      </w:tr>
      <w:tr w:rsidR="00124634" w:rsidRPr="008751AA" w14:paraId="3A4C7C81"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AF2AF1A" w14:textId="77777777" w:rsidR="00124634" w:rsidRPr="00FF12F6" w:rsidRDefault="00124634" w:rsidP="00E072B9">
            <w:pPr>
              <w:jc w:val="center"/>
              <w:rPr>
                <w:rFonts w:ascii="Arial Narrow" w:hAnsi="Arial Narrow"/>
                <w:sz w:val="20"/>
                <w:szCs w:val="20"/>
              </w:rPr>
            </w:pPr>
          </w:p>
        </w:tc>
        <w:tc>
          <w:tcPr>
            <w:tcW w:w="7714" w:type="dxa"/>
            <w:gridSpan w:val="6"/>
            <w:vAlign w:val="center"/>
          </w:tcPr>
          <w:p w14:paraId="1B3423C2"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Clinical criteria:</w:t>
            </w:r>
          </w:p>
        </w:tc>
      </w:tr>
      <w:tr w:rsidR="00124634" w:rsidRPr="008751AA" w14:paraId="149C6B2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23512F17" w14:textId="41CD6323" w:rsidR="00124634" w:rsidRPr="00FF12F6" w:rsidRDefault="00124634" w:rsidP="00E072B9">
            <w:pPr>
              <w:jc w:val="center"/>
              <w:rPr>
                <w:rFonts w:ascii="Arial Narrow" w:hAnsi="Arial Narrow"/>
                <w:sz w:val="20"/>
                <w:szCs w:val="20"/>
              </w:rPr>
            </w:pPr>
          </w:p>
        </w:tc>
        <w:tc>
          <w:tcPr>
            <w:tcW w:w="7714" w:type="dxa"/>
            <w:gridSpan w:val="6"/>
            <w:vAlign w:val="center"/>
          </w:tcPr>
          <w:p w14:paraId="7C88511B" w14:textId="77777777" w:rsidR="00124634" w:rsidRPr="00FF12F6" w:rsidRDefault="00124634" w:rsidP="00E072B9">
            <w:pPr>
              <w:rPr>
                <w:rFonts w:ascii="Arial Narrow" w:hAnsi="Arial Narrow"/>
                <w:sz w:val="20"/>
                <w:szCs w:val="20"/>
              </w:rPr>
            </w:pPr>
            <w:r w:rsidRPr="00FF12F6">
              <w:rPr>
                <w:rFonts w:ascii="Arial Narrow" w:hAnsi="Arial Narrow" w:cstheme="minorHAnsi"/>
                <w:kern w:val="2"/>
                <w:sz w:val="20"/>
                <w:szCs w:val="20"/>
                <w14:ligatures w14:val="standardContextual"/>
              </w:rPr>
              <w:t xml:space="preserve">Patient must demonstrate improvement in the frequency or severity of AHP attacks </w:t>
            </w:r>
            <w:r w:rsidRPr="00FF12F6">
              <w:rPr>
                <w:rFonts w:ascii="Arial Narrow" w:hAnsi="Arial Narrow" w:cstheme="minorHAnsi"/>
                <w:i/>
                <w:iCs/>
                <w:kern w:val="2"/>
                <w:sz w:val="20"/>
                <w:szCs w:val="20"/>
                <w14:ligatures w14:val="standardContextual"/>
              </w:rPr>
              <w:t>from baseline</w:t>
            </w:r>
            <w:r w:rsidRPr="00FF12F6">
              <w:rPr>
                <w:rFonts w:ascii="Arial Narrow" w:hAnsi="Arial Narrow" w:cstheme="minorHAnsi"/>
                <w:kern w:val="2"/>
                <w:sz w:val="20"/>
                <w:szCs w:val="20"/>
                <w14:ligatures w14:val="standardContextual"/>
              </w:rPr>
              <w:t xml:space="preserve"> while on treatment with this drug</w:t>
            </w:r>
          </w:p>
        </w:tc>
      </w:tr>
      <w:tr w:rsidR="00124634" w:rsidRPr="008751AA" w14:paraId="57A5CEE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4FC771D6"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31670133"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AND</w:t>
            </w:r>
          </w:p>
        </w:tc>
      </w:tr>
      <w:tr w:rsidR="00124634" w:rsidRPr="008751AA" w14:paraId="32C9F2C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F004C4B"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197B85D5"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Clinical criteria:</w:t>
            </w:r>
          </w:p>
        </w:tc>
      </w:tr>
      <w:tr w:rsidR="00124634" w:rsidRPr="008751AA" w14:paraId="0DA33ACA"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8739131" w14:textId="7F610F8D" w:rsidR="00124634" w:rsidRPr="00FF12F6" w:rsidRDefault="00124634" w:rsidP="00E072B9">
            <w:pPr>
              <w:jc w:val="center"/>
              <w:rPr>
                <w:rFonts w:ascii="Arial Narrow" w:hAnsi="Arial Narrow"/>
                <w:sz w:val="20"/>
                <w:szCs w:val="20"/>
              </w:rPr>
            </w:pPr>
          </w:p>
        </w:tc>
        <w:tc>
          <w:tcPr>
            <w:tcW w:w="7714" w:type="dxa"/>
            <w:gridSpan w:val="6"/>
            <w:vAlign w:val="center"/>
            <w:hideMark/>
          </w:tcPr>
          <w:p w14:paraId="5495B08F" w14:textId="77777777" w:rsidR="00124634" w:rsidRPr="00FF12F6" w:rsidRDefault="00124634" w:rsidP="00E072B9">
            <w:pPr>
              <w:rPr>
                <w:rFonts w:ascii="Arial Narrow" w:hAnsi="Arial Narrow"/>
                <w:sz w:val="20"/>
                <w:szCs w:val="20"/>
              </w:rPr>
            </w:pPr>
            <w:r w:rsidRPr="00FF12F6">
              <w:rPr>
                <w:rFonts w:ascii="Arial Narrow" w:hAnsi="Arial Narrow" w:cstheme="minorHAnsi"/>
                <w:kern w:val="2"/>
                <w:sz w:val="20"/>
                <w:szCs w:val="20"/>
                <w14:ligatures w14:val="standardContextual"/>
              </w:rPr>
              <w:t>Must be treated by a healthcare professional experienced in the management of porphyria or in consultation with a healthcare professional experienced in the management of porphyria.</w:t>
            </w:r>
          </w:p>
        </w:tc>
      </w:tr>
      <w:tr w:rsidR="00124634" w:rsidRPr="008751AA" w14:paraId="155DAAA9"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4A130CE2" w14:textId="77777777" w:rsidR="00124634" w:rsidRPr="00FF12F6" w:rsidRDefault="00124634" w:rsidP="00E072B9">
            <w:pPr>
              <w:jc w:val="center"/>
              <w:rPr>
                <w:rFonts w:ascii="Arial Narrow" w:hAnsi="Arial Narrow"/>
                <w:i/>
                <w:iCs/>
                <w:sz w:val="20"/>
                <w:szCs w:val="20"/>
              </w:rPr>
            </w:pPr>
          </w:p>
        </w:tc>
        <w:tc>
          <w:tcPr>
            <w:tcW w:w="7714" w:type="dxa"/>
            <w:gridSpan w:val="6"/>
            <w:vAlign w:val="center"/>
          </w:tcPr>
          <w:p w14:paraId="57E2081A"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AND</w:t>
            </w:r>
          </w:p>
        </w:tc>
      </w:tr>
      <w:tr w:rsidR="00124634" w:rsidRPr="008751AA" w14:paraId="4D47A126"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4568C75F" w14:textId="77777777" w:rsidR="00124634" w:rsidRPr="00FF12F6" w:rsidRDefault="00124634" w:rsidP="00E072B9">
            <w:pPr>
              <w:jc w:val="center"/>
              <w:rPr>
                <w:rFonts w:ascii="Arial Narrow" w:hAnsi="Arial Narrow"/>
                <w:i/>
                <w:iCs/>
                <w:sz w:val="20"/>
                <w:szCs w:val="20"/>
              </w:rPr>
            </w:pPr>
          </w:p>
        </w:tc>
        <w:tc>
          <w:tcPr>
            <w:tcW w:w="7714" w:type="dxa"/>
            <w:gridSpan w:val="6"/>
            <w:vAlign w:val="center"/>
          </w:tcPr>
          <w:p w14:paraId="5FB56745"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Clinical criteria:</w:t>
            </w:r>
          </w:p>
        </w:tc>
      </w:tr>
      <w:tr w:rsidR="00124634" w:rsidRPr="008751AA" w14:paraId="1176755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4FFE1BE6" w14:textId="499E8C42" w:rsidR="00124634" w:rsidRPr="00FF12F6" w:rsidRDefault="00124634" w:rsidP="00E072B9">
            <w:pPr>
              <w:jc w:val="center"/>
              <w:rPr>
                <w:rFonts w:ascii="Arial Narrow" w:hAnsi="Arial Narrow"/>
                <w:sz w:val="20"/>
                <w:szCs w:val="20"/>
              </w:rPr>
            </w:pPr>
          </w:p>
        </w:tc>
        <w:tc>
          <w:tcPr>
            <w:tcW w:w="7714" w:type="dxa"/>
            <w:gridSpan w:val="6"/>
            <w:vAlign w:val="center"/>
          </w:tcPr>
          <w:p w14:paraId="62813260"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cstheme="minorHAnsi"/>
                <w:kern w:val="2"/>
                <w:sz w:val="20"/>
                <w:szCs w:val="20"/>
                <w14:ligatures w14:val="standardContextual"/>
              </w:rPr>
              <w:t>Patient must not have previously undergone a liver transplant.</w:t>
            </w:r>
          </w:p>
        </w:tc>
      </w:tr>
      <w:tr w:rsidR="00124634" w:rsidRPr="008751AA" w14:paraId="6DB24CB6"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87FD2F0" w14:textId="77777777" w:rsidR="00124634" w:rsidRPr="00FF12F6" w:rsidRDefault="00124634" w:rsidP="00E072B9">
            <w:pPr>
              <w:jc w:val="center"/>
              <w:rPr>
                <w:rFonts w:ascii="Arial Narrow" w:hAnsi="Arial Narrow"/>
                <w:sz w:val="20"/>
                <w:szCs w:val="20"/>
              </w:rPr>
            </w:pPr>
          </w:p>
        </w:tc>
        <w:tc>
          <w:tcPr>
            <w:tcW w:w="7714" w:type="dxa"/>
            <w:gridSpan w:val="6"/>
            <w:vAlign w:val="center"/>
          </w:tcPr>
          <w:p w14:paraId="2ACBF63D"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Population criteria:</w:t>
            </w:r>
          </w:p>
        </w:tc>
      </w:tr>
      <w:tr w:rsidR="00124634" w:rsidRPr="008751AA" w14:paraId="05BEDE0E"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6C35D80D" w14:textId="62779984" w:rsidR="00124634" w:rsidRPr="00FF12F6" w:rsidRDefault="00124634" w:rsidP="00E072B9">
            <w:pPr>
              <w:jc w:val="center"/>
              <w:rPr>
                <w:rFonts w:ascii="Arial Narrow" w:hAnsi="Arial Narrow"/>
                <w:sz w:val="20"/>
                <w:szCs w:val="20"/>
              </w:rPr>
            </w:pPr>
          </w:p>
        </w:tc>
        <w:tc>
          <w:tcPr>
            <w:tcW w:w="7714" w:type="dxa"/>
            <w:gridSpan w:val="6"/>
            <w:vAlign w:val="center"/>
          </w:tcPr>
          <w:p w14:paraId="68AE6754" w14:textId="77777777" w:rsidR="00124634" w:rsidRPr="00FF12F6" w:rsidRDefault="00124634" w:rsidP="00E072B9">
            <w:pPr>
              <w:rPr>
                <w:rFonts w:ascii="Arial Narrow" w:hAnsi="Arial Narrow" w:cstheme="minorHAnsi"/>
                <w:i/>
                <w:iCs/>
                <w:kern w:val="2"/>
                <w:sz w:val="20"/>
                <w:szCs w:val="20"/>
                <w14:ligatures w14:val="standardContextual"/>
              </w:rPr>
            </w:pPr>
            <w:r w:rsidRPr="00FF12F6">
              <w:rPr>
                <w:rFonts w:ascii="Arial Narrow" w:hAnsi="Arial Narrow" w:cstheme="minorHAnsi"/>
                <w:kern w:val="2"/>
                <w:sz w:val="20"/>
                <w:szCs w:val="20"/>
                <w14:ligatures w14:val="standardContextual"/>
              </w:rPr>
              <w:t>Patient must be aged 12 years or older.</w:t>
            </w:r>
          </w:p>
        </w:tc>
      </w:tr>
      <w:tr w:rsidR="00124634" w:rsidRPr="008751AA" w14:paraId="2AE54A47" w14:textId="77777777" w:rsidTr="0044281C">
        <w:tblPrEx>
          <w:tblCellMar>
            <w:top w:w="15" w:type="dxa"/>
            <w:bottom w:w="15" w:type="dxa"/>
          </w:tblCellMar>
        </w:tblPrEx>
        <w:trPr>
          <w:gridAfter w:val="1"/>
          <w:wAfter w:w="22" w:type="dxa"/>
          <w:cantSplit/>
          <w:trHeight w:val="20"/>
        </w:trPr>
        <w:tc>
          <w:tcPr>
            <w:tcW w:w="1281" w:type="dxa"/>
            <w:gridSpan w:val="4"/>
            <w:vAlign w:val="center"/>
          </w:tcPr>
          <w:p w14:paraId="06597F14" w14:textId="2149391E" w:rsidR="00124634" w:rsidRPr="00FF12F6" w:rsidRDefault="00124634" w:rsidP="00E072B9">
            <w:pPr>
              <w:jc w:val="center"/>
              <w:rPr>
                <w:rFonts w:ascii="Arial Narrow" w:hAnsi="Arial Narrow"/>
                <w:i/>
                <w:sz w:val="20"/>
                <w:szCs w:val="20"/>
              </w:rPr>
            </w:pPr>
          </w:p>
        </w:tc>
        <w:tc>
          <w:tcPr>
            <w:tcW w:w="7714" w:type="dxa"/>
            <w:gridSpan w:val="6"/>
          </w:tcPr>
          <w:p w14:paraId="326CDA63" w14:textId="77777777" w:rsidR="00124634" w:rsidRPr="00FF12F6" w:rsidRDefault="00124634" w:rsidP="00E072B9">
            <w:pPr>
              <w:rPr>
                <w:rFonts w:ascii="Arial Narrow" w:hAnsi="Arial Narrow" w:cstheme="minorHAnsi"/>
                <w:i/>
                <w:iCs/>
                <w:kern w:val="2"/>
                <w:sz w:val="20"/>
                <w:szCs w:val="20"/>
                <w14:ligatures w14:val="standardContextual"/>
              </w:rPr>
            </w:pPr>
            <w:r w:rsidRPr="00FF12F6">
              <w:rPr>
                <w:rFonts w:ascii="Arial Narrow" w:hAnsi="Arial Narrow" w:cstheme="minorHAnsi"/>
                <w:b/>
                <w:bCs/>
                <w:i/>
                <w:iCs/>
                <w:kern w:val="2"/>
                <w:sz w:val="20"/>
                <w:szCs w:val="20"/>
                <w14:ligatures w14:val="standardContextual"/>
              </w:rPr>
              <w:t>Prescribing Instructions</w:t>
            </w:r>
            <w:r w:rsidRPr="00FF12F6">
              <w:rPr>
                <w:rFonts w:ascii="Arial Narrow" w:hAnsi="Arial Narrow" w:cstheme="minorHAnsi"/>
                <w:i/>
                <w:iCs/>
                <w:kern w:val="2"/>
                <w:sz w:val="20"/>
                <w:szCs w:val="20"/>
                <w14:ligatures w14:val="standardContextual"/>
              </w:rPr>
              <w:t xml:space="preserve">: </w:t>
            </w:r>
          </w:p>
          <w:p w14:paraId="1502E3AE" w14:textId="77777777" w:rsidR="00124634" w:rsidRPr="00FF12F6" w:rsidRDefault="00124634" w:rsidP="00E072B9">
            <w:pPr>
              <w:rPr>
                <w:rFonts w:ascii="Arial Narrow" w:hAnsi="Arial Narrow" w:cstheme="minorHAnsi"/>
                <w:i/>
                <w:kern w:val="2"/>
                <w:sz w:val="20"/>
                <w:szCs w:val="20"/>
                <w14:ligatures w14:val="standardContextual"/>
              </w:rPr>
            </w:pPr>
            <w:r w:rsidRPr="00FF12F6">
              <w:rPr>
                <w:rFonts w:ascii="Arial Narrow" w:hAnsi="Arial Narrow" w:cstheme="minorHAnsi"/>
                <w:i/>
                <w:iCs/>
                <w:kern w:val="2"/>
                <w:sz w:val="20"/>
                <w:szCs w:val="20"/>
                <w14:ligatures w14:val="standardContextual"/>
              </w:rPr>
              <w:t>The number of AHP attacks while on treatment must be documented in the patients’ medical records</w:t>
            </w:r>
          </w:p>
        </w:tc>
      </w:tr>
      <w:tr w:rsidR="00124634" w:rsidRPr="00C21843" w14:paraId="06FD921B" w14:textId="77777777" w:rsidTr="0044281C">
        <w:tblPrEx>
          <w:tblCellMar>
            <w:top w:w="15" w:type="dxa"/>
            <w:bottom w:w="15" w:type="dxa"/>
          </w:tblCellMar>
        </w:tblPrEx>
        <w:trPr>
          <w:gridAfter w:val="1"/>
          <w:wAfter w:w="22" w:type="dxa"/>
          <w:cantSplit/>
          <w:trHeight w:val="20"/>
        </w:trPr>
        <w:tc>
          <w:tcPr>
            <w:tcW w:w="1281" w:type="dxa"/>
            <w:gridSpan w:val="4"/>
            <w:vAlign w:val="center"/>
          </w:tcPr>
          <w:p w14:paraId="395F44E2" w14:textId="1120F769" w:rsidR="00124634" w:rsidRPr="00FF12F6" w:rsidRDefault="00124634" w:rsidP="00E072B9">
            <w:pPr>
              <w:jc w:val="center"/>
              <w:rPr>
                <w:rFonts w:ascii="Arial Narrow" w:hAnsi="Arial Narrow"/>
                <w:i/>
                <w:iCs/>
                <w:sz w:val="20"/>
                <w:szCs w:val="20"/>
              </w:rPr>
            </w:pPr>
          </w:p>
        </w:tc>
        <w:tc>
          <w:tcPr>
            <w:tcW w:w="7714" w:type="dxa"/>
            <w:gridSpan w:val="6"/>
          </w:tcPr>
          <w:p w14:paraId="16E269B2" w14:textId="77777777" w:rsidR="00124634" w:rsidRPr="00FF12F6" w:rsidRDefault="00124634" w:rsidP="00E072B9">
            <w:pPr>
              <w:rPr>
                <w:rFonts w:ascii="Arial Narrow" w:hAnsi="Arial Narrow" w:cstheme="minorHAnsi"/>
                <w:b/>
                <w:bCs/>
                <w:kern w:val="2"/>
                <w:sz w:val="20"/>
                <w:szCs w:val="20"/>
                <w14:ligatures w14:val="standardContextual"/>
              </w:rPr>
            </w:pPr>
            <w:r w:rsidRPr="00FF12F6">
              <w:rPr>
                <w:rFonts w:ascii="Arial Narrow" w:hAnsi="Arial Narrow" w:cstheme="minorHAnsi"/>
                <w:b/>
                <w:bCs/>
                <w:kern w:val="2"/>
                <w:sz w:val="20"/>
                <w:szCs w:val="20"/>
                <w14:ligatures w14:val="standardContextual"/>
              </w:rPr>
              <w:t>Prescribing Instructions</w:t>
            </w:r>
            <w:r w:rsidRPr="00FF12F6">
              <w:rPr>
                <w:rFonts w:ascii="Arial Narrow" w:hAnsi="Arial Narrow" w:cstheme="minorHAnsi"/>
                <w:kern w:val="2"/>
                <w:sz w:val="20"/>
                <w:szCs w:val="20"/>
                <w14:ligatures w14:val="standardContextual"/>
              </w:rPr>
              <w:t xml:space="preserve">: At the time of the authority application, prescribers should request the appropriate number of vials for a single dose based on the patient's weight, as per </w:t>
            </w:r>
            <w:r w:rsidRPr="00FF12F6">
              <w:rPr>
                <w:rFonts w:ascii="Arial Narrow" w:hAnsi="Arial Narrow" w:cstheme="minorHAnsi"/>
                <w:i/>
                <w:iCs/>
                <w:kern w:val="2"/>
                <w:sz w:val="20"/>
                <w:szCs w:val="20"/>
                <w14:ligatures w14:val="standardContextual"/>
              </w:rPr>
              <w:t xml:space="preserve">the TGA approved </w:t>
            </w:r>
            <w:r w:rsidRPr="00FF12F6">
              <w:rPr>
                <w:rFonts w:ascii="Arial Narrow" w:hAnsi="Arial Narrow" w:cstheme="minorHAnsi"/>
                <w:kern w:val="2"/>
                <w:sz w:val="20"/>
                <w:szCs w:val="20"/>
                <w14:ligatures w14:val="standardContextual"/>
              </w:rPr>
              <w:t>Product Information</w:t>
            </w:r>
          </w:p>
        </w:tc>
      </w:tr>
    </w:tbl>
    <w:p w14:paraId="3DDAF720" w14:textId="2DAA6F93" w:rsidR="00580B8F" w:rsidRPr="00E750DB" w:rsidRDefault="00580B8F"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 xml:space="preserve">Source: </w:t>
      </w:r>
      <w:r w:rsidR="00E5656E" w:rsidRPr="00E750DB">
        <w:rPr>
          <w:rFonts w:ascii="Arial Narrow" w:hAnsi="Arial Narrow"/>
          <w:snapToGrid w:val="0"/>
          <w:sz w:val="18"/>
          <w:szCs w:val="22"/>
        </w:rPr>
        <w:t xml:space="preserve">Table 1.9, p32, </w:t>
      </w:r>
      <w:r w:rsidR="00D36CFD" w:rsidRPr="00E750DB">
        <w:rPr>
          <w:rFonts w:ascii="Arial Narrow" w:hAnsi="Arial Narrow"/>
          <w:snapToGrid w:val="0"/>
          <w:sz w:val="18"/>
          <w:szCs w:val="22"/>
        </w:rPr>
        <w:t xml:space="preserve">Table 1.10, p33, Table 1.11, p34, </w:t>
      </w:r>
      <w:r w:rsidRPr="00E750DB">
        <w:rPr>
          <w:rFonts w:ascii="Arial Narrow" w:hAnsi="Arial Narrow"/>
          <w:snapToGrid w:val="0"/>
          <w:sz w:val="18"/>
          <w:szCs w:val="22"/>
        </w:rPr>
        <w:t xml:space="preserve">Table 1.12, p34 of the submission. </w:t>
      </w:r>
    </w:p>
    <w:p w14:paraId="14474B30" w14:textId="239407CA" w:rsidR="00580B8F" w:rsidRPr="00E750DB" w:rsidRDefault="00580B8F" w:rsidP="00E072B9">
      <w:pPr>
        <w:jc w:val="left"/>
        <w:rPr>
          <w:color w:val="3366FF"/>
        </w:rPr>
      </w:pPr>
    </w:p>
    <w:p w14:paraId="240FC1EE" w14:textId="75929DBE" w:rsidR="00890471" w:rsidRPr="00E750DB" w:rsidRDefault="00B20864" w:rsidP="00E072B9">
      <w:pPr>
        <w:pStyle w:val="3-BodyText"/>
      </w:pPr>
      <w:bookmarkStart w:id="6" w:name="_Ref197965382"/>
      <w:r>
        <w:t xml:space="preserve">The proposed </w:t>
      </w:r>
      <w:r w:rsidR="00B933C1">
        <w:t xml:space="preserve">ex-manufacturer </w:t>
      </w:r>
      <w:r>
        <w:t>price for givosiran was</w:t>
      </w:r>
      <w:r w:rsidR="00865A15">
        <w:t xml:space="preserve"> $</w:t>
      </w:r>
      <w:r w:rsidR="00B35ACC" w:rsidRPr="00A550BD">
        <w:rPr>
          <w:color w:val="000000"/>
          <w:spacing w:val="6"/>
          <w:w w:val="61"/>
          <w:shd w:val="solid" w:color="000000" w:fill="000000"/>
          <w:fitText w:val="475" w:id="-625250046"/>
          <w14:textFill>
            <w14:solidFill>
              <w14:srgbClr w14:val="000000">
                <w14:alpha w14:val="100000"/>
              </w14:srgbClr>
            </w14:solidFill>
          </w14:textFill>
        </w:rPr>
        <w:t>|||</w:t>
      </w:r>
      <w:r w:rsidR="00A550BD" w:rsidRPr="00A550BD">
        <w:rPr>
          <w:color w:val="000000"/>
          <w:spacing w:val="6"/>
          <w:w w:val="61"/>
          <w:shd w:val="solid" w:color="000000" w:fill="000000"/>
          <w:fitText w:val="475" w:id="-625250046"/>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6"/>
          <w14:textFill>
            <w14:solidFill>
              <w14:srgbClr w14:val="000000">
                <w14:alpha w14:val="100000"/>
              </w14:srgbClr>
            </w14:solidFill>
          </w14:textFill>
        </w:rPr>
        <w:t>||</w:t>
      </w:r>
      <w:r w:rsidR="00B35ACC" w:rsidRPr="00A550BD">
        <w:rPr>
          <w:color w:val="000000"/>
          <w:spacing w:val="3"/>
          <w:w w:val="61"/>
          <w:shd w:val="solid" w:color="000000" w:fill="000000"/>
          <w:fitText w:val="475" w:id="-625250046"/>
          <w14:textFill>
            <w14:solidFill>
              <w14:srgbClr w14:val="000000">
                <w14:alpha w14:val="100000"/>
              </w14:srgbClr>
            </w14:solidFill>
          </w14:textFill>
        </w:rPr>
        <w:t>|</w:t>
      </w:r>
      <w:r w:rsidR="003A51DB">
        <w:t xml:space="preserve"> per vial.</w:t>
      </w:r>
      <w:r>
        <w:t xml:space="preserve"> </w:t>
      </w:r>
      <w:r w:rsidR="00890471" w:rsidRPr="00E750DB">
        <w:t xml:space="preserve">The maximum quantity and resulting </w:t>
      </w:r>
      <w:r w:rsidR="003D1061" w:rsidRPr="00E750DB">
        <w:t>dispensed price for maximum quantity (</w:t>
      </w:r>
      <w:r w:rsidR="00890471" w:rsidRPr="00E750DB">
        <w:t>DPMQ</w:t>
      </w:r>
      <w:r w:rsidR="00D378F6">
        <w:t xml:space="preserve">, </w:t>
      </w:r>
      <w:r w:rsidR="00D378F6" w:rsidRPr="00915DBD">
        <w:t>$</w:t>
      </w:r>
      <w:r w:rsidR="00B35ACC" w:rsidRPr="00A550BD">
        <w:rPr>
          <w:color w:val="000000"/>
          <w:spacing w:val="6"/>
          <w:w w:val="61"/>
          <w:shd w:val="solid" w:color="000000" w:fill="000000"/>
          <w:fitText w:val="475" w:id="-625250045"/>
          <w14:textFill>
            <w14:solidFill>
              <w14:srgbClr w14:val="000000">
                <w14:alpha w14:val="100000"/>
              </w14:srgbClr>
            </w14:solidFill>
          </w14:textFill>
        </w:rPr>
        <w:t>|||</w:t>
      </w:r>
      <w:r w:rsidR="00A550BD" w:rsidRPr="00A550BD">
        <w:rPr>
          <w:color w:val="000000"/>
          <w:spacing w:val="6"/>
          <w:w w:val="61"/>
          <w:shd w:val="solid" w:color="000000" w:fill="000000"/>
          <w:fitText w:val="475" w:id="-625250045"/>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5"/>
          <w14:textFill>
            <w14:solidFill>
              <w14:srgbClr w14:val="000000">
                <w14:alpha w14:val="100000"/>
              </w14:srgbClr>
            </w14:solidFill>
          </w14:textFill>
        </w:rPr>
        <w:t>||</w:t>
      </w:r>
      <w:r w:rsidR="00B35ACC" w:rsidRPr="00A550BD">
        <w:rPr>
          <w:color w:val="000000"/>
          <w:spacing w:val="3"/>
          <w:w w:val="61"/>
          <w:shd w:val="solid" w:color="000000" w:fill="000000"/>
          <w:fitText w:val="475" w:id="-625250045"/>
          <w14:textFill>
            <w14:solidFill>
              <w14:srgbClr w14:val="000000">
                <w14:alpha w14:val="100000"/>
              </w14:srgbClr>
            </w14:solidFill>
          </w14:textFill>
        </w:rPr>
        <w:t>|</w:t>
      </w:r>
      <w:r w:rsidR="003D1061" w:rsidRPr="00E750DB">
        <w:t>)</w:t>
      </w:r>
      <w:r w:rsidR="00890471" w:rsidRPr="00E750DB">
        <w:t xml:space="preserve"> </w:t>
      </w:r>
      <w:r w:rsidR="003D1061" w:rsidRPr="00E750DB">
        <w:t>wa</w:t>
      </w:r>
      <w:r w:rsidR="00890471" w:rsidRPr="00E750DB">
        <w:t>s based on two vials of givosiran, however the submission claim</w:t>
      </w:r>
      <w:r w:rsidR="003D1061" w:rsidRPr="00E750DB">
        <w:t>ed</w:t>
      </w:r>
      <w:r w:rsidR="00890471" w:rsidRPr="00E750DB">
        <w:t xml:space="preserve"> that the average quantity used in ENVISION </w:t>
      </w:r>
      <w:r w:rsidR="00890471" w:rsidRPr="0054306B">
        <w:t>was 1.2</w:t>
      </w:r>
      <w:r w:rsidR="00890471" w:rsidRPr="00E750DB">
        <w:t xml:space="preserve"> vials and so most patients will require only one vial.</w:t>
      </w:r>
      <w:r w:rsidR="00122B9F" w:rsidRPr="00E750DB">
        <w:t xml:space="preserve"> At a recommended dose of 2.5 mg/kg, one vial is needed for a patient body weight of up to 75.6 kg, and two vials for a body w</w:t>
      </w:r>
      <w:r w:rsidR="00091CD5" w:rsidRPr="00E750DB">
        <w:t>e</w:t>
      </w:r>
      <w:r w:rsidR="00122B9F" w:rsidRPr="00E750DB">
        <w:t>ight above 75.6 kg.</w:t>
      </w:r>
      <w:r w:rsidR="00890471" w:rsidRPr="00E750DB">
        <w:t xml:space="preserve"> </w:t>
      </w:r>
      <w:bookmarkEnd w:id="6"/>
    </w:p>
    <w:p w14:paraId="4C71D3C4" w14:textId="79601983" w:rsidR="009018DF" w:rsidRPr="00E750DB" w:rsidRDefault="00F25A9D" w:rsidP="00E072B9">
      <w:pPr>
        <w:pStyle w:val="3-BodyText"/>
        <w:spacing w:after="120"/>
      </w:pPr>
      <w:r w:rsidRPr="00E750DB">
        <w:t xml:space="preserve">While the specified criteria for an acute attack (defined as requiring hospitalisation, presentation at an emergency department or medical intervention via a porphyria clinic) in the requested restriction was reasonably consistent with the definition of an attack in ENVISION, attacks which did not result in medical intervention </w:t>
      </w:r>
      <w:r w:rsidR="004D7F6A" w:rsidRPr="00E750DB">
        <w:t>(</w:t>
      </w:r>
      <w:r w:rsidRPr="00E750DB">
        <w:t>which may be related to accessibility to treatment rather than severity</w:t>
      </w:r>
      <w:r w:rsidR="004D7F6A" w:rsidRPr="00E750DB">
        <w:t>)</w:t>
      </w:r>
      <w:r w:rsidRPr="00E750DB">
        <w:t xml:space="preserve"> would not be considered in the eligible criteria and </w:t>
      </w:r>
      <w:r w:rsidR="002A3DF6" w:rsidRPr="00E750DB">
        <w:t xml:space="preserve">this </w:t>
      </w:r>
      <w:r w:rsidRPr="00E750DB">
        <w:t xml:space="preserve">may present an equity issue. </w:t>
      </w:r>
      <w:r w:rsidR="009018DF" w:rsidRPr="00915DBD">
        <w:rPr>
          <w:iCs/>
        </w:rPr>
        <w:t>The Sub</w:t>
      </w:r>
      <w:r w:rsidR="00E072B9">
        <w:rPr>
          <w:iCs/>
        </w:rPr>
        <w:noBreakHyphen/>
      </w:r>
      <w:r w:rsidR="00CF7E1B" w:rsidRPr="00915DBD">
        <w:rPr>
          <w:iCs/>
        </w:rPr>
        <w:t>C</w:t>
      </w:r>
      <w:r w:rsidR="009018DF" w:rsidRPr="00915DBD">
        <w:rPr>
          <w:iCs/>
        </w:rPr>
        <w:t>ommittees noted that clinicians treating patients through porphyria clinics would try to avoid hospitalisations during attacks, and commented that the inclusion of “medical intervention via a porphyria clinic” in the proposed restriction was appropriate in including attacks that could be managed without hospitalisation.</w:t>
      </w:r>
    </w:p>
    <w:p w14:paraId="5BC6DB38" w14:textId="0EB1FA9E" w:rsidR="00F25A9D" w:rsidRPr="00E750DB" w:rsidRDefault="00F25A9D" w:rsidP="00E072B9">
      <w:pPr>
        <w:pStyle w:val="3-BodyText"/>
        <w:spacing w:after="120"/>
      </w:pPr>
      <w:r w:rsidRPr="00E750DB">
        <w:t xml:space="preserve">Further, the definition of acute attack based on Stein 2023 (which was referenced by </w:t>
      </w:r>
      <w:r w:rsidR="00CC4CF2" w:rsidRPr="00E750DB">
        <w:t xml:space="preserve">Australian </w:t>
      </w:r>
      <w:r w:rsidRPr="00E750DB">
        <w:t>clinicians from a focus group conducted by the sponsor</w:t>
      </w:r>
      <w:r w:rsidR="006F3733" w:rsidRPr="00E750DB">
        <w:t xml:space="preserve">, see </w:t>
      </w:r>
      <w:r w:rsidR="006F3733" w:rsidRPr="00E750DB">
        <w:fldChar w:fldCharType="begin" w:fldLock="1"/>
      </w:r>
      <w:r w:rsidR="006F3733" w:rsidRPr="00E750DB">
        <w:instrText xml:space="preserve"> REF _Ref197952946 \h  \* MERGEFORMAT </w:instrText>
      </w:r>
      <w:r w:rsidR="006F3733" w:rsidRPr="00E750DB">
        <w:fldChar w:fldCharType="separate"/>
      </w:r>
      <w:r w:rsidR="00E750DB" w:rsidRPr="00E750DB">
        <w:t>Figure 1</w:t>
      </w:r>
      <w:r w:rsidR="006F3733" w:rsidRPr="00E750DB">
        <w:fldChar w:fldCharType="end"/>
      </w:r>
      <w:r w:rsidRPr="00E750DB">
        <w:t xml:space="preserve">) was more prescriptive in terms of symptoms of the acute attack being specifically described, and also required significantly elevated </w:t>
      </w:r>
      <w:r w:rsidR="00091CD5" w:rsidRPr="00E750DB">
        <w:t>porphobilinogen (PBG)</w:t>
      </w:r>
      <w:r w:rsidRPr="00E750DB">
        <w:t xml:space="preserve">/creatinine ratio. As such, it was unclear whether the definition of acute attack in the requested restriction was sufficient. </w:t>
      </w:r>
      <w:r w:rsidR="00795AB5" w:rsidRPr="00E750DB">
        <w:t>T</w:t>
      </w:r>
      <w:r w:rsidRPr="00E750DB">
        <w:t xml:space="preserve">he required number of attacks (at least two attacks within the six months prior to treatment initiation) was consistent with the inclusion criteria in ENVISION. </w:t>
      </w:r>
    </w:p>
    <w:p w14:paraId="02DEF173" w14:textId="0EDD0245" w:rsidR="006F3733" w:rsidRPr="00E750DB" w:rsidRDefault="006F3733" w:rsidP="00E072B9">
      <w:pPr>
        <w:pStyle w:val="Caption"/>
        <w:rPr>
          <w:b w:val="0"/>
          <w:bCs w:val="0"/>
          <w:szCs w:val="20"/>
        </w:rPr>
      </w:pPr>
      <w:bookmarkStart w:id="7" w:name="_Ref197952946"/>
      <w:r w:rsidRPr="00E750DB">
        <w:t xml:space="preserve">Figure </w:t>
      </w:r>
      <w:r w:rsidR="00E750DB">
        <w:fldChar w:fldCharType="begin" w:fldLock="1"/>
      </w:r>
      <w:r w:rsidR="00E750DB">
        <w:instrText xml:space="preserve"> SEQ Figure \* ARABIC </w:instrText>
      </w:r>
      <w:r w:rsidR="00E750DB">
        <w:fldChar w:fldCharType="separate"/>
      </w:r>
      <w:r w:rsidR="00E750DB" w:rsidRPr="00E750DB">
        <w:t>1</w:t>
      </w:r>
      <w:r w:rsidR="00E750DB">
        <w:fldChar w:fldCharType="end"/>
      </w:r>
      <w:bookmarkEnd w:id="7"/>
      <w:r w:rsidR="00FD24EF" w:rsidRPr="00E750DB">
        <w:t xml:space="preserve">: </w:t>
      </w:r>
      <w:r w:rsidRPr="00E750DB">
        <w:rPr>
          <w:szCs w:val="20"/>
        </w:rPr>
        <w:t>Definition of acute porphyria attack in the Delphi consensus led by the European porphyria network</w:t>
      </w:r>
    </w:p>
    <w:p w14:paraId="3DE18CF6" w14:textId="77777777" w:rsidR="006F3733" w:rsidRPr="00E750DB" w:rsidRDefault="006F3733" w:rsidP="00E072B9">
      <w:pPr>
        <w:keepNext/>
        <w:keepLines/>
        <w:rPr>
          <w:rFonts w:ascii="Arial Narrow" w:hAnsi="Arial Narrow"/>
          <w:color w:val="3366FF"/>
          <w:sz w:val="20"/>
          <w:szCs w:val="20"/>
        </w:rPr>
      </w:pPr>
      <w:r w:rsidRPr="00E750DB">
        <w:rPr>
          <w:rFonts w:ascii="Arial Narrow" w:hAnsi="Arial Narrow"/>
          <w:noProof/>
          <w:color w:val="3366FF"/>
          <w:sz w:val="20"/>
          <w:szCs w:val="20"/>
        </w:rPr>
        <w:drawing>
          <wp:inline distT="0" distB="0" distL="0" distR="0" wp14:anchorId="0D26C663" wp14:editId="3D3ECC0B">
            <wp:extent cx="5732145" cy="2161540"/>
            <wp:effectExtent l="0" t="0" r="1905" b="0"/>
            <wp:docPr id="627247140" name="Picture 627247140" descr="Figure 1: Definition of acute porphyria attack in the Delphi consensus led by the European porphyri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47140" name="Picture 627247140" descr="Figure 1: Definition of acute porphyria attack in the Delphi consensus led by the European porphyria net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161540"/>
                    </a:xfrm>
                    <a:prstGeom prst="rect">
                      <a:avLst/>
                    </a:prstGeom>
                    <a:noFill/>
                    <a:ln>
                      <a:noFill/>
                    </a:ln>
                  </pic:spPr>
                </pic:pic>
              </a:graphicData>
            </a:graphic>
          </wp:inline>
        </w:drawing>
      </w:r>
    </w:p>
    <w:p w14:paraId="10E99E73" w14:textId="1D568955" w:rsidR="006F3733" w:rsidRPr="00E750DB" w:rsidRDefault="00FD24EF" w:rsidP="00E072B9">
      <w:pPr>
        <w:keepNext/>
        <w:keepLines/>
        <w:jc w:val="left"/>
        <w:rPr>
          <w:rFonts w:ascii="Arial Narrow" w:hAnsi="Arial Narrow"/>
          <w:sz w:val="18"/>
          <w:szCs w:val="18"/>
        </w:rPr>
      </w:pPr>
      <w:r w:rsidRPr="00E750DB">
        <w:rPr>
          <w:rFonts w:ascii="Arial Narrow" w:hAnsi="Arial Narrow"/>
          <w:sz w:val="18"/>
          <w:szCs w:val="18"/>
        </w:rPr>
        <w:t xml:space="preserve">Source: </w:t>
      </w:r>
      <w:r w:rsidR="006F3733" w:rsidRPr="00E750DB">
        <w:rPr>
          <w:rFonts w:ascii="Arial Narrow" w:hAnsi="Arial Narrow"/>
          <w:sz w:val="18"/>
          <w:szCs w:val="18"/>
        </w:rPr>
        <w:t>Figure 1, Summary of Clinician Input including Focus group meeting, taken from Stein 2023</w:t>
      </w:r>
    </w:p>
    <w:p w14:paraId="6D706D87" w14:textId="77777777" w:rsidR="006F3733" w:rsidRPr="00E750DB" w:rsidRDefault="006F3733" w:rsidP="00E072B9">
      <w:pPr>
        <w:keepNext/>
        <w:keepLines/>
        <w:spacing w:after="120"/>
        <w:jc w:val="left"/>
        <w:rPr>
          <w:rFonts w:ascii="Arial Narrow" w:hAnsi="Arial Narrow"/>
          <w:sz w:val="18"/>
          <w:szCs w:val="18"/>
        </w:rPr>
      </w:pPr>
      <w:r w:rsidRPr="00E750DB">
        <w:rPr>
          <w:rFonts w:ascii="Arial Narrow" w:hAnsi="Arial Narrow"/>
          <w:sz w:val="18"/>
          <w:szCs w:val="18"/>
          <w:vertAlign w:val="superscript"/>
        </w:rPr>
        <w:t>b</w:t>
      </w:r>
      <w:r w:rsidRPr="00E750DB">
        <w:rPr>
          <w:rFonts w:ascii="Arial Narrow" w:hAnsi="Arial Narrow"/>
          <w:sz w:val="18"/>
          <w:szCs w:val="18"/>
        </w:rPr>
        <w:t xml:space="preserve"> Considerations in the interpretation of Urine PBG/creatinine ratio: (1) The quality of the PBG analysis should be within specifications set by Epnet EQAS(or another EQA organisation). (2) PBG/creatinine ratio is typically increased to more than 10 times the upper limit of normal during attacks. However, if the upper limit of normal is ≤1 μmol/mmol creatinine (e.g., when measured by mass spectrometry), a result above </w:t>
      </w:r>
      <w:r w:rsidRPr="00E750DB">
        <w:rPr>
          <w:rFonts w:ascii="Arial Narrow" w:hAnsi="Arial Narrow"/>
          <w:sz w:val="18"/>
          <w:szCs w:val="18"/>
        </w:rPr>
        <w:br/>
        <w:t>10 μmol/mmol creatinine is expected during attacks. (3) If the patient's PBG when asymptomatic is higher than 10 times the upper limit of normal or more than 10 μmol/mmol creatinine if measured by mass spectrometry, a significant further increase above baseline is expected during attacks. (4) In AIP, PBG/creatinine typically remains elevated for many years after or between attacks. (5) In VP and HCP, PBG/creatinine may fall to normal once the attack has resolved. (6) APBG/creatinine ratio of 4 times the upper limit of normal is equivalent to 4 μmol/mmol creatinine if measured by mass spectrometry.</w:t>
      </w:r>
    </w:p>
    <w:p w14:paraId="7D931295" w14:textId="40B34343" w:rsidR="00F84919" w:rsidRPr="00E750DB" w:rsidRDefault="00F84919" w:rsidP="00E072B9">
      <w:pPr>
        <w:pStyle w:val="3-BodyText"/>
      </w:pPr>
      <w:r w:rsidRPr="00E750DB">
        <w:t>The submission requested an alternative initiation restriction for a small population of patients who have a documented history of acute porphyria attacks within six months prior to the initiation of off</w:t>
      </w:r>
      <w:r w:rsidR="00E072B9">
        <w:noBreakHyphen/>
      </w:r>
      <w:r w:rsidRPr="00E750DB">
        <w:t>label prophylactic treatment with gonadotropin</w:t>
      </w:r>
      <w:r w:rsidR="00E072B9">
        <w:noBreakHyphen/>
      </w:r>
      <w:r w:rsidRPr="00E750DB">
        <w:t>releasing hormone (GnRH) analogues or hemin. The submission claimed that this criterion was proposed by Australian clinical experts who expressed concern that patients with refractory, persistent disease who have started off</w:t>
      </w:r>
      <w:r w:rsidR="00E072B9">
        <w:noBreakHyphen/>
      </w:r>
      <w:r w:rsidRPr="00E750DB">
        <w:t>label prophylaxis (e.g., GnRH analogues or hemin) in the absence of other non</w:t>
      </w:r>
      <w:r w:rsidR="00E072B9">
        <w:noBreakHyphen/>
      </w:r>
      <w:r w:rsidRPr="00E750DB">
        <w:t>surgical preventive options would need to cease their prophylaxis and wait for two life</w:t>
      </w:r>
      <w:r w:rsidR="00E072B9">
        <w:noBreakHyphen/>
      </w:r>
      <w:r w:rsidRPr="00E750DB">
        <w:t xml:space="preserve">threatening attacks to qualify for givosiran treatment. </w:t>
      </w:r>
      <w:r w:rsidRPr="00915DBD">
        <w:rPr>
          <w:iCs/>
        </w:rPr>
        <w:t>The Sub</w:t>
      </w:r>
      <w:r w:rsidR="00E072B9">
        <w:rPr>
          <w:iCs/>
        </w:rPr>
        <w:noBreakHyphen/>
      </w:r>
      <w:r w:rsidRPr="00915DBD">
        <w:rPr>
          <w:iCs/>
        </w:rPr>
        <w:t>Committees agreed with the submission that it was appropriate for the restrictions to allow patients on prophylactic treatment, with a documented history of acute porphyria attacks (as per the initiation criteria), to receive treatment with givosiran without the need to demonstrate additional attacks and noted that the Secretariat revised restrictions addressed this</w:t>
      </w:r>
      <w:r>
        <w:rPr>
          <w:iCs/>
        </w:rPr>
        <w:t xml:space="preserve"> concern</w:t>
      </w:r>
      <w:r w:rsidRPr="00915DBD">
        <w:rPr>
          <w:iCs/>
        </w:rPr>
        <w:t xml:space="preserve">. </w:t>
      </w:r>
    </w:p>
    <w:p w14:paraId="0E3CD438" w14:textId="38369E2D" w:rsidR="00F84919" w:rsidRPr="00E750DB" w:rsidRDefault="00F84919" w:rsidP="00E072B9">
      <w:pPr>
        <w:pStyle w:val="3-BodyText"/>
      </w:pPr>
      <w:r w:rsidRPr="00E750DB">
        <w:t>The submission requested a grandfathering restriction which will apply to eight patients currently receiving treatment through the Expanded Access Program (EAP)</w:t>
      </w:r>
      <w:r>
        <w:t xml:space="preserve">. </w:t>
      </w:r>
      <w:r>
        <w:rPr>
          <w:rFonts w:cstheme="minorHAnsi"/>
        </w:rPr>
        <w:t>I</w:t>
      </w:r>
      <w:r w:rsidRPr="00E750DB">
        <w:rPr>
          <w:rFonts w:cstheme="minorHAnsi"/>
        </w:rPr>
        <w:t xml:space="preserve">t was noted that grandfathered patients must also have had a documented history of at least two porphyria attacks prior to initiation of givosiran. </w:t>
      </w:r>
      <w:r>
        <w:rPr>
          <w:rFonts w:cstheme="minorHAnsi"/>
        </w:rPr>
        <w:t>Providing they meet the criteria for diagnosis of AHP, these patients would be eligible for treatment under the initial treatment restriction with Secretarial revisions.</w:t>
      </w:r>
    </w:p>
    <w:p w14:paraId="101DA663" w14:textId="0B1CB118" w:rsidR="009C5EC4" w:rsidRPr="00E750DB" w:rsidRDefault="00F25A9D" w:rsidP="00E072B9">
      <w:pPr>
        <w:pStyle w:val="3-BodyText"/>
        <w:spacing w:before="0" w:after="120"/>
      </w:pPr>
      <w:r w:rsidRPr="00E750DB">
        <w:t xml:space="preserve">The submission’s clinical criteria for diagnosis were broader than the enrolment criteria in ENVISION, as the requested restriction does not include the requirement of genetic testing </w:t>
      </w:r>
      <w:r w:rsidR="00293787" w:rsidRPr="00E750DB">
        <w:t xml:space="preserve">which </w:t>
      </w:r>
      <w:r w:rsidR="001E4307">
        <w:t>was conducted</w:t>
      </w:r>
      <w:r w:rsidR="00B4727F">
        <w:t xml:space="preserve"> for the</w:t>
      </w:r>
      <w:r w:rsidR="00293787" w:rsidRPr="00E750DB">
        <w:t xml:space="preserve"> ENVISION</w:t>
      </w:r>
      <w:r w:rsidR="00B4727F">
        <w:t xml:space="preserve"> trial (though patients </w:t>
      </w:r>
      <w:r w:rsidR="00725590">
        <w:t xml:space="preserve">without an identified </w:t>
      </w:r>
      <w:r w:rsidR="00660EEB">
        <w:t>AHP</w:t>
      </w:r>
      <w:r w:rsidR="00E072B9">
        <w:noBreakHyphen/>
      </w:r>
      <w:r w:rsidR="00660EEB">
        <w:t xml:space="preserve">related </w:t>
      </w:r>
      <w:r w:rsidR="00725590">
        <w:t xml:space="preserve">genetic variant </w:t>
      </w:r>
      <w:r w:rsidR="00B4727F">
        <w:t xml:space="preserve">were eligible for the study </w:t>
      </w:r>
      <w:proofErr w:type="gramStart"/>
      <w:r w:rsidR="00725590">
        <w:t>on the basis of</w:t>
      </w:r>
      <w:proofErr w:type="gramEnd"/>
      <w:r w:rsidR="00725590">
        <w:t xml:space="preserve"> </w:t>
      </w:r>
      <w:r w:rsidR="00660EEB">
        <w:t>clinical features accompanied by supportive biochemical criteria</w:t>
      </w:r>
      <w:r w:rsidRPr="00E750DB">
        <w:t xml:space="preserve">. </w:t>
      </w:r>
      <w:r w:rsidR="00BD61E6" w:rsidRPr="00915DBD">
        <w:rPr>
          <w:iCs/>
        </w:rPr>
        <w:t>The</w:t>
      </w:r>
      <w:r w:rsidR="00B417AB" w:rsidRPr="00915DBD">
        <w:rPr>
          <w:iCs/>
        </w:rPr>
        <w:t xml:space="preserve"> </w:t>
      </w:r>
      <w:r w:rsidR="00A14010" w:rsidRPr="00915DBD">
        <w:rPr>
          <w:iCs/>
        </w:rPr>
        <w:t>C</w:t>
      </w:r>
      <w:r w:rsidR="00B417AB" w:rsidRPr="00915DBD">
        <w:rPr>
          <w:iCs/>
        </w:rPr>
        <w:t xml:space="preserve">ommentary considered this </w:t>
      </w:r>
      <w:r w:rsidR="00F733C9" w:rsidRPr="00915DBD">
        <w:rPr>
          <w:iCs/>
        </w:rPr>
        <w:t xml:space="preserve">would mean that </w:t>
      </w:r>
      <w:r w:rsidR="00F733C9" w:rsidRPr="00E750DB">
        <w:t>the</w:t>
      </w:r>
      <w:r w:rsidR="00BD61E6" w:rsidRPr="00E750DB">
        <w:t xml:space="preserve">re is potential for misdiagnosis. </w:t>
      </w:r>
      <w:r w:rsidR="00EA51FF" w:rsidRPr="00915DBD">
        <w:rPr>
          <w:iCs/>
        </w:rPr>
        <w:t>The Sub</w:t>
      </w:r>
      <w:r w:rsidR="00E072B9">
        <w:rPr>
          <w:iCs/>
        </w:rPr>
        <w:noBreakHyphen/>
      </w:r>
      <w:r w:rsidR="00CF7E1B" w:rsidRPr="00915DBD">
        <w:rPr>
          <w:iCs/>
        </w:rPr>
        <w:t>C</w:t>
      </w:r>
      <w:r w:rsidR="00EA51FF" w:rsidRPr="00915DBD">
        <w:rPr>
          <w:iCs/>
        </w:rPr>
        <w:t xml:space="preserve">ommittees </w:t>
      </w:r>
      <w:r w:rsidR="00940ADA" w:rsidRPr="00915DBD">
        <w:rPr>
          <w:iCs/>
        </w:rPr>
        <w:t xml:space="preserve">noted that the submission claimed that an identified variant is not essential for diagnosis since it is known that mutations cannot be found in a small </w:t>
      </w:r>
      <w:r w:rsidR="00562B50" w:rsidRPr="00915DBD">
        <w:rPr>
          <w:iCs/>
        </w:rPr>
        <w:t>proportion</w:t>
      </w:r>
      <w:r w:rsidR="00940ADA" w:rsidRPr="00915DBD">
        <w:rPr>
          <w:iCs/>
        </w:rPr>
        <w:t xml:space="preserve"> of patients (&lt;</w:t>
      </w:r>
      <w:r w:rsidR="00BC7441">
        <w:rPr>
          <w:iCs/>
        </w:rPr>
        <w:t xml:space="preserve"> </w:t>
      </w:r>
      <w:r w:rsidR="00940ADA" w:rsidRPr="00915DBD">
        <w:rPr>
          <w:iCs/>
        </w:rPr>
        <w:t>5%) with the disease</w:t>
      </w:r>
      <w:r w:rsidR="00247556" w:rsidRPr="00915DBD">
        <w:rPr>
          <w:iCs/>
        </w:rPr>
        <w:t>. The Sub</w:t>
      </w:r>
      <w:r w:rsidR="00E072B9">
        <w:rPr>
          <w:iCs/>
        </w:rPr>
        <w:noBreakHyphen/>
      </w:r>
      <w:r w:rsidR="00247556" w:rsidRPr="00915DBD">
        <w:rPr>
          <w:iCs/>
        </w:rPr>
        <w:t>committees c</w:t>
      </w:r>
      <w:r w:rsidR="00EA51FF" w:rsidRPr="00915DBD">
        <w:rPr>
          <w:iCs/>
        </w:rPr>
        <w:t xml:space="preserve">onsidered that </w:t>
      </w:r>
      <w:r w:rsidR="00465467" w:rsidRPr="00915DBD">
        <w:rPr>
          <w:iCs/>
        </w:rPr>
        <w:t xml:space="preserve">diagnosis based on clinical features and diagnostic biochemical criteria (as proposed in the restrictions) was </w:t>
      </w:r>
      <w:r w:rsidR="00184497" w:rsidRPr="00915DBD">
        <w:rPr>
          <w:iCs/>
        </w:rPr>
        <w:t>appropriate</w:t>
      </w:r>
      <w:r w:rsidR="00465467" w:rsidRPr="00915DBD">
        <w:rPr>
          <w:iCs/>
        </w:rPr>
        <w:t>.</w:t>
      </w:r>
      <w:r w:rsidR="00465467" w:rsidRPr="00E750DB">
        <w:t xml:space="preserve"> </w:t>
      </w:r>
    </w:p>
    <w:p w14:paraId="7E89BB72" w14:textId="3FB7DB3F" w:rsidR="00091CD5" w:rsidRPr="00E750DB" w:rsidRDefault="00091CD5" w:rsidP="00E072B9">
      <w:pPr>
        <w:pStyle w:val="3-BodyText"/>
        <w:spacing w:before="0" w:after="120"/>
      </w:pPr>
      <w:r w:rsidRPr="00E750DB">
        <w:t>The proposed continuation criteria require patients to “demonstrate improvement in the frequency or severity of AHP attacks while on treatment”. However, it was unclear from the submission how this clinical benefit would be objectively measured in practice as there was no requirement for clinicians or patients to establish a background rate or severity of attack (or what instrument would be used to measure the severity of attack) prior to treatment.</w:t>
      </w:r>
      <w:r w:rsidR="00171317" w:rsidRPr="00E750DB">
        <w:t xml:space="preserve"> </w:t>
      </w:r>
      <w:r w:rsidR="00171317" w:rsidRPr="00915DBD">
        <w:rPr>
          <w:iCs/>
        </w:rPr>
        <w:t>The Sub</w:t>
      </w:r>
      <w:r w:rsidR="00E072B9">
        <w:rPr>
          <w:iCs/>
        </w:rPr>
        <w:noBreakHyphen/>
      </w:r>
      <w:r w:rsidR="00CF7E1B" w:rsidRPr="00915DBD">
        <w:rPr>
          <w:iCs/>
        </w:rPr>
        <w:t>C</w:t>
      </w:r>
      <w:r w:rsidR="00171317" w:rsidRPr="00915DBD">
        <w:rPr>
          <w:iCs/>
        </w:rPr>
        <w:t xml:space="preserve">ommittees noted that </w:t>
      </w:r>
      <w:r w:rsidR="00690B53" w:rsidRPr="00915DBD">
        <w:rPr>
          <w:iCs/>
        </w:rPr>
        <w:t>assessment of response</w:t>
      </w:r>
      <w:r w:rsidR="00171317" w:rsidRPr="00915DBD">
        <w:rPr>
          <w:iCs/>
        </w:rPr>
        <w:t xml:space="preserve"> relied on clinical judgement</w:t>
      </w:r>
      <w:r w:rsidR="00146956" w:rsidRPr="00915DBD">
        <w:rPr>
          <w:iCs/>
        </w:rPr>
        <w:t xml:space="preserve">, but considered that this </w:t>
      </w:r>
      <w:r w:rsidR="005F0030" w:rsidRPr="00915DBD">
        <w:rPr>
          <w:iCs/>
        </w:rPr>
        <w:t>was</w:t>
      </w:r>
      <w:r w:rsidR="00146956" w:rsidRPr="00915DBD">
        <w:rPr>
          <w:iCs/>
        </w:rPr>
        <w:t xml:space="preserve"> reasonable. The Sub</w:t>
      </w:r>
      <w:r w:rsidR="00E072B9">
        <w:rPr>
          <w:iCs/>
        </w:rPr>
        <w:noBreakHyphen/>
      </w:r>
      <w:r w:rsidR="00CF7E1B" w:rsidRPr="00915DBD">
        <w:rPr>
          <w:iCs/>
        </w:rPr>
        <w:t>C</w:t>
      </w:r>
      <w:r w:rsidR="00146956" w:rsidRPr="00915DBD">
        <w:rPr>
          <w:iCs/>
        </w:rPr>
        <w:t>ommittees noted that it is likely that patients would</w:t>
      </w:r>
      <w:r w:rsidR="00442C81" w:rsidRPr="00915DBD">
        <w:rPr>
          <w:iCs/>
        </w:rPr>
        <w:t xml:space="preserve"> </w:t>
      </w:r>
      <w:r w:rsidR="00E05F92" w:rsidRPr="00915DBD">
        <w:rPr>
          <w:iCs/>
        </w:rPr>
        <w:t xml:space="preserve">trial discontinuation of treatment as some stage, especially for women </w:t>
      </w:r>
      <w:r w:rsidR="005F0030" w:rsidRPr="00915DBD">
        <w:rPr>
          <w:iCs/>
        </w:rPr>
        <w:t>who have reached menopause.</w:t>
      </w:r>
    </w:p>
    <w:p w14:paraId="4278AD58" w14:textId="6919B3D2" w:rsidR="007A0AFD" w:rsidRPr="00E750DB" w:rsidRDefault="007A0AFD" w:rsidP="00E072B9">
      <w:pPr>
        <w:pStyle w:val="3-BodyText"/>
        <w:spacing w:before="0" w:after="120"/>
      </w:pPr>
      <w:r w:rsidRPr="00E750DB">
        <w:t xml:space="preserve">The criteria in the submission’s requested restriction do not require the discontinuation of prophylactic hemin, whereas all patients must have discontinued prophylactic hemin prior to treatment in ENVISION. </w:t>
      </w:r>
      <w:r w:rsidR="00D86EC2" w:rsidRPr="00915DBD">
        <w:rPr>
          <w:iCs/>
        </w:rPr>
        <w:t xml:space="preserve">The submission indicated that givosiran would be used in addition to </w:t>
      </w:r>
      <w:r w:rsidR="003671C5" w:rsidRPr="00915DBD">
        <w:rPr>
          <w:iCs/>
        </w:rPr>
        <w:t xml:space="preserve">best supportive care (including </w:t>
      </w:r>
      <w:r w:rsidR="000D18D0" w:rsidRPr="00915DBD">
        <w:rPr>
          <w:iCs/>
        </w:rPr>
        <w:t>hemin), however the Sub</w:t>
      </w:r>
      <w:r w:rsidR="00E072B9">
        <w:rPr>
          <w:iCs/>
        </w:rPr>
        <w:noBreakHyphen/>
      </w:r>
      <w:r w:rsidR="000D18D0" w:rsidRPr="00915DBD">
        <w:rPr>
          <w:iCs/>
        </w:rPr>
        <w:t xml:space="preserve">committees noted that patients are unlikely to continue prophylactic treatment with hemin as it is associated with substantial safety concerns (see also paragraph </w:t>
      </w:r>
      <w:r w:rsidR="000D18D0" w:rsidRPr="00915DBD">
        <w:rPr>
          <w:iCs/>
        </w:rPr>
        <w:fldChar w:fldCharType="begin" w:fldLock="1"/>
      </w:r>
      <w:r w:rsidR="000D18D0" w:rsidRPr="00915DBD">
        <w:rPr>
          <w:iCs/>
        </w:rPr>
        <w:instrText xml:space="preserve"> REF _Ref200977225 \r \h  \* MERGEFORMAT </w:instrText>
      </w:r>
      <w:r w:rsidR="000D18D0" w:rsidRPr="00915DBD">
        <w:rPr>
          <w:iCs/>
        </w:rPr>
      </w:r>
      <w:r w:rsidR="000D18D0" w:rsidRPr="00915DBD">
        <w:rPr>
          <w:iCs/>
        </w:rPr>
        <w:fldChar w:fldCharType="separate"/>
      </w:r>
      <w:r w:rsidR="00F06017">
        <w:rPr>
          <w:iCs/>
        </w:rPr>
        <w:t>5.6</w:t>
      </w:r>
      <w:r w:rsidR="000D18D0" w:rsidRPr="00915DBD">
        <w:rPr>
          <w:iCs/>
        </w:rPr>
        <w:fldChar w:fldCharType="end"/>
      </w:r>
      <w:r w:rsidR="000D18D0" w:rsidRPr="00915DBD">
        <w:rPr>
          <w:iCs/>
        </w:rPr>
        <w:t xml:space="preserve">). </w:t>
      </w:r>
    </w:p>
    <w:p w14:paraId="6185956E" w14:textId="77777777" w:rsidR="007A0AFD" w:rsidRPr="00E750DB" w:rsidRDefault="007A0AFD" w:rsidP="00E072B9">
      <w:pPr>
        <w:pStyle w:val="3-BodyText"/>
        <w:spacing w:before="0" w:after="120"/>
      </w:pPr>
      <w:r w:rsidRPr="00E750DB">
        <w:t xml:space="preserve">The requested restriction specified that patients who have previously undergone a liver transplant were not eligible for givosiran treatment. However, patients who have previously had oophorectomy or hysterectomy remain eligible. Patients who had previously undergone a liver transplant were not </w:t>
      </w:r>
      <w:r w:rsidRPr="00915DBD">
        <w:rPr>
          <w:iCs/>
        </w:rPr>
        <w:t>specifically</w:t>
      </w:r>
      <w:r w:rsidRPr="00E750DB">
        <w:t xml:space="preserve"> excluded from the submission’s financial estimates, </w:t>
      </w:r>
      <w:r w:rsidRPr="00915DBD">
        <w:rPr>
          <w:iCs/>
        </w:rPr>
        <w:t>but this may have been accounted for in other ways (i.e. the proportion of patients presenting with an attack).</w:t>
      </w:r>
      <w:r w:rsidRPr="00E750DB">
        <w:t xml:space="preserve"> </w:t>
      </w:r>
    </w:p>
    <w:p w14:paraId="31B5971B" w14:textId="27D1629C" w:rsidR="003113AB" w:rsidRPr="00E750DB" w:rsidRDefault="00401770" w:rsidP="00E072B9">
      <w:pPr>
        <w:pStyle w:val="3-BodyText"/>
        <w:spacing w:before="0" w:after="120"/>
      </w:pPr>
      <w:r w:rsidRPr="00915DBD">
        <w:rPr>
          <w:iCs/>
        </w:rPr>
        <w:t>The Sub</w:t>
      </w:r>
      <w:r w:rsidR="00E072B9">
        <w:rPr>
          <w:iCs/>
        </w:rPr>
        <w:noBreakHyphen/>
      </w:r>
      <w:r w:rsidR="00187143" w:rsidRPr="00915DBD">
        <w:rPr>
          <w:iCs/>
        </w:rPr>
        <w:t>C</w:t>
      </w:r>
      <w:r w:rsidRPr="00915DBD">
        <w:rPr>
          <w:iCs/>
        </w:rPr>
        <w:t>ommittee</w:t>
      </w:r>
      <w:r w:rsidR="00187143" w:rsidRPr="00915DBD">
        <w:rPr>
          <w:iCs/>
        </w:rPr>
        <w:t>s</w:t>
      </w:r>
      <w:r w:rsidRPr="00915DBD">
        <w:rPr>
          <w:iCs/>
        </w:rPr>
        <w:t xml:space="preserve"> noted that the submission proposed limiting treatment to patients </w:t>
      </w:r>
      <w:r w:rsidR="003113AB" w:rsidRPr="00915DBD">
        <w:rPr>
          <w:iCs/>
        </w:rPr>
        <w:t xml:space="preserve">12 years or older. </w:t>
      </w:r>
      <w:r w:rsidR="003113AB" w:rsidRPr="0054306B">
        <w:rPr>
          <w:iCs/>
        </w:rPr>
        <w:t xml:space="preserve">The trial </w:t>
      </w:r>
      <w:r w:rsidR="009E5344" w:rsidRPr="0054306B">
        <w:rPr>
          <w:iCs/>
        </w:rPr>
        <w:t>did not enrol any patients 12</w:t>
      </w:r>
      <w:r w:rsidR="00E072B9" w:rsidRPr="0054306B">
        <w:rPr>
          <w:iCs/>
        </w:rPr>
        <w:noBreakHyphen/>
      </w:r>
      <w:r w:rsidR="009E5344" w:rsidRPr="0054306B">
        <w:rPr>
          <w:iCs/>
        </w:rPr>
        <w:t>18 years, though they were not excluded.</w:t>
      </w:r>
      <w:r w:rsidR="009E5344" w:rsidRPr="00915DBD">
        <w:rPr>
          <w:iCs/>
        </w:rPr>
        <w:t xml:space="preserve"> The Sub</w:t>
      </w:r>
      <w:r w:rsidR="00E072B9">
        <w:rPr>
          <w:iCs/>
        </w:rPr>
        <w:noBreakHyphen/>
      </w:r>
      <w:r w:rsidR="00A144D3" w:rsidRPr="00915DBD">
        <w:rPr>
          <w:iCs/>
        </w:rPr>
        <w:t>C</w:t>
      </w:r>
      <w:r w:rsidR="009E5344" w:rsidRPr="00915DBD">
        <w:rPr>
          <w:iCs/>
        </w:rPr>
        <w:t>ommittee</w:t>
      </w:r>
      <w:r w:rsidR="004A3420" w:rsidRPr="00915DBD">
        <w:rPr>
          <w:iCs/>
        </w:rPr>
        <w:t>s</w:t>
      </w:r>
      <w:r w:rsidR="009E5344" w:rsidRPr="00915DBD">
        <w:rPr>
          <w:iCs/>
        </w:rPr>
        <w:t xml:space="preserve"> noted that </w:t>
      </w:r>
      <w:r w:rsidR="00BC347B" w:rsidRPr="00915DBD">
        <w:rPr>
          <w:iCs/>
        </w:rPr>
        <w:t>AHP does not typically present until early adulthood</w:t>
      </w:r>
      <w:r w:rsidR="00C75384" w:rsidRPr="00915DBD">
        <w:rPr>
          <w:iCs/>
        </w:rPr>
        <w:t>.</w:t>
      </w:r>
    </w:p>
    <w:p w14:paraId="2F27B7E9" w14:textId="7E2B21D3" w:rsidR="003D4090" w:rsidRPr="00E750DB" w:rsidRDefault="003D4090" w:rsidP="00E072B9">
      <w:pPr>
        <w:pStyle w:val="3-BodyText"/>
        <w:spacing w:before="0" w:after="120"/>
      </w:pPr>
      <w:r w:rsidRPr="00915DBD">
        <w:rPr>
          <w:iCs/>
        </w:rPr>
        <w:t>The Sub</w:t>
      </w:r>
      <w:r w:rsidR="00E072B9">
        <w:rPr>
          <w:iCs/>
        </w:rPr>
        <w:noBreakHyphen/>
      </w:r>
      <w:r w:rsidR="00CF7E1B" w:rsidRPr="00915DBD">
        <w:rPr>
          <w:iCs/>
        </w:rPr>
        <w:t>C</w:t>
      </w:r>
      <w:r w:rsidRPr="00915DBD">
        <w:rPr>
          <w:iCs/>
        </w:rPr>
        <w:t xml:space="preserve">ommittees noted that the submission proposed limiting </w:t>
      </w:r>
      <w:r w:rsidR="00764A65" w:rsidRPr="00915DBD">
        <w:rPr>
          <w:iCs/>
        </w:rPr>
        <w:t>initiation of treatment to patients under the supervision of a healthcare professional experienced in the management of porphyria.</w:t>
      </w:r>
      <w:r w:rsidR="00BF07C9" w:rsidRPr="00915DBD">
        <w:rPr>
          <w:iCs/>
        </w:rPr>
        <w:t xml:space="preserve"> </w:t>
      </w:r>
      <w:r w:rsidR="000768B1" w:rsidRPr="00915DBD">
        <w:rPr>
          <w:iCs/>
        </w:rPr>
        <w:t>The Sub</w:t>
      </w:r>
      <w:r w:rsidR="00E072B9">
        <w:rPr>
          <w:iCs/>
        </w:rPr>
        <w:noBreakHyphen/>
      </w:r>
      <w:r w:rsidR="001844D4" w:rsidRPr="00915DBD">
        <w:rPr>
          <w:iCs/>
        </w:rPr>
        <w:t>C</w:t>
      </w:r>
      <w:r w:rsidR="000768B1" w:rsidRPr="00915DBD">
        <w:rPr>
          <w:iCs/>
        </w:rPr>
        <w:t xml:space="preserve">ommittees considered it was reasonable not to further specify the </w:t>
      </w:r>
      <w:r w:rsidR="006240D6" w:rsidRPr="00915DBD">
        <w:rPr>
          <w:iCs/>
        </w:rPr>
        <w:t>specialist groups who can prescribe givosiran</w:t>
      </w:r>
      <w:r w:rsidR="00103711" w:rsidRPr="00915DBD">
        <w:rPr>
          <w:iCs/>
        </w:rPr>
        <w:t>.</w:t>
      </w:r>
    </w:p>
    <w:p w14:paraId="4B6B167C" w14:textId="70372838" w:rsidR="006208CF" w:rsidRPr="006208CF" w:rsidRDefault="006208CF" w:rsidP="00E072B9">
      <w:pPr>
        <w:ind w:firstLine="709"/>
        <w:rPr>
          <w:rFonts w:asciiTheme="minorHAnsi" w:hAnsiTheme="minorHAnsi"/>
          <w:i/>
        </w:rPr>
      </w:pPr>
      <w:bookmarkStart w:id="8" w:name="_Hlk76375324"/>
      <w:r w:rsidRPr="00C33D30">
        <w:rPr>
          <w:rFonts w:asciiTheme="minorHAnsi" w:hAnsiTheme="minorHAnsi"/>
          <w:i/>
        </w:rPr>
        <w:t>For more detail on PBAC’s view, see section 7 PBAC outcome.</w:t>
      </w:r>
      <w:bookmarkEnd w:id="8"/>
    </w:p>
    <w:p w14:paraId="7DF543C4" w14:textId="77777777" w:rsidR="00580B8F" w:rsidRPr="00E750DB" w:rsidDel="00195452" w:rsidRDefault="00580B8F" w:rsidP="00E072B9">
      <w:pPr>
        <w:pStyle w:val="2-SectionHeading"/>
        <w:ind w:left="709" w:hanging="709"/>
      </w:pPr>
      <w:bookmarkStart w:id="9" w:name="_Toc198715354"/>
      <w:r w:rsidRPr="00E750DB" w:rsidDel="00195452">
        <w:t>Population and disease</w:t>
      </w:r>
      <w:bookmarkEnd w:id="9"/>
    </w:p>
    <w:p w14:paraId="4535A2C6" w14:textId="1E0B8996" w:rsidR="00580B8F" w:rsidRPr="00E750DB" w:rsidRDefault="00580B8F" w:rsidP="00E072B9">
      <w:pPr>
        <w:pStyle w:val="3-BodyText"/>
        <w:spacing w:before="0" w:after="120"/>
        <w:rPr>
          <w:color w:val="0066FF"/>
        </w:rPr>
      </w:pPr>
      <w:r w:rsidRPr="00E750DB">
        <w:t>Porphyria comprises a family of rare genetic diseases, resulting from a partial deficiency in the activity of one of the eight enzymes responsible for haem synthesis. Porphyria is typically classified as erythropoietic or hepatic, depending on whether the major site of accumulation of haem precursor is erythroid related (e.g., bone marrow) or hepatic (liver), and as neurologic or cutaneous depending on the cardinal clinical manifestations. The four types of AHP are acute intermittent porphyria (AIP, the most common type), variegate porphyria (VP), hereditary coproporphyria (HCP) and the ultra</w:t>
      </w:r>
      <w:r w:rsidR="00E072B9">
        <w:noBreakHyphen/>
      </w:r>
      <w:r w:rsidRPr="00E750DB">
        <w:t xml:space="preserve">rare ALA dehydratase deficiency porphyria (ADP), each resulting from a different enzyme deficiency. </w:t>
      </w:r>
    </w:p>
    <w:p w14:paraId="15D26B43" w14:textId="4425B584" w:rsidR="009C1BA9" w:rsidRPr="00E750DB" w:rsidRDefault="009C1BA9" w:rsidP="00E072B9">
      <w:pPr>
        <w:pStyle w:val="3-BodyText"/>
        <w:spacing w:before="0" w:after="120"/>
        <w:rPr>
          <w:color w:val="0066FF"/>
        </w:rPr>
      </w:pPr>
      <w:r w:rsidRPr="00E750DB">
        <w:t>Although each AHP subtype arises from variants of unique genes, they all result in depletion of the hepatic free haem pool and induction of delta</w:t>
      </w:r>
      <w:r w:rsidR="00E072B9">
        <w:noBreakHyphen/>
      </w:r>
      <w:r w:rsidRPr="00E750DB">
        <w:t>aminolevulinic acid synthase 1 (ALAS1), the first and rate</w:t>
      </w:r>
      <w:r w:rsidR="00E072B9">
        <w:noBreakHyphen/>
      </w:r>
      <w:r w:rsidRPr="00E750DB">
        <w:t>limiting enzyme in the eight</w:t>
      </w:r>
      <w:r w:rsidR="00E072B9">
        <w:noBreakHyphen/>
      </w:r>
      <w:r w:rsidRPr="00E750DB">
        <w:t>step pathway of haem biosynthesis in the liver. In patients with AHP, whose haem biosynthesis is dysfunctional, the upregulation of ALAS1 can lead to increased levels of haem</w:t>
      </w:r>
      <w:r w:rsidR="0048757A">
        <w:t xml:space="preserve"> precursors</w:t>
      </w:r>
      <w:r w:rsidRPr="00E750DB">
        <w:t>.</w:t>
      </w:r>
    </w:p>
    <w:p w14:paraId="1F14CC82" w14:textId="32446A9E" w:rsidR="00E80B62" w:rsidRPr="00E750DB" w:rsidRDefault="00E80B62" w:rsidP="00E072B9">
      <w:pPr>
        <w:pStyle w:val="3-BodyText"/>
        <w:spacing w:before="0" w:after="120"/>
      </w:pPr>
      <w:r w:rsidRPr="00E750DB">
        <w:t>All four subtypes of AHP are characterised by acute neurovisceral symptoms that are clinically indistinguishable (Balwani 2017) though patients with HCP and VP may additionally experience cutaneous phototoxicity and skin lesions due to a build</w:t>
      </w:r>
      <w:r w:rsidR="00E072B9">
        <w:noBreakHyphen/>
      </w:r>
      <w:r w:rsidRPr="00E750DB">
        <w:t>up of porphyrins in the skin of dermal blood vessels (Balwani 2017).</w:t>
      </w:r>
    </w:p>
    <w:p w14:paraId="04C33A1C" w14:textId="556A435C" w:rsidR="00580B8F" w:rsidRPr="00E750DB" w:rsidRDefault="00580B8F" w:rsidP="00E072B9">
      <w:pPr>
        <w:pStyle w:val="3-BodyText"/>
        <w:spacing w:before="0" w:after="120"/>
      </w:pPr>
      <w:r w:rsidRPr="00E750DB">
        <w:t>The prevalence of AHP in Australia is unknown, but based on European data</w:t>
      </w:r>
      <w:r w:rsidR="00785925" w:rsidRPr="00E750DB">
        <w:t xml:space="preserve"> reported by Elder 2013</w:t>
      </w:r>
      <w:r w:rsidRPr="00E750DB">
        <w:t>, it is estimated at 10.06 per million (1.06 per 100,000). Elder 2013 reported AIP and VP prevalence at 5.9 and 3.2 per million, respectively.</w:t>
      </w:r>
    </w:p>
    <w:p w14:paraId="17F12683" w14:textId="6FA9A582" w:rsidR="00580B8F" w:rsidRPr="00E750DB" w:rsidRDefault="00580B8F" w:rsidP="00E072B9">
      <w:pPr>
        <w:pStyle w:val="3-BodyText"/>
        <w:spacing w:before="0" w:after="120"/>
        <w:rPr>
          <w:color w:val="0066FF"/>
        </w:rPr>
      </w:pPr>
      <w:bookmarkStart w:id="10" w:name="_Ref197866848"/>
      <w:r w:rsidRPr="00E750DB">
        <w:t xml:space="preserve">The submission claimed </w:t>
      </w:r>
      <w:r w:rsidR="00946376" w:rsidRPr="00E750DB">
        <w:t xml:space="preserve">five </w:t>
      </w:r>
      <w:r w:rsidRPr="00E750DB">
        <w:t xml:space="preserve">Australian clinical experts </w:t>
      </w:r>
      <w:r w:rsidR="00946376" w:rsidRPr="00E750DB">
        <w:t>who attended a sponsor</w:t>
      </w:r>
      <w:r w:rsidR="00E072B9">
        <w:noBreakHyphen/>
      </w:r>
      <w:r w:rsidR="00946376" w:rsidRPr="00E750DB">
        <w:t>r</w:t>
      </w:r>
      <w:r w:rsidR="008414E9" w:rsidRPr="00E750DB">
        <w:t>u</w:t>
      </w:r>
      <w:r w:rsidR="00946376" w:rsidRPr="00E750DB">
        <w:t xml:space="preserve">n focus group </w:t>
      </w:r>
      <w:r w:rsidRPr="00E750DB">
        <w:t xml:space="preserve">explained that AIP is the most common AHP subtype they manage in their respective clinics (60%–80% of cases). In addition, Australian clinical experts noted the VP and HCP subtype may be more common in Australia than internationally; however, AIP is still the dominant subtype in Australia in terms of prevalence and severity and associated with </w:t>
      </w:r>
      <w:proofErr w:type="gramStart"/>
      <w:r w:rsidRPr="00E750DB">
        <w:t>the majority of</w:t>
      </w:r>
      <w:proofErr w:type="gramEnd"/>
      <w:r w:rsidRPr="00E750DB">
        <w:t xml:space="preserve"> acute attacks.</w:t>
      </w:r>
      <w:bookmarkEnd w:id="10"/>
      <w:r w:rsidR="0065505F" w:rsidRPr="00E750DB">
        <w:t xml:space="preserve"> </w:t>
      </w:r>
    </w:p>
    <w:p w14:paraId="195F3ABF" w14:textId="0B656BB0" w:rsidR="00580B8F" w:rsidRPr="00E750DB" w:rsidRDefault="00946376" w:rsidP="00E072B9">
      <w:pPr>
        <w:pStyle w:val="3-BodyText"/>
        <w:spacing w:before="0" w:after="120"/>
        <w:rPr>
          <w:color w:val="0066FF"/>
        </w:rPr>
      </w:pPr>
      <w:r w:rsidRPr="00E750DB">
        <w:t>T</w:t>
      </w:r>
      <w:r w:rsidR="00580B8F" w:rsidRPr="00E750DB">
        <w:t xml:space="preserve">he distribution of AHP subtypes </w:t>
      </w:r>
      <w:r w:rsidR="0065505F" w:rsidRPr="00E750DB">
        <w:t xml:space="preserve">in Australia from </w:t>
      </w:r>
      <w:r w:rsidR="00580B8F" w:rsidRPr="00E750DB">
        <w:t>the focus group meeting could not be verified based on the summary provided. The summary did note that AIP is the dominant subtype in Australia and accounts for ~80% of acute attacks.</w:t>
      </w:r>
    </w:p>
    <w:p w14:paraId="755D6BFA" w14:textId="020C5684" w:rsidR="00580B8F" w:rsidRPr="00E750DB" w:rsidRDefault="00580B8F" w:rsidP="00E072B9">
      <w:pPr>
        <w:pStyle w:val="3-BodyText"/>
        <w:spacing w:before="0" w:after="120"/>
      </w:pPr>
      <w:r w:rsidRPr="00E750DB">
        <w:t>The submission note</w:t>
      </w:r>
      <w:r w:rsidR="006961B4" w:rsidRPr="00E750DB">
        <w:t>d</w:t>
      </w:r>
      <w:r w:rsidRPr="00E750DB">
        <w:t xml:space="preserve"> that individuals experiencing AHP for the first time</w:t>
      </w:r>
      <w:r w:rsidR="005F521F" w:rsidRPr="00E750DB">
        <w:t xml:space="preserve"> usually</w:t>
      </w:r>
      <w:r w:rsidRPr="00E750DB">
        <w:t xml:space="preserve"> present between the ages of 18 and 35 years, with a typical onset after puberty, trauma, or pregnancy. According to Orphanet</w:t>
      </w:r>
      <w:r w:rsidR="00185820" w:rsidRPr="00E750DB">
        <w:rPr>
          <w:rStyle w:val="FootnoteReference"/>
        </w:rPr>
        <w:footnoteReference w:id="2"/>
      </w:r>
      <w:r w:rsidRPr="00E750DB">
        <w:t xml:space="preserve">, a comprehensive online resource on rare diseases, approximately 80% of individuals with AHP are women, typically aged between 20 and 45 years. Additionally, an expert review by Wang 2023, </w:t>
      </w:r>
      <w:r w:rsidR="00E56CC7" w:rsidRPr="00E750DB">
        <w:t>stated</w:t>
      </w:r>
      <w:r w:rsidRPr="00E750DB">
        <w:t xml:space="preserve"> that attacks are rare before the onset of menses or after menopause. Clinical experts from </w:t>
      </w:r>
      <w:r w:rsidR="00226FED">
        <w:t xml:space="preserve">the </w:t>
      </w:r>
      <w:r w:rsidR="00226FED" w:rsidRPr="00226FED">
        <w:t xml:space="preserve">Canadian Agency for Drugs and Technologies in Health </w:t>
      </w:r>
      <w:r w:rsidR="00226FED">
        <w:t>(</w:t>
      </w:r>
      <w:r w:rsidRPr="00E750DB">
        <w:t>CADTH</w:t>
      </w:r>
      <w:r w:rsidR="00226FED">
        <w:t>)</w:t>
      </w:r>
      <w:r w:rsidRPr="00E750DB">
        <w:t xml:space="preserve"> also </w:t>
      </w:r>
      <w:r w:rsidR="00E80B62" w:rsidRPr="00E750DB">
        <w:t xml:space="preserve">stated </w:t>
      </w:r>
      <w:r w:rsidRPr="00E750DB">
        <w:t>that the disease is expected to improve at the time of menopause for all female patients with AHP (i.e., severity and frequency of attacks is expected to decrease) (p155, CADTH 2021</w:t>
      </w:r>
      <w:bookmarkStart w:id="11" w:name="_Ref197962782"/>
      <w:r w:rsidR="00E80B62" w:rsidRPr="00E750DB">
        <w:rPr>
          <w:rStyle w:val="FootnoteReference"/>
        </w:rPr>
        <w:footnoteReference w:id="3"/>
      </w:r>
      <w:bookmarkEnd w:id="11"/>
      <w:r w:rsidRPr="00E750DB">
        <w:t>). In the economic evaluation, the age of menopause onset and assumptions around symptoms post menopause are important factors.</w:t>
      </w:r>
    </w:p>
    <w:p w14:paraId="6DA43314" w14:textId="03F6A6DF" w:rsidR="00580B8F" w:rsidRPr="00E750DB" w:rsidRDefault="001E475C" w:rsidP="00E072B9">
      <w:pPr>
        <w:pStyle w:val="3-BodyText"/>
      </w:pPr>
      <w:r w:rsidRPr="00E750DB">
        <w:t>During acute attacks, p</w:t>
      </w:r>
      <w:r w:rsidR="00580B8F" w:rsidRPr="00E750DB">
        <w:t xml:space="preserve">atients may clinically present with intense, usually diffuse, and increasingly persistent abdominal pain and muscle weakness followed by nausea and vomiting, constipation or diarrhoea, hypertension, tachycardia, pain in the limbs, head, neck or chest, fever, and neurological symptoms, including confusion, hallucinations, convulsions, and seizures (Szlendak 2016). </w:t>
      </w:r>
    </w:p>
    <w:p w14:paraId="4F487F0D" w14:textId="4AF3AEF4" w:rsidR="00580B8F" w:rsidRPr="00E750DB" w:rsidRDefault="00172327" w:rsidP="00E072B9">
      <w:pPr>
        <w:pStyle w:val="3-BodyText"/>
      </w:pPr>
      <w:bookmarkStart w:id="12" w:name="_Ref197874256"/>
      <w:r w:rsidRPr="00E750DB">
        <w:t>In EXPLORE, a prospective, multinational, natural history study of patients with AHP with recurrent attacks (n=112, mean age: 39.3 years) (Gouya 2019), c</w:t>
      </w:r>
      <w:r w:rsidR="00580B8F" w:rsidRPr="00E750DB">
        <w:t xml:space="preserve">hronic symptoms were reported by 65% (73/112) of </w:t>
      </w:r>
      <w:bookmarkStart w:id="13" w:name="_Hlk197706037"/>
      <w:r w:rsidR="00580B8F" w:rsidRPr="00E750DB">
        <w:t>patients</w:t>
      </w:r>
      <w:r w:rsidRPr="00E750DB">
        <w:t>.</w:t>
      </w:r>
      <w:r w:rsidR="00580B8F" w:rsidRPr="00E750DB">
        <w:t xml:space="preserve"> </w:t>
      </w:r>
      <w:bookmarkEnd w:id="13"/>
      <w:r w:rsidRPr="00E750DB">
        <w:t>O</w:t>
      </w:r>
      <w:r w:rsidR="00580B8F" w:rsidRPr="00E750DB">
        <w:t>f these</w:t>
      </w:r>
      <w:r w:rsidR="009D6477" w:rsidRPr="00E750DB">
        <w:t xml:space="preserve"> patients</w:t>
      </w:r>
      <w:r w:rsidR="00580B8F" w:rsidRPr="00E750DB">
        <w:t>, the submission note</w:t>
      </w:r>
      <w:r w:rsidR="006961B4" w:rsidRPr="00E750DB">
        <w:t>d</w:t>
      </w:r>
      <w:r w:rsidR="00580B8F" w:rsidRPr="00E750DB">
        <w:t xml:space="preserve"> that 71% (52/</w:t>
      </w:r>
      <w:r w:rsidR="009D6477" w:rsidRPr="00E750DB">
        <w:t>73</w:t>
      </w:r>
      <w:r w:rsidR="00580B8F" w:rsidRPr="00E750DB">
        <w:t>) reported daily symptoms, the most common chronic symptoms were pain, nausea, tiredness, and anxiety. Several long</w:t>
      </w:r>
      <w:r w:rsidR="00E072B9">
        <w:noBreakHyphen/>
      </w:r>
      <w:r w:rsidR="00580B8F" w:rsidRPr="00E750DB">
        <w:t xml:space="preserve">term complications such as chronic kidney disease (CKD), </w:t>
      </w:r>
      <w:r w:rsidR="00367E48" w:rsidRPr="00E750DB">
        <w:t>hepatocellular carcinoma</w:t>
      </w:r>
      <w:r w:rsidR="00580B8F" w:rsidRPr="00E750DB">
        <w:t xml:space="preserve"> (H</w:t>
      </w:r>
      <w:r w:rsidR="00367E48" w:rsidRPr="00E750DB">
        <w:t>CC</w:t>
      </w:r>
      <w:r w:rsidR="00580B8F" w:rsidRPr="00E750DB">
        <w:t>), hypertension, and psychiatric issues, are associated with AHP, potentially reducing life expectancy.</w:t>
      </w:r>
      <w:bookmarkEnd w:id="12"/>
    </w:p>
    <w:p w14:paraId="23DDE3E1" w14:textId="3F536042" w:rsidR="000B7129" w:rsidRPr="00E750DB" w:rsidRDefault="000B7129" w:rsidP="00E072B9">
      <w:pPr>
        <w:pStyle w:val="3-BodyText"/>
      </w:pPr>
      <w:r w:rsidRPr="00E750DB">
        <w:t xml:space="preserve">However, there is no clear evidence that </w:t>
      </w:r>
      <w:r w:rsidR="00367E48" w:rsidRPr="00E750DB">
        <w:t xml:space="preserve">AHP reduces life expectancy. Baravelli 2020, a study in Norway which examined 333 individuals with a confirmed AHP diagnosis between 1992 and 2017, found that AHP was associated with an 84.4 times higher risk of mortality due to HCC, but no overall increased risk of premature death compared to the general population. Baravelli 2020 was relied upon by the submission in the economic evaluation to inform mortality of patients. </w:t>
      </w:r>
    </w:p>
    <w:p w14:paraId="43711523" w14:textId="6536793E" w:rsidR="00580B8F" w:rsidRPr="006208CF" w:rsidRDefault="00580B8F" w:rsidP="00E072B9">
      <w:pPr>
        <w:pStyle w:val="3-BodyText"/>
      </w:pPr>
      <w:r w:rsidRPr="00E750DB">
        <w:t>Diagnosis of AHP in Australia follows the Australian Porphyria Association guidelines, which recommend biochemical testing (urine PBG ± ALA) as the first</w:t>
      </w:r>
      <w:r w:rsidR="00E072B9">
        <w:noBreakHyphen/>
      </w:r>
      <w:r w:rsidRPr="00E750DB">
        <w:t xml:space="preserve">line approach, ideally conducted during an acute attack. Elevated levels of PBG and </w:t>
      </w:r>
      <w:r w:rsidR="006961B4" w:rsidRPr="00E750DB">
        <w:t>aminolevulinic acid (</w:t>
      </w:r>
      <w:r w:rsidRPr="00E750DB">
        <w:t>ALA</w:t>
      </w:r>
      <w:r w:rsidR="006961B4" w:rsidRPr="00E750DB">
        <w:t>)</w:t>
      </w:r>
      <w:r w:rsidRPr="00E750DB">
        <w:t xml:space="preserve"> are diagnostic markers, though some patients (especially those with AIP) may show elevated levels even outside of attacks. The submission state</w:t>
      </w:r>
      <w:r w:rsidR="006961B4" w:rsidRPr="00E750DB">
        <w:t>d</w:t>
      </w:r>
      <w:r w:rsidRPr="00E750DB">
        <w:t xml:space="preserve"> that genetic testing is not used for initial diagnosis or treatment decisions but plays a role in familial screening after biochemical confirmation. However, Anderson 2019</w:t>
      </w:r>
      <w:r w:rsidR="00D152CD" w:rsidRPr="00E750DB">
        <w:t>, identified by the submission in its literat</w:t>
      </w:r>
      <w:r w:rsidR="00D152CD" w:rsidRPr="006208CF">
        <w:t>ure review,</w:t>
      </w:r>
      <w:r w:rsidRPr="006208CF">
        <w:t xml:space="preserve"> suggests genetic confirmation is now standard of care, particularly when biochemical markers are inconclusive.</w:t>
      </w:r>
    </w:p>
    <w:p w14:paraId="15492436" w14:textId="763005A5" w:rsidR="006208CF" w:rsidRPr="006208CF" w:rsidRDefault="00580B8F" w:rsidP="00E072B9">
      <w:pPr>
        <w:pStyle w:val="ExecSumBodyText"/>
        <w:numPr>
          <w:ilvl w:val="1"/>
          <w:numId w:val="1"/>
        </w:numPr>
        <w:rPr>
          <w:iCs/>
        </w:rPr>
      </w:pPr>
      <w:r w:rsidRPr="006208CF">
        <w:t>Givosiran is a double</w:t>
      </w:r>
      <w:r w:rsidR="00E072B9">
        <w:noBreakHyphen/>
      </w:r>
      <w:r w:rsidRPr="006208CF">
        <w:t>stranded small interfering ribonucleic acid (siRNA) that causes degradation of ALAS1 messenger ribonucleic acid (mRNA) in hepatocytes through RNA interference. ALAS1 is the first and rate</w:t>
      </w:r>
      <w:r w:rsidR="00E072B9">
        <w:noBreakHyphen/>
      </w:r>
      <w:r w:rsidRPr="006208CF">
        <w:t>limiting step of h</w:t>
      </w:r>
      <w:r w:rsidR="00CC1E51" w:rsidRPr="006208CF">
        <w:t>ae</w:t>
      </w:r>
      <w:r w:rsidRPr="006208CF">
        <w:t>m synthesis in the liver. Its expression is induced in AHP due to a loss</w:t>
      </w:r>
      <w:r w:rsidR="00E072B9">
        <w:noBreakHyphen/>
      </w:r>
      <w:r w:rsidRPr="006208CF">
        <w:t>of</w:t>
      </w:r>
      <w:r w:rsidR="00E072B9">
        <w:noBreakHyphen/>
      </w:r>
      <w:r w:rsidRPr="006208CF">
        <w:t>function gene mutation in a downstream h</w:t>
      </w:r>
      <w:r w:rsidR="00CC1E51" w:rsidRPr="006208CF">
        <w:t>a</w:t>
      </w:r>
      <w:r w:rsidRPr="006208CF">
        <w:t>em synthesis enzyme. Givosiran acts to reduce elevated levels of liver ALAS1 mRNA. This leads to reduced circulating levels of neurotoxic h</w:t>
      </w:r>
      <w:r w:rsidR="00CC1E51" w:rsidRPr="006208CF">
        <w:t>a</w:t>
      </w:r>
      <w:r w:rsidRPr="006208CF">
        <w:t>em intermediates ALA and PBG, the key causal factors of attacks and other disease manifestations of AHP. Givosiran is intended for use as a long</w:t>
      </w:r>
      <w:r w:rsidR="00E072B9">
        <w:noBreakHyphen/>
      </w:r>
      <w:r w:rsidRPr="006208CF">
        <w:t>term therapy.</w:t>
      </w:r>
    </w:p>
    <w:p w14:paraId="29525DDD" w14:textId="5BBF6A0F" w:rsidR="00580B8F" w:rsidRPr="006208CF" w:rsidRDefault="006208CF" w:rsidP="00E072B9">
      <w:pPr>
        <w:ind w:firstLine="709"/>
        <w:rPr>
          <w:rFonts w:asciiTheme="minorHAnsi" w:hAnsiTheme="minorHAnsi"/>
          <w:i/>
        </w:rPr>
      </w:pPr>
      <w:r w:rsidRPr="006208CF">
        <w:rPr>
          <w:rFonts w:asciiTheme="minorHAnsi" w:hAnsiTheme="minorHAnsi"/>
          <w:i/>
        </w:rPr>
        <w:t>For more detail on PBAC’s view, see section 7 PBAC outcome.</w:t>
      </w:r>
    </w:p>
    <w:p w14:paraId="41457E3A" w14:textId="77777777" w:rsidR="00580B8F" w:rsidRPr="00E750DB" w:rsidRDefault="00580B8F" w:rsidP="00E072B9">
      <w:pPr>
        <w:pStyle w:val="2-SectionHeading"/>
        <w:ind w:left="709" w:hanging="709"/>
      </w:pPr>
      <w:bookmarkStart w:id="14" w:name="_Toc198715355"/>
      <w:r w:rsidRPr="00E750DB">
        <w:t>Comparator</w:t>
      </w:r>
      <w:bookmarkEnd w:id="14"/>
    </w:p>
    <w:p w14:paraId="2208563B" w14:textId="053D78FA" w:rsidR="00580B8F" w:rsidRPr="00E750DB" w:rsidRDefault="00580B8F" w:rsidP="00E072B9">
      <w:pPr>
        <w:pStyle w:val="3-BodyText"/>
      </w:pPr>
      <w:r w:rsidRPr="00E750DB">
        <w:t>The submission nominated BSC as the main comparator, as givosiran is the only disease</w:t>
      </w:r>
      <w:r w:rsidR="00E072B9">
        <w:noBreakHyphen/>
      </w:r>
      <w:r w:rsidRPr="00E750DB">
        <w:t xml:space="preserve">modifying therapy that targets the underlying AHP disease process, preventing attacks and addressing chronic pain (Balwani 2020). </w:t>
      </w:r>
      <w:r w:rsidR="002457B6" w:rsidRPr="00915DBD">
        <w:rPr>
          <w:iCs/>
        </w:rPr>
        <w:t>The Sub</w:t>
      </w:r>
      <w:r w:rsidR="00E072B9">
        <w:rPr>
          <w:iCs/>
        </w:rPr>
        <w:noBreakHyphen/>
      </w:r>
      <w:r w:rsidR="001844D4" w:rsidRPr="00915DBD">
        <w:rPr>
          <w:iCs/>
        </w:rPr>
        <w:t>C</w:t>
      </w:r>
      <w:r w:rsidR="002457B6" w:rsidRPr="00915DBD">
        <w:rPr>
          <w:iCs/>
        </w:rPr>
        <w:t>ommittee</w:t>
      </w:r>
      <w:r w:rsidR="001844D4" w:rsidRPr="00915DBD">
        <w:rPr>
          <w:iCs/>
        </w:rPr>
        <w:t>s</w:t>
      </w:r>
      <w:r w:rsidR="002457B6" w:rsidRPr="00915DBD">
        <w:rPr>
          <w:iCs/>
        </w:rPr>
        <w:t xml:space="preserve"> agreed with the Commentary that the nominated comparator was</w:t>
      </w:r>
      <w:r w:rsidRPr="00915DBD">
        <w:rPr>
          <w:iCs/>
        </w:rPr>
        <w:t xml:space="preserve"> </w:t>
      </w:r>
      <w:r w:rsidR="00E54980" w:rsidRPr="00915DBD">
        <w:rPr>
          <w:iCs/>
        </w:rPr>
        <w:t xml:space="preserve">generally </w:t>
      </w:r>
      <w:r w:rsidRPr="00915DBD">
        <w:rPr>
          <w:iCs/>
        </w:rPr>
        <w:t>reasonable.</w:t>
      </w:r>
      <w:r w:rsidRPr="00E750DB">
        <w:t xml:space="preserve"> </w:t>
      </w:r>
    </w:p>
    <w:p w14:paraId="34E0E323" w14:textId="25B5575F" w:rsidR="00580B8F" w:rsidRPr="00E750DB" w:rsidRDefault="00580B8F" w:rsidP="00E072B9">
      <w:pPr>
        <w:pStyle w:val="3-BodyText"/>
      </w:pPr>
      <w:r w:rsidRPr="00E750DB">
        <w:t>In Australia</w:t>
      </w:r>
      <w:r w:rsidR="00F06EAE" w:rsidRPr="00E750DB">
        <w:t>,</w:t>
      </w:r>
      <w:r w:rsidRPr="00E750DB">
        <w:t xml:space="preserve"> BSC </w:t>
      </w:r>
      <w:r w:rsidR="00F06EAE" w:rsidRPr="00E750DB">
        <w:t xml:space="preserve">for AHP </w:t>
      </w:r>
      <w:r w:rsidRPr="00E750DB">
        <w:t>comprises of rescue therapy, supportive therapy and preventative therapy.</w:t>
      </w:r>
      <w:r w:rsidR="008B5871" w:rsidRPr="00E750DB">
        <w:t xml:space="preserve"> </w:t>
      </w:r>
      <w:r w:rsidR="00721E1C" w:rsidRPr="00E750DB">
        <w:t xml:space="preserve">It was assumed that the type of supportive therapy and preventative therapy required will be dependent on the symptoms and needs of the patient, and may differ between patients. </w:t>
      </w:r>
    </w:p>
    <w:p w14:paraId="6554D7A7" w14:textId="103AF727" w:rsidR="00B42F12" w:rsidRPr="00E750DB" w:rsidRDefault="00580B8F" w:rsidP="00E072B9">
      <w:pPr>
        <w:pStyle w:val="3-BodyText"/>
      </w:pPr>
      <w:r w:rsidRPr="00E750DB">
        <w:t>Intravenous hemin is currently considered the most effective rescue therapy for acute attacks although there is an absence of high</w:t>
      </w:r>
      <w:r w:rsidR="00E072B9">
        <w:noBreakHyphen/>
      </w:r>
      <w:r w:rsidRPr="00E750DB">
        <w:t xml:space="preserve">quality clinical trial evidence (Anderson 2019). Hemin is available as either haem arginate or lyophilised hematin. However, neither haem arginate </w:t>
      </w:r>
      <w:r w:rsidR="00441245" w:rsidRPr="00E750DB">
        <w:t>n</w:t>
      </w:r>
      <w:r w:rsidRPr="00E750DB">
        <w:t>or lyophilised hematin are TGA</w:t>
      </w:r>
      <w:r w:rsidR="00E072B9">
        <w:noBreakHyphen/>
      </w:r>
      <w:r w:rsidRPr="00E750DB">
        <w:t xml:space="preserve">registered, but the submission claimed that focus Group attendees have advised that they can be ordered via the Special Access Scheme as rescue therapy for AHP patients. Australian clinicians also noted that there are barriers to accessing hemin, and it may take multiple days for patients to receive hemin if they live in rural areas. </w:t>
      </w:r>
      <w:r w:rsidR="00F60FDC" w:rsidRPr="00915DBD">
        <w:rPr>
          <w:iCs/>
        </w:rPr>
        <w:t>The Sub</w:t>
      </w:r>
      <w:r w:rsidR="00E072B9">
        <w:rPr>
          <w:iCs/>
        </w:rPr>
        <w:noBreakHyphen/>
      </w:r>
      <w:r w:rsidR="001844D4" w:rsidRPr="00915DBD">
        <w:rPr>
          <w:iCs/>
        </w:rPr>
        <w:t>C</w:t>
      </w:r>
      <w:r w:rsidR="00F60FDC" w:rsidRPr="00915DBD">
        <w:rPr>
          <w:iCs/>
        </w:rPr>
        <w:t xml:space="preserve">ommittees noted that hemin is </w:t>
      </w:r>
      <w:r w:rsidR="00FD6831" w:rsidRPr="00915DBD">
        <w:rPr>
          <w:iCs/>
        </w:rPr>
        <w:t>usually available via</w:t>
      </w:r>
      <w:r w:rsidR="003C590F" w:rsidRPr="00915DBD">
        <w:rPr>
          <w:iCs/>
        </w:rPr>
        <w:t xml:space="preserve"> larger</w:t>
      </w:r>
      <w:r w:rsidR="00FD6831" w:rsidRPr="00915DBD">
        <w:rPr>
          <w:iCs/>
        </w:rPr>
        <w:t xml:space="preserve"> hospitals</w:t>
      </w:r>
      <w:r w:rsidR="003C590F" w:rsidRPr="00915DBD">
        <w:rPr>
          <w:iCs/>
        </w:rPr>
        <w:t xml:space="preserve">, but access in </w:t>
      </w:r>
      <w:r w:rsidR="007561D9" w:rsidRPr="00915DBD">
        <w:rPr>
          <w:iCs/>
        </w:rPr>
        <w:t>smaller centres</w:t>
      </w:r>
      <w:r w:rsidR="003C590F" w:rsidRPr="00915DBD">
        <w:rPr>
          <w:iCs/>
        </w:rPr>
        <w:t xml:space="preserve"> can be more difficult and </w:t>
      </w:r>
      <w:r w:rsidR="00FB47BD" w:rsidRPr="00915DBD">
        <w:rPr>
          <w:iCs/>
        </w:rPr>
        <w:t>delay</w:t>
      </w:r>
      <w:r w:rsidR="00503A6D" w:rsidRPr="00915DBD">
        <w:rPr>
          <w:iCs/>
        </w:rPr>
        <w:t xml:space="preserve">s are common, </w:t>
      </w:r>
      <w:r w:rsidR="00EC20AF" w:rsidRPr="00915DBD">
        <w:rPr>
          <w:iCs/>
        </w:rPr>
        <w:t xml:space="preserve">with patients </w:t>
      </w:r>
      <w:r w:rsidR="0092225C" w:rsidRPr="00915DBD">
        <w:rPr>
          <w:iCs/>
        </w:rPr>
        <w:t xml:space="preserve">with an </w:t>
      </w:r>
      <w:r w:rsidR="00AC5989" w:rsidRPr="00915DBD">
        <w:rPr>
          <w:iCs/>
        </w:rPr>
        <w:t xml:space="preserve">acute </w:t>
      </w:r>
      <w:r w:rsidR="0092225C" w:rsidRPr="00915DBD">
        <w:rPr>
          <w:iCs/>
        </w:rPr>
        <w:t xml:space="preserve">attack often </w:t>
      </w:r>
      <w:r w:rsidR="00503A6D" w:rsidRPr="00915DBD">
        <w:rPr>
          <w:iCs/>
        </w:rPr>
        <w:t xml:space="preserve">requiring </w:t>
      </w:r>
      <w:r w:rsidR="00EC20AF" w:rsidRPr="00915DBD">
        <w:rPr>
          <w:iCs/>
        </w:rPr>
        <w:t xml:space="preserve">opioid treatment </w:t>
      </w:r>
      <w:r w:rsidR="0092225C" w:rsidRPr="00915DBD">
        <w:rPr>
          <w:iCs/>
        </w:rPr>
        <w:t xml:space="preserve">while </w:t>
      </w:r>
      <w:r w:rsidR="00730CFC" w:rsidRPr="00915DBD">
        <w:rPr>
          <w:iCs/>
        </w:rPr>
        <w:t>waiting for treatment</w:t>
      </w:r>
      <w:r w:rsidR="00FB47BD" w:rsidRPr="00915DBD">
        <w:rPr>
          <w:iCs/>
        </w:rPr>
        <w:t>.</w:t>
      </w:r>
      <w:r w:rsidR="000D5B82" w:rsidRPr="00915DBD">
        <w:rPr>
          <w:iCs/>
        </w:rPr>
        <w:t xml:space="preserve"> </w:t>
      </w:r>
      <w:r w:rsidR="00D2038D" w:rsidRPr="00915DBD">
        <w:rPr>
          <w:iCs/>
        </w:rPr>
        <w:t>The Sub</w:t>
      </w:r>
      <w:r w:rsidR="00E072B9">
        <w:rPr>
          <w:iCs/>
        </w:rPr>
        <w:noBreakHyphen/>
      </w:r>
      <w:r w:rsidR="001844D4" w:rsidRPr="00915DBD">
        <w:rPr>
          <w:iCs/>
        </w:rPr>
        <w:t>C</w:t>
      </w:r>
      <w:r w:rsidR="00D2038D" w:rsidRPr="00915DBD">
        <w:rPr>
          <w:iCs/>
        </w:rPr>
        <w:t xml:space="preserve">ommittees noted that patients need, on average, around 5 days of hemin treatment </w:t>
      </w:r>
      <w:r w:rsidR="008949A1" w:rsidRPr="00915DBD">
        <w:rPr>
          <w:iCs/>
        </w:rPr>
        <w:t>as rescue therapy for an acute attack.</w:t>
      </w:r>
      <w:r w:rsidR="00FB47BD" w:rsidRPr="00915DBD">
        <w:rPr>
          <w:iCs/>
        </w:rPr>
        <w:t xml:space="preserve"> </w:t>
      </w:r>
    </w:p>
    <w:p w14:paraId="3276770E" w14:textId="42D46679" w:rsidR="00580B8F" w:rsidRPr="00E750DB" w:rsidRDefault="00580B8F" w:rsidP="00E072B9">
      <w:pPr>
        <w:pStyle w:val="3-BodyText"/>
      </w:pPr>
      <w:r w:rsidRPr="00E750DB">
        <w:t>Carbohydrate loading is another rescue therapy option for patients experiencing an acute attack; however, since reliable data on its effectiveness are lacking, it is typically limited to mild attacks or as a stop</w:t>
      </w:r>
      <w:r w:rsidR="00E072B9">
        <w:noBreakHyphen/>
      </w:r>
      <w:r w:rsidRPr="00E750DB">
        <w:t xml:space="preserve">gap measure until hemin can be administered. The submission claimed Australian clinical experts confirmed that, in local practice, glucose loading may be used as an initial treatment for an acute attack (e.g., in the case of a delay to hemin access); however, the response may not be adequate, in which </w:t>
      </w:r>
      <w:r w:rsidR="00AC5989" w:rsidRPr="00E750DB">
        <w:t xml:space="preserve">case </w:t>
      </w:r>
      <w:r w:rsidRPr="00E750DB">
        <w:t>hemin is subsequently administered.</w:t>
      </w:r>
    </w:p>
    <w:p w14:paraId="05C2168D" w14:textId="07CB35FE" w:rsidR="00580B8F" w:rsidRPr="00E750DB" w:rsidRDefault="00B42F12" w:rsidP="00E072B9">
      <w:pPr>
        <w:pStyle w:val="3-BodyText"/>
      </w:pPr>
      <w:r w:rsidRPr="00E750DB">
        <w:t>Supportive therapy</w:t>
      </w:r>
      <w:r w:rsidR="00580B8F" w:rsidRPr="00E750DB">
        <w:t xml:space="preserve"> primarily encompasses symptomatic therapy for managing symptoms such as pain, hypertension, tachycardia, nausea, vomiting, and seizures. Opioid</w:t>
      </w:r>
      <w:r w:rsidR="00E072B9">
        <w:noBreakHyphen/>
      </w:r>
      <w:r w:rsidR="00580B8F" w:rsidRPr="00E750DB">
        <w:t>based pain management is often used to address severe abdominal pain in AHP. Mild pain can be treated with paracetamol and anti</w:t>
      </w:r>
      <w:r w:rsidR="00E072B9">
        <w:noBreakHyphen/>
      </w:r>
      <w:r w:rsidR="00580B8F" w:rsidRPr="00E750DB">
        <w:t>inflammatory drugs. The submission notes that Australian clinical experts confirmed the use of neuropathic pain agents for treating pain in AHP</w:t>
      </w:r>
      <w:r w:rsidR="006C7169" w:rsidRPr="00E750DB">
        <w:t>.</w:t>
      </w:r>
      <w:r w:rsidR="00580B8F" w:rsidRPr="00E750DB">
        <w:t xml:space="preserve"> </w:t>
      </w:r>
      <w:r w:rsidR="006C7169" w:rsidRPr="00E750DB">
        <w:t>Additionally,</w:t>
      </w:r>
      <w:r w:rsidR="00580B8F" w:rsidRPr="00E750DB">
        <w:t xml:space="preserve"> the potential for opioid addiction </w:t>
      </w:r>
      <w:r w:rsidR="006C7169" w:rsidRPr="00E750DB">
        <w:t xml:space="preserve">was raised </w:t>
      </w:r>
      <w:r w:rsidR="00580B8F" w:rsidRPr="00E750DB">
        <w:t xml:space="preserve">as a </w:t>
      </w:r>
      <w:r w:rsidR="006C7169" w:rsidRPr="00E750DB">
        <w:t xml:space="preserve">potentially </w:t>
      </w:r>
      <w:r w:rsidR="00580B8F" w:rsidRPr="00E750DB">
        <w:t>serious complication. The extent of opioid addiction in the management of AHP was not explored in the submission,</w:t>
      </w:r>
      <w:r w:rsidRPr="00E750DB">
        <w:t xml:space="preserve"> but was included </w:t>
      </w:r>
      <w:r w:rsidR="00580B8F" w:rsidRPr="00E750DB">
        <w:t>in the economic model presented in the submission</w:t>
      </w:r>
      <w:r w:rsidR="009C28A6" w:rsidRPr="00E750DB">
        <w:t xml:space="preserve"> (see Paragraph </w:t>
      </w:r>
      <w:r w:rsidR="009C28A6" w:rsidRPr="00E750DB">
        <w:fldChar w:fldCharType="begin" w:fldLock="1"/>
      </w:r>
      <w:r w:rsidR="009C28A6" w:rsidRPr="00E750DB">
        <w:instrText xml:space="preserve"> REF _Ref197978877 \r \h </w:instrText>
      </w:r>
      <w:r w:rsidR="0029679A" w:rsidRPr="00E750DB">
        <w:instrText xml:space="preserve"> \* MERGEFORMAT </w:instrText>
      </w:r>
      <w:r w:rsidR="009C28A6" w:rsidRPr="00E750DB">
        <w:fldChar w:fldCharType="separate"/>
      </w:r>
      <w:r w:rsidR="00E750DB" w:rsidRPr="00E750DB">
        <w:t>6.64</w:t>
      </w:r>
      <w:r w:rsidR="009C28A6" w:rsidRPr="00E750DB">
        <w:fldChar w:fldCharType="end"/>
      </w:r>
      <w:r w:rsidR="009C28A6" w:rsidRPr="00E750DB">
        <w:t>)</w:t>
      </w:r>
      <w:r w:rsidR="00580B8F" w:rsidRPr="00E750DB">
        <w:t>.</w:t>
      </w:r>
    </w:p>
    <w:p w14:paraId="01E7D720" w14:textId="4EEF81C0" w:rsidR="00580B8F" w:rsidRPr="00E750DB" w:rsidRDefault="00580B8F" w:rsidP="00E072B9">
      <w:pPr>
        <w:pStyle w:val="3-BodyText"/>
      </w:pPr>
      <w:bookmarkStart w:id="15" w:name="_Ref200977225"/>
      <w:r w:rsidRPr="00E750DB">
        <w:t xml:space="preserve">Preventative therapy includes hormonal modulation (e.g., GnRH analogues, </w:t>
      </w:r>
      <w:r w:rsidR="009A79D5" w:rsidRPr="00E750DB">
        <w:t>intrauterine devices (</w:t>
      </w:r>
      <w:r w:rsidRPr="00E750DB">
        <w:t>IUDs</w:t>
      </w:r>
      <w:r w:rsidR="009A79D5" w:rsidRPr="00E750DB">
        <w:t>)</w:t>
      </w:r>
      <w:r w:rsidRPr="00E750DB">
        <w:t xml:space="preserve">) and lifestyle changes to avoid known triggers. The submission noted that although intravenous hemin is indicated as rescue therapy for acute attacks, there remain insufficient data available for prophylaxis with hemin. The UK product monograph explicitly cautions against use of haem arginate as a preventative option since available data </w:t>
      </w:r>
      <w:r w:rsidR="00FD17FD" w:rsidRPr="00E750DB">
        <w:t>are</w:t>
      </w:r>
      <w:r w:rsidRPr="00E750DB">
        <w:t xml:space="preserve"> too limited and long</w:t>
      </w:r>
      <w:r w:rsidR="00E072B9">
        <w:noBreakHyphen/>
      </w:r>
      <w:r w:rsidRPr="00E750DB">
        <w:t xml:space="preserve">term administration of regular infusions carries the risk of iron overload. </w:t>
      </w:r>
      <w:r w:rsidR="00345B6A" w:rsidRPr="00E750DB">
        <w:t xml:space="preserve">Nonetheless, during the evaluation of givosiran by </w:t>
      </w:r>
      <w:r w:rsidR="00E37DF3">
        <w:t xml:space="preserve">the </w:t>
      </w:r>
      <w:r w:rsidR="003803C5" w:rsidRPr="003803C5">
        <w:t>National Institute for Health and Care Excellence</w:t>
      </w:r>
      <w:r w:rsidR="003803C5">
        <w:t xml:space="preserve"> (</w:t>
      </w:r>
      <w:r w:rsidR="00345B6A" w:rsidRPr="00E750DB">
        <w:t>NICE</w:t>
      </w:r>
      <w:r w:rsidR="003803C5">
        <w:t>)</w:t>
      </w:r>
      <w:r w:rsidR="00345B6A" w:rsidRPr="00E750DB">
        <w:t xml:space="preserve">, the committee concluded that prophylactic haem arginate should be used as the comparator in the economic model, based on its use in </w:t>
      </w:r>
      <w:r w:rsidR="00E37DF3">
        <w:t>the National Health Service (</w:t>
      </w:r>
      <w:r w:rsidR="00345B6A" w:rsidRPr="00E750DB">
        <w:t>NHS</w:t>
      </w:r>
      <w:r w:rsidR="00E37DF3">
        <w:t>)</w:t>
      </w:r>
      <w:r w:rsidR="00345B6A" w:rsidRPr="00E750DB">
        <w:t xml:space="preserve"> clinical practice for patients with recurrent porphyria attacks. </w:t>
      </w:r>
      <w:r w:rsidRPr="00E750DB">
        <w:t>The submission stated that clinical experts from Australia explained that hemin prophylaxis is not a treatment of choice and that it is only administered infrequently due to the lack of other options. The submission emphasised the uncertain clinical benefits and established harms of prophylactic haem arginate including tachyphylaxis, dependency, and problems maintaining venous access because hemin is damaging to the vasculature.</w:t>
      </w:r>
      <w:r w:rsidR="008B5871" w:rsidRPr="00E750DB">
        <w:t xml:space="preserve"> </w:t>
      </w:r>
      <w:r w:rsidR="003F34C3" w:rsidRPr="00E750DB">
        <w:t>The c</w:t>
      </w:r>
      <w:r w:rsidR="008B5871" w:rsidRPr="00E750DB">
        <w:t>ost</w:t>
      </w:r>
      <w:r w:rsidR="00926134" w:rsidRPr="00E750DB">
        <w:t>s</w:t>
      </w:r>
      <w:r w:rsidR="008B5871" w:rsidRPr="00E750DB">
        <w:t xml:space="preserve"> of managing adverse events (AEs) associated with hemin were included in the economic evaluation. </w:t>
      </w:r>
      <w:r w:rsidR="00EF1CA2" w:rsidRPr="00915DBD">
        <w:rPr>
          <w:iCs/>
        </w:rPr>
        <w:t>The Sub</w:t>
      </w:r>
      <w:r w:rsidR="00E072B9">
        <w:rPr>
          <w:iCs/>
        </w:rPr>
        <w:noBreakHyphen/>
      </w:r>
      <w:r w:rsidR="001844D4" w:rsidRPr="00915DBD">
        <w:rPr>
          <w:iCs/>
        </w:rPr>
        <w:t>C</w:t>
      </w:r>
      <w:r w:rsidR="00EF1CA2" w:rsidRPr="00915DBD">
        <w:rPr>
          <w:iCs/>
        </w:rPr>
        <w:t xml:space="preserve">ommittees noted that hemin is used as prophylaxis in some cases, but agreed with the </w:t>
      </w:r>
      <w:r w:rsidR="008B369B" w:rsidRPr="00915DBD">
        <w:rPr>
          <w:iCs/>
        </w:rPr>
        <w:t xml:space="preserve">submission that it </w:t>
      </w:r>
      <w:r w:rsidR="00C40433" w:rsidRPr="00915DBD">
        <w:rPr>
          <w:iCs/>
        </w:rPr>
        <w:t xml:space="preserve">is not </w:t>
      </w:r>
      <w:r w:rsidR="008F3ED6" w:rsidRPr="00915DBD">
        <w:rPr>
          <w:iCs/>
        </w:rPr>
        <w:t>routinely used</w:t>
      </w:r>
      <w:r w:rsidR="008B369B" w:rsidRPr="00915DBD">
        <w:rPr>
          <w:iCs/>
        </w:rPr>
        <w:t xml:space="preserve"> given </w:t>
      </w:r>
      <w:r w:rsidR="00FA0347">
        <w:rPr>
          <w:iCs/>
        </w:rPr>
        <w:t>its</w:t>
      </w:r>
      <w:r w:rsidR="00A550BD">
        <w:rPr>
          <w:iCs/>
        </w:rPr>
        <w:t xml:space="preserve"> </w:t>
      </w:r>
      <w:r w:rsidR="008B369B" w:rsidRPr="00915DBD">
        <w:rPr>
          <w:iCs/>
        </w:rPr>
        <w:t>substantial safety concerns.</w:t>
      </w:r>
      <w:bookmarkEnd w:id="15"/>
    </w:p>
    <w:p w14:paraId="493196DD" w14:textId="336DFE4A" w:rsidR="00CA14CA" w:rsidRPr="006208CF" w:rsidRDefault="00580B8F" w:rsidP="00E072B9">
      <w:pPr>
        <w:pStyle w:val="ExecSumBodyText"/>
        <w:numPr>
          <w:ilvl w:val="1"/>
          <w:numId w:val="1"/>
        </w:numPr>
        <w:rPr>
          <w:iCs/>
        </w:rPr>
      </w:pPr>
      <w:r w:rsidRPr="00E750DB">
        <w:t>The nominated comparator of BSC was well described</w:t>
      </w:r>
      <w:r w:rsidR="00A86D60" w:rsidRPr="00E750DB">
        <w:t xml:space="preserve"> in the submission</w:t>
      </w:r>
      <w:r w:rsidRPr="00E750DB">
        <w:t xml:space="preserve"> and appropriate.</w:t>
      </w:r>
      <w:r w:rsidR="00B63B58" w:rsidRPr="00E750DB">
        <w:t xml:space="preserve"> </w:t>
      </w:r>
      <w:r w:rsidR="00325B1A" w:rsidRPr="00E750DB">
        <w:t>I</w:t>
      </w:r>
      <w:r w:rsidRPr="00E750DB">
        <w:t>t was acknowledged by the submission that rescue therapy (hemin) and other supportive therapies would not be replaced by givosiran. As such, the comparison is more accurately described as givosiran + BSC compared to BSC alone. In the submission’s economic model, the use of BSC therapies was assumed to be reduced due to less frequent AHP attacks in patients treated with givosiran. However, no substitution</w:t>
      </w:r>
      <w:r w:rsidR="00E072B9">
        <w:noBreakHyphen/>
      </w:r>
      <w:r w:rsidRPr="00E750DB">
        <w:t>related cost offsets were considered in the submission’s financial estimates</w:t>
      </w:r>
      <w:r w:rsidR="009A79D5" w:rsidRPr="00E750DB">
        <w:t>.</w:t>
      </w:r>
    </w:p>
    <w:p w14:paraId="36348712" w14:textId="2DB41839" w:rsidR="00580B8F" w:rsidRPr="00CA14CA" w:rsidRDefault="00CA14CA" w:rsidP="00E072B9">
      <w:pPr>
        <w:ind w:firstLine="709"/>
        <w:rPr>
          <w:rFonts w:asciiTheme="minorHAnsi" w:hAnsiTheme="minorHAnsi"/>
          <w:i/>
        </w:rPr>
      </w:pPr>
      <w:r w:rsidRPr="006208CF">
        <w:rPr>
          <w:rFonts w:asciiTheme="minorHAnsi" w:hAnsiTheme="minorHAnsi"/>
          <w:i/>
        </w:rPr>
        <w:t>For more detail on PBAC’s view, see section 7 PBAC outcome.</w:t>
      </w:r>
    </w:p>
    <w:p w14:paraId="7F9C27C8" w14:textId="77777777" w:rsidR="00223D5A" w:rsidRPr="00E750DB" w:rsidRDefault="00223D5A" w:rsidP="00E072B9">
      <w:pPr>
        <w:pStyle w:val="2-SectionHeading"/>
        <w:ind w:left="720"/>
      </w:pPr>
      <w:bookmarkStart w:id="16" w:name="_Toc107902078"/>
      <w:bookmarkStart w:id="17" w:name="_Toc198715356"/>
      <w:bookmarkStart w:id="18" w:name="_Toc22897640"/>
      <w:bookmarkEnd w:id="16"/>
      <w:r w:rsidRPr="00E750DB">
        <w:t>Consideration of the evidence</w:t>
      </w:r>
      <w:bookmarkEnd w:id="17"/>
    </w:p>
    <w:p w14:paraId="7E331106" w14:textId="77777777" w:rsidR="000B48B7" w:rsidRPr="00DD2E5A" w:rsidRDefault="000B48B7" w:rsidP="00E072B9">
      <w:pPr>
        <w:pStyle w:val="4-SubsectionHeading"/>
      </w:pPr>
      <w:bookmarkStart w:id="19" w:name="_Hlk76375935"/>
      <w:bookmarkStart w:id="20" w:name="_Toc198715357"/>
      <w:r w:rsidRPr="00DD2E5A">
        <w:t>Sponsor hearing</w:t>
      </w:r>
    </w:p>
    <w:p w14:paraId="082102E4" w14:textId="1990BB0B" w:rsidR="000B48B7" w:rsidRPr="00DD2E5A" w:rsidRDefault="000B48B7" w:rsidP="00E072B9">
      <w:pPr>
        <w:numPr>
          <w:ilvl w:val="1"/>
          <w:numId w:val="1"/>
        </w:numPr>
        <w:spacing w:after="120"/>
        <w:rPr>
          <w:rFonts w:asciiTheme="minorHAnsi" w:hAnsiTheme="minorHAnsi"/>
          <w:bCs/>
          <w:snapToGrid w:val="0"/>
        </w:rPr>
      </w:pPr>
      <w:bookmarkStart w:id="21" w:name="_Hlk76382586"/>
      <w:r w:rsidRPr="00DD2E5A">
        <w:rPr>
          <w:rFonts w:asciiTheme="minorHAnsi" w:hAnsiTheme="minorHAnsi"/>
          <w:bCs/>
          <w:snapToGrid w:val="0"/>
        </w:rPr>
        <w:t xml:space="preserve">The sponsor requested a hearing for this item. </w:t>
      </w:r>
      <w:r w:rsidR="00943FB8" w:rsidRPr="00DD2E5A">
        <w:rPr>
          <w:rFonts w:asciiTheme="minorHAnsi" w:hAnsiTheme="minorHAnsi"/>
          <w:bCs/>
          <w:snapToGrid w:val="0"/>
        </w:rPr>
        <w:t xml:space="preserve">The clinician noted that diagnosis includes clinical symptoms and biochemical measures, </w:t>
      </w:r>
      <w:r w:rsidR="00D87B18" w:rsidRPr="00DD2E5A">
        <w:rPr>
          <w:rFonts w:asciiTheme="minorHAnsi" w:hAnsiTheme="minorHAnsi"/>
          <w:bCs/>
          <w:snapToGrid w:val="0"/>
        </w:rPr>
        <w:t xml:space="preserve">and </w:t>
      </w:r>
      <w:r w:rsidR="00943FB8" w:rsidRPr="00DD2E5A">
        <w:rPr>
          <w:rFonts w:asciiTheme="minorHAnsi" w:hAnsiTheme="minorHAnsi"/>
          <w:bCs/>
          <w:snapToGrid w:val="0"/>
        </w:rPr>
        <w:t xml:space="preserve">genetic </w:t>
      </w:r>
      <w:r w:rsidR="00D87B18" w:rsidRPr="00DD2E5A">
        <w:rPr>
          <w:rFonts w:asciiTheme="minorHAnsi" w:hAnsiTheme="minorHAnsi"/>
          <w:bCs/>
          <w:snapToGrid w:val="0"/>
        </w:rPr>
        <w:t xml:space="preserve">testing is </w:t>
      </w:r>
      <w:r w:rsidR="00943FB8" w:rsidRPr="00DD2E5A">
        <w:rPr>
          <w:rFonts w:asciiTheme="minorHAnsi" w:hAnsiTheme="minorHAnsi"/>
          <w:bCs/>
          <w:snapToGrid w:val="0"/>
        </w:rPr>
        <w:t>not required for treatment</w:t>
      </w:r>
      <w:r w:rsidR="00B56E06" w:rsidRPr="00DD2E5A">
        <w:rPr>
          <w:rFonts w:asciiTheme="minorHAnsi" w:hAnsiTheme="minorHAnsi"/>
          <w:bCs/>
          <w:snapToGrid w:val="0"/>
        </w:rPr>
        <w:t xml:space="preserve"> as m</w:t>
      </w:r>
      <w:r w:rsidR="00943FB8" w:rsidRPr="00DD2E5A">
        <w:rPr>
          <w:rFonts w:asciiTheme="minorHAnsi" w:hAnsiTheme="minorHAnsi"/>
          <w:bCs/>
          <w:snapToGrid w:val="0"/>
        </w:rPr>
        <w:t>ultiple gene</w:t>
      </w:r>
      <w:r w:rsidR="00D87B18" w:rsidRPr="00DD2E5A">
        <w:rPr>
          <w:rFonts w:asciiTheme="minorHAnsi" w:hAnsiTheme="minorHAnsi"/>
          <w:bCs/>
          <w:snapToGrid w:val="0"/>
        </w:rPr>
        <w:t>s are</w:t>
      </w:r>
      <w:r w:rsidR="00943FB8" w:rsidRPr="00DD2E5A">
        <w:rPr>
          <w:rFonts w:asciiTheme="minorHAnsi" w:hAnsiTheme="minorHAnsi"/>
          <w:bCs/>
          <w:snapToGrid w:val="0"/>
        </w:rPr>
        <w:t xml:space="preserve"> involved </w:t>
      </w:r>
      <w:r w:rsidR="00486623" w:rsidRPr="00DD2E5A">
        <w:rPr>
          <w:rFonts w:asciiTheme="minorHAnsi" w:hAnsiTheme="minorHAnsi"/>
          <w:bCs/>
          <w:snapToGrid w:val="0"/>
        </w:rPr>
        <w:t xml:space="preserve">in AHP and </w:t>
      </w:r>
      <w:r w:rsidR="00943FB8" w:rsidRPr="00DD2E5A">
        <w:rPr>
          <w:rFonts w:asciiTheme="minorHAnsi" w:hAnsiTheme="minorHAnsi"/>
          <w:bCs/>
          <w:snapToGrid w:val="0"/>
        </w:rPr>
        <w:t xml:space="preserve">not all </w:t>
      </w:r>
      <w:r w:rsidR="00486623" w:rsidRPr="00DD2E5A">
        <w:rPr>
          <w:rFonts w:asciiTheme="minorHAnsi" w:hAnsiTheme="minorHAnsi"/>
          <w:bCs/>
          <w:snapToGrid w:val="0"/>
        </w:rPr>
        <w:t xml:space="preserve">are </w:t>
      </w:r>
      <w:r w:rsidR="00943FB8" w:rsidRPr="00DD2E5A">
        <w:rPr>
          <w:rFonts w:asciiTheme="minorHAnsi" w:hAnsiTheme="minorHAnsi"/>
          <w:bCs/>
          <w:snapToGrid w:val="0"/>
        </w:rPr>
        <w:t>known</w:t>
      </w:r>
      <w:r w:rsidR="00486623" w:rsidRPr="00DD2E5A">
        <w:rPr>
          <w:rFonts w:asciiTheme="minorHAnsi" w:hAnsiTheme="minorHAnsi"/>
          <w:bCs/>
          <w:snapToGrid w:val="0"/>
        </w:rPr>
        <w:t xml:space="preserve">. </w:t>
      </w:r>
      <w:r w:rsidR="00B95CF0" w:rsidRPr="00DD2E5A">
        <w:rPr>
          <w:rFonts w:asciiTheme="minorHAnsi" w:hAnsiTheme="minorHAnsi"/>
          <w:bCs/>
          <w:snapToGrid w:val="0"/>
        </w:rPr>
        <w:t xml:space="preserve">The clinician noted </w:t>
      </w:r>
      <w:r w:rsidR="00E578DC" w:rsidRPr="00DD2E5A">
        <w:rPr>
          <w:rFonts w:asciiTheme="minorHAnsi" w:hAnsiTheme="minorHAnsi"/>
          <w:bCs/>
          <w:snapToGrid w:val="0"/>
        </w:rPr>
        <w:t xml:space="preserve">AHP is </w:t>
      </w:r>
      <w:r w:rsidR="00B95CF0" w:rsidRPr="00DD2E5A">
        <w:rPr>
          <w:rFonts w:asciiTheme="minorHAnsi" w:hAnsiTheme="minorHAnsi"/>
          <w:bCs/>
          <w:snapToGrid w:val="0"/>
        </w:rPr>
        <w:t>a complex and heterogeneous set of diseases</w:t>
      </w:r>
      <w:r w:rsidR="00E578DC" w:rsidRPr="00DD2E5A">
        <w:rPr>
          <w:rFonts w:asciiTheme="minorHAnsi" w:hAnsiTheme="minorHAnsi"/>
          <w:bCs/>
          <w:snapToGrid w:val="0"/>
        </w:rPr>
        <w:t xml:space="preserve">, resulting in </w:t>
      </w:r>
      <w:r w:rsidR="001770A4" w:rsidRPr="00DD2E5A">
        <w:rPr>
          <w:rFonts w:asciiTheme="minorHAnsi" w:hAnsiTheme="minorHAnsi"/>
          <w:bCs/>
          <w:snapToGrid w:val="0"/>
        </w:rPr>
        <w:t xml:space="preserve">a range of </w:t>
      </w:r>
      <w:r w:rsidR="00A86ADF" w:rsidRPr="00DD2E5A">
        <w:rPr>
          <w:rFonts w:asciiTheme="minorHAnsi" w:hAnsiTheme="minorHAnsi"/>
          <w:bCs/>
          <w:snapToGrid w:val="0"/>
        </w:rPr>
        <w:t xml:space="preserve">impacts on </w:t>
      </w:r>
      <w:r w:rsidR="00D065A4" w:rsidRPr="00DD2E5A">
        <w:rPr>
          <w:rFonts w:asciiTheme="minorHAnsi" w:hAnsiTheme="minorHAnsi"/>
          <w:bCs/>
          <w:snapToGrid w:val="0"/>
        </w:rPr>
        <w:t>patient</w:t>
      </w:r>
      <w:r w:rsidR="00A86ADF" w:rsidRPr="00DD2E5A">
        <w:rPr>
          <w:rFonts w:asciiTheme="minorHAnsi" w:hAnsiTheme="minorHAnsi"/>
          <w:bCs/>
          <w:snapToGrid w:val="0"/>
        </w:rPr>
        <w:t>s</w:t>
      </w:r>
      <w:r w:rsidR="00E97CCD" w:rsidRPr="00DD2E5A">
        <w:rPr>
          <w:rFonts w:asciiTheme="minorHAnsi" w:hAnsiTheme="minorHAnsi"/>
          <w:bCs/>
          <w:snapToGrid w:val="0"/>
        </w:rPr>
        <w:t xml:space="preserve">, </w:t>
      </w:r>
      <w:r w:rsidR="00A86ADF" w:rsidRPr="00DD2E5A">
        <w:rPr>
          <w:rFonts w:asciiTheme="minorHAnsi" w:hAnsiTheme="minorHAnsi"/>
          <w:bCs/>
          <w:snapToGrid w:val="0"/>
        </w:rPr>
        <w:t xml:space="preserve">from </w:t>
      </w:r>
      <w:r w:rsidR="00E97CCD" w:rsidRPr="00DD2E5A">
        <w:rPr>
          <w:rFonts w:asciiTheme="minorHAnsi" w:hAnsiTheme="minorHAnsi"/>
          <w:bCs/>
          <w:snapToGrid w:val="0"/>
        </w:rPr>
        <w:t xml:space="preserve">asymptomatic </w:t>
      </w:r>
      <w:r w:rsidR="008D531A" w:rsidRPr="00DD2E5A">
        <w:rPr>
          <w:rFonts w:asciiTheme="minorHAnsi" w:hAnsiTheme="minorHAnsi"/>
          <w:bCs/>
          <w:snapToGrid w:val="0"/>
        </w:rPr>
        <w:t xml:space="preserve">disease </w:t>
      </w:r>
      <w:r w:rsidR="00E97CCD" w:rsidRPr="00DD2E5A">
        <w:rPr>
          <w:rFonts w:asciiTheme="minorHAnsi" w:hAnsiTheme="minorHAnsi"/>
          <w:bCs/>
          <w:snapToGrid w:val="0"/>
        </w:rPr>
        <w:t xml:space="preserve">to </w:t>
      </w:r>
      <w:r w:rsidR="00B01764" w:rsidRPr="00DD2E5A">
        <w:rPr>
          <w:rFonts w:asciiTheme="minorHAnsi" w:hAnsiTheme="minorHAnsi"/>
          <w:bCs/>
          <w:snapToGrid w:val="0"/>
        </w:rPr>
        <w:t xml:space="preserve">very </w:t>
      </w:r>
      <w:r w:rsidR="00E97CCD" w:rsidRPr="00DD2E5A">
        <w:rPr>
          <w:rFonts w:asciiTheme="minorHAnsi" w:hAnsiTheme="minorHAnsi"/>
          <w:bCs/>
          <w:snapToGrid w:val="0"/>
        </w:rPr>
        <w:t xml:space="preserve">severe </w:t>
      </w:r>
      <w:r w:rsidR="008D531A" w:rsidRPr="00DD2E5A">
        <w:rPr>
          <w:rFonts w:asciiTheme="minorHAnsi" w:hAnsiTheme="minorHAnsi"/>
          <w:bCs/>
          <w:snapToGrid w:val="0"/>
        </w:rPr>
        <w:t xml:space="preserve">disease </w:t>
      </w:r>
      <w:r w:rsidR="00E97CCD" w:rsidRPr="00DD2E5A">
        <w:rPr>
          <w:rFonts w:asciiTheme="minorHAnsi" w:hAnsiTheme="minorHAnsi"/>
          <w:bCs/>
          <w:snapToGrid w:val="0"/>
        </w:rPr>
        <w:t xml:space="preserve">requiring </w:t>
      </w:r>
      <w:r w:rsidR="008D531A" w:rsidRPr="00DD2E5A">
        <w:rPr>
          <w:rFonts w:asciiTheme="minorHAnsi" w:hAnsiTheme="minorHAnsi"/>
          <w:bCs/>
          <w:snapToGrid w:val="0"/>
        </w:rPr>
        <w:t xml:space="preserve">a </w:t>
      </w:r>
      <w:r w:rsidR="00E97CCD" w:rsidRPr="00DD2E5A">
        <w:rPr>
          <w:rFonts w:asciiTheme="minorHAnsi" w:hAnsiTheme="minorHAnsi"/>
          <w:bCs/>
          <w:snapToGrid w:val="0"/>
        </w:rPr>
        <w:t xml:space="preserve">high </w:t>
      </w:r>
      <w:r w:rsidR="008D531A" w:rsidRPr="00DD2E5A">
        <w:rPr>
          <w:rFonts w:asciiTheme="minorHAnsi" w:hAnsiTheme="minorHAnsi"/>
          <w:bCs/>
          <w:snapToGrid w:val="0"/>
        </w:rPr>
        <w:t>level of health</w:t>
      </w:r>
      <w:r w:rsidR="00E97CCD" w:rsidRPr="00DD2E5A">
        <w:rPr>
          <w:rFonts w:asciiTheme="minorHAnsi" w:hAnsiTheme="minorHAnsi"/>
          <w:bCs/>
          <w:snapToGrid w:val="0"/>
        </w:rPr>
        <w:t xml:space="preserve">care </w:t>
      </w:r>
      <w:r w:rsidR="008D531A" w:rsidRPr="00DD2E5A">
        <w:rPr>
          <w:rFonts w:asciiTheme="minorHAnsi" w:hAnsiTheme="minorHAnsi"/>
          <w:bCs/>
          <w:snapToGrid w:val="0"/>
        </w:rPr>
        <w:t>resources and</w:t>
      </w:r>
      <w:r w:rsidR="00E97CCD" w:rsidRPr="00DD2E5A">
        <w:rPr>
          <w:rFonts w:asciiTheme="minorHAnsi" w:hAnsiTheme="minorHAnsi"/>
          <w:bCs/>
          <w:snapToGrid w:val="0"/>
        </w:rPr>
        <w:t xml:space="preserve"> </w:t>
      </w:r>
      <w:r w:rsidR="008D531A" w:rsidRPr="00DD2E5A">
        <w:rPr>
          <w:rFonts w:asciiTheme="minorHAnsi" w:hAnsiTheme="minorHAnsi"/>
          <w:bCs/>
          <w:snapToGrid w:val="0"/>
        </w:rPr>
        <w:t>resulting in very</w:t>
      </w:r>
      <w:r w:rsidR="00E97CCD" w:rsidRPr="00DD2E5A">
        <w:rPr>
          <w:rFonts w:asciiTheme="minorHAnsi" w:hAnsiTheme="minorHAnsi"/>
          <w:bCs/>
          <w:snapToGrid w:val="0"/>
        </w:rPr>
        <w:t xml:space="preserve"> poor QoL. </w:t>
      </w:r>
      <w:r w:rsidR="004F7399" w:rsidRPr="00DD2E5A">
        <w:rPr>
          <w:rFonts w:asciiTheme="minorHAnsi" w:hAnsiTheme="minorHAnsi"/>
          <w:bCs/>
          <w:snapToGrid w:val="0"/>
        </w:rPr>
        <w:t>The clinician noted some patients have infrequent but severe attacks whereas others experience much more frequent attacks and need long term control</w:t>
      </w:r>
      <w:r w:rsidR="00E60B1A">
        <w:rPr>
          <w:rFonts w:asciiTheme="minorHAnsi" w:hAnsiTheme="minorHAnsi"/>
          <w:bCs/>
          <w:snapToGrid w:val="0"/>
        </w:rPr>
        <w:t xml:space="preserve">. </w:t>
      </w:r>
      <w:r w:rsidR="007C466B" w:rsidRPr="00DD2E5A">
        <w:rPr>
          <w:rFonts w:asciiTheme="minorHAnsi" w:hAnsiTheme="minorHAnsi"/>
          <w:bCs/>
          <w:snapToGrid w:val="0"/>
        </w:rPr>
        <w:t>The clinician noted that there are limited options for preventing attacks</w:t>
      </w:r>
      <w:r w:rsidR="00482EE8" w:rsidRPr="00DD2E5A">
        <w:rPr>
          <w:rFonts w:asciiTheme="minorHAnsi" w:hAnsiTheme="minorHAnsi"/>
          <w:bCs/>
          <w:snapToGrid w:val="0"/>
        </w:rPr>
        <w:t xml:space="preserve"> and</w:t>
      </w:r>
      <w:r w:rsidR="007C466B" w:rsidRPr="00DD2E5A">
        <w:rPr>
          <w:rFonts w:asciiTheme="minorHAnsi" w:hAnsiTheme="minorHAnsi"/>
          <w:bCs/>
          <w:snapToGrid w:val="0"/>
        </w:rPr>
        <w:t xml:space="preserve"> treatment </w:t>
      </w:r>
      <w:r w:rsidR="00A25CE6" w:rsidRPr="00DD2E5A">
        <w:rPr>
          <w:rFonts w:asciiTheme="minorHAnsi" w:hAnsiTheme="minorHAnsi"/>
          <w:bCs/>
          <w:snapToGrid w:val="0"/>
        </w:rPr>
        <w:t xml:space="preserve">largely </w:t>
      </w:r>
      <w:r w:rsidR="007C466B" w:rsidRPr="00DD2E5A">
        <w:rPr>
          <w:rFonts w:asciiTheme="minorHAnsi" w:hAnsiTheme="minorHAnsi"/>
          <w:bCs/>
          <w:snapToGrid w:val="0"/>
        </w:rPr>
        <w:t>involves addressing</w:t>
      </w:r>
      <w:r w:rsidR="00287AA5" w:rsidRPr="00DD2E5A">
        <w:rPr>
          <w:rFonts w:asciiTheme="minorHAnsi" w:hAnsiTheme="minorHAnsi"/>
          <w:bCs/>
          <w:snapToGrid w:val="0"/>
        </w:rPr>
        <w:t xml:space="preserve"> symptoms</w:t>
      </w:r>
      <w:r w:rsidR="00482EE8" w:rsidRPr="00DD2E5A">
        <w:rPr>
          <w:rFonts w:asciiTheme="minorHAnsi" w:hAnsiTheme="minorHAnsi"/>
          <w:bCs/>
          <w:snapToGrid w:val="0"/>
        </w:rPr>
        <w:t>. I</w:t>
      </w:r>
      <w:r w:rsidR="00996803" w:rsidRPr="00DD2E5A">
        <w:rPr>
          <w:rFonts w:asciiTheme="minorHAnsi" w:hAnsiTheme="minorHAnsi"/>
          <w:bCs/>
          <w:snapToGrid w:val="0"/>
        </w:rPr>
        <w:t xml:space="preserve">n some </w:t>
      </w:r>
      <w:r w:rsidR="00D13798" w:rsidRPr="00DD2E5A">
        <w:rPr>
          <w:rFonts w:asciiTheme="minorHAnsi" w:hAnsiTheme="minorHAnsi"/>
          <w:bCs/>
          <w:snapToGrid w:val="0"/>
        </w:rPr>
        <w:t>cases,</w:t>
      </w:r>
      <w:r w:rsidR="00996803" w:rsidRPr="00DD2E5A">
        <w:rPr>
          <w:rFonts w:asciiTheme="minorHAnsi" w:hAnsiTheme="minorHAnsi"/>
          <w:bCs/>
          <w:snapToGrid w:val="0"/>
        </w:rPr>
        <w:t xml:space="preserve"> </w:t>
      </w:r>
      <w:r w:rsidR="00482EE8" w:rsidRPr="00DD2E5A">
        <w:rPr>
          <w:rFonts w:asciiTheme="minorHAnsi" w:hAnsiTheme="minorHAnsi"/>
          <w:bCs/>
          <w:snapToGrid w:val="0"/>
        </w:rPr>
        <w:t>patients require extended</w:t>
      </w:r>
      <w:r w:rsidR="00996803" w:rsidRPr="00DD2E5A">
        <w:rPr>
          <w:rFonts w:asciiTheme="minorHAnsi" w:hAnsiTheme="minorHAnsi"/>
          <w:bCs/>
          <w:snapToGrid w:val="0"/>
        </w:rPr>
        <w:t xml:space="preserve"> hospitalisation</w:t>
      </w:r>
      <w:r w:rsidR="00482EE8" w:rsidRPr="00DD2E5A">
        <w:rPr>
          <w:rFonts w:asciiTheme="minorHAnsi" w:hAnsiTheme="minorHAnsi"/>
          <w:bCs/>
          <w:snapToGrid w:val="0"/>
        </w:rPr>
        <w:t xml:space="preserve">, </w:t>
      </w:r>
      <w:r w:rsidR="00023C53" w:rsidRPr="00DD2E5A">
        <w:rPr>
          <w:rFonts w:asciiTheme="minorHAnsi" w:hAnsiTheme="minorHAnsi"/>
          <w:bCs/>
          <w:snapToGrid w:val="0"/>
        </w:rPr>
        <w:t xml:space="preserve">which is </w:t>
      </w:r>
      <w:r w:rsidR="00482EE8" w:rsidRPr="00DD2E5A">
        <w:rPr>
          <w:rFonts w:asciiTheme="minorHAnsi" w:hAnsiTheme="minorHAnsi"/>
          <w:bCs/>
          <w:snapToGrid w:val="0"/>
        </w:rPr>
        <w:t xml:space="preserve">associated with a </w:t>
      </w:r>
      <w:r w:rsidR="00996803" w:rsidRPr="00DD2E5A">
        <w:rPr>
          <w:rFonts w:asciiTheme="minorHAnsi" w:hAnsiTheme="minorHAnsi"/>
          <w:bCs/>
          <w:snapToGrid w:val="0"/>
        </w:rPr>
        <w:t>high cost</w:t>
      </w:r>
      <w:r w:rsidR="00482EE8" w:rsidRPr="00DD2E5A">
        <w:rPr>
          <w:rFonts w:asciiTheme="minorHAnsi" w:hAnsiTheme="minorHAnsi"/>
          <w:bCs/>
          <w:snapToGrid w:val="0"/>
        </w:rPr>
        <w:t xml:space="preserve">, especially where patients </w:t>
      </w:r>
      <w:r w:rsidR="00023C53" w:rsidRPr="00DD2E5A">
        <w:rPr>
          <w:rFonts w:asciiTheme="minorHAnsi" w:hAnsiTheme="minorHAnsi"/>
          <w:bCs/>
          <w:snapToGrid w:val="0"/>
        </w:rPr>
        <w:t>with seizures</w:t>
      </w:r>
      <w:r w:rsidR="00A00FA3" w:rsidRPr="00DD2E5A">
        <w:rPr>
          <w:rFonts w:asciiTheme="minorHAnsi" w:hAnsiTheme="minorHAnsi"/>
          <w:bCs/>
          <w:snapToGrid w:val="0"/>
        </w:rPr>
        <w:t xml:space="preserve"> or </w:t>
      </w:r>
      <w:r w:rsidR="00023C53" w:rsidRPr="00DD2E5A">
        <w:rPr>
          <w:rFonts w:asciiTheme="minorHAnsi" w:hAnsiTheme="minorHAnsi"/>
          <w:bCs/>
          <w:snapToGrid w:val="0"/>
        </w:rPr>
        <w:t xml:space="preserve">respiratory paralysis </w:t>
      </w:r>
      <w:r w:rsidR="00482EE8" w:rsidRPr="00DD2E5A">
        <w:rPr>
          <w:rFonts w:asciiTheme="minorHAnsi" w:hAnsiTheme="minorHAnsi"/>
          <w:bCs/>
          <w:snapToGrid w:val="0"/>
        </w:rPr>
        <w:t xml:space="preserve">require treatment in the </w:t>
      </w:r>
      <w:r w:rsidR="00996803" w:rsidRPr="00DD2E5A">
        <w:rPr>
          <w:rFonts w:asciiTheme="minorHAnsi" w:hAnsiTheme="minorHAnsi"/>
          <w:bCs/>
          <w:snapToGrid w:val="0"/>
        </w:rPr>
        <w:t xml:space="preserve">ICU and </w:t>
      </w:r>
      <w:r w:rsidR="00023C53" w:rsidRPr="00DD2E5A">
        <w:rPr>
          <w:rFonts w:asciiTheme="minorHAnsi" w:hAnsiTheme="minorHAnsi"/>
          <w:bCs/>
          <w:snapToGrid w:val="0"/>
        </w:rPr>
        <w:t xml:space="preserve">where </w:t>
      </w:r>
      <w:r w:rsidR="00996803" w:rsidRPr="00DD2E5A">
        <w:rPr>
          <w:rFonts w:asciiTheme="minorHAnsi" w:hAnsiTheme="minorHAnsi"/>
          <w:bCs/>
          <w:snapToGrid w:val="0"/>
        </w:rPr>
        <w:t>long</w:t>
      </w:r>
      <w:r w:rsidR="00E072B9">
        <w:rPr>
          <w:rFonts w:asciiTheme="minorHAnsi" w:hAnsiTheme="minorHAnsi"/>
          <w:bCs/>
          <w:snapToGrid w:val="0"/>
        </w:rPr>
        <w:noBreakHyphen/>
      </w:r>
      <w:r w:rsidR="00996803" w:rsidRPr="00DD2E5A">
        <w:rPr>
          <w:rFonts w:asciiTheme="minorHAnsi" w:hAnsiTheme="minorHAnsi"/>
          <w:bCs/>
          <w:snapToGrid w:val="0"/>
        </w:rPr>
        <w:t>term neurological damage</w:t>
      </w:r>
      <w:r w:rsidR="00023C53" w:rsidRPr="00DD2E5A">
        <w:rPr>
          <w:rFonts w:asciiTheme="minorHAnsi" w:hAnsiTheme="minorHAnsi"/>
          <w:bCs/>
          <w:snapToGrid w:val="0"/>
        </w:rPr>
        <w:t xml:space="preserve"> requires lengthy </w:t>
      </w:r>
      <w:r w:rsidR="004F7399" w:rsidRPr="00DD2E5A">
        <w:rPr>
          <w:rFonts w:asciiTheme="minorHAnsi" w:hAnsiTheme="minorHAnsi"/>
          <w:bCs/>
          <w:snapToGrid w:val="0"/>
        </w:rPr>
        <w:t>rehabilitation</w:t>
      </w:r>
      <w:r w:rsidR="00857141" w:rsidRPr="00DD2E5A">
        <w:rPr>
          <w:rFonts w:asciiTheme="minorHAnsi" w:hAnsiTheme="minorHAnsi"/>
          <w:bCs/>
          <w:snapToGrid w:val="0"/>
        </w:rPr>
        <w:t xml:space="preserve">. </w:t>
      </w:r>
      <w:r w:rsidR="00A00FA3" w:rsidRPr="00DD2E5A">
        <w:rPr>
          <w:rFonts w:asciiTheme="minorHAnsi" w:hAnsiTheme="minorHAnsi"/>
          <w:bCs/>
          <w:snapToGrid w:val="0"/>
        </w:rPr>
        <w:t>The clinician noted that m</w:t>
      </w:r>
      <w:r w:rsidR="007465C4" w:rsidRPr="00DD2E5A">
        <w:rPr>
          <w:rFonts w:asciiTheme="minorHAnsi" w:hAnsiTheme="minorHAnsi"/>
          <w:bCs/>
          <w:snapToGrid w:val="0"/>
        </w:rPr>
        <w:t>any attacks are hormonal</w:t>
      </w:r>
      <w:r w:rsidR="00F743A9" w:rsidRPr="00DD2E5A">
        <w:rPr>
          <w:rFonts w:asciiTheme="minorHAnsi" w:hAnsiTheme="minorHAnsi"/>
          <w:bCs/>
          <w:snapToGrid w:val="0"/>
        </w:rPr>
        <w:t>ly triggered</w:t>
      </w:r>
      <w:r w:rsidR="007465C4" w:rsidRPr="00DD2E5A">
        <w:rPr>
          <w:rFonts w:asciiTheme="minorHAnsi" w:hAnsiTheme="minorHAnsi"/>
          <w:bCs/>
          <w:snapToGrid w:val="0"/>
        </w:rPr>
        <w:t xml:space="preserve"> </w:t>
      </w:r>
      <w:r w:rsidR="0010793B" w:rsidRPr="00DD2E5A">
        <w:rPr>
          <w:rFonts w:asciiTheme="minorHAnsi" w:hAnsiTheme="minorHAnsi"/>
          <w:bCs/>
          <w:snapToGrid w:val="0"/>
        </w:rPr>
        <w:t xml:space="preserve">and </w:t>
      </w:r>
      <w:r w:rsidR="007465C4" w:rsidRPr="00DD2E5A">
        <w:rPr>
          <w:rFonts w:asciiTheme="minorHAnsi" w:hAnsiTheme="minorHAnsi"/>
          <w:bCs/>
          <w:snapToGrid w:val="0"/>
        </w:rPr>
        <w:t>treatments directed to this</w:t>
      </w:r>
      <w:r w:rsidR="0010793B" w:rsidRPr="00DD2E5A">
        <w:rPr>
          <w:rFonts w:asciiTheme="minorHAnsi" w:hAnsiTheme="minorHAnsi"/>
          <w:bCs/>
          <w:snapToGrid w:val="0"/>
        </w:rPr>
        <w:t xml:space="preserve"> can include</w:t>
      </w:r>
      <w:r w:rsidR="007465C4" w:rsidRPr="00DD2E5A">
        <w:rPr>
          <w:rFonts w:asciiTheme="minorHAnsi" w:hAnsiTheme="minorHAnsi"/>
          <w:bCs/>
          <w:snapToGrid w:val="0"/>
        </w:rPr>
        <w:t xml:space="preserve"> </w:t>
      </w:r>
      <w:r w:rsidR="0010793B" w:rsidRPr="00DD2E5A">
        <w:rPr>
          <w:rFonts w:asciiTheme="minorHAnsi" w:hAnsiTheme="minorHAnsi"/>
          <w:bCs/>
          <w:snapToGrid w:val="0"/>
        </w:rPr>
        <w:t>significant</w:t>
      </w:r>
      <w:r w:rsidR="007465C4" w:rsidRPr="00DD2E5A">
        <w:rPr>
          <w:rFonts w:asciiTheme="minorHAnsi" w:hAnsiTheme="minorHAnsi"/>
          <w:bCs/>
          <w:snapToGrid w:val="0"/>
        </w:rPr>
        <w:t xml:space="preserve"> procedures (</w:t>
      </w:r>
      <w:r w:rsidR="00300AA4" w:rsidRPr="00DD2E5A">
        <w:rPr>
          <w:rFonts w:asciiTheme="minorHAnsi" w:hAnsiTheme="minorHAnsi"/>
          <w:bCs/>
          <w:snapToGrid w:val="0"/>
        </w:rPr>
        <w:t xml:space="preserve">oophorectomy, hysterectomy). </w:t>
      </w:r>
      <w:r w:rsidR="002D3671" w:rsidRPr="00DD2E5A">
        <w:rPr>
          <w:rFonts w:asciiTheme="minorHAnsi" w:hAnsiTheme="minorHAnsi"/>
          <w:bCs/>
          <w:snapToGrid w:val="0"/>
        </w:rPr>
        <w:t>Although many patients see an improvement after menopause, n</w:t>
      </w:r>
      <w:r w:rsidR="00F16504" w:rsidRPr="00DD2E5A">
        <w:rPr>
          <w:rFonts w:asciiTheme="minorHAnsi" w:hAnsiTheme="minorHAnsi"/>
          <w:bCs/>
          <w:snapToGrid w:val="0"/>
        </w:rPr>
        <w:t xml:space="preserve">ot all patients have </w:t>
      </w:r>
      <w:r w:rsidR="002E76DB" w:rsidRPr="00DD2E5A">
        <w:rPr>
          <w:rFonts w:asciiTheme="minorHAnsi" w:hAnsiTheme="minorHAnsi"/>
          <w:bCs/>
          <w:snapToGrid w:val="0"/>
        </w:rPr>
        <w:t xml:space="preserve">resolution of attacks, </w:t>
      </w:r>
      <w:r w:rsidR="002D3671" w:rsidRPr="00DD2E5A">
        <w:rPr>
          <w:rFonts w:asciiTheme="minorHAnsi" w:hAnsiTheme="minorHAnsi"/>
          <w:bCs/>
          <w:snapToGrid w:val="0"/>
        </w:rPr>
        <w:t xml:space="preserve">and although </w:t>
      </w:r>
      <w:r w:rsidR="002E76DB" w:rsidRPr="00DD2E5A">
        <w:rPr>
          <w:rFonts w:asciiTheme="minorHAnsi" w:hAnsiTheme="minorHAnsi"/>
          <w:bCs/>
          <w:snapToGrid w:val="0"/>
        </w:rPr>
        <w:t xml:space="preserve">not all </w:t>
      </w:r>
      <w:r w:rsidR="002D3671" w:rsidRPr="00DD2E5A">
        <w:rPr>
          <w:rFonts w:asciiTheme="minorHAnsi" w:hAnsiTheme="minorHAnsi"/>
          <w:bCs/>
          <w:snapToGrid w:val="0"/>
        </w:rPr>
        <w:t xml:space="preserve">patients </w:t>
      </w:r>
      <w:r w:rsidR="002E76DB" w:rsidRPr="00DD2E5A">
        <w:rPr>
          <w:rFonts w:asciiTheme="minorHAnsi" w:hAnsiTheme="minorHAnsi"/>
          <w:bCs/>
          <w:snapToGrid w:val="0"/>
        </w:rPr>
        <w:t xml:space="preserve">will need to continue </w:t>
      </w:r>
      <w:r w:rsidR="002D3671" w:rsidRPr="00DD2E5A">
        <w:rPr>
          <w:rFonts w:asciiTheme="minorHAnsi" w:hAnsiTheme="minorHAnsi"/>
          <w:bCs/>
          <w:snapToGrid w:val="0"/>
        </w:rPr>
        <w:t xml:space="preserve">treatment, the clinician noted there is a </w:t>
      </w:r>
      <w:r w:rsidR="002E76DB" w:rsidRPr="00DD2E5A">
        <w:rPr>
          <w:rFonts w:asciiTheme="minorHAnsi" w:hAnsiTheme="minorHAnsi"/>
          <w:bCs/>
          <w:snapToGrid w:val="0"/>
        </w:rPr>
        <w:t xml:space="preserve">need </w:t>
      </w:r>
      <w:r w:rsidR="002D3671" w:rsidRPr="00DD2E5A">
        <w:rPr>
          <w:rFonts w:asciiTheme="minorHAnsi" w:hAnsiTheme="minorHAnsi"/>
          <w:bCs/>
          <w:snapToGrid w:val="0"/>
        </w:rPr>
        <w:t>for ongoing</w:t>
      </w:r>
      <w:r w:rsidR="002E76DB" w:rsidRPr="00DD2E5A">
        <w:rPr>
          <w:rFonts w:asciiTheme="minorHAnsi" w:hAnsiTheme="minorHAnsi"/>
          <w:bCs/>
          <w:snapToGrid w:val="0"/>
        </w:rPr>
        <w:t xml:space="preserve"> access</w:t>
      </w:r>
      <w:r w:rsidR="002D3671" w:rsidRPr="00DD2E5A">
        <w:rPr>
          <w:rFonts w:asciiTheme="minorHAnsi" w:hAnsiTheme="minorHAnsi"/>
          <w:bCs/>
          <w:snapToGrid w:val="0"/>
        </w:rPr>
        <w:t xml:space="preserve"> to givosiran</w:t>
      </w:r>
      <w:r w:rsidR="002E76DB" w:rsidRPr="00DD2E5A">
        <w:rPr>
          <w:rFonts w:asciiTheme="minorHAnsi" w:hAnsiTheme="minorHAnsi"/>
          <w:bCs/>
          <w:snapToGrid w:val="0"/>
        </w:rPr>
        <w:t xml:space="preserve"> for those who require it. </w:t>
      </w:r>
      <w:r w:rsidR="00DD2E5A" w:rsidRPr="00DD2E5A">
        <w:rPr>
          <w:rFonts w:asciiTheme="minorHAnsi" w:hAnsiTheme="minorHAnsi"/>
          <w:bCs/>
          <w:snapToGrid w:val="0"/>
        </w:rPr>
        <w:t xml:space="preserve">The clinician noted experience with givosiran working well for patients and was supportive of the submission. </w:t>
      </w:r>
      <w:r w:rsidR="005133E8" w:rsidRPr="00DD2E5A">
        <w:rPr>
          <w:rFonts w:asciiTheme="minorHAnsi" w:hAnsiTheme="minorHAnsi"/>
          <w:bCs/>
          <w:snapToGrid w:val="0"/>
        </w:rPr>
        <w:t>The PBAC considered that the hearing was informative as it provided a clinical perspective on treating this uncommon disease</w:t>
      </w:r>
      <w:r w:rsidR="00DD2E5A" w:rsidRPr="00DD2E5A">
        <w:rPr>
          <w:rFonts w:asciiTheme="minorHAnsi" w:hAnsiTheme="minorHAnsi"/>
          <w:bCs/>
          <w:snapToGrid w:val="0"/>
        </w:rPr>
        <w:t>.</w:t>
      </w:r>
      <w:r w:rsidR="00A14747" w:rsidRPr="00DD2E5A">
        <w:rPr>
          <w:rFonts w:asciiTheme="minorHAnsi" w:hAnsiTheme="minorHAnsi"/>
          <w:bCs/>
          <w:snapToGrid w:val="0"/>
        </w:rPr>
        <w:t xml:space="preserve"> </w:t>
      </w:r>
    </w:p>
    <w:bookmarkEnd w:id="21"/>
    <w:p w14:paraId="06AAB837" w14:textId="77777777" w:rsidR="000B48B7" w:rsidRPr="006E1229" w:rsidRDefault="000B48B7" w:rsidP="00E072B9">
      <w:pPr>
        <w:pStyle w:val="4-SubsectionHeading"/>
      </w:pPr>
      <w:r w:rsidRPr="006E1229">
        <w:t>Consumer comments</w:t>
      </w:r>
    </w:p>
    <w:p w14:paraId="7AAAAAFA" w14:textId="31F4A0BA" w:rsidR="00392C54" w:rsidRPr="006E7D30" w:rsidRDefault="000B48B7" w:rsidP="00E072B9">
      <w:pPr>
        <w:numPr>
          <w:ilvl w:val="1"/>
          <w:numId w:val="1"/>
        </w:numPr>
        <w:spacing w:after="120"/>
        <w:rPr>
          <w:rFonts w:asciiTheme="minorHAnsi" w:hAnsiTheme="minorHAnsi"/>
          <w:bCs/>
          <w:snapToGrid w:val="0"/>
        </w:rPr>
      </w:pPr>
      <w:bookmarkStart w:id="22" w:name="_Hlk76382618"/>
      <w:r w:rsidRPr="006E7D30">
        <w:rPr>
          <w:rFonts w:asciiTheme="minorHAnsi" w:hAnsiTheme="minorHAnsi"/>
          <w:bCs/>
          <w:snapToGrid w:val="0"/>
        </w:rPr>
        <w:t>The PBAC noted and welcomed the input from individuals (</w:t>
      </w:r>
      <w:r w:rsidR="000C4A8E" w:rsidRPr="006E7D30">
        <w:rPr>
          <w:rFonts w:asciiTheme="minorHAnsi" w:hAnsiTheme="minorHAnsi"/>
          <w:bCs/>
          <w:snapToGrid w:val="0"/>
        </w:rPr>
        <w:t>27</w:t>
      </w:r>
      <w:r w:rsidRPr="006E7D30">
        <w:rPr>
          <w:rFonts w:asciiTheme="minorHAnsi" w:hAnsiTheme="minorHAnsi"/>
          <w:bCs/>
          <w:snapToGrid w:val="0"/>
        </w:rPr>
        <w:t>), health care professionals (</w:t>
      </w:r>
      <w:r w:rsidR="000C4A8E" w:rsidRPr="006E7D30">
        <w:rPr>
          <w:rFonts w:asciiTheme="minorHAnsi" w:hAnsiTheme="minorHAnsi"/>
          <w:bCs/>
          <w:snapToGrid w:val="0"/>
        </w:rPr>
        <w:t>5</w:t>
      </w:r>
      <w:r w:rsidRPr="006E7D30">
        <w:rPr>
          <w:rFonts w:asciiTheme="minorHAnsi" w:hAnsiTheme="minorHAnsi"/>
          <w:bCs/>
          <w:snapToGrid w:val="0"/>
        </w:rPr>
        <w:t xml:space="preserve">) and organisations (1) via the Consumer Comments facility on the PBS website. </w:t>
      </w:r>
      <w:r w:rsidR="00145C1B">
        <w:rPr>
          <w:rFonts w:asciiTheme="minorHAnsi" w:hAnsiTheme="minorHAnsi"/>
          <w:bCs/>
          <w:snapToGrid w:val="0"/>
        </w:rPr>
        <w:t>Comments from health care professionals noted that patients experience multiple continuous or sporadic symptoms including pain, abdominal symptoms and cognitive changes.</w:t>
      </w:r>
      <w:r w:rsidR="00A550BD">
        <w:rPr>
          <w:rFonts w:asciiTheme="minorHAnsi" w:hAnsiTheme="minorHAnsi"/>
          <w:bCs/>
          <w:snapToGrid w:val="0"/>
        </w:rPr>
        <w:t xml:space="preserve"> </w:t>
      </w:r>
      <w:r w:rsidR="00145C1B">
        <w:rPr>
          <w:rFonts w:asciiTheme="minorHAnsi" w:hAnsiTheme="minorHAnsi"/>
          <w:bCs/>
          <w:snapToGrid w:val="0"/>
        </w:rPr>
        <w:t>H</w:t>
      </w:r>
      <w:r w:rsidR="008B1C48" w:rsidRPr="006E7D30">
        <w:rPr>
          <w:rFonts w:asciiTheme="minorHAnsi" w:hAnsiTheme="minorHAnsi"/>
          <w:bCs/>
          <w:snapToGrid w:val="0"/>
        </w:rPr>
        <w:t xml:space="preserve">ealth </w:t>
      </w:r>
      <w:r w:rsidR="009A619F" w:rsidRPr="006E7D30">
        <w:rPr>
          <w:rFonts w:asciiTheme="minorHAnsi" w:hAnsiTheme="minorHAnsi"/>
          <w:bCs/>
          <w:snapToGrid w:val="0"/>
        </w:rPr>
        <w:t xml:space="preserve">care professionals </w:t>
      </w:r>
      <w:r w:rsidR="009C1C76" w:rsidRPr="006E7D30">
        <w:rPr>
          <w:rFonts w:asciiTheme="minorHAnsi" w:hAnsiTheme="minorHAnsi"/>
          <w:bCs/>
          <w:snapToGrid w:val="0"/>
        </w:rPr>
        <w:t>with experience treating AHP</w:t>
      </w:r>
      <w:r w:rsidR="006E4EC6" w:rsidRPr="006E7D30">
        <w:rPr>
          <w:rFonts w:asciiTheme="minorHAnsi" w:hAnsiTheme="minorHAnsi"/>
          <w:bCs/>
          <w:snapToGrid w:val="0"/>
        </w:rPr>
        <w:t xml:space="preserve"> noted that </w:t>
      </w:r>
      <w:r w:rsidR="00DE0C38" w:rsidRPr="006E7D30">
        <w:rPr>
          <w:rFonts w:asciiTheme="minorHAnsi" w:hAnsiTheme="minorHAnsi"/>
          <w:bCs/>
          <w:snapToGrid w:val="0"/>
        </w:rPr>
        <w:t xml:space="preserve">there is a lack of treatment options for AHP patients. </w:t>
      </w:r>
      <w:r w:rsidR="002045AA" w:rsidRPr="006E7D30">
        <w:rPr>
          <w:rFonts w:asciiTheme="minorHAnsi" w:hAnsiTheme="minorHAnsi"/>
          <w:bCs/>
          <w:snapToGrid w:val="0"/>
        </w:rPr>
        <w:t>Comments noted t</w:t>
      </w:r>
      <w:r w:rsidR="006E4EC6" w:rsidRPr="006E7D30">
        <w:rPr>
          <w:rFonts w:asciiTheme="minorHAnsi" w:hAnsiTheme="minorHAnsi"/>
          <w:bCs/>
          <w:snapToGrid w:val="0"/>
        </w:rPr>
        <w:t xml:space="preserve">reatment with haem arginate is </w:t>
      </w:r>
      <w:r w:rsidR="00A202AD" w:rsidRPr="006E7D30">
        <w:rPr>
          <w:rFonts w:asciiTheme="minorHAnsi" w:hAnsiTheme="minorHAnsi"/>
          <w:bCs/>
          <w:snapToGrid w:val="0"/>
        </w:rPr>
        <w:t xml:space="preserve">mainly </w:t>
      </w:r>
      <w:r w:rsidR="006E4EC6" w:rsidRPr="006E7D30">
        <w:rPr>
          <w:rFonts w:asciiTheme="minorHAnsi" w:hAnsiTheme="minorHAnsi"/>
          <w:bCs/>
          <w:snapToGrid w:val="0"/>
        </w:rPr>
        <w:t>used in response to attacks</w:t>
      </w:r>
      <w:r w:rsidR="00A202AD" w:rsidRPr="006E7D30">
        <w:rPr>
          <w:rFonts w:asciiTheme="minorHAnsi" w:hAnsiTheme="minorHAnsi"/>
          <w:bCs/>
          <w:snapToGrid w:val="0"/>
        </w:rPr>
        <w:t>, though prophylactic infusion is also used to manage recurrent attacks</w:t>
      </w:r>
      <w:r w:rsidR="00822F86" w:rsidRPr="006E7D30">
        <w:rPr>
          <w:rFonts w:asciiTheme="minorHAnsi" w:hAnsiTheme="minorHAnsi"/>
          <w:bCs/>
          <w:snapToGrid w:val="0"/>
        </w:rPr>
        <w:t>. H</w:t>
      </w:r>
      <w:r w:rsidR="006E7D30">
        <w:rPr>
          <w:rFonts w:asciiTheme="minorHAnsi" w:hAnsiTheme="minorHAnsi"/>
          <w:bCs/>
          <w:snapToGrid w:val="0"/>
        </w:rPr>
        <w:t>owe</w:t>
      </w:r>
      <w:r w:rsidR="00A25477">
        <w:rPr>
          <w:rFonts w:asciiTheme="minorHAnsi" w:hAnsiTheme="minorHAnsi"/>
          <w:bCs/>
          <w:snapToGrid w:val="0"/>
        </w:rPr>
        <w:t>v</w:t>
      </w:r>
      <w:r w:rsidR="006E7D30">
        <w:rPr>
          <w:rFonts w:asciiTheme="minorHAnsi" w:hAnsiTheme="minorHAnsi"/>
          <w:bCs/>
          <w:snapToGrid w:val="0"/>
        </w:rPr>
        <w:t>er</w:t>
      </w:r>
      <w:r w:rsidR="000E7B8B">
        <w:rPr>
          <w:rFonts w:asciiTheme="minorHAnsi" w:hAnsiTheme="minorHAnsi"/>
          <w:bCs/>
          <w:snapToGrid w:val="0"/>
        </w:rPr>
        <w:t xml:space="preserve">, </w:t>
      </w:r>
      <w:r w:rsidR="0048757A">
        <w:rPr>
          <w:rFonts w:asciiTheme="minorHAnsi" w:hAnsiTheme="minorHAnsi"/>
          <w:bCs/>
          <w:snapToGrid w:val="0"/>
        </w:rPr>
        <w:t xml:space="preserve">treatment with </w:t>
      </w:r>
      <w:r w:rsidR="000E7B8B">
        <w:rPr>
          <w:rFonts w:asciiTheme="minorHAnsi" w:hAnsiTheme="minorHAnsi"/>
          <w:bCs/>
          <w:snapToGrid w:val="0"/>
        </w:rPr>
        <w:t>h</w:t>
      </w:r>
      <w:r w:rsidR="00822F86" w:rsidRPr="006E7D30">
        <w:rPr>
          <w:rFonts w:asciiTheme="minorHAnsi" w:hAnsiTheme="minorHAnsi"/>
          <w:bCs/>
          <w:snapToGrid w:val="0"/>
        </w:rPr>
        <w:t>aem</w:t>
      </w:r>
      <w:r w:rsidR="0048757A">
        <w:rPr>
          <w:rFonts w:asciiTheme="minorHAnsi" w:hAnsiTheme="minorHAnsi"/>
          <w:bCs/>
          <w:snapToGrid w:val="0"/>
        </w:rPr>
        <w:t xml:space="preserve"> arginate</w:t>
      </w:r>
      <w:r w:rsidR="00822F86" w:rsidRPr="006E7D30">
        <w:rPr>
          <w:rFonts w:asciiTheme="minorHAnsi" w:hAnsiTheme="minorHAnsi"/>
          <w:bCs/>
          <w:snapToGrid w:val="0"/>
        </w:rPr>
        <w:t xml:space="preserve"> requires inpatient or day</w:t>
      </w:r>
      <w:r w:rsidR="00E072B9">
        <w:rPr>
          <w:rFonts w:asciiTheme="minorHAnsi" w:hAnsiTheme="minorHAnsi"/>
          <w:bCs/>
          <w:snapToGrid w:val="0"/>
        </w:rPr>
        <w:noBreakHyphen/>
      </w:r>
      <w:r w:rsidR="00C80904" w:rsidRPr="006E7D30">
        <w:rPr>
          <w:rFonts w:asciiTheme="minorHAnsi" w:hAnsiTheme="minorHAnsi"/>
          <w:bCs/>
          <w:snapToGrid w:val="0"/>
        </w:rPr>
        <w:t>clinic</w:t>
      </w:r>
      <w:r w:rsidR="00822F86" w:rsidRPr="006E7D30">
        <w:rPr>
          <w:rFonts w:asciiTheme="minorHAnsi" w:hAnsiTheme="minorHAnsi"/>
          <w:bCs/>
          <w:snapToGrid w:val="0"/>
        </w:rPr>
        <w:t xml:space="preserve"> admissions and </w:t>
      </w:r>
      <w:r w:rsidR="00F96681" w:rsidRPr="006E7D30">
        <w:rPr>
          <w:rFonts w:asciiTheme="minorHAnsi" w:hAnsiTheme="minorHAnsi"/>
          <w:bCs/>
          <w:snapToGrid w:val="0"/>
        </w:rPr>
        <w:t xml:space="preserve">carries </w:t>
      </w:r>
      <w:r w:rsidR="00C80904" w:rsidRPr="006E7D30">
        <w:rPr>
          <w:rFonts w:asciiTheme="minorHAnsi" w:hAnsiTheme="minorHAnsi"/>
          <w:bCs/>
          <w:snapToGrid w:val="0"/>
        </w:rPr>
        <w:t xml:space="preserve">substantial </w:t>
      </w:r>
      <w:r w:rsidR="00F96681" w:rsidRPr="006E7D30">
        <w:rPr>
          <w:rFonts w:asciiTheme="minorHAnsi" w:hAnsiTheme="minorHAnsi"/>
          <w:bCs/>
          <w:snapToGrid w:val="0"/>
        </w:rPr>
        <w:t>risks</w:t>
      </w:r>
      <w:r w:rsidR="00C80904" w:rsidRPr="006E7D30">
        <w:rPr>
          <w:rFonts w:asciiTheme="minorHAnsi" w:hAnsiTheme="minorHAnsi"/>
          <w:bCs/>
          <w:snapToGrid w:val="0"/>
        </w:rPr>
        <w:t xml:space="preserve"> (</w:t>
      </w:r>
      <w:r w:rsidR="009A2DA5" w:rsidRPr="006E7D30">
        <w:rPr>
          <w:rFonts w:asciiTheme="minorHAnsi" w:hAnsiTheme="minorHAnsi"/>
          <w:bCs/>
          <w:snapToGrid w:val="0"/>
        </w:rPr>
        <w:t>iron overload, vascular occlusion, risk of sepsis, rebound flares and tachyphylaxis)</w:t>
      </w:r>
      <w:r w:rsidR="00F96681" w:rsidRPr="006E7D30">
        <w:rPr>
          <w:rFonts w:asciiTheme="minorHAnsi" w:hAnsiTheme="minorHAnsi"/>
          <w:bCs/>
          <w:snapToGrid w:val="0"/>
        </w:rPr>
        <w:t xml:space="preserve">. The comments noted that other treatments </w:t>
      </w:r>
      <w:r w:rsidR="000E7B8B">
        <w:rPr>
          <w:rFonts w:asciiTheme="minorHAnsi" w:hAnsiTheme="minorHAnsi"/>
          <w:bCs/>
          <w:snapToGrid w:val="0"/>
        </w:rPr>
        <w:t xml:space="preserve">and procedures </w:t>
      </w:r>
      <w:r w:rsidR="0064156A">
        <w:rPr>
          <w:rFonts w:asciiTheme="minorHAnsi" w:hAnsiTheme="minorHAnsi"/>
          <w:bCs/>
          <w:snapToGrid w:val="0"/>
        </w:rPr>
        <w:t xml:space="preserve">to reduce symptoms </w:t>
      </w:r>
      <w:r w:rsidR="000E7B8B">
        <w:rPr>
          <w:rFonts w:asciiTheme="minorHAnsi" w:hAnsiTheme="minorHAnsi"/>
          <w:bCs/>
          <w:snapToGrid w:val="0"/>
        </w:rPr>
        <w:t>a</w:t>
      </w:r>
      <w:r w:rsidR="00C80904" w:rsidRPr="006E7D30">
        <w:rPr>
          <w:rFonts w:asciiTheme="minorHAnsi" w:hAnsiTheme="minorHAnsi"/>
          <w:bCs/>
          <w:snapToGrid w:val="0"/>
        </w:rPr>
        <w:t xml:space="preserve">lso </w:t>
      </w:r>
      <w:r w:rsidR="0017461D" w:rsidRPr="006E7D30">
        <w:rPr>
          <w:rFonts w:asciiTheme="minorHAnsi" w:hAnsiTheme="minorHAnsi"/>
          <w:bCs/>
          <w:snapToGrid w:val="0"/>
        </w:rPr>
        <w:t>carry other</w:t>
      </w:r>
      <w:r w:rsidR="00E165AE" w:rsidRPr="006E7D30">
        <w:rPr>
          <w:rFonts w:asciiTheme="minorHAnsi" w:hAnsiTheme="minorHAnsi"/>
          <w:bCs/>
          <w:snapToGrid w:val="0"/>
        </w:rPr>
        <w:t xml:space="preserve"> major</w:t>
      </w:r>
      <w:r w:rsidR="0017461D" w:rsidRPr="006E7D30">
        <w:rPr>
          <w:rFonts w:asciiTheme="minorHAnsi" w:hAnsiTheme="minorHAnsi"/>
          <w:bCs/>
          <w:snapToGrid w:val="0"/>
        </w:rPr>
        <w:t xml:space="preserve"> </w:t>
      </w:r>
      <w:r w:rsidR="00384A1C" w:rsidRPr="006E7D30">
        <w:rPr>
          <w:rFonts w:asciiTheme="minorHAnsi" w:hAnsiTheme="minorHAnsi"/>
          <w:bCs/>
          <w:snapToGrid w:val="0"/>
        </w:rPr>
        <w:t xml:space="preserve">risks and are not suitable for all patients. </w:t>
      </w:r>
      <w:r w:rsidR="00B23FBF" w:rsidRPr="006E7D30">
        <w:rPr>
          <w:rFonts w:asciiTheme="minorHAnsi" w:hAnsiTheme="minorHAnsi"/>
          <w:bCs/>
          <w:snapToGrid w:val="0"/>
        </w:rPr>
        <w:t>Input describe</w:t>
      </w:r>
      <w:r w:rsidR="00457131" w:rsidRPr="006E7D30">
        <w:rPr>
          <w:rFonts w:asciiTheme="minorHAnsi" w:hAnsiTheme="minorHAnsi"/>
          <w:bCs/>
          <w:snapToGrid w:val="0"/>
        </w:rPr>
        <w:t>d</w:t>
      </w:r>
      <w:r w:rsidR="00B23FBF" w:rsidRPr="006E7D30">
        <w:rPr>
          <w:rFonts w:asciiTheme="minorHAnsi" w:hAnsiTheme="minorHAnsi"/>
          <w:bCs/>
          <w:snapToGrid w:val="0"/>
        </w:rPr>
        <w:t xml:space="preserve"> givosiran as </w:t>
      </w:r>
      <w:r w:rsidR="00602A55" w:rsidRPr="006E7D30">
        <w:rPr>
          <w:rFonts w:asciiTheme="minorHAnsi" w:hAnsiTheme="minorHAnsi"/>
          <w:bCs/>
          <w:snapToGrid w:val="0"/>
        </w:rPr>
        <w:t>well</w:t>
      </w:r>
      <w:r w:rsidR="00E072B9">
        <w:rPr>
          <w:rFonts w:asciiTheme="minorHAnsi" w:hAnsiTheme="minorHAnsi"/>
          <w:bCs/>
          <w:snapToGrid w:val="0"/>
        </w:rPr>
        <w:noBreakHyphen/>
      </w:r>
      <w:r w:rsidR="00602A55" w:rsidRPr="006E7D30">
        <w:rPr>
          <w:rFonts w:asciiTheme="minorHAnsi" w:hAnsiTheme="minorHAnsi"/>
          <w:bCs/>
          <w:snapToGrid w:val="0"/>
        </w:rPr>
        <w:t xml:space="preserve">tolerated and </w:t>
      </w:r>
      <w:r w:rsidR="00B23FBF" w:rsidRPr="006E7D30">
        <w:rPr>
          <w:rFonts w:asciiTheme="minorHAnsi" w:hAnsiTheme="minorHAnsi"/>
          <w:bCs/>
          <w:snapToGrid w:val="0"/>
        </w:rPr>
        <w:t>life</w:t>
      </w:r>
      <w:r w:rsidR="00E072B9">
        <w:rPr>
          <w:rFonts w:asciiTheme="minorHAnsi" w:hAnsiTheme="minorHAnsi"/>
          <w:bCs/>
          <w:snapToGrid w:val="0"/>
        </w:rPr>
        <w:noBreakHyphen/>
      </w:r>
      <w:r w:rsidR="00B23FBF" w:rsidRPr="006E7D30">
        <w:rPr>
          <w:rFonts w:asciiTheme="minorHAnsi" w:hAnsiTheme="minorHAnsi"/>
          <w:bCs/>
          <w:snapToGrid w:val="0"/>
        </w:rPr>
        <w:t>changing due to its effectiveness resulting in significantly reduced or eliminated porphyria attacks</w:t>
      </w:r>
      <w:r w:rsidR="00392C54" w:rsidRPr="006E7D30">
        <w:rPr>
          <w:rFonts w:asciiTheme="minorHAnsi" w:hAnsiTheme="minorHAnsi"/>
          <w:bCs/>
          <w:snapToGrid w:val="0"/>
        </w:rPr>
        <w:t>, reduced hospital admissions and long</w:t>
      </w:r>
      <w:r w:rsidR="00E072B9">
        <w:rPr>
          <w:rFonts w:asciiTheme="minorHAnsi" w:hAnsiTheme="minorHAnsi"/>
          <w:bCs/>
          <w:snapToGrid w:val="0"/>
        </w:rPr>
        <w:noBreakHyphen/>
      </w:r>
      <w:r w:rsidR="00392C54" w:rsidRPr="006E7D30">
        <w:rPr>
          <w:rFonts w:asciiTheme="minorHAnsi" w:hAnsiTheme="minorHAnsi"/>
          <w:bCs/>
          <w:snapToGrid w:val="0"/>
        </w:rPr>
        <w:t>term complications such as renal failure, hypertension and hepatoma</w:t>
      </w:r>
      <w:r w:rsidR="00B014D4" w:rsidRPr="006E7D30">
        <w:rPr>
          <w:rFonts w:asciiTheme="minorHAnsi" w:hAnsiTheme="minorHAnsi"/>
          <w:bCs/>
          <w:snapToGrid w:val="0"/>
        </w:rPr>
        <w:t>.</w:t>
      </w:r>
      <w:r w:rsidR="00392C54" w:rsidRPr="006E7D30">
        <w:rPr>
          <w:rFonts w:asciiTheme="minorHAnsi" w:hAnsiTheme="minorHAnsi"/>
          <w:bCs/>
          <w:snapToGrid w:val="0"/>
        </w:rPr>
        <w:t xml:space="preserve"> </w:t>
      </w:r>
      <w:r w:rsidR="00D41330" w:rsidRPr="006E7D30">
        <w:rPr>
          <w:rFonts w:asciiTheme="minorHAnsi" w:hAnsiTheme="minorHAnsi"/>
          <w:bCs/>
          <w:snapToGrid w:val="0"/>
        </w:rPr>
        <w:t>The emotional impacts</w:t>
      </w:r>
      <w:r w:rsidR="00D41330" w:rsidRPr="00D41330">
        <w:rPr>
          <w:rFonts w:asciiTheme="minorHAnsi" w:hAnsiTheme="minorHAnsi"/>
          <w:bCs/>
          <w:snapToGrid w:val="0"/>
        </w:rPr>
        <w:t xml:space="preserve"> of managing a condition with unpredictable attacks </w:t>
      </w:r>
      <w:r w:rsidR="00D41330">
        <w:rPr>
          <w:rFonts w:asciiTheme="minorHAnsi" w:hAnsiTheme="minorHAnsi"/>
          <w:bCs/>
          <w:snapToGrid w:val="0"/>
        </w:rPr>
        <w:t>were</w:t>
      </w:r>
      <w:r w:rsidR="00D41330" w:rsidRPr="00D41330">
        <w:rPr>
          <w:rFonts w:asciiTheme="minorHAnsi" w:hAnsiTheme="minorHAnsi"/>
          <w:bCs/>
          <w:snapToGrid w:val="0"/>
        </w:rPr>
        <w:t xml:space="preserve"> also described, with individuals’ commonly experiencing anxiety and depression. Input emphasise</w:t>
      </w:r>
      <w:r w:rsidR="00D41330">
        <w:rPr>
          <w:rFonts w:asciiTheme="minorHAnsi" w:hAnsiTheme="minorHAnsi"/>
          <w:bCs/>
          <w:snapToGrid w:val="0"/>
        </w:rPr>
        <w:t>d</w:t>
      </w:r>
      <w:r w:rsidR="00D41330" w:rsidRPr="00D41330">
        <w:rPr>
          <w:rFonts w:asciiTheme="minorHAnsi" w:hAnsiTheme="minorHAnsi"/>
          <w:bCs/>
          <w:snapToGrid w:val="0"/>
        </w:rPr>
        <w:t xml:space="preserve"> the major impact givosiran can have on individuals’ quality of life, through effective management of symptoms. </w:t>
      </w:r>
      <w:r w:rsidR="00AA5FE3" w:rsidRPr="00AA5FE3">
        <w:rPr>
          <w:rFonts w:asciiTheme="minorHAnsi" w:hAnsiTheme="minorHAnsi"/>
          <w:bCs/>
          <w:snapToGrid w:val="0"/>
        </w:rPr>
        <w:t>Input highlighted the potential for givosiran to provide a more equitable treatment option, as its subcutaneous administration could potentially be delivered in community or home settings</w:t>
      </w:r>
      <w:r w:rsidR="006032E5">
        <w:rPr>
          <w:rFonts w:asciiTheme="minorHAnsi" w:hAnsiTheme="minorHAnsi"/>
          <w:bCs/>
          <w:snapToGrid w:val="0"/>
        </w:rPr>
        <w:t>.</w:t>
      </w:r>
    </w:p>
    <w:p w14:paraId="5E69D179" w14:textId="367E4F1A" w:rsidR="000B48B7" w:rsidRPr="0033214D" w:rsidRDefault="00283AD5" w:rsidP="00E072B9">
      <w:pPr>
        <w:numPr>
          <w:ilvl w:val="1"/>
          <w:numId w:val="1"/>
        </w:numPr>
        <w:spacing w:after="120"/>
        <w:rPr>
          <w:rFonts w:asciiTheme="minorHAnsi" w:hAnsiTheme="minorHAnsi"/>
          <w:bCs/>
          <w:snapToGrid w:val="0"/>
        </w:rPr>
      </w:pPr>
      <w:r>
        <w:rPr>
          <w:rFonts w:asciiTheme="minorHAnsi" w:hAnsiTheme="minorHAnsi"/>
          <w:bCs/>
          <w:snapToGrid w:val="0"/>
        </w:rPr>
        <w:t>Patients descri</w:t>
      </w:r>
      <w:r w:rsidR="001869DD">
        <w:rPr>
          <w:rFonts w:asciiTheme="minorHAnsi" w:hAnsiTheme="minorHAnsi"/>
          <w:bCs/>
          <w:snapToGrid w:val="0"/>
        </w:rPr>
        <w:t>b</w:t>
      </w:r>
      <w:r>
        <w:rPr>
          <w:rFonts w:asciiTheme="minorHAnsi" w:hAnsiTheme="minorHAnsi"/>
          <w:bCs/>
          <w:snapToGrid w:val="0"/>
        </w:rPr>
        <w:t>ed current treatments for AHP as ineffective, invasive</w:t>
      </w:r>
      <w:r w:rsidR="00B26ADB">
        <w:rPr>
          <w:rFonts w:asciiTheme="minorHAnsi" w:hAnsiTheme="minorHAnsi"/>
          <w:bCs/>
          <w:snapToGrid w:val="0"/>
        </w:rPr>
        <w:t xml:space="preserve">, difficult to access and associated with serious side effects. </w:t>
      </w:r>
      <w:r w:rsidR="008959FE" w:rsidRPr="006E7D30">
        <w:rPr>
          <w:rFonts w:asciiTheme="minorHAnsi" w:hAnsiTheme="minorHAnsi"/>
          <w:bCs/>
          <w:snapToGrid w:val="0"/>
        </w:rPr>
        <w:t xml:space="preserve">Individuals who have received givosiran </w:t>
      </w:r>
      <w:r w:rsidR="007A440F" w:rsidRPr="006E7D30">
        <w:rPr>
          <w:rFonts w:asciiTheme="minorHAnsi" w:hAnsiTheme="minorHAnsi"/>
          <w:bCs/>
          <w:snapToGrid w:val="0"/>
        </w:rPr>
        <w:t xml:space="preserve">highlighted </w:t>
      </w:r>
      <w:r w:rsidR="00A45F24" w:rsidRPr="006E7D30">
        <w:rPr>
          <w:rFonts w:asciiTheme="minorHAnsi" w:hAnsiTheme="minorHAnsi"/>
          <w:bCs/>
          <w:snapToGrid w:val="0"/>
        </w:rPr>
        <w:t xml:space="preserve">the </w:t>
      </w:r>
      <w:r w:rsidR="00167C76" w:rsidRPr="006E7D30">
        <w:rPr>
          <w:rFonts w:asciiTheme="minorHAnsi" w:hAnsiTheme="minorHAnsi"/>
          <w:bCs/>
          <w:snapToGrid w:val="0"/>
        </w:rPr>
        <w:t xml:space="preserve">substantial </w:t>
      </w:r>
      <w:r w:rsidR="00A45F24" w:rsidRPr="006E7D30">
        <w:rPr>
          <w:rFonts w:asciiTheme="minorHAnsi" w:hAnsiTheme="minorHAnsi"/>
          <w:bCs/>
          <w:snapToGrid w:val="0"/>
        </w:rPr>
        <w:t>reduction</w:t>
      </w:r>
      <w:r w:rsidR="00235C9B" w:rsidRPr="006E7D30">
        <w:rPr>
          <w:rFonts w:asciiTheme="minorHAnsi" w:hAnsiTheme="minorHAnsi"/>
          <w:bCs/>
          <w:snapToGrid w:val="0"/>
        </w:rPr>
        <w:t>s</w:t>
      </w:r>
      <w:r w:rsidR="00A45F24" w:rsidRPr="006E7D30">
        <w:rPr>
          <w:rFonts w:asciiTheme="minorHAnsi" w:hAnsiTheme="minorHAnsi"/>
          <w:bCs/>
          <w:snapToGrid w:val="0"/>
        </w:rPr>
        <w:t xml:space="preserve"> in attack severity</w:t>
      </w:r>
      <w:r w:rsidR="00167C76" w:rsidRPr="006E7D30">
        <w:rPr>
          <w:rFonts w:asciiTheme="minorHAnsi" w:hAnsiTheme="minorHAnsi"/>
          <w:bCs/>
          <w:snapToGrid w:val="0"/>
        </w:rPr>
        <w:t xml:space="preserve"> and </w:t>
      </w:r>
      <w:r w:rsidR="00FF1033" w:rsidRPr="006E7D30">
        <w:rPr>
          <w:rFonts w:asciiTheme="minorHAnsi" w:hAnsiTheme="minorHAnsi"/>
          <w:bCs/>
          <w:snapToGrid w:val="0"/>
        </w:rPr>
        <w:t>hospitalisations and noted the major difference in quality of life</w:t>
      </w:r>
      <w:r w:rsidR="00235C9B" w:rsidRPr="006E7D30">
        <w:rPr>
          <w:rFonts w:asciiTheme="minorHAnsi" w:hAnsiTheme="minorHAnsi"/>
          <w:bCs/>
          <w:snapToGrid w:val="0"/>
        </w:rPr>
        <w:t>, allowing patients to</w:t>
      </w:r>
      <w:r w:rsidR="00FF45D0" w:rsidRPr="006E7D30">
        <w:rPr>
          <w:rFonts w:asciiTheme="minorHAnsi" w:hAnsiTheme="minorHAnsi"/>
          <w:bCs/>
          <w:snapToGrid w:val="0"/>
        </w:rPr>
        <w:t xml:space="preserve"> regain a normal life</w:t>
      </w:r>
      <w:r w:rsidR="004904E3" w:rsidRPr="006E7D30">
        <w:rPr>
          <w:rFonts w:asciiTheme="minorHAnsi" w:hAnsiTheme="minorHAnsi"/>
          <w:bCs/>
          <w:snapToGrid w:val="0"/>
        </w:rPr>
        <w:t>,</w:t>
      </w:r>
      <w:r w:rsidR="00FF45D0" w:rsidRPr="006E7D30">
        <w:rPr>
          <w:rFonts w:asciiTheme="minorHAnsi" w:hAnsiTheme="minorHAnsi"/>
          <w:bCs/>
          <w:snapToGrid w:val="0"/>
        </w:rPr>
        <w:t xml:space="preserve"> </w:t>
      </w:r>
      <w:r w:rsidR="00B030E4" w:rsidRPr="006E7D30">
        <w:rPr>
          <w:rFonts w:asciiTheme="minorHAnsi" w:hAnsiTheme="minorHAnsi"/>
          <w:bCs/>
          <w:snapToGrid w:val="0"/>
        </w:rPr>
        <w:t xml:space="preserve">restoring independence and </w:t>
      </w:r>
      <w:r w:rsidR="00F06971" w:rsidRPr="006E7D30">
        <w:rPr>
          <w:rFonts w:asciiTheme="minorHAnsi" w:hAnsiTheme="minorHAnsi"/>
          <w:bCs/>
          <w:snapToGrid w:val="0"/>
        </w:rPr>
        <w:t>the ability to participate in work and study</w:t>
      </w:r>
      <w:r w:rsidR="004904E3" w:rsidRPr="006E7D30">
        <w:rPr>
          <w:rFonts w:asciiTheme="minorHAnsi" w:hAnsiTheme="minorHAnsi"/>
          <w:bCs/>
          <w:snapToGrid w:val="0"/>
        </w:rPr>
        <w:t>.</w:t>
      </w:r>
      <w:r w:rsidR="00FF45D0" w:rsidRPr="006E7D30">
        <w:rPr>
          <w:rFonts w:asciiTheme="minorHAnsi" w:hAnsiTheme="minorHAnsi"/>
          <w:bCs/>
          <w:snapToGrid w:val="0"/>
        </w:rPr>
        <w:t xml:space="preserve"> </w:t>
      </w:r>
      <w:r w:rsidR="00E220BB" w:rsidRPr="006E7D30">
        <w:rPr>
          <w:rFonts w:asciiTheme="minorHAnsi" w:hAnsiTheme="minorHAnsi"/>
          <w:bCs/>
          <w:snapToGrid w:val="0"/>
        </w:rPr>
        <w:t xml:space="preserve">Individuals who would like to access treatment </w:t>
      </w:r>
      <w:r w:rsidR="008A4249" w:rsidRPr="006E7D30">
        <w:rPr>
          <w:rFonts w:asciiTheme="minorHAnsi" w:hAnsiTheme="minorHAnsi"/>
          <w:bCs/>
          <w:snapToGrid w:val="0"/>
        </w:rPr>
        <w:t xml:space="preserve">also noted the burden of disease in terms of </w:t>
      </w:r>
      <w:r w:rsidR="00BC6547" w:rsidRPr="006E7D30">
        <w:rPr>
          <w:rFonts w:asciiTheme="minorHAnsi" w:hAnsiTheme="minorHAnsi"/>
          <w:bCs/>
          <w:snapToGrid w:val="0"/>
        </w:rPr>
        <w:t>financial implications of disease management, loss of productivity and income</w:t>
      </w:r>
      <w:r w:rsidR="00D85907" w:rsidRPr="006E7D30">
        <w:rPr>
          <w:rFonts w:asciiTheme="minorHAnsi" w:hAnsiTheme="minorHAnsi"/>
          <w:bCs/>
          <w:snapToGrid w:val="0"/>
        </w:rPr>
        <w:t xml:space="preserve">, and noted that the cost of givosiran is </w:t>
      </w:r>
      <w:r w:rsidR="006E7D30" w:rsidRPr="006E7D30">
        <w:rPr>
          <w:rFonts w:asciiTheme="minorHAnsi" w:hAnsiTheme="minorHAnsi"/>
          <w:bCs/>
          <w:snapToGrid w:val="0"/>
        </w:rPr>
        <w:t xml:space="preserve">financially </w:t>
      </w:r>
      <w:r w:rsidR="00D85907" w:rsidRPr="006E7D30">
        <w:rPr>
          <w:rFonts w:asciiTheme="minorHAnsi" w:hAnsiTheme="minorHAnsi"/>
          <w:bCs/>
          <w:snapToGrid w:val="0"/>
        </w:rPr>
        <w:t xml:space="preserve">prohibitive. </w:t>
      </w:r>
      <w:r w:rsidR="00862A99" w:rsidRPr="006E7D30">
        <w:rPr>
          <w:rFonts w:asciiTheme="minorHAnsi" w:hAnsiTheme="minorHAnsi"/>
          <w:bCs/>
          <w:snapToGrid w:val="0"/>
        </w:rPr>
        <w:t xml:space="preserve">Input from other </w:t>
      </w:r>
      <w:r w:rsidR="002D6FDA">
        <w:rPr>
          <w:rFonts w:asciiTheme="minorHAnsi" w:hAnsiTheme="minorHAnsi"/>
          <w:bCs/>
          <w:snapToGrid w:val="0"/>
        </w:rPr>
        <w:t>interested individuals</w:t>
      </w:r>
      <w:r w:rsidR="00862A99" w:rsidRPr="006E7D30">
        <w:rPr>
          <w:rFonts w:asciiTheme="minorHAnsi" w:hAnsiTheme="minorHAnsi"/>
          <w:bCs/>
          <w:snapToGrid w:val="0"/>
        </w:rPr>
        <w:t xml:space="preserve"> </w:t>
      </w:r>
      <w:r w:rsidR="006E7D30" w:rsidRPr="006E7D30">
        <w:rPr>
          <w:rFonts w:asciiTheme="minorHAnsi" w:hAnsiTheme="minorHAnsi"/>
          <w:bCs/>
          <w:snapToGrid w:val="0"/>
        </w:rPr>
        <w:t xml:space="preserve">also </w:t>
      </w:r>
      <w:r w:rsidR="00862A99" w:rsidRPr="006E7D30">
        <w:rPr>
          <w:rFonts w:asciiTheme="minorHAnsi" w:hAnsiTheme="minorHAnsi"/>
          <w:bCs/>
          <w:snapToGrid w:val="0"/>
        </w:rPr>
        <w:t xml:space="preserve">noted the </w:t>
      </w:r>
      <w:r w:rsidR="001219B2" w:rsidRPr="006E7D30">
        <w:rPr>
          <w:rFonts w:asciiTheme="minorHAnsi" w:hAnsiTheme="minorHAnsi"/>
          <w:bCs/>
          <w:snapToGrid w:val="0"/>
        </w:rPr>
        <w:t>significant burden on carers and families of people with AHP.</w:t>
      </w:r>
      <w:r w:rsidR="00A550BD">
        <w:rPr>
          <w:rFonts w:asciiTheme="minorHAnsi" w:hAnsiTheme="minorHAnsi"/>
          <w:bCs/>
          <w:snapToGrid w:val="0"/>
        </w:rPr>
        <w:t xml:space="preserve"> </w:t>
      </w:r>
    </w:p>
    <w:p w14:paraId="32EEB9BB" w14:textId="131CE99A" w:rsidR="000D712B" w:rsidRDefault="000B48B7" w:rsidP="00E072B9">
      <w:pPr>
        <w:numPr>
          <w:ilvl w:val="1"/>
          <w:numId w:val="1"/>
        </w:numPr>
        <w:spacing w:after="120"/>
        <w:rPr>
          <w:rFonts w:asciiTheme="minorHAnsi" w:hAnsiTheme="minorHAnsi"/>
          <w:bCs/>
          <w:snapToGrid w:val="0"/>
        </w:rPr>
      </w:pPr>
      <w:r w:rsidRPr="006A0EA2">
        <w:rPr>
          <w:rFonts w:asciiTheme="minorHAnsi" w:hAnsiTheme="minorHAnsi"/>
          <w:bCs/>
          <w:snapToGrid w:val="0"/>
        </w:rPr>
        <w:t xml:space="preserve">The PBAC noted the advice received from </w:t>
      </w:r>
      <w:r w:rsidR="00813B6B" w:rsidRPr="006A0EA2">
        <w:rPr>
          <w:rFonts w:asciiTheme="minorHAnsi" w:hAnsiTheme="minorHAnsi"/>
          <w:bCs/>
          <w:snapToGrid w:val="0"/>
        </w:rPr>
        <w:t>Porphyria Association Inc (</w:t>
      </w:r>
      <w:r w:rsidR="007F6537" w:rsidRPr="006A0EA2">
        <w:rPr>
          <w:rFonts w:asciiTheme="minorHAnsi" w:hAnsiTheme="minorHAnsi"/>
          <w:bCs/>
          <w:snapToGrid w:val="0"/>
        </w:rPr>
        <w:t>Australia</w:t>
      </w:r>
      <w:r w:rsidR="00813B6B" w:rsidRPr="006A0EA2">
        <w:rPr>
          <w:rFonts w:asciiTheme="minorHAnsi" w:hAnsiTheme="minorHAnsi"/>
          <w:bCs/>
          <w:snapToGrid w:val="0"/>
        </w:rPr>
        <w:t>)</w:t>
      </w:r>
      <w:r w:rsidR="006A0EA2">
        <w:rPr>
          <w:rFonts w:asciiTheme="minorHAnsi" w:hAnsiTheme="minorHAnsi"/>
          <w:bCs/>
          <w:snapToGrid w:val="0"/>
        </w:rPr>
        <w:t xml:space="preserve"> outlining the impact of AHP on individual quality of life,</w:t>
      </w:r>
      <w:r w:rsidR="00487457">
        <w:rPr>
          <w:rFonts w:asciiTheme="minorHAnsi" w:hAnsiTheme="minorHAnsi"/>
          <w:bCs/>
          <w:snapToGrid w:val="0"/>
        </w:rPr>
        <w:t xml:space="preserve"> and</w:t>
      </w:r>
      <w:r w:rsidR="006A0EA2">
        <w:rPr>
          <w:rFonts w:asciiTheme="minorHAnsi" w:hAnsiTheme="minorHAnsi"/>
          <w:bCs/>
          <w:snapToGrid w:val="0"/>
        </w:rPr>
        <w:t xml:space="preserve"> </w:t>
      </w:r>
      <w:r w:rsidR="00487457">
        <w:rPr>
          <w:rFonts w:asciiTheme="minorHAnsi" w:hAnsiTheme="minorHAnsi"/>
          <w:bCs/>
          <w:snapToGrid w:val="0"/>
        </w:rPr>
        <w:t>the burden of AHP on the Australian health system</w:t>
      </w:r>
      <w:r w:rsidR="00057273">
        <w:rPr>
          <w:rFonts w:asciiTheme="minorHAnsi" w:hAnsiTheme="minorHAnsi"/>
          <w:bCs/>
          <w:snapToGrid w:val="0"/>
        </w:rPr>
        <w:t xml:space="preserve"> due to </w:t>
      </w:r>
      <w:r w:rsidR="00227A28">
        <w:rPr>
          <w:rFonts w:asciiTheme="minorHAnsi" w:hAnsiTheme="minorHAnsi"/>
          <w:bCs/>
          <w:snapToGrid w:val="0"/>
        </w:rPr>
        <w:t>frequent</w:t>
      </w:r>
      <w:r w:rsidR="00057273">
        <w:rPr>
          <w:rFonts w:asciiTheme="minorHAnsi" w:hAnsiTheme="minorHAnsi"/>
          <w:bCs/>
          <w:snapToGrid w:val="0"/>
        </w:rPr>
        <w:t xml:space="preserve"> and </w:t>
      </w:r>
      <w:r w:rsidR="00227A28">
        <w:rPr>
          <w:rFonts w:asciiTheme="minorHAnsi" w:hAnsiTheme="minorHAnsi"/>
          <w:bCs/>
          <w:snapToGrid w:val="0"/>
        </w:rPr>
        <w:t>prolonged</w:t>
      </w:r>
      <w:r w:rsidR="00057273">
        <w:rPr>
          <w:rFonts w:asciiTheme="minorHAnsi" w:hAnsiTheme="minorHAnsi"/>
          <w:bCs/>
          <w:snapToGrid w:val="0"/>
        </w:rPr>
        <w:t xml:space="preserve"> </w:t>
      </w:r>
      <w:r w:rsidR="00C25B2F">
        <w:rPr>
          <w:rFonts w:asciiTheme="minorHAnsi" w:hAnsiTheme="minorHAnsi"/>
          <w:bCs/>
          <w:snapToGrid w:val="0"/>
        </w:rPr>
        <w:t>hospital admissions</w:t>
      </w:r>
      <w:r w:rsidRPr="006A0EA2">
        <w:rPr>
          <w:rFonts w:asciiTheme="minorHAnsi" w:hAnsiTheme="minorHAnsi"/>
          <w:bCs/>
          <w:snapToGrid w:val="0"/>
        </w:rPr>
        <w:t xml:space="preserve">. </w:t>
      </w:r>
      <w:r w:rsidR="00D55209">
        <w:rPr>
          <w:rFonts w:asciiTheme="minorHAnsi" w:hAnsiTheme="minorHAnsi"/>
          <w:bCs/>
          <w:snapToGrid w:val="0"/>
        </w:rPr>
        <w:t xml:space="preserve">The comments also provided the perspective of patients </w:t>
      </w:r>
      <w:r w:rsidR="00AB65D9">
        <w:rPr>
          <w:rFonts w:asciiTheme="minorHAnsi" w:hAnsiTheme="minorHAnsi"/>
          <w:bCs/>
          <w:snapToGrid w:val="0"/>
        </w:rPr>
        <w:t xml:space="preserve">who have accessed givosiran through clinical trials or compassionate access schemes and </w:t>
      </w:r>
      <w:r w:rsidR="00996D09">
        <w:rPr>
          <w:rFonts w:asciiTheme="minorHAnsi" w:hAnsiTheme="minorHAnsi"/>
          <w:bCs/>
          <w:snapToGrid w:val="0"/>
        </w:rPr>
        <w:t xml:space="preserve">described the </w:t>
      </w:r>
      <w:r w:rsidR="00054CBC">
        <w:rPr>
          <w:rFonts w:asciiTheme="minorHAnsi" w:hAnsiTheme="minorHAnsi"/>
          <w:bCs/>
          <w:snapToGrid w:val="0"/>
        </w:rPr>
        <w:t>community desire for access to givosiran.</w:t>
      </w:r>
      <w:r w:rsidRPr="006A0EA2">
        <w:rPr>
          <w:rFonts w:asciiTheme="minorHAnsi" w:hAnsiTheme="minorHAnsi"/>
          <w:bCs/>
          <w:snapToGrid w:val="0"/>
        </w:rPr>
        <w:t xml:space="preserve"> </w:t>
      </w:r>
    </w:p>
    <w:bookmarkEnd w:id="19"/>
    <w:bookmarkEnd w:id="22"/>
    <w:p w14:paraId="53AB5B36" w14:textId="6F16D726" w:rsidR="005A13D2" w:rsidRDefault="005A13D2" w:rsidP="00E072B9">
      <w:pPr>
        <w:pStyle w:val="3-BodyText"/>
        <w:rPr>
          <w:bCs/>
          <w:snapToGrid w:val="0"/>
        </w:rPr>
      </w:pPr>
      <w:r>
        <w:rPr>
          <w:bCs/>
          <w:snapToGrid w:val="0"/>
        </w:rPr>
        <w:t xml:space="preserve">The PBAC noted the comments </w:t>
      </w:r>
      <w:r w:rsidR="00FB61A2">
        <w:rPr>
          <w:bCs/>
          <w:snapToGrid w:val="0"/>
        </w:rPr>
        <w:t xml:space="preserve">and patient experiences </w:t>
      </w:r>
      <w:r>
        <w:rPr>
          <w:bCs/>
          <w:snapToGrid w:val="0"/>
        </w:rPr>
        <w:t>were supportive of the evidence provided in the submission.</w:t>
      </w:r>
      <w:r>
        <w:rPr>
          <w:snapToGrid w:val="0"/>
        </w:rPr>
        <w:t xml:space="preserve"> The PBAC valued the comments provided as the input allowed insight into the patient and health care provider perspective for a rare disease. </w:t>
      </w:r>
    </w:p>
    <w:p w14:paraId="609C0765" w14:textId="02CCDAA0" w:rsidR="00B60939" w:rsidRPr="00E750DB" w:rsidRDefault="00B60939" w:rsidP="00E072B9">
      <w:pPr>
        <w:pStyle w:val="4-SubsectionHeading"/>
      </w:pPr>
      <w:r w:rsidRPr="00E750DB">
        <w:t xml:space="preserve">Clinical </w:t>
      </w:r>
      <w:r w:rsidR="00D5243B" w:rsidRPr="00E750DB">
        <w:t>studies/</w:t>
      </w:r>
      <w:r w:rsidRPr="00E750DB">
        <w:t>trials</w:t>
      </w:r>
      <w:bookmarkEnd w:id="18"/>
      <w:bookmarkEnd w:id="20"/>
    </w:p>
    <w:p w14:paraId="17DE34DC" w14:textId="25473D03" w:rsidR="007F1017" w:rsidRPr="00E750DB" w:rsidRDefault="00EB29EB" w:rsidP="00E072B9">
      <w:pPr>
        <w:pStyle w:val="3-BodyText"/>
      </w:pPr>
      <w:r w:rsidRPr="00E750DB">
        <w:t>The submission was based on:</w:t>
      </w:r>
    </w:p>
    <w:p w14:paraId="30E4A55C" w14:textId="78058DDC" w:rsidR="00EB29EB" w:rsidRPr="00E750DB" w:rsidRDefault="00EB29EB" w:rsidP="00E072B9">
      <w:pPr>
        <w:pStyle w:val="3-BodyText"/>
        <w:numPr>
          <w:ilvl w:val="0"/>
          <w:numId w:val="0"/>
        </w:numPr>
        <w:ind w:left="993" w:hanging="273"/>
      </w:pPr>
      <w:r w:rsidRPr="00E750DB">
        <w:t>•</w:t>
      </w:r>
      <w:r w:rsidRPr="00E750DB">
        <w:tab/>
        <w:t>ENVISION: a randomised, double</w:t>
      </w:r>
      <w:r w:rsidR="00E072B9">
        <w:noBreakHyphen/>
      </w:r>
      <w:r w:rsidRPr="00E750DB">
        <w:t>blind (DB), head</w:t>
      </w:r>
      <w:r w:rsidR="00E072B9">
        <w:noBreakHyphen/>
      </w:r>
      <w:r w:rsidRPr="00E750DB">
        <w:t>to</w:t>
      </w:r>
      <w:r w:rsidR="00E072B9">
        <w:noBreakHyphen/>
      </w:r>
      <w:r w:rsidRPr="00E750DB">
        <w:t>head, phase 3 trial of givosiran 2.5 mg/kg body weight (n=48) or placebo (n=46) once monthly (QM) for 6 months in adults and adolescents (≥12 years old) with a documented diagnosis of AHP and at least two porphyria attacks in the last 6 months (Balwani 2020).</w:t>
      </w:r>
    </w:p>
    <w:p w14:paraId="42D89B99" w14:textId="7264C111" w:rsidR="00EB29EB" w:rsidRPr="00E750DB" w:rsidRDefault="00EB29EB" w:rsidP="00E072B9">
      <w:pPr>
        <w:pStyle w:val="3-BodyText"/>
        <w:numPr>
          <w:ilvl w:val="0"/>
          <w:numId w:val="0"/>
        </w:numPr>
        <w:ind w:left="993" w:hanging="273"/>
      </w:pPr>
      <w:r w:rsidRPr="00E750DB">
        <w:t>•</w:t>
      </w:r>
      <w:r w:rsidRPr="00E750DB">
        <w:tab/>
        <w:t>ENVISION open</w:t>
      </w:r>
      <w:r w:rsidR="00E072B9">
        <w:noBreakHyphen/>
      </w:r>
      <w:r w:rsidRPr="00E750DB">
        <w:t>label extension (OLE): following the 6</w:t>
      </w:r>
      <w:r w:rsidR="00E072B9">
        <w:noBreakHyphen/>
      </w:r>
      <w:r w:rsidRPr="00E750DB">
        <w:t>month DB period in ENVISION, all eligible patients had the option to enter a 30</w:t>
      </w:r>
      <w:r w:rsidR="00E072B9">
        <w:noBreakHyphen/>
      </w:r>
      <w:r w:rsidRPr="00E750DB">
        <w:t>month OLE (93 of 94 (99%) patients randomised in ENVISION continued to ENVISION OLE), in which they received givosiran 2.5 (n=56) or 1.25 (n=37) mg/kg QM</w:t>
      </w:r>
      <w:r w:rsidR="00886F2D" w:rsidRPr="00E750DB">
        <w:rPr>
          <w:rStyle w:val="FootnoteReference"/>
        </w:rPr>
        <w:footnoteReference w:id="4"/>
      </w:r>
      <w:r w:rsidRPr="00E750DB">
        <w:t xml:space="preserve"> (Kuter 2023).</w:t>
      </w:r>
    </w:p>
    <w:p w14:paraId="05138CFA" w14:textId="434E4D39" w:rsidR="00EB29EB" w:rsidRPr="00E750DB" w:rsidRDefault="00EB29EB" w:rsidP="00E072B9">
      <w:pPr>
        <w:pStyle w:val="3-BodyText"/>
      </w:pPr>
      <w:r w:rsidRPr="00E750DB">
        <w:t>The submission also presented supplementary evidence in Appendix A to the submission from Study 001 (NCT02452372; Sardh 2019), a phase 1 randomised, placebo</w:t>
      </w:r>
      <w:r w:rsidR="00E072B9">
        <w:noBreakHyphen/>
      </w:r>
      <w:r w:rsidRPr="00E750DB">
        <w:t xml:space="preserve">controlled trial, which had three parts (Parts A, B and C). Patients enrolled in </w:t>
      </w:r>
      <w:r w:rsidR="00886F2D" w:rsidRPr="00E750DB">
        <w:t>P</w:t>
      </w:r>
      <w:r w:rsidRPr="00E750DB">
        <w:t xml:space="preserve">arts A and B were not consistent with the </w:t>
      </w:r>
      <w:r w:rsidRPr="00E750DB">
        <w:rPr>
          <w:rFonts w:cstheme="minorHAnsi"/>
          <w:lang w:eastAsia="en-CA"/>
        </w:rPr>
        <w:t xml:space="preserve">proposed PBS population and these parts of Study 001 </w:t>
      </w:r>
      <w:r w:rsidR="004B309B" w:rsidRPr="00E750DB">
        <w:rPr>
          <w:rFonts w:cstheme="minorHAnsi"/>
          <w:lang w:eastAsia="en-CA"/>
        </w:rPr>
        <w:t>are not</w:t>
      </w:r>
      <w:r w:rsidRPr="00E750DB">
        <w:rPr>
          <w:rFonts w:cstheme="minorHAnsi"/>
          <w:lang w:eastAsia="en-CA"/>
        </w:rPr>
        <w:t xml:space="preserve"> discussed further</w:t>
      </w:r>
      <w:r w:rsidRPr="00E750DB">
        <w:t>. Part C investigated givosiran (2.5 (n=3) or 5.0 (n=3) mg/kg QM; total of four injections), givosiran (2.5 (n=3) or 5.0 (n=4) mg/kg once quarterly; total of two injections) or placebo (n=4) during a 12</w:t>
      </w:r>
      <w:r w:rsidR="00E072B9">
        <w:noBreakHyphen/>
      </w:r>
      <w:r w:rsidRPr="00E750DB">
        <w:t>week period, starting on day 0 in patients with recurrent attacks (defined as ≥2 attacks within 6 months before the run</w:t>
      </w:r>
      <w:r w:rsidR="00E072B9">
        <w:noBreakHyphen/>
      </w:r>
      <w:r w:rsidRPr="00E750DB">
        <w:t>in period or receiving scheduled hemin prophylaxis at the start of the run</w:t>
      </w:r>
      <w:r w:rsidR="00E072B9">
        <w:noBreakHyphen/>
      </w:r>
      <w:r w:rsidRPr="00E750DB">
        <w:t>in period) and were required to have had at least one attack before randomisation</w:t>
      </w:r>
      <w:r w:rsidR="00C60118" w:rsidRPr="00E750DB">
        <w:t>. Also presented was Study 002 (NCT02949830; Sardh 2024): phase 1/2 OLE of Study 001 Part C of givosiran 2.5 mg/kg once per month</w:t>
      </w:r>
      <w:r w:rsidR="00C60118" w:rsidRPr="00E750DB">
        <w:rPr>
          <w:rStyle w:val="FootnoteReference"/>
        </w:rPr>
        <w:footnoteReference w:id="5"/>
      </w:r>
      <w:r w:rsidR="00C60118" w:rsidRPr="00E750DB">
        <w:t xml:space="preserve"> with treatment up to 48 months in patients with AIP and recurrent attacks who completed Part C of Study 001 (16 of 17 (94%) patients randomised in Study 001 Part C continued to Study 002).</w:t>
      </w:r>
    </w:p>
    <w:p w14:paraId="2B59ABAC" w14:textId="3C97E57F" w:rsidR="00862502" w:rsidRPr="00E750DB" w:rsidRDefault="00A73134" w:rsidP="00E072B9">
      <w:pPr>
        <w:pStyle w:val="3-BodyText"/>
      </w:pPr>
      <w:r w:rsidRPr="00E750DB">
        <w:t>Details of the trials</w:t>
      </w:r>
      <w:r w:rsidR="00D5243B" w:rsidRPr="00E750DB">
        <w:t>/studies</w:t>
      </w:r>
      <w:r w:rsidRPr="00E750DB">
        <w:t xml:space="preserve"> presented in the submission are provided in </w:t>
      </w:r>
      <w:r w:rsidR="00696EF9" w:rsidRPr="00E750DB">
        <w:fldChar w:fldCharType="begin" w:fldLock="1"/>
      </w:r>
      <w:r w:rsidR="00696EF9" w:rsidRPr="00E750DB">
        <w:instrText xml:space="preserve"> REF _Ref104803956 \h </w:instrText>
      </w:r>
      <w:r w:rsidR="0029679A" w:rsidRPr="00E750DB">
        <w:instrText xml:space="preserve"> \* MERGEFORMAT </w:instrText>
      </w:r>
      <w:r w:rsidR="00696EF9" w:rsidRPr="00E750DB">
        <w:fldChar w:fldCharType="separate"/>
      </w:r>
      <w:r w:rsidR="00E750DB" w:rsidRPr="00E750DB">
        <w:t>Table 2</w:t>
      </w:r>
      <w:r w:rsidR="00696EF9" w:rsidRPr="00E750DB">
        <w:fldChar w:fldCharType="end"/>
      </w:r>
      <w:r w:rsidRPr="00E750DB">
        <w:t>.</w:t>
      </w:r>
      <w:r w:rsidR="00BC591F" w:rsidRPr="00E750DB">
        <w:t xml:space="preserve"> </w:t>
      </w:r>
      <w:r w:rsidR="00C60118" w:rsidRPr="00E750DB">
        <w:t xml:space="preserve">Only the main publications are presented; each are also associated with </w:t>
      </w:r>
      <w:proofErr w:type="gramStart"/>
      <w:r w:rsidR="00C60118" w:rsidRPr="00E750DB">
        <w:t>a number of</w:t>
      </w:r>
      <w:proofErr w:type="gramEnd"/>
      <w:r w:rsidR="00C60118" w:rsidRPr="00E750DB">
        <w:t xml:space="preserve"> conference abstracts.</w:t>
      </w:r>
    </w:p>
    <w:p w14:paraId="7DE3A286" w14:textId="44B6FAE1" w:rsidR="008E0D3C" w:rsidRPr="00E750DB" w:rsidRDefault="00696EF9" w:rsidP="00E072B9">
      <w:pPr>
        <w:pStyle w:val="TableFigureHeading"/>
        <w:rPr>
          <w:rStyle w:val="CommentReference"/>
          <w:b/>
          <w:szCs w:val="24"/>
        </w:rPr>
      </w:pPr>
      <w:bookmarkStart w:id="23" w:name="_Ref104803956"/>
      <w:r w:rsidRPr="00E750DB">
        <w:t xml:space="preserve">Table </w:t>
      </w:r>
      <w:r w:rsidR="00E750DB">
        <w:fldChar w:fldCharType="begin" w:fldLock="1"/>
      </w:r>
      <w:r w:rsidR="00E750DB">
        <w:instrText xml:space="preserve"> SEQ Table \* ARABIC </w:instrText>
      </w:r>
      <w:r w:rsidR="00E750DB">
        <w:fldChar w:fldCharType="separate"/>
      </w:r>
      <w:r w:rsidR="00E750DB" w:rsidRPr="00E750DB">
        <w:t>2</w:t>
      </w:r>
      <w:r w:rsidR="00E750DB">
        <w:fldChar w:fldCharType="end"/>
      </w:r>
      <w:bookmarkEnd w:id="23"/>
      <w:r w:rsidRPr="00E750DB">
        <w:t>:</w:t>
      </w:r>
      <w:r w:rsidR="00BC591F" w:rsidRPr="00E750DB">
        <w:rPr>
          <w:rStyle w:val="CommentReference"/>
          <w:b/>
          <w:szCs w:val="24"/>
        </w:rPr>
        <w:t xml:space="preserve"> </w:t>
      </w:r>
      <w:r w:rsidR="008E0D3C" w:rsidRPr="00E750DB">
        <w:rPr>
          <w:rStyle w:val="CommentReference"/>
          <w:b/>
          <w:szCs w:val="24"/>
        </w:rPr>
        <w:t>Trials</w:t>
      </w:r>
      <w:r w:rsidR="00D5243B" w:rsidRPr="00E750DB">
        <w:rPr>
          <w:rStyle w:val="CommentReference"/>
          <w:b/>
          <w:szCs w:val="24"/>
        </w:rPr>
        <w:t>/studies</w:t>
      </w:r>
      <w:r w:rsidR="008E0D3C" w:rsidRPr="00E750DB">
        <w:rPr>
          <w:rStyle w:val="CommentReference"/>
          <w:b/>
          <w:szCs w:val="24"/>
        </w:rPr>
        <w:t xml:space="preserve"> and associated reports presented in the submission</w:t>
      </w:r>
    </w:p>
    <w:tbl>
      <w:tblPr>
        <w:tblStyle w:val="TableGrid"/>
        <w:tblW w:w="0" w:type="auto"/>
        <w:tblLook w:val="04A0" w:firstRow="1" w:lastRow="0" w:firstColumn="1" w:lastColumn="0" w:noHBand="0" w:noVBand="1"/>
        <w:tblCaption w:val="Table 2: Trials/studies and associated reports presented in the submission"/>
      </w:tblPr>
      <w:tblGrid>
        <w:gridCol w:w="1413"/>
        <w:gridCol w:w="5182"/>
        <w:gridCol w:w="2422"/>
      </w:tblGrid>
      <w:tr w:rsidR="00C60118" w:rsidRPr="00E750DB" w14:paraId="2B11ABFA" w14:textId="77777777" w:rsidTr="005669B6">
        <w:tc>
          <w:tcPr>
            <w:tcW w:w="1413" w:type="dxa"/>
            <w:vAlign w:val="center"/>
          </w:tcPr>
          <w:p w14:paraId="78D69238" w14:textId="77777777" w:rsidR="00C60118" w:rsidRPr="00E750DB" w:rsidRDefault="00C60118" w:rsidP="00E072B9">
            <w:pPr>
              <w:pStyle w:val="TableFigureHeading"/>
            </w:pPr>
            <w:r w:rsidRPr="00E750DB">
              <w:t>Trial ID</w:t>
            </w:r>
          </w:p>
        </w:tc>
        <w:tc>
          <w:tcPr>
            <w:tcW w:w="5182" w:type="dxa"/>
            <w:vAlign w:val="center"/>
          </w:tcPr>
          <w:p w14:paraId="5AB4640E" w14:textId="77777777" w:rsidR="00C60118" w:rsidRPr="00E750DB" w:rsidRDefault="00C60118" w:rsidP="00E072B9">
            <w:pPr>
              <w:pStyle w:val="TableFigureHeading"/>
            </w:pPr>
            <w:r w:rsidRPr="00E750DB">
              <w:t>Protocol title/ Publication title</w:t>
            </w:r>
          </w:p>
        </w:tc>
        <w:tc>
          <w:tcPr>
            <w:tcW w:w="2422" w:type="dxa"/>
            <w:vAlign w:val="center"/>
          </w:tcPr>
          <w:p w14:paraId="556F54B6" w14:textId="77777777" w:rsidR="00C60118" w:rsidRPr="00E750DB" w:rsidRDefault="00C60118" w:rsidP="00E072B9">
            <w:pPr>
              <w:pStyle w:val="TableFigureHeading"/>
            </w:pPr>
            <w:r w:rsidRPr="00E750DB">
              <w:t>Publication citation</w:t>
            </w:r>
          </w:p>
        </w:tc>
      </w:tr>
      <w:tr w:rsidR="00C60118" w:rsidRPr="00E750DB" w14:paraId="11BE2B71" w14:textId="77777777" w:rsidTr="005669B6">
        <w:tc>
          <w:tcPr>
            <w:tcW w:w="1413" w:type="dxa"/>
            <w:vMerge w:val="restart"/>
          </w:tcPr>
          <w:p w14:paraId="5FFF51D6" w14:textId="77777777" w:rsidR="00C60118" w:rsidRPr="00E750DB" w:rsidRDefault="00C60118" w:rsidP="00E072B9">
            <w:pPr>
              <w:pStyle w:val="TableFigureHeading"/>
              <w:rPr>
                <w:b w:val="0"/>
                <w:bCs w:val="0"/>
              </w:rPr>
            </w:pPr>
            <w:r w:rsidRPr="00E750DB">
              <w:rPr>
                <w:b w:val="0"/>
                <w:bCs w:val="0"/>
              </w:rPr>
              <w:t xml:space="preserve">ENVISION </w:t>
            </w:r>
          </w:p>
          <w:p w14:paraId="60F36B89" w14:textId="7D0EEDB5"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003</w:t>
            </w:r>
          </w:p>
          <w:p w14:paraId="75715D14" w14:textId="77777777" w:rsidR="00C60118" w:rsidRPr="00E750DB" w:rsidRDefault="00C60118" w:rsidP="00E072B9">
            <w:pPr>
              <w:pStyle w:val="TableFigureHeading"/>
              <w:rPr>
                <w:b w:val="0"/>
                <w:bCs w:val="0"/>
              </w:rPr>
            </w:pPr>
            <w:r w:rsidRPr="00E750DB">
              <w:rPr>
                <w:b w:val="0"/>
                <w:bCs w:val="0"/>
              </w:rPr>
              <w:t>NCT03338816</w:t>
            </w:r>
          </w:p>
        </w:tc>
        <w:tc>
          <w:tcPr>
            <w:tcW w:w="5182" w:type="dxa"/>
            <w:tcBorders>
              <w:bottom w:val="nil"/>
            </w:tcBorders>
          </w:tcPr>
          <w:p w14:paraId="190CC134" w14:textId="1EB8108C" w:rsidR="00C60118" w:rsidRPr="00E750DB" w:rsidRDefault="00C60118" w:rsidP="00E072B9">
            <w:pPr>
              <w:pStyle w:val="TableFigureHeading"/>
              <w:rPr>
                <w:b w:val="0"/>
                <w:bCs w:val="0"/>
              </w:rPr>
            </w:pPr>
            <w:r w:rsidRPr="00E750DB">
              <w:rPr>
                <w:b w:val="0"/>
                <w:bCs w:val="0"/>
              </w:rPr>
              <w:t>Alnylam Pharmaceuticals. Data on File. ENVISION (ALN</w:t>
            </w:r>
            <w:r w:rsidR="00E072B9">
              <w:rPr>
                <w:b w:val="0"/>
                <w:bCs w:val="0"/>
              </w:rPr>
              <w:noBreakHyphen/>
            </w:r>
            <w:r w:rsidRPr="00E750DB">
              <w:rPr>
                <w:b w:val="0"/>
                <w:bCs w:val="0"/>
              </w:rPr>
              <w:t>AS1</w:t>
            </w:r>
            <w:r w:rsidR="00E072B9">
              <w:rPr>
                <w:b w:val="0"/>
                <w:bCs w:val="0"/>
              </w:rPr>
              <w:noBreakHyphen/>
            </w:r>
            <w:r w:rsidRPr="00E750DB">
              <w:rPr>
                <w:b w:val="0"/>
                <w:bCs w:val="0"/>
              </w:rPr>
              <w:t>003) Clinical Study Report (CSR)</w:t>
            </w:r>
          </w:p>
        </w:tc>
        <w:tc>
          <w:tcPr>
            <w:tcW w:w="2422" w:type="dxa"/>
            <w:tcBorders>
              <w:bottom w:val="nil"/>
            </w:tcBorders>
          </w:tcPr>
          <w:p w14:paraId="195CA1F6" w14:textId="77777777" w:rsidR="00C60118" w:rsidRPr="00E750DB" w:rsidRDefault="00C60118" w:rsidP="00E072B9">
            <w:pPr>
              <w:pStyle w:val="TableFigureHeading"/>
              <w:rPr>
                <w:b w:val="0"/>
                <w:bCs w:val="0"/>
              </w:rPr>
            </w:pPr>
            <w:r w:rsidRPr="00E750DB">
              <w:rPr>
                <w:b w:val="0"/>
                <w:bCs w:val="0"/>
              </w:rPr>
              <w:t>2 June 2020</w:t>
            </w:r>
          </w:p>
        </w:tc>
      </w:tr>
      <w:tr w:rsidR="00C60118" w:rsidRPr="00E750DB" w14:paraId="353BD2CC" w14:textId="77777777" w:rsidTr="005669B6">
        <w:tc>
          <w:tcPr>
            <w:tcW w:w="1413" w:type="dxa"/>
            <w:vMerge/>
          </w:tcPr>
          <w:p w14:paraId="4795560F" w14:textId="77777777" w:rsidR="00C60118" w:rsidRPr="00E750DB" w:rsidRDefault="00C60118" w:rsidP="00E072B9">
            <w:pPr>
              <w:pStyle w:val="TableFigureHeading"/>
              <w:rPr>
                <w:b w:val="0"/>
                <w:bCs w:val="0"/>
              </w:rPr>
            </w:pPr>
          </w:p>
        </w:tc>
        <w:tc>
          <w:tcPr>
            <w:tcW w:w="5182" w:type="dxa"/>
            <w:tcBorders>
              <w:top w:val="nil"/>
              <w:bottom w:val="nil"/>
            </w:tcBorders>
          </w:tcPr>
          <w:p w14:paraId="47134648" w14:textId="78CBE0F0" w:rsidR="00C60118" w:rsidRPr="00E750DB" w:rsidRDefault="00C60118" w:rsidP="00E072B9">
            <w:pPr>
              <w:pStyle w:val="TableFigureHeading"/>
              <w:rPr>
                <w:b w:val="0"/>
                <w:bCs w:val="0"/>
              </w:rPr>
            </w:pPr>
            <w:r w:rsidRPr="00E750DB">
              <w:rPr>
                <w:b w:val="0"/>
                <w:bCs w:val="0"/>
              </w:rPr>
              <w:t>Alnylam Pharmaceuticals. Clinical study report 3 Final analysis for ALN</w:t>
            </w:r>
            <w:r w:rsidR="00E072B9">
              <w:rPr>
                <w:b w:val="0"/>
                <w:bCs w:val="0"/>
              </w:rPr>
              <w:noBreakHyphen/>
            </w:r>
            <w:r w:rsidRPr="00E750DB">
              <w:rPr>
                <w:b w:val="0"/>
                <w:bCs w:val="0"/>
              </w:rPr>
              <w:t>AS1</w:t>
            </w:r>
            <w:r w:rsidR="00E072B9">
              <w:rPr>
                <w:b w:val="0"/>
                <w:bCs w:val="0"/>
              </w:rPr>
              <w:noBreakHyphen/>
            </w:r>
            <w:r w:rsidRPr="00E750DB">
              <w:rPr>
                <w:b w:val="0"/>
                <w:bCs w:val="0"/>
              </w:rPr>
              <w:t>003 (givosiran)</w:t>
            </w:r>
          </w:p>
        </w:tc>
        <w:tc>
          <w:tcPr>
            <w:tcW w:w="2422" w:type="dxa"/>
            <w:tcBorders>
              <w:top w:val="nil"/>
              <w:bottom w:val="nil"/>
            </w:tcBorders>
          </w:tcPr>
          <w:p w14:paraId="497C00E9" w14:textId="77777777" w:rsidR="00C60118" w:rsidRPr="00E750DB" w:rsidRDefault="00C60118" w:rsidP="00E072B9">
            <w:pPr>
              <w:pStyle w:val="TableFigureHeading"/>
              <w:rPr>
                <w:b w:val="0"/>
                <w:bCs w:val="0"/>
              </w:rPr>
            </w:pPr>
            <w:r w:rsidRPr="00E750DB">
              <w:rPr>
                <w:b w:val="0"/>
                <w:bCs w:val="0"/>
              </w:rPr>
              <w:t>23 November 2021</w:t>
            </w:r>
          </w:p>
        </w:tc>
      </w:tr>
      <w:tr w:rsidR="00C60118" w:rsidRPr="00E750DB" w14:paraId="01AE4B6A" w14:textId="77777777" w:rsidTr="005669B6">
        <w:tc>
          <w:tcPr>
            <w:tcW w:w="1413" w:type="dxa"/>
            <w:vMerge/>
          </w:tcPr>
          <w:p w14:paraId="5312A204" w14:textId="77777777" w:rsidR="00C60118" w:rsidRPr="00E750DB" w:rsidRDefault="00C60118" w:rsidP="00E072B9">
            <w:pPr>
              <w:pStyle w:val="TableFigureHeading"/>
              <w:rPr>
                <w:b w:val="0"/>
                <w:bCs w:val="0"/>
              </w:rPr>
            </w:pPr>
          </w:p>
        </w:tc>
        <w:tc>
          <w:tcPr>
            <w:tcW w:w="5182" w:type="dxa"/>
            <w:tcBorders>
              <w:top w:val="nil"/>
              <w:bottom w:val="nil"/>
            </w:tcBorders>
          </w:tcPr>
          <w:p w14:paraId="0CDE5F5A" w14:textId="41C29DCA" w:rsidR="00C60118" w:rsidRPr="00E750DB" w:rsidRDefault="00C60118" w:rsidP="00E072B9">
            <w:pPr>
              <w:pStyle w:val="TableFigureHeading"/>
              <w:rPr>
                <w:b w:val="0"/>
                <w:bCs w:val="0"/>
              </w:rPr>
            </w:pPr>
            <w:r w:rsidRPr="00E750DB">
              <w:rPr>
                <w:b w:val="0"/>
                <w:bCs w:val="0"/>
              </w:rPr>
              <w:t>Alnylam Pharmaceuticals. Clinical study protocol ALN</w:t>
            </w:r>
            <w:r w:rsidR="00E072B9">
              <w:rPr>
                <w:b w:val="0"/>
                <w:bCs w:val="0"/>
              </w:rPr>
              <w:noBreakHyphen/>
            </w:r>
            <w:r w:rsidRPr="00E750DB">
              <w:rPr>
                <w:b w:val="0"/>
                <w:bCs w:val="0"/>
              </w:rPr>
              <w:t>AS1</w:t>
            </w:r>
            <w:r w:rsidR="00E072B9">
              <w:rPr>
                <w:b w:val="0"/>
                <w:bCs w:val="0"/>
              </w:rPr>
              <w:noBreakHyphen/>
            </w:r>
            <w:r w:rsidRPr="00E750DB">
              <w:rPr>
                <w:b w:val="0"/>
                <w:bCs w:val="0"/>
              </w:rPr>
              <w:t>003 (ENVISION): Amendment 3</w:t>
            </w:r>
          </w:p>
        </w:tc>
        <w:tc>
          <w:tcPr>
            <w:tcW w:w="2422" w:type="dxa"/>
            <w:tcBorders>
              <w:top w:val="nil"/>
              <w:bottom w:val="nil"/>
            </w:tcBorders>
          </w:tcPr>
          <w:p w14:paraId="49FCC8C0" w14:textId="77777777" w:rsidR="00C60118" w:rsidRPr="00E750DB" w:rsidRDefault="00C60118" w:rsidP="00E072B9">
            <w:pPr>
              <w:pStyle w:val="TableFigureHeading"/>
              <w:rPr>
                <w:b w:val="0"/>
                <w:bCs w:val="0"/>
              </w:rPr>
            </w:pPr>
            <w:r w:rsidRPr="00E750DB">
              <w:rPr>
                <w:b w:val="0"/>
                <w:bCs w:val="0"/>
              </w:rPr>
              <w:t>21 September 2021</w:t>
            </w:r>
          </w:p>
        </w:tc>
      </w:tr>
      <w:tr w:rsidR="00C60118" w:rsidRPr="00E750DB" w14:paraId="5A47E217" w14:textId="77777777" w:rsidTr="005669B6">
        <w:tc>
          <w:tcPr>
            <w:tcW w:w="1413" w:type="dxa"/>
            <w:vMerge/>
          </w:tcPr>
          <w:p w14:paraId="168FD6EF" w14:textId="77777777" w:rsidR="00C60118" w:rsidRPr="00E750DB" w:rsidRDefault="00C60118" w:rsidP="00E072B9">
            <w:pPr>
              <w:pStyle w:val="TableFigureHeading"/>
              <w:rPr>
                <w:b w:val="0"/>
                <w:bCs w:val="0"/>
              </w:rPr>
            </w:pPr>
          </w:p>
        </w:tc>
        <w:tc>
          <w:tcPr>
            <w:tcW w:w="5182" w:type="dxa"/>
            <w:tcBorders>
              <w:top w:val="nil"/>
              <w:bottom w:val="nil"/>
            </w:tcBorders>
          </w:tcPr>
          <w:p w14:paraId="273555DC" w14:textId="0C395038" w:rsidR="00C60118" w:rsidRPr="00E750DB" w:rsidRDefault="00C60118" w:rsidP="00E072B9">
            <w:pPr>
              <w:pStyle w:val="TableFigureHeading"/>
              <w:rPr>
                <w:b w:val="0"/>
                <w:bCs w:val="0"/>
              </w:rPr>
            </w:pPr>
            <w:r w:rsidRPr="00E750DB">
              <w:rPr>
                <w:b w:val="0"/>
                <w:bCs w:val="0"/>
              </w:rPr>
              <w:t>Alnylam Pharmaceuticals. Statistical analysis plan ENVISION: A Phase 3 Randomized, Double</w:t>
            </w:r>
            <w:r w:rsidR="00E072B9">
              <w:rPr>
                <w:b w:val="0"/>
                <w:bCs w:val="0"/>
              </w:rPr>
              <w:noBreakHyphen/>
            </w:r>
            <w:r w:rsidRPr="00E750DB">
              <w:rPr>
                <w:b w:val="0"/>
                <w:bCs w:val="0"/>
              </w:rPr>
              <w:t>blind, Placebo</w:t>
            </w:r>
            <w:r w:rsidR="00E072B9">
              <w:rPr>
                <w:b w:val="0"/>
                <w:bCs w:val="0"/>
              </w:rPr>
              <w:noBreakHyphen/>
            </w:r>
            <w:r w:rsidRPr="00E750DB">
              <w:rPr>
                <w:b w:val="0"/>
                <w:bCs w:val="0"/>
              </w:rPr>
              <w:t>Controlled Multicenter Study with an Open</w:t>
            </w:r>
            <w:r w:rsidR="00E072B9">
              <w:rPr>
                <w:b w:val="0"/>
                <w:bCs w:val="0"/>
              </w:rPr>
              <w:noBreakHyphen/>
            </w:r>
            <w:r w:rsidRPr="00E750DB">
              <w:rPr>
                <w:b w:val="0"/>
                <w:bCs w:val="0"/>
              </w:rPr>
              <w:t>label Extension to Evaluate the Efficacy and Safety of Givosiran in Patients with Acute Hepatic Porphyrias.</w:t>
            </w:r>
          </w:p>
        </w:tc>
        <w:tc>
          <w:tcPr>
            <w:tcW w:w="2422" w:type="dxa"/>
            <w:tcBorders>
              <w:top w:val="nil"/>
              <w:bottom w:val="nil"/>
            </w:tcBorders>
          </w:tcPr>
          <w:p w14:paraId="442BAAE5" w14:textId="77777777" w:rsidR="00C60118" w:rsidRPr="00E750DB" w:rsidRDefault="00C60118" w:rsidP="00E072B9">
            <w:pPr>
              <w:pStyle w:val="TableFigureHeading"/>
              <w:rPr>
                <w:b w:val="0"/>
                <w:bCs w:val="0"/>
              </w:rPr>
            </w:pPr>
            <w:r w:rsidRPr="00E750DB">
              <w:rPr>
                <w:b w:val="0"/>
                <w:bCs w:val="0"/>
              </w:rPr>
              <w:t>2018</w:t>
            </w:r>
          </w:p>
        </w:tc>
      </w:tr>
      <w:tr w:rsidR="00C60118" w:rsidRPr="00E750DB" w14:paraId="62B03681" w14:textId="77777777" w:rsidTr="005669B6">
        <w:tc>
          <w:tcPr>
            <w:tcW w:w="1413" w:type="dxa"/>
            <w:vMerge/>
          </w:tcPr>
          <w:p w14:paraId="12B97076" w14:textId="77777777" w:rsidR="00C60118" w:rsidRPr="00E750DB" w:rsidRDefault="00C60118" w:rsidP="00E072B9">
            <w:pPr>
              <w:pStyle w:val="TableFigureHeading"/>
              <w:rPr>
                <w:b w:val="0"/>
                <w:bCs w:val="0"/>
              </w:rPr>
            </w:pPr>
          </w:p>
        </w:tc>
        <w:tc>
          <w:tcPr>
            <w:tcW w:w="5182" w:type="dxa"/>
            <w:tcBorders>
              <w:top w:val="nil"/>
              <w:bottom w:val="nil"/>
            </w:tcBorders>
          </w:tcPr>
          <w:p w14:paraId="6F1C2C1E" w14:textId="36BB30A8" w:rsidR="00C60118" w:rsidRPr="00E750DB" w:rsidRDefault="00C60118" w:rsidP="00E072B9">
            <w:pPr>
              <w:pStyle w:val="TableFigureHeading"/>
              <w:rPr>
                <w:b w:val="0"/>
                <w:bCs w:val="0"/>
              </w:rPr>
            </w:pPr>
            <w:r w:rsidRPr="00E750DB">
              <w:rPr>
                <w:b w:val="0"/>
                <w:bCs w:val="0"/>
              </w:rPr>
              <w:t>Alnylam Pharmaceuticals. Clinical Study Report ALN</w:t>
            </w:r>
            <w:r w:rsidR="00E072B9">
              <w:rPr>
                <w:b w:val="0"/>
                <w:bCs w:val="0"/>
              </w:rPr>
              <w:noBreakHyphen/>
            </w:r>
            <w:r w:rsidRPr="00E750DB">
              <w:rPr>
                <w:b w:val="0"/>
                <w:bCs w:val="0"/>
              </w:rPr>
              <w:t>AS1</w:t>
            </w:r>
            <w:r w:rsidR="00E072B9">
              <w:rPr>
                <w:b w:val="0"/>
                <w:bCs w:val="0"/>
              </w:rPr>
              <w:noBreakHyphen/>
            </w:r>
            <w:r w:rsidRPr="00E750DB">
              <w:rPr>
                <w:b w:val="0"/>
                <w:bCs w:val="0"/>
              </w:rPr>
              <w:t>003 (ENVISION): Primary Analysis</w:t>
            </w:r>
          </w:p>
        </w:tc>
        <w:tc>
          <w:tcPr>
            <w:tcW w:w="2422" w:type="dxa"/>
            <w:tcBorders>
              <w:top w:val="nil"/>
              <w:bottom w:val="nil"/>
            </w:tcBorders>
          </w:tcPr>
          <w:p w14:paraId="26D55F28" w14:textId="77777777" w:rsidR="00C60118" w:rsidRPr="00E750DB" w:rsidRDefault="00C60118" w:rsidP="00E072B9">
            <w:pPr>
              <w:pStyle w:val="TableFigureHeading"/>
              <w:rPr>
                <w:b w:val="0"/>
                <w:bCs w:val="0"/>
              </w:rPr>
            </w:pPr>
            <w:r w:rsidRPr="00E750DB">
              <w:rPr>
                <w:b w:val="0"/>
                <w:bCs w:val="0"/>
              </w:rPr>
              <w:t>16 May 2019</w:t>
            </w:r>
          </w:p>
        </w:tc>
      </w:tr>
      <w:tr w:rsidR="00C60118" w:rsidRPr="00E750DB" w14:paraId="6D5436B5" w14:textId="77777777" w:rsidTr="005669B6">
        <w:tc>
          <w:tcPr>
            <w:tcW w:w="1413" w:type="dxa"/>
            <w:vMerge/>
          </w:tcPr>
          <w:p w14:paraId="1D27DCD0" w14:textId="77777777" w:rsidR="00C60118" w:rsidRPr="00E750DB" w:rsidRDefault="00C60118" w:rsidP="00E072B9">
            <w:pPr>
              <w:pStyle w:val="TableFigureHeading"/>
              <w:rPr>
                <w:b w:val="0"/>
                <w:bCs w:val="0"/>
              </w:rPr>
            </w:pPr>
          </w:p>
        </w:tc>
        <w:tc>
          <w:tcPr>
            <w:tcW w:w="5182" w:type="dxa"/>
            <w:tcBorders>
              <w:top w:val="nil"/>
              <w:bottom w:val="nil"/>
            </w:tcBorders>
          </w:tcPr>
          <w:p w14:paraId="1D4EEB43" w14:textId="77777777" w:rsidR="00C60118" w:rsidRPr="00E750DB" w:rsidRDefault="00C60118" w:rsidP="00E072B9">
            <w:pPr>
              <w:pStyle w:val="TableFigureHeading"/>
              <w:rPr>
                <w:b w:val="0"/>
                <w:bCs w:val="0"/>
              </w:rPr>
            </w:pPr>
            <w:r w:rsidRPr="00E750DB">
              <w:rPr>
                <w:b w:val="0"/>
                <w:bCs w:val="0"/>
              </w:rPr>
              <w:t>Balwani, M., Sardh, E., Ventura, P., Peiró, P. A., Rees, D. C., Stölzel, U., et al, Gouya, L. (2020). Phase 3 Trial of RNAi Therapeutic Givosiran for Acute Intermittent Porphyria</w:t>
            </w:r>
          </w:p>
        </w:tc>
        <w:tc>
          <w:tcPr>
            <w:tcW w:w="2422" w:type="dxa"/>
            <w:tcBorders>
              <w:top w:val="nil"/>
              <w:bottom w:val="nil"/>
            </w:tcBorders>
          </w:tcPr>
          <w:p w14:paraId="77A418B1" w14:textId="1728C7C0" w:rsidR="00C60118" w:rsidRPr="00E750DB" w:rsidRDefault="00C60118" w:rsidP="00E072B9">
            <w:pPr>
              <w:pStyle w:val="TableFigureHeading"/>
              <w:rPr>
                <w:b w:val="0"/>
                <w:bCs w:val="0"/>
              </w:rPr>
            </w:pPr>
            <w:r w:rsidRPr="00915DBD">
              <w:rPr>
                <w:b w:val="0"/>
                <w:bCs w:val="0"/>
                <w:iCs/>
              </w:rPr>
              <w:t>The New England Journal of Medicine</w:t>
            </w:r>
            <w:r w:rsidRPr="00E750DB">
              <w:rPr>
                <w:b w:val="0"/>
                <w:bCs w:val="0"/>
              </w:rPr>
              <w:t>, 382(24), 2289</w:t>
            </w:r>
            <w:r w:rsidR="00E072B9">
              <w:rPr>
                <w:b w:val="0"/>
                <w:bCs w:val="0"/>
              </w:rPr>
              <w:noBreakHyphen/>
            </w:r>
            <w:r w:rsidRPr="00E750DB">
              <w:rPr>
                <w:b w:val="0"/>
                <w:bCs w:val="0"/>
              </w:rPr>
              <w:t>2301.</w:t>
            </w:r>
          </w:p>
        </w:tc>
      </w:tr>
      <w:tr w:rsidR="00C60118" w:rsidRPr="00E750DB" w14:paraId="301C78BC" w14:textId="77777777" w:rsidTr="005669B6">
        <w:tc>
          <w:tcPr>
            <w:tcW w:w="1413" w:type="dxa"/>
            <w:vMerge/>
          </w:tcPr>
          <w:p w14:paraId="52C3BA0F" w14:textId="77777777" w:rsidR="00C60118" w:rsidRPr="00E750DB" w:rsidRDefault="00C60118" w:rsidP="00E072B9">
            <w:pPr>
              <w:pStyle w:val="TableFigureHeading"/>
              <w:rPr>
                <w:b w:val="0"/>
                <w:bCs w:val="0"/>
              </w:rPr>
            </w:pPr>
          </w:p>
        </w:tc>
        <w:tc>
          <w:tcPr>
            <w:tcW w:w="5182" w:type="dxa"/>
            <w:tcBorders>
              <w:top w:val="nil"/>
            </w:tcBorders>
          </w:tcPr>
          <w:p w14:paraId="39C5B87A" w14:textId="061D5FE8" w:rsidR="00C60118" w:rsidRPr="00E750DB" w:rsidRDefault="00C60118" w:rsidP="00E072B9">
            <w:pPr>
              <w:pStyle w:val="TableFigureHeading"/>
              <w:rPr>
                <w:b w:val="0"/>
                <w:bCs w:val="0"/>
              </w:rPr>
            </w:pPr>
            <w:r w:rsidRPr="00E750DB">
              <w:rPr>
                <w:b w:val="0"/>
                <w:bCs w:val="0"/>
              </w:rPr>
              <w:t>Lee, M. J., Kuo, H. C., Chou, L. N., Sweetser, M. T., &amp; Wang, J. D. (2024). A randomized, placebo</w:t>
            </w:r>
            <w:r w:rsidR="00E072B9">
              <w:rPr>
                <w:b w:val="0"/>
                <w:bCs w:val="0"/>
              </w:rPr>
              <w:noBreakHyphen/>
            </w:r>
            <w:r w:rsidRPr="00E750DB">
              <w:rPr>
                <w:b w:val="0"/>
                <w:bCs w:val="0"/>
              </w:rPr>
              <w:t>controlled study of givosiran in patients with acute hepatic porphyrias (ENVISION): final (36</w:t>
            </w:r>
            <w:r w:rsidR="00E072B9">
              <w:rPr>
                <w:b w:val="0"/>
                <w:bCs w:val="0"/>
              </w:rPr>
              <w:noBreakHyphen/>
            </w:r>
            <w:r w:rsidRPr="00E750DB">
              <w:rPr>
                <w:b w:val="0"/>
                <w:bCs w:val="0"/>
              </w:rPr>
              <w:t xml:space="preserve">month) analysis of the Taiwan Cohort. </w:t>
            </w:r>
          </w:p>
        </w:tc>
        <w:tc>
          <w:tcPr>
            <w:tcW w:w="2422" w:type="dxa"/>
            <w:tcBorders>
              <w:top w:val="nil"/>
            </w:tcBorders>
          </w:tcPr>
          <w:p w14:paraId="7142F0CA" w14:textId="77777777" w:rsidR="00C60118" w:rsidRPr="00E750DB" w:rsidRDefault="00C60118" w:rsidP="00E072B9">
            <w:pPr>
              <w:pStyle w:val="TableFigureHeading"/>
              <w:rPr>
                <w:b w:val="0"/>
                <w:bCs w:val="0"/>
              </w:rPr>
            </w:pPr>
            <w:r w:rsidRPr="00915DBD">
              <w:rPr>
                <w:b w:val="0"/>
                <w:bCs w:val="0"/>
                <w:iCs/>
              </w:rPr>
              <w:t>Journal of the Formosan Medical Association</w:t>
            </w:r>
            <w:r w:rsidRPr="00E750DB">
              <w:rPr>
                <w:b w:val="0"/>
                <w:bCs w:val="0"/>
              </w:rPr>
              <w:t xml:space="preserve"> / Taiwan yi zhi, 123(6), 679</w:t>
            </w:r>
            <w:r w:rsidRPr="00E750DB">
              <w:rPr>
                <w:rFonts w:ascii="Cambria Math" w:hAnsi="Cambria Math" w:cs="Cambria Math"/>
                <w:b w:val="0"/>
                <w:bCs w:val="0"/>
              </w:rPr>
              <w:t>‐</w:t>
            </w:r>
            <w:r w:rsidRPr="00E750DB">
              <w:rPr>
                <w:b w:val="0"/>
                <w:bCs w:val="0"/>
              </w:rPr>
              <w:t xml:space="preserve">686. </w:t>
            </w:r>
          </w:p>
        </w:tc>
      </w:tr>
      <w:tr w:rsidR="00C60118" w:rsidRPr="00E750DB" w14:paraId="16E5ED09" w14:textId="77777777" w:rsidTr="005669B6">
        <w:tc>
          <w:tcPr>
            <w:tcW w:w="1413" w:type="dxa"/>
            <w:vMerge w:val="restart"/>
          </w:tcPr>
          <w:p w14:paraId="4F5087CF" w14:textId="6822BF63" w:rsidR="00C60118" w:rsidRPr="00E750DB" w:rsidRDefault="00C60118" w:rsidP="00E072B9">
            <w:pPr>
              <w:pStyle w:val="TableFigureHeading"/>
              <w:rPr>
                <w:b w:val="0"/>
                <w:bCs w:val="0"/>
              </w:rPr>
            </w:pPr>
            <w:r w:rsidRPr="00E750DB">
              <w:rPr>
                <w:b w:val="0"/>
                <w:bCs w:val="0"/>
              </w:rPr>
              <w:t>ENVISION OLE</w:t>
            </w:r>
            <w:r w:rsidR="00A550BD">
              <w:rPr>
                <w:b w:val="0"/>
                <w:bCs w:val="0"/>
              </w:rPr>
              <w:t xml:space="preserve"> </w:t>
            </w:r>
          </w:p>
          <w:p w14:paraId="5F76DCED" w14:textId="1C846BC0"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003</w:t>
            </w:r>
          </w:p>
          <w:p w14:paraId="6E0649EF" w14:textId="77777777" w:rsidR="00C60118" w:rsidRPr="00E750DB" w:rsidRDefault="00C60118" w:rsidP="00E072B9">
            <w:pPr>
              <w:pStyle w:val="TableFigureHeading"/>
              <w:rPr>
                <w:b w:val="0"/>
                <w:bCs w:val="0"/>
              </w:rPr>
            </w:pPr>
            <w:r w:rsidRPr="00E750DB">
              <w:rPr>
                <w:b w:val="0"/>
                <w:bCs w:val="0"/>
              </w:rPr>
              <w:t>NCT03338816</w:t>
            </w:r>
          </w:p>
        </w:tc>
        <w:tc>
          <w:tcPr>
            <w:tcW w:w="5182" w:type="dxa"/>
            <w:tcBorders>
              <w:bottom w:val="nil"/>
            </w:tcBorders>
          </w:tcPr>
          <w:p w14:paraId="024F4DDD" w14:textId="73606D52" w:rsidR="00C60118" w:rsidRPr="00E750DB" w:rsidRDefault="00C60118" w:rsidP="00E072B9">
            <w:pPr>
              <w:pStyle w:val="TableFigureHeading"/>
              <w:rPr>
                <w:b w:val="0"/>
                <w:bCs w:val="0"/>
              </w:rPr>
            </w:pPr>
            <w:r w:rsidRPr="00E750DB">
              <w:rPr>
                <w:b w:val="0"/>
                <w:bCs w:val="0"/>
              </w:rPr>
              <w:t>Alnylam Pharmaceuticals. Clinical study report 2 interim analysis for ALN</w:t>
            </w:r>
            <w:r w:rsidR="00E072B9">
              <w:rPr>
                <w:b w:val="0"/>
                <w:bCs w:val="0"/>
              </w:rPr>
              <w:noBreakHyphen/>
            </w:r>
            <w:r w:rsidRPr="00E750DB">
              <w:rPr>
                <w:b w:val="0"/>
                <w:bCs w:val="0"/>
              </w:rPr>
              <w:t>AS1</w:t>
            </w:r>
            <w:r w:rsidR="00E072B9">
              <w:rPr>
                <w:b w:val="0"/>
                <w:bCs w:val="0"/>
              </w:rPr>
              <w:noBreakHyphen/>
            </w:r>
            <w:r w:rsidRPr="00E750DB">
              <w:rPr>
                <w:b w:val="0"/>
                <w:bCs w:val="0"/>
              </w:rPr>
              <w:t>003 (ENVISION)</w:t>
            </w:r>
          </w:p>
        </w:tc>
        <w:tc>
          <w:tcPr>
            <w:tcW w:w="2422" w:type="dxa"/>
            <w:tcBorders>
              <w:bottom w:val="nil"/>
            </w:tcBorders>
          </w:tcPr>
          <w:p w14:paraId="376ACA76" w14:textId="77777777" w:rsidR="00C60118" w:rsidRPr="00E750DB" w:rsidRDefault="00C60118" w:rsidP="00E072B9">
            <w:pPr>
              <w:pStyle w:val="TableFigureHeading"/>
              <w:rPr>
                <w:b w:val="0"/>
                <w:bCs w:val="0"/>
              </w:rPr>
            </w:pPr>
            <w:r w:rsidRPr="00E750DB">
              <w:rPr>
                <w:b w:val="0"/>
                <w:bCs w:val="0"/>
              </w:rPr>
              <w:t>2 June 2020</w:t>
            </w:r>
          </w:p>
        </w:tc>
      </w:tr>
      <w:tr w:rsidR="00C60118" w:rsidRPr="00E750DB" w14:paraId="3E960228" w14:textId="77777777" w:rsidTr="005669B6">
        <w:tc>
          <w:tcPr>
            <w:tcW w:w="1413" w:type="dxa"/>
            <w:vMerge/>
          </w:tcPr>
          <w:p w14:paraId="0DC3266C" w14:textId="77777777" w:rsidR="00C60118" w:rsidRPr="00E750DB" w:rsidRDefault="00C60118" w:rsidP="00E072B9">
            <w:pPr>
              <w:pStyle w:val="TableFigureHeading"/>
              <w:rPr>
                <w:b w:val="0"/>
                <w:bCs w:val="0"/>
              </w:rPr>
            </w:pPr>
          </w:p>
        </w:tc>
        <w:tc>
          <w:tcPr>
            <w:tcW w:w="5182" w:type="dxa"/>
            <w:tcBorders>
              <w:top w:val="nil"/>
            </w:tcBorders>
          </w:tcPr>
          <w:p w14:paraId="12A5C0E6" w14:textId="4D13CB48" w:rsidR="00C60118" w:rsidRPr="00E750DB" w:rsidRDefault="00C60118" w:rsidP="00E072B9">
            <w:pPr>
              <w:pStyle w:val="TableFigureHeading"/>
              <w:rPr>
                <w:b w:val="0"/>
                <w:bCs w:val="0"/>
              </w:rPr>
            </w:pPr>
            <w:r w:rsidRPr="00E750DB">
              <w:rPr>
                <w:b w:val="0"/>
                <w:bCs w:val="0"/>
              </w:rPr>
              <w:t>Kuter, D. J., Bonkovsky, H. L., Monroy, S., Ross, G., Guillén</w:t>
            </w:r>
            <w:r w:rsidR="00E072B9">
              <w:rPr>
                <w:b w:val="0"/>
                <w:bCs w:val="0"/>
              </w:rPr>
              <w:noBreakHyphen/>
            </w:r>
            <w:r w:rsidRPr="00E750DB">
              <w:rPr>
                <w:b w:val="0"/>
                <w:bCs w:val="0"/>
              </w:rPr>
              <w:t xml:space="preserve">Navarro, E., Cappellini, M. D., et al, Thapar, M. (2023). Efficacy and safety of givosiran for acute hepatic porphyria: </w:t>
            </w:r>
            <w:proofErr w:type="gramStart"/>
            <w:r w:rsidRPr="00E750DB">
              <w:rPr>
                <w:b w:val="0"/>
                <w:bCs w:val="0"/>
              </w:rPr>
              <w:t>Final results</w:t>
            </w:r>
            <w:proofErr w:type="gramEnd"/>
            <w:r w:rsidRPr="00E750DB">
              <w:rPr>
                <w:b w:val="0"/>
                <w:bCs w:val="0"/>
              </w:rPr>
              <w:t xml:space="preserve"> of the randomized phase III ENVISION trial.</w:t>
            </w:r>
          </w:p>
        </w:tc>
        <w:tc>
          <w:tcPr>
            <w:tcW w:w="2422" w:type="dxa"/>
            <w:tcBorders>
              <w:top w:val="nil"/>
            </w:tcBorders>
          </w:tcPr>
          <w:p w14:paraId="7BE5EBDA" w14:textId="0A818C87" w:rsidR="00C60118" w:rsidRPr="00E750DB" w:rsidRDefault="00C60118" w:rsidP="00E072B9">
            <w:pPr>
              <w:pStyle w:val="TableFigureHeading"/>
              <w:rPr>
                <w:b w:val="0"/>
                <w:bCs w:val="0"/>
              </w:rPr>
            </w:pPr>
            <w:r w:rsidRPr="00915DBD">
              <w:rPr>
                <w:b w:val="0"/>
                <w:bCs w:val="0"/>
                <w:iCs/>
              </w:rPr>
              <w:t>Journal of Hepatology</w:t>
            </w:r>
            <w:r w:rsidRPr="00E750DB">
              <w:rPr>
                <w:b w:val="0"/>
                <w:bCs w:val="0"/>
              </w:rPr>
              <w:t>, 79(5), 1150</w:t>
            </w:r>
            <w:r w:rsidR="00E072B9">
              <w:rPr>
                <w:b w:val="0"/>
                <w:bCs w:val="0"/>
              </w:rPr>
              <w:noBreakHyphen/>
            </w:r>
            <w:r w:rsidRPr="00E750DB">
              <w:rPr>
                <w:b w:val="0"/>
                <w:bCs w:val="0"/>
              </w:rPr>
              <w:t xml:space="preserve">1158. </w:t>
            </w:r>
          </w:p>
        </w:tc>
      </w:tr>
      <w:tr w:rsidR="00C60118" w:rsidRPr="00E750DB" w14:paraId="45669E1F" w14:textId="77777777" w:rsidTr="005669B6">
        <w:tc>
          <w:tcPr>
            <w:tcW w:w="1413" w:type="dxa"/>
            <w:vMerge w:val="restart"/>
          </w:tcPr>
          <w:p w14:paraId="1BDD8B08" w14:textId="77777777" w:rsidR="00C60118" w:rsidRPr="00E750DB" w:rsidRDefault="00C60118" w:rsidP="00E072B9">
            <w:pPr>
              <w:pStyle w:val="TableFigureHeading"/>
              <w:rPr>
                <w:b w:val="0"/>
                <w:bCs w:val="0"/>
              </w:rPr>
            </w:pPr>
            <w:r w:rsidRPr="00E750DB">
              <w:rPr>
                <w:b w:val="0"/>
                <w:bCs w:val="0"/>
              </w:rPr>
              <w:t>Study 001</w:t>
            </w:r>
          </w:p>
          <w:p w14:paraId="1D2B64DC" w14:textId="40503978"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001</w:t>
            </w:r>
          </w:p>
          <w:p w14:paraId="24C9132E" w14:textId="77777777" w:rsidR="00C60118" w:rsidRPr="00E750DB" w:rsidRDefault="00C60118" w:rsidP="00E072B9">
            <w:pPr>
              <w:pStyle w:val="TableFigureHeading"/>
              <w:rPr>
                <w:b w:val="0"/>
                <w:bCs w:val="0"/>
              </w:rPr>
            </w:pPr>
            <w:r w:rsidRPr="00E750DB">
              <w:rPr>
                <w:b w:val="0"/>
                <w:bCs w:val="0"/>
              </w:rPr>
              <w:t>NCT02452372</w:t>
            </w:r>
          </w:p>
        </w:tc>
        <w:tc>
          <w:tcPr>
            <w:tcW w:w="5182" w:type="dxa"/>
            <w:tcBorders>
              <w:bottom w:val="nil"/>
            </w:tcBorders>
          </w:tcPr>
          <w:p w14:paraId="50F19B95" w14:textId="258549D6" w:rsidR="00C60118" w:rsidRPr="00E750DB" w:rsidRDefault="00C60118" w:rsidP="00E072B9">
            <w:pPr>
              <w:pStyle w:val="TableFigureHeading"/>
              <w:rPr>
                <w:b w:val="0"/>
                <w:bCs w:val="0"/>
              </w:rPr>
            </w:pPr>
            <w:r w:rsidRPr="00E750DB">
              <w:rPr>
                <w:b w:val="0"/>
                <w:bCs w:val="0"/>
              </w:rPr>
              <w:t>Alnylam Pharmaceuticals. Clinical study report ALN</w:t>
            </w:r>
            <w:r w:rsidR="00E072B9">
              <w:rPr>
                <w:b w:val="0"/>
                <w:bCs w:val="0"/>
              </w:rPr>
              <w:noBreakHyphen/>
            </w:r>
            <w:r w:rsidRPr="00E750DB">
              <w:rPr>
                <w:b w:val="0"/>
                <w:bCs w:val="0"/>
              </w:rPr>
              <w:t>AS1</w:t>
            </w:r>
            <w:r w:rsidR="00E072B9">
              <w:rPr>
                <w:b w:val="0"/>
                <w:bCs w:val="0"/>
              </w:rPr>
              <w:noBreakHyphen/>
            </w:r>
            <w:r w:rsidRPr="00E750DB">
              <w:rPr>
                <w:b w:val="0"/>
                <w:bCs w:val="0"/>
              </w:rPr>
              <w:t>001 Givosiran</w:t>
            </w:r>
          </w:p>
        </w:tc>
        <w:tc>
          <w:tcPr>
            <w:tcW w:w="2422" w:type="dxa"/>
            <w:tcBorders>
              <w:bottom w:val="nil"/>
            </w:tcBorders>
          </w:tcPr>
          <w:p w14:paraId="5FEA9518" w14:textId="77777777" w:rsidR="00C60118" w:rsidRPr="00E750DB" w:rsidRDefault="00C60118" w:rsidP="00E072B9">
            <w:pPr>
              <w:pStyle w:val="TableFigureHeading"/>
              <w:rPr>
                <w:b w:val="0"/>
                <w:bCs w:val="0"/>
              </w:rPr>
            </w:pPr>
            <w:r w:rsidRPr="00E750DB">
              <w:rPr>
                <w:b w:val="0"/>
                <w:bCs w:val="0"/>
              </w:rPr>
              <w:t>2018</w:t>
            </w:r>
          </w:p>
        </w:tc>
      </w:tr>
      <w:tr w:rsidR="00C60118" w:rsidRPr="00E750DB" w14:paraId="5667EE79" w14:textId="77777777" w:rsidTr="005669B6">
        <w:tc>
          <w:tcPr>
            <w:tcW w:w="1413" w:type="dxa"/>
            <w:vMerge/>
          </w:tcPr>
          <w:p w14:paraId="0CCCF464" w14:textId="77777777" w:rsidR="00C60118" w:rsidRPr="00E750DB" w:rsidRDefault="00C60118" w:rsidP="00E072B9">
            <w:pPr>
              <w:pStyle w:val="TableFigureHeading"/>
              <w:rPr>
                <w:b w:val="0"/>
                <w:bCs w:val="0"/>
              </w:rPr>
            </w:pPr>
          </w:p>
        </w:tc>
        <w:tc>
          <w:tcPr>
            <w:tcW w:w="5182" w:type="dxa"/>
            <w:tcBorders>
              <w:top w:val="nil"/>
            </w:tcBorders>
          </w:tcPr>
          <w:p w14:paraId="2DC84DBC" w14:textId="77777777" w:rsidR="00C60118" w:rsidRPr="00E750DB" w:rsidRDefault="00C60118" w:rsidP="00E072B9">
            <w:pPr>
              <w:pStyle w:val="TableFigureHeading"/>
              <w:rPr>
                <w:b w:val="0"/>
                <w:bCs w:val="0"/>
              </w:rPr>
            </w:pPr>
            <w:r w:rsidRPr="00E750DB">
              <w:rPr>
                <w:b w:val="0"/>
                <w:bCs w:val="0"/>
              </w:rPr>
              <w:t>Sardh, E., Harper, P., Balwani, M., Stein, P., Rees, D., Montgomery Bissell, D., et al, Anderson, K. E. (2019). Phase 1 trial of an RNA interference therapy for acute intermittent porphyria</w:t>
            </w:r>
          </w:p>
        </w:tc>
        <w:tc>
          <w:tcPr>
            <w:tcW w:w="2422" w:type="dxa"/>
            <w:tcBorders>
              <w:top w:val="nil"/>
            </w:tcBorders>
          </w:tcPr>
          <w:p w14:paraId="785B01FB" w14:textId="74588A0C" w:rsidR="00C60118" w:rsidRPr="00E750DB" w:rsidRDefault="00C60118" w:rsidP="00E072B9">
            <w:pPr>
              <w:pStyle w:val="TableFigureHeading"/>
              <w:rPr>
                <w:b w:val="0"/>
                <w:bCs w:val="0"/>
              </w:rPr>
            </w:pPr>
            <w:r w:rsidRPr="00915DBD">
              <w:rPr>
                <w:b w:val="0"/>
                <w:bCs w:val="0"/>
                <w:iCs/>
              </w:rPr>
              <w:t>New England Journal of Medicine</w:t>
            </w:r>
            <w:r w:rsidRPr="00E750DB">
              <w:rPr>
                <w:b w:val="0"/>
                <w:bCs w:val="0"/>
              </w:rPr>
              <w:t>, 380(6), 549</w:t>
            </w:r>
            <w:r w:rsidR="00E072B9">
              <w:rPr>
                <w:b w:val="0"/>
                <w:bCs w:val="0"/>
              </w:rPr>
              <w:noBreakHyphen/>
            </w:r>
            <w:r w:rsidRPr="00E750DB">
              <w:rPr>
                <w:b w:val="0"/>
                <w:bCs w:val="0"/>
              </w:rPr>
              <w:t xml:space="preserve">558. </w:t>
            </w:r>
          </w:p>
        </w:tc>
      </w:tr>
      <w:tr w:rsidR="00C60118" w:rsidRPr="00E750DB" w14:paraId="258F33C3" w14:textId="77777777" w:rsidTr="005669B6">
        <w:tc>
          <w:tcPr>
            <w:tcW w:w="1413" w:type="dxa"/>
            <w:vMerge w:val="restart"/>
          </w:tcPr>
          <w:p w14:paraId="6C346E32" w14:textId="74595EAA" w:rsidR="00C60118" w:rsidRPr="00E750DB" w:rsidRDefault="00C60118" w:rsidP="00E072B9">
            <w:pPr>
              <w:pStyle w:val="TableFigureHeading"/>
              <w:rPr>
                <w:b w:val="0"/>
                <w:bCs w:val="0"/>
              </w:rPr>
            </w:pPr>
            <w:r w:rsidRPr="00E750DB">
              <w:rPr>
                <w:b w:val="0"/>
                <w:bCs w:val="0"/>
              </w:rPr>
              <w:t xml:space="preserve">Study 002 </w:t>
            </w:r>
          </w:p>
          <w:p w14:paraId="327476FD" w14:textId="06726EA3"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002</w:t>
            </w:r>
          </w:p>
          <w:p w14:paraId="3905A772" w14:textId="77777777" w:rsidR="00C60118" w:rsidRPr="00E750DB" w:rsidRDefault="00C60118" w:rsidP="00E072B9">
            <w:pPr>
              <w:pStyle w:val="TableFigureHeading"/>
              <w:rPr>
                <w:b w:val="0"/>
                <w:bCs w:val="0"/>
              </w:rPr>
            </w:pPr>
            <w:r w:rsidRPr="00E750DB">
              <w:rPr>
                <w:b w:val="0"/>
                <w:bCs w:val="0"/>
              </w:rPr>
              <w:t>NCT02949830</w:t>
            </w:r>
          </w:p>
        </w:tc>
        <w:tc>
          <w:tcPr>
            <w:tcW w:w="5182" w:type="dxa"/>
            <w:tcBorders>
              <w:bottom w:val="nil"/>
            </w:tcBorders>
          </w:tcPr>
          <w:p w14:paraId="28F58A98" w14:textId="3F43B564" w:rsidR="00C60118" w:rsidRPr="00E750DB" w:rsidRDefault="00C60118" w:rsidP="00E072B9">
            <w:pPr>
              <w:pStyle w:val="TableFigureHeading"/>
              <w:rPr>
                <w:b w:val="0"/>
                <w:bCs w:val="0"/>
              </w:rPr>
            </w:pPr>
            <w:r w:rsidRPr="00E750DB">
              <w:rPr>
                <w:b w:val="0"/>
                <w:bCs w:val="0"/>
              </w:rPr>
              <w:t>Alnylam Pharmaceuticals. Clinical Study Report ALN</w:t>
            </w:r>
            <w:r w:rsidR="00E072B9">
              <w:rPr>
                <w:b w:val="0"/>
                <w:bCs w:val="0"/>
              </w:rPr>
              <w:noBreakHyphen/>
            </w:r>
            <w:r w:rsidRPr="00E750DB">
              <w:rPr>
                <w:b w:val="0"/>
                <w:bCs w:val="0"/>
              </w:rPr>
              <w:t>AS1</w:t>
            </w:r>
            <w:r w:rsidR="00E072B9">
              <w:rPr>
                <w:b w:val="0"/>
                <w:bCs w:val="0"/>
              </w:rPr>
              <w:noBreakHyphen/>
            </w:r>
            <w:r w:rsidRPr="00E750DB">
              <w:rPr>
                <w:b w:val="0"/>
                <w:bCs w:val="0"/>
              </w:rPr>
              <w:t xml:space="preserve">002 (Study 002): Report 3 </w:t>
            </w:r>
          </w:p>
        </w:tc>
        <w:tc>
          <w:tcPr>
            <w:tcW w:w="2422" w:type="dxa"/>
            <w:tcBorders>
              <w:bottom w:val="nil"/>
            </w:tcBorders>
          </w:tcPr>
          <w:p w14:paraId="6ED2BC50" w14:textId="475CB9B6" w:rsidR="00C60118" w:rsidRPr="00E750DB" w:rsidRDefault="00C60118" w:rsidP="00E072B9">
            <w:pPr>
              <w:pStyle w:val="TableFigureHeading"/>
              <w:rPr>
                <w:b w:val="0"/>
                <w:bCs w:val="0"/>
              </w:rPr>
            </w:pPr>
            <w:r w:rsidRPr="00E750DB">
              <w:rPr>
                <w:b w:val="0"/>
                <w:bCs w:val="0"/>
              </w:rPr>
              <w:t>18 March 2022). 2022:1</w:t>
            </w:r>
            <w:r w:rsidR="00E072B9">
              <w:rPr>
                <w:b w:val="0"/>
                <w:bCs w:val="0"/>
              </w:rPr>
              <w:noBreakHyphen/>
            </w:r>
            <w:r w:rsidRPr="00E750DB">
              <w:rPr>
                <w:b w:val="0"/>
                <w:bCs w:val="0"/>
              </w:rPr>
              <w:t>115.</w:t>
            </w:r>
          </w:p>
        </w:tc>
      </w:tr>
      <w:tr w:rsidR="00C60118" w:rsidRPr="00E750DB" w14:paraId="2CF81F51" w14:textId="77777777" w:rsidTr="005669B6">
        <w:tc>
          <w:tcPr>
            <w:tcW w:w="1413" w:type="dxa"/>
            <w:vMerge/>
          </w:tcPr>
          <w:p w14:paraId="01C18C7F" w14:textId="77777777" w:rsidR="00C60118" w:rsidRPr="00E750DB" w:rsidRDefault="00C60118" w:rsidP="00E072B9">
            <w:pPr>
              <w:pStyle w:val="TableFigureHeading"/>
              <w:rPr>
                <w:b w:val="0"/>
                <w:bCs w:val="0"/>
              </w:rPr>
            </w:pPr>
          </w:p>
        </w:tc>
        <w:tc>
          <w:tcPr>
            <w:tcW w:w="5182" w:type="dxa"/>
            <w:tcBorders>
              <w:top w:val="nil"/>
              <w:bottom w:val="nil"/>
            </w:tcBorders>
          </w:tcPr>
          <w:p w14:paraId="793790A4" w14:textId="28A013B9" w:rsidR="00C60118" w:rsidRPr="00E750DB" w:rsidRDefault="00C60118" w:rsidP="00E072B9">
            <w:pPr>
              <w:pStyle w:val="TableFigureHeading"/>
              <w:rPr>
                <w:b w:val="0"/>
                <w:bCs w:val="0"/>
              </w:rPr>
            </w:pPr>
            <w:r w:rsidRPr="00E750DB">
              <w:rPr>
                <w:b w:val="0"/>
                <w:bCs w:val="0"/>
              </w:rPr>
              <w:t>Alnylam Pharmaceuticals. Data on File. Study 002 (ALN</w:t>
            </w:r>
            <w:r w:rsidR="00E072B9">
              <w:rPr>
                <w:b w:val="0"/>
                <w:bCs w:val="0"/>
              </w:rPr>
              <w:noBreakHyphen/>
            </w:r>
            <w:r w:rsidRPr="00E750DB">
              <w:rPr>
                <w:b w:val="0"/>
                <w:bCs w:val="0"/>
              </w:rPr>
              <w:t>AS1</w:t>
            </w:r>
            <w:r w:rsidR="00E072B9">
              <w:rPr>
                <w:b w:val="0"/>
                <w:bCs w:val="0"/>
              </w:rPr>
              <w:noBreakHyphen/>
            </w:r>
            <w:r w:rsidRPr="00E750DB">
              <w:rPr>
                <w:b w:val="0"/>
                <w:bCs w:val="0"/>
              </w:rPr>
              <w:t>002) Clinical Study Report (CSR).</w:t>
            </w:r>
          </w:p>
        </w:tc>
        <w:tc>
          <w:tcPr>
            <w:tcW w:w="2422" w:type="dxa"/>
            <w:tcBorders>
              <w:top w:val="nil"/>
              <w:bottom w:val="nil"/>
            </w:tcBorders>
          </w:tcPr>
          <w:p w14:paraId="63B4DFBC" w14:textId="77777777" w:rsidR="00C60118" w:rsidRPr="00E750DB" w:rsidRDefault="00C60118" w:rsidP="00E072B9">
            <w:pPr>
              <w:pStyle w:val="TableFigureHeading"/>
              <w:rPr>
                <w:b w:val="0"/>
                <w:bCs w:val="0"/>
              </w:rPr>
            </w:pPr>
            <w:r w:rsidRPr="00E750DB">
              <w:rPr>
                <w:b w:val="0"/>
                <w:bCs w:val="0"/>
              </w:rPr>
              <w:t>16 March 2020</w:t>
            </w:r>
          </w:p>
        </w:tc>
      </w:tr>
      <w:tr w:rsidR="00C60118" w:rsidRPr="00E750DB" w14:paraId="4A59DE7F" w14:textId="77777777" w:rsidTr="005669B6">
        <w:tc>
          <w:tcPr>
            <w:tcW w:w="1413" w:type="dxa"/>
            <w:vMerge/>
          </w:tcPr>
          <w:p w14:paraId="45D62F1B" w14:textId="77777777" w:rsidR="00C60118" w:rsidRPr="00E750DB" w:rsidRDefault="00C60118" w:rsidP="00E072B9">
            <w:pPr>
              <w:pStyle w:val="TableFigureHeading"/>
              <w:rPr>
                <w:b w:val="0"/>
                <w:bCs w:val="0"/>
              </w:rPr>
            </w:pPr>
          </w:p>
        </w:tc>
        <w:tc>
          <w:tcPr>
            <w:tcW w:w="5182" w:type="dxa"/>
            <w:tcBorders>
              <w:top w:val="nil"/>
            </w:tcBorders>
          </w:tcPr>
          <w:p w14:paraId="44D9FFFE" w14:textId="50C69EDA" w:rsidR="00C60118" w:rsidRPr="00E750DB" w:rsidRDefault="00C60118" w:rsidP="00E072B9">
            <w:pPr>
              <w:pStyle w:val="TableFigureHeading"/>
              <w:rPr>
                <w:b w:val="0"/>
                <w:bCs w:val="0"/>
              </w:rPr>
            </w:pPr>
            <w:r w:rsidRPr="00E750DB">
              <w:rPr>
                <w:b w:val="0"/>
                <w:bCs w:val="0"/>
              </w:rPr>
              <w:t>Sardh, E., Balwani, M., Rees, D.C. et al. Long</w:t>
            </w:r>
            <w:r w:rsidR="00E072B9">
              <w:rPr>
                <w:b w:val="0"/>
                <w:bCs w:val="0"/>
              </w:rPr>
              <w:noBreakHyphen/>
            </w:r>
            <w:r w:rsidRPr="00E750DB">
              <w:rPr>
                <w:b w:val="0"/>
                <w:bCs w:val="0"/>
              </w:rPr>
              <w:t>term follow</w:t>
            </w:r>
            <w:r w:rsidR="00E072B9">
              <w:rPr>
                <w:b w:val="0"/>
                <w:bCs w:val="0"/>
              </w:rPr>
              <w:noBreakHyphen/>
            </w:r>
            <w:r w:rsidRPr="00E750DB">
              <w:rPr>
                <w:b w:val="0"/>
                <w:bCs w:val="0"/>
              </w:rPr>
              <w:t>up of givosiran treatment in patients with acute intermittent porphyria from a phase 1/2, 48</w:t>
            </w:r>
            <w:r w:rsidR="00E072B9">
              <w:rPr>
                <w:b w:val="0"/>
                <w:bCs w:val="0"/>
              </w:rPr>
              <w:noBreakHyphen/>
            </w:r>
            <w:r w:rsidRPr="00E750DB">
              <w:rPr>
                <w:b w:val="0"/>
                <w:bCs w:val="0"/>
              </w:rPr>
              <w:t>month open</w:t>
            </w:r>
            <w:r w:rsidR="00E072B9">
              <w:rPr>
                <w:b w:val="0"/>
                <w:bCs w:val="0"/>
              </w:rPr>
              <w:noBreakHyphen/>
            </w:r>
            <w:r w:rsidRPr="00E750DB">
              <w:rPr>
                <w:b w:val="0"/>
                <w:bCs w:val="0"/>
              </w:rPr>
              <w:t>label extension study</w:t>
            </w:r>
          </w:p>
        </w:tc>
        <w:tc>
          <w:tcPr>
            <w:tcW w:w="2422" w:type="dxa"/>
            <w:tcBorders>
              <w:top w:val="nil"/>
            </w:tcBorders>
          </w:tcPr>
          <w:p w14:paraId="7A3E7D4D" w14:textId="77777777" w:rsidR="00C60118" w:rsidRPr="00E750DB" w:rsidRDefault="00C60118" w:rsidP="00E072B9">
            <w:pPr>
              <w:pStyle w:val="TableFigureHeading"/>
              <w:rPr>
                <w:b w:val="0"/>
                <w:bCs w:val="0"/>
              </w:rPr>
            </w:pPr>
            <w:r w:rsidRPr="00915DBD">
              <w:rPr>
                <w:b w:val="0"/>
                <w:bCs w:val="0"/>
                <w:iCs/>
              </w:rPr>
              <w:t>Orphanet Journal Rare Diseases</w:t>
            </w:r>
            <w:r w:rsidRPr="00E750DB">
              <w:rPr>
                <w:b w:val="0"/>
                <w:bCs w:val="0"/>
              </w:rPr>
              <w:t xml:space="preserve"> 19, 365 (2024). </w:t>
            </w:r>
          </w:p>
        </w:tc>
      </w:tr>
    </w:tbl>
    <w:p w14:paraId="51D8173A" w14:textId="2D74A3DD" w:rsidR="008E0D3C" w:rsidRPr="00E750DB" w:rsidRDefault="008E0D3C" w:rsidP="00E072B9">
      <w:pPr>
        <w:pStyle w:val="FooterTableFigure"/>
        <w:rPr>
          <w:sz w:val="20"/>
        </w:rPr>
      </w:pPr>
      <w:r w:rsidRPr="00E750DB">
        <w:t xml:space="preserve">Source: </w:t>
      </w:r>
      <w:r w:rsidR="0047443C" w:rsidRPr="00E750DB">
        <w:rPr>
          <w:szCs w:val="18"/>
        </w:rPr>
        <w:t>Table 2.3, pp42</w:t>
      </w:r>
      <w:r w:rsidR="00E072B9">
        <w:rPr>
          <w:szCs w:val="18"/>
        </w:rPr>
        <w:noBreakHyphen/>
      </w:r>
      <w:r w:rsidR="0047443C" w:rsidRPr="00E750DB">
        <w:rPr>
          <w:szCs w:val="18"/>
        </w:rPr>
        <w:t>46 of the submission</w:t>
      </w:r>
    </w:p>
    <w:p w14:paraId="1DD06D7D" w14:textId="59DE17A5" w:rsidR="007F1017" w:rsidRPr="00E750DB" w:rsidRDefault="008F120A" w:rsidP="00E072B9">
      <w:pPr>
        <w:pStyle w:val="3-BodyText"/>
        <w:rPr>
          <w:color w:val="0066FF"/>
        </w:rPr>
      </w:pPr>
      <w:r w:rsidRPr="00E750DB">
        <w:t>The key features of the direct randomised trials</w:t>
      </w:r>
      <w:r w:rsidR="00C60118" w:rsidRPr="00E750DB">
        <w:t xml:space="preserve"> and </w:t>
      </w:r>
      <w:r w:rsidR="007170DA" w:rsidRPr="00E750DB">
        <w:t>studies</w:t>
      </w:r>
      <w:r w:rsidR="00C60118" w:rsidRPr="00E750DB">
        <w:t xml:space="preserve"> </w:t>
      </w:r>
      <w:r w:rsidRPr="00E750DB">
        <w:t>are summarised in</w:t>
      </w:r>
      <w:r w:rsidR="00D6076E" w:rsidRPr="00E750DB">
        <w:t xml:space="preserve"> </w:t>
      </w:r>
      <w:r w:rsidR="00D6076E" w:rsidRPr="00E750DB">
        <w:fldChar w:fldCharType="begin" w:fldLock="1"/>
      </w:r>
      <w:r w:rsidR="00D6076E" w:rsidRPr="00E750DB">
        <w:instrText xml:space="preserve"> REF _Ref104804098 \h  \* MERGEFORMAT </w:instrText>
      </w:r>
      <w:r w:rsidR="00D6076E" w:rsidRPr="00E750DB">
        <w:fldChar w:fldCharType="separate"/>
      </w:r>
      <w:r w:rsidR="00E750DB" w:rsidRPr="00E750DB">
        <w:t>Table 3</w:t>
      </w:r>
      <w:r w:rsidR="00D6076E" w:rsidRPr="00E750DB">
        <w:fldChar w:fldCharType="end"/>
      </w:r>
      <w:r w:rsidRPr="00E750DB">
        <w:t>.</w:t>
      </w:r>
      <w:r w:rsidR="00BC591F" w:rsidRPr="00E750DB">
        <w:t xml:space="preserve"> </w:t>
      </w:r>
    </w:p>
    <w:p w14:paraId="355E2F15" w14:textId="43C299AC" w:rsidR="007F1017" w:rsidRPr="00E750DB" w:rsidRDefault="00696EF9" w:rsidP="00E072B9">
      <w:pPr>
        <w:pStyle w:val="Caption"/>
        <w:rPr>
          <w:rStyle w:val="CommentReference"/>
          <w:rFonts w:eastAsiaTheme="majorEastAsia" w:cstheme="majorBidi"/>
          <w:b/>
          <w:szCs w:val="24"/>
        </w:rPr>
      </w:pPr>
      <w:bookmarkStart w:id="24" w:name="_Ref104804098"/>
      <w:r w:rsidRPr="00E750DB">
        <w:rPr>
          <w:rStyle w:val="CommentReference"/>
          <w:rFonts w:eastAsiaTheme="majorEastAsia" w:cstheme="majorBidi"/>
          <w:b/>
          <w:szCs w:val="24"/>
        </w:rPr>
        <w:t xml:space="preserve">Table </w:t>
      </w:r>
      <w:r w:rsidRPr="00E750DB">
        <w:rPr>
          <w:rStyle w:val="CommentReference"/>
          <w:rFonts w:eastAsiaTheme="majorEastAsia" w:cstheme="majorBidi"/>
          <w:b/>
          <w:szCs w:val="24"/>
        </w:rPr>
        <w:fldChar w:fldCharType="begin" w:fldLock="1"/>
      </w:r>
      <w:r w:rsidRPr="00E750DB">
        <w:rPr>
          <w:rStyle w:val="CommentReference"/>
          <w:rFonts w:eastAsiaTheme="majorEastAsia" w:cstheme="majorBidi"/>
          <w:b/>
          <w:szCs w:val="24"/>
        </w:rPr>
        <w:instrText xml:space="preserve"> SEQ Table \* ARABIC </w:instrText>
      </w:r>
      <w:r w:rsidRPr="00E750DB">
        <w:rPr>
          <w:rStyle w:val="CommentReference"/>
          <w:rFonts w:eastAsiaTheme="majorEastAsia" w:cstheme="majorBidi"/>
          <w:b/>
          <w:szCs w:val="24"/>
        </w:rPr>
        <w:fldChar w:fldCharType="separate"/>
      </w:r>
      <w:r w:rsidR="00E750DB" w:rsidRPr="00E750DB">
        <w:rPr>
          <w:rStyle w:val="CommentReference"/>
          <w:rFonts w:eastAsiaTheme="majorEastAsia" w:cstheme="majorBidi"/>
          <w:b/>
          <w:szCs w:val="24"/>
        </w:rPr>
        <w:t>3</w:t>
      </w:r>
      <w:r w:rsidRPr="00E750DB">
        <w:rPr>
          <w:rStyle w:val="CommentReference"/>
          <w:rFonts w:eastAsiaTheme="majorEastAsia" w:cstheme="majorBidi"/>
          <w:b/>
          <w:szCs w:val="24"/>
        </w:rPr>
        <w:fldChar w:fldCharType="end"/>
      </w:r>
      <w:bookmarkEnd w:id="24"/>
      <w:r w:rsidR="00D6076E" w:rsidRPr="00E750DB">
        <w:rPr>
          <w:rStyle w:val="CommentReference"/>
          <w:rFonts w:eastAsiaTheme="majorEastAsia" w:cstheme="majorBidi"/>
          <w:b/>
          <w:szCs w:val="24"/>
        </w:rPr>
        <w:t xml:space="preserve">: </w:t>
      </w:r>
      <w:r w:rsidR="007F1017" w:rsidRPr="00E750DB">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414"/>
        <w:gridCol w:w="424"/>
        <w:gridCol w:w="1133"/>
        <w:gridCol w:w="853"/>
        <w:gridCol w:w="849"/>
        <w:gridCol w:w="3356"/>
        <w:gridCol w:w="988"/>
      </w:tblGrid>
      <w:tr w:rsidR="00053FE4" w:rsidRPr="00E750DB" w14:paraId="53DD7CC6" w14:textId="77777777" w:rsidTr="00053FE4">
        <w:trPr>
          <w:cantSplit/>
          <w:tblHeader/>
        </w:trPr>
        <w:tc>
          <w:tcPr>
            <w:tcW w:w="784" w:type="pct"/>
            <w:vAlign w:val="center"/>
          </w:tcPr>
          <w:p w14:paraId="794116BC" w14:textId="77777777" w:rsidR="007F1017" w:rsidRPr="00E750DB" w:rsidRDefault="007F1017" w:rsidP="00E072B9">
            <w:pPr>
              <w:pStyle w:val="In-tableHeading"/>
              <w:keepNext/>
            </w:pPr>
            <w:r w:rsidRPr="00E750DB">
              <w:t>Trial</w:t>
            </w:r>
          </w:p>
        </w:tc>
        <w:tc>
          <w:tcPr>
            <w:tcW w:w="235" w:type="pct"/>
            <w:vAlign w:val="center"/>
          </w:tcPr>
          <w:p w14:paraId="51122FE5" w14:textId="77777777" w:rsidR="007F1017" w:rsidRPr="00E750DB" w:rsidRDefault="007F1017" w:rsidP="00E072B9">
            <w:pPr>
              <w:pStyle w:val="In-tableHeading"/>
              <w:keepNext/>
            </w:pPr>
            <w:r w:rsidRPr="00E750DB">
              <w:t>N</w:t>
            </w:r>
          </w:p>
        </w:tc>
        <w:tc>
          <w:tcPr>
            <w:tcW w:w="628" w:type="pct"/>
            <w:vAlign w:val="center"/>
          </w:tcPr>
          <w:p w14:paraId="41C438EF" w14:textId="77777777" w:rsidR="007F1017" w:rsidRPr="00E750DB" w:rsidRDefault="007F1017" w:rsidP="00E072B9">
            <w:pPr>
              <w:pStyle w:val="In-tableHeading"/>
              <w:keepNext/>
            </w:pPr>
            <w:r w:rsidRPr="00E750DB">
              <w:t>Design/ duration</w:t>
            </w:r>
          </w:p>
        </w:tc>
        <w:tc>
          <w:tcPr>
            <w:tcW w:w="473" w:type="pct"/>
            <w:vAlign w:val="center"/>
          </w:tcPr>
          <w:p w14:paraId="1FC91360" w14:textId="77777777" w:rsidR="007F1017" w:rsidRPr="00E750DB" w:rsidRDefault="007F1017" w:rsidP="00E072B9">
            <w:pPr>
              <w:pStyle w:val="In-tableHeading"/>
              <w:keepNext/>
            </w:pPr>
            <w:r w:rsidRPr="00E750DB">
              <w:t>Risk of bias</w:t>
            </w:r>
          </w:p>
        </w:tc>
        <w:tc>
          <w:tcPr>
            <w:tcW w:w="471" w:type="pct"/>
            <w:vAlign w:val="center"/>
          </w:tcPr>
          <w:p w14:paraId="7FF90896" w14:textId="77777777" w:rsidR="007F1017" w:rsidRPr="00E750DB" w:rsidRDefault="007F1017" w:rsidP="00E072B9">
            <w:pPr>
              <w:pStyle w:val="In-tableHeading"/>
              <w:keepNext/>
            </w:pPr>
            <w:r w:rsidRPr="00E750DB">
              <w:t>Patient population</w:t>
            </w:r>
          </w:p>
        </w:tc>
        <w:tc>
          <w:tcPr>
            <w:tcW w:w="1861" w:type="pct"/>
            <w:vAlign w:val="center"/>
          </w:tcPr>
          <w:p w14:paraId="0FCB63F9" w14:textId="77777777" w:rsidR="007F1017" w:rsidRPr="00E750DB" w:rsidRDefault="007F1017" w:rsidP="00E072B9">
            <w:pPr>
              <w:pStyle w:val="In-tableHeading"/>
              <w:keepNext/>
            </w:pPr>
            <w:r w:rsidRPr="00E750DB">
              <w:t>Outcome(s)</w:t>
            </w:r>
          </w:p>
        </w:tc>
        <w:tc>
          <w:tcPr>
            <w:tcW w:w="548" w:type="pct"/>
            <w:vAlign w:val="center"/>
          </w:tcPr>
          <w:p w14:paraId="08C6F624" w14:textId="77777777" w:rsidR="007F1017" w:rsidRPr="00E750DB" w:rsidRDefault="007F1017" w:rsidP="00E072B9">
            <w:pPr>
              <w:pStyle w:val="In-tableHeading"/>
              <w:keepNext/>
            </w:pPr>
            <w:r w:rsidRPr="00E750DB">
              <w:t>Use in modelled evaluation</w:t>
            </w:r>
          </w:p>
        </w:tc>
      </w:tr>
      <w:tr w:rsidR="007F1017" w:rsidRPr="00E750DB" w14:paraId="2A03CD4B" w14:textId="77777777" w:rsidTr="00682BA6">
        <w:trPr>
          <w:cantSplit/>
        </w:trPr>
        <w:tc>
          <w:tcPr>
            <w:tcW w:w="5000" w:type="pct"/>
            <w:gridSpan w:val="7"/>
            <w:vAlign w:val="center"/>
          </w:tcPr>
          <w:p w14:paraId="73088C85" w14:textId="3C2F3A81" w:rsidR="007F1017" w:rsidRPr="00E750DB" w:rsidRDefault="00C60118" w:rsidP="00E072B9">
            <w:pPr>
              <w:pStyle w:val="In-tableHeading"/>
              <w:keepNext/>
            </w:pPr>
            <w:r w:rsidRPr="00E750DB">
              <w:t>Givosiran versus BSC</w:t>
            </w:r>
          </w:p>
        </w:tc>
      </w:tr>
      <w:tr w:rsidR="00053FE4" w:rsidRPr="00915DBD" w14:paraId="4EE88DCB" w14:textId="77777777" w:rsidTr="00053FE4">
        <w:trPr>
          <w:cantSplit/>
        </w:trPr>
        <w:tc>
          <w:tcPr>
            <w:tcW w:w="784" w:type="pct"/>
            <w:vAlign w:val="center"/>
          </w:tcPr>
          <w:p w14:paraId="6EE77D33" w14:textId="66AA53C3" w:rsidR="007F1017" w:rsidRPr="00915DBD" w:rsidRDefault="00C60118" w:rsidP="00E072B9">
            <w:pPr>
              <w:pStyle w:val="TableText0"/>
              <w:keepNext/>
              <w:widowControl/>
              <w:rPr>
                <w:i/>
              </w:rPr>
            </w:pPr>
            <w:r w:rsidRPr="00915DBD">
              <w:t>ENVISION</w:t>
            </w:r>
          </w:p>
        </w:tc>
        <w:tc>
          <w:tcPr>
            <w:tcW w:w="235" w:type="pct"/>
            <w:vAlign w:val="center"/>
          </w:tcPr>
          <w:p w14:paraId="41BB0E41" w14:textId="5D5254A1" w:rsidR="007F1017" w:rsidRPr="00915DBD" w:rsidRDefault="00C60118" w:rsidP="00E072B9">
            <w:pPr>
              <w:pStyle w:val="Tabletext"/>
              <w:keepNext/>
              <w:rPr>
                <w:i/>
              </w:rPr>
            </w:pPr>
            <w:r w:rsidRPr="00915DBD">
              <w:t>94</w:t>
            </w:r>
          </w:p>
        </w:tc>
        <w:tc>
          <w:tcPr>
            <w:tcW w:w="628" w:type="pct"/>
            <w:vAlign w:val="center"/>
          </w:tcPr>
          <w:p w14:paraId="744D08AC" w14:textId="2E12B19C" w:rsidR="007F1017" w:rsidRPr="00915DBD" w:rsidRDefault="007F1017" w:rsidP="00E072B9">
            <w:pPr>
              <w:pStyle w:val="Tabletext"/>
              <w:keepNext/>
              <w:rPr>
                <w:i/>
              </w:rPr>
            </w:pPr>
            <w:r w:rsidRPr="00915DBD">
              <w:t>R, DB</w:t>
            </w:r>
            <w:r w:rsidR="0047443C" w:rsidRPr="00915DBD">
              <w:t xml:space="preserve">; </w:t>
            </w:r>
            <w:r w:rsidRPr="00915DBD">
              <w:t>6 mths</w:t>
            </w:r>
          </w:p>
        </w:tc>
        <w:tc>
          <w:tcPr>
            <w:tcW w:w="473" w:type="pct"/>
            <w:vAlign w:val="center"/>
          </w:tcPr>
          <w:p w14:paraId="4A529D74" w14:textId="77777777" w:rsidR="007F1017" w:rsidRPr="00915DBD" w:rsidRDefault="007F1017" w:rsidP="00E072B9">
            <w:pPr>
              <w:pStyle w:val="Tabletext"/>
              <w:keepNext/>
              <w:rPr>
                <w:i/>
              </w:rPr>
            </w:pPr>
            <w:r w:rsidRPr="00915DBD">
              <w:t>Low</w:t>
            </w:r>
          </w:p>
        </w:tc>
        <w:tc>
          <w:tcPr>
            <w:tcW w:w="471" w:type="pct"/>
            <w:vAlign w:val="center"/>
          </w:tcPr>
          <w:p w14:paraId="09693C8D" w14:textId="77777777" w:rsidR="007F1017" w:rsidRPr="00915DBD" w:rsidRDefault="00C60118" w:rsidP="00E072B9">
            <w:pPr>
              <w:pStyle w:val="Tabletext"/>
              <w:keepNext/>
              <w:rPr>
                <w:i/>
              </w:rPr>
            </w:pPr>
            <w:r w:rsidRPr="00915DBD">
              <w:t>AHP</w:t>
            </w:r>
          </w:p>
          <w:p w14:paraId="5E6F456D" w14:textId="7334F8DD" w:rsidR="00B21E08" w:rsidRPr="00915DBD" w:rsidRDefault="00B21E08" w:rsidP="00E072B9">
            <w:pPr>
              <w:pStyle w:val="Tabletext"/>
              <w:keepNext/>
              <w:rPr>
                <w:i/>
              </w:rPr>
            </w:pPr>
            <w:r w:rsidRPr="00915DBD">
              <w:t>(95% AIP)</w:t>
            </w:r>
          </w:p>
        </w:tc>
        <w:tc>
          <w:tcPr>
            <w:tcW w:w="1861" w:type="pct"/>
            <w:vAlign w:val="center"/>
          </w:tcPr>
          <w:p w14:paraId="10AC1D62" w14:textId="77777777" w:rsidR="007F1017" w:rsidRPr="00915DBD" w:rsidRDefault="00C60118" w:rsidP="00E072B9">
            <w:pPr>
              <w:pStyle w:val="Tabletext"/>
              <w:keepNext/>
              <w:rPr>
                <w:i/>
              </w:rPr>
            </w:pPr>
            <w:r w:rsidRPr="00915DBD">
              <w:t>AAR</w:t>
            </w:r>
            <w:r w:rsidR="00886F2D" w:rsidRPr="00915DBD">
              <w:t xml:space="preserve"> in AIP (1°)</w:t>
            </w:r>
          </w:p>
          <w:p w14:paraId="50148682" w14:textId="3E78FC9F" w:rsidR="001C5687" w:rsidRPr="00915DBD" w:rsidRDefault="001C5687" w:rsidP="00E072B9">
            <w:pPr>
              <w:pStyle w:val="Tabletext"/>
              <w:keepNext/>
              <w:rPr>
                <w:i/>
              </w:rPr>
            </w:pPr>
            <w:r w:rsidRPr="00915DBD">
              <w:t>AAR in AHP</w:t>
            </w:r>
          </w:p>
          <w:p w14:paraId="6DC76214" w14:textId="0F8E9122" w:rsidR="00886F2D" w:rsidRPr="00915DBD" w:rsidRDefault="001C5687" w:rsidP="00E072B9">
            <w:pPr>
              <w:pStyle w:val="Tabletext"/>
              <w:keepNext/>
              <w:rPr>
                <w:i/>
              </w:rPr>
            </w:pPr>
            <w:r w:rsidRPr="00915DBD">
              <w:t>Urinary ALA and PBG; daily hemin use; pain, nausea fatigue assessments; HRQoL</w:t>
            </w:r>
          </w:p>
        </w:tc>
        <w:tc>
          <w:tcPr>
            <w:tcW w:w="548" w:type="pct"/>
            <w:vAlign w:val="center"/>
          </w:tcPr>
          <w:p w14:paraId="150A804C" w14:textId="00CAF4B3" w:rsidR="007F1017" w:rsidRPr="00915DBD" w:rsidRDefault="00B21E08" w:rsidP="00E072B9">
            <w:pPr>
              <w:pStyle w:val="Tabletext"/>
              <w:keepNext/>
              <w:rPr>
                <w:i/>
              </w:rPr>
            </w:pPr>
            <w:r w:rsidRPr="00915DBD">
              <w:t>Used</w:t>
            </w:r>
          </w:p>
        </w:tc>
      </w:tr>
      <w:tr w:rsidR="00053FE4" w:rsidRPr="00915DBD" w14:paraId="13A6895C" w14:textId="77777777" w:rsidTr="00053FE4">
        <w:trPr>
          <w:cantSplit/>
        </w:trPr>
        <w:tc>
          <w:tcPr>
            <w:tcW w:w="784" w:type="pct"/>
            <w:vAlign w:val="center"/>
          </w:tcPr>
          <w:p w14:paraId="4A9488B3" w14:textId="1EC101F3" w:rsidR="007F1017" w:rsidRPr="00915DBD" w:rsidRDefault="00C60118" w:rsidP="00E072B9">
            <w:pPr>
              <w:pStyle w:val="TableText0"/>
              <w:keepNext/>
              <w:widowControl/>
              <w:rPr>
                <w:i/>
              </w:rPr>
            </w:pPr>
            <w:r w:rsidRPr="00915DBD">
              <w:t>Study 001 Part C</w:t>
            </w:r>
          </w:p>
        </w:tc>
        <w:tc>
          <w:tcPr>
            <w:tcW w:w="235" w:type="pct"/>
            <w:vAlign w:val="center"/>
          </w:tcPr>
          <w:p w14:paraId="3F4D20B5" w14:textId="083BEEF9" w:rsidR="007F1017" w:rsidRPr="00915DBD" w:rsidRDefault="00C60118" w:rsidP="00E072B9">
            <w:pPr>
              <w:pStyle w:val="Tabletext"/>
              <w:keepNext/>
              <w:rPr>
                <w:i/>
              </w:rPr>
            </w:pPr>
            <w:r w:rsidRPr="00915DBD">
              <w:t>17</w:t>
            </w:r>
          </w:p>
        </w:tc>
        <w:tc>
          <w:tcPr>
            <w:tcW w:w="628" w:type="pct"/>
            <w:vAlign w:val="center"/>
          </w:tcPr>
          <w:p w14:paraId="68D92FE7" w14:textId="5E0A1037" w:rsidR="007F1017" w:rsidRPr="00915DBD" w:rsidRDefault="007F1017" w:rsidP="00E072B9">
            <w:pPr>
              <w:pStyle w:val="Tabletext"/>
              <w:keepNext/>
              <w:rPr>
                <w:i/>
              </w:rPr>
            </w:pPr>
            <w:r w:rsidRPr="00915DBD">
              <w:t xml:space="preserve">R, </w:t>
            </w:r>
            <w:r w:rsidR="00C60118" w:rsidRPr="00915DBD">
              <w:t>DB</w:t>
            </w:r>
            <w:r w:rsidR="0047443C" w:rsidRPr="00915DBD">
              <w:t xml:space="preserve">; </w:t>
            </w:r>
            <w:r w:rsidRPr="00915DBD">
              <w:t>3 mths</w:t>
            </w:r>
          </w:p>
        </w:tc>
        <w:tc>
          <w:tcPr>
            <w:tcW w:w="473" w:type="pct"/>
            <w:vAlign w:val="center"/>
          </w:tcPr>
          <w:p w14:paraId="6F0F93F8" w14:textId="433C7DFD" w:rsidR="007F1017" w:rsidRPr="00915DBD" w:rsidRDefault="00C60118" w:rsidP="00E072B9">
            <w:pPr>
              <w:pStyle w:val="Tabletext"/>
              <w:keepNext/>
              <w:rPr>
                <w:i/>
              </w:rPr>
            </w:pPr>
            <w:r w:rsidRPr="00915DBD">
              <w:t>Low</w:t>
            </w:r>
          </w:p>
        </w:tc>
        <w:tc>
          <w:tcPr>
            <w:tcW w:w="471" w:type="pct"/>
            <w:vAlign w:val="center"/>
          </w:tcPr>
          <w:p w14:paraId="43AC963E" w14:textId="76DCBC5F" w:rsidR="00B21E08" w:rsidRPr="00915DBD" w:rsidRDefault="00C60118" w:rsidP="00E072B9">
            <w:pPr>
              <w:pStyle w:val="Tabletext"/>
              <w:keepNext/>
              <w:rPr>
                <w:i/>
              </w:rPr>
            </w:pPr>
            <w:r w:rsidRPr="00915DBD">
              <w:t>AIP</w:t>
            </w:r>
          </w:p>
        </w:tc>
        <w:tc>
          <w:tcPr>
            <w:tcW w:w="1861" w:type="pct"/>
            <w:vAlign w:val="center"/>
          </w:tcPr>
          <w:p w14:paraId="437B8A38" w14:textId="3E796CEA" w:rsidR="00886F2D" w:rsidRPr="00915DBD" w:rsidRDefault="00886F2D" w:rsidP="00E072B9">
            <w:pPr>
              <w:pStyle w:val="Tabletext"/>
              <w:keepNext/>
              <w:rPr>
                <w:i/>
              </w:rPr>
            </w:pPr>
            <w:r w:rsidRPr="00915DBD">
              <w:t xml:space="preserve">AEs (1°) </w:t>
            </w:r>
          </w:p>
          <w:p w14:paraId="7DC19094" w14:textId="76324F36" w:rsidR="00886F2D" w:rsidRPr="00915DBD" w:rsidRDefault="00886F2D" w:rsidP="00E072B9">
            <w:pPr>
              <w:pStyle w:val="Tabletext"/>
              <w:keepNext/>
              <w:rPr>
                <w:i/>
              </w:rPr>
            </w:pPr>
            <w:r w:rsidRPr="00915DBD">
              <w:t>PD</w:t>
            </w:r>
            <w:r w:rsidR="001C5687" w:rsidRPr="00915DBD">
              <w:t>;</w:t>
            </w:r>
            <w:r w:rsidRPr="00915DBD">
              <w:t xml:space="preserve"> urinary ALA and PBG</w:t>
            </w:r>
            <w:r w:rsidR="001C5687" w:rsidRPr="00915DBD">
              <w:t>; daily hemin use</w:t>
            </w:r>
            <w:r w:rsidRPr="00915DBD">
              <w:t xml:space="preserve"> </w:t>
            </w:r>
          </w:p>
          <w:p w14:paraId="4F0C99D2" w14:textId="06D6E952" w:rsidR="00886F2D" w:rsidRPr="00915DBD" w:rsidRDefault="00886F2D" w:rsidP="00E072B9">
            <w:pPr>
              <w:pStyle w:val="Tabletext"/>
              <w:keepNext/>
              <w:rPr>
                <w:i/>
              </w:rPr>
            </w:pPr>
            <w:r w:rsidRPr="00915DBD">
              <w:t>ARR (exploratory)</w:t>
            </w:r>
          </w:p>
        </w:tc>
        <w:tc>
          <w:tcPr>
            <w:tcW w:w="548" w:type="pct"/>
            <w:vAlign w:val="center"/>
          </w:tcPr>
          <w:p w14:paraId="3175EA34" w14:textId="77777777" w:rsidR="007F1017" w:rsidRPr="00915DBD" w:rsidRDefault="007F1017" w:rsidP="00E072B9">
            <w:pPr>
              <w:pStyle w:val="Tabletext"/>
              <w:keepNext/>
              <w:rPr>
                <w:i/>
              </w:rPr>
            </w:pPr>
            <w:r w:rsidRPr="00915DBD">
              <w:t>Not used</w:t>
            </w:r>
          </w:p>
        </w:tc>
      </w:tr>
      <w:tr w:rsidR="0047443C" w:rsidRPr="00915DBD" w14:paraId="6DAFAEAF" w14:textId="77777777" w:rsidTr="0047443C">
        <w:trPr>
          <w:cantSplit/>
        </w:trPr>
        <w:tc>
          <w:tcPr>
            <w:tcW w:w="5000" w:type="pct"/>
            <w:gridSpan w:val="7"/>
            <w:vAlign w:val="center"/>
          </w:tcPr>
          <w:p w14:paraId="0351A18F" w14:textId="3729742D" w:rsidR="0047443C" w:rsidRPr="00915DBD" w:rsidRDefault="0047443C" w:rsidP="00E072B9">
            <w:pPr>
              <w:pStyle w:val="TableText0"/>
              <w:keepNext/>
              <w:widowControl/>
              <w:rPr>
                <w:i/>
              </w:rPr>
            </w:pPr>
            <w:r w:rsidRPr="00915DBD">
              <w:t>Open</w:t>
            </w:r>
            <w:r w:rsidR="00E072B9">
              <w:noBreakHyphen/>
            </w:r>
            <w:r w:rsidRPr="00915DBD">
              <w:t>label extension studies</w:t>
            </w:r>
          </w:p>
        </w:tc>
      </w:tr>
      <w:tr w:rsidR="00053FE4" w:rsidRPr="00915DBD" w14:paraId="28762BB8" w14:textId="77777777" w:rsidTr="00053FE4">
        <w:trPr>
          <w:cantSplit/>
        </w:trPr>
        <w:tc>
          <w:tcPr>
            <w:tcW w:w="784" w:type="pct"/>
            <w:vAlign w:val="center"/>
          </w:tcPr>
          <w:p w14:paraId="04CC38D8" w14:textId="26FE6698" w:rsidR="00B21E08" w:rsidRPr="00915DBD" w:rsidRDefault="00B21E08" w:rsidP="00E072B9">
            <w:pPr>
              <w:pStyle w:val="TableText0"/>
              <w:keepNext/>
              <w:widowControl/>
              <w:rPr>
                <w:i/>
              </w:rPr>
            </w:pPr>
            <w:r w:rsidRPr="00915DBD">
              <w:t>ENVISION OLE</w:t>
            </w:r>
          </w:p>
        </w:tc>
        <w:tc>
          <w:tcPr>
            <w:tcW w:w="235" w:type="pct"/>
            <w:vAlign w:val="center"/>
          </w:tcPr>
          <w:p w14:paraId="29AD5FAE" w14:textId="5B696433" w:rsidR="00B21E08" w:rsidRPr="00915DBD" w:rsidRDefault="00B21E08" w:rsidP="00E072B9">
            <w:pPr>
              <w:pStyle w:val="Tabletext"/>
              <w:keepNext/>
              <w:rPr>
                <w:i/>
              </w:rPr>
            </w:pPr>
            <w:r w:rsidRPr="00915DBD">
              <w:t>93</w:t>
            </w:r>
          </w:p>
        </w:tc>
        <w:tc>
          <w:tcPr>
            <w:tcW w:w="628" w:type="pct"/>
            <w:vAlign w:val="center"/>
          </w:tcPr>
          <w:p w14:paraId="7B3C6C4D" w14:textId="07922B29" w:rsidR="00B21E08" w:rsidRPr="00915DBD" w:rsidRDefault="00B21E08" w:rsidP="00E072B9">
            <w:pPr>
              <w:pStyle w:val="Tabletext"/>
              <w:keepNext/>
              <w:rPr>
                <w:i/>
              </w:rPr>
            </w:pPr>
            <w:r w:rsidRPr="00915DBD">
              <w:t>OL, 30 mths</w:t>
            </w:r>
          </w:p>
        </w:tc>
        <w:tc>
          <w:tcPr>
            <w:tcW w:w="473" w:type="pct"/>
            <w:vAlign w:val="center"/>
          </w:tcPr>
          <w:p w14:paraId="5813BADC" w14:textId="65197BAD" w:rsidR="00B21E08" w:rsidRPr="00915DBD" w:rsidRDefault="00053FE4" w:rsidP="00E072B9">
            <w:pPr>
              <w:pStyle w:val="Tabletext"/>
              <w:keepNext/>
              <w:rPr>
                <w:i/>
                <w:vertAlign w:val="superscript"/>
              </w:rPr>
            </w:pPr>
            <w:r w:rsidRPr="00915DBD">
              <w:t>S</w:t>
            </w:r>
            <w:r w:rsidR="00B21E08" w:rsidRPr="00915DBD">
              <w:t>ound</w:t>
            </w:r>
            <w:r w:rsidR="00B21E08" w:rsidRPr="00915DBD">
              <w:rPr>
                <w:vertAlign w:val="superscript"/>
              </w:rPr>
              <w:t>a</w:t>
            </w:r>
          </w:p>
        </w:tc>
        <w:tc>
          <w:tcPr>
            <w:tcW w:w="471" w:type="pct"/>
            <w:vAlign w:val="center"/>
          </w:tcPr>
          <w:p w14:paraId="07EF8795" w14:textId="77777777" w:rsidR="00B21E08" w:rsidRPr="00915DBD" w:rsidRDefault="00B21E08" w:rsidP="00E072B9">
            <w:pPr>
              <w:pStyle w:val="Tabletext"/>
              <w:keepNext/>
              <w:rPr>
                <w:i/>
              </w:rPr>
            </w:pPr>
            <w:r w:rsidRPr="00915DBD">
              <w:t>AHP</w:t>
            </w:r>
          </w:p>
          <w:p w14:paraId="07F4718D" w14:textId="0B72B8DB" w:rsidR="00B21E08" w:rsidRPr="00915DBD" w:rsidRDefault="00B21E08" w:rsidP="00E072B9">
            <w:pPr>
              <w:pStyle w:val="Tabletext"/>
              <w:keepNext/>
              <w:rPr>
                <w:i/>
              </w:rPr>
            </w:pPr>
            <w:r w:rsidRPr="00915DBD">
              <w:t>(96% AIP)</w:t>
            </w:r>
          </w:p>
        </w:tc>
        <w:tc>
          <w:tcPr>
            <w:tcW w:w="1861" w:type="pct"/>
            <w:vAlign w:val="center"/>
          </w:tcPr>
          <w:p w14:paraId="448F724A" w14:textId="77777777" w:rsidR="00B21E08" w:rsidRPr="00915DBD" w:rsidRDefault="00B21E08" w:rsidP="00E072B9">
            <w:pPr>
              <w:pStyle w:val="Tabletext"/>
              <w:keepNext/>
              <w:rPr>
                <w:i/>
              </w:rPr>
            </w:pPr>
            <w:r w:rsidRPr="00915DBD">
              <w:t>AAR</w:t>
            </w:r>
          </w:p>
          <w:p w14:paraId="47B4E9B7" w14:textId="0BC136A3" w:rsidR="00B21E08" w:rsidRPr="00915DBD" w:rsidRDefault="00B21E08" w:rsidP="00E072B9">
            <w:pPr>
              <w:pStyle w:val="Tabletext"/>
              <w:keepNext/>
              <w:rPr>
                <w:i/>
              </w:rPr>
            </w:pPr>
            <w:r w:rsidRPr="00915DBD">
              <w:t>Urinary ALA and PBG; daily hemin use; HRQoL</w:t>
            </w:r>
          </w:p>
        </w:tc>
        <w:tc>
          <w:tcPr>
            <w:tcW w:w="548" w:type="pct"/>
            <w:vAlign w:val="center"/>
          </w:tcPr>
          <w:p w14:paraId="0276F3DE" w14:textId="68EFECF3" w:rsidR="00B21E08" w:rsidRPr="00915DBD" w:rsidRDefault="00B21E08" w:rsidP="00E072B9">
            <w:pPr>
              <w:pStyle w:val="Tabletext"/>
              <w:keepNext/>
              <w:rPr>
                <w:i/>
              </w:rPr>
            </w:pPr>
            <w:r w:rsidRPr="00915DBD">
              <w:t>Used</w:t>
            </w:r>
          </w:p>
        </w:tc>
      </w:tr>
      <w:tr w:rsidR="00053FE4" w:rsidRPr="00915DBD" w14:paraId="6BB16954" w14:textId="77777777" w:rsidTr="00053FE4">
        <w:trPr>
          <w:cantSplit/>
        </w:trPr>
        <w:tc>
          <w:tcPr>
            <w:tcW w:w="784" w:type="pct"/>
            <w:vAlign w:val="center"/>
          </w:tcPr>
          <w:p w14:paraId="587801CB" w14:textId="288E0826" w:rsidR="00B21E08" w:rsidRPr="00915DBD" w:rsidRDefault="00B21E08" w:rsidP="00E072B9">
            <w:pPr>
              <w:pStyle w:val="TableText0"/>
              <w:keepNext/>
              <w:widowControl/>
              <w:rPr>
                <w:i/>
              </w:rPr>
            </w:pPr>
            <w:r w:rsidRPr="00915DBD">
              <w:t>Study 002</w:t>
            </w:r>
          </w:p>
        </w:tc>
        <w:tc>
          <w:tcPr>
            <w:tcW w:w="235" w:type="pct"/>
            <w:vAlign w:val="center"/>
          </w:tcPr>
          <w:p w14:paraId="0EE9B253" w14:textId="304989FD" w:rsidR="00B21E08" w:rsidRPr="00915DBD" w:rsidRDefault="00B21E08" w:rsidP="00E072B9">
            <w:pPr>
              <w:pStyle w:val="Tabletext"/>
              <w:keepNext/>
              <w:rPr>
                <w:i/>
              </w:rPr>
            </w:pPr>
            <w:r w:rsidRPr="00915DBD">
              <w:t>16</w:t>
            </w:r>
          </w:p>
        </w:tc>
        <w:tc>
          <w:tcPr>
            <w:tcW w:w="628" w:type="pct"/>
            <w:vAlign w:val="center"/>
          </w:tcPr>
          <w:p w14:paraId="366ACB02" w14:textId="0F3754AB" w:rsidR="00B21E08" w:rsidRPr="00915DBD" w:rsidRDefault="00B21E08" w:rsidP="00E072B9">
            <w:pPr>
              <w:pStyle w:val="Tabletext"/>
              <w:keepNext/>
              <w:rPr>
                <w:i/>
              </w:rPr>
            </w:pPr>
            <w:r w:rsidRPr="00915DBD">
              <w:t>OL; up to 48 mths</w:t>
            </w:r>
          </w:p>
        </w:tc>
        <w:tc>
          <w:tcPr>
            <w:tcW w:w="473" w:type="pct"/>
            <w:vAlign w:val="center"/>
          </w:tcPr>
          <w:p w14:paraId="39FACFB0" w14:textId="33B2C49D" w:rsidR="00B21E08" w:rsidRPr="00915DBD" w:rsidRDefault="00053FE4" w:rsidP="00E072B9">
            <w:pPr>
              <w:pStyle w:val="Tabletext"/>
              <w:keepNext/>
              <w:rPr>
                <w:i/>
              </w:rPr>
            </w:pPr>
            <w:r w:rsidRPr="00915DBD">
              <w:t>S</w:t>
            </w:r>
            <w:r w:rsidR="00B21E08" w:rsidRPr="00915DBD">
              <w:t>ound</w:t>
            </w:r>
            <w:r w:rsidR="00B21E08" w:rsidRPr="00915DBD">
              <w:rPr>
                <w:vertAlign w:val="superscript"/>
              </w:rPr>
              <w:t>a</w:t>
            </w:r>
          </w:p>
        </w:tc>
        <w:tc>
          <w:tcPr>
            <w:tcW w:w="471" w:type="pct"/>
            <w:vAlign w:val="center"/>
          </w:tcPr>
          <w:p w14:paraId="65FE631C" w14:textId="7F06CDB1" w:rsidR="00B21E08" w:rsidRPr="00915DBD" w:rsidRDefault="00B21E08" w:rsidP="00E072B9">
            <w:pPr>
              <w:pStyle w:val="Tabletext"/>
              <w:keepNext/>
              <w:rPr>
                <w:i/>
              </w:rPr>
            </w:pPr>
            <w:r w:rsidRPr="00915DBD">
              <w:t>AIP</w:t>
            </w:r>
          </w:p>
        </w:tc>
        <w:tc>
          <w:tcPr>
            <w:tcW w:w="1861" w:type="pct"/>
            <w:vAlign w:val="center"/>
          </w:tcPr>
          <w:p w14:paraId="3293446D" w14:textId="77777777" w:rsidR="00B21E08" w:rsidRPr="00915DBD" w:rsidRDefault="00B21E08" w:rsidP="00E072B9">
            <w:pPr>
              <w:pStyle w:val="Tabletext"/>
              <w:keepNext/>
              <w:rPr>
                <w:i/>
              </w:rPr>
            </w:pPr>
            <w:r w:rsidRPr="00915DBD">
              <w:t xml:space="preserve">AEs (1°) </w:t>
            </w:r>
          </w:p>
          <w:p w14:paraId="38499247" w14:textId="797D6D54" w:rsidR="00B21E08" w:rsidRPr="00915DBD" w:rsidRDefault="00B21E08" w:rsidP="00E072B9">
            <w:pPr>
              <w:pStyle w:val="Tabletext"/>
              <w:keepNext/>
              <w:rPr>
                <w:i/>
              </w:rPr>
            </w:pPr>
            <w:r w:rsidRPr="00915DBD">
              <w:t>AAR</w:t>
            </w:r>
          </w:p>
          <w:p w14:paraId="6B2D10A5" w14:textId="09B145B6" w:rsidR="00B21E08" w:rsidRPr="00915DBD" w:rsidRDefault="00B21E08" w:rsidP="00E072B9">
            <w:pPr>
              <w:pStyle w:val="Tabletext"/>
              <w:keepNext/>
              <w:rPr>
                <w:i/>
              </w:rPr>
            </w:pPr>
            <w:r w:rsidRPr="00915DBD">
              <w:t xml:space="preserve">PD; urinary ALA and PBG; daily hemin use </w:t>
            </w:r>
          </w:p>
        </w:tc>
        <w:tc>
          <w:tcPr>
            <w:tcW w:w="548" w:type="pct"/>
            <w:vAlign w:val="center"/>
          </w:tcPr>
          <w:p w14:paraId="3AE4843A" w14:textId="57621432" w:rsidR="00B21E08" w:rsidRPr="00915DBD" w:rsidRDefault="00B21E08" w:rsidP="00E072B9">
            <w:pPr>
              <w:pStyle w:val="Tabletext"/>
              <w:keepNext/>
              <w:rPr>
                <w:i/>
              </w:rPr>
            </w:pPr>
            <w:r w:rsidRPr="00915DBD">
              <w:t>Not used</w:t>
            </w:r>
          </w:p>
        </w:tc>
      </w:tr>
    </w:tbl>
    <w:p w14:paraId="560080D2" w14:textId="1BD8A4CF" w:rsidR="00045017" w:rsidRPr="00E750DB" w:rsidRDefault="00045017" w:rsidP="00E072B9">
      <w:pPr>
        <w:pStyle w:val="FooterTableFigure"/>
        <w:keepNext/>
        <w:keepLines/>
      </w:pPr>
      <w:r w:rsidRPr="00E750DB">
        <w:t xml:space="preserve">Source: </w:t>
      </w:r>
      <w:r w:rsidR="001C5687" w:rsidRPr="00E750DB">
        <w:t>compiled during the evaluation</w:t>
      </w:r>
      <w:r w:rsidRPr="00E750DB">
        <w:t>.</w:t>
      </w:r>
    </w:p>
    <w:p w14:paraId="1095487C" w14:textId="7D878319" w:rsidR="00620C25" w:rsidRPr="00E750DB" w:rsidRDefault="00886F2D" w:rsidP="00E072B9">
      <w:pPr>
        <w:pStyle w:val="FooterTableFigure"/>
        <w:keepNext/>
        <w:keepLines/>
      </w:pPr>
      <w:r w:rsidRPr="00E750DB">
        <w:t xml:space="preserve">1°=primary outcome; AAR=acute attack rate; AEs=adverse events; AHP=acute hepatic porphyria; AIP=acute intermittent porphyria; </w:t>
      </w:r>
      <w:r w:rsidR="001C5687" w:rsidRPr="00E750DB">
        <w:rPr>
          <w:szCs w:val="18"/>
        </w:rPr>
        <w:t>ALA=aminolevulinic acid; PBG=porphobilinogen;</w:t>
      </w:r>
      <w:r w:rsidR="001C5687" w:rsidRPr="00E750DB">
        <w:t xml:space="preserve"> </w:t>
      </w:r>
      <w:r w:rsidR="00620C25" w:rsidRPr="00E750DB">
        <w:t xml:space="preserve">DB=double blind; </w:t>
      </w:r>
      <w:r w:rsidR="001C5687" w:rsidRPr="00E750DB">
        <w:t xml:space="preserve">HRQoL=health related quality of life; </w:t>
      </w:r>
      <w:r w:rsidRPr="00E750DB">
        <w:t xml:space="preserve">mths=months; </w:t>
      </w:r>
      <w:r w:rsidR="00620C25" w:rsidRPr="00E750DB">
        <w:t>OL=open label;</w:t>
      </w:r>
      <w:r w:rsidRPr="00E750DB">
        <w:t xml:space="preserve"> PD=pharmacodynamic; PK=pharmacokinetic;</w:t>
      </w:r>
      <w:r w:rsidR="00A550BD">
        <w:t xml:space="preserve"> </w:t>
      </w:r>
      <w:r w:rsidR="00620C25" w:rsidRPr="00E750DB">
        <w:t>R=randomised.</w:t>
      </w:r>
    </w:p>
    <w:p w14:paraId="15B1D83E" w14:textId="020BBBD7" w:rsidR="00B21E08" w:rsidRPr="00E750DB" w:rsidRDefault="00B21E08" w:rsidP="00E072B9">
      <w:pPr>
        <w:pStyle w:val="FooterTableFigure"/>
        <w:keepNext/>
        <w:keepLines/>
      </w:pPr>
      <w:r w:rsidRPr="00E750DB">
        <w:t>a a</w:t>
      </w:r>
      <w:r w:rsidR="00053FE4" w:rsidRPr="00E750DB">
        <w:t xml:space="preserve">ssessed as “Methodologically sound” </w:t>
      </w:r>
      <w:r w:rsidRPr="00E750DB">
        <w:t>using the Critical Appraisal Skills Programme (CASP) tool</w:t>
      </w:r>
    </w:p>
    <w:p w14:paraId="4A4FE085" w14:textId="1C5613CC" w:rsidR="00B60939" w:rsidRPr="00E750DB" w:rsidRDefault="00B60939" w:rsidP="00E072B9">
      <w:pPr>
        <w:pStyle w:val="4-SubsectionHeading"/>
      </w:pPr>
      <w:bookmarkStart w:id="25" w:name="_Toc22897641"/>
      <w:bookmarkStart w:id="26" w:name="_Toc198715358"/>
      <w:r w:rsidRPr="00E750DB">
        <w:t>Comparative effectiveness</w:t>
      </w:r>
      <w:bookmarkEnd w:id="25"/>
      <w:bookmarkEnd w:id="26"/>
    </w:p>
    <w:p w14:paraId="28593FB8" w14:textId="5128C124" w:rsidR="002C2775" w:rsidRPr="00E750DB" w:rsidRDefault="001B3B30" w:rsidP="00E072B9">
      <w:pPr>
        <w:pStyle w:val="3-BodyText"/>
      </w:pPr>
      <w:r w:rsidRPr="00E750DB">
        <w:t>The porphyria attack composite endpoint—defined as attacks requiring hospitalisation, urgent healthcare visits, or intravenous hemin administration at home—was the primary endpoint for AIP patients (full analysis set; FAS</w:t>
      </w:r>
      <w:r w:rsidRPr="00E750DB">
        <w:rPr>
          <w:vertAlign w:val="subscript"/>
        </w:rPr>
        <w:t>AIP</w:t>
      </w:r>
      <w:r w:rsidRPr="00E750DB">
        <w:t>) and a secondary endpoint for all AHP patients (FAS).</w:t>
      </w:r>
      <w:r w:rsidRPr="00915DBD">
        <w:rPr>
          <w:iCs/>
        </w:rPr>
        <w:t xml:space="preserve"> </w:t>
      </w:r>
      <w:r w:rsidRPr="00E750DB">
        <w:t>Annualised rate of porphyria attack composite endpoint during the 6</w:t>
      </w:r>
      <w:r w:rsidR="00E072B9">
        <w:noBreakHyphen/>
      </w:r>
      <w:r w:rsidRPr="00E750DB">
        <w:t>month DB period in FAS</w:t>
      </w:r>
      <w:r w:rsidRPr="00E750DB">
        <w:rPr>
          <w:vertAlign w:val="subscript"/>
        </w:rPr>
        <w:t xml:space="preserve">AIP </w:t>
      </w:r>
      <w:r w:rsidRPr="00E750DB">
        <w:t xml:space="preserve">and FAS are presented </w:t>
      </w:r>
      <w:r w:rsidRPr="00E750DB">
        <w:fldChar w:fldCharType="begin" w:fldLock="1"/>
      </w:r>
      <w:r w:rsidRPr="00E750DB">
        <w:instrText xml:space="preserve"> REF _Ref198087206 \h </w:instrText>
      </w:r>
      <w:r w:rsidRPr="00E750DB">
        <w:fldChar w:fldCharType="separate"/>
      </w:r>
      <w:r w:rsidR="00E750DB" w:rsidRPr="00E750DB">
        <w:t>Table 4</w:t>
      </w:r>
      <w:r w:rsidRPr="00E750DB">
        <w:fldChar w:fldCharType="end"/>
      </w:r>
      <w:r w:rsidRPr="00E750DB">
        <w:t>.</w:t>
      </w:r>
    </w:p>
    <w:p w14:paraId="381EF941" w14:textId="76BA3E6F" w:rsidR="00B21E08" w:rsidRPr="00E750DB" w:rsidRDefault="00B21E08" w:rsidP="00E072B9">
      <w:pPr>
        <w:pStyle w:val="Caption"/>
      </w:pPr>
      <w:bookmarkStart w:id="27" w:name="_Ref198087206"/>
      <w:r w:rsidRPr="00E750DB">
        <w:t xml:space="preserve">Table </w:t>
      </w:r>
      <w:r w:rsidR="00E750DB">
        <w:fldChar w:fldCharType="begin" w:fldLock="1"/>
      </w:r>
      <w:r w:rsidR="00E750DB">
        <w:instrText xml:space="preserve"> SEQ Table \* ARABIC </w:instrText>
      </w:r>
      <w:r w:rsidR="00E750DB">
        <w:fldChar w:fldCharType="separate"/>
      </w:r>
      <w:r w:rsidR="00E750DB" w:rsidRPr="00E750DB">
        <w:t>4</w:t>
      </w:r>
      <w:r w:rsidR="00E750DB">
        <w:fldChar w:fldCharType="end"/>
      </w:r>
      <w:bookmarkEnd w:id="27"/>
      <w:r w:rsidR="001B3B30" w:rsidRPr="00E750DB">
        <w:t xml:space="preserve">: </w:t>
      </w:r>
      <w:r w:rsidRPr="00E750DB">
        <w:t>Annualised rate of porphyria attack composite endpoint during the 6</w:t>
      </w:r>
      <w:r w:rsidR="00E072B9">
        <w:noBreakHyphen/>
      </w:r>
      <w:r w:rsidRPr="00E750DB">
        <w:t>month DB period – FAS</w:t>
      </w:r>
      <w:r w:rsidRPr="00E750DB">
        <w:rPr>
          <w:vertAlign w:val="subscript"/>
        </w:rPr>
        <w:t>AIP</w:t>
      </w:r>
      <w:r w:rsidRPr="00E750DB">
        <w:t xml:space="preserve"> and FAS (all AHP patients)</w:t>
      </w:r>
    </w:p>
    <w:tbl>
      <w:tblPr>
        <w:tblStyle w:val="TableGrid"/>
        <w:tblW w:w="0" w:type="auto"/>
        <w:tblLook w:val="04A0" w:firstRow="1" w:lastRow="0" w:firstColumn="1" w:lastColumn="0" w:noHBand="0" w:noVBand="1"/>
        <w:tblCaption w:val="Table 4: Annualised rate of porphyria attack composite endpoint during the 6 month DB period – FASAIP and FAS (all AHP patients)"/>
      </w:tblPr>
      <w:tblGrid>
        <w:gridCol w:w="3256"/>
        <w:gridCol w:w="1440"/>
        <w:gridCol w:w="1440"/>
        <w:gridCol w:w="1440"/>
        <w:gridCol w:w="1441"/>
      </w:tblGrid>
      <w:tr w:rsidR="00B21E08" w:rsidRPr="00E750DB" w14:paraId="16E30811" w14:textId="77777777" w:rsidTr="00580D86">
        <w:tc>
          <w:tcPr>
            <w:tcW w:w="3256" w:type="dxa"/>
            <w:vAlign w:val="bottom"/>
          </w:tcPr>
          <w:p w14:paraId="174D11B3" w14:textId="77777777" w:rsidR="00B21E08" w:rsidRPr="00E750DB" w:rsidRDefault="00B21E08" w:rsidP="00E072B9">
            <w:pPr>
              <w:pStyle w:val="Tabletext8pt"/>
              <w:spacing w:before="0" w:after="0"/>
              <w:rPr>
                <w:rFonts w:ascii="Arial Narrow" w:hAnsi="Arial Narrow"/>
                <w:b/>
                <w:bCs/>
                <w:sz w:val="20"/>
                <w:szCs w:val="20"/>
              </w:rPr>
            </w:pPr>
            <w:r w:rsidRPr="00E750DB">
              <w:rPr>
                <w:rFonts w:ascii="Arial Narrow" w:hAnsi="Arial Narrow"/>
                <w:b/>
                <w:bCs/>
                <w:sz w:val="20"/>
                <w:szCs w:val="20"/>
              </w:rPr>
              <w:t>Statistics</w:t>
            </w:r>
          </w:p>
        </w:tc>
        <w:tc>
          <w:tcPr>
            <w:tcW w:w="2880" w:type="dxa"/>
            <w:gridSpan w:val="2"/>
            <w:vAlign w:val="center"/>
          </w:tcPr>
          <w:p w14:paraId="02ACC6C4"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FAS</w:t>
            </w:r>
            <w:r w:rsidRPr="00E750DB">
              <w:rPr>
                <w:rFonts w:ascii="Arial Narrow" w:hAnsi="Arial Narrow"/>
                <w:b/>
                <w:bCs/>
                <w:sz w:val="20"/>
                <w:szCs w:val="20"/>
                <w:vertAlign w:val="subscript"/>
              </w:rPr>
              <w:t>AIP</w:t>
            </w:r>
          </w:p>
        </w:tc>
        <w:tc>
          <w:tcPr>
            <w:tcW w:w="2881" w:type="dxa"/>
            <w:gridSpan w:val="2"/>
            <w:vAlign w:val="center"/>
          </w:tcPr>
          <w:p w14:paraId="3951EC4D"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FAS</w:t>
            </w:r>
          </w:p>
        </w:tc>
      </w:tr>
      <w:tr w:rsidR="00B21E08" w:rsidRPr="00E750DB" w14:paraId="0DCD17B9" w14:textId="77777777" w:rsidTr="00580D86">
        <w:tc>
          <w:tcPr>
            <w:tcW w:w="3256" w:type="dxa"/>
            <w:vAlign w:val="bottom"/>
          </w:tcPr>
          <w:p w14:paraId="1EB9203C" w14:textId="77777777" w:rsidR="00B21E08" w:rsidRPr="00E750DB" w:rsidRDefault="00B21E08" w:rsidP="00E072B9">
            <w:pPr>
              <w:pStyle w:val="Tabletext8pt"/>
              <w:spacing w:before="0" w:after="0"/>
              <w:rPr>
                <w:rFonts w:ascii="Arial Narrow" w:hAnsi="Arial Narrow"/>
                <w:b/>
                <w:bCs/>
                <w:sz w:val="20"/>
                <w:szCs w:val="20"/>
              </w:rPr>
            </w:pPr>
          </w:p>
        </w:tc>
        <w:tc>
          <w:tcPr>
            <w:tcW w:w="1440" w:type="dxa"/>
            <w:vAlign w:val="center"/>
          </w:tcPr>
          <w:p w14:paraId="3F167025"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Givosiran (N=46)</w:t>
            </w:r>
          </w:p>
        </w:tc>
        <w:tc>
          <w:tcPr>
            <w:tcW w:w="1440" w:type="dxa"/>
            <w:vAlign w:val="center"/>
          </w:tcPr>
          <w:p w14:paraId="5AD906D1"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 xml:space="preserve">Placebo </w:t>
            </w:r>
          </w:p>
          <w:p w14:paraId="52E775CA"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(N=43)</w:t>
            </w:r>
          </w:p>
        </w:tc>
        <w:tc>
          <w:tcPr>
            <w:tcW w:w="1440" w:type="dxa"/>
            <w:vAlign w:val="center"/>
          </w:tcPr>
          <w:p w14:paraId="149E9583"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Givosiran (N=48)</w:t>
            </w:r>
          </w:p>
        </w:tc>
        <w:tc>
          <w:tcPr>
            <w:tcW w:w="1441" w:type="dxa"/>
            <w:vAlign w:val="center"/>
          </w:tcPr>
          <w:p w14:paraId="22DA6EE0"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 xml:space="preserve">Placebo </w:t>
            </w:r>
          </w:p>
          <w:p w14:paraId="30DC4844"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(N=46)</w:t>
            </w:r>
          </w:p>
        </w:tc>
      </w:tr>
      <w:tr w:rsidR="00B21E08" w:rsidRPr="00E750DB" w14:paraId="25231066" w14:textId="77777777" w:rsidTr="00580D86">
        <w:tc>
          <w:tcPr>
            <w:tcW w:w="3256" w:type="dxa"/>
            <w:vAlign w:val="center"/>
          </w:tcPr>
          <w:p w14:paraId="1013BE78"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Total number of attacks</w:t>
            </w:r>
          </w:p>
        </w:tc>
        <w:tc>
          <w:tcPr>
            <w:tcW w:w="1440" w:type="dxa"/>
            <w:vAlign w:val="center"/>
          </w:tcPr>
          <w:p w14:paraId="607EC627"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83</w:t>
            </w:r>
          </w:p>
        </w:tc>
        <w:tc>
          <w:tcPr>
            <w:tcW w:w="1440" w:type="dxa"/>
            <w:vAlign w:val="center"/>
          </w:tcPr>
          <w:p w14:paraId="7A84A7B9"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284</w:t>
            </w:r>
          </w:p>
        </w:tc>
        <w:tc>
          <w:tcPr>
            <w:tcW w:w="1440" w:type="dxa"/>
            <w:vAlign w:val="center"/>
          </w:tcPr>
          <w:p w14:paraId="4E235114"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90</w:t>
            </w:r>
          </w:p>
        </w:tc>
        <w:tc>
          <w:tcPr>
            <w:tcW w:w="1441" w:type="dxa"/>
            <w:vAlign w:val="center"/>
          </w:tcPr>
          <w:p w14:paraId="3BEA4342"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297</w:t>
            </w:r>
          </w:p>
        </w:tc>
      </w:tr>
      <w:tr w:rsidR="00B21E08" w:rsidRPr="00E750DB" w14:paraId="4BF6978B" w14:textId="77777777" w:rsidTr="00580D86">
        <w:tc>
          <w:tcPr>
            <w:tcW w:w="3256" w:type="dxa"/>
            <w:vAlign w:val="center"/>
          </w:tcPr>
          <w:p w14:paraId="4D38CF3A" w14:textId="5353A769"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Total follow</w:t>
            </w:r>
            <w:r w:rsidR="00E072B9">
              <w:rPr>
                <w:rFonts w:ascii="Arial Narrow" w:hAnsi="Arial Narrow"/>
                <w:sz w:val="20"/>
                <w:szCs w:val="20"/>
              </w:rPr>
              <w:noBreakHyphen/>
            </w:r>
            <w:r w:rsidRPr="00E750DB">
              <w:rPr>
                <w:rFonts w:ascii="Arial Narrow" w:hAnsi="Arial Narrow"/>
                <w:sz w:val="20"/>
                <w:szCs w:val="20"/>
              </w:rPr>
              <w:t>up time (years)</w:t>
            </w:r>
          </w:p>
        </w:tc>
        <w:tc>
          <w:tcPr>
            <w:tcW w:w="1440" w:type="dxa"/>
            <w:vAlign w:val="center"/>
          </w:tcPr>
          <w:p w14:paraId="1772CA6D"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21.5</w:t>
            </w:r>
          </w:p>
        </w:tc>
        <w:tc>
          <w:tcPr>
            <w:tcW w:w="1440" w:type="dxa"/>
            <w:vAlign w:val="center"/>
          </w:tcPr>
          <w:p w14:paraId="29CC6FB8"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19.4</w:t>
            </w:r>
          </w:p>
        </w:tc>
        <w:tc>
          <w:tcPr>
            <w:tcW w:w="1440" w:type="dxa"/>
            <w:vAlign w:val="center"/>
          </w:tcPr>
          <w:p w14:paraId="22E6C18F"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22.4</w:t>
            </w:r>
          </w:p>
        </w:tc>
        <w:tc>
          <w:tcPr>
            <w:tcW w:w="1441" w:type="dxa"/>
            <w:vAlign w:val="center"/>
          </w:tcPr>
          <w:p w14:paraId="099C4B04"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21.2</w:t>
            </w:r>
          </w:p>
        </w:tc>
      </w:tr>
      <w:tr w:rsidR="00B21E08" w:rsidRPr="00E750DB" w14:paraId="48D42A2B" w14:textId="77777777" w:rsidTr="00580D86">
        <w:tc>
          <w:tcPr>
            <w:tcW w:w="3256" w:type="dxa"/>
            <w:vAlign w:val="center"/>
          </w:tcPr>
          <w:p w14:paraId="4E208716"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Number of patients with 0 attacks, n (%)</w:t>
            </w:r>
          </w:p>
        </w:tc>
        <w:tc>
          <w:tcPr>
            <w:tcW w:w="1440" w:type="dxa"/>
            <w:vAlign w:val="center"/>
          </w:tcPr>
          <w:p w14:paraId="50EB3DCB"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23 (50.0)</w:t>
            </w:r>
          </w:p>
        </w:tc>
        <w:tc>
          <w:tcPr>
            <w:tcW w:w="1440" w:type="dxa"/>
            <w:vAlign w:val="center"/>
          </w:tcPr>
          <w:p w14:paraId="6BAE76AD"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7 (16.3)</w:t>
            </w:r>
          </w:p>
        </w:tc>
        <w:tc>
          <w:tcPr>
            <w:tcW w:w="1440" w:type="dxa"/>
            <w:vAlign w:val="center"/>
          </w:tcPr>
          <w:p w14:paraId="1F0BB433"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24 (50.0)</w:t>
            </w:r>
          </w:p>
        </w:tc>
        <w:tc>
          <w:tcPr>
            <w:tcW w:w="1441" w:type="dxa"/>
            <w:vAlign w:val="center"/>
          </w:tcPr>
          <w:p w14:paraId="1F0CCAFE"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8 (17.4)</w:t>
            </w:r>
          </w:p>
        </w:tc>
      </w:tr>
      <w:tr w:rsidR="00B21E08" w:rsidRPr="00E750DB" w14:paraId="6F6D2661" w14:textId="77777777" w:rsidTr="00580D86">
        <w:tc>
          <w:tcPr>
            <w:tcW w:w="3256" w:type="dxa"/>
            <w:vAlign w:val="center"/>
          </w:tcPr>
          <w:p w14:paraId="0E62A0CC"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Median AAR (Q1,Q3)</w:t>
            </w:r>
          </w:p>
        </w:tc>
        <w:tc>
          <w:tcPr>
            <w:tcW w:w="1440" w:type="dxa"/>
            <w:vAlign w:val="center"/>
          </w:tcPr>
          <w:p w14:paraId="78BF582B" w14:textId="1D571156"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p>
          <w:p w14:paraId="5FA67450" w14:textId="41AC63FA"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(0.0, 6.2)</w:t>
            </w:r>
          </w:p>
        </w:tc>
        <w:tc>
          <w:tcPr>
            <w:tcW w:w="1440" w:type="dxa"/>
            <w:vAlign w:val="center"/>
          </w:tcPr>
          <w:p w14:paraId="0FC9034C" w14:textId="0D845872"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r w:rsidR="0013202F">
              <w:rPr>
                <w:rFonts w:ascii="Arial Narrow" w:hAnsi="Arial Narrow"/>
                <w:sz w:val="20"/>
                <w:szCs w:val="20"/>
              </w:rPr>
              <w:t>7</w:t>
            </w:r>
            <w:r w:rsidR="0013202F" w:rsidRPr="00E750DB">
              <w:rPr>
                <w:rFonts w:ascii="Arial Narrow" w:hAnsi="Arial Narrow"/>
                <w:sz w:val="20"/>
                <w:szCs w:val="20"/>
              </w:rPr>
              <w:t xml:space="preserve"> </w:t>
            </w:r>
          </w:p>
          <w:p w14:paraId="2D90331B" w14:textId="5D4C3D13"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(2.2, 26.</w:t>
            </w:r>
            <w:r w:rsidR="0013202F">
              <w:rPr>
                <w:rFonts w:ascii="Arial Narrow" w:hAnsi="Arial Narrow"/>
                <w:sz w:val="20"/>
                <w:szCs w:val="20"/>
              </w:rPr>
              <w:t>1</w:t>
            </w:r>
            <w:r w:rsidRPr="00E750DB">
              <w:rPr>
                <w:rFonts w:ascii="Arial Narrow" w:hAnsi="Arial Narrow"/>
                <w:sz w:val="20"/>
                <w:szCs w:val="20"/>
              </w:rPr>
              <w:t>)</w:t>
            </w:r>
          </w:p>
        </w:tc>
        <w:tc>
          <w:tcPr>
            <w:tcW w:w="1440" w:type="dxa"/>
            <w:vAlign w:val="center"/>
          </w:tcPr>
          <w:p w14:paraId="10056B01" w14:textId="50CFD752"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p>
          <w:p w14:paraId="3AE6B0D3" w14:textId="7CCAF380"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(0.0,6.</w:t>
            </w:r>
            <w:r w:rsidR="003F7CD0">
              <w:rPr>
                <w:rFonts w:ascii="Arial Narrow" w:hAnsi="Arial Narrow"/>
                <w:sz w:val="20"/>
                <w:szCs w:val="20"/>
              </w:rPr>
              <w:t>4</w:t>
            </w:r>
            <w:r w:rsidRPr="00E750DB">
              <w:rPr>
                <w:rFonts w:ascii="Arial Narrow" w:hAnsi="Arial Narrow"/>
                <w:sz w:val="20"/>
                <w:szCs w:val="20"/>
              </w:rPr>
              <w:t>)</w:t>
            </w:r>
          </w:p>
        </w:tc>
        <w:tc>
          <w:tcPr>
            <w:tcW w:w="1441" w:type="dxa"/>
            <w:vAlign w:val="center"/>
          </w:tcPr>
          <w:p w14:paraId="3F1A4F9E" w14:textId="3CBF604B"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r w:rsidR="003F7CD0">
              <w:rPr>
                <w:rFonts w:ascii="Arial Narrow" w:hAnsi="Arial Narrow"/>
                <w:sz w:val="20"/>
                <w:szCs w:val="20"/>
              </w:rPr>
              <w:t>7</w:t>
            </w:r>
            <w:r w:rsidRPr="00E750DB">
              <w:rPr>
                <w:rFonts w:ascii="Arial Narrow" w:hAnsi="Arial Narrow"/>
                <w:sz w:val="20"/>
                <w:szCs w:val="20"/>
              </w:rPr>
              <w:t xml:space="preserve"> (2.2,25.9)</w:t>
            </w:r>
          </w:p>
        </w:tc>
      </w:tr>
      <w:tr w:rsidR="00B21E08" w:rsidRPr="00E750DB" w14:paraId="60EFFF66" w14:textId="77777777" w:rsidTr="00580D86">
        <w:tc>
          <w:tcPr>
            <w:tcW w:w="3256" w:type="dxa"/>
            <w:vAlign w:val="center"/>
          </w:tcPr>
          <w:p w14:paraId="49664A1A" w14:textId="1ED6C085" w:rsidR="00B21E08" w:rsidRPr="00E750DB" w:rsidRDefault="00B21E08" w:rsidP="00E072B9">
            <w:pPr>
              <w:pStyle w:val="Tabletext8pt"/>
              <w:spacing w:before="0" w:after="0"/>
              <w:rPr>
                <w:rFonts w:ascii="Arial Narrow" w:hAnsi="Arial Narrow"/>
                <w:sz w:val="20"/>
                <w:szCs w:val="20"/>
              </w:rPr>
            </w:pPr>
            <w:r w:rsidRPr="00915DBD">
              <w:rPr>
                <w:rFonts w:ascii="Arial Narrow" w:hAnsi="Arial Narrow"/>
                <w:iCs/>
                <w:sz w:val="20"/>
                <w:szCs w:val="20"/>
              </w:rPr>
              <w:t>Me</w:t>
            </w:r>
            <w:r w:rsidR="00B87C54" w:rsidRPr="00915DBD">
              <w:rPr>
                <w:rFonts w:ascii="Arial Narrow" w:hAnsi="Arial Narrow"/>
                <w:iCs/>
                <w:sz w:val="20"/>
                <w:szCs w:val="20"/>
              </w:rPr>
              <w:t>a</w:t>
            </w:r>
            <w:r w:rsidRPr="00915DBD">
              <w:rPr>
                <w:rFonts w:ascii="Arial Narrow" w:hAnsi="Arial Narrow"/>
                <w:iCs/>
                <w:sz w:val="20"/>
                <w:szCs w:val="20"/>
              </w:rPr>
              <w:t>n</w:t>
            </w:r>
            <w:r w:rsidRPr="00E750DB">
              <w:rPr>
                <w:rFonts w:ascii="Arial Narrow" w:hAnsi="Arial Narrow"/>
                <w:sz w:val="20"/>
                <w:szCs w:val="20"/>
              </w:rPr>
              <w:t xml:space="preserve"> AAR (95% CI)</w:t>
            </w:r>
          </w:p>
        </w:tc>
        <w:tc>
          <w:tcPr>
            <w:tcW w:w="1440" w:type="dxa"/>
            <w:vAlign w:val="center"/>
          </w:tcPr>
          <w:p w14:paraId="7435B2D1" w14:textId="14DDFE95"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3.2</w:t>
            </w:r>
          </w:p>
          <w:p w14:paraId="4B19E0EE" w14:textId="72722836"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(2.</w:t>
            </w:r>
            <w:r w:rsidR="0063590F">
              <w:rPr>
                <w:rFonts w:ascii="Arial Narrow" w:hAnsi="Arial Narrow"/>
                <w:sz w:val="20"/>
                <w:szCs w:val="20"/>
              </w:rPr>
              <w:t>3</w:t>
            </w:r>
            <w:r w:rsidRPr="00E750DB">
              <w:rPr>
                <w:rFonts w:ascii="Arial Narrow" w:hAnsi="Arial Narrow"/>
                <w:sz w:val="20"/>
                <w:szCs w:val="20"/>
              </w:rPr>
              <w:t>, 4.</w:t>
            </w:r>
            <w:r w:rsidR="0063590F">
              <w:rPr>
                <w:rFonts w:ascii="Arial Narrow" w:hAnsi="Arial Narrow"/>
                <w:sz w:val="20"/>
                <w:szCs w:val="20"/>
              </w:rPr>
              <w:t>6</w:t>
            </w:r>
            <w:r w:rsidRPr="00E750DB">
              <w:rPr>
                <w:rFonts w:ascii="Arial Narrow" w:hAnsi="Arial Narrow"/>
                <w:sz w:val="20"/>
                <w:szCs w:val="20"/>
              </w:rPr>
              <w:t>)</w:t>
            </w:r>
          </w:p>
        </w:tc>
        <w:tc>
          <w:tcPr>
            <w:tcW w:w="1440" w:type="dxa"/>
            <w:vAlign w:val="center"/>
          </w:tcPr>
          <w:p w14:paraId="7B940D94" w14:textId="207D934F" w:rsidR="009F2662"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 xml:space="preserve">12.5 </w:t>
            </w:r>
          </w:p>
          <w:p w14:paraId="3AD6DE9B" w14:textId="7F33FF03"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(9.</w:t>
            </w:r>
            <w:r w:rsidR="0013202F">
              <w:rPr>
                <w:rFonts w:ascii="Arial Narrow" w:hAnsi="Arial Narrow"/>
                <w:sz w:val="20"/>
                <w:szCs w:val="20"/>
              </w:rPr>
              <w:t>4</w:t>
            </w:r>
            <w:r w:rsidRPr="00E750DB">
              <w:rPr>
                <w:rFonts w:ascii="Arial Narrow" w:hAnsi="Arial Narrow"/>
                <w:sz w:val="20"/>
                <w:szCs w:val="20"/>
              </w:rPr>
              <w:t>, 16.</w:t>
            </w:r>
            <w:r w:rsidR="0013202F">
              <w:rPr>
                <w:rFonts w:ascii="Arial Narrow" w:hAnsi="Arial Narrow"/>
                <w:sz w:val="20"/>
                <w:szCs w:val="20"/>
              </w:rPr>
              <w:t>8</w:t>
            </w:r>
            <w:r w:rsidRPr="00E750DB">
              <w:rPr>
                <w:rFonts w:ascii="Arial Narrow" w:hAnsi="Arial Narrow"/>
                <w:sz w:val="20"/>
                <w:szCs w:val="20"/>
              </w:rPr>
              <w:t>)</w:t>
            </w:r>
          </w:p>
        </w:tc>
        <w:tc>
          <w:tcPr>
            <w:tcW w:w="1440" w:type="dxa"/>
            <w:vAlign w:val="center"/>
          </w:tcPr>
          <w:p w14:paraId="6026B979" w14:textId="08CB18D8"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3.</w:t>
            </w:r>
            <w:r w:rsidR="004B52F0">
              <w:rPr>
                <w:rFonts w:ascii="Arial Narrow" w:hAnsi="Arial Narrow"/>
                <w:sz w:val="20"/>
                <w:szCs w:val="20"/>
              </w:rPr>
              <w:t>4</w:t>
            </w:r>
            <w:r w:rsidR="004B52F0" w:rsidRPr="00E750DB">
              <w:rPr>
                <w:rFonts w:ascii="Arial Narrow" w:hAnsi="Arial Narrow"/>
                <w:sz w:val="20"/>
                <w:szCs w:val="20"/>
              </w:rPr>
              <w:t xml:space="preserve"> </w:t>
            </w:r>
          </w:p>
          <w:p w14:paraId="48A636A4" w14:textId="6B105CE9"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(2.</w:t>
            </w:r>
            <w:r w:rsidR="003F7CD0">
              <w:rPr>
                <w:rFonts w:ascii="Arial Narrow" w:hAnsi="Arial Narrow"/>
                <w:sz w:val="20"/>
                <w:szCs w:val="20"/>
              </w:rPr>
              <w:t>4</w:t>
            </w:r>
            <w:r w:rsidRPr="00E750DB">
              <w:rPr>
                <w:rFonts w:ascii="Arial Narrow" w:hAnsi="Arial Narrow"/>
                <w:sz w:val="20"/>
                <w:szCs w:val="20"/>
              </w:rPr>
              <w:t>, 4.</w:t>
            </w:r>
            <w:r w:rsidR="003F7CD0">
              <w:rPr>
                <w:rFonts w:ascii="Arial Narrow" w:hAnsi="Arial Narrow"/>
                <w:sz w:val="20"/>
                <w:szCs w:val="20"/>
              </w:rPr>
              <w:t>7</w:t>
            </w:r>
            <w:r w:rsidRPr="00E750DB">
              <w:rPr>
                <w:rFonts w:ascii="Arial Narrow" w:hAnsi="Arial Narrow"/>
                <w:sz w:val="20"/>
                <w:szCs w:val="20"/>
              </w:rPr>
              <w:t>)</w:t>
            </w:r>
          </w:p>
        </w:tc>
        <w:tc>
          <w:tcPr>
            <w:tcW w:w="1441" w:type="dxa"/>
            <w:vAlign w:val="center"/>
          </w:tcPr>
          <w:p w14:paraId="2B8B09B2" w14:textId="6DC953D9"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12.</w:t>
            </w:r>
            <w:r w:rsidR="004B52F0">
              <w:rPr>
                <w:rFonts w:ascii="Arial Narrow" w:hAnsi="Arial Narrow"/>
                <w:sz w:val="20"/>
                <w:szCs w:val="20"/>
              </w:rPr>
              <w:t>3</w:t>
            </w:r>
            <w:r w:rsidR="004B52F0" w:rsidRPr="00E750DB">
              <w:rPr>
                <w:rFonts w:ascii="Arial Narrow" w:hAnsi="Arial Narrow"/>
                <w:sz w:val="20"/>
                <w:szCs w:val="20"/>
              </w:rPr>
              <w:t xml:space="preserve"> </w:t>
            </w:r>
          </w:p>
          <w:p w14:paraId="0FFFBC85" w14:textId="7BF14692"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(9.2, 16.</w:t>
            </w:r>
            <w:r w:rsidR="004B52F0">
              <w:rPr>
                <w:rFonts w:ascii="Arial Narrow" w:hAnsi="Arial Narrow"/>
                <w:sz w:val="20"/>
                <w:szCs w:val="20"/>
              </w:rPr>
              <w:t>3</w:t>
            </w:r>
            <w:r w:rsidRPr="00E750DB">
              <w:rPr>
                <w:rFonts w:ascii="Arial Narrow" w:hAnsi="Arial Narrow"/>
                <w:sz w:val="20"/>
                <w:szCs w:val="20"/>
              </w:rPr>
              <w:t>)</w:t>
            </w:r>
          </w:p>
        </w:tc>
      </w:tr>
      <w:tr w:rsidR="00B21E08" w:rsidRPr="00E750DB" w14:paraId="0967D225" w14:textId="77777777" w:rsidTr="00580D86">
        <w:tc>
          <w:tcPr>
            <w:tcW w:w="3256" w:type="dxa"/>
            <w:vAlign w:val="center"/>
          </w:tcPr>
          <w:p w14:paraId="7225D806"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Rate ratio (95% CI) givosiran vs placebo</w:t>
            </w:r>
          </w:p>
        </w:tc>
        <w:tc>
          <w:tcPr>
            <w:tcW w:w="2880" w:type="dxa"/>
            <w:gridSpan w:val="2"/>
            <w:vAlign w:val="center"/>
          </w:tcPr>
          <w:p w14:paraId="30DD5491"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0.26 (0.16, 0.41)</w:t>
            </w:r>
          </w:p>
        </w:tc>
        <w:tc>
          <w:tcPr>
            <w:tcW w:w="2881" w:type="dxa"/>
            <w:gridSpan w:val="2"/>
            <w:vAlign w:val="center"/>
          </w:tcPr>
          <w:p w14:paraId="36021837"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0.27 (0.17, 0.43)</w:t>
            </w:r>
          </w:p>
        </w:tc>
      </w:tr>
      <w:tr w:rsidR="00B21E08" w:rsidRPr="00E750DB" w14:paraId="736C8B94" w14:textId="77777777" w:rsidTr="00580D86">
        <w:tc>
          <w:tcPr>
            <w:tcW w:w="3256" w:type="dxa"/>
            <w:vAlign w:val="center"/>
          </w:tcPr>
          <w:p w14:paraId="6EF598F3" w14:textId="7E57CAED"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p</w:t>
            </w:r>
            <w:r w:rsidR="00E072B9">
              <w:rPr>
                <w:rFonts w:ascii="Arial Narrow" w:hAnsi="Arial Narrow"/>
                <w:sz w:val="20"/>
                <w:szCs w:val="20"/>
              </w:rPr>
              <w:noBreakHyphen/>
            </w:r>
            <w:r w:rsidRPr="00E750DB">
              <w:rPr>
                <w:rFonts w:ascii="Arial Narrow" w:hAnsi="Arial Narrow"/>
                <w:sz w:val="20"/>
                <w:szCs w:val="20"/>
              </w:rPr>
              <w:t>value</w:t>
            </w:r>
          </w:p>
        </w:tc>
        <w:tc>
          <w:tcPr>
            <w:tcW w:w="2880" w:type="dxa"/>
            <w:gridSpan w:val="2"/>
            <w:vAlign w:val="center"/>
          </w:tcPr>
          <w:p w14:paraId="5EF9955E" w14:textId="66C28A0F" w:rsidR="00B21E08" w:rsidRPr="00E750DB" w:rsidRDefault="001F27E7" w:rsidP="00E072B9">
            <w:pPr>
              <w:pStyle w:val="Tabletext8pt"/>
              <w:spacing w:before="0" w:after="0"/>
              <w:jc w:val="center"/>
              <w:rPr>
                <w:rFonts w:ascii="Arial Narrow" w:hAnsi="Arial Narrow"/>
                <w:sz w:val="20"/>
                <w:szCs w:val="20"/>
              </w:rPr>
            </w:pPr>
            <w:r w:rsidRPr="00E750DB">
              <w:rPr>
                <w:rFonts w:ascii="Arial Narrow" w:hAnsi="Arial Narrow"/>
                <w:sz w:val="20"/>
                <w:szCs w:val="20"/>
              </w:rPr>
              <w:t>&lt;</w:t>
            </w:r>
            <w:r w:rsidR="00BC7441">
              <w:rPr>
                <w:rFonts w:ascii="Arial Narrow" w:hAnsi="Arial Narrow"/>
                <w:sz w:val="20"/>
                <w:szCs w:val="20"/>
              </w:rPr>
              <w:t xml:space="preserve"> </w:t>
            </w:r>
            <w:r w:rsidRPr="00E750DB">
              <w:rPr>
                <w:rFonts w:ascii="Arial Narrow" w:hAnsi="Arial Narrow"/>
                <w:sz w:val="20"/>
                <w:szCs w:val="20"/>
              </w:rPr>
              <w:t>0.001</w:t>
            </w:r>
          </w:p>
        </w:tc>
        <w:tc>
          <w:tcPr>
            <w:tcW w:w="2881" w:type="dxa"/>
            <w:gridSpan w:val="2"/>
            <w:vAlign w:val="center"/>
          </w:tcPr>
          <w:p w14:paraId="27E410FD" w14:textId="50373EF6" w:rsidR="00B21E08" w:rsidRPr="00E750DB" w:rsidRDefault="001F27E7" w:rsidP="00E072B9">
            <w:pPr>
              <w:pStyle w:val="Tabletext8pt"/>
              <w:spacing w:before="0" w:after="0"/>
              <w:jc w:val="center"/>
              <w:rPr>
                <w:rFonts w:ascii="Arial Narrow" w:hAnsi="Arial Narrow"/>
                <w:sz w:val="20"/>
                <w:szCs w:val="20"/>
              </w:rPr>
            </w:pPr>
            <w:r w:rsidRPr="00E750DB">
              <w:rPr>
                <w:rFonts w:ascii="Arial Narrow" w:hAnsi="Arial Narrow"/>
                <w:sz w:val="20"/>
                <w:szCs w:val="20"/>
              </w:rPr>
              <w:t>&lt;</w:t>
            </w:r>
            <w:r w:rsidR="00BC7441">
              <w:rPr>
                <w:rFonts w:ascii="Arial Narrow" w:hAnsi="Arial Narrow"/>
                <w:sz w:val="20"/>
                <w:szCs w:val="20"/>
              </w:rPr>
              <w:t xml:space="preserve"> </w:t>
            </w:r>
            <w:r w:rsidRPr="00E750DB">
              <w:rPr>
                <w:rFonts w:ascii="Arial Narrow" w:hAnsi="Arial Narrow"/>
                <w:sz w:val="20"/>
                <w:szCs w:val="20"/>
              </w:rPr>
              <w:t>0.001</w:t>
            </w:r>
          </w:p>
        </w:tc>
      </w:tr>
    </w:tbl>
    <w:p w14:paraId="2633AC85" w14:textId="16B643CB" w:rsidR="00B21E08" w:rsidRPr="00E750DB" w:rsidRDefault="00B21E08" w:rsidP="00E072B9">
      <w:pPr>
        <w:rPr>
          <w:rFonts w:ascii="Arial Narrow" w:hAnsi="Arial Narrow"/>
          <w:sz w:val="18"/>
          <w:szCs w:val="18"/>
        </w:rPr>
      </w:pPr>
      <w:r w:rsidRPr="00E750DB">
        <w:rPr>
          <w:rFonts w:ascii="Arial Narrow" w:hAnsi="Arial Narrow"/>
          <w:sz w:val="18"/>
          <w:szCs w:val="18"/>
        </w:rPr>
        <w:t>Source: Table 14 and Table 18 of ENVISION CSR (‘ALN</w:t>
      </w:r>
      <w:r w:rsidR="00E072B9">
        <w:rPr>
          <w:rFonts w:ascii="Arial Narrow" w:hAnsi="Arial Narrow"/>
          <w:sz w:val="18"/>
          <w:szCs w:val="18"/>
        </w:rPr>
        <w:noBreakHyphen/>
      </w:r>
      <w:r w:rsidRPr="00E750DB">
        <w:rPr>
          <w:rFonts w:ascii="Arial Narrow" w:hAnsi="Arial Narrow"/>
          <w:sz w:val="18"/>
          <w:szCs w:val="18"/>
        </w:rPr>
        <w:t>AS1</w:t>
      </w:r>
      <w:r w:rsidR="00E072B9">
        <w:rPr>
          <w:rFonts w:ascii="Arial Narrow" w:hAnsi="Arial Narrow"/>
          <w:sz w:val="18"/>
          <w:szCs w:val="18"/>
        </w:rPr>
        <w:noBreakHyphen/>
      </w:r>
      <w:r w:rsidRPr="00E750DB">
        <w:rPr>
          <w:rFonts w:ascii="Arial Narrow" w:hAnsi="Arial Narrow"/>
          <w:sz w:val="18"/>
          <w:szCs w:val="18"/>
        </w:rPr>
        <w:t xml:space="preserve">003 Report Body CSR1’). </w:t>
      </w:r>
    </w:p>
    <w:p w14:paraId="276E389E" w14:textId="2C1B27EF" w:rsidR="00B21E08" w:rsidRPr="00E750DB" w:rsidRDefault="00B21E08" w:rsidP="00E072B9">
      <w:pPr>
        <w:rPr>
          <w:rFonts w:ascii="Arial Narrow" w:hAnsi="Arial Narrow"/>
          <w:sz w:val="18"/>
          <w:szCs w:val="18"/>
        </w:rPr>
      </w:pPr>
      <w:r w:rsidRPr="00E750DB">
        <w:rPr>
          <w:rFonts w:ascii="Arial Narrow" w:hAnsi="Arial Narrow"/>
          <w:sz w:val="18"/>
          <w:szCs w:val="18"/>
        </w:rPr>
        <w:t>AAR=annualised attack rate; AHP=acute hepatic porphyria; CI=confidence interval; DB=double</w:t>
      </w:r>
      <w:r w:rsidR="00E072B9">
        <w:rPr>
          <w:rFonts w:ascii="Arial Narrow" w:hAnsi="Arial Narrow"/>
          <w:sz w:val="18"/>
          <w:szCs w:val="18"/>
        </w:rPr>
        <w:noBreakHyphen/>
      </w:r>
      <w:r w:rsidRPr="00E750DB">
        <w:rPr>
          <w:rFonts w:ascii="Arial Narrow" w:hAnsi="Arial Narrow"/>
          <w:sz w:val="18"/>
          <w:szCs w:val="18"/>
        </w:rPr>
        <w:t>blind; FAS=full analysis set; FAS</w:t>
      </w:r>
      <w:r w:rsidRPr="00E750DB">
        <w:rPr>
          <w:rFonts w:ascii="Arial Narrow" w:hAnsi="Arial Narrow"/>
          <w:sz w:val="18"/>
          <w:szCs w:val="18"/>
          <w:vertAlign w:val="subscript"/>
        </w:rPr>
        <w:t>AIP</w:t>
      </w:r>
      <w:r w:rsidRPr="00E750DB">
        <w:rPr>
          <w:rFonts w:ascii="Arial Narrow" w:hAnsi="Arial Narrow"/>
          <w:sz w:val="18"/>
          <w:szCs w:val="18"/>
        </w:rPr>
        <w:t>,=AIP patients in full analysis set.</w:t>
      </w:r>
    </w:p>
    <w:p w14:paraId="6529ABF5" w14:textId="41332AFA" w:rsidR="00DF6341" w:rsidRPr="00E750DB" w:rsidRDefault="001B3B30" w:rsidP="00E072B9">
      <w:pPr>
        <w:pStyle w:val="3-BodyText"/>
      </w:pPr>
      <w:r w:rsidRPr="00E750DB">
        <w:t>At 6 months, the median (interquartile range [IQR]) AAR was 1.0 (0.0 to 6.2) in the AIP givosiran group and 10.</w:t>
      </w:r>
      <w:r w:rsidR="006B1571">
        <w:t>7</w:t>
      </w:r>
      <w:r w:rsidR="006B1571" w:rsidRPr="00E750DB">
        <w:t xml:space="preserve"> </w:t>
      </w:r>
      <w:r w:rsidRPr="00E750DB">
        <w:t>(2.2 to 26.</w:t>
      </w:r>
      <w:r w:rsidR="006B1571">
        <w:t>1</w:t>
      </w:r>
      <w:r w:rsidRPr="00E750DB">
        <w:t>) in the placebo group, a relative difference of 90%. Givosiran demonstrated a statistically significant reduction of 74% in the mean AAR of the porphyria attack composite endpoint compared to placebo in AIP patients (rate ratio=0.26, p</w:t>
      </w:r>
      <w:r w:rsidR="002E1FD5">
        <w:t xml:space="preserve"> </w:t>
      </w:r>
      <w:r w:rsidRPr="00E750DB">
        <w:t>&lt;</w:t>
      </w:r>
      <w:r w:rsidR="002E1FD5">
        <w:t xml:space="preserve"> </w:t>
      </w:r>
      <w:r w:rsidRPr="00E750DB">
        <w:t>0.0001). Consistent findings were observed across both AIP and the broader AHP populations; this is expected as 89</w:t>
      </w:r>
      <w:r w:rsidR="00D002EF" w:rsidRPr="00E750DB">
        <w:t>/</w:t>
      </w:r>
      <w:r w:rsidRPr="00E750DB">
        <w:t xml:space="preserve">94 (95%) patients in ENVISION had </w:t>
      </w:r>
      <w:r w:rsidR="008E64CB" w:rsidRPr="00E750DB">
        <w:t xml:space="preserve">the </w:t>
      </w:r>
      <w:r w:rsidRPr="00E750DB">
        <w:t>AIP</w:t>
      </w:r>
      <w:r w:rsidR="00D002EF" w:rsidRPr="00E750DB">
        <w:t xml:space="preserve"> subtype</w:t>
      </w:r>
      <w:r w:rsidRPr="00E750DB">
        <w:t>.</w:t>
      </w:r>
    </w:p>
    <w:p w14:paraId="21D973A9" w14:textId="0E5976A0" w:rsidR="001B3B30" w:rsidRPr="00E750DB" w:rsidRDefault="001B3B30" w:rsidP="00E072B9">
      <w:pPr>
        <w:pStyle w:val="3-BodyText"/>
      </w:pPr>
      <w:r w:rsidRPr="00E750DB">
        <w:t>The Study 001 Part C similarly showed that monthly treatment with givosiran was associated with a 79% reduction in mean AAR compared to placebo.</w:t>
      </w:r>
    </w:p>
    <w:p w14:paraId="541EC3F6" w14:textId="798BDF2E" w:rsidR="00CF1A70" w:rsidRPr="00E750DB" w:rsidRDefault="00CF1A70" w:rsidP="00E072B9">
      <w:pPr>
        <w:pStyle w:val="3-BodyText"/>
      </w:pPr>
      <w:r w:rsidRPr="00E750DB">
        <w:t>The ENVISION OLE and Study 002 showed that long</w:t>
      </w:r>
      <w:r w:rsidR="00E072B9">
        <w:noBreakHyphen/>
      </w:r>
      <w:r w:rsidRPr="00E750DB">
        <w:t xml:space="preserve">term monthly treatment with givosiran was associated with </w:t>
      </w:r>
      <w:r w:rsidR="006961B4" w:rsidRPr="00E750DB">
        <w:t>sustained</w:t>
      </w:r>
      <w:r w:rsidRPr="00E750DB">
        <w:t xml:space="preserve"> AAR reduction, see </w:t>
      </w:r>
      <w:r w:rsidRPr="00E750DB">
        <w:fldChar w:fldCharType="begin" w:fldLock="1"/>
      </w:r>
      <w:r w:rsidRPr="00E750DB">
        <w:instrText xml:space="preserve"> REF _Ref198087912 \h </w:instrText>
      </w:r>
      <w:r w:rsidR="000F49C0" w:rsidRPr="00E750DB">
        <w:instrText xml:space="preserve"> \* MERGEFORMAT </w:instrText>
      </w:r>
      <w:r w:rsidRPr="00E750DB">
        <w:fldChar w:fldCharType="separate"/>
      </w:r>
      <w:r w:rsidR="00E750DB" w:rsidRPr="00E750DB">
        <w:t>Figure 2</w:t>
      </w:r>
      <w:r w:rsidRPr="00E750DB">
        <w:fldChar w:fldCharType="end"/>
      </w:r>
      <w:r w:rsidRPr="00E750DB">
        <w:t xml:space="preserve"> and</w:t>
      </w:r>
      <w:r w:rsidR="00BC0886">
        <w:t xml:space="preserve"> </w:t>
      </w:r>
      <w:r w:rsidR="00BC0886">
        <w:fldChar w:fldCharType="begin" w:fldLock="1"/>
      </w:r>
      <w:r w:rsidR="00BC0886">
        <w:instrText xml:space="preserve"> REF _Ref204784328 \h </w:instrText>
      </w:r>
      <w:r w:rsidR="00BC0886">
        <w:fldChar w:fldCharType="separate"/>
      </w:r>
      <w:r w:rsidR="00BC0886" w:rsidRPr="00E750DB">
        <w:t>Figure 3</w:t>
      </w:r>
      <w:r w:rsidR="00BC0886">
        <w:fldChar w:fldCharType="end"/>
      </w:r>
      <w:r w:rsidRPr="00E750DB">
        <w:t>.</w:t>
      </w:r>
    </w:p>
    <w:p w14:paraId="72BAA2F7" w14:textId="77777777" w:rsidR="00446132" w:rsidRPr="00E750DB" w:rsidRDefault="00446132" w:rsidP="00E072B9"/>
    <w:p w14:paraId="5D85DBC8" w14:textId="30410FFD" w:rsidR="00CF1A70" w:rsidRDefault="00CF1A70" w:rsidP="00E072B9">
      <w:pPr>
        <w:pStyle w:val="Caption"/>
      </w:pPr>
      <w:bookmarkStart w:id="28" w:name="_Ref198087912"/>
      <w:r w:rsidRPr="00E750DB">
        <w:t xml:space="preserve">Figure </w:t>
      </w:r>
      <w:r w:rsidR="00E750DB">
        <w:fldChar w:fldCharType="begin" w:fldLock="1"/>
      </w:r>
      <w:r w:rsidR="00E750DB">
        <w:instrText xml:space="preserve"> SEQ Figure \* ARABIC </w:instrText>
      </w:r>
      <w:r w:rsidR="00E750DB">
        <w:fldChar w:fldCharType="separate"/>
      </w:r>
      <w:r w:rsidR="00E750DB" w:rsidRPr="00E750DB">
        <w:t>2</w:t>
      </w:r>
      <w:r w:rsidR="00E750DB">
        <w:fldChar w:fldCharType="end"/>
      </w:r>
      <w:bookmarkEnd w:id="28"/>
      <w:r w:rsidRPr="00E750DB">
        <w:t>: Composite porphyria attack rate in patients with AHP in the ENVISION OLE</w:t>
      </w:r>
    </w:p>
    <w:p w14:paraId="1B581B0E" w14:textId="07421F7A" w:rsidR="009C71FC" w:rsidRPr="002F4941" w:rsidRDefault="009C71FC" w:rsidP="002F4941"/>
    <w:p w14:paraId="734D646A" w14:textId="1D90BB6C" w:rsidR="00CF1A70" w:rsidRPr="00E750DB" w:rsidRDefault="00CF1A70" w:rsidP="00E072B9">
      <w:pPr>
        <w:jc w:val="center"/>
      </w:pPr>
      <w:r w:rsidRPr="00E750DB">
        <w:rPr>
          <w:noProof/>
          <w:lang w:eastAsia="en-CA"/>
        </w:rPr>
        <w:drawing>
          <wp:inline distT="0" distB="0" distL="0" distR="0" wp14:anchorId="5B2B72EF" wp14:editId="303C91F0">
            <wp:extent cx="4980665" cy="2324100"/>
            <wp:effectExtent l="0" t="0" r="0" b="0"/>
            <wp:docPr id="935284846" name="Picture 935284846" descr="Figure 2: Composite porphyria attack rate in patients with AHP in the ENVISION 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4846" name="Picture 935284846" descr="Figure 2: Composite porphyria attack rate in patients with AHP in the ENVISION OLE"/>
                    <pic:cNvPicPr/>
                  </pic:nvPicPr>
                  <pic:blipFill>
                    <a:blip r:embed="rId12"/>
                    <a:stretch>
                      <a:fillRect/>
                    </a:stretch>
                  </pic:blipFill>
                  <pic:spPr>
                    <a:xfrm>
                      <a:off x="0" y="0"/>
                      <a:ext cx="4986426" cy="2326788"/>
                    </a:xfrm>
                    <a:prstGeom prst="rect">
                      <a:avLst/>
                    </a:prstGeom>
                  </pic:spPr>
                </pic:pic>
              </a:graphicData>
            </a:graphic>
          </wp:inline>
        </w:drawing>
      </w:r>
    </w:p>
    <w:p w14:paraId="7B1231C3" w14:textId="33A562D4" w:rsidR="00CF1A70" w:rsidRPr="00854FEF" w:rsidRDefault="00CF1A70" w:rsidP="00E072B9">
      <w:pPr>
        <w:rPr>
          <w:rFonts w:ascii="Arial Narrow" w:eastAsia="SimSun" w:hAnsi="Arial Narrow"/>
          <w:sz w:val="18"/>
          <w:szCs w:val="18"/>
        </w:rPr>
      </w:pPr>
      <w:r w:rsidRPr="00854FEF">
        <w:rPr>
          <w:rFonts w:ascii="Arial Narrow" w:eastAsia="SimSun" w:hAnsi="Arial Narrow"/>
          <w:sz w:val="18"/>
          <w:szCs w:val="18"/>
        </w:rPr>
        <w:t xml:space="preserve">Source: Figure 2.11 of the submission. </w:t>
      </w:r>
    </w:p>
    <w:p w14:paraId="040BFE67" w14:textId="0FB5B61B" w:rsidR="00CF1A70" w:rsidRPr="00E750DB" w:rsidRDefault="00CF1A70" w:rsidP="00E072B9">
      <w:pPr>
        <w:rPr>
          <w:rFonts w:ascii="Arial Narrow" w:eastAsia="SimSun" w:hAnsi="Arial Narrow"/>
          <w:sz w:val="18"/>
          <w:szCs w:val="18"/>
        </w:rPr>
      </w:pPr>
      <w:r w:rsidRPr="00E750DB">
        <w:rPr>
          <w:rFonts w:ascii="Arial Narrow" w:eastAsia="SimSun" w:hAnsi="Arial Narrow"/>
          <w:sz w:val="18"/>
          <w:szCs w:val="18"/>
        </w:rPr>
        <w:t>AHP=acute hepatic porphyria; DB=double</w:t>
      </w:r>
      <w:r w:rsidR="00E072B9">
        <w:rPr>
          <w:rFonts w:ascii="Arial Narrow" w:eastAsia="SimSun" w:hAnsi="Arial Narrow"/>
          <w:sz w:val="18"/>
          <w:szCs w:val="18"/>
        </w:rPr>
        <w:noBreakHyphen/>
      </w:r>
      <w:r w:rsidRPr="00E750DB">
        <w:rPr>
          <w:rFonts w:ascii="Arial Narrow" w:eastAsia="SimSun" w:hAnsi="Arial Narrow"/>
          <w:sz w:val="18"/>
          <w:szCs w:val="18"/>
        </w:rPr>
        <w:t>blind; Givo=givosiran; OLE=open</w:t>
      </w:r>
      <w:r w:rsidR="00E072B9">
        <w:rPr>
          <w:rFonts w:ascii="Arial Narrow" w:eastAsia="SimSun" w:hAnsi="Arial Narrow"/>
          <w:sz w:val="18"/>
          <w:szCs w:val="18"/>
        </w:rPr>
        <w:noBreakHyphen/>
      </w:r>
      <w:r w:rsidRPr="00E750DB">
        <w:rPr>
          <w:rFonts w:ascii="Arial Narrow" w:eastAsia="SimSun" w:hAnsi="Arial Narrow"/>
          <w:sz w:val="18"/>
          <w:szCs w:val="18"/>
        </w:rPr>
        <w:t>label extension; Pbo=placebo</w:t>
      </w:r>
    </w:p>
    <w:p w14:paraId="59FF96AD" w14:textId="08794D70" w:rsidR="006961B4" w:rsidRDefault="004D3AD7" w:rsidP="00E072B9">
      <w:bookmarkStart w:id="29" w:name="_Ref198088043"/>
      <w:r>
        <w:br/>
      </w:r>
    </w:p>
    <w:p w14:paraId="238A3863" w14:textId="535FF2D6" w:rsidR="00A550BD" w:rsidRDefault="00A550BD">
      <w:pPr>
        <w:jc w:val="left"/>
      </w:pPr>
      <w:r>
        <w:br w:type="page"/>
      </w:r>
    </w:p>
    <w:p w14:paraId="22F3EA57" w14:textId="77777777" w:rsidR="0069298C" w:rsidRPr="00E750DB" w:rsidRDefault="0069298C" w:rsidP="0069298C"/>
    <w:p w14:paraId="1D4C011F" w14:textId="55022BBD" w:rsidR="00CF1A70" w:rsidRPr="00E750DB" w:rsidRDefault="00CF1A70" w:rsidP="00E072B9">
      <w:pPr>
        <w:pStyle w:val="Caption"/>
        <w:rPr>
          <w:b w:val="0"/>
          <w:bCs w:val="0"/>
        </w:rPr>
      </w:pPr>
      <w:bookmarkStart w:id="30" w:name="_Ref204784328"/>
      <w:bookmarkStart w:id="31" w:name="_Ref204784323"/>
      <w:r w:rsidRPr="00E750DB">
        <w:t xml:space="preserve">Figure </w:t>
      </w:r>
      <w:r w:rsidR="00E750DB">
        <w:rPr>
          <w:b w:val="0"/>
          <w:bCs w:val="0"/>
        </w:rPr>
        <w:fldChar w:fldCharType="begin" w:fldLock="1"/>
      </w:r>
      <w:r w:rsidR="00E750DB">
        <w:instrText xml:space="preserve"> SEQ Figure \* ARABIC </w:instrText>
      </w:r>
      <w:r w:rsidR="00E750DB">
        <w:rPr>
          <w:b w:val="0"/>
          <w:bCs w:val="0"/>
        </w:rPr>
        <w:fldChar w:fldCharType="separate"/>
      </w:r>
      <w:r w:rsidR="00E750DB" w:rsidRPr="00E750DB">
        <w:t>3</w:t>
      </w:r>
      <w:r w:rsidR="00E750DB">
        <w:rPr>
          <w:b w:val="0"/>
          <w:bCs w:val="0"/>
        </w:rPr>
        <w:fldChar w:fldCharType="end"/>
      </w:r>
      <w:bookmarkEnd w:id="29"/>
      <w:bookmarkEnd w:id="30"/>
      <w:r w:rsidRPr="00E750DB">
        <w:t xml:space="preserve">: Mean number of composite attacks per patient per every </w:t>
      </w:r>
      <w:r w:rsidR="00D13798" w:rsidRPr="00E750DB">
        <w:t>3</w:t>
      </w:r>
      <w:r w:rsidR="00E072B9">
        <w:noBreakHyphen/>
      </w:r>
      <w:r w:rsidR="00D13798" w:rsidRPr="00E750DB">
        <w:t>month</w:t>
      </w:r>
      <w:r w:rsidRPr="00E750DB">
        <w:t xml:space="preserve"> interval for patients on 2.5 mg/kg QM in Study 002 (Safety Analysis Set)</w:t>
      </w:r>
      <w:bookmarkEnd w:id="31"/>
    </w:p>
    <w:p w14:paraId="07D3C387" w14:textId="158D6B3A" w:rsidR="00CF1A70" w:rsidRPr="00E750DB" w:rsidRDefault="00CF1A70" w:rsidP="00E072B9">
      <w:pPr>
        <w:jc w:val="center"/>
      </w:pPr>
      <w:r w:rsidRPr="00E750DB">
        <w:rPr>
          <w:noProof/>
        </w:rPr>
        <w:drawing>
          <wp:inline distT="0" distB="0" distL="0" distR="0" wp14:anchorId="68EC1599" wp14:editId="77648954">
            <wp:extent cx="4286250" cy="2153132"/>
            <wp:effectExtent l="0" t="0" r="0" b="0"/>
            <wp:docPr id="1803867586" name="Picture 1803867586" descr="Figure 3: Mean number of composite attacks per patient per every 3 month interval for patients on 2.5 mg/kg QM in Study 002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67586" name="Picture 1803867586" descr="Figure 3: Mean number of composite attacks per patient per every 3 month interval for patients on 2.5 mg/kg QM in Study 002 (Safety Analysis S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8221" cy="2159145"/>
                    </a:xfrm>
                    <a:prstGeom prst="rect">
                      <a:avLst/>
                    </a:prstGeom>
                    <a:noFill/>
                    <a:ln>
                      <a:noFill/>
                    </a:ln>
                  </pic:spPr>
                </pic:pic>
              </a:graphicData>
            </a:graphic>
          </wp:inline>
        </w:drawing>
      </w:r>
    </w:p>
    <w:p w14:paraId="6200CD89" w14:textId="27F3793E" w:rsidR="00CF1A70" w:rsidRPr="00E750DB" w:rsidRDefault="00CF1A70" w:rsidP="00E072B9">
      <w:pPr>
        <w:rPr>
          <w:rFonts w:ascii="Arial Narrow" w:hAnsi="Arial Narrow"/>
          <w:sz w:val="18"/>
          <w:szCs w:val="18"/>
        </w:rPr>
      </w:pPr>
      <w:r w:rsidRPr="00E750DB">
        <w:rPr>
          <w:rFonts w:ascii="Arial Narrow" w:hAnsi="Arial Narrow"/>
          <w:sz w:val="18"/>
          <w:szCs w:val="18"/>
        </w:rPr>
        <w:t xml:space="preserve">Source: Appendix Figure 3 of </w:t>
      </w:r>
      <w:r w:rsidRPr="00E750DB">
        <w:rPr>
          <w:rFonts w:ascii="Arial Narrow" w:eastAsia="SimSun" w:hAnsi="Arial Narrow" w:cs="Times New Roman"/>
          <w:sz w:val="18"/>
          <w:szCs w:val="20"/>
        </w:rPr>
        <w:t>Appendix A to the submission</w:t>
      </w:r>
      <w:r w:rsidRPr="00E750DB">
        <w:rPr>
          <w:rFonts w:ascii="Arial Narrow" w:hAnsi="Arial Narrow"/>
          <w:sz w:val="18"/>
          <w:szCs w:val="18"/>
        </w:rPr>
        <w:t xml:space="preserve"> </w:t>
      </w:r>
    </w:p>
    <w:p w14:paraId="53D9E326" w14:textId="20789C69" w:rsidR="00CF1A70" w:rsidRPr="00E750DB" w:rsidRDefault="00CF1A70" w:rsidP="00E072B9">
      <w:pPr>
        <w:rPr>
          <w:rFonts w:ascii="Arial Narrow" w:hAnsi="Arial Narrow"/>
          <w:sz w:val="18"/>
          <w:szCs w:val="18"/>
        </w:rPr>
      </w:pPr>
      <w:r w:rsidRPr="00E750DB">
        <w:rPr>
          <w:rFonts w:ascii="Arial Narrow" w:hAnsi="Arial Narrow"/>
          <w:sz w:val="18"/>
          <w:szCs w:val="18"/>
        </w:rPr>
        <w:t xml:space="preserve">QM=once monthly </w:t>
      </w:r>
    </w:p>
    <w:p w14:paraId="044AB76F" w14:textId="1FD99376" w:rsidR="008901D3" w:rsidRPr="00E750DB" w:rsidRDefault="00CF1A70" w:rsidP="00E072B9">
      <w:pPr>
        <w:pStyle w:val="3-BodyText"/>
      </w:pPr>
      <w:r w:rsidRPr="00E750DB">
        <w:t xml:space="preserve">Sensitivity analyses around the definition of an ‘acute attack’ </w:t>
      </w:r>
      <w:r w:rsidR="00752983" w:rsidRPr="00E750DB">
        <w:t xml:space="preserve">in the AIP population using negative binomial regression </w:t>
      </w:r>
      <w:r w:rsidR="008901D3" w:rsidRPr="00E750DB">
        <w:t xml:space="preserve">was </w:t>
      </w:r>
      <w:r w:rsidRPr="00E750DB">
        <w:t xml:space="preserve">performed in ENVISION </w:t>
      </w:r>
      <w:r w:rsidR="008901D3" w:rsidRPr="00E750DB">
        <w:t>to assess the robustness of the AAR results. These were as follows:</w:t>
      </w:r>
    </w:p>
    <w:p w14:paraId="180D4482" w14:textId="4BEF767D" w:rsidR="008901D3" w:rsidRPr="00E750DB" w:rsidRDefault="008901D3" w:rsidP="000869D3">
      <w:pPr>
        <w:pStyle w:val="3-BodyText"/>
        <w:numPr>
          <w:ilvl w:val="0"/>
          <w:numId w:val="14"/>
        </w:numPr>
      </w:pPr>
      <w:r w:rsidRPr="00E750DB">
        <w:t>Counting All Discrete Attacks: testing the impact of under</w:t>
      </w:r>
      <w:r w:rsidR="00E072B9">
        <w:noBreakHyphen/>
      </w:r>
      <w:r w:rsidRPr="00E750DB">
        <w:t xml:space="preserve">counting. For attacks meeting the primary definition, all discrete attacks were counted even if they overlap during a day. </w:t>
      </w:r>
    </w:p>
    <w:p w14:paraId="76FA645E" w14:textId="7D2254BA" w:rsidR="008901D3" w:rsidRPr="00E750DB" w:rsidRDefault="008901D3" w:rsidP="000869D3">
      <w:pPr>
        <w:pStyle w:val="3-BodyText"/>
        <w:numPr>
          <w:ilvl w:val="0"/>
          <w:numId w:val="14"/>
        </w:numPr>
      </w:pPr>
      <w:r w:rsidRPr="00E750DB">
        <w:t>Counting Attacks Using a 2</w:t>
      </w:r>
      <w:r w:rsidR="00E072B9">
        <w:noBreakHyphen/>
      </w:r>
      <w:r w:rsidRPr="00E750DB">
        <w:t>Day Window: testing the impact of over</w:t>
      </w:r>
      <w:r w:rsidR="00E072B9">
        <w:noBreakHyphen/>
      </w:r>
      <w:r w:rsidRPr="00E750DB">
        <w:t>counting. For attacks meeting the primary definition, extend the attack counting window from 1</w:t>
      </w:r>
      <w:r w:rsidR="00E072B9">
        <w:noBreakHyphen/>
      </w:r>
      <w:r w:rsidRPr="00E750DB">
        <w:t>day to a 2</w:t>
      </w:r>
      <w:r w:rsidR="00E072B9">
        <w:noBreakHyphen/>
      </w:r>
      <w:r w:rsidRPr="00E750DB">
        <w:t>day window, i.e. attacks that occur on the same calendar day, or are separated by one calendar day were counted as one attack.</w:t>
      </w:r>
    </w:p>
    <w:p w14:paraId="2694C600" w14:textId="4B553470" w:rsidR="00752983" w:rsidRPr="00E750DB" w:rsidRDefault="008901D3" w:rsidP="000869D3">
      <w:pPr>
        <w:pStyle w:val="3-BodyText"/>
        <w:numPr>
          <w:ilvl w:val="0"/>
          <w:numId w:val="14"/>
        </w:numPr>
      </w:pPr>
      <w:r w:rsidRPr="00E750DB">
        <w:t>All Investigator</w:t>
      </w:r>
      <w:r w:rsidR="00E072B9">
        <w:noBreakHyphen/>
      </w:r>
      <w:r w:rsidRPr="00E750DB">
        <w:t xml:space="preserve">Confirmed Attacks: </w:t>
      </w:r>
      <w:r w:rsidR="00752983" w:rsidRPr="00E750DB">
        <w:t xml:space="preserve">attacks meeting the primary definition PLUS </w:t>
      </w:r>
      <w:r w:rsidRPr="00E750DB">
        <w:t xml:space="preserve">treatment at home </w:t>
      </w:r>
      <w:r w:rsidR="00752983" w:rsidRPr="00E750DB">
        <w:t>not requiring hemin use.</w:t>
      </w:r>
    </w:p>
    <w:p w14:paraId="72D96DDD" w14:textId="691A61F8" w:rsidR="00752983" w:rsidRPr="00E750DB" w:rsidRDefault="00752983" w:rsidP="000869D3">
      <w:pPr>
        <w:pStyle w:val="3-BodyText"/>
        <w:numPr>
          <w:ilvl w:val="0"/>
          <w:numId w:val="14"/>
        </w:numPr>
      </w:pPr>
      <w:r w:rsidRPr="00E750DB">
        <w:t>All Porphyria Attacks, Counting Potential Attacks: attacks meeting the definition of ‘All</w:t>
      </w:r>
      <w:r w:rsidR="00E072B9">
        <w:noBreakHyphen/>
      </w:r>
      <w:r w:rsidRPr="00E750DB">
        <w:t>Inves</w:t>
      </w:r>
      <w:r w:rsidR="00F42621" w:rsidRPr="00E750DB">
        <w:t>ti</w:t>
      </w:r>
      <w:r w:rsidRPr="00E750DB">
        <w:t>gator</w:t>
      </w:r>
      <w:r w:rsidR="00E072B9">
        <w:noBreakHyphen/>
      </w:r>
      <w:r w:rsidRPr="00E750DB">
        <w:t>Conf</w:t>
      </w:r>
      <w:r w:rsidR="00F42621" w:rsidRPr="00E750DB">
        <w:t>ir</w:t>
      </w:r>
      <w:r w:rsidRPr="00E750DB">
        <w:t>med Attacks’ PLUS attacks not confirmed by Investigator but deemed as potential attacks.</w:t>
      </w:r>
    </w:p>
    <w:p w14:paraId="7982D1E2" w14:textId="3A63AECA" w:rsidR="00752983" w:rsidRPr="00E750DB" w:rsidRDefault="00752983" w:rsidP="000869D3">
      <w:pPr>
        <w:pStyle w:val="3-BodyText"/>
        <w:numPr>
          <w:ilvl w:val="0"/>
          <w:numId w:val="14"/>
        </w:numPr>
      </w:pPr>
      <w:r w:rsidRPr="00E750DB">
        <w:rPr>
          <w:rFonts w:ascii="Calibri" w:hAnsi="Calibri"/>
        </w:rPr>
        <w:t>Per protocol (PP) analysis (where 1 patient in the placebo arm was excluded)</w:t>
      </w:r>
      <w:r w:rsidR="00EF654C" w:rsidRPr="00E750DB">
        <w:rPr>
          <w:rFonts w:ascii="Calibri" w:hAnsi="Calibri"/>
        </w:rPr>
        <w:t>.</w:t>
      </w:r>
    </w:p>
    <w:p w14:paraId="61E0C602" w14:textId="5FB3A7AF" w:rsidR="00247925" w:rsidRPr="00E750DB" w:rsidRDefault="00752983" w:rsidP="00E072B9">
      <w:pPr>
        <w:pStyle w:val="3-BodyText"/>
      </w:pPr>
      <w:r w:rsidRPr="00E750DB">
        <w:t xml:space="preserve">The definition of ‘acute attack’ had implications on the estimated incremental treatment effect of givosiran versus BSC, </w:t>
      </w:r>
      <w:r w:rsidR="00053FE4" w:rsidRPr="00E750DB">
        <w:t xml:space="preserve">with rate ratios (95% CI) </w:t>
      </w:r>
      <w:r w:rsidRPr="00E750DB">
        <w:t xml:space="preserve">ranging from </w:t>
      </w:r>
      <w:r w:rsidRPr="004D3AD7">
        <w:t>of 0.25 (0.16, 0.40) [PP] to 0.43 (0.29, 0.65) [All porphyria attacks, counting potential atta</w:t>
      </w:r>
      <w:r w:rsidRPr="00E750DB">
        <w:t xml:space="preserve">cks]. </w:t>
      </w:r>
    </w:p>
    <w:p w14:paraId="6BF44DA5" w14:textId="77F3B1E8" w:rsidR="00A75BE2" w:rsidRPr="00E750DB" w:rsidRDefault="00752983" w:rsidP="00E072B9">
      <w:pPr>
        <w:pStyle w:val="3-BodyText"/>
      </w:pPr>
      <w:r w:rsidRPr="00E750DB">
        <w:t xml:space="preserve">A summary of other outcomes from the ENVISION trial are presented in </w:t>
      </w:r>
      <w:r w:rsidRPr="00E750DB">
        <w:fldChar w:fldCharType="begin" w:fldLock="1"/>
      </w:r>
      <w:r w:rsidRPr="00E750DB">
        <w:instrText xml:space="preserve"> REF _Ref198089609 \h </w:instrText>
      </w:r>
      <w:r w:rsidR="0029679A" w:rsidRPr="00E750DB">
        <w:instrText xml:space="preserve"> \* MERGEFORMAT </w:instrText>
      </w:r>
      <w:r w:rsidRPr="00E750DB">
        <w:fldChar w:fldCharType="separate"/>
      </w:r>
      <w:r w:rsidR="00E750DB" w:rsidRPr="00E750DB">
        <w:t>Table 5</w:t>
      </w:r>
      <w:r w:rsidRPr="00E750DB">
        <w:fldChar w:fldCharType="end"/>
      </w:r>
      <w:r w:rsidRPr="00E750DB">
        <w:t>.</w:t>
      </w:r>
      <w:r w:rsidR="0071398C" w:rsidRPr="00E750DB">
        <w:t xml:space="preserve"> </w:t>
      </w:r>
      <w:r w:rsidR="00B44459" w:rsidRPr="00E750DB">
        <w:t xml:space="preserve">The results indicated that treatment with givosiran, compared with placebo, resulted in (i) reductions in urinary ALA and PBG levels—key biomarkers associated with </w:t>
      </w:r>
      <w:r w:rsidR="009C6937" w:rsidRPr="00E750DB">
        <w:t>AHP</w:t>
      </w:r>
      <w:r w:rsidR="00A75BE2" w:rsidRPr="00E750DB">
        <w:t xml:space="preserve"> and</w:t>
      </w:r>
      <w:r w:rsidR="00B44459" w:rsidRPr="00E750DB">
        <w:t xml:space="preserve"> (ii) s</w:t>
      </w:r>
      <w:r w:rsidR="00B44459" w:rsidRPr="00E750DB">
        <w:rPr>
          <w:lang w:eastAsia="en-GB"/>
        </w:rPr>
        <w:t>ignificantly fewer annualised days of hemin use</w:t>
      </w:r>
      <w:r w:rsidR="00A75BE2" w:rsidRPr="00E750DB">
        <w:rPr>
          <w:lang w:eastAsia="en-GB"/>
        </w:rPr>
        <w:t>. Similar results were reported in Study 001 Part C, and both ENVISION OLE and Study 002 showed sustained benefits in these outcomes over time.</w:t>
      </w:r>
      <w:r w:rsidR="00B44459" w:rsidRPr="00E750DB">
        <w:rPr>
          <w:lang w:eastAsia="en-GB"/>
        </w:rPr>
        <w:t xml:space="preserve"> </w:t>
      </w:r>
    </w:p>
    <w:p w14:paraId="3AC14AFE" w14:textId="47FB58AB" w:rsidR="00B44459" w:rsidRPr="00E750DB" w:rsidRDefault="00A75BE2" w:rsidP="00E072B9">
      <w:pPr>
        <w:pStyle w:val="3-BodyText"/>
      </w:pPr>
      <w:r w:rsidRPr="00E750DB">
        <w:rPr>
          <w:lang w:eastAsia="en-GB"/>
        </w:rPr>
        <w:t>ENVISION reported</w:t>
      </w:r>
      <w:r w:rsidR="00B44459" w:rsidRPr="00E750DB">
        <w:rPr>
          <w:lang w:eastAsia="en-GB"/>
        </w:rPr>
        <w:t xml:space="preserve"> </w:t>
      </w:r>
      <w:r w:rsidR="00B44459" w:rsidRPr="00E750DB">
        <w:t>significantly lower daily worst pain score (there were no significant between</w:t>
      </w:r>
      <w:r w:rsidR="00E072B9">
        <w:noBreakHyphen/>
      </w:r>
      <w:r w:rsidR="00B44459" w:rsidRPr="00E750DB">
        <w:t>group differences in the daily worst scores for fatigue or nausea)</w:t>
      </w:r>
      <w:r w:rsidR="00B44459" w:rsidRPr="00E750DB">
        <w:rPr>
          <w:lang w:eastAsia="en-GB"/>
        </w:rPr>
        <w:t xml:space="preserve"> and </w:t>
      </w:r>
      <w:r w:rsidR="00B44459" w:rsidRPr="00E750DB">
        <w:t>a potential benefit in reducing opioid dependency, however the clinical significance of this reduction in opioid use remains uncertain.</w:t>
      </w:r>
    </w:p>
    <w:p w14:paraId="164818DA" w14:textId="608AA581" w:rsidR="00B44459" w:rsidRPr="00E750DB" w:rsidRDefault="00B44459" w:rsidP="00E072B9">
      <w:pPr>
        <w:pStyle w:val="3-BodyText"/>
      </w:pPr>
      <w:r w:rsidRPr="00E750DB">
        <w:t>With respect to the health</w:t>
      </w:r>
      <w:r w:rsidR="00E072B9">
        <w:noBreakHyphen/>
      </w:r>
      <w:r w:rsidRPr="00E750DB">
        <w:t>related quality of life (HRQoL) measures, given that the secondary outcomes were analysed in a hierarchical order, statistical significance was not tested for 12</w:t>
      </w:r>
      <w:r w:rsidR="00E072B9">
        <w:noBreakHyphen/>
      </w:r>
      <w:r w:rsidRPr="00E750DB">
        <w:t>Item Short Form Health Survey (SF</w:t>
      </w:r>
      <w:r w:rsidR="00E072B9">
        <w:noBreakHyphen/>
      </w:r>
      <w:r w:rsidRPr="00E750DB">
        <w:t>12) as the earlier endpoint in the prespecified hierarchy (i.e., daily worst scores for fatigue) did not reach statistical significance</w:t>
      </w:r>
      <w:r w:rsidR="00753ECA" w:rsidRPr="00E750DB">
        <w:t>. Despite this, the submission claim</w:t>
      </w:r>
      <w:r w:rsidR="0040189B" w:rsidRPr="00E750DB">
        <w:t>ed</w:t>
      </w:r>
      <w:r w:rsidR="00753ECA" w:rsidRPr="00E750DB">
        <w:t xml:space="preserve"> that change from baseline in the physical component summary (PCS) that was 3.9±1.7 points higher (indicating improvement) in the givosiran versus placebo group was clinically meaningful </w:t>
      </w:r>
      <w:r w:rsidR="00246230" w:rsidRPr="00E750DB">
        <w:t xml:space="preserve">based on </w:t>
      </w:r>
      <w:r w:rsidR="00753ECA" w:rsidRPr="00E750DB">
        <w:t>published literature relating to conditions like rheumatoid arthritis, arthroplasty, lumbar stenosis surgery. While these conditions may present with overlapping symptoms such as pain and fatigue, they differ substantially in pathophysiology, chronicity, and disease course. Therefore, the clinical relevance of the observed change in SF</w:t>
      </w:r>
      <w:r w:rsidR="00E072B9">
        <w:noBreakHyphen/>
      </w:r>
      <w:r w:rsidR="00753ECA" w:rsidRPr="00E750DB">
        <w:t>12 PCS in AIP remains uncertain.</w:t>
      </w:r>
      <w:r w:rsidR="00A75BE2" w:rsidRPr="00E750DB">
        <w:t xml:space="preserve"> These improvements were maintained throughout ENVISION OLE.</w:t>
      </w:r>
    </w:p>
    <w:p w14:paraId="4040B060" w14:textId="1765B857" w:rsidR="00752983" w:rsidRPr="00E750DB" w:rsidRDefault="00752983" w:rsidP="00E072B9">
      <w:pPr>
        <w:pStyle w:val="Caption"/>
      </w:pPr>
      <w:bookmarkStart w:id="32" w:name="_Ref198089609"/>
      <w:r w:rsidRPr="00E750DB">
        <w:t xml:space="preserve">Table </w:t>
      </w:r>
      <w:r w:rsidR="00E750DB">
        <w:fldChar w:fldCharType="begin" w:fldLock="1"/>
      </w:r>
      <w:r w:rsidR="00E750DB">
        <w:instrText xml:space="preserve"> SEQ Table \* ARABIC </w:instrText>
      </w:r>
      <w:r w:rsidR="00E750DB">
        <w:fldChar w:fldCharType="separate"/>
      </w:r>
      <w:r w:rsidR="00E750DB" w:rsidRPr="00E750DB">
        <w:t>5</w:t>
      </w:r>
      <w:r w:rsidR="00E750DB">
        <w:fldChar w:fldCharType="end"/>
      </w:r>
      <w:bookmarkEnd w:id="32"/>
      <w:r w:rsidRPr="00E750DB">
        <w:t>: Summary of outcomes from the Phase 3 ENVISION study</w:t>
      </w:r>
    </w:p>
    <w:tbl>
      <w:tblPr>
        <w:tblStyle w:val="Submissionstandard"/>
        <w:tblW w:w="9209" w:type="dxa"/>
        <w:tblCellMar>
          <w:left w:w="28" w:type="dxa"/>
          <w:right w:w="28" w:type="dxa"/>
        </w:tblCellMar>
        <w:tblLook w:val="04A0" w:firstRow="1" w:lastRow="0" w:firstColumn="1" w:lastColumn="0" w:noHBand="0" w:noVBand="1"/>
        <w:tblCaption w:val="Table 5: Summary of outcomes from the Phase 3 ENVISION study"/>
      </w:tblPr>
      <w:tblGrid>
        <w:gridCol w:w="4248"/>
        <w:gridCol w:w="1417"/>
        <w:gridCol w:w="1418"/>
        <w:gridCol w:w="992"/>
        <w:gridCol w:w="1134"/>
      </w:tblGrid>
      <w:tr w:rsidR="00752983" w:rsidRPr="00E750DB" w14:paraId="1E72B87C" w14:textId="77777777" w:rsidTr="00580D86">
        <w:trPr>
          <w:cnfStyle w:val="100000000000" w:firstRow="1" w:lastRow="0" w:firstColumn="0" w:lastColumn="0" w:oddVBand="0" w:evenVBand="0" w:oddHBand="0" w:evenHBand="0" w:firstRowFirstColumn="0" w:firstRowLastColumn="0" w:lastRowFirstColumn="0" w:lastRowLastColumn="0"/>
        </w:trPr>
        <w:tc>
          <w:tcPr>
            <w:tcW w:w="4248" w:type="dxa"/>
            <w:vMerge w:val="restart"/>
            <w:shd w:val="clear" w:color="auto" w:fill="auto"/>
            <w:vAlign w:val="bottom"/>
          </w:tcPr>
          <w:p w14:paraId="0CBB3A81"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Outcome name (unit)</w:t>
            </w:r>
          </w:p>
        </w:tc>
        <w:tc>
          <w:tcPr>
            <w:tcW w:w="2835" w:type="dxa"/>
            <w:gridSpan w:val="2"/>
            <w:shd w:val="clear" w:color="auto" w:fill="auto"/>
          </w:tcPr>
          <w:p w14:paraId="05C0225C" w14:textId="77777777" w:rsidR="00752983" w:rsidRPr="00E750DB" w:rsidRDefault="00752983" w:rsidP="00E072B9">
            <w:pPr>
              <w:pStyle w:val="TableLeft"/>
              <w:keepNext/>
              <w:keepLines/>
              <w:jc w:val="center"/>
              <w:rPr>
                <w:rFonts w:ascii="Arial Narrow" w:eastAsia="Calibri" w:hAnsi="Arial Narrow"/>
                <w:b w:val="0"/>
                <w:sz w:val="20"/>
                <w:szCs w:val="20"/>
                <w:lang w:val="en-AU"/>
              </w:rPr>
            </w:pPr>
            <w:r w:rsidRPr="00E750DB">
              <w:rPr>
                <w:rFonts w:ascii="Arial Narrow" w:eastAsia="Calibri" w:hAnsi="Arial Narrow"/>
                <w:sz w:val="20"/>
                <w:szCs w:val="20"/>
                <w:lang w:val="en-AU"/>
              </w:rPr>
              <w:t>Effect Size</w:t>
            </w:r>
          </w:p>
        </w:tc>
        <w:tc>
          <w:tcPr>
            <w:tcW w:w="2126" w:type="dxa"/>
            <w:gridSpan w:val="2"/>
            <w:shd w:val="clear" w:color="auto" w:fill="auto"/>
          </w:tcPr>
          <w:p w14:paraId="36F2DF71" w14:textId="77777777" w:rsidR="00752983" w:rsidRPr="00E750DB" w:rsidRDefault="00752983" w:rsidP="00E072B9">
            <w:pPr>
              <w:pStyle w:val="TableLeft"/>
              <w:keepNext/>
              <w:keepLines/>
              <w:jc w:val="center"/>
              <w:rPr>
                <w:rFonts w:ascii="Arial Narrow" w:eastAsia="Calibri" w:hAnsi="Arial Narrow"/>
                <w:b w:val="0"/>
                <w:sz w:val="20"/>
                <w:szCs w:val="20"/>
                <w:lang w:val="en-AU"/>
              </w:rPr>
            </w:pPr>
            <w:r w:rsidRPr="00E750DB">
              <w:rPr>
                <w:rFonts w:ascii="Arial Narrow" w:eastAsia="Calibri" w:hAnsi="Arial Narrow"/>
                <w:sz w:val="20"/>
                <w:szCs w:val="20"/>
                <w:lang w:val="en-AU"/>
              </w:rPr>
              <w:t>Statistical test</w:t>
            </w:r>
          </w:p>
        </w:tc>
      </w:tr>
      <w:tr w:rsidR="00752983" w:rsidRPr="00E750DB" w14:paraId="044F26BD" w14:textId="77777777" w:rsidTr="00580D86">
        <w:tc>
          <w:tcPr>
            <w:tcW w:w="4248" w:type="dxa"/>
            <w:vMerge/>
            <w:shd w:val="clear" w:color="auto" w:fill="auto"/>
            <w:vAlign w:val="bottom"/>
          </w:tcPr>
          <w:p w14:paraId="321C3CFF" w14:textId="77777777" w:rsidR="00752983" w:rsidRPr="00E750DB" w:rsidRDefault="00752983" w:rsidP="00E072B9">
            <w:pPr>
              <w:pStyle w:val="TableLeft"/>
              <w:keepNext/>
              <w:keepLines/>
              <w:rPr>
                <w:rFonts w:ascii="Arial Narrow" w:eastAsia="Calibri" w:hAnsi="Arial Narrow"/>
                <w:sz w:val="20"/>
                <w:szCs w:val="20"/>
                <w:lang w:val="en-AU"/>
              </w:rPr>
            </w:pPr>
          </w:p>
        </w:tc>
        <w:tc>
          <w:tcPr>
            <w:tcW w:w="1417" w:type="dxa"/>
            <w:shd w:val="clear" w:color="auto" w:fill="auto"/>
          </w:tcPr>
          <w:p w14:paraId="005CD536" w14:textId="77777777"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Value</w:t>
            </w:r>
          </w:p>
        </w:tc>
        <w:tc>
          <w:tcPr>
            <w:tcW w:w="1418" w:type="dxa"/>
            <w:shd w:val="clear" w:color="auto" w:fill="auto"/>
          </w:tcPr>
          <w:p w14:paraId="046C328A" w14:textId="77777777"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95%CI</w:t>
            </w:r>
          </w:p>
        </w:tc>
        <w:tc>
          <w:tcPr>
            <w:tcW w:w="992" w:type="dxa"/>
            <w:shd w:val="clear" w:color="auto" w:fill="auto"/>
          </w:tcPr>
          <w:p w14:paraId="45DB9B45" w14:textId="77777777"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Type</w:t>
            </w:r>
          </w:p>
        </w:tc>
        <w:tc>
          <w:tcPr>
            <w:tcW w:w="1134" w:type="dxa"/>
            <w:shd w:val="clear" w:color="auto" w:fill="auto"/>
          </w:tcPr>
          <w:p w14:paraId="14E084B1" w14:textId="03BD2703"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p</w:t>
            </w:r>
            <w:r w:rsidR="00E072B9">
              <w:rPr>
                <w:rFonts w:ascii="Arial Narrow" w:eastAsia="Calibri" w:hAnsi="Arial Narrow"/>
                <w:b/>
                <w:sz w:val="20"/>
                <w:szCs w:val="20"/>
                <w:lang w:val="en-AU"/>
              </w:rPr>
              <w:noBreakHyphen/>
            </w:r>
            <w:r w:rsidRPr="00E750DB">
              <w:rPr>
                <w:rFonts w:ascii="Arial Narrow" w:eastAsia="Calibri" w:hAnsi="Arial Narrow"/>
                <w:b/>
                <w:sz w:val="20"/>
                <w:szCs w:val="20"/>
                <w:lang w:val="en-AU"/>
              </w:rPr>
              <w:t>value</w:t>
            </w:r>
          </w:p>
        </w:tc>
      </w:tr>
      <w:tr w:rsidR="00752983" w:rsidRPr="00E750DB" w14:paraId="776E403E" w14:textId="77777777" w:rsidTr="00580D86">
        <w:tc>
          <w:tcPr>
            <w:tcW w:w="4248" w:type="dxa"/>
            <w:shd w:val="clear" w:color="auto" w:fill="auto"/>
          </w:tcPr>
          <w:p w14:paraId="5CEEB053"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LS mean urinary ALA in AIP at 3 months (mmol/mol Cr)</w:t>
            </w:r>
          </w:p>
        </w:tc>
        <w:tc>
          <w:tcPr>
            <w:tcW w:w="1417" w:type="dxa"/>
            <w:shd w:val="clear" w:color="auto" w:fill="auto"/>
          </w:tcPr>
          <w:p w14:paraId="4BEF587D" w14:textId="0E41175B" w:rsidR="00752983" w:rsidRPr="00E750DB" w:rsidRDefault="00E072B9"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00752983" w:rsidRPr="00E750DB">
              <w:rPr>
                <w:rFonts w:ascii="Arial Narrow" w:eastAsia="Calibri" w:hAnsi="Arial Narrow"/>
                <w:sz w:val="20"/>
                <w:szCs w:val="20"/>
                <w:lang w:val="en-AU"/>
              </w:rPr>
              <w:t>18</w:t>
            </w:r>
          </w:p>
        </w:tc>
        <w:tc>
          <w:tcPr>
            <w:tcW w:w="1418" w:type="dxa"/>
            <w:shd w:val="clear" w:color="auto" w:fill="auto"/>
          </w:tcPr>
          <w:p w14:paraId="3822824F" w14:textId="4BE551F3"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22.3, </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14.2)</w:t>
            </w:r>
          </w:p>
        </w:tc>
        <w:tc>
          <w:tcPr>
            <w:tcW w:w="992" w:type="dxa"/>
            <w:shd w:val="clear" w:color="auto" w:fill="auto"/>
          </w:tcPr>
          <w:p w14:paraId="1EEDF4CE" w14:textId="1E13E725"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29D55017" w14:textId="630488EB" w:rsidR="00752983" w:rsidRPr="00E750DB" w:rsidRDefault="00727B84"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t>&lt;</w:t>
            </w:r>
            <w:r w:rsidR="002E1FD5">
              <w:rPr>
                <w:rFonts w:ascii="Arial Narrow" w:eastAsia="Calibri" w:hAnsi="Arial Narrow"/>
                <w:sz w:val="20"/>
                <w:szCs w:val="20"/>
                <w:lang w:val="en-AU"/>
              </w:rPr>
              <w:t xml:space="preserve"> </w:t>
            </w:r>
            <w:r>
              <w:rPr>
                <w:rFonts w:ascii="Arial Narrow" w:eastAsia="Calibri" w:hAnsi="Arial Narrow"/>
                <w:sz w:val="20"/>
                <w:szCs w:val="20"/>
                <w:lang w:val="en-AU"/>
              </w:rPr>
              <w:t>0.001</w:t>
            </w:r>
          </w:p>
        </w:tc>
      </w:tr>
      <w:tr w:rsidR="00727B84" w:rsidRPr="00E750DB" w14:paraId="6FE186E2" w14:textId="77777777" w:rsidTr="00580D86">
        <w:tc>
          <w:tcPr>
            <w:tcW w:w="4248" w:type="dxa"/>
            <w:shd w:val="clear" w:color="auto" w:fill="auto"/>
          </w:tcPr>
          <w:p w14:paraId="5BA38C13" w14:textId="77777777" w:rsidR="00727B84" w:rsidRPr="00E750DB" w:rsidRDefault="00727B84" w:rsidP="00727B84">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LS mean urinary ALA in AIP at 6 months (mmol/mol Cr)</w:t>
            </w:r>
          </w:p>
        </w:tc>
        <w:tc>
          <w:tcPr>
            <w:tcW w:w="1417" w:type="dxa"/>
            <w:shd w:val="clear" w:color="auto" w:fill="auto"/>
          </w:tcPr>
          <w:p w14:paraId="2C4190FE" w14:textId="050D5E72" w:rsidR="00727B84" w:rsidRPr="00E750DB" w:rsidRDefault="00727B84" w:rsidP="00727B84">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Pr="00E750DB">
              <w:rPr>
                <w:rFonts w:ascii="Arial Narrow" w:eastAsia="Calibri" w:hAnsi="Arial Narrow"/>
                <w:sz w:val="20"/>
                <w:szCs w:val="20"/>
                <w:lang w:val="en-AU"/>
              </w:rPr>
              <w:t>19</w:t>
            </w:r>
          </w:p>
        </w:tc>
        <w:tc>
          <w:tcPr>
            <w:tcW w:w="1418" w:type="dxa"/>
            <w:shd w:val="clear" w:color="auto" w:fill="auto"/>
          </w:tcPr>
          <w:p w14:paraId="6A641CD0" w14:textId="7F9D0AF4"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26.0, </w:t>
            </w:r>
            <w:r>
              <w:rPr>
                <w:rFonts w:ascii="Arial Narrow" w:eastAsia="Calibri" w:hAnsi="Arial Narrow"/>
                <w:sz w:val="20"/>
                <w:szCs w:val="20"/>
                <w:lang w:val="en-AU"/>
              </w:rPr>
              <w:noBreakHyphen/>
            </w:r>
            <w:r w:rsidRPr="00E750DB">
              <w:rPr>
                <w:rFonts w:ascii="Arial Narrow" w:eastAsia="Calibri" w:hAnsi="Arial Narrow"/>
                <w:sz w:val="20"/>
                <w:szCs w:val="20"/>
                <w:lang w:val="en-AU"/>
              </w:rPr>
              <w:t>12.2)</w:t>
            </w:r>
          </w:p>
        </w:tc>
        <w:tc>
          <w:tcPr>
            <w:tcW w:w="992" w:type="dxa"/>
            <w:shd w:val="clear" w:color="auto" w:fill="auto"/>
          </w:tcPr>
          <w:p w14:paraId="1DB24EC7" w14:textId="6FD01F21"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5C84DB65" w14:textId="40057FE1" w:rsidR="00727B84" w:rsidRPr="00E750DB" w:rsidRDefault="00727B84" w:rsidP="00727B84">
            <w:pPr>
              <w:pStyle w:val="TableLeft"/>
              <w:keepNext/>
              <w:keepLines/>
              <w:jc w:val="center"/>
              <w:rPr>
                <w:rFonts w:ascii="Arial Narrow" w:eastAsia="Calibri" w:hAnsi="Arial Narrow"/>
                <w:sz w:val="20"/>
                <w:szCs w:val="20"/>
                <w:lang w:val="en-AU"/>
              </w:rPr>
            </w:pPr>
            <w:r w:rsidRPr="00CF2AA7">
              <w:rPr>
                <w:rFonts w:ascii="Arial Narrow" w:eastAsia="Calibri" w:hAnsi="Arial Narrow"/>
                <w:sz w:val="20"/>
                <w:szCs w:val="20"/>
                <w:lang w:val="en-AU"/>
              </w:rPr>
              <w:t>&lt;</w:t>
            </w:r>
            <w:r w:rsidR="002E1FD5">
              <w:rPr>
                <w:rFonts w:ascii="Arial Narrow" w:eastAsia="Calibri" w:hAnsi="Arial Narrow"/>
                <w:sz w:val="20"/>
                <w:szCs w:val="20"/>
                <w:lang w:val="en-AU"/>
              </w:rPr>
              <w:t xml:space="preserve"> </w:t>
            </w:r>
            <w:r w:rsidRPr="00CF2AA7">
              <w:rPr>
                <w:rFonts w:ascii="Arial Narrow" w:eastAsia="Calibri" w:hAnsi="Arial Narrow"/>
                <w:sz w:val="20"/>
                <w:szCs w:val="20"/>
                <w:lang w:val="en-AU"/>
              </w:rPr>
              <w:t>0.001</w:t>
            </w:r>
          </w:p>
        </w:tc>
      </w:tr>
      <w:tr w:rsidR="00727B84" w:rsidRPr="00E750DB" w14:paraId="68D99EF3" w14:textId="77777777" w:rsidTr="00580D86">
        <w:tc>
          <w:tcPr>
            <w:tcW w:w="4248" w:type="dxa"/>
            <w:shd w:val="clear" w:color="auto" w:fill="auto"/>
          </w:tcPr>
          <w:p w14:paraId="3A007A19" w14:textId="77777777" w:rsidR="00727B84" w:rsidRPr="00E750DB" w:rsidRDefault="00727B84" w:rsidP="00727B84">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LS mean urinary PBG in AIP at 6 months (mmol/mol Cr)</w:t>
            </w:r>
          </w:p>
        </w:tc>
        <w:tc>
          <w:tcPr>
            <w:tcW w:w="1417" w:type="dxa"/>
            <w:shd w:val="clear" w:color="auto" w:fill="auto"/>
          </w:tcPr>
          <w:p w14:paraId="3F58DD6F" w14:textId="43568FE6" w:rsidR="00727B84" w:rsidRPr="00E750DB" w:rsidRDefault="00727B84" w:rsidP="00727B84">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Pr="00E750DB">
              <w:rPr>
                <w:rFonts w:ascii="Arial Narrow" w:eastAsia="Calibri" w:hAnsi="Arial Narrow"/>
                <w:sz w:val="20"/>
                <w:szCs w:val="20"/>
                <w:lang w:val="en-AU"/>
              </w:rPr>
              <w:t>36</w:t>
            </w:r>
          </w:p>
        </w:tc>
        <w:tc>
          <w:tcPr>
            <w:tcW w:w="1418" w:type="dxa"/>
            <w:shd w:val="clear" w:color="auto" w:fill="auto"/>
          </w:tcPr>
          <w:p w14:paraId="4F33C8AF" w14:textId="7440D3D2"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49.7, </w:t>
            </w:r>
            <w:r>
              <w:rPr>
                <w:rFonts w:ascii="Arial Narrow" w:eastAsia="Calibri" w:hAnsi="Arial Narrow"/>
                <w:sz w:val="20"/>
                <w:szCs w:val="20"/>
                <w:lang w:val="en-AU"/>
              </w:rPr>
              <w:noBreakHyphen/>
            </w:r>
            <w:r w:rsidRPr="00E750DB">
              <w:rPr>
                <w:rFonts w:ascii="Arial Narrow" w:eastAsia="Calibri" w:hAnsi="Arial Narrow"/>
                <w:sz w:val="20"/>
                <w:szCs w:val="20"/>
                <w:lang w:val="en-AU"/>
              </w:rPr>
              <w:t>22.7)</w:t>
            </w:r>
          </w:p>
        </w:tc>
        <w:tc>
          <w:tcPr>
            <w:tcW w:w="992" w:type="dxa"/>
            <w:shd w:val="clear" w:color="auto" w:fill="auto"/>
          </w:tcPr>
          <w:p w14:paraId="10A6C7DB" w14:textId="210F35C4"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694DCDB6" w14:textId="2E07B2C8" w:rsidR="00727B84" w:rsidRPr="00E750DB" w:rsidRDefault="00727B84" w:rsidP="00727B84">
            <w:pPr>
              <w:pStyle w:val="TableLeft"/>
              <w:keepNext/>
              <w:keepLines/>
              <w:jc w:val="center"/>
              <w:rPr>
                <w:rFonts w:ascii="Arial Narrow" w:eastAsia="Calibri" w:hAnsi="Arial Narrow"/>
                <w:sz w:val="20"/>
                <w:szCs w:val="20"/>
                <w:lang w:val="en-AU"/>
              </w:rPr>
            </w:pPr>
            <w:r w:rsidRPr="00CF2AA7">
              <w:rPr>
                <w:rFonts w:ascii="Arial Narrow" w:eastAsia="Calibri" w:hAnsi="Arial Narrow"/>
                <w:sz w:val="20"/>
                <w:szCs w:val="20"/>
                <w:lang w:val="en-AU"/>
              </w:rPr>
              <w:t>&lt;</w:t>
            </w:r>
            <w:r w:rsidR="002E1FD5">
              <w:rPr>
                <w:rFonts w:ascii="Arial Narrow" w:eastAsia="Calibri" w:hAnsi="Arial Narrow"/>
                <w:sz w:val="20"/>
                <w:szCs w:val="20"/>
                <w:lang w:val="en-AU"/>
              </w:rPr>
              <w:t xml:space="preserve"> </w:t>
            </w:r>
            <w:r w:rsidRPr="00CF2AA7">
              <w:rPr>
                <w:rFonts w:ascii="Arial Narrow" w:eastAsia="Calibri" w:hAnsi="Arial Narrow"/>
                <w:sz w:val="20"/>
                <w:szCs w:val="20"/>
                <w:lang w:val="en-AU"/>
              </w:rPr>
              <w:t>0.001</w:t>
            </w:r>
          </w:p>
        </w:tc>
      </w:tr>
      <w:tr w:rsidR="00727B84" w:rsidRPr="00E750DB" w14:paraId="626B64BB" w14:textId="77777777" w:rsidTr="00580D86">
        <w:tc>
          <w:tcPr>
            <w:tcW w:w="4248" w:type="dxa"/>
            <w:shd w:val="clear" w:color="auto" w:fill="auto"/>
          </w:tcPr>
          <w:p w14:paraId="7FB3B653" w14:textId="77777777" w:rsidR="00727B84" w:rsidRPr="00E750DB" w:rsidRDefault="00727B84" w:rsidP="00727B84">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Mean annualised days on hemin usage in AIP</w:t>
            </w:r>
          </w:p>
        </w:tc>
        <w:tc>
          <w:tcPr>
            <w:tcW w:w="1417" w:type="dxa"/>
            <w:shd w:val="clear" w:color="auto" w:fill="auto"/>
          </w:tcPr>
          <w:p w14:paraId="2C669D7E" w14:textId="77777777"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0.23</w:t>
            </w:r>
          </w:p>
        </w:tc>
        <w:tc>
          <w:tcPr>
            <w:tcW w:w="1418" w:type="dxa"/>
            <w:shd w:val="clear" w:color="auto" w:fill="auto"/>
          </w:tcPr>
          <w:p w14:paraId="77B4B0AE" w14:textId="77777777"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(0.11, 0.45)</w:t>
            </w:r>
          </w:p>
        </w:tc>
        <w:tc>
          <w:tcPr>
            <w:tcW w:w="992" w:type="dxa"/>
            <w:shd w:val="clear" w:color="auto" w:fill="auto"/>
          </w:tcPr>
          <w:p w14:paraId="69EAEF1B" w14:textId="1EB5A738"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74E3CE39" w14:textId="7862668A" w:rsidR="00727B84" w:rsidRPr="00E750DB" w:rsidRDefault="00727B84" w:rsidP="00727B84">
            <w:pPr>
              <w:pStyle w:val="TableLeft"/>
              <w:keepNext/>
              <w:keepLines/>
              <w:jc w:val="center"/>
              <w:rPr>
                <w:rFonts w:ascii="Arial Narrow" w:eastAsia="Calibri" w:hAnsi="Arial Narrow"/>
                <w:sz w:val="20"/>
                <w:szCs w:val="20"/>
                <w:lang w:val="en-AU"/>
              </w:rPr>
            </w:pPr>
            <w:r w:rsidRPr="00CF2AA7">
              <w:rPr>
                <w:rFonts w:ascii="Arial Narrow" w:eastAsia="Calibri" w:hAnsi="Arial Narrow"/>
                <w:sz w:val="20"/>
                <w:szCs w:val="20"/>
                <w:lang w:val="en-AU"/>
              </w:rPr>
              <w:t>&lt;</w:t>
            </w:r>
            <w:r w:rsidR="002E1FD5">
              <w:rPr>
                <w:rFonts w:ascii="Arial Narrow" w:eastAsia="Calibri" w:hAnsi="Arial Narrow"/>
                <w:sz w:val="20"/>
                <w:szCs w:val="20"/>
                <w:lang w:val="en-AU"/>
              </w:rPr>
              <w:t xml:space="preserve"> </w:t>
            </w:r>
            <w:r w:rsidRPr="00CF2AA7">
              <w:rPr>
                <w:rFonts w:ascii="Arial Narrow" w:eastAsia="Calibri" w:hAnsi="Arial Narrow"/>
                <w:sz w:val="20"/>
                <w:szCs w:val="20"/>
                <w:lang w:val="en-AU"/>
              </w:rPr>
              <w:t>0.001</w:t>
            </w:r>
          </w:p>
        </w:tc>
      </w:tr>
      <w:tr w:rsidR="00752983" w:rsidRPr="00E750DB" w14:paraId="2027D1D8" w14:textId="77777777" w:rsidTr="00580D86">
        <w:tc>
          <w:tcPr>
            <w:tcW w:w="4248" w:type="dxa"/>
            <w:shd w:val="clear" w:color="auto" w:fill="auto"/>
          </w:tcPr>
          <w:p w14:paraId="3F72DAC7" w14:textId="661177C1"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Daily worst pain (BPI</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SF</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NRS, range 0–10 points) AUC change from baseline</w:t>
            </w:r>
            <w:r w:rsidRPr="00E750DB">
              <w:rPr>
                <w:rFonts w:ascii="Arial Narrow" w:eastAsia="Calibri" w:hAnsi="Arial Narrow"/>
                <w:sz w:val="20"/>
                <w:szCs w:val="20"/>
                <w:vertAlign w:val="superscript"/>
                <w:lang w:val="en-AU"/>
              </w:rPr>
              <w:t>a</w:t>
            </w:r>
          </w:p>
        </w:tc>
        <w:tc>
          <w:tcPr>
            <w:tcW w:w="1417" w:type="dxa"/>
            <w:shd w:val="clear" w:color="auto" w:fill="auto"/>
            <w:vAlign w:val="center"/>
          </w:tcPr>
          <w:p w14:paraId="343FDA63" w14:textId="3345D133" w:rsidR="00752983" w:rsidRPr="00E750DB" w:rsidRDefault="00E072B9"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00752983" w:rsidRPr="00E750DB">
              <w:rPr>
                <w:rFonts w:ascii="Arial Narrow" w:eastAsia="Calibri" w:hAnsi="Arial Narrow"/>
                <w:sz w:val="20"/>
                <w:szCs w:val="20"/>
                <w:lang w:val="en-AU"/>
              </w:rPr>
              <w:t>12.680</w:t>
            </w:r>
          </w:p>
        </w:tc>
        <w:tc>
          <w:tcPr>
            <w:tcW w:w="1418" w:type="dxa"/>
            <w:shd w:val="clear" w:color="auto" w:fill="auto"/>
            <w:vAlign w:val="center"/>
          </w:tcPr>
          <w:p w14:paraId="10A9D67E" w14:textId="65CCC7DB"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25.526, 0.166)</w:t>
            </w:r>
          </w:p>
        </w:tc>
        <w:tc>
          <w:tcPr>
            <w:tcW w:w="992" w:type="dxa"/>
            <w:shd w:val="clear" w:color="auto" w:fill="auto"/>
            <w:vAlign w:val="center"/>
          </w:tcPr>
          <w:p w14:paraId="5E966109" w14:textId="3BAD177C"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ANCOVA</w:t>
            </w:r>
          </w:p>
          <w:p w14:paraId="4A157820"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Wilcoxon</w:t>
            </w:r>
          </w:p>
        </w:tc>
        <w:tc>
          <w:tcPr>
            <w:tcW w:w="1134" w:type="dxa"/>
            <w:shd w:val="clear" w:color="auto" w:fill="auto"/>
            <w:vAlign w:val="center"/>
          </w:tcPr>
          <w:p w14:paraId="1CC08129" w14:textId="004677E4"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w:t>
            </w:r>
            <w:r w:rsidR="00894789" w:rsidRPr="00E750DB">
              <w:rPr>
                <w:rFonts w:ascii="Arial Narrow" w:eastAsia="Calibri" w:hAnsi="Arial Narrow"/>
                <w:sz w:val="20"/>
                <w:szCs w:val="20"/>
                <w:lang w:val="en-AU"/>
              </w:rPr>
              <w:t>04</w:t>
            </w:r>
            <w:r w:rsidR="00894789">
              <w:rPr>
                <w:rFonts w:ascii="Arial Narrow" w:eastAsia="Calibri" w:hAnsi="Arial Narrow"/>
                <w:sz w:val="20"/>
                <w:szCs w:val="20"/>
                <w:lang w:val="en-AU"/>
              </w:rPr>
              <w:t>6</w:t>
            </w:r>
          </w:p>
        </w:tc>
      </w:tr>
      <w:tr w:rsidR="00752983" w:rsidRPr="00E750DB" w14:paraId="3439295E" w14:textId="77777777" w:rsidTr="00580D86">
        <w:tc>
          <w:tcPr>
            <w:tcW w:w="4248" w:type="dxa"/>
            <w:shd w:val="clear" w:color="auto" w:fill="auto"/>
          </w:tcPr>
          <w:p w14:paraId="32AA1E0A"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Daily worst nausea (NRS, range: 0–10 points) AUC change from baseline</w:t>
            </w:r>
            <w:r w:rsidRPr="00E750DB">
              <w:rPr>
                <w:rFonts w:ascii="Arial Narrow" w:eastAsia="Calibri" w:hAnsi="Arial Narrow"/>
                <w:sz w:val="20"/>
                <w:szCs w:val="20"/>
                <w:vertAlign w:val="superscript"/>
                <w:lang w:val="en-AU"/>
              </w:rPr>
              <w:t>b</w:t>
            </w:r>
          </w:p>
        </w:tc>
        <w:tc>
          <w:tcPr>
            <w:tcW w:w="1417" w:type="dxa"/>
            <w:shd w:val="clear" w:color="auto" w:fill="auto"/>
            <w:vAlign w:val="center"/>
          </w:tcPr>
          <w:p w14:paraId="434F45EA" w14:textId="3907C085" w:rsidR="00752983" w:rsidRPr="00E750DB" w:rsidRDefault="00E072B9"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00752983" w:rsidRPr="00E750DB">
              <w:rPr>
                <w:rFonts w:ascii="Arial Narrow" w:eastAsia="Calibri" w:hAnsi="Arial Narrow"/>
                <w:sz w:val="20"/>
                <w:szCs w:val="20"/>
                <w:lang w:val="en-AU"/>
              </w:rPr>
              <w:t>6.940</w:t>
            </w:r>
          </w:p>
        </w:tc>
        <w:tc>
          <w:tcPr>
            <w:tcW w:w="1418" w:type="dxa"/>
            <w:shd w:val="clear" w:color="auto" w:fill="auto"/>
            <w:vAlign w:val="center"/>
          </w:tcPr>
          <w:p w14:paraId="533A0B82" w14:textId="65F692FB"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19.837, 5.957)</w:t>
            </w:r>
          </w:p>
        </w:tc>
        <w:tc>
          <w:tcPr>
            <w:tcW w:w="992" w:type="dxa"/>
            <w:shd w:val="clear" w:color="auto" w:fill="auto"/>
            <w:vAlign w:val="center"/>
          </w:tcPr>
          <w:p w14:paraId="74D84A79" w14:textId="1C364B8C"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ANCOVA</w:t>
            </w:r>
          </w:p>
        </w:tc>
        <w:tc>
          <w:tcPr>
            <w:tcW w:w="1134" w:type="dxa"/>
            <w:shd w:val="clear" w:color="auto" w:fill="auto"/>
            <w:vAlign w:val="center"/>
          </w:tcPr>
          <w:p w14:paraId="28ADF267" w14:textId="2E413EA4"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0.2876</w:t>
            </w:r>
          </w:p>
        </w:tc>
      </w:tr>
      <w:tr w:rsidR="00752983" w:rsidRPr="00E750DB" w14:paraId="01A5954F" w14:textId="77777777" w:rsidTr="00580D86">
        <w:tc>
          <w:tcPr>
            <w:tcW w:w="4248" w:type="dxa"/>
            <w:shd w:val="clear" w:color="auto" w:fill="auto"/>
          </w:tcPr>
          <w:p w14:paraId="0FF4CDB9" w14:textId="6E5ACA0F"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Daily worst fatigue (BFI</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SF NRS, range 0</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10) AUC change from baseline</w:t>
            </w:r>
            <w:r w:rsidRPr="00E750DB">
              <w:rPr>
                <w:rFonts w:ascii="Arial Narrow" w:eastAsia="Calibri" w:hAnsi="Arial Narrow"/>
                <w:sz w:val="20"/>
                <w:szCs w:val="20"/>
                <w:vertAlign w:val="superscript"/>
                <w:lang w:val="en-AU"/>
              </w:rPr>
              <w:t>b</w:t>
            </w:r>
          </w:p>
        </w:tc>
        <w:tc>
          <w:tcPr>
            <w:tcW w:w="1417" w:type="dxa"/>
            <w:shd w:val="clear" w:color="auto" w:fill="auto"/>
            <w:vAlign w:val="center"/>
          </w:tcPr>
          <w:p w14:paraId="3D84EC21" w14:textId="4AFC3795"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5.492</w:t>
            </w:r>
          </w:p>
        </w:tc>
        <w:tc>
          <w:tcPr>
            <w:tcW w:w="1418" w:type="dxa"/>
            <w:shd w:val="clear" w:color="auto" w:fill="auto"/>
            <w:vAlign w:val="center"/>
          </w:tcPr>
          <w:p w14:paraId="2F637120" w14:textId="79C0BD80"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4.000, 14.984)</w:t>
            </w:r>
          </w:p>
        </w:tc>
        <w:tc>
          <w:tcPr>
            <w:tcW w:w="992" w:type="dxa"/>
            <w:shd w:val="clear" w:color="auto" w:fill="auto"/>
            <w:vAlign w:val="center"/>
          </w:tcPr>
          <w:p w14:paraId="14F7A8E0" w14:textId="46778A0C"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ANCOVA</w:t>
            </w:r>
          </w:p>
        </w:tc>
        <w:tc>
          <w:tcPr>
            <w:tcW w:w="1134" w:type="dxa"/>
            <w:shd w:val="clear" w:color="auto" w:fill="auto"/>
            <w:vAlign w:val="center"/>
          </w:tcPr>
          <w:p w14:paraId="7C166174" w14:textId="66F77810"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0.2532</w:t>
            </w:r>
          </w:p>
        </w:tc>
      </w:tr>
      <w:tr w:rsidR="00752983" w:rsidRPr="00E750DB" w14:paraId="71FCA54C" w14:textId="77777777" w:rsidTr="00580D86">
        <w:tc>
          <w:tcPr>
            <w:tcW w:w="4248" w:type="dxa"/>
            <w:shd w:val="clear" w:color="auto" w:fill="auto"/>
          </w:tcPr>
          <w:p w14:paraId="485D960C" w14:textId="42063E79" w:rsidR="00752983" w:rsidRPr="00E750DB" w:rsidRDefault="00752983" w:rsidP="00E072B9">
            <w:pPr>
              <w:keepNext/>
              <w:keepLines/>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Mean</w:t>
            </w:r>
            <w:r w:rsidR="00A550BD">
              <w:rPr>
                <w:rFonts w:ascii="Arial Narrow" w:eastAsia="Calibri" w:hAnsi="Arial Narrow" w:cstheme="minorHAnsi"/>
                <w:sz w:val="20"/>
                <w:szCs w:val="20"/>
                <w:lang w:val="en-AU"/>
              </w:rPr>
              <w:t xml:space="preserve"> </w:t>
            </w:r>
            <w:r w:rsidRPr="00E750DB">
              <w:rPr>
                <w:rFonts w:ascii="Arial Narrow" w:eastAsia="Calibri" w:hAnsi="Arial Narrow" w:cstheme="minorHAnsi"/>
                <w:sz w:val="20"/>
                <w:szCs w:val="20"/>
                <w:lang w:val="en-AU"/>
              </w:rPr>
              <w:t>proportion of days with opioid use over 6 months</w:t>
            </w:r>
          </w:p>
        </w:tc>
        <w:tc>
          <w:tcPr>
            <w:tcW w:w="1417" w:type="dxa"/>
            <w:shd w:val="clear" w:color="auto" w:fill="auto"/>
            <w:vAlign w:val="center"/>
          </w:tcPr>
          <w:p w14:paraId="4952137E"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Givosiran: 23%</w:t>
            </w:r>
          </w:p>
          <w:p w14:paraId="6CC29280" w14:textId="7F99F6F4"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Placebo: 38%</w:t>
            </w:r>
          </w:p>
        </w:tc>
        <w:tc>
          <w:tcPr>
            <w:tcW w:w="1418" w:type="dxa"/>
            <w:shd w:val="clear" w:color="auto" w:fill="auto"/>
            <w:vAlign w:val="center"/>
          </w:tcPr>
          <w:p w14:paraId="7F7B2E82"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NR</w:t>
            </w:r>
          </w:p>
        </w:tc>
        <w:tc>
          <w:tcPr>
            <w:tcW w:w="992" w:type="dxa"/>
            <w:shd w:val="clear" w:color="auto" w:fill="auto"/>
            <w:vAlign w:val="center"/>
          </w:tcPr>
          <w:p w14:paraId="33B434BA"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NR</w:t>
            </w:r>
          </w:p>
        </w:tc>
        <w:tc>
          <w:tcPr>
            <w:tcW w:w="1134" w:type="dxa"/>
            <w:shd w:val="clear" w:color="auto" w:fill="auto"/>
            <w:vAlign w:val="center"/>
          </w:tcPr>
          <w:p w14:paraId="23579505"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NR</w:t>
            </w:r>
          </w:p>
        </w:tc>
      </w:tr>
      <w:tr w:rsidR="00752983" w:rsidRPr="00E750DB" w14:paraId="7EF8ADFF" w14:textId="77777777" w:rsidTr="00580D86">
        <w:tc>
          <w:tcPr>
            <w:tcW w:w="4248" w:type="dxa"/>
            <w:shd w:val="clear" w:color="auto" w:fill="auto"/>
          </w:tcPr>
          <w:p w14:paraId="045E5591" w14:textId="70F88000"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PCS of SF</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12 (range 0–100) in AIP, mean change from baseline</w:t>
            </w:r>
            <w:r w:rsidRPr="00E750DB">
              <w:rPr>
                <w:rFonts w:ascii="Arial Narrow" w:eastAsia="Calibri" w:hAnsi="Arial Narrow"/>
                <w:sz w:val="20"/>
                <w:szCs w:val="20"/>
                <w:vertAlign w:val="superscript"/>
                <w:lang w:val="en-AU"/>
              </w:rPr>
              <w:t>c</w:t>
            </w:r>
          </w:p>
        </w:tc>
        <w:tc>
          <w:tcPr>
            <w:tcW w:w="1417" w:type="dxa"/>
            <w:shd w:val="clear" w:color="auto" w:fill="auto"/>
            <w:vAlign w:val="center"/>
          </w:tcPr>
          <w:p w14:paraId="32054004" w14:textId="2A7216C2"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3.9</w:t>
            </w:r>
          </w:p>
        </w:tc>
        <w:tc>
          <w:tcPr>
            <w:tcW w:w="1418" w:type="dxa"/>
            <w:shd w:val="clear" w:color="auto" w:fill="auto"/>
            <w:vAlign w:val="center"/>
          </w:tcPr>
          <w:p w14:paraId="0E75B6F8" w14:textId="27F0FF39"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w:t>
            </w:r>
            <w:r w:rsidR="0076456F">
              <w:rPr>
                <w:rFonts w:ascii="Arial Narrow" w:eastAsia="Calibri" w:hAnsi="Arial Narrow"/>
                <w:sz w:val="20"/>
                <w:szCs w:val="20"/>
                <w:lang w:val="en-AU"/>
              </w:rPr>
              <w:t>6</w:t>
            </w:r>
            <w:r w:rsidRPr="00E750DB">
              <w:rPr>
                <w:rFonts w:ascii="Arial Narrow" w:eastAsia="Calibri" w:hAnsi="Arial Narrow"/>
                <w:sz w:val="20"/>
                <w:szCs w:val="20"/>
                <w:lang w:val="en-AU"/>
              </w:rPr>
              <w:t>, 7.</w:t>
            </w:r>
            <w:r w:rsidR="0076456F">
              <w:rPr>
                <w:rFonts w:ascii="Arial Narrow" w:eastAsia="Calibri" w:hAnsi="Arial Narrow"/>
                <w:sz w:val="20"/>
                <w:szCs w:val="20"/>
                <w:lang w:val="en-AU"/>
              </w:rPr>
              <w:t>3</w:t>
            </w:r>
            <w:r w:rsidRPr="00E750DB">
              <w:rPr>
                <w:rFonts w:ascii="Arial Narrow" w:eastAsia="Calibri" w:hAnsi="Arial Narrow"/>
                <w:sz w:val="20"/>
                <w:szCs w:val="20"/>
                <w:lang w:val="en-AU"/>
              </w:rPr>
              <w:t>)</w:t>
            </w:r>
          </w:p>
        </w:tc>
        <w:tc>
          <w:tcPr>
            <w:tcW w:w="992" w:type="dxa"/>
            <w:shd w:val="clear" w:color="auto" w:fill="auto"/>
            <w:vAlign w:val="center"/>
          </w:tcPr>
          <w:p w14:paraId="54F8EF94" w14:textId="5F4FF6E4"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vAlign w:val="center"/>
          </w:tcPr>
          <w:p w14:paraId="6D0BF667" w14:textId="03B8BE51"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0.0216</w:t>
            </w:r>
          </w:p>
        </w:tc>
      </w:tr>
      <w:tr w:rsidR="001E2B34" w:rsidRPr="001E2B34" w14:paraId="59F11209" w14:textId="77777777" w:rsidTr="00580D86">
        <w:tc>
          <w:tcPr>
            <w:tcW w:w="4248" w:type="dxa"/>
            <w:shd w:val="clear" w:color="auto" w:fill="auto"/>
          </w:tcPr>
          <w:p w14:paraId="25381516" w14:textId="373F200C"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EQ</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5D</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5L VAS (range 0–100), mean change from baseline</w:t>
            </w:r>
            <w:r w:rsidRPr="00E750DB">
              <w:rPr>
                <w:rFonts w:ascii="Arial Narrow" w:eastAsia="Calibri" w:hAnsi="Arial Narrow"/>
                <w:sz w:val="20"/>
                <w:szCs w:val="20"/>
                <w:vertAlign w:val="superscript"/>
                <w:lang w:val="en-AU"/>
              </w:rPr>
              <w:t>c</w:t>
            </w:r>
          </w:p>
        </w:tc>
        <w:tc>
          <w:tcPr>
            <w:tcW w:w="1417" w:type="dxa"/>
            <w:shd w:val="clear" w:color="auto" w:fill="auto"/>
            <w:vAlign w:val="center"/>
          </w:tcPr>
          <w:p w14:paraId="738DB3C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Givosiran: 5.2</w:t>
            </w:r>
          </w:p>
          <w:p w14:paraId="1E378BE7" w14:textId="7893D4AD"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 xml:space="preserve">Placebo: </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1.3</w:t>
            </w:r>
          </w:p>
        </w:tc>
        <w:tc>
          <w:tcPr>
            <w:tcW w:w="1418" w:type="dxa"/>
            <w:shd w:val="clear" w:color="auto" w:fill="auto"/>
            <w:vAlign w:val="center"/>
          </w:tcPr>
          <w:p w14:paraId="53FEDAE2"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731FF241"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2B9DA5D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485966F0" w14:textId="77777777" w:rsidTr="00580D86">
        <w:tc>
          <w:tcPr>
            <w:tcW w:w="4248" w:type="dxa"/>
            <w:shd w:val="clear" w:color="auto" w:fill="auto"/>
          </w:tcPr>
          <w:p w14:paraId="104DBBB0"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PGIC at 6 months</w:t>
            </w:r>
            <w:r w:rsidRPr="00E750DB">
              <w:rPr>
                <w:rFonts w:ascii="Arial Narrow" w:eastAsia="Calibri" w:hAnsi="Arial Narrow"/>
                <w:sz w:val="20"/>
                <w:szCs w:val="20"/>
                <w:vertAlign w:val="superscript"/>
                <w:lang w:val="en-AU"/>
              </w:rPr>
              <w:t>d</w:t>
            </w:r>
          </w:p>
        </w:tc>
        <w:tc>
          <w:tcPr>
            <w:tcW w:w="1417" w:type="dxa"/>
            <w:shd w:val="clear" w:color="auto" w:fill="auto"/>
            <w:vAlign w:val="center"/>
          </w:tcPr>
          <w:p w14:paraId="11260F4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Givosiran: 59.4%</w:t>
            </w:r>
          </w:p>
          <w:p w14:paraId="7C25D7E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Placebo: 18.4%</w:t>
            </w:r>
          </w:p>
        </w:tc>
        <w:tc>
          <w:tcPr>
            <w:tcW w:w="1418" w:type="dxa"/>
            <w:shd w:val="clear" w:color="auto" w:fill="auto"/>
            <w:vAlign w:val="center"/>
          </w:tcPr>
          <w:p w14:paraId="52D9D94B"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0A71FAA0"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51A8809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52EEF30A" w14:textId="77777777" w:rsidTr="00580D86">
        <w:tc>
          <w:tcPr>
            <w:tcW w:w="4248" w:type="dxa"/>
            <w:shd w:val="clear" w:color="auto" w:fill="auto"/>
          </w:tcPr>
          <w:p w14:paraId="28CECF5E"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PPEQ at 6 months (Givosiran vs Placebo, % patients)</w:t>
            </w:r>
            <w:r w:rsidRPr="00E750DB">
              <w:rPr>
                <w:rFonts w:ascii="Arial Narrow" w:eastAsia="Calibri" w:hAnsi="Arial Narrow"/>
                <w:sz w:val="20"/>
                <w:szCs w:val="20"/>
                <w:vertAlign w:val="superscript"/>
                <w:lang w:val="en-AU"/>
              </w:rPr>
              <w:t>e</w:t>
            </w:r>
          </w:p>
        </w:tc>
        <w:tc>
          <w:tcPr>
            <w:tcW w:w="1417" w:type="dxa"/>
            <w:shd w:val="clear" w:color="auto" w:fill="auto"/>
            <w:vAlign w:val="center"/>
          </w:tcPr>
          <w:p w14:paraId="20F61C3F" w14:textId="77777777" w:rsidR="00752983" w:rsidRPr="00E750DB" w:rsidRDefault="00752983" w:rsidP="00E072B9">
            <w:pPr>
              <w:pStyle w:val="TableLeft"/>
              <w:keepNext/>
              <w:keepLines/>
              <w:jc w:val="center"/>
              <w:rPr>
                <w:rFonts w:ascii="Arial Narrow" w:eastAsia="Calibri" w:hAnsi="Arial Narrow"/>
                <w:sz w:val="20"/>
                <w:szCs w:val="20"/>
                <w:lang w:val="en-AU"/>
              </w:rPr>
            </w:pPr>
          </w:p>
        </w:tc>
        <w:tc>
          <w:tcPr>
            <w:tcW w:w="1418" w:type="dxa"/>
            <w:shd w:val="clear" w:color="auto" w:fill="auto"/>
            <w:vAlign w:val="center"/>
          </w:tcPr>
          <w:p w14:paraId="1CA66139" w14:textId="77777777" w:rsidR="00752983" w:rsidRPr="00E750DB" w:rsidRDefault="00752983" w:rsidP="00E072B9">
            <w:pPr>
              <w:pStyle w:val="TableLeft"/>
              <w:keepNext/>
              <w:keepLines/>
              <w:jc w:val="center"/>
              <w:rPr>
                <w:rFonts w:ascii="Arial Narrow" w:eastAsia="Calibri" w:hAnsi="Arial Narrow"/>
                <w:sz w:val="20"/>
                <w:szCs w:val="20"/>
                <w:lang w:val="en-AU"/>
              </w:rPr>
            </w:pPr>
          </w:p>
        </w:tc>
        <w:tc>
          <w:tcPr>
            <w:tcW w:w="992" w:type="dxa"/>
            <w:shd w:val="clear" w:color="auto" w:fill="auto"/>
            <w:vAlign w:val="center"/>
          </w:tcPr>
          <w:p w14:paraId="35EC945C" w14:textId="77777777" w:rsidR="00752983" w:rsidRPr="00E750DB" w:rsidRDefault="00752983" w:rsidP="00E072B9">
            <w:pPr>
              <w:pStyle w:val="TableLeft"/>
              <w:keepNext/>
              <w:keepLines/>
              <w:jc w:val="center"/>
              <w:rPr>
                <w:rFonts w:ascii="Arial Narrow" w:eastAsia="Calibri" w:hAnsi="Arial Narrow"/>
                <w:sz w:val="20"/>
                <w:szCs w:val="20"/>
                <w:lang w:val="en-AU"/>
              </w:rPr>
            </w:pPr>
          </w:p>
        </w:tc>
        <w:tc>
          <w:tcPr>
            <w:tcW w:w="1134" w:type="dxa"/>
            <w:shd w:val="clear" w:color="auto" w:fill="auto"/>
            <w:vAlign w:val="center"/>
          </w:tcPr>
          <w:p w14:paraId="5004604B" w14:textId="77777777" w:rsidR="00752983" w:rsidRPr="00E750DB" w:rsidRDefault="00752983" w:rsidP="00E072B9">
            <w:pPr>
              <w:pStyle w:val="TableLeft"/>
              <w:keepNext/>
              <w:keepLines/>
              <w:jc w:val="center"/>
              <w:rPr>
                <w:rFonts w:ascii="Arial Narrow" w:eastAsia="Calibri" w:hAnsi="Arial Narrow"/>
                <w:sz w:val="20"/>
                <w:szCs w:val="20"/>
                <w:lang w:val="en-AU"/>
              </w:rPr>
            </w:pPr>
          </w:p>
        </w:tc>
      </w:tr>
      <w:tr w:rsidR="00752983" w:rsidRPr="00E750DB" w14:paraId="5DF8810D" w14:textId="77777777" w:rsidTr="00580D86">
        <w:tc>
          <w:tcPr>
            <w:tcW w:w="4248" w:type="dxa"/>
            <w:shd w:val="clear" w:color="auto" w:fill="auto"/>
          </w:tcPr>
          <w:p w14:paraId="33EE9FA6" w14:textId="458BC790"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 xml:space="preserve">1. Travelling </w:t>
            </w:r>
            <w:r w:rsidR="00BD03FD">
              <w:rPr>
                <w:rFonts w:ascii="Arial Narrow" w:eastAsia="Calibri" w:hAnsi="Arial Narrow"/>
                <w:sz w:val="20"/>
                <w:szCs w:val="20"/>
                <w:lang w:val="en-AU"/>
              </w:rPr>
              <w:t>&gt;</w:t>
            </w:r>
            <w:r w:rsidR="00A550BD">
              <w:rPr>
                <w:rFonts w:ascii="Arial Narrow" w:eastAsia="Calibri" w:hAnsi="Arial Narrow"/>
                <w:sz w:val="20"/>
                <w:szCs w:val="20"/>
                <w:lang w:val="en-AU"/>
              </w:rPr>
              <w:t xml:space="preserve"> </w:t>
            </w:r>
            <w:r w:rsidRPr="00E750DB">
              <w:rPr>
                <w:rFonts w:ascii="Arial Narrow" w:eastAsia="Calibri" w:hAnsi="Arial Narrow"/>
                <w:sz w:val="20"/>
                <w:szCs w:val="20"/>
                <w:lang w:val="en-AU"/>
              </w:rPr>
              <w:t>1 day for work or pleasure</w:t>
            </w:r>
          </w:p>
        </w:tc>
        <w:tc>
          <w:tcPr>
            <w:tcW w:w="1417" w:type="dxa"/>
            <w:shd w:val="clear" w:color="auto" w:fill="auto"/>
            <w:vAlign w:val="center"/>
          </w:tcPr>
          <w:p w14:paraId="646F750D"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13.2</w:t>
            </w:r>
          </w:p>
        </w:tc>
        <w:tc>
          <w:tcPr>
            <w:tcW w:w="1418" w:type="dxa"/>
            <w:shd w:val="clear" w:color="auto" w:fill="auto"/>
            <w:vAlign w:val="center"/>
          </w:tcPr>
          <w:p w14:paraId="22EA541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12A873B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636CBF6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1976315A" w14:textId="77777777" w:rsidTr="00580D86">
        <w:tc>
          <w:tcPr>
            <w:tcW w:w="4248" w:type="dxa"/>
            <w:shd w:val="clear" w:color="auto" w:fill="auto"/>
          </w:tcPr>
          <w:p w14:paraId="217BC25D"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2. Participating in social activities</w:t>
            </w:r>
          </w:p>
        </w:tc>
        <w:tc>
          <w:tcPr>
            <w:tcW w:w="1417" w:type="dxa"/>
            <w:shd w:val="clear" w:color="auto" w:fill="auto"/>
            <w:vAlign w:val="center"/>
          </w:tcPr>
          <w:p w14:paraId="23DC402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7.9</w:t>
            </w:r>
          </w:p>
        </w:tc>
        <w:tc>
          <w:tcPr>
            <w:tcW w:w="1418" w:type="dxa"/>
            <w:shd w:val="clear" w:color="auto" w:fill="auto"/>
            <w:vAlign w:val="center"/>
          </w:tcPr>
          <w:p w14:paraId="5396E8B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5F6BBE87"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43792466"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21F1E92E" w14:textId="77777777" w:rsidTr="00580D86">
        <w:tc>
          <w:tcPr>
            <w:tcW w:w="4248" w:type="dxa"/>
            <w:shd w:val="clear" w:color="auto" w:fill="auto"/>
          </w:tcPr>
          <w:p w14:paraId="66500A6E"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3. Planning future events</w:t>
            </w:r>
          </w:p>
        </w:tc>
        <w:tc>
          <w:tcPr>
            <w:tcW w:w="1417" w:type="dxa"/>
            <w:shd w:val="clear" w:color="auto" w:fill="auto"/>
            <w:vAlign w:val="center"/>
          </w:tcPr>
          <w:p w14:paraId="27AD1BC4"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10.5</w:t>
            </w:r>
          </w:p>
        </w:tc>
        <w:tc>
          <w:tcPr>
            <w:tcW w:w="1418" w:type="dxa"/>
            <w:shd w:val="clear" w:color="auto" w:fill="auto"/>
            <w:vAlign w:val="center"/>
          </w:tcPr>
          <w:p w14:paraId="370F0712"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568F0159"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47339BE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7ECE47CF" w14:textId="77777777" w:rsidTr="00580D86">
        <w:tc>
          <w:tcPr>
            <w:tcW w:w="4248" w:type="dxa"/>
            <w:shd w:val="clear" w:color="auto" w:fill="auto"/>
          </w:tcPr>
          <w:p w14:paraId="588B5CE1"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4. Doing household chores</w:t>
            </w:r>
          </w:p>
        </w:tc>
        <w:tc>
          <w:tcPr>
            <w:tcW w:w="1417" w:type="dxa"/>
            <w:shd w:val="clear" w:color="auto" w:fill="auto"/>
            <w:vAlign w:val="center"/>
          </w:tcPr>
          <w:p w14:paraId="75771567"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5.3</w:t>
            </w:r>
          </w:p>
        </w:tc>
        <w:tc>
          <w:tcPr>
            <w:tcW w:w="1418" w:type="dxa"/>
            <w:shd w:val="clear" w:color="auto" w:fill="auto"/>
            <w:vAlign w:val="center"/>
          </w:tcPr>
          <w:p w14:paraId="747CFF4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7A5B734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2163700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5E36542D" w14:textId="77777777" w:rsidTr="00580D86">
        <w:tc>
          <w:tcPr>
            <w:tcW w:w="4248" w:type="dxa"/>
            <w:shd w:val="clear" w:color="auto" w:fill="auto"/>
          </w:tcPr>
          <w:p w14:paraId="4AA5CD08"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5. Exercising moderately</w:t>
            </w:r>
          </w:p>
        </w:tc>
        <w:tc>
          <w:tcPr>
            <w:tcW w:w="1417" w:type="dxa"/>
            <w:shd w:val="clear" w:color="auto" w:fill="auto"/>
            <w:vAlign w:val="center"/>
          </w:tcPr>
          <w:p w14:paraId="55B7770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32.4 vs 5.3</w:t>
            </w:r>
          </w:p>
        </w:tc>
        <w:tc>
          <w:tcPr>
            <w:tcW w:w="1418" w:type="dxa"/>
            <w:shd w:val="clear" w:color="auto" w:fill="auto"/>
            <w:vAlign w:val="center"/>
          </w:tcPr>
          <w:p w14:paraId="7A5F5B67"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3742804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0D3FA8AB"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7304FAF8" w14:textId="77777777" w:rsidTr="00580D86">
        <w:tc>
          <w:tcPr>
            <w:tcW w:w="4248" w:type="dxa"/>
            <w:shd w:val="clear" w:color="auto" w:fill="auto"/>
          </w:tcPr>
          <w:p w14:paraId="65483B0E"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6. Convenience of current porphyria treatment</w:t>
            </w:r>
          </w:p>
        </w:tc>
        <w:tc>
          <w:tcPr>
            <w:tcW w:w="1417" w:type="dxa"/>
            <w:shd w:val="clear" w:color="auto" w:fill="auto"/>
            <w:vAlign w:val="center"/>
          </w:tcPr>
          <w:p w14:paraId="1F0E79D4"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72.2 vs 8.1</w:t>
            </w:r>
          </w:p>
        </w:tc>
        <w:tc>
          <w:tcPr>
            <w:tcW w:w="1418" w:type="dxa"/>
            <w:shd w:val="clear" w:color="auto" w:fill="auto"/>
            <w:vAlign w:val="center"/>
          </w:tcPr>
          <w:p w14:paraId="0964898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70FC5C1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1C653DEA"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0E1497AE" w14:textId="77777777" w:rsidTr="00580D86">
        <w:tc>
          <w:tcPr>
            <w:tcW w:w="4248" w:type="dxa"/>
            <w:shd w:val="clear" w:color="auto" w:fill="auto"/>
          </w:tcPr>
          <w:p w14:paraId="211CE871"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7. Overall satisfaction with porphyria treatment</w:t>
            </w:r>
          </w:p>
        </w:tc>
        <w:tc>
          <w:tcPr>
            <w:tcW w:w="1417" w:type="dxa"/>
            <w:shd w:val="clear" w:color="auto" w:fill="auto"/>
            <w:vAlign w:val="center"/>
          </w:tcPr>
          <w:p w14:paraId="6D0E03B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72.2 vs 13.5</w:t>
            </w:r>
          </w:p>
        </w:tc>
        <w:tc>
          <w:tcPr>
            <w:tcW w:w="1418" w:type="dxa"/>
            <w:shd w:val="clear" w:color="auto" w:fill="auto"/>
            <w:vAlign w:val="center"/>
          </w:tcPr>
          <w:p w14:paraId="4DB0E34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160B5749"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4C204C1B"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323D3EDE" w14:textId="77777777" w:rsidTr="00580D86">
        <w:tc>
          <w:tcPr>
            <w:tcW w:w="4248" w:type="dxa"/>
            <w:shd w:val="clear" w:color="auto" w:fill="auto"/>
          </w:tcPr>
          <w:p w14:paraId="470BA8F4"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8. Study drug helping more normal life</w:t>
            </w:r>
          </w:p>
        </w:tc>
        <w:tc>
          <w:tcPr>
            <w:tcW w:w="1417" w:type="dxa"/>
            <w:shd w:val="clear" w:color="auto" w:fill="auto"/>
            <w:vAlign w:val="center"/>
          </w:tcPr>
          <w:p w14:paraId="255D8211"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66.7 vs 10.8</w:t>
            </w:r>
          </w:p>
        </w:tc>
        <w:tc>
          <w:tcPr>
            <w:tcW w:w="1418" w:type="dxa"/>
            <w:shd w:val="clear" w:color="auto" w:fill="auto"/>
            <w:vAlign w:val="center"/>
          </w:tcPr>
          <w:p w14:paraId="0F538F7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13B347B6"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5FD2BA2D"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26AEA1C5" w14:textId="77777777" w:rsidTr="00580D86">
        <w:tc>
          <w:tcPr>
            <w:tcW w:w="4248" w:type="dxa"/>
            <w:shd w:val="clear" w:color="auto" w:fill="auto"/>
          </w:tcPr>
          <w:p w14:paraId="72A1A16A" w14:textId="77777777" w:rsidR="00752983" w:rsidRPr="004D3AD7" w:rsidRDefault="00752983" w:rsidP="00E072B9">
            <w:pPr>
              <w:pStyle w:val="TableLeft"/>
              <w:keepNext/>
              <w:keepLines/>
              <w:rPr>
                <w:rFonts w:ascii="Arial Narrow" w:eastAsia="Calibri" w:hAnsi="Arial Narrow"/>
                <w:sz w:val="20"/>
                <w:szCs w:val="20"/>
                <w:lang w:val="en-AU"/>
              </w:rPr>
            </w:pPr>
            <w:r w:rsidRPr="004D3AD7">
              <w:rPr>
                <w:rFonts w:ascii="Arial Narrow" w:eastAsia="Calibri" w:hAnsi="Arial Narrow"/>
                <w:sz w:val="20"/>
                <w:szCs w:val="20"/>
                <w:lang w:val="en-AU"/>
              </w:rPr>
              <w:t>Days of school/work missed at 6 months (Givosiran vs Placebo, mean)</w:t>
            </w:r>
          </w:p>
        </w:tc>
        <w:tc>
          <w:tcPr>
            <w:tcW w:w="1417" w:type="dxa"/>
            <w:shd w:val="clear" w:color="auto" w:fill="auto"/>
            <w:vAlign w:val="center"/>
          </w:tcPr>
          <w:p w14:paraId="3DBA4663"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2.4 vs 6.9</w:t>
            </w:r>
          </w:p>
        </w:tc>
        <w:tc>
          <w:tcPr>
            <w:tcW w:w="1418" w:type="dxa"/>
            <w:shd w:val="clear" w:color="auto" w:fill="auto"/>
            <w:vAlign w:val="center"/>
          </w:tcPr>
          <w:p w14:paraId="2E2B0694"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NR</w:t>
            </w:r>
          </w:p>
        </w:tc>
        <w:tc>
          <w:tcPr>
            <w:tcW w:w="992" w:type="dxa"/>
            <w:shd w:val="clear" w:color="auto" w:fill="auto"/>
            <w:vAlign w:val="center"/>
          </w:tcPr>
          <w:p w14:paraId="43A82199"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NR</w:t>
            </w:r>
          </w:p>
        </w:tc>
        <w:tc>
          <w:tcPr>
            <w:tcW w:w="1134" w:type="dxa"/>
            <w:shd w:val="clear" w:color="auto" w:fill="auto"/>
            <w:vAlign w:val="center"/>
          </w:tcPr>
          <w:p w14:paraId="241DCF83"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NR</w:t>
            </w:r>
          </w:p>
        </w:tc>
      </w:tr>
    </w:tbl>
    <w:p w14:paraId="1480B97E"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Source: Table 2.10 of the submission. </w:t>
      </w:r>
    </w:p>
    <w:p w14:paraId="2958CFB8" w14:textId="43032CE2" w:rsidR="00752983" w:rsidRPr="00E750DB" w:rsidRDefault="00752983" w:rsidP="00E072B9">
      <w:pPr>
        <w:rPr>
          <w:rFonts w:ascii="Arial Narrow" w:hAnsi="Arial Narrow"/>
          <w:sz w:val="18"/>
          <w:szCs w:val="18"/>
        </w:rPr>
      </w:pPr>
      <w:r w:rsidRPr="00E750DB">
        <w:rPr>
          <w:rFonts w:ascii="Arial Narrow" w:hAnsi="Arial Narrow"/>
          <w:sz w:val="18"/>
          <w:szCs w:val="18"/>
        </w:rPr>
        <w:t>a Pain data not normally distributed; ANCOVA method not valid. Post</w:t>
      </w:r>
      <w:r w:rsidR="00E072B9">
        <w:rPr>
          <w:rFonts w:ascii="Arial Narrow" w:hAnsi="Arial Narrow"/>
          <w:sz w:val="18"/>
          <w:szCs w:val="18"/>
        </w:rPr>
        <w:noBreakHyphen/>
      </w:r>
      <w:r w:rsidRPr="00E750DB">
        <w:rPr>
          <w:rFonts w:ascii="Arial Narrow" w:hAnsi="Arial Narrow"/>
          <w:sz w:val="18"/>
          <w:szCs w:val="18"/>
        </w:rPr>
        <w:t>hoc analysis using non</w:t>
      </w:r>
      <w:r w:rsidR="00E072B9">
        <w:rPr>
          <w:rFonts w:ascii="Arial Narrow" w:hAnsi="Arial Narrow"/>
          <w:sz w:val="18"/>
          <w:szCs w:val="18"/>
        </w:rPr>
        <w:noBreakHyphen/>
      </w:r>
      <w:r w:rsidRPr="00E750DB">
        <w:rPr>
          <w:rFonts w:ascii="Arial Narrow" w:hAnsi="Arial Narrow"/>
          <w:sz w:val="18"/>
          <w:szCs w:val="18"/>
        </w:rPr>
        <w:t xml:space="preserve">parametric stratified Wilcoxon method. </w:t>
      </w:r>
    </w:p>
    <w:p w14:paraId="4F25A17B"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b A higher score indicates worse manifestation. </w:t>
      </w:r>
    </w:p>
    <w:p w14:paraId="71B0CB24"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c A higher score indicates better physical health and functioning. </w:t>
      </w:r>
    </w:p>
    <w:p w14:paraId="266E0DA7"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d Proportion of patients reporting “much improved” or “very much improved”. None of the placebo patients reported that their condition was “very much improved”. </w:t>
      </w:r>
    </w:p>
    <w:p w14:paraId="670E96F5"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e Percentage of patients with response “Much Better” for Q1–7 or with response “Always” or “Most of the time” for Q8 at Month 6. </w:t>
      </w:r>
    </w:p>
    <w:p w14:paraId="35C2264C" w14:textId="018D55C4" w:rsidR="00752983" w:rsidRPr="00E750DB" w:rsidRDefault="00752983" w:rsidP="00E072B9">
      <w:pPr>
        <w:rPr>
          <w:rFonts w:ascii="Arial Narrow" w:hAnsi="Arial Narrow"/>
          <w:sz w:val="18"/>
          <w:szCs w:val="18"/>
        </w:rPr>
      </w:pPr>
      <w:r w:rsidRPr="00E750DB">
        <w:rPr>
          <w:rFonts w:ascii="Arial Narrow" w:hAnsi="Arial Narrow"/>
          <w:sz w:val="18"/>
          <w:szCs w:val="18"/>
        </w:rPr>
        <w:t>AAR=annualised attack rate; AHP=acute hepatic porphyria; AIP=acute intermittent porphyria; ALA=aminolevulinic acid; ANCOVA=analysis of covariance; AUC=area under the curve; BFI</w:t>
      </w:r>
      <w:r w:rsidR="00E072B9">
        <w:rPr>
          <w:rFonts w:ascii="Arial Narrow" w:hAnsi="Arial Narrow"/>
          <w:sz w:val="18"/>
          <w:szCs w:val="18"/>
        </w:rPr>
        <w:noBreakHyphen/>
      </w:r>
      <w:r w:rsidRPr="00E750DB">
        <w:rPr>
          <w:rFonts w:ascii="Arial Narrow" w:hAnsi="Arial Narrow"/>
          <w:sz w:val="18"/>
          <w:szCs w:val="18"/>
        </w:rPr>
        <w:t>SF=Brief Fatigue Inventory</w:t>
      </w:r>
      <w:r w:rsidR="00E072B9">
        <w:rPr>
          <w:rFonts w:ascii="Arial Narrow" w:hAnsi="Arial Narrow"/>
          <w:sz w:val="18"/>
          <w:szCs w:val="18"/>
        </w:rPr>
        <w:noBreakHyphen/>
      </w:r>
      <w:r w:rsidRPr="00E750DB">
        <w:rPr>
          <w:rFonts w:ascii="Arial Narrow" w:hAnsi="Arial Narrow"/>
          <w:sz w:val="18"/>
          <w:szCs w:val="18"/>
        </w:rPr>
        <w:t>Short Form; BPI</w:t>
      </w:r>
      <w:r w:rsidR="00E072B9">
        <w:rPr>
          <w:rFonts w:ascii="Arial Narrow" w:hAnsi="Arial Narrow"/>
          <w:sz w:val="18"/>
          <w:szCs w:val="18"/>
        </w:rPr>
        <w:noBreakHyphen/>
      </w:r>
      <w:r w:rsidRPr="00E750DB">
        <w:rPr>
          <w:rFonts w:ascii="Arial Narrow" w:hAnsi="Arial Narrow"/>
          <w:sz w:val="18"/>
          <w:szCs w:val="18"/>
        </w:rPr>
        <w:t>SF=Brief Pain Inventory</w:t>
      </w:r>
      <w:r w:rsidR="00E072B9">
        <w:rPr>
          <w:rFonts w:ascii="Arial Narrow" w:hAnsi="Arial Narrow"/>
          <w:sz w:val="18"/>
          <w:szCs w:val="18"/>
        </w:rPr>
        <w:noBreakHyphen/>
      </w:r>
      <w:r w:rsidRPr="00E750DB">
        <w:rPr>
          <w:rFonts w:ascii="Arial Narrow" w:hAnsi="Arial Narrow"/>
          <w:sz w:val="18"/>
          <w:szCs w:val="18"/>
        </w:rPr>
        <w:t>Short Form; CI=confidence interval; Cr=creatinine; EQ</w:t>
      </w:r>
      <w:r w:rsidR="00E072B9">
        <w:rPr>
          <w:rFonts w:ascii="Arial Narrow" w:hAnsi="Arial Narrow"/>
          <w:sz w:val="18"/>
          <w:szCs w:val="18"/>
        </w:rPr>
        <w:noBreakHyphen/>
      </w:r>
      <w:r w:rsidRPr="00E750DB">
        <w:rPr>
          <w:rFonts w:ascii="Arial Narrow" w:hAnsi="Arial Narrow"/>
          <w:sz w:val="18"/>
          <w:szCs w:val="18"/>
        </w:rPr>
        <w:t>5D</w:t>
      </w:r>
      <w:r w:rsidR="00E072B9">
        <w:rPr>
          <w:rFonts w:ascii="Arial Narrow" w:hAnsi="Arial Narrow"/>
          <w:sz w:val="18"/>
          <w:szCs w:val="18"/>
        </w:rPr>
        <w:noBreakHyphen/>
      </w:r>
      <w:r w:rsidRPr="00E750DB">
        <w:rPr>
          <w:rFonts w:ascii="Arial Narrow" w:hAnsi="Arial Narrow"/>
          <w:sz w:val="18"/>
          <w:szCs w:val="18"/>
        </w:rPr>
        <w:t>5L=EuroQol 5</w:t>
      </w:r>
      <w:r w:rsidR="00E072B9">
        <w:rPr>
          <w:rFonts w:ascii="Arial Narrow" w:hAnsi="Arial Narrow"/>
          <w:sz w:val="18"/>
          <w:szCs w:val="18"/>
        </w:rPr>
        <w:noBreakHyphen/>
      </w:r>
      <w:r w:rsidRPr="00E750DB">
        <w:rPr>
          <w:rFonts w:ascii="Arial Narrow" w:hAnsi="Arial Narrow"/>
          <w:sz w:val="18"/>
          <w:szCs w:val="18"/>
        </w:rPr>
        <w:t>Dimension 5</w:t>
      </w:r>
      <w:r w:rsidR="00E072B9">
        <w:rPr>
          <w:rFonts w:ascii="Arial Narrow" w:hAnsi="Arial Narrow"/>
          <w:sz w:val="18"/>
          <w:szCs w:val="18"/>
        </w:rPr>
        <w:noBreakHyphen/>
      </w:r>
      <w:r w:rsidRPr="00E750DB">
        <w:rPr>
          <w:rFonts w:ascii="Arial Narrow" w:hAnsi="Arial Narrow"/>
          <w:sz w:val="18"/>
          <w:szCs w:val="18"/>
        </w:rPr>
        <w:t>Level Questionnaire; ITT=intent to treat; LS=least square; mmol=millimole; MMRM=mixed</w:t>
      </w:r>
      <w:r w:rsidR="00E072B9">
        <w:rPr>
          <w:rFonts w:ascii="Arial Narrow" w:hAnsi="Arial Narrow"/>
          <w:sz w:val="18"/>
          <w:szCs w:val="18"/>
        </w:rPr>
        <w:noBreakHyphen/>
      </w:r>
      <w:r w:rsidRPr="00E750DB">
        <w:rPr>
          <w:rFonts w:ascii="Arial Narrow" w:hAnsi="Arial Narrow"/>
          <w:sz w:val="18"/>
          <w:szCs w:val="18"/>
        </w:rPr>
        <w:t>effects model repeated measures; mol=mole; NR=not reported; NRS=numeric rating scale;</w:t>
      </w:r>
      <w:r w:rsidR="00F95857">
        <w:rPr>
          <w:rFonts w:ascii="Arial Narrow" w:hAnsi="Arial Narrow"/>
          <w:sz w:val="18"/>
          <w:szCs w:val="18"/>
        </w:rPr>
        <w:t xml:space="preserve"> NT; not tested</w:t>
      </w:r>
      <w:r w:rsidRPr="00E750DB">
        <w:rPr>
          <w:rFonts w:ascii="Arial Narrow" w:hAnsi="Arial Narrow"/>
          <w:sz w:val="18"/>
          <w:szCs w:val="18"/>
        </w:rPr>
        <w:t xml:space="preserve"> PBG=porphobilinogen; PCS=Physical Component Summary; PGIC=Patient Global Impression of Change Questionnaire; PPEQ=Porphyria Patient Experience Questionnaire; RR=rate ratio; SF</w:t>
      </w:r>
      <w:r w:rsidR="00E072B9">
        <w:rPr>
          <w:rFonts w:ascii="Arial Narrow" w:hAnsi="Arial Narrow"/>
          <w:sz w:val="18"/>
          <w:szCs w:val="18"/>
        </w:rPr>
        <w:noBreakHyphen/>
      </w:r>
      <w:r w:rsidRPr="00E750DB">
        <w:rPr>
          <w:rFonts w:ascii="Arial Narrow" w:hAnsi="Arial Narrow"/>
          <w:sz w:val="18"/>
          <w:szCs w:val="18"/>
        </w:rPr>
        <w:t>12=12</w:t>
      </w:r>
      <w:r w:rsidR="00E072B9">
        <w:rPr>
          <w:rFonts w:ascii="Arial Narrow" w:hAnsi="Arial Narrow"/>
          <w:sz w:val="18"/>
          <w:szCs w:val="18"/>
        </w:rPr>
        <w:noBreakHyphen/>
      </w:r>
      <w:r w:rsidRPr="00E750DB">
        <w:rPr>
          <w:rFonts w:ascii="Arial Narrow" w:hAnsi="Arial Narrow"/>
          <w:sz w:val="18"/>
          <w:szCs w:val="18"/>
        </w:rPr>
        <w:t>Item Short Form Health Survey; VAS=visual analogue scale.</w:t>
      </w:r>
    </w:p>
    <w:p w14:paraId="2CF62AD0" w14:textId="7EA025E4" w:rsidR="00753ECA" w:rsidRPr="00E750DB" w:rsidRDefault="00753ECA" w:rsidP="00E072B9">
      <w:pPr>
        <w:pStyle w:val="3-BodyText"/>
      </w:pPr>
      <w:r w:rsidRPr="00E750DB">
        <w:t xml:space="preserve">The submission also reported the Patient Global Impression of Change (PGIC) and Porphyria Patient Experience Questionnaire (PPEQ) from the ENVISION trial. On the PGIC at 6 months in patients with AHP, the percentage that rated overall health status as either </w:t>
      </w:r>
      <w:r w:rsidR="00AE6703" w:rsidRPr="00E750DB">
        <w:t>‘</w:t>
      </w:r>
      <w:r w:rsidRPr="00E750DB">
        <w:t>much improved</w:t>
      </w:r>
      <w:r w:rsidR="00AE6703" w:rsidRPr="00E750DB">
        <w:t>’</w:t>
      </w:r>
      <w:r w:rsidRPr="00E750DB">
        <w:t xml:space="preserve"> or </w:t>
      </w:r>
      <w:r w:rsidR="00AE6703" w:rsidRPr="00E750DB">
        <w:t>‘</w:t>
      </w:r>
      <w:r w:rsidRPr="00E750DB">
        <w:t>very much improved</w:t>
      </w:r>
      <w:r w:rsidR="00AE6703" w:rsidRPr="00E750DB">
        <w:t>’</w:t>
      </w:r>
      <w:r w:rsidRPr="00E750DB">
        <w:t xml:space="preserve"> was 59% in the givosiran group and 18% in the placebo group. On the PPEQ in patients with </w:t>
      </w:r>
      <w:r w:rsidR="00A75BE2" w:rsidRPr="00E750DB">
        <w:t>AHP</w:t>
      </w:r>
      <w:r w:rsidRPr="00E750DB">
        <w:t>, the percentage who had improvements from baseline in their ability to function and perform activities of daily living and in treatment satisfaction was larger in the givosiran group than in the placebo group (Balwani 2020). However, both the PGIC and PPEQ are tools that were developed specifically for this study and are not validated in the context of AHP. This limits the generalisability and robustness of the findings. Without external validation or corroborative evidence, it remains uncertain whether these patient</w:t>
      </w:r>
      <w:r w:rsidR="00E072B9">
        <w:noBreakHyphen/>
      </w:r>
      <w:r w:rsidRPr="00E750DB">
        <w:t>reported outcomes accurately reflect the true impact of givosiran on patients' daily lives and overall wellbeing.</w:t>
      </w:r>
    </w:p>
    <w:p w14:paraId="1452C351" w14:textId="0D19F1B0" w:rsidR="00B60939" w:rsidRPr="00E750DB" w:rsidRDefault="00B60939" w:rsidP="00E072B9">
      <w:pPr>
        <w:pStyle w:val="4-SubsectionHeading"/>
      </w:pPr>
      <w:bookmarkStart w:id="33" w:name="_Toc22897642"/>
      <w:bookmarkStart w:id="34" w:name="_Toc198715359"/>
      <w:r w:rsidRPr="00E750DB">
        <w:t>Comparative harms</w:t>
      </w:r>
      <w:bookmarkEnd w:id="33"/>
      <w:bookmarkEnd w:id="34"/>
    </w:p>
    <w:p w14:paraId="2DAF16D1" w14:textId="68742298" w:rsidR="00B60939" w:rsidRPr="00E750DB" w:rsidRDefault="0012198A" w:rsidP="00E072B9">
      <w:pPr>
        <w:pStyle w:val="3-BodyText"/>
      </w:pPr>
      <w:r w:rsidRPr="00E750DB">
        <w:t xml:space="preserve">An overview of the safety results from ENVISION are provided in </w:t>
      </w:r>
      <w:r w:rsidRPr="00E750DB">
        <w:fldChar w:fldCharType="begin" w:fldLock="1"/>
      </w:r>
      <w:r w:rsidRPr="00E750DB">
        <w:instrText xml:space="preserve"> REF _Ref198092662 \h </w:instrText>
      </w:r>
      <w:r w:rsidRPr="00E750DB">
        <w:fldChar w:fldCharType="separate"/>
      </w:r>
      <w:r w:rsidR="00E750DB" w:rsidRPr="00E750DB">
        <w:t>Table 6</w:t>
      </w:r>
      <w:r w:rsidRPr="00E750DB">
        <w:fldChar w:fldCharType="end"/>
      </w:r>
      <w:r w:rsidRPr="00E750DB">
        <w:t>. Overall, a higher proportion of patients in the givosiran group experienced any AE (43/48,</w:t>
      </w:r>
      <w:r w:rsidR="00E81719" w:rsidRPr="00E750DB">
        <w:t xml:space="preserve"> </w:t>
      </w:r>
      <w:r w:rsidRPr="00E750DB">
        <w:t>90%) compared to the placebo group (37/46, 80%). Severe AEs (17% vs 11%) and serious adverse events (SAEs) (21% vs 9%) were also more frequent with givosiran. One patient in the givosiran group discontinued treatment due to an AE, while no discontinuations occurred in the placebo group. No deaths were reported in either group. No statistically significant differences were observed between treatment groups.</w:t>
      </w:r>
    </w:p>
    <w:p w14:paraId="3EB61E3A" w14:textId="19BE38B1" w:rsidR="0012198A" w:rsidRPr="00E750DB" w:rsidRDefault="0012198A" w:rsidP="00E072B9">
      <w:pPr>
        <w:pStyle w:val="Caption"/>
        <w:rPr>
          <w:rStyle w:val="CommentReference"/>
          <w:b/>
          <w:szCs w:val="24"/>
        </w:rPr>
      </w:pPr>
      <w:bookmarkStart w:id="35" w:name="_Ref198092662"/>
      <w:r w:rsidRPr="00E750DB">
        <w:t xml:space="preserve">Table </w:t>
      </w:r>
      <w:r w:rsidR="00E750DB">
        <w:fldChar w:fldCharType="begin" w:fldLock="1"/>
      </w:r>
      <w:r w:rsidR="00E750DB">
        <w:instrText xml:space="preserve"> SEQ Table \* ARABIC </w:instrText>
      </w:r>
      <w:r w:rsidR="00E750DB">
        <w:fldChar w:fldCharType="separate"/>
      </w:r>
      <w:r w:rsidR="00E750DB" w:rsidRPr="00E750DB">
        <w:t>6</w:t>
      </w:r>
      <w:r w:rsidR="00E750DB">
        <w:fldChar w:fldCharType="end"/>
      </w:r>
      <w:bookmarkEnd w:id="35"/>
      <w:r w:rsidRPr="00E750DB">
        <w:t>:</w:t>
      </w:r>
      <w:r w:rsidR="008B2082" w:rsidRPr="00E750DB">
        <w:t xml:space="preserve"> </w:t>
      </w:r>
      <w:r w:rsidRPr="00E750DB">
        <w:rPr>
          <w:rStyle w:val="CommentReference"/>
          <w:b/>
          <w:szCs w:val="24"/>
        </w:rPr>
        <w:t>Summary of key adverse events in the trials</w:t>
      </w:r>
    </w:p>
    <w:tbl>
      <w:tblPr>
        <w:tblStyle w:val="TableGrid"/>
        <w:tblW w:w="9022" w:type="dxa"/>
        <w:tblInd w:w="-5" w:type="dxa"/>
        <w:tblLook w:val="04A0" w:firstRow="1" w:lastRow="0" w:firstColumn="1" w:lastColumn="0" w:noHBand="0" w:noVBand="1"/>
        <w:tblCaption w:val="Table 6: Summary of key adverse events in the trials"/>
      </w:tblPr>
      <w:tblGrid>
        <w:gridCol w:w="3438"/>
        <w:gridCol w:w="1827"/>
        <w:gridCol w:w="1927"/>
        <w:gridCol w:w="1830"/>
      </w:tblGrid>
      <w:tr w:rsidR="0012198A" w:rsidRPr="00E750DB" w14:paraId="08E978FE" w14:textId="77777777">
        <w:trPr>
          <w:tblHeader/>
        </w:trPr>
        <w:tc>
          <w:tcPr>
            <w:tcW w:w="3438" w:type="dxa"/>
          </w:tcPr>
          <w:p w14:paraId="6BB27328"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AE, n (%)</w:t>
            </w:r>
          </w:p>
        </w:tc>
        <w:tc>
          <w:tcPr>
            <w:tcW w:w="1827" w:type="dxa"/>
            <w:vAlign w:val="center"/>
          </w:tcPr>
          <w:p w14:paraId="37F8A870"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Givosiran (N=48)</w:t>
            </w:r>
          </w:p>
        </w:tc>
        <w:tc>
          <w:tcPr>
            <w:tcW w:w="1927" w:type="dxa"/>
            <w:vAlign w:val="center"/>
          </w:tcPr>
          <w:p w14:paraId="5962A189"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Placebo (N=46)</w:t>
            </w:r>
          </w:p>
        </w:tc>
        <w:tc>
          <w:tcPr>
            <w:tcW w:w="1830" w:type="dxa"/>
          </w:tcPr>
          <w:p w14:paraId="37DBDE3C" w14:textId="72781602" w:rsidR="0012198A" w:rsidRPr="004D3AD7" w:rsidRDefault="0012198A" w:rsidP="00E072B9">
            <w:pPr>
              <w:pStyle w:val="Tablenormal0"/>
              <w:keepNext/>
              <w:spacing w:before="0" w:after="0"/>
              <w:jc w:val="center"/>
              <w:rPr>
                <w:rFonts w:ascii="Arial Narrow" w:hAnsi="Arial Narrow" w:cstheme="minorHAnsi"/>
                <w:b/>
                <w:bCs/>
                <w:sz w:val="20"/>
                <w:szCs w:val="20"/>
                <w:lang w:val="en-AU"/>
              </w:rPr>
            </w:pPr>
            <w:r w:rsidRPr="004D3AD7">
              <w:rPr>
                <w:rFonts w:ascii="Arial Narrow" w:hAnsi="Arial Narrow" w:cstheme="minorHAnsi"/>
                <w:b/>
                <w:bCs/>
                <w:sz w:val="20"/>
                <w:szCs w:val="20"/>
                <w:lang w:val="en-AU"/>
              </w:rPr>
              <w:t>RD, % (95% CI)</w:t>
            </w:r>
          </w:p>
        </w:tc>
      </w:tr>
      <w:tr w:rsidR="0012198A" w:rsidRPr="00E750DB" w14:paraId="43180E78" w14:textId="77777777">
        <w:tc>
          <w:tcPr>
            <w:tcW w:w="3438" w:type="dxa"/>
          </w:tcPr>
          <w:p w14:paraId="7FD36FE7"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AE</w:t>
            </w:r>
          </w:p>
        </w:tc>
        <w:tc>
          <w:tcPr>
            <w:tcW w:w="1827" w:type="dxa"/>
            <w:vAlign w:val="center"/>
          </w:tcPr>
          <w:p w14:paraId="6D78E3A1"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43 (90%)</w:t>
            </w:r>
          </w:p>
        </w:tc>
        <w:tc>
          <w:tcPr>
            <w:tcW w:w="1927" w:type="dxa"/>
            <w:vAlign w:val="center"/>
          </w:tcPr>
          <w:p w14:paraId="51C19B49"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37 (80%)</w:t>
            </w:r>
          </w:p>
        </w:tc>
        <w:tc>
          <w:tcPr>
            <w:tcW w:w="1830" w:type="dxa"/>
          </w:tcPr>
          <w:p w14:paraId="0B6F2CD8" w14:textId="0144422B"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9.1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5.2, 23.5)</w:t>
            </w:r>
          </w:p>
        </w:tc>
      </w:tr>
      <w:tr w:rsidR="0012198A" w:rsidRPr="00E750DB" w14:paraId="0C294A43" w14:textId="77777777">
        <w:tc>
          <w:tcPr>
            <w:tcW w:w="3438" w:type="dxa"/>
          </w:tcPr>
          <w:p w14:paraId="0CEFEDAF"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severe AE</w:t>
            </w:r>
          </w:p>
        </w:tc>
        <w:tc>
          <w:tcPr>
            <w:tcW w:w="1827" w:type="dxa"/>
            <w:vAlign w:val="center"/>
          </w:tcPr>
          <w:p w14:paraId="6B7E0F1D"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8 (17%)</w:t>
            </w:r>
          </w:p>
        </w:tc>
        <w:tc>
          <w:tcPr>
            <w:tcW w:w="1927" w:type="dxa"/>
            <w:vAlign w:val="center"/>
          </w:tcPr>
          <w:p w14:paraId="5E16C2BF"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(11%)</w:t>
            </w:r>
          </w:p>
        </w:tc>
        <w:tc>
          <w:tcPr>
            <w:tcW w:w="1830" w:type="dxa"/>
          </w:tcPr>
          <w:p w14:paraId="2A39F2ED" w14:textId="3AEF67C7"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5.8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8.1, 19.7)</w:t>
            </w:r>
          </w:p>
        </w:tc>
      </w:tr>
      <w:tr w:rsidR="0012198A" w:rsidRPr="00E750DB" w14:paraId="09E9E84C" w14:textId="77777777">
        <w:tc>
          <w:tcPr>
            <w:tcW w:w="3438" w:type="dxa"/>
          </w:tcPr>
          <w:p w14:paraId="2712AFDA"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SAE</w:t>
            </w:r>
          </w:p>
        </w:tc>
        <w:tc>
          <w:tcPr>
            <w:tcW w:w="1827" w:type="dxa"/>
            <w:vAlign w:val="center"/>
          </w:tcPr>
          <w:p w14:paraId="12F10AED"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10 (21%)</w:t>
            </w:r>
          </w:p>
        </w:tc>
        <w:tc>
          <w:tcPr>
            <w:tcW w:w="1927" w:type="dxa"/>
            <w:vAlign w:val="center"/>
          </w:tcPr>
          <w:p w14:paraId="443CD993"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30" w:type="dxa"/>
          </w:tcPr>
          <w:p w14:paraId="6D73AE12" w14:textId="088B04FD"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12.1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1.9, 26.2)</w:t>
            </w:r>
          </w:p>
        </w:tc>
      </w:tr>
      <w:tr w:rsidR="0012198A" w:rsidRPr="00E750DB" w14:paraId="15333AD6" w14:textId="77777777">
        <w:tc>
          <w:tcPr>
            <w:tcW w:w="3438" w:type="dxa"/>
          </w:tcPr>
          <w:p w14:paraId="6D81538B"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AE leading to treatment discontinuation</w:t>
            </w:r>
          </w:p>
        </w:tc>
        <w:tc>
          <w:tcPr>
            <w:tcW w:w="1827" w:type="dxa"/>
            <w:vAlign w:val="center"/>
          </w:tcPr>
          <w:p w14:paraId="156EF495"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927" w:type="dxa"/>
            <w:vAlign w:val="center"/>
          </w:tcPr>
          <w:p w14:paraId="5CA9BFFC"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30" w:type="dxa"/>
          </w:tcPr>
          <w:p w14:paraId="773707CD" w14:textId="498FC3A9"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2.1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2.0, 6.1)</w:t>
            </w:r>
          </w:p>
        </w:tc>
      </w:tr>
      <w:tr w:rsidR="0012198A" w:rsidRPr="00E750DB" w14:paraId="3798A893" w14:textId="77777777">
        <w:tc>
          <w:tcPr>
            <w:tcW w:w="3438" w:type="dxa"/>
          </w:tcPr>
          <w:p w14:paraId="6964E4DA"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Death</w:t>
            </w:r>
          </w:p>
        </w:tc>
        <w:tc>
          <w:tcPr>
            <w:tcW w:w="1827" w:type="dxa"/>
            <w:vAlign w:val="center"/>
          </w:tcPr>
          <w:p w14:paraId="5EAC797A"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927" w:type="dxa"/>
            <w:vAlign w:val="center"/>
          </w:tcPr>
          <w:p w14:paraId="19BD27F2"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30" w:type="dxa"/>
          </w:tcPr>
          <w:p w14:paraId="08B2349A" w14:textId="057917F6"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NA</w:t>
            </w:r>
          </w:p>
        </w:tc>
      </w:tr>
    </w:tbl>
    <w:p w14:paraId="7687E4D1"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 xml:space="preserve">Source: Table 2.12 of the submission. </w:t>
      </w:r>
    </w:p>
    <w:p w14:paraId="566228D3"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AE=adverse event; NA=not applicable; SAE=serious adverse event</w:t>
      </w:r>
    </w:p>
    <w:p w14:paraId="1A399589" w14:textId="00EFA6B5" w:rsidR="0012198A" w:rsidRPr="00E750DB" w:rsidRDefault="0012198A" w:rsidP="00E072B9">
      <w:pPr>
        <w:pStyle w:val="3-BodyText"/>
      </w:pPr>
      <w:r w:rsidRPr="00E750DB">
        <w:fldChar w:fldCharType="begin" w:fldLock="1"/>
      </w:r>
      <w:r w:rsidRPr="00E750DB">
        <w:instrText xml:space="preserve"> REF _Ref198092593 \h </w:instrText>
      </w:r>
      <w:r w:rsidR="0029679A" w:rsidRPr="00E750DB">
        <w:instrText xml:space="preserve"> \* MERGEFORMAT </w:instrText>
      </w:r>
      <w:r w:rsidRPr="00E750DB">
        <w:fldChar w:fldCharType="separate"/>
      </w:r>
      <w:r w:rsidR="00E750DB" w:rsidRPr="00E750DB">
        <w:t>Table 7</w:t>
      </w:r>
      <w:r w:rsidRPr="00E750DB">
        <w:fldChar w:fldCharType="end"/>
      </w:r>
      <w:r w:rsidRPr="00E750DB">
        <w:t xml:space="preserve"> presents the common adverse events in the ENVISION study. The most commonly occurring AEs reported in givosiran</w:t>
      </w:r>
      <w:r w:rsidR="00E072B9">
        <w:noBreakHyphen/>
      </w:r>
      <w:r w:rsidRPr="00E750DB">
        <w:t>treated patients were injection</w:t>
      </w:r>
      <w:r w:rsidR="00E072B9">
        <w:noBreakHyphen/>
      </w:r>
      <w:r w:rsidRPr="00E750DB">
        <w:t>site reactions, nausea, CKD, decreased estimated glomerular filtration rate (eGFR), rash, increased ALT, and fatigue. Statistically significantly higher incidences of injection</w:t>
      </w:r>
      <w:r w:rsidR="00E072B9">
        <w:noBreakHyphen/>
      </w:r>
      <w:r w:rsidRPr="00E750DB">
        <w:t>site reaction, nausea and CKD were observed among those randomised to givosiran compared with placebo. The submission stated that the injection</w:t>
      </w:r>
      <w:r w:rsidR="00E072B9">
        <w:noBreakHyphen/>
      </w:r>
      <w:r w:rsidRPr="00E750DB">
        <w:t>site reactions were mild to moderate in severity, and none led to treatment discontinuation, however, the potential for unblinding due to these reactions could introduce bias, particularly in subjective outcome reporting (e.g., patient</w:t>
      </w:r>
      <w:r w:rsidR="00E072B9">
        <w:noBreakHyphen/>
      </w:r>
      <w:r w:rsidRPr="00E750DB">
        <w:t>reported outcomes). AEs with higher frequency in the placebo group were pyrexia, hypoesthesia, dyspepsia, vomiting, urinary tract infection, and back pain; with the incidence of pyrexia, hypoesthesia and dyspepsia occurring statistically significant more among those randomised to placebo. The renal and hepatic signals observed with givosiran need to be carefully considered, as they raise potential long</w:t>
      </w:r>
      <w:r w:rsidR="00E072B9">
        <w:noBreakHyphen/>
      </w:r>
      <w:r w:rsidRPr="00E750DB">
        <w:t>term safety concerns. Given that the study duration was only six months, it does not provide sufficient insight into long</w:t>
      </w:r>
      <w:r w:rsidR="00E072B9">
        <w:noBreakHyphen/>
      </w:r>
      <w:r w:rsidRPr="00E750DB">
        <w:t>term risks—particularly in populations with pre</w:t>
      </w:r>
      <w:r w:rsidR="00E072B9">
        <w:noBreakHyphen/>
      </w:r>
      <w:r w:rsidRPr="00E750DB">
        <w:t xml:space="preserve">existing renal or hepatic conditions. </w:t>
      </w:r>
    </w:p>
    <w:p w14:paraId="2C4C759A" w14:textId="756FD97D" w:rsidR="0012198A" w:rsidRPr="00E750DB" w:rsidRDefault="0012198A" w:rsidP="00E072B9">
      <w:pPr>
        <w:pStyle w:val="Caption"/>
        <w:jc w:val="left"/>
      </w:pPr>
      <w:bookmarkStart w:id="36" w:name="_Ref198092593"/>
      <w:r w:rsidRPr="00E750DB">
        <w:t xml:space="preserve">Table </w:t>
      </w:r>
      <w:r w:rsidR="00E750DB">
        <w:fldChar w:fldCharType="begin" w:fldLock="1"/>
      </w:r>
      <w:r w:rsidR="00E750DB">
        <w:instrText xml:space="preserve"> SEQ Table \* ARABIC </w:instrText>
      </w:r>
      <w:r w:rsidR="00E750DB">
        <w:fldChar w:fldCharType="separate"/>
      </w:r>
      <w:r w:rsidR="00E750DB" w:rsidRPr="00E750DB">
        <w:t>7</w:t>
      </w:r>
      <w:r w:rsidR="00E750DB">
        <w:fldChar w:fldCharType="end"/>
      </w:r>
      <w:bookmarkEnd w:id="36"/>
      <w:r w:rsidRPr="00E750DB">
        <w:t>: Common adverse events in ENVISION</w:t>
      </w:r>
    </w:p>
    <w:tbl>
      <w:tblPr>
        <w:tblStyle w:val="TableGrid"/>
        <w:tblW w:w="8926" w:type="dxa"/>
        <w:tblLook w:val="04A0" w:firstRow="1" w:lastRow="0" w:firstColumn="1" w:lastColumn="0" w:noHBand="0" w:noVBand="1"/>
        <w:tblCaption w:val="Table 7: Common adverse events in ENVISION"/>
      </w:tblPr>
      <w:tblGrid>
        <w:gridCol w:w="3395"/>
        <w:gridCol w:w="1843"/>
        <w:gridCol w:w="1844"/>
        <w:gridCol w:w="1844"/>
      </w:tblGrid>
      <w:tr w:rsidR="0012198A" w:rsidRPr="00E750DB" w14:paraId="04491836" w14:textId="77777777" w:rsidTr="002C59BD">
        <w:trPr>
          <w:tblHeader/>
        </w:trPr>
        <w:tc>
          <w:tcPr>
            <w:tcW w:w="3395" w:type="dxa"/>
          </w:tcPr>
          <w:p w14:paraId="0C48523D"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AE, n (%)</w:t>
            </w:r>
          </w:p>
        </w:tc>
        <w:tc>
          <w:tcPr>
            <w:tcW w:w="1843" w:type="dxa"/>
          </w:tcPr>
          <w:p w14:paraId="4D87B7F7"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Givosiran (N=48)</w:t>
            </w:r>
          </w:p>
        </w:tc>
        <w:tc>
          <w:tcPr>
            <w:tcW w:w="1844" w:type="dxa"/>
          </w:tcPr>
          <w:p w14:paraId="6AA95558"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Placebo (N=46)</w:t>
            </w:r>
          </w:p>
        </w:tc>
        <w:tc>
          <w:tcPr>
            <w:tcW w:w="1844" w:type="dxa"/>
          </w:tcPr>
          <w:p w14:paraId="7D3C1045" w14:textId="5F3ADCD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RD, % (95% CI)</w:t>
            </w:r>
          </w:p>
        </w:tc>
      </w:tr>
      <w:tr w:rsidR="0012198A" w:rsidRPr="00E750DB" w14:paraId="4579EEC5" w14:textId="77777777" w:rsidTr="002C59BD">
        <w:tc>
          <w:tcPr>
            <w:tcW w:w="8926" w:type="dxa"/>
            <w:gridSpan w:val="4"/>
          </w:tcPr>
          <w:p w14:paraId="03328DE3"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 xml:space="preserve">AEs with higher frequency (≥5 % difference) in the givosiran group </w:t>
            </w:r>
          </w:p>
        </w:tc>
      </w:tr>
      <w:tr w:rsidR="0012198A" w:rsidRPr="00E750DB" w14:paraId="6034041F" w14:textId="77777777" w:rsidTr="002C59BD">
        <w:tc>
          <w:tcPr>
            <w:tcW w:w="3395" w:type="dxa"/>
          </w:tcPr>
          <w:p w14:paraId="71C9C2F9" w14:textId="658E067E"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Injection</w:t>
            </w:r>
            <w:r w:rsidR="00E072B9">
              <w:rPr>
                <w:rFonts w:ascii="Arial Narrow" w:hAnsi="Arial Narrow" w:cstheme="minorHAnsi"/>
                <w:sz w:val="20"/>
                <w:szCs w:val="20"/>
                <w:lang w:val="en-AU"/>
              </w:rPr>
              <w:noBreakHyphen/>
            </w:r>
            <w:r w:rsidRPr="00E750DB">
              <w:rPr>
                <w:rFonts w:ascii="Arial Narrow" w:hAnsi="Arial Narrow" w:cstheme="minorHAnsi"/>
                <w:sz w:val="20"/>
                <w:szCs w:val="20"/>
                <w:lang w:val="en-AU"/>
              </w:rPr>
              <w:t>site reaction</w:t>
            </w:r>
          </w:p>
        </w:tc>
        <w:tc>
          <w:tcPr>
            <w:tcW w:w="1843" w:type="dxa"/>
            <w:vAlign w:val="center"/>
          </w:tcPr>
          <w:p w14:paraId="6449BF4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12 (25%)</w:t>
            </w:r>
          </w:p>
        </w:tc>
        <w:tc>
          <w:tcPr>
            <w:tcW w:w="1844" w:type="dxa"/>
            <w:vAlign w:val="center"/>
          </w:tcPr>
          <w:p w14:paraId="7C3B9ACC"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15AE710F" w14:textId="5E3748AF" w:rsidR="0012198A" w:rsidRPr="00E750DB" w:rsidRDefault="0012198A" w:rsidP="00E072B9">
            <w:pPr>
              <w:pStyle w:val="Tablenormal0"/>
              <w:keepNext/>
              <w:tabs>
                <w:tab w:val="decimal" w:pos="31"/>
              </w:tabs>
              <w:spacing w:before="0" w:after="0"/>
              <w:jc w:val="center"/>
              <w:rPr>
                <w:rFonts w:ascii="Arial Narrow" w:hAnsi="Arial Narrow" w:cstheme="minorHAnsi"/>
                <w:b/>
                <w:bCs/>
                <w:sz w:val="20"/>
                <w:szCs w:val="24"/>
                <w:lang w:val="en-AU"/>
              </w:rPr>
            </w:pPr>
            <w:r w:rsidRPr="00E750DB">
              <w:rPr>
                <w:rFonts w:ascii="Arial Narrow" w:hAnsi="Arial Narrow"/>
                <w:b/>
                <w:bCs/>
                <w:sz w:val="20"/>
                <w:szCs w:val="24"/>
                <w:lang w:val="en-AU"/>
              </w:rPr>
              <w:t>25.0 (12.8, 37.3)</w:t>
            </w:r>
          </w:p>
        </w:tc>
      </w:tr>
      <w:tr w:rsidR="0012198A" w:rsidRPr="00E750DB" w14:paraId="13E6922E" w14:textId="77777777" w:rsidTr="002C59BD">
        <w:tc>
          <w:tcPr>
            <w:tcW w:w="3395" w:type="dxa"/>
          </w:tcPr>
          <w:p w14:paraId="468EF187"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Nausea</w:t>
            </w:r>
          </w:p>
        </w:tc>
        <w:tc>
          <w:tcPr>
            <w:tcW w:w="1843" w:type="dxa"/>
            <w:vAlign w:val="center"/>
          </w:tcPr>
          <w:p w14:paraId="74D4A0D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13 (27%)</w:t>
            </w:r>
          </w:p>
        </w:tc>
        <w:tc>
          <w:tcPr>
            <w:tcW w:w="1844" w:type="dxa"/>
            <w:vAlign w:val="center"/>
          </w:tcPr>
          <w:p w14:paraId="1C2AEE96"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(11%)</w:t>
            </w:r>
          </w:p>
        </w:tc>
        <w:tc>
          <w:tcPr>
            <w:tcW w:w="1844" w:type="dxa"/>
          </w:tcPr>
          <w:p w14:paraId="360FB6DA" w14:textId="09EC4EAC" w:rsidR="0012198A" w:rsidRPr="00E750DB" w:rsidRDefault="0012198A" w:rsidP="00E072B9">
            <w:pPr>
              <w:pStyle w:val="Tablenormal0"/>
              <w:keepNext/>
              <w:tabs>
                <w:tab w:val="decimal" w:pos="31"/>
              </w:tabs>
              <w:spacing w:before="0" w:after="0"/>
              <w:jc w:val="center"/>
              <w:rPr>
                <w:rFonts w:ascii="Arial Narrow" w:hAnsi="Arial Narrow" w:cstheme="minorHAnsi"/>
                <w:b/>
                <w:bCs/>
                <w:sz w:val="20"/>
                <w:szCs w:val="24"/>
                <w:lang w:val="en-AU"/>
              </w:rPr>
            </w:pPr>
            <w:r w:rsidRPr="00E750DB">
              <w:rPr>
                <w:rFonts w:ascii="Arial Narrow" w:hAnsi="Arial Narrow"/>
                <w:b/>
                <w:bCs/>
                <w:sz w:val="20"/>
                <w:szCs w:val="24"/>
                <w:lang w:val="en-AU"/>
              </w:rPr>
              <w:t>16.2 (0.8, 31.7)</w:t>
            </w:r>
          </w:p>
        </w:tc>
      </w:tr>
      <w:tr w:rsidR="0012198A" w:rsidRPr="00E750DB" w14:paraId="20D8B264" w14:textId="77777777" w:rsidTr="002C59BD">
        <w:tc>
          <w:tcPr>
            <w:tcW w:w="3395" w:type="dxa"/>
          </w:tcPr>
          <w:p w14:paraId="0F829F0B"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Chronic kidney disease</w:t>
            </w:r>
          </w:p>
        </w:tc>
        <w:tc>
          <w:tcPr>
            <w:tcW w:w="1843" w:type="dxa"/>
            <w:vAlign w:val="center"/>
          </w:tcPr>
          <w:p w14:paraId="211C228B"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(10%)</w:t>
            </w:r>
          </w:p>
        </w:tc>
        <w:tc>
          <w:tcPr>
            <w:tcW w:w="1844" w:type="dxa"/>
            <w:vAlign w:val="center"/>
          </w:tcPr>
          <w:p w14:paraId="4F65F527"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157ABE06" w14:textId="4992E1F1" w:rsidR="0012198A" w:rsidRPr="00E750DB" w:rsidRDefault="0012198A" w:rsidP="00E072B9">
            <w:pPr>
              <w:pStyle w:val="Tablenormal0"/>
              <w:keepNext/>
              <w:tabs>
                <w:tab w:val="decimal" w:pos="31"/>
              </w:tabs>
              <w:spacing w:before="0" w:after="0"/>
              <w:jc w:val="center"/>
              <w:rPr>
                <w:rFonts w:ascii="Arial Narrow" w:hAnsi="Arial Narrow" w:cstheme="minorHAnsi"/>
                <w:b/>
                <w:bCs/>
                <w:sz w:val="20"/>
                <w:szCs w:val="24"/>
                <w:lang w:val="en-AU"/>
              </w:rPr>
            </w:pPr>
            <w:r w:rsidRPr="00E750DB">
              <w:rPr>
                <w:rFonts w:ascii="Arial Narrow" w:hAnsi="Arial Narrow"/>
                <w:b/>
                <w:bCs/>
                <w:sz w:val="20"/>
                <w:szCs w:val="24"/>
                <w:lang w:val="en-AU"/>
              </w:rPr>
              <w:t>10.4 (1.8, 19.1)</w:t>
            </w:r>
          </w:p>
        </w:tc>
      </w:tr>
      <w:tr w:rsidR="0012198A" w:rsidRPr="00E750DB" w14:paraId="3B347A26" w14:textId="77777777" w:rsidTr="002C59BD">
        <w:tc>
          <w:tcPr>
            <w:tcW w:w="3395" w:type="dxa"/>
          </w:tcPr>
          <w:p w14:paraId="3440615F"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Decreased eGFR</w:t>
            </w:r>
          </w:p>
        </w:tc>
        <w:tc>
          <w:tcPr>
            <w:tcW w:w="1843" w:type="dxa"/>
            <w:vAlign w:val="center"/>
          </w:tcPr>
          <w:p w14:paraId="24E45873"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 (6%)</w:t>
            </w:r>
          </w:p>
        </w:tc>
        <w:tc>
          <w:tcPr>
            <w:tcW w:w="1844" w:type="dxa"/>
            <w:vAlign w:val="center"/>
          </w:tcPr>
          <w:p w14:paraId="6721EC92"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1B7D911B" w14:textId="7FD0AC11"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6.3 (</w:t>
            </w:r>
            <w:r w:rsidR="00E072B9">
              <w:rPr>
                <w:rFonts w:ascii="Arial Narrow" w:hAnsi="Arial Narrow"/>
                <w:sz w:val="20"/>
                <w:szCs w:val="24"/>
                <w:lang w:val="en-AU"/>
              </w:rPr>
              <w:noBreakHyphen/>
            </w:r>
            <w:r w:rsidRPr="00E750DB">
              <w:rPr>
                <w:rFonts w:ascii="Arial Narrow" w:hAnsi="Arial Narrow"/>
                <w:sz w:val="20"/>
                <w:szCs w:val="24"/>
                <w:lang w:val="en-AU"/>
              </w:rPr>
              <w:t>0.6, 13.1)</w:t>
            </w:r>
          </w:p>
        </w:tc>
      </w:tr>
      <w:tr w:rsidR="0012198A" w:rsidRPr="00E750DB" w14:paraId="20F10A27" w14:textId="77777777" w:rsidTr="002C59BD">
        <w:tc>
          <w:tcPr>
            <w:tcW w:w="3395" w:type="dxa"/>
          </w:tcPr>
          <w:p w14:paraId="673EC644"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Rash</w:t>
            </w:r>
          </w:p>
        </w:tc>
        <w:tc>
          <w:tcPr>
            <w:tcW w:w="1843" w:type="dxa"/>
            <w:vAlign w:val="center"/>
          </w:tcPr>
          <w:p w14:paraId="6E48FCF6"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 (6%)</w:t>
            </w:r>
          </w:p>
        </w:tc>
        <w:tc>
          <w:tcPr>
            <w:tcW w:w="1844" w:type="dxa"/>
            <w:vAlign w:val="center"/>
          </w:tcPr>
          <w:p w14:paraId="011D568B"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5D8DB8A2" w14:textId="1A663C36"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6.3 (</w:t>
            </w:r>
            <w:r w:rsidR="00E072B9">
              <w:rPr>
                <w:rFonts w:ascii="Arial Narrow" w:hAnsi="Arial Narrow"/>
                <w:sz w:val="20"/>
                <w:szCs w:val="24"/>
                <w:lang w:val="en-AU"/>
              </w:rPr>
              <w:noBreakHyphen/>
            </w:r>
            <w:r w:rsidRPr="00E750DB">
              <w:rPr>
                <w:rFonts w:ascii="Arial Narrow" w:hAnsi="Arial Narrow"/>
                <w:sz w:val="20"/>
                <w:szCs w:val="24"/>
                <w:lang w:val="en-AU"/>
              </w:rPr>
              <w:t>0.6, 13.1)</w:t>
            </w:r>
          </w:p>
        </w:tc>
      </w:tr>
      <w:tr w:rsidR="0012198A" w:rsidRPr="00E750DB" w14:paraId="279B8958" w14:textId="77777777" w:rsidTr="002C59BD">
        <w:tc>
          <w:tcPr>
            <w:tcW w:w="3395" w:type="dxa"/>
          </w:tcPr>
          <w:p w14:paraId="5A1F3D4D"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Increased alanine aminotransferase</w:t>
            </w:r>
          </w:p>
        </w:tc>
        <w:tc>
          <w:tcPr>
            <w:tcW w:w="1843" w:type="dxa"/>
            <w:vAlign w:val="center"/>
          </w:tcPr>
          <w:p w14:paraId="7B7FA99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(8%)</w:t>
            </w:r>
          </w:p>
        </w:tc>
        <w:tc>
          <w:tcPr>
            <w:tcW w:w="1844" w:type="dxa"/>
            <w:vAlign w:val="center"/>
          </w:tcPr>
          <w:p w14:paraId="6B99A792"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844" w:type="dxa"/>
          </w:tcPr>
          <w:p w14:paraId="00BE825B" w14:textId="75974D0A"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6.2 (</w:t>
            </w:r>
            <w:r w:rsidR="00E072B9">
              <w:rPr>
                <w:rFonts w:ascii="Arial Narrow" w:hAnsi="Arial Narrow"/>
                <w:sz w:val="20"/>
                <w:szCs w:val="24"/>
                <w:lang w:val="en-AU"/>
              </w:rPr>
              <w:noBreakHyphen/>
            </w:r>
            <w:r w:rsidRPr="00E750DB">
              <w:rPr>
                <w:rFonts w:ascii="Arial Narrow" w:hAnsi="Arial Narrow"/>
                <w:sz w:val="20"/>
                <w:szCs w:val="24"/>
                <w:lang w:val="en-AU"/>
              </w:rPr>
              <w:t>2.7, 15.0)</w:t>
            </w:r>
          </w:p>
        </w:tc>
      </w:tr>
      <w:tr w:rsidR="0012198A" w:rsidRPr="00E750DB" w14:paraId="608DCFF4" w14:textId="77777777" w:rsidTr="002C59BD">
        <w:tc>
          <w:tcPr>
            <w:tcW w:w="3395" w:type="dxa"/>
          </w:tcPr>
          <w:p w14:paraId="14F0B5DC"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Fatigue</w:t>
            </w:r>
          </w:p>
        </w:tc>
        <w:tc>
          <w:tcPr>
            <w:tcW w:w="1843" w:type="dxa"/>
            <w:vAlign w:val="center"/>
          </w:tcPr>
          <w:p w14:paraId="717D836F"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(10%)</w:t>
            </w:r>
          </w:p>
        </w:tc>
        <w:tc>
          <w:tcPr>
            <w:tcW w:w="1844" w:type="dxa"/>
            <w:vAlign w:val="center"/>
          </w:tcPr>
          <w:p w14:paraId="77283EF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2 (4%)</w:t>
            </w:r>
          </w:p>
        </w:tc>
        <w:tc>
          <w:tcPr>
            <w:tcW w:w="1844" w:type="dxa"/>
          </w:tcPr>
          <w:p w14:paraId="5E042860" w14:textId="42D5F568"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6.1 (</w:t>
            </w:r>
            <w:r w:rsidR="00E072B9">
              <w:rPr>
                <w:rFonts w:ascii="Arial Narrow" w:hAnsi="Arial Narrow"/>
                <w:sz w:val="20"/>
                <w:szCs w:val="24"/>
                <w:lang w:val="en-AU"/>
              </w:rPr>
              <w:noBreakHyphen/>
            </w:r>
            <w:r w:rsidRPr="00E750DB">
              <w:rPr>
                <w:rFonts w:ascii="Arial Narrow" w:hAnsi="Arial Narrow"/>
                <w:sz w:val="20"/>
                <w:szCs w:val="24"/>
                <w:lang w:val="en-AU"/>
              </w:rPr>
              <w:t>4.4, 16.5)</w:t>
            </w:r>
          </w:p>
        </w:tc>
      </w:tr>
      <w:tr w:rsidR="0012198A" w:rsidRPr="00E750DB" w14:paraId="442A2728" w14:textId="77777777" w:rsidTr="002C59BD">
        <w:tc>
          <w:tcPr>
            <w:tcW w:w="8926" w:type="dxa"/>
            <w:gridSpan w:val="4"/>
          </w:tcPr>
          <w:p w14:paraId="3B6F9EC1"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AEs with higher frequency (≥5 % difference) in the placebo group</w:t>
            </w:r>
          </w:p>
        </w:tc>
      </w:tr>
      <w:tr w:rsidR="0012198A" w:rsidRPr="00E750DB" w14:paraId="2AF51BF6" w14:textId="77777777" w:rsidTr="002C59BD">
        <w:tc>
          <w:tcPr>
            <w:tcW w:w="3395" w:type="dxa"/>
          </w:tcPr>
          <w:p w14:paraId="202D0997"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Pyrexia</w:t>
            </w:r>
          </w:p>
        </w:tc>
        <w:tc>
          <w:tcPr>
            <w:tcW w:w="1843" w:type="dxa"/>
            <w:vAlign w:val="center"/>
          </w:tcPr>
          <w:p w14:paraId="7AD5BA72"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844" w:type="dxa"/>
            <w:vAlign w:val="center"/>
          </w:tcPr>
          <w:p w14:paraId="745EAA63"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6 (13%)</w:t>
            </w:r>
          </w:p>
        </w:tc>
        <w:tc>
          <w:tcPr>
            <w:tcW w:w="1844" w:type="dxa"/>
          </w:tcPr>
          <w:p w14:paraId="6EBB8548" w14:textId="4A8EAECB" w:rsidR="0012198A" w:rsidRPr="00E750DB" w:rsidRDefault="00E072B9" w:rsidP="00E072B9">
            <w:pPr>
              <w:pStyle w:val="Tablenormal0"/>
              <w:keepNext/>
              <w:tabs>
                <w:tab w:val="decimal" w:pos="0"/>
              </w:tabs>
              <w:spacing w:before="0" w:after="0"/>
              <w:jc w:val="center"/>
              <w:rPr>
                <w:rFonts w:ascii="Arial Narrow" w:hAnsi="Arial Narrow" w:cstheme="minorHAnsi"/>
                <w:b/>
                <w:bCs/>
                <w:sz w:val="20"/>
                <w:szCs w:val="24"/>
                <w:lang w:val="en-AU"/>
              </w:rPr>
            </w:pPr>
            <w:r>
              <w:rPr>
                <w:rFonts w:ascii="Arial Narrow" w:hAnsi="Arial Narrow"/>
                <w:b/>
                <w:bCs/>
                <w:sz w:val="20"/>
                <w:szCs w:val="24"/>
                <w:lang w:val="en-AU"/>
              </w:rPr>
              <w:noBreakHyphen/>
            </w:r>
            <w:r w:rsidR="0012198A" w:rsidRPr="00E750DB">
              <w:rPr>
                <w:rFonts w:ascii="Arial Narrow" w:hAnsi="Arial Narrow"/>
                <w:b/>
                <w:bCs/>
                <w:sz w:val="20"/>
                <w:szCs w:val="24"/>
                <w:lang w:val="en-AU"/>
              </w:rPr>
              <w:t>11.0 (</w:t>
            </w:r>
            <w:r>
              <w:rPr>
                <w:rFonts w:ascii="Arial Narrow" w:hAnsi="Arial Narrow"/>
                <w:b/>
                <w:bCs/>
                <w:sz w:val="20"/>
                <w:szCs w:val="24"/>
                <w:lang w:val="en-AU"/>
              </w:rPr>
              <w:noBreakHyphen/>
            </w:r>
            <w:r w:rsidR="0012198A" w:rsidRPr="00E750DB">
              <w:rPr>
                <w:rFonts w:ascii="Arial Narrow" w:hAnsi="Arial Narrow"/>
                <w:b/>
                <w:bCs/>
                <w:sz w:val="20"/>
                <w:szCs w:val="24"/>
                <w:lang w:val="en-AU"/>
              </w:rPr>
              <w:t xml:space="preserve">21.5, </w:t>
            </w:r>
            <w:r>
              <w:rPr>
                <w:rFonts w:ascii="Arial Narrow" w:hAnsi="Arial Narrow"/>
                <w:b/>
                <w:bCs/>
                <w:sz w:val="20"/>
                <w:szCs w:val="24"/>
                <w:lang w:val="en-AU"/>
              </w:rPr>
              <w:noBreakHyphen/>
            </w:r>
            <w:r w:rsidR="0012198A" w:rsidRPr="00E750DB">
              <w:rPr>
                <w:rFonts w:ascii="Arial Narrow" w:hAnsi="Arial Narrow"/>
                <w:b/>
                <w:bCs/>
                <w:sz w:val="20"/>
                <w:szCs w:val="24"/>
                <w:lang w:val="en-AU"/>
              </w:rPr>
              <w:t>0.4)</w:t>
            </w:r>
          </w:p>
        </w:tc>
      </w:tr>
      <w:tr w:rsidR="0012198A" w:rsidRPr="00E750DB" w14:paraId="60B8C7CC" w14:textId="77777777" w:rsidTr="002C59BD">
        <w:tc>
          <w:tcPr>
            <w:tcW w:w="3395" w:type="dxa"/>
          </w:tcPr>
          <w:p w14:paraId="183E6923"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Hypoesthesia</w:t>
            </w:r>
          </w:p>
        </w:tc>
        <w:tc>
          <w:tcPr>
            <w:tcW w:w="1843" w:type="dxa"/>
            <w:vAlign w:val="center"/>
          </w:tcPr>
          <w:p w14:paraId="2D54231B"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vAlign w:val="center"/>
          </w:tcPr>
          <w:p w14:paraId="0FD38FEA"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44" w:type="dxa"/>
          </w:tcPr>
          <w:p w14:paraId="4244B3F6" w14:textId="4EE7D2FF" w:rsidR="0012198A" w:rsidRPr="00E750DB" w:rsidRDefault="00E072B9" w:rsidP="00E072B9">
            <w:pPr>
              <w:pStyle w:val="Tablenormal0"/>
              <w:keepNext/>
              <w:tabs>
                <w:tab w:val="decimal" w:pos="0"/>
              </w:tabs>
              <w:spacing w:before="0" w:after="0"/>
              <w:jc w:val="center"/>
              <w:rPr>
                <w:rFonts w:ascii="Arial Narrow" w:hAnsi="Arial Narrow" w:cstheme="minorHAnsi"/>
                <w:b/>
                <w:bCs/>
                <w:sz w:val="20"/>
                <w:szCs w:val="24"/>
                <w:lang w:val="en-AU"/>
              </w:rPr>
            </w:pPr>
            <w:r>
              <w:rPr>
                <w:rFonts w:ascii="Arial Narrow" w:hAnsi="Arial Narrow"/>
                <w:b/>
                <w:bCs/>
                <w:sz w:val="20"/>
                <w:szCs w:val="24"/>
                <w:lang w:val="en-AU"/>
              </w:rPr>
              <w:noBreakHyphen/>
            </w:r>
            <w:r w:rsidR="0012198A" w:rsidRPr="00E750DB">
              <w:rPr>
                <w:rFonts w:ascii="Arial Narrow" w:hAnsi="Arial Narrow"/>
                <w:b/>
                <w:bCs/>
                <w:sz w:val="20"/>
                <w:szCs w:val="24"/>
                <w:lang w:val="en-AU"/>
              </w:rPr>
              <w:t>8.7 (</w:t>
            </w:r>
            <w:r>
              <w:rPr>
                <w:rFonts w:ascii="Arial Narrow" w:hAnsi="Arial Narrow"/>
                <w:b/>
                <w:bCs/>
                <w:sz w:val="20"/>
                <w:szCs w:val="24"/>
                <w:lang w:val="en-AU"/>
              </w:rPr>
              <w:noBreakHyphen/>
            </w:r>
            <w:r w:rsidR="0012198A" w:rsidRPr="00E750DB">
              <w:rPr>
                <w:rFonts w:ascii="Arial Narrow" w:hAnsi="Arial Narrow"/>
                <w:b/>
                <w:bCs/>
                <w:sz w:val="20"/>
                <w:szCs w:val="24"/>
                <w:lang w:val="en-AU"/>
              </w:rPr>
              <w:t xml:space="preserve">16.8, </w:t>
            </w:r>
            <w:r>
              <w:rPr>
                <w:rFonts w:ascii="Arial Narrow" w:hAnsi="Arial Narrow"/>
                <w:b/>
                <w:bCs/>
                <w:sz w:val="20"/>
                <w:szCs w:val="24"/>
                <w:lang w:val="en-AU"/>
              </w:rPr>
              <w:noBreakHyphen/>
            </w:r>
            <w:r w:rsidR="0012198A" w:rsidRPr="00E750DB">
              <w:rPr>
                <w:rFonts w:ascii="Arial Narrow" w:hAnsi="Arial Narrow"/>
                <w:b/>
                <w:bCs/>
                <w:sz w:val="20"/>
                <w:szCs w:val="24"/>
                <w:lang w:val="en-AU"/>
              </w:rPr>
              <w:t>0.6)</w:t>
            </w:r>
          </w:p>
        </w:tc>
      </w:tr>
      <w:tr w:rsidR="0012198A" w:rsidRPr="00E750DB" w14:paraId="043A6C2D" w14:textId="77777777" w:rsidTr="002C59BD">
        <w:tc>
          <w:tcPr>
            <w:tcW w:w="3395" w:type="dxa"/>
          </w:tcPr>
          <w:p w14:paraId="2BD5B860"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Dyspepsia</w:t>
            </w:r>
          </w:p>
        </w:tc>
        <w:tc>
          <w:tcPr>
            <w:tcW w:w="1843" w:type="dxa"/>
            <w:vAlign w:val="center"/>
          </w:tcPr>
          <w:p w14:paraId="410EF77E"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vAlign w:val="center"/>
          </w:tcPr>
          <w:p w14:paraId="76397496"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44" w:type="dxa"/>
          </w:tcPr>
          <w:p w14:paraId="153A9A34" w14:textId="4CA69812" w:rsidR="0012198A" w:rsidRPr="00E750DB" w:rsidRDefault="00E072B9" w:rsidP="00E072B9">
            <w:pPr>
              <w:pStyle w:val="Tablenormal0"/>
              <w:keepNext/>
              <w:tabs>
                <w:tab w:val="decimal" w:pos="0"/>
              </w:tabs>
              <w:spacing w:before="0" w:after="0"/>
              <w:jc w:val="center"/>
              <w:rPr>
                <w:rFonts w:ascii="Arial Narrow" w:hAnsi="Arial Narrow" w:cstheme="minorHAnsi"/>
                <w:b/>
                <w:bCs/>
                <w:sz w:val="20"/>
                <w:szCs w:val="24"/>
                <w:lang w:val="en-AU"/>
              </w:rPr>
            </w:pPr>
            <w:r>
              <w:rPr>
                <w:rFonts w:ascii="Arial Narrow" w:hAnsi="Arial Narrow"/>
                <w:b/>
                <w:bCs/>
                <w:sz w:val="20"/>
                <w:szCs w:val="24"/>
                <w:lang w:val="en-AU"/>
              </w:rPr>
              <w:noBreakHyphen/>
            </w:r>
            <w:r w:rsidR="0012198A" w:rsidRPr="00E750DB">
              <w:rPr>
                <w:rFonts w:ascii="Arial Narrow" w:hAnsi="Arial Narrow"/>
                <w:b/>
                <w:bCs/>
                <w:sz w:val="20"/>
                <w:szCs w:val="24"/>
                <w:lang w:val="en-AU"/>
              </w:rPr>
              <w:t>8.7 (</w:t>
            </w:r>
            <w:r>
              <w:rPr>
                <w:rFonts w:ascii="Arial Narrow" w:hAnsi="Arial Narrow"/>
                <w:b/>
                <w:bCs/>
                <w:sz w:val="20"/>
                <w:szCs w:val="24"/>
                <w:lang w:val="en-AU"/>
              </w:rPr>
              <w:noBreakHyphen/>
            </w:r>
            <w:r w:rsidR="0012198A" w:rsidRPr="00E750DB">
              <w:rPr>
                <w:rFonts w:ascii="Arial Narrow" w:hAnsi="Arial Narrow"/>
                <w:b/>
                <w:bCs/>
                <w:sz w:val="20"/>
                <w:szCs w:val="24"/>
                <w:lang w:val="en-AU"/>
              </w:rPr>
              <w:t xml:space="preserve">16.8, </w:t>
            </w:r>
            <w:r>
              <w:rPr>
                <w:rFonts w:ascii="Arial Narrow" w:hAnsi="Arial Narrow"/>
                <w:b/>
                <w:bCs/>
                <w:sz w:val="20"/>
                <w:szCs w:val="24"/>
                <w:lang w:val="en-AU"/>
              </w:rPr>
              <w:noBreakHyphen/>
            </w:r>
            <w:r w:rsidR="0012198A" w:rsidRPr="00E750DB">
              <w:rPr>
                <w:rFonts w:ascii="Arial Narrow" w:hAnsi="Arial Narrow"/>
                <w:b/>
                <w:bCs/>
                <w:sz w:val="20"/>
                <w:szCs w:val="24"/>
                <w:lang w:val="en-AU"/>
              </w:rPr>
              <w:t>0.6)</w:t>
            </w:r>
          </w:p>
        </w:tc>
      </w:tr>
      <w:tr w:rsidR="0012198A" w:rsidRPr="00E750DB" w14:paraId="19806145" w14:textId="77777777" w:rsidTr="002C59BD">
        <w:tc>
          <w:tcPr>
            <w:tcW w:w="3395" w:type="dxa"/>
          </w:tcPr>
          <w:p w14:paraId="50549F10"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Vomiting</w:t>
            </w:r>
          </w:p>
        </w:tc>
        <w:tc>
          <w:tcPr>
            <w:tcW w:w="1843" w:type="dxa"/>
            <w:vAlign w:val="center"/>
          </w:tcPr>
          <w:p w14:paraId="596702CD"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2 (4%)</w:t>
            </w:r>
          </w:p>
        </w:tc>
        <w:tc>
          <w:tcPr>
            <w:tcW w:w="1844" w:type="dxa"/>
            <w:vAlign w:val="center"/>
          </w:tcPr>
          <w:p w14:paraId="5FE35214"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(11%)</w:t>
            </w:r>
          </w:p>
        </w:tc>
        <w:tc>
          <w:tcPr>
            <w:tcW w:w="1844" w:type="dxa"/>
          </w:tcPr>
          <w:p w14:paraId="2ED0C0C7" w14:textId="58EBA8E7" w:rsidR="0012198A" w:rsidRPr="00E750DB" w:rsidRDefault="00E072B9" w:rsidP="00E072B9">
            <w:pPr>
              <w:pStyle w:val="Tablenormal0"/>
              <w:keepNext/>
              <w:tabs>
                <w:tab w:val="decimal" w:pos="0"/>
              </w:tabs>
              <w:spacing w:before="0" w:after="0"/>
              <w:jc w:val="center"/>
              <w:rPr>
                <w:rFonts w:ascii="Arial Narrow" w:hAnsi="Arial Narrow" w:cstheme="minorHAnsi"/>
                <w:sz w:val="20"/>
                <w:szCs w:val="24"/>
                <w:lang w:val="en-AU"/>
              </w:rPr>
            </w:pPr>
            <w:r>
              <w:rPr>
                <w:rFonts w:ascii="Arial Narrow" w:hAnsi="Arial Narrow"/>
                <w:sz w:val="20"/>
                <w:szCs w:val="24"/>
                <w:lang w:val="en-AU"/>
              </w:rPr>
              <w:noBreakHyphen/>
            </w:r>
            <w:r w:rsidR="0012198A" w:rsidRPr="00E750DB">
              <w:rPr>
                <w:rFonts w:ascii="Arial Narrow" w:hAnsi="Arial Narrow"/>
                <w:sz w:val="20"/>
                <w:szCs w:val="24"/>
                <w:lang w:val="en-AU"/>
              </w:rPr>
              <w:t>6.7 (</w:t>
            </w:r>
            <w:r>
              <w:rPr>
                <w:rFonts w:ascii="Arial Narrow" w:hAnsi="Arial Narrow"/>
                <w:sz w:val="20"/>
                <w:szCs w:val="24"/>
                <w:lang w:val="en-AU"/>
              </w:rPr>
              <w:noBreakHyphen/>
            </w:r>
            <w:r w:rsidR="0012198A" w:rsidRPr="00E750DB">
              <w:rPr>
                <w:rFonts w:ascii="Arial Narrow" w:hAnsi="Arial Narrow"/>
                <w:sz w:val="20"/>
                <w:szCs w:val="24"/>
                <w:lang w:val="en-AU"/>
              </w:rPr>
              <w:t>17.3, 3.9)</w:t>
            </w:r>
          </w:p>
        </w:tc>
      </w:tr>
      <w:tr w:rsidR="0012198A" w:rsidRPr="00E750DB" w14:paraId="67D9230C" w14:textId="77777777" w:rsidTr="002C59BD">
        <w:tc>
          <w:tcPr>
            <w:tcW w:w="3395" w:type="dxa"/>
          </w:tcPr>
          <w:p w14:paraId="6D2058C6"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Urinary tract infection</w:t>
            </w:r>
          </w:p>
        </w:tc>
        <w:tc>
          <w:tcPr>
            <w:tcW w:w="1843" w:type="dxa"/>
            <w:vAlign w:val="center"/>
          </w:tcPr>
          <w:p w14:paraId="0CFA936D"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 (6%)</w:t>
            </w:r>
          </w:p>
        </w:tc>
        <w:tc>
          <w:tcPr>
            <w:tcW w:w="1844" w:type="dxa"/>
            <w:vAlign w:val="center"/>
          </w:tcPr>
          <w:p w14:paraId="03F67ADE"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6 (13%)</w:t>
            </w:r>
          </w:p>
        </w:tc>
        <w:tc>
          <w:tcPr>
            <w:tcW w:w="1844" w:type="dxa"/>
          </w:tcPr>
          <w:p w14:paraId="21D447F4" w14:textId="7DB58E84" w:rsidR="0012198A" w:rsidRPr="00E750DB" w:rsidRDefault="00E072B9" w:rsidP="00E072B9">
            <w:pPr>
              <w:pStyle w:val="Tablenormal0"/>
              <w:keepNext/>
              <w:tabs>
                <w:tab w:val="decimal" w:pos="0"/>
              </w:tabs>
              <w:spacing w:before="0" w:after="0"/>
              <w:jc w:val="center"/>
              <w:rPr>
                <w:rFonts w:ascii="Arial Narrow" w:hAnsi="Arial Narrow" w:cstheme="minorHAnsi"/>
                <w:sz w:val="20"/>
                <w:szCs w:val="24"/>
                <w:lang w:val="en-AU"/>
              </w:rPr>
            </w:pPr>
            <w:r>
              <w:rPr>
                <w:rFonts w:ascii="Arial Narrow" w:hAnsi="Arial Narrow"/>
                <w:sz w:val="20"/>
                <w:szCs w:val="24"/>
                <w:lang w:val="en-AU"/>
              </w:rPr>
              <w:noBreakHyphen/>
            </w:r>
            <w:r w:rsidR="0012198A" w:rsidRPr="00E750DB">
              <w:rPr>
                <w:rFonts w:ascii="Arial Narrow" w:hAnsi="Arial Narrow"/>
                <w:sz w:val="20"/>
                <w:szCs w:val="24"/>
                <w:lang w:val="en-AU"/>
              </w:rPr>
              <w:t>6.8 (</w:t>
            </w:r>
            <w:r>
              <w:rPr>
                <w:rFonts w:ascii="Arial Narrow" w:hAnsi="Arial Narrow"/>
                <w:sz w:val="20"/>
                <w:szCs w:val="24"/>
                <w:lang w:val="en-AU"/>
              </w:rPr>
              <w:noBreakHyphen/>
            </w:r>
            <w:r w:rsidR="0012198A" w:rsidRPr="00E750DB">
              <w:rPr>
                <w:rFonts w:ascii="Arial Narrow" w:hAnsi="Arial Narrow"/>
                <w:sz w:val="20"/>
                <w:szCs w:val="24"/>
                <w:lang w:val="en-AU"/>
              </w:rPr>
              <w:t>18.7, 5.1)</w:t>
            </w:r>
          </w:p>
        </w:tc>
      </w:tr>
      <w:tr w:rsidR="0012198A" w:rsidRPr="00E750DB" w14:paraId="070E80E5" w14:textId="77777777" w:rsidTr="002C59BD">
        <w:tc>
          <w:tcPr>
            <w:tcW w:w="3395" w:type="dxa"/>
          </w:tcPr>
          <w:p w14:paraId="1022612C"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Back pain</w:t>
            </w:r>
          </w:p>
        </w:tc>
        <w:tc>
          <w:tcPr>
            <w:tcW w:w="1843" w:type="dxa"/>
            <w:vAlign w:val="center"/>
          </w:tcPr>
          <w:p w14:paraId="11F69859"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844" w:type="dxa"/>
            <w:vAlign w:val="center"/>
          </w:tcPr>
          <w:p w14:paraId="3C3F4D1F"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44" w:type="dxa"/>
          </w:tcPr>
          <w:p w14:paraId="637E8057" w14:textId="4A97E660" w:rsidR="0012198A" w:rsidRPr="00E750DB" w:rsidRDefault="00E072B9" w:rsidP="00E072B9">
            <w:pPr>
              <w:pStyle w:val="Tablenormal0"/>
              <w:keepNext/>
              <w:tabs>
                <w:tab w:val="decimal" w:pos="0"/>
              </w:tabs>
              <w:spacing w:before="0" w:after="0"/>
              <w:jc w:val="center"/>
              <w:rPr>
                <w:rFonts w:ascii="Arial Narrow" w:hAnsi="Arial Narrow" w:cstheme="minorHAnsi"/>
                <w:sz w:val="20"/>
                <w:szCs w:val="24"/>
                <w:lang w:val="en-AU"/>
              </w:rPr>
            </w:pPr>
            <w:r>
              <w:rPr>
                <w:rFonts w:ascii="Arial Narrow" w:hAnsi="Arial Narrow"/>
                <w:sz w:val="20"/>
                <w:szCs w:val="24"/>
                <w:lang w:val="en-AU"/>
              </w:rPr>
              <w:noBreakHyphen/>
            </w:r>
            <w:r w:rsidR="0012198A" w:rsidRPr="00E750DB">
              <w:rPr>
                <w:rFonts w:ascii="Arial Narrow" w:hAnsi="Arial Narrow"/>
                <w:sz w:val="20"/>
                <w:szCs w:val="24"/>
                <w:lang w:val="en-AU"/>
              </w:rPr>
              <w:t>6.6 (</w:t>
            </w:r>
            <w:r>
              <w:rPr>
                <w:rFonts w:ascii="Arial Narrow" w:hAnsi="Arial Narrow"/>
                <w:sz w:val="20"/>
                <w:szCs w:val="24"/>
                <w:lang w:val="en-AU"/>
              </w:rPr>
              <w:noBreakHyphen/>
            </w:r>
            <w:r w:rsidR="0012198A" w:rsidRPr="00E750DB">
              <w:rPr>
                <w:rFonts w:ascii="Arial Narrow" w:hAnsi="Arial Narrow"/>
                <w:sz w:val="20"/>
                <w:szCs w:val="24"/>
                <w:lang w:val="en-AU"/>
              </w:rPr>
              <w:t>15.7, 2.5)</w:t>
            </w:r>
          </w:p>
        </w:tc>
      </w:tr>
    </w:tbl>
    <w:p w14:paraId="52738B43"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 xml:space="preserve">Source: Table 2.13 of the submission. </w:t>
      </w:r>
    </w:p>
    <w:p w14:paraId="35B25A6A"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AE=adverse event; eGFR=estimated glomerular filtration rate</w:t>
      </w:r>
    </w:p>
    <w:p w14:paraId="3140FCC9" w14:textId="77777777" w:rsidR="0012198A" w:rsidRPr="00E750DB" w:rsidRDefault="0012198A" w:rsidP="00E072B9">
      <w:pPr>
        <w:rPr>
          <w:rFonts w:ascii="Arial Narrow" w:hAnsi="Arial Narrow"/>
          <w:sz w:val="12"/>
          <w:szCs w:val="18"/>
        </w:rPr>
      </w:pPr>
      <w:r w:rsidRPr="00E750DB">
        <w:rPr>
          <w:rFonts w:ascii="Arial Narrow" w:hAnsi="Arial Narrow"/>
          <w:sz w:val="18"/>
          <w:szCs w:val="18"/>
        </w:rPr>
        <w:t>Bold font indicates statistically significant differences</w:t>
      </w:r>
    </w:p>
    <w:p w14:paraId="59E94229" w14:textId="6120B552" w:rsidR="0012198A" w:rsidRPr="00E750DB" w:rsidRDefault="0012198A" w:rsidP="00E072B9">
      <w:pPr>
        <w:pStyle w:val="3-BodyText"/>
      </w:pPr>
      <w:r w:rsidRPr="00E750DB">
        <w:t>Placebo</w:t>
      </w:r>
      <w:r w:rsidR="00E072B9">
        <w:noBreakHyphen/>
      </w:r>
      <w:r w:rsidRPr="00E750DB">
        <w:t>treated patients who crossed over to givosiran during ENVISION OLE had a similar safety profile to patients randomised to givosiran treatment during the DB period. In the OLE, 3% of patients had treatment</w:t>
      </w:r>
      <w:r w:rsidR="00E072B9">
        <w:noBreakHyphen/>
      </w:r>
      <w:r w:rsidRPr="00E750DB">
        <w:t>emergent antidrug antibodies (ADA) of low titre and positive only at a single timepoint. The presence of ADAs did not affect the efficacy or safety of givosiran. Lastly, there was one death in the OLE attributed to aortic dissection and considered not related to the study drug.</w:t>
      </w:r>
    </w:p>
    <w:p w14:paraId="31CDD3C8" w14:textId="1B4C51C2" w:rsidR="0012198A" w:rsidRPr="00E750DB" w:rsidRDefault="0012198A" w:rsidP="00E072B9">
      <w:pPr>
        <w:pStyle w:val="3-BodyText"/>
      </w:pPr>
      <w:r w:rsidRPr="00E750DB">
        <w:t>In Study 001, the safety of givosiran was compared to that of placebo (n=33 vs n=10 patients, respectively). Most patients (30/33 [91%]) in the givosiran group and 100% of patients in the placebo group experienced at least one AE. The most common AEs were nasopharyngitis (nine patients in the givosiran group vs two patients in the placebo group), abdominal pain (eight vs one), nausea (six vs three), and diarrhoea (four vs two).</w:t>
      </w:r>
    </w:p>
    <w:p w14:paraId="53BEBD46" w14:textId="1438706A" w:rsidR="0012198A" w:rsidRPr="00E750DB" w:rsidRDefault="003A0006" w:rsidP="00E072B9">
      <w:pPr>
        <w:pStyle w:val="3-BodyText"/>
      </w:pPr>
      <w:r w:rsidRPr="00E750DB">
        <w:t>I</w:t>
      </w:r>
      <w:r w:rsidR="0012198A" w:rsidRPr="00E750DB">
        <w:t>n Study 001, six patients (18%) in the givosiran group had SAEs, which were abdominal pain (two events), spontaneous abortion, influenza A infection, functional gastrointestinal (GI) disorder (opioid bowel dysfunction), staphylococcal bacteraemia, auditory hallucination, and haemorrhagic pancreatitis (one event each). None were related to the study drug</w:t>
      </w:r>
      <w:r w:rsidR="00641CAA" w:rsidRPr="00E750DB">
        <w:t>. T</w:t>
      </w:r>
      <w:r w:rsidR="0012198A" w:rsidRPr="00E750DB">
        <w:t>here were no SAEs in the placebo group. The patient who experienced haemorrhagic pancreatitis ultimately died; however, the death was assessed as unlikely related to study drug. Severe AEs were reported in both treatment groups, but most AEs were mild to moderate in severity. The proportion of patients in Study 001 Part C who experienced a severe AE was similar between the givosiran and placebo groups.</w:t>
      </w:r>
    </w:p>
    <w:p w14:paraId="26971071" w14:textId="01B47017" w:rsidR="0012198A" w:rsidRPr="00E750DB" w:rsidRDefault="0012198A" w:rsidP="00E072B9">
      <w:pPr>
        <w:pStyle w:val="3-BodyText"/>
      </w:pPr>
      <w:r w:rsidRPr="00E750DB">
        <w:t>For Study 002, the interim data cut</w:t>
      </w:r>
      <w:r w:rsidR="00E072B9">
        <w:noBreakHyphen/>
      </w:r>
      <w:r w:rsidRPr="00E750DB">
        <w:t>off was 16 October 2019, in which at least one AE was reported by 100% (16/16) of patients; most AEs were mild or moderate in severity. AEs occurring in more than three patients were abdominal pain, fatigue, nausea, injection</w:t>
      </w:r>
      <w:r w:rsidR="00E072B9">
        <w:noBreakHyphen/>
      </w:r>
      <w:r w:rsidRPr="00E750DB">
        <w:t>site erythema, headache, myalgia, nasopharyngitis, diarrhoea, injection</w:t>
      </w:r>
      <w:r w:rsidR="00E072B9">
        <w:noBreakHyphen/>
      </w:r>
      <w:r w:rsidRPr="00E750DB">
        <w:t>site pruritus, and international normalised ratio (INR) increased. Injection</w:t>
      </w:r>
      <w:r w:rsidR="00E072B9">
        <w:noBreakHyphen/>
      </w:r>
      <w:r w:rsidRPr="00E750DB">
        <w:t>site reactions were reported by seven patients; all reactions were mild to moderate. Ten SAEs were reported in six patients, nine of which were deemed by investigators unlikely to be related to study treatment. One patient had an SAE of anaphylactic reaction that was considered related to the study drug. The event resolved and the patient discontinued the study drug. Three of the SAEs (pyrexia [two events] and deep vein thrombosis) were thought by investigators to be potentially related to catheterisation. There were no deaths.</w:t>
      </w:r>
    </w:p>
    <w:p w14:paraId="4D989990" w14:textId="1EBF43A5" w:rsidR="00706574" w:rsidRPr="00915DBD" w:rsidRDefault="00706574" w:rsidP="00E072B9">
      <w:pPr>
        <w:pStyle w:val="3-BodyText"/>
        <w:rPr>
          <w:iCs/>
        </w:rPr>
      </w:pPr>
      <w:r w:rsidRPr="00915DBD">
        <w:rPr>
          <w:iCs/>
        </w:rPr>
        <w:t>The Sub</w:t>
      </w:r>
      <w:r w:rsidR="00E072B9">
        <w:rPr>
          <w:iCs/>
        </w:rPr>
        <w:noBreakHyphen/>
      </w:r>
      <w:r w:rsidR="0051734A" w:rsidRPr="00915DBD">
        <w:rPr>
          <w:iCs/>
        </w:rPr>
        <w:t>C</w:t>
      </w:r>
      <w:r w:rsidRPr="00915DBD">
        <w:rPr>
          <w:iCs/>
        </w:rPr>
        <w:t xml:space="preserve">ommittees noted that </w:t>
      </w:r>
      <w:r w:rsidR="00F00443" w:rsidRPr="00915DBD">
        <w:rPr>
          <w:iCs/>
        </w:rPr>
        <w:t>the Australian PI includes cautions regarding use in patients with pre</w:t>
      </w:r>
      <w:r w:rsidR="00E072B9">
        <w:rPr>
          <w:iCs/>
        </w:rPr>
        <w:noBreakHyphen/>
      </w:r>
      <w:r w:rsidR="00F00443" w:rsidRPr="00915DBD">
        <w:rPr>
          <w:iCs/>
        </w:rPr>
        <w:t xml:space="preserve">existing renal and hepatic conditions and </w:t>
      </w:r>
      <w:r w:rsidR="0036333E" w:rsidRPr="00915DBD">
        <w:rPr>
          <w:iCs/>
        </w:rPr>
        <w:t xml:space="preserve">the need to monitor LFT and GFR. </w:t>
      </w:r>
    </w:p>
    <w:p w14:paraId="04908C7F" w14:textId="415B9B7D" w:rsidR="007F1017" w:rsidRPr="00E750DB" w:rsidRDefault="007F1017" w:rsidP="00E072B9">
      <w:pPr>
        <w:pStyle w:val="4-SubsectionHeading"/>
      </w:pPr>
      <w:bookmarkStart w:id="37" w:name="_Toc22897643"/>
      <w:bookmarkStart w:id="38" w:name="_Toc198715360"/>
      <w:r w:rsidRPr="00E750DB">
        <w:t>Benefits/harms</w:t>
      </w:r>
      <w:bookmarkEnd w:id="37"/>
      <w:bookmarkEnd w:id="38"/>
    </w:p>
    <w:p w14:paraId="02218095" w14:textId="64004831" w:rsidR="009C6937" w:rsidRPr="00E750DB" w:rsidRDefault="009C6937" w:rsidP="00E072B9">
      <w:pPr>
        <w:pStyle w:val="3-BodyText"/>
      </w:pPr>
      <w:proofErr w:type="gramStart"/>
      <w:r w:rsidRPr="00E750DB">
        <w:t>On the basis of</w:t>
      </w:r>
      <w:proofErr w:type="gramEnd"/>
      <w:r w:rsidRPr="00E750DB">
        <w:t xml:space="preserve"> direct evidence presented by the submission, the comparison of givosiran and BSC over 6 months resulted in:</w:t>
      </w:r>
    </w:p>
    <w:p w14:paraId="4EDBC018" w14:textId="3F5933AE" w:rsidR="00FB5F8B" w:rsidRPr="00E750DB" w:rsidRDefault="00FB5F8B" w:rsidP="00E072B9">
      <w:pPr>
        <w:pStyle w:val="ListParagraph"/>
        <w:ind w:left="1134"/>
        <w:jc w:val="both"/>
      </w:pPr>
      <w:r w:rsidRPr="00E750DB">
        <w:rPr>
          <w:snapToGrid/>
        </w:rPr>
        <w:t xml:space="preserve">Approximately a 74% reduction </w:t>
      </w:r>
      <w:r w:rsidRPr="00E750DB">
        <w:t xml:space="preserve">in the </w:t>
      </w:r>
      <w:r w:rsidR="000A51CF" w:rsidRPr="00E750DB">
        <w:t xml:space="preserve">average number of </w:t>
      </w:r>
      <w:r w:rsidR="009C75AD" w:rsidRPr="00E750DB">
        <w:t>porphyria attacks requiring hospitalisation, urgent healthcare visits, or intravenous hemin administration at home</w:t>
      </w:r>
      <w:r w:rsidR="009C75AD" w:rsidRPr="00E750DB">
        <w:rPr>
          <w:snapToGrid/>
        </w:rPr>
        <w:t xml:space="preserve"> </w:t>
      </w:r>
      <w:r w:rsidR="000A51CF" w:rsidRPr="00E750DB">
        <w:t>per year</w:t>
      </w:r>
      <w:r w:rsidR="00E34E05" w:rsidRPr="00E750DB">
        <w:t xml:space="preserve">; for </w:t>
      </w:r>
      <w:r w:rsidR="00D13798" w:rsidRPr="00E750DB">
        <w:t>example,</w:t>
      </w:r>
      <w:r w:rsidR="00E34E05" w:rsidRPr="00E750DB">
        <w:t xml:space="preserve"> an average of 10 attacks per year reduced to an average of 2.6 attacks per year </w:t>
      </w:r>
      <w:r w:rsidRPr="00E750DB">
        <w:rPr>
          <w:snapToGrid/>
        </w:rPr>
        <w:t>(</w:t>
      </w:r>
      <w:r w:rsidRPr="00E750DB">
        <w:rPr>
          <w:snapToGrid/>
        </w:rPr>
        <w:fldChar w:fldCharType="begin" w:fldLock="1"/>
      </w:r>
      <w:r w:rsidRPr="00E750DB">
        <w:rPr>
          <w:snapToGrid/>
        </w:rPr>
        <w:instrText xml:space="preserve"> REF _Ref198087206 \h </w:instrText>
      </w:r>
      <w:r w:rsidRPr="00E750DB">
        <w:rPr>
          <w:snapToGrid/>
        </w:rPr>
      </w:r>
      <w:r w:rsidRPr="00E750DB">
        <w:rPr>
          <w:snapToGrid/>
        </w:rPr>
        <w:fldChar w:fldCharType="separate"/>
      </w:r>
      <w:r w:rsidR="00E750DB" w:rsidRPr="00E750DB">
        <w:t>Table 4</w:t>
      </w:r>
      <w:r w:rsidRPr="00E750DB">
        <w:rPr>
          <w:snapToGrid/>
        </w:rPr>
        <w:fldChar w:fldCharType="end"/>
      </w:r>
      <w:r w:rsidRPr="00E750DB">
        <w:rPr>
          <w:snapToGrid/>
        </w:rPr>
        <w:t xml:space="preserve">). </w:t>
      </w:r>
    </w:p>
    <w:p w14:paraId="6266B725" w14:textId="233350C8" w:rsidR="009C6937" w:rsidRPr="00E750DB" w:rsidRDefault="00633A12" w:rsidP="00E072B9">
      <w:pPr>
        <w:pStyle w:val="ListParagraph"/>
        <w:ind w:left="1134"/>
        <w:jc w:val="both"/>
      </w:pPr>
      <w:r w:rsidRPr="00E750DB">
        <w:rPr>
          <w:snapToGrid/>
        </w:rPr>
        <w:t>M</w:t>
      </w:r>
      <w:r w:rsidR="009C6937" w:rsidRPr="00E750DB">
        <w:rPr>
          <w:snapToGrid/>
        </w:rPr>
        <w:t xml:space="preserve">ean urinary ALA and </w:t>
      </w:r>
      <w:r w:rsidR="0048757A">
        <w:rPr>
          <w:snapToGrid/>
        </w:rPr>
        <w:t>PBG</w:t>
      </w:r>
      <w:r w:rsidR="0048757A" w:rsidRPr="00E750DB">
        <w:rPr>
          <w:snapToGrid/>
        </w:rPr>
        <w:t xml:space="preserve"> </w:t>
      </w:r>
      <w:r w:rsidR="009C6937" w:rsidRPr="00E750DB">
        <w:rPr>
          <w:snapToGrid/>
        </w:rPr>
        <w:t>reduction</w:t>
      </w:r>
      <w:r w:rsidRPr="00E750DB">
        <w:rPr>
          <w:snapToGrid/>
        </w:rPr>
        <w:t>s</w:t>
      </w:r>
      <w:r w:rsidR="009C6937" w:rsidRPr="00E750DB">
        <w:rPr>
          <w:snapToGrid/>
        </w:rPr>
        <w:t xml:space="preserve"> of </w:t>
      </w:r>
      <w:r w:rsidRPr="00E750DB">
        <w:rPr>
          <w:snapToGrid/>
        </w:rPr>
        <w:t xml:space="preserve">approximately </w:t>
      </w:r>
      <w:r w:rsidR="009C6937" w:rsidRPr="00E750DB">
        <w:rPr>
          <w:snapToGrid/>
        </w:rPr>
        <w:t>19 and 36 mmol/mol creatinine</w:t>
      </w:r>
      <w:r w:rsidR="00AE6703" w:rsidRPr="00E750DB">
        <w:rPr>
          <w:snapToGrid/>
        </w:rPr>
        <w:t>, respectively</w:t>
      </w:r>
      <w:r w:rsidR="009C6937" w:rsidRPr="00E750DB">
        <w:rPr>
          <w:snapToGrid/>
        </w:rPr>
        <w:t xml:space="preserve"> (</w:t>
      </w:r>
      <w:r w:rsidR="009C6937" w:rsidRPr="00E750DB">
        <w:rPr>
          <w:snapToGrid/>
        </w:rPr>
        <w:fldChar w:fldCharType="begin" w:fldLock="1"/>
      </w:r>
      <w:r w:rsidR="009C6937" w:rsidRPr="00E750DB">
        <w:rPr>
          <w:snapToGrid/>
        </w:rPr>
        <w:instrText xml:space="preserve"> REF _Ref198089609 \h </w:instrText>
      </w:r>
      <w:r w:rsidR="009C6937" w:rsidRPr="00E750DB">
        <w:rPr>
          <w:snapToGrid/>
        </w:rPr>
      </w:r>
      <w:r w:rsidR="009C6937" w:rsidRPr="00E750DB">
        <w:rPr>
          <w:snapToGrid/>
        </w:rPr>
        <w:fldChar w:fldCharType="separate"/>
      </w:r>
      <w:r w:rsidR="00E750DB" w:rsidRPr="00E750DB">
        <w:t>Table 5</w:t>
      </w:r>
      <w:r w:rsidR="009C6937" w:rsidRPr="00E750DB">
        <w:rPr>
          <w:snapToGrid/>
        </w:rPr>
        <w:fldChar w:fldCharType="end"/>
      </w:r>
      <w:r w:rsidR="009C6937" w:rsidRPr="00E750DB">
        <w:rPr>
          <w:snapToGrid/>
        </w:rPr>
        <w:t>).</w:t>
      </w:r>
      <w:r w:rsidR="00113823" w:rsidRPr="00E750DB">
        <w:t xml:space="preserve"> ALA and </w:t>
      </w:r>
      <w:r w:rsidR="0048757A">
        <w:t>PBG</w:t>
      </w:r>
      <w:r w:rsidR="00113823" w:rsidRPr="00E750DB">
        <w:t xml:space="preserve"> are key biomarkers associated with AHP.</w:t>
      </w:r>
    </w:p>
    <w:p w14:paraId="1CA7EC66" w14:textId="057CF4F6" w:rsidR="00FB5F8B" w:rsidRPr="00E750DB" w:rsidRDefault="00FB5F8B" w:rsidP="00E072B9">
      <w:pPr>
        <w:pStyle w:val="ListParagraph"/>
        <w:ind w:left="1134"/>
        <w:jc w:val="both"/>
      </w:pPr>
      <w:r w:rsidRPr="00E750DB">
        <w:rPr>
          <w:snapToGrid/>
        </w:rPr>
        <w:t xml:space="preserve">Approximately a 77% reduction </w:t>
      </w:r>
      <w:r w:rsidRPr="00E750DB">
        <w:t xml:space="preserve">in the </w:t>
      </w:r>
      <w:r w:rsidR="009C75AD" w:rsidRPr="00E750DB">
        <w:t xml:space="preserve">average number of days </w:t>
      </w:r>
      <w:r w:rsidRPr="00E750DB">
        <w:t>o</w:t>
      </w:r>
      <w:r w:rsidR="003448CA" w:rsidRPr="00E750DB">
        <w:t>f</w:t>
      </w:r>
      <w:r w:rsidRPr="00E750DB">
        <w:t xml:space="preserve"> hemin usage</w:t>
      </w:r>
      <w:r w:rsidRPr="00E750DB">
        <w:rPr>
          <w:snapToGrid/>
        </w:rPr>
        <w:t xml:space="preserve"> </w:t>
      </w:r>
      <w:r w:rsidR="009C75AD" w:rsidRPr="00E750DB">
        <w:rPr>
          <w:snapToGrid/>
        </w:rPr>
        <w:t>per year</w:t>
      </w:r>
      <w:r w:rsidR="00E34E05" w:rsidRPr="00E750DB">
        <w:rPr>
          <w:snapToGrid/>
        </w:rPr>
        <w:t xml:space="preserve">; for </w:t>
      </w:r>
      <w:r w:rsidR="00D13798" w:rsidRPr="00E750DB">
        <w:rPr>
          <w:snapToGrid/>
        </w:rPr>
        <w:t>example,</w:t>
      </w:r>
      <w:r w:rsidR="00E34E05" w:rsidRPr="00E750DB">
        <w:rPr>
          <w:snapToGrid/>
        </w:rPr>
        <w:t xml:space="preserve"> an average of 10 days per year reduced to an average of 2.3 days per year</w:t>
      </w:r>
      <w:r w:rsidR="009C75AD" w:rsidRPr="00E750DB">
        <w:rPr>
          <w:snapToGrid/>
        </w:rPr>
        <w:t xml:space="preserve"> </w:t>
      </w:r>
      <w:r w:rsidRPr="00E750DB">
        <w:rPr>
          <w:snapToGrid/>
        </w:rPr>
        <w:t>(</w:t>
      </w:r>
      <w:r w:rsidRPr="00E750DB">
        <w:rPr>
          <w:snapToGrid/>
        </w:rPr>
        <w:fldChar w:fldCharType="begin" w:fldLock="1"/>
      </w:r>
      <w:r w:rsidRPr="00E750DB">
        <w:rPr>
          <w:snapToGrid/>
        </w:rPr>
        <w:instrText xml:space="preserve"> REF _Ref198089609 \h </w:instrText>
      </w:r>
      <w:r w:rsidRPr="00E750DB">
        <w:rPr>
          <w:snapToGrid/>
        </w:rPr>
      </w:r>
      <w:r w:rsidRPr="00E750DB">
        <w:rPr>
          <w:snapToGrid/>
        </w:rPr>
        <w:fldChar w:fldCharType="separate"/>
      </w:r>
      <w:r w:rsidR="00E750DB" w:rsidRPr="00E750DB">
        <w:t>Table 5</w:t>
      </w:r>
      <w:r w:rsidRPr="00E750DB">
        <w:rPr>
          <w:snapToGrid/>
        </w:rPr>
        <w:fldChar w:fldCharType="end"/>
      </w:r>
      <w:r w:rsidRPr="00E750DB">
        <w:rPr>
          <w:snapToGrid/>
        </w:rPr>
        <w:t>).</w:t>
      </w:r>
    </w:p>
    <w:p w14:paraId="59527E96" w14:textId="4CCF3408" w:rsidR="009C6937" w:rsidRPr="00E750DB" w:rsidRDefault="009C6937" w:rsidP="00E072B9">
      <w:pPr>
        <w:pStyle w:val="3-BodyText"/>
      </w:pPr>
      <w:proofErr w:type="gramStart"/>
      <w:r w:rsidRPr="00E750DB">
        <w:t>On the basis of</w:t>
      </w:r>
      <w:proofErr w:type="gramEnd"/>
      <w:r w:rsidRPr="00E750DB">
        <w:t xml:space="preserve"> direct evidence presented by the submission, for every 100 patients treated with givosiran in comparison with BSC for 6 months</w:t>
      </w:r>
    </w:p>
    <w:p w14:paraId="0C37669C" w14:textId="429AA698" w:rsidR="009C6937" w:rsidRPr="00E750DB" w:rsidRDefault="009C6937" w:rsidP="00E072B9">
      <w:pPr>
        <w:pStyle w:val="ListParagraph"/>
        <w:ind w:left="1134"/>
        <w:jc w:val="both"/>
        <w:rPr>
          <w:snapToGrid/>
        </w:rPr>
      </w:pPr>
      <w:r w:rsidRPr="00E750DB">
        <w:rPr>
          <w:snapToGrid/>
        </w:rPr>
        <w:t>Approximately 25 additional patients would experience injection site reactions; an additional 16 patients would experience nausea and an additional 10 patients would experience chronic kidney disease (</w:t>
      </w:r>
      <w:r w:rsidRPr="00E750DB">
        <w:rPr>
          <w:snapToGrid/>
        </w:rPr>
        <w:fldChar w:fldCharType="begin" w:fldLock="1"/>
      </w:r>
      <w:r w:rsidRPr="00E750DB">
        <w:rPr>
          <w:snapToGrid/>
        </w:rPr>
        <w:instrText xml:space="preserve"> REF _Ref198092593 \h </w:instrText>
      </w:r>
      <w:r w:rsidRPr="00E750DB">
        <w:rPr>
          <w:snapToGrid/>
        </w:rPr>
      </w:r>
      <w:r w:rsidRPr="00E750DB">
        <w:rPr>
          <w:snapToGrid/>
        </w:rPr>
        <w:fldChar w:fldCharType="separate"/>
      </w:r>
      <w:r w:rsidR="00E750DB" w:rsidRPr="00E750DB">
        <w:t>Table 7</w:t>
      </w:r>
      <w:r w:rsidRPr="00E750DB">
        <w:rPr>
          <w:snapToGrid/>
        </w:rPr>
        <w:fldChar w:fldCharType="end"/>
      </w:r>
      <w:r w:rsidRPr="00E750DB">
        <w:rPr>
          <w:snapToGrid/>
        </w:rPr>
        <w:t>)</w:t>
      </w:r>
      <w:r w:rsidR="00AE6703" w:rsidRPr="00E750DB">
        <w:rPr>
          <w:snapToGrid/>
        </w:rPr>
        <w:t>.</w:t>
      </w:r>
    </w:p>
    <w:p w14:paraId="7A1772B6" w14:textId="23BB3145" w:rsidR="00B60939" w:rsidRPr="00E750DB" w:rsidRDefault="00B60939" w:rsidP="00E072B9">
      <w:pPr>
        <w:pStyle w:val="4-SubsectionHeading"/>
      </w:pPr>
      <w:bookmarkStart w:id="39" w:name="_Toc22897644"/>
      <w:bookmarkStart w:id="40" w:name="_Toc198715361"/>
      <w:r w:rsidRPr="00E750DB">
        <w:t>Clinical claim</w:t>
      </w:r>
      <w:bookmarkEnd w:id="39"/>
      <w:bookmarkEnd w:id="40"/>
    </w:p>
    <w:p w14:paraId="601F8E6C" w14:textId="5F37C3FE" w:rsidR="009C6937" w:rsidRPr="00E750DB" w:rsidRDefault="009C6937" w:rsidP="00E072B9">
      <w:pPr>
        <w:pStyle w:val="3-BodyText"/>
      </w:pPr>
      <w:r w:rsidRPr="00E750DB">
        <w:t>The submission described givosiran as superior in terms of effectiveness compared with BSC and non</w:t>
      </w:r>
      <w:r w:rsidR="00E072B9">
        <w:noBreakHyphen/>
      </w:r>
      <w:r w:rsidRPr="00E750DB">
        <w:t xml:space="preserve">inferior in terms of safety compared to BSC. </w:t>
      </w:r>
    </w:p>
    <w:p w14:paraId="3EB61C69" w14:textId="79C2BC66" w:rsidR="009C6937" w:rsidRPr="00E750DB" w:rsidRDefault="009C6937" w:rsidP="00E072B9">
      <w:pPr>
        <w:pStyle w:val="3-BodyText"/>
        <w:ind w:left="709"/>
      </w:pPr>
      <w:r w:rsidRPr="00915DBD">
        <w:t xml:space="preserve">The </w:t>
      </w:r>
      <w:r w:rsidR="000C7403" w:rsidRPr="00915DBD">
        <w:t>Sub</w:t>
      </w:r>
      <w:r w:rsidR="00E072B9">
        <w:noBreakHyphen/>
      </w:r>
      <w:r w:rsidR="003D542D" w:rsidRPr="00915DBD">
        <w:t>C</w:t>
      </w:r>
      <w:r w:rsidR="000C7403" w:rsidRPr="00915DBD">
        <w:t xml:space="preserve">ommittees agreed with the </w:t>
      </w:r>
      <w:r w:rsidR="00D9559F" w:rsidRPr="00915DBD">
        <w:t xml:space="preserve">Commentary </w:t>
      </w:r>
      <w:r w:rsidR="000C7403" w:rsidRPr="00915DBD">
        <w:t>that</w:t>
      </w:r>
      <w:r w:rsidR="00D9559F" w:rsidRPr="00915DBD">
        <w:t xml:space="preserve"> </w:t>
      </w:r>
      <w:r w:rsidR="00D9559F" w:rsidRPr="00E750DB">
        <w:t xml:space="preserve">the </w:t>
      </w:r>
      <w:r w:rsidRPr="00E750DB">
        <w:t>therapeutic conclusion regarding effectiveness is adequately supported by the evidence presented in the submission.</w:t>
      </w:r>
      <w:r w:rsidR="0070536A" w:rsidRPr="00E750DB">
        <w:t xml:space="preserve"> </w:t>
      </w:r>
      <w:r w:rsidRPr="00E750DB">
        <w:t xml:space="preserve">However, there is some uncertainty regarding the generalisability and/or magnitude of the benefit as observed in the trials compared with the Australian population </w:t>
      </w:r>
      <w:r w:rsidR="000C5DEF" w:rsidRPr="00E750DB">
        <w:t>because</w:t>
      </w:r>
      <w:r w:rsidRPr="00E750DB">
        <w:t>:</w:t>
      </w:r>
    </w:p>
    <w:p w14:paraId="454F5E3F" w14:textId="46A33C3A" w:rsidR="009C6937" w:rsidRPr="00E750DB" w:rsidRDefault="009C6937" w:rsidP="000869D3">
      <w:pPr>
        <w:pStyle w:val="ListParagraph"/>
        <w:numPr>
          <w:ilvl w:val="0"/>
          <w:numId w:val="13"/>
        </w:numPr>
        <w:ind w:left="1134" w:hanging="425"/>
        <w:jc w:val="both"/>
      </w:pPr>
      <w:r w:rsidRPr="00E750DB">
        <w:t>The</w:t>
      </w:r>
      <w:r w:rsidR="000C5DEF" w:rsidRPr="00E750DB">
        <w:t>re</w:t>
      </w:r>
      <w:r w:rsidRPr="00E750DB">
        <w:t xml:space="preserve"> is limited representation of other AHP subtypes</w:t>
      </w:r>
      <w:r w:rsidR="00F0506B" w:rsidRPr="00E750DB">
        <w:t xml:space="preserve"> apart from AIP</w:t>
      </w:r>
      <w:r w:rsidRPr="00E750DB">
        <w:t>. While the submission claimed that ‘all AHP subtypes have ALAS1 induction central to their pathophysiology and respond similarly to acute attack treatments’, no evidence was provided to support this claim.</w:t>
      </w:r>
      <w:r w:rsidR="005F3459" w:rsidRPr="00E750DB">
        <w:t xml:space="preserve"> </w:t>
      </w:r>
      <w:r w:rsidR="005F3459" w:rsidRPr="00915DBD">
        <w:rPr>
          <w:iCs/>
        </w:rPr>
        <w:t>The Sub</w:t>
      </w:r>
      <w:r w:rsidR="00E072B9">
        <w:rPr>
          <w:iCs/>
        </w:rPr>
        <w:noBreakHyphen/>
      </w:r>
      <w:r w:rsidR="005F3459" w:rsidRPr="00915DBD">
        <w:rPr>
          <w:iCs/>
        </w:rPr>
        <w:t xml:space="preserve">Committees considered that it is likely that </w:t>
      </w:r>
      <w:r w:rsidR="0032197E" w:rsidRPr="00915DBD">
        <w:rPr>
          <w:iCs/>
        </w:rPr>
        <w:t>the cl</w:t>
      </w:r>
      <w:r w:rsidR="00E86BA3" w:rsidRPr="00915DBD">
        <w:rPr>
          <w:iCs/>
        </w:rPr>
        <w:t>i</w:t>
      </w:r>
      <w:r w:rsidR="0032197E" w:rsidRPr="00915DBD">
        <w:rPr>
          <w:iCs/>
        </w:rPr>
        <w:t>nical claim of superior effectiveness</w:t>
      </w:r>
      <w:r w:rsidR="005F3459" w:rsidRPr="00915DBD">
        <w:rPr>
          <w:iCs/>
        </w:rPr>
        <w:t xml:space="preserve"> </w:t>
      </w:r>
      <w:r w:rsidR="00E86BA3" w:rsidRPr="00915DBD">
        <w:rPr>
          <w:iCs/>
        </w:rPr>
        <w:t>is reasonable for</w:t>
      </w:r>
      <w:r w:rsidR="005F3459" w:rsidRPr="00915DBD">
        <w:rPr>
          <w:iCs/>
        </w:rPr>
        <w:t xml:space="preserve"> all subtypes of AHP based on biological similarities and the mechanism of action of givosiran.</w:t>
      </w:r>
    </w:p>
    <w:p w14:paraId="10DF6FFB" w14:textId="63CF44FA" w:rsidR="009C6937" w:rsidRPr="00E750DB" w:rsidRDefault="009C6937" w:rsidP="000869D3">
      <w:pPr>
        <w:pStyle w:val="ListParagraph"/>
        <w:numPr>
          <w:ilvl w:val="0"/>
          <w:numId w:val="13"/>
        </w:numPr>
        <w:ind w:left="1134" w:hanging="425"/>
        <w:jc w:val="both"/>
      </w:pPr>
      <w:r w:rsidRPr="00E750DB">
        <w:t xml:space="preserve">Patients in both trials were diagnosed </w:t>
      </w:r>
      <w:proofErr w:type="gramStart"/>
      <w:r w:rsidRPr="00E750DB">
        <w:t>on the basis of</w:t>
      </w:r>
      <w:proofErr w:type="gramEnd"/>
      <w:r w:rsidRPr="00E750DB">
        <w:t xml:space="preserve"> a test confirming a mutation in a gene relevant to AHP subtype. The requested PBS restriction does not require diagnosis by genetic testing, only on clinical features and biochemical markers. Although patients whose genetic testing did not identify a mutation in a porphyria</w:t>
      </w:r>
      <w:r w:rsidR="00E072B9">
        <w:noBreakHyphen/>
      </w:r>
      <w:r w:rsidRPr="00E750DB">
        <w:t>related gene may have been enrolled if they had both clinical features and diagnostic biochemical criteria consistent with AHP (as suggested for the PBS population), only two patients with AHP without an identified mutation were randomised in ENVISION.</w:t>
      </w:r>
    </w:p>
    <w:p w14:paraId="66D7A289" w14:textId="6BB4F69D" w:rsidR="009C6937" w:rsidRPr="00E750DB" w:rsidRDefault="009C6937" w:rsidP="000869D3">
      <w:pPr>
        <w:pStyle w:val="ListParagraph"/>
        <w:numPr>
          <w:ilvl w:val="0"/>
          <w:numId w:val="13"/>
        </w:numPr>
        <w:ind w:left="1134" w:hanging="425"/>
        <w:jc w:val="both"/>
      </w:pPr>
      <w:r w:rsidRPr="00E750DB">
        <w:t xml:space="preserve">Although patients aged </w:t>
      </w:r>
      <w:r w:rsidRPr="00E750DB">
        <w:rPr>
          <w:rFonts w:cstheme="minorHAnsi"/>
        </w:rPr>
        <w:t>≥</w:t>
      </w:r>
      <w:r w:rsidR="002E1FD5">
        <w:rPr>
          <w:rFonts w:cstheme="minorHAnsi"/>
        </w:rPr>
        <w:t xml:space="preserve"> </w:t>
      </w:r>
      <w:r w:rsidRPr="00E750DB">
        <w:t xml:space="preserve">12 years are included in the requested PBS restriction, no patients aged </w:t>
      </w:r>
      <w:r w:rsidRPr="00E750DB">
        <w:rPr>
          <w:rFonts w:cstheme="minorHAnsi"/>
        </w:rPr>
        <w:t>≥</w:t>
      </w:r>
      <w:r w:rsidR="002E1FD5">
        <w:rPr>
          <w:rFonts w:cstheme="minorHAnsi"/>
        </w:rPr>
        <w:t xml:space="preserve"> </w:t>
      </w:r>
      <w:r w:rsidRPr="00E750DB">
        <w:t>12 to &lt;</w:t>
      </w:r>
      <w:r w:rsidR="002E1FD5">
        <w:t xml:space="preserve"> </w:t>
      </w:r>
      <w:r w:rsidRPr="00E750DB">
        <w:t>18 years were enrolled in the trials, thus the safety and effectiveness of givosiran in this patient subset is not known.</w:t>
      </w:r>
    </w:p>
    <w:p w14:paraId="79833E01" w14:textId="772A785B" w:rsidR="009C6937" w:rsidRPr="00E750DB" w:rsidRDefault="000D6802" w:rsidP="000869D3">
      <w:pPr>
        <w:pStyle w:val="ListParagraph"/>
        <w:numPr>
          <w:ilvl w:val="0"/>
          <w:numId w:val="13"/>
        </w:numPr>
        <w:ind w:left="1134" w:hanging="425"/>
        <w:jc w:val="both"/>
      </w:pPr>
      <w:r w:rsidRPr="00E750DB">
        <w:t>T</w:t>
      </w:r>
      <w:r w:rsidR="009C6937" w:rsidRPr="00E750DB">
        <w:t>he definition of an ‘acute attack’ had implications on the estimated incremental treatment effect of givosiran versus BSC, with rate ratios (95% CI) ranging from (95% CI</w:t>
      </w:r>
      <w:r w:rsidR="009C6937" w:rsidRPr="00331E08">
        <w:t>) of 0.25 (0.16, 0.40) to 0.43 (0.29, 0.65).</w:t>
      </w:r>
    </w:p>
    <w:p w14:paraId="3AEE9D35" w14:textId="34F8F4D4" w:rsidR="009C6937" w:rsidRPr="00F30383" w:rsidRDefault="009C6937" w:rsidP="00E072B9">
      <w:pPr>
        <w:pStyle w:val="3-BodyText"/>
      </w:pPr>
      <w:r w:rsidRPr="00915DBD">
        <w:rPr>
          <w:iCs/>
        </w:rPr>
        <w:t xml:space="preserve">The </w:t>
      </w:r>
      <w:r w:rsidR="00E63A28" w:rsidRPr="00915DBD">
        <w:rPr>
          <w:iCs/>
        </w:rPr>
        <w:t>Sub</w:t>
      </w:r>
      <w:r w:rsidR="00E072B9">
        <w:rPr>
          <w:iCs/>
        </w:rPr>
        <w:noBreakHyphen/>
      </w:r>
      <w:r w:rsidR="0090576C" w:rsidRPr="00915DBD">
        <w:rPr>
          <w:iCs/>
        </w:rPr>
        <w:t>C</w:t>
      </w:r>
      <w:r w:rsidR="00E63A28" w:rsidRPr="00915DBD">
        <w:rPr>
          <w:iCs/>
        </w:rPr>
        <w:t xml:space="preserve">ommittees agreed with the </w:t>
      </w:r>
      <w:r w:rsidR="004E7C2D" w:rsidRPr="00915DBD">
        <w:rPr>
          <w:iCs/>
        </w:rPr>
        <w:t xml:space="preserve">Commentary </w:t>
      </w:r>
      <w:r w:rsidR="00E63A28" w:rsidRPr="00915DBD">
        <w:rPr>
          <w:iCs/>
        </w:rPr>
        <w:t>that</w:t>
      </w:r>
      <w:r w:rsidR="004E7C2D" w:rsidRPr="00E750DB">
        <w:t xml:space="preserve"> the </w:t>
      </w:r>
      <w:r w:rsidRPr="00E750DB">
        <w:t xml:space="preserve">conclusion </w:t>
      </w:r>
      <w:r w:rsidR="00C0715F" w:rsidRPr="00E750DB">
        <w:t xml:space="preserve">of </w:t>
      </w:r>
      <w:r w:rsidR="006271AB" w:rsidRPr="00E750DB">
        <w:t>non</w:t>
      </w:r>
      <w:r w:rsidR="00E072B9">
        <w:noBreakHyphen/>
      </w:r>
      <w:r w:rsidR="006271AB" w:rsidRPr="00E750DB">
        <w:t xml:space="preserve">inferior </w:t>
      </w:r>
      <w:r w:rsidRPr="00E750DB">
        <w:t xml:space="preserve">safety </w:t>
      </w:r>
      <w:r w:rsidR="00E63A28" w:rsidRPr="00E750DB">
        <w:t>wa</w:t>
      </w:r>
      <w:r w:rsidRPr="00E750DB">
        <w:t>s not adequately supported by the evidence presented in the submission. Patients randomised to givosiran in the ENVISION trial reported statistically significantly increased incidences of injection</w:t>
      </w:r>
      <w:r w:rsidR="00E072B9">
        <w:noBreakHyphen/>
      </w:r>
      <w:r w:rsidRPr="00E750DB">
        <w:t>site reactions, nausea and chronic kidney disease. The renal and hepatic signals observed with givosiran need to be carefully considered, as they raise potential long</w:t>
      </w:r>
      <w:r w:rsidR="00E072B9">
        <w:noBreakHyphen/>
      </w:r>
      <w:r w:rsidRPr="00E750DB">
        <w:t>term safety concerns</w:t>
      </w:r>
      <w:r w:rsidR="00223FAC" w:rsidRPr="00E750DB">
        <w:t xml:space="preserve"> </w:t>
      </w:r>
      <w:r w:rsidR="00223FAC" w:rsidRPr="00915DBD">
        <w:rPr>
          <w:iCs/>
        </w:rPr>
        <w:t xml:space="preserve">and patients should be monitored </w:t>
      </w:r>
      <w:r w:rsidR="009D6473" w:rsidRPr="00915DBD">
        <w:rPr>
          <w:iCs/>
        </w:rPr>
        <w:t>for LFTs and GFR during treatment</w:t>
      </w:r>
      <w:r w:rsidRPr="00E750DB">
        <w:t>. Given that the duration of ENVISION was only six months, it does not provide sufficient insight into long</w:t>
      </w:r>
      <w:r w:rsidR="00E072B9">
        <w:noBreakHyphen/>
      </w:r>
      <w:r w:rsidRPr="00E750DB">
        <w:t>term risks—particularly in populations with pre</w:t>
      </w:r>
      <w:r w:rsidR="00E072B9">
        <w:noBreakHyphen/>
      </w:r>
      <w:r w:rsidRPr="00E750DB">
        <w:t>existing renal or hepatic conditions.</w:t>
      </w:r>
      <w:r w:rsidR="00B455C1" w:rsidRPr="00E750DB">
        <w:t xml:space="preserve"> </w:t>
      </w:r>
      <w:r w:rsidR="00B455C1" w:rsidRPr="00915DBD">
        <w:rPr>
          <w:iCs/>
        </w:rPr>
        <w:t>The Sub</w:t>
      </w:r>
      <w:r w:rsidR="00E072B9">
        <w:rPr>
          <w:iCs/>
        </w:rPr>
        <w:noBreakHyphen/>
      </w:r>
      <w:r w:rsidR="00B455C1" w:rsidRPr="00915DBD">
        <w:rPr>
          <w:iCs/>
        </w:rPr>
        <w:t xml:space="preserve">Committees considered a claim of inferior safety </w:t>
      </w:r>
      <w:r w:rsidR="0087016C" w:rsidRPr="00915DBD">
        <w:rPr>
          <w:iCs/>
        </w:rPr>
        <w:t xml:space="preserve">would be appropriate. </w:t>
      </w:r>
    </w:p>
    <w:p w14:paraId="146FB36F" w14:textId="5D8786CF" w:rsidR="00EC6844" w:rsidRPr="00CE42B4" w:rsidRDefault="00EC6844" w:rsidP="00E072B9">
      <w:pPr>
        <w:pStyle w:val="3-BodyText"/>
        <w:rPr>
          <w:snapToGrid w:val="0"/>
        </w:rPr>
      </w:pPr>
      <w:bookmarkStart w:id="41" w:name="_Hlk76376200"/>
      <w:bookmarkStart w:id="42" w:name="_Toc198715362"/>
      <w:bookmarkStart w:id="43" w:name="_Toc22897645"/>
      <w:r w:rsidRPr="00CE42B4">
        <w:rPr>
          <w:iCs/>
          <w:snapToGrid w:val="0"/>
        </w:rPr>
        <w:t>The</w:t>
      </w:r>
      <w:r w:rsidRPr="00CE42B4">
        <w:rPr>
          <w:snapToGrid w:val="0"/>
        </w:rPr>
        <w:t xml:space="preserve"> PBAC considered that the claim of superior comparative effectiveness was reasonable</w:t>
      </w:r>
      <w:r>
        <w:rPr>
          <w:snapToGrid w:val="0"/>
        </w:rPr>
        <w:t xml:space="preserve"> and that the </w:t>
      </w:r>
      <w:r w:rsidR="00095883">
        <w:rPr>
          <w:snapToGrid w:val="0"/>
        </w:rPr>
        <w:t>trial population a</w:t>
      </w:r>
      <w:r w:rsidR="004F65CD">
        <w:rPr>
          <w:snapToGrid w:val="0"/>
        </w:rPr>
        <w:t xml:space="preserve">nd </w:t>
      </w:r>
      <w:r w:rsidR="004D65D6">
        <w:rPr>
          <w:snapToGrid w:val="0"/>
        </w:rPr>
        <w:t xml:space="preserve">supportive treatments received </w:t>
      </w:r>
      <w:r w:rsidR="004D65D6">
        <w:t>were likely to be representative of AHP patients in Australian clinical practice.</w:t>
      </w:r>
    </w:p>
    <w:p w14:paraId="1C4371EF" w14:textId="07170F65" w:rsidR="00EC6844" w:rsidRPr="00CE42B4" w:rsidRDefault="00EC6844" w:rsidP="00E072B9">
      <w:pPr>
        <w:pStyle w:val="3-BodyText"/>
        <w:rPr>
          <w:snapToGrid w:val="0"/>
        </w:rPr>
      </w:pPr>
      <w:r w:rsidRPr="00CE42B4">
        <w:rPr>
          <w:snapToGrid w:val="0"/>
        </w:rPr>
        <w:t>The PBAC considered that the claim of non</w:t>
      </w:r>
      <w:r w:rsidR="00E072B9">
        <w:rPr>
          <w:snapToGrid w:val="0"/>
        </w:rPr>
        <w:noBreakHyphen/>
      </w:r>
      <w:r w:rsidRPr="00CE42B4">
        <w:rPr>
          <w:snapToGrid w:val="0"/>
        </w:rPr>
        <w:t>inferior comparative safety was not adequately supported by the data.</w:t>
      </w:r>
    </w:p>
    <w:bookmarkEnd w:id="41"/>
    <w:p w14:paraId="4839C20A" w14:textId="77777777" w:rsidR="00A77034" w:rsidRPr="00E750DB" w:rsidRDefault="00A77034" w:rsidP="00E072B9">
      <w:pPr>
        <w:pStyle w:val="4-SubsectionHeading"/>
      </w:pPr>
      <w:r w:rsidRPr="00E750DB">
        <w:t>Economic analysis</w:t>
      </w:r>
      <w:bookmarkEnd w:id="42"/>
      <w:r w:rsidRPr="00E750DB">
        <w:t xml:space="preserve"> </w:t>
      </w:r>
    </w:p>
    <w:p w14:paraId="2849B8B1" w14:textId="5FEAD3BA" w:rsidR="00A77034" w:rsidRPr="00E750DB" w:rsidRDefault="00A77034" w:rsidP="00E072B9">
      <w:pPr>
        <w:pStyle w:val="3-BodyText"/>
      </w:pPr>
      <w:r w:rsidRPr="00E750DB">
        <w:t>The submission presented a modelled economic evaluation based on the clinical data from the ENVISION trial, supported by extrapolation from the ENVISION OLE study, literature</w:t>
      </w:r>
      <w:r w:rsidR="00BA3E38" w:rsidRPr="00E750DB">
        <w:t>,</w:t>
      </w:r>
      <w:r w:rsidRPr="00E750DB">
        <w:t xml:space="preserve"> and inputs from Australian clinical experts. The type of economic evaluation presented was a cost</w:t>
      </w:r>
      <w:r w:rsidR="00E072B9">
        <w:noBreakHyphen/>
      </w:r>
      <w:r w:rsidRPr="00E750DB">
        <w:t xml:space="preserve">utility analysis (CUA), comparing givosiran to BSC. A CUA was consistent with the submission’s clinical claim that givosiran was superior in efficacy compared to BSC. The key components of the economic model are presented in </w:t>
      </w:r>
      <w:r w:rsidR="00E10989" w:rsidRPr="00E750DB">
        <w:fldChar w:fldCharType="begin" w:fldLock="1"/>
      </w:r>
      <w:r w:rsidR="00E10989" w:rsidRPr="00E750DB">
        <w:instrText xml:space="preserve"> REF _Ref197962562 \h </w:instrText>
      </w:r>
      <w:r w:rsidR="0029679A" w:rsidRPr="00E750DB">
        <w:instrText xml:space="preserve"> \* MERGEFORMAT </w:instrText>
      </w:r>
      <w:r w:rsidR="00E10989" w:rsidRPr="00E750DB">
        <w:fldChar w:fldCharType="separate"/>
      </w:r>
      <w:r w:rsidR="00E750DB" w:rsidRPr="00E750DB">
        <w:t>Table 8</w:t>
      </w:r>
      <w:r w:rsidR="00E10989" w:rsidRPr="00E750DB">
        <w:fldChar w:fldCharType="end"/>
      </w:r>
      <w:r w:rsidR="00E10989" w:rsidRPr="00E750DB">
        <w:t>.</w:t>
      </w:r>
    </w:p>
    <w:p w14:paraId="0919F64F" w14:textId="2B0250DF" w:rsidR="00AE6703" w:rsidRPr="00E750DB" w:rsidRDefault="00AE6703" w:rsidP="00E072B9">
      <w:pPr>
        <w:pStyle w:val="3-BodyText"/>
        <w:spacing w:before="0" w:after="120"/>
      </w:pPr>
      <w:r w:rsidRPr="00E750DB">
        <w:t>The submission noted that NICE (HST16, published 24 November 2021) had previously considered givosiran for the treatment in AHP. Additionally, during the evaluation, a consideration by CADTH (project number SR0679</w:t>
      </w:r>
      <w:r w:rsidR="00E072B9">
        <w:noBreakHyphen/>
      </w:r>
      <w:r w:rsidRPr="00E750DB">
        <w:t>000)</w:t>
      </w:r>
      <w:r w:rsidRPr="00E750DB">
        <w:rPr>
          <w:vertAlign w:val="superscript"/>
        </w:rPr>
        <w:fldChar w:fldCharType="begin" w:fldLock="1"/>
      </w:r>
      <w:r w:rsidRPr="00E750DB">
        <w:rPr>
          <w:vertAlign w:val="superscript"/>
        </w:rPr>
        <w:instrText xml:space="preserve"> NOTEREF _Ref197962782 \h  \* MERGEFORMAT </w:instrText>
      </w:r>
      <w:r w:rsidRPr="00E750DB">
        <w:rPr>
          <w:vertAlign w:val="superscript"/>
        </w:rPr>
      </w:r>
      <w:r w:rsidRPr="00E750DB">
        <w:rPr>
          <w:vertAlign w:val="superscript"/>
        </w:rPr>
        <w:fldChar w:fldCharType="separate"/>
      </w:r>
      <w:r w:rsidR="00E750DB" w:rsidRPr="00E750DB">
        <w:rPr>
          <w:vertAlign w:val="superscript"/>
        </w:rPr>
        <w:t>2</w:t>
      </w:r>
      <w:r w:rsidRPr="00E750DB">
        <w:rPr>
          <w:vertAlign w:val="superscript"/>
        </w:rPr>
        <w:fldChar w:fldCharType="end"/>
      </w:r>
      <w:r w:rsidRPr="00E750DB">
        <w:t xml:space="preserve"> was identified. </w:t>
      </w:r>
    </w:p>
    <w:p w14:paraId="3EC6F7B3" w14:textId="58CF3C1F" w:rsidR="00AE6703" w:rsidRPr="00E750DB" w:rsidRDefault="00AE6703" w:rsidP="00E072B9">
      <w:pPr>
        <w:pStyle w:val="3-BodyText"/>
      </w:pPr>
      <w:r w:rsidRPr="00E750DB">
        <w:t>The submission adopted a lifetime time horizon of 61 years (122 six</w:t>
      </w:r>
      <w:r w:rsidR="00E072B9">
        <w:noBreakHyphen/>
      </w:r>
      <w:r w:rsidRPr="00E750DB">
        <w:t>month cycles), as AHP is a chronic and incurable hereditary condition requiring long</w:t>
      </w:r>
      <w:r w:rsidR="00E072B9">
        <w:noBreakHyphen/>
      </w:r>
      <w:r w:rsidRPr="00E750DB">
        <w:t>term specialist management. While this may be reasonable given the nature of the condition, the model was informed by the ENVISION trial (6</w:t>
      </w:r>
      <w:r w:rsidR="00E072B9">
        <w:noBreakHyphen/>
      </w:r>
      <w:r w:rsidRPr="00E750DB">
        <w:t>month duration) and its 36</w:t>
      </w:r>
      <w:r w:rsidR="00E072B9">
        <w:noBreakHyphen/>
      </w:r>
      <w:r w:rsidRPr="00E750DB">
        <w:t>month OLE only. Extrapolating outcomes over such a</w:t>
      </w:r>
      <w:r w:rsidR="00E84109" w:rsidRPr="00E750DB">
        <w:t>n</w:t>
      </w:r>
      <w:r w:rsidRPr="00E750DB">
        <w:t xml:space="preserve"> extended period from relatively limited trial data introduce</w:t>
      </w:r>
      <w:r w:rsidR="005A1603" w:rsidRPr="00E750DB">
        <w:t>s</w:t>
      </w:r>
      <w:r w:rsidRPr="00E750DB">
        <w:t xml:space="preserve"> significant uncertainty. Comparative data w</w:t>
      </w:r>
      <w:r w:rsidR="005A1603" w:rsidRPr="00E750DB">
        <w:t>ere</w:t>
      </w:r>
      <w:r w:rsidRPr="00E750DB">
        <w:t xml:space="preserve"> only available to inform transitions in cycle 1 of 122 in the model. Reducing the time horizon to 30 years increased the ICER by </w:t>
      </w:r>
      <w:r w:rsidR="00B35ACC" w:rsidRPr="00A550BD">
        <w:rPr>
          <w:color w:val="000000"/>
          <w:spacing w:val="6"/>
          <w:w w:val="61"/>
          <w:shd w:val="solid" w:color="000000" w:fill="000000"/>
          <w:fitText w:val="475" w:id="-625250044"/>
          <w14:textFill>
            <w14:solidFill>
              <w14:srgbClr w14:val="000000">
                <w14:alpha w14:val="100000"/>
              </w14:srgbClr>
            </w14:solidFill>
          </w14:textFill>
        </w:rPr>
        <w:t>|||</w:t>
      </w:r>
      <w:r w:rsidR="00A550BD" w:rsidRPr="00A550BD">
        <w:rPr>
          <w:color w:val="000000"/>
          <w:spacing w:val="6"/>
          <w:w w:val="61"/>
          <w:shd w:val="solid" w:color="000000" w:fill="000000"/>
          <w:fitText w:val="475" w:id="-625250044"/>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4"/>
          <w14:textFill>
            <w14:solidFill>
              <w14:srgbClr w14:val="000000">
                <w14:alpha w14:val="100000"/>
              </w14:srgbClr>
            </w14:solidFill>
          </w14:textFill>
        </w:rPr>
        <w:t>||</w:t>
      </w:r>
      <w:r w:rsidR="00B35ACC" w:rsidRPr="00A550BD">
        <w:rPr>
          <w:color w:val="000000"/>
          <w:spacing w:val="3"/>
          <w:w w:val="61"/>
          <w:shd w:val="solid" w:color="000000" w:fill="000000"/>
          <w:fitText w:val="475" w:id="-625250044"/>
          <w14:textFill>
            <w14:solidFill>
              <w14:srgbClr w14:val="000000">
                <w14:alpha w14:val="100000"/>
              </w14:srgbClr>
            </w14:solidFill>
          </w14:textFill>
        </w:rPr>
        <w:t>|</w:t>
      </w:r>
      <w:r w:rsidRPr="00E750DB">
        <w:t xml:space="preserve">%. </w:t>
      </w:r>
      <w:r w:rsidR="002911A6" w:rsidRPr="00915DBD">
        <w:t xml:space="preserve">The </w:t>
      </w:r>
      <w:r w:rsidR="00626425">
        <w:t>Pre</w:t>
      </w:r>
      <w:r w:rsidR="00697F7F">
        <w:t>-</w:t>
      </w:r>
      <w:r w:rsidR="00626425">
        <w:t>Sub-Committee Response (</w:t>
      </w:r>
      <w:r w:rsidR="002911A6" w:rsidRPr="00915DBD">
        <w:t>PSCR</w:t>
      </w:r>
      <w:r w:rsidR="00626425">
        <w:t>)</w:t>
      </w:r>
      <w:r w:rsidR="002911A6" w:rsidRPr="00915DBD">
        <w:t xml:space="preserve"> argued that</w:t>
      </w:r>
      <w:r w:rsidR="00E51176" w:rsidRPr="00915DBD">
        <w:t xml:space="preserve"> </w:t>
      </w:r>
      <w:r w:rsidR="00C91F1F" w:rsidRPr="00915DBD">
        <w:t xml:space="preserve">AHP is a chronic disease and attacks may occur throughout a patient’s lifetime, and therefore </w:t>
      </w:r>
      <w:r w:rsidR="00E51176" w:rsidRPr="00915DBD">
        <w:t xml:space="preserve">a lifetime time horizon is appropriate to </w:t>
      </w:r>
      <w:r w:rsidR="00252208" w:rsidRPr="00915DBD">
        <w:t>capture the clinical and HRQoL benefits</w:t>
      </w:r>
      <w:r w:rsidR="00FD7DEC" w:rsidRPr="00915DBD">
        <w:t xml:space="preserve">. </w:t>
      </w:r>
      <w:r w:rsidR="00FD7DEC" w:rsidRPr="00915DBD">
        <w:rPr>
          <w:iCs/>
        </w:rPr>
        <w:t xml:space="preserve">The </w:t>
      </w:r>
      <w:r w:rsidR="00370811" w:rsidRPr="00915DBD">
        <w:rPr>
          <w:iCs/>
        </w:rPr>
        <w:t>Sub</w:t>
      </w:r>
      <w:r w:rsidR="00E072B9">
        <w:rPr>
          <w:iCs/>
        </w:rPr>
        <w:noBreakHyphen/>
      </w:r>
      <w:r w:rsidR="00370811" w:rsidRPr="00915DBD">
        <w:rPr>
          <w:iCs/>
        </w:rPr>
        <w:t>Committees</w:t>
      </w:r>
      <w:r w:rsidR="00AB49AA" w:rsidRPr="00915DBD">
        <w:rPr>
          <w:iCs/>
        </w:rPr>
        <w:t xml:space="preserve"> </w:t>
      </w:r>
      <w:r w:rsidR="00E84109" w:rsidRPr="00915DBD">
        <w:rPr>
          <w:iCs/>
        </w:rPr>
        <w:t>considered</w:t>
      </w:r>
      <w:r w:rsidR="00C86E96" w:rsidRPr="00915DBD">
        <w:rPr>
          <w:iCs/>
        </w:rPr>
        <w:t xml:space="preserve"> </w:t>
      </w:r>
      <w:r w:rsidR="00AB49AA" w:rsidRPr="00915DBD">
        <w:rPr>
          <w:iCs/>
        </w:rPr>
        <w:t xml:space="preserve">that </w:t>
      </w:r>
      <w:r w:rsidR="00750386" w:rsidRPr="00915DBD">
        <w:rPr>
          <w:iCs/>
        </w:rPr>
        <w:t xml:space="preserve">a time horizon of </w:t>
      </w:r>
      <w:r w:rsidR="007E3CD4" w:rsidRPr="00915DBD">
        <w:rPr>
          <w:iCs/>
        </w:rPr>
        <w:t>40 years should be included in a respecified base case</w:t>
      </w:r>
      <w:r w:rsidR="008C0135" w:rsidRPr="00915DBD">
        <w:rPr>
          <w:iCs/>
        </w:rPr>
        <w:t xml:space="preserve"> given the short duration of the trial data and </w:t>
      </w:r>
      <w:r w:rsidR="000C6116" w:rsidRPr="00915DBD">
        <w:rPr>
          <w:iCs/>
        </w:rPr>
        <w:t>the expected diminishing of symptoms beyond menopause</w:t>
      </w:r>
      <w:r w:rsidR="007E3CD4" w:rsidRPr="00915DBD">
        <w:rPr>
          <w:iCs/>
        </w:rPr>
        <w:t>.</w:t>
      </w:r>
    </w:p>
    <w:p w14:paraId="4198419D" w14:textId="7294EDF1" w:rsidR="00AE6703" w:rsidRPr="00E750DB" w:rsidRDefault="00AE6703" w:rsidP="00E072B9">
      <w:pPr>
        <w:pStyle w:val="3-BodyText"/>
      </w:pPr>
      <w:r w:rsidRPr="00E750DB">
        <w:t>The economic evaluation utilised a four</w:t>
      </w:r>
      <w:r w:rsidR="00E072B9">
        <w:noBreakHyphen/>
      </w:r>
      <w:r w:rsidRPr="00E750DB">
        <w:t>health state Markov model to conduct a cost</w:t>
      </w:r>
      <w:r w:rsidR="00E072B9">
        <w:noBreakHyphen/>
      </w:r>
      <w:r w:rsidRPr="00E750DB">
        <w:t xml:space="preserve">utility analysis comparing givosiran with BSC. The model appeared to be </w:t>
      </w:r>
      <w:proofErr w:type="gramStart"/>
      <w:r w:rsidRPr="00E750DB">
        <w:t>similar to</w:t>
      </w:r>
      <w:proofErr w:type="gramEnd"/>
      <w:r w:rsidRPr="00E750DB">
        <w:t xml:space="preserve"> the model considered by NICE and CADTH.</w:t>
      </w:r>
    </w:p>
    <w:p w14:paraId="2F3F2050" w14:textId="09605799" w:rsidR="00A77034" w:rsidRPr="00E750DB" w:rsidRDefault="00E10989" w:rsidP="00E072B9">
      <w:pPr>
        <w:pStyle w:val="Caption"/>
        <w:jc w:val="left"/>
      </w:pPr>
      <w:bookmarkStart w:id="44" w:name="_Ref197962562"/>
      <w:r w:rsidRPr="00E750DB">
        <w:t xml:space="preserve">Table </w:t>
      </w:r>
      <w:r w:rsidR="00E750DB">
        <w:fldChar w:fldCharType="begin" w:fldLock="1"/>
      </w:r>
      <w:r w:rsidR="00E750DB">
        <w:instrText xml:space="preserve"> SEQ Table \* ARABIC </w:instrText>
      </w:r>
      <w:r w:rsidR="00E750DB">
        <w:fldChar w:fldCharType="separate"/>
      </w:r>
      <w:r w:rsidR="00E750DB" w:rsidRPr="00E750DB">
        <w:t>8</w:t>
      </w:r>
      <w:r w:rsidR="00E750DB">
        <w:fldChar w:fldCharType="end"/>
      </w:r>
      <w:bookmarkEnd w:id="44"/>
      <w:r w:rsidRPr="00E750DB">
        <w:t>:</w:t>
      </w:r>
      <w:r w:rsidR="00A77034" w:rsidRPr="00E750DB">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Summary of model structure, key inputs and rationale"/>
      </w:tblPr>
      <w:tblGrid>
        <w:gridCol w:w="1555"/>
        <w:gridCol w:w="3659"/>
        <w:gridCol w:w="3803"/>
      </w:tblGrid>
      <w:tr w:rsidR="00A77034" w:rsidRPr="00E750DB" w14:paraId="5D3C18BF" w14:textId="77777777" w:rsidTr="00580D86">
        <w:tc>
          <w:tcPr>
            <w:tcW w:w="862" w:type="pct"/>
            <w:vAlign w:val="center"/>
          </w:tcPr>
          <w:p w14:paraId="23C777E1" w14:textId="77777777" w:rsidR="00A77034" w:rsidRPr="00E750DB" w:rsidRDefault="00A77034" w:rsidP="00E072B9">
            <w:pPr>
              <w:pStyle w:val="In-tableHeading"/>
              <w:keepNext/>
            </w:pPr>
            <w:r w:rsidRPr="00E750DB">
              <w:t>Component</w:t>
            </w:r>
          </w:p>
        </w:tc>
        <w:tc>
          <w:tcPr>
            <w:tcW w:w="2029" w:type="pct"/>
            <w:vAlign w:val="center"/>
          </w:tcPr>
          <w:p w14:paraId="364EABE9" w14:textId="77777777" w:rsidR="00A77034" w:rsidRPr="00E750DB" w:rsidRDefault="00A77034" w:rsidP="00E072B9">
            <w:pPr>
              <w:pStyle w:val="In-tableHeading"/>
              <w:keepNext/>
            </w:pPr>
            <w:r w:rsidRPr="00E750DB">
              <w:t>Description</w:t>
            </w:r>
          </w:p>
        </w:tc>
        <w:tc>
          <w:tcPr>
            <w:tcW w:w="2109" w:type="pct"/>
            <w:vAlign w:val="center"/>
          </w:tcPr>
          <w:p w14:paraId="0325D3D4" w14:textId="77777777" w:rsidR="00A77034" w:rsidRPr="00E750DB" w:rsidRDefault="00A77034" w:rsidP="00E072B9">
            <w:pPr>
              <w:pStyle w:val="In-tableHeading"/>
              <w:keepNext/>
            </w:pPr>
            <w:r w:rsidRPr="00E750DB">
              <w:t>Justification/comments</w:t>
            </w:r>
          </w:p>
        </w:tc>
      </w:tr>
      <w:tr w:rsidR="00A77034" w:rsidRPr="00915DBD" w14:paraId="57BAFBCA" w14:textId="77777777" w:rsidTr="00580D86">
        <w:tc>
          <w:tcPr>
            <w:tcW w:w="862" w:type="pct"/>
            <w:vAlign w:val="center"/>
          </w:tcPr>
          <w:p w14:paraId="658E4216" w14:textId="77777777" w:rsidR="00A77034" w:rsidRPr="00915DBD" w:rsidRDefault="00A77034" w:rsidP="00E072B9">
            <w:pPr>
              <w:pStyle w:val="TableText0"/>
              <w:keepNext/>
              <w:widowControl/>
              <w:rPr>
                <w:i/>
              </w:rPr>
            </w:pPr>
            <w:r w:rsidRPr="00915DBD">
              <w:t>Type of analysis</w:t>
            </w:r>
          </w:p>
        </w:tc>
        <w:tc>
          <w:tcPr>
            <w:tcW w:w="2029" w:type="pct"/>
            <w:vAlign w:val="center"/>
          </w:tcPr>
          <w:p w14:paraId="1D8A29A6" w14:textId="0F20F6B7" w:rsidR="00A77034" w:rsidRPr="00915DBD" w:rsidRDefault="00A77034" w:rsidP="00E072B9">
            <w:pPr>
              <w:pStyle w:val="Tabletext"/>
              <w:keepNext/>
              <w:rPr>
                <w:i/>
              </w:rPr>
            </w:pPr>
            <w:r w:rsidRPr="00915DBD">
              <w:t>C</w:t>
            </w:r>
            <w:r w:rsidR="00141F58" w:rsidRPr="00915DBD">
              <w:t>UA</w:t>
            </w:r>
          </w:p>
        </w:tc>
        <w:tc>
          <w:tcPr>
            <w:tcW w:w="2109" w:type="pct"/>
            <w:vAlign w:val="center"/>
          </w:tcPr>
          <w:p w14:paraId="586C8F1C" w14:textId="3E169E43" w:rsidR="00A77034" w:rsidRPr="00915DBD" w:rsidRDefault="00A77034" w:rsidP="00E072B9">
            <w:pPr>
              <w:pStyle w:val="Tabletext"/>
              <w:keepNext/>
              <w:rPr>
                <w:i/>
              </w:rPr>
            </w:pPr>
            <w:r w:rsidRPr="00915DBD">
              <w:t>Reasonable and consistent with the claim of superior effectiveness in terms of reducing the frequency</w:t>
            </w:r>
            <w:r w:rsidR="00F73E88">
              <w:t>/</w:t>
            </w:r>
            <w:r w:rsidRPr="00915DBD">
              <w:t>severity of porphyria attacks.</w:t>
            </w:r>
          </w:p>
        </w:tc>
      </w:tr>
      <w:tr w:rsidR="00A77034" w:rsidRPr="00915DBD" w14:paraId="09748849" w14:textId="77777777" w:rsidTr="00580D86">
        <w:tc>
          <w:tcPr>
            <w:tcW w:w="862" w:type="pct"/>
            <w:vAlign w:val="center"/>
          </w:tcPr>
          <w:p w14:paraId="3B5A4D53" w14:textId="77777777" w:rsidR="00A77034" w:rsidRPr="00915DBD" w:rsidRDefault="00A77034" w:rsidP="00E072B9">
            <w:pPr>
              <w:pStyle w:val="TableText0"/>
              <w:keepNext/>
              <w:widowControl/>
              <w:rPr>
                <w:i/>
              </w:rPr>
            </w:pPr>
            <w:r w:rsidRPr="00915DBD">
              <w:t>Population</w:t>
            </w:r>
          </w:p>
        </w:tc>
        <w:tc>
          <w:tcPr>
            <w:tcW w:w="2029" w:type="pct"/>
            <w:vAlign w:val="center"/>
          </w:tcPr>
          <w:p w14:paraId="125533EF" w14:textId="1DFD7819" w:rsidR="00A77034" w:rsidRPr="00915DBD" w:rsidRDefault="00A77034" w:rsidP="00E072B9">
            <w:pPr>
              <w:pStyle w:val="Tabletext"/>
              <w:keepNext/>
              <w:rPr>
                <w:i/>
              </w:rPr>
            </w:pPr>
            <w:r w:rsidRPr="00915DBD">
              <w:t>Patients aged 12 years and older with a documented diagnosis of AHP using clinical features and biochemical results and recurrent disease, defined as ≥2 porphyria attacks requiring hospitalisation, presentation at an emergency department or medical intervention via a porphyria clinic within the 6 months prior to treatment initiation.</w:t>
            </w:r>
          </w:p>
        </w:tc>
        <w:tc>
          <w:tcPr>
            <w:tcW w:w="2109" w:type="pct"/>
            <w:vAlign w:val="center"/>
          </w:tcPr>
          <w:p w14:paraId="69B615F0" w14:textId="043BF02C" w:rsidR="00A77034" w:rsidRPr="00915DBD" w:rsidRDefault="00A77034" w:rsidP="00E072B9">
            <w:pPr>
              <w:pStyle w:val="Tabletext"/>
              <w:keepNext/>
              <w:rPr>
                <w:i/>
              </w:rPr>
            </w:pPr>
            <w:r w:rsidRPr="00915DBD">
              <w:t>Consistent with the inclusion criteria of the ENVISION trial and the proposed PBS</w:t>
            </w:r>
            <w:r w:rsidR="00E072B9">
              <w:noBreakHyphen/>
            </w:r>
            <w:r w:rsidRPr="00915DBD">
              <w:t>eligible population.</w:t>
            </w:r>
          </w:p>
        </w:tc>
      </w:tr>
      <w:tr w:rsidR="00A77034" w:rsidRPr="00915DBD" w14:paraId="4F401401" w14:textId="77777777" w:rsidTr="00580D86">
        <w:tc>
          <w:tcPr>
            <w:tcW w:w="862" w:type="pct"/>
            <w:vAlign w:val="center"/>
          </w:tcPr>
          <w:p w14:paraId="569D01CE" w14:textId="77777777" w:rsidR="00A77034" w:rsidRPr="00915DBD" w:rsidRDefault="00A77034" w:rsidP="00E072B9">
            <w:pPr>
              <w:pStyle w:val="TableText0"/>
              <w:keepNext/>
              <w:widowControl/>
              <w:rPr>
                <w:i/>
              </w:rPr>
            </w:pPr>
            <w:r w:rsidRPr="00915DBD">
              <w:t>Outcomes</w:t>
            </w:r>
          </w:p>
        </w:tc>
        <w:tc>
          <w:tcPr>
            <w:tcW w:w="2029" w:type="pct"/>
            <w:vAlign w:val="center"/>
          </w:tcPr>
          <w:p w14:paraId="605B18E5" w14:textId="6F126B9A" w:rsidR="00A77034" w:rsidRPr="00915DBD" w:rsidRDefault="00A77034" w:rsidP="00E072B9">
            <w:pPr>
              <w:pStyle w:val="Tabletext"/>
              <w:keepNext/>
              <w:rPr>
                <w:i/>
              </w:rPr>
            </w:pPr>
            <w:r w:rsidRPr="00915DBD">
              <w:t>Life Years (LY) gained, Quality</w:t>
            </w:r>
            <w:r w:rsidR="00E072B9">
              <w:noBreakHyphen/>
            </w:r>
            <w:r w:rsidRPr="00915DBD">
              <w:t>adjusted life years (QALYs), and costs</w:t>
            </w:r>
          </w:p>
        </w:tc>
        <w:tc>
          <w:tcPr>
            <w:tcW w:w="2109" w:type="pct"/>
            <w:vAlign w:val="center"/>
          </w:tcPr>
          <w:p w14:paraId="21D6F9F6" w14:textId="77777777" w:rsidR="00A77034" w:rsidRPr="00915DBD" w:rsidRDefault="00A77034" w:rsidP="00E072B9">
            <w:pPr>
              <w:pStyle w:val="Tabletext"/>
              <w:keepNext/>
              <w:rPr>
                <w:i/>
              </w:rPr>
            </w:pPr>
            <w:r w:rsidRPr="00915DBD">
              <w:t>Reasonable</w:t>
            </w:r>
          </w:p>
        </w:tc>
      </w:tr>
      <w:tr w:rsidR="00A77034" w:rsidRPr="00915DBD" w14:paraId="61B1FCC8" w14:textId="77777777" w:rsidTr="00580D86">
        <w:tc>
          <w:tcPr>
            <w:tcW w:w="862" w:type="pct"/>
            <w:vAlign w:val="center"/>
          </w:tcPr>
          <w:p w14:paraId="684C48B2" w14:textId="77777777" w:rsidR="00A77034" w:rsidRPr="00915DBD" w:rsidRDefault="00A77034" w:rsidP="00E072B9">
            <w:pPr>
              <w:pStyle w:val="TableText0"/>
              <w:keepNext/>
              <w:widowControl/>
              <w:rPr>
                <w:i/>
              </w:rPr>
            </w:pPr>
            <w:r w:rsidRPr="00915DBD">
              <w:t>Time horizon</w:t>
            </w:r>
          </w:p>
        </w:tc>
        <w:tc>
          <w:tcPr>
            <w:tcW w:w="2029" w:type="pct"/>
            <w:vAlign w:val="center"/>
          </w:tcPr>
          <w:p w14:paraId="518DC8CD" w14:textId="77777777" w:rsidR="00A77034" w:rsidRPr="00915DBD" w:rsidRDefault="00A77034" w:rsidP="00E072B9">
            <w:pPr>
              <w:pStyle w:val="Tabletext"/>
              <w:keepNext/>
              <w:rPr>
                <w:i/>
              </w:rPr>
            </w:pPr>
            <w:r w:rsidRPr="00915DBD">
              <w:t>Lifetime horizon</w:t>
            </w:r>
          </w:p>
        </w:tc>
        <w:tc>
          <w:tcPr>
            <w:tcW w:w="2109" w:type="pct"/>
            <w:vAlign w:val="center"/>
          </w:tcPr>
          <w:p w14:paraId="475D4F24" w14:textId="7192D8E7" w:rsidR="00A77034" w:rsidRPr="00915DBD" w:rsidRDefault="00A77034" w:rsidP="00E072B9">
            <w:pPr>
              <w:pStyle w:val="Tabletext"/>
              <w:keepNext/>
              <w:rPr>
                <w:i/>
              </w:rPr>
            </w:pPr>
            <w:r w:rsidRPr="00915DBD">
              <w:t>ENVISION included only 6</w:t>
            </w:r>
            <w:r w:rsidR="00E072B9">
              <w:noBreakHyphen/>
            </w:r>
            <w:r w:rsidRPr="00915DBD">
              <w:t xml:space="preserve">months of comparative evidence. Extrapolation highly uncertain. </w:t>
            </w:r>
          </w:p>
        </w:tc>
      </w:tr>
      <w:tr w:rsidR="00A77034" w:rsidRPr="00915DBD" w14:paraId="76EA5921" w14:textId="77777777" w:rsidTr="00580D86">
        <w:tc>
          <w:tcPr>
            <w:tcW w:w="862" w:type="pct"/>
            <w:vAlign w:val="center"/>
          </w:tcPr>
          <w:p w14:paraId="043B634B" w14:textId="77777777" w:rsidR="00A77034" w:rsidRPr="00915DBD" w:rsidRDefault="00A77034" w:rsidP="00E072B9">
            <w:pPr>
              <w:pStyle w:val="TableText0"/>
              <w:keepNext/>
              <w:widowControl/>
              <w:rPr>
                <w:i/>
              </w:rPr>
            </w:pPr>
            <w:r w:rsidRPr="00915DBD">
              <w:t>Perspective</w:t>
            </w:r>
          </w:p>
        </w:tc>
        <w:tc>
          <w:tcPr>
            <w:tcW w:w="2029" w:type="pct"/>
            <w:vAlign w:val="center"/>
          </w:tcPr>
          <w:p w14:paraId="755CF787" w14:textId="77777777" w:rsidR="00A77034" w:rsidRPr="00915DBD" w:rsidRDefault="00A77034" w:rsidP="00E072B9">
            <w:pPr>
              <w:pStyle w:val="Tabletext"/>
              <w:keepNext/>
              <w:rPr>
                <w:i/>
              </w:rPr>
            </w:pPr>
            <w:r w:rsidRPr="00915DBD">
              <w:t>Australian healthcare system</w:t>
            </w:r>
          </w:p>
        </w:tc>
        <w:tc>
          <w:tcPr>
            <w:tcW w:w="2109" w:type="pct"/>
            <w:vAlign w:val="center"/>
          </w:tcPr>
          <w:p w14:paraId="0A90FA98" w14:textId="77777777" w:rsidR="00A77034" w:rsidRPr="00915DBD" w:rsidRDefault="00A77034" w:rsidP="00E072B9">
            <w:pPr>
              <w:pStyle w:val="Tabletext"/>
              <w:keepNext/>
              <w:rPr>
                <w:i/>
              </w:rPr>
            </w:pPr>
            <w:r w:rsidRPr="00915DBD">
              <w:t>Reasonable</w:t>
            </w:r>
          </w:p>
        </w:tc>
      </w:tr>
      <w:tr w:rsidR="00A77034" w:rsidRPr="00915DBD" w14:paraId="66043145" w14:textId="77777777" w:rsidTr="00580D86">
        <w:tc>
          <w:tcPr>
            <w:tcW w:w="862" w:type="pct"/>
            <w:vAlign w:val="center"/>
          </w:tcPr>
          <w:p w14:paraId="176A44DF" w14:textId="77777777" w:rsidR="00A77034" w:rsidRPr="00915DBD" w:rsidRDefault="00A77034" w:rsidP="00E072B9">
            <w:pPr>
              <w:pStyle w:val="TableText0"/>
              <w:keepNext/>
              <w:widowControl/>
              <w:rPr>
                <w:i/>
              </w:rPr>
            </w:pPr>
            <w:r w:rsidRPr="00915DBD">
              <w:t>Discount rate</w:t>
            </w:r>
          </w:p>
        </w:tc>
        <w:tc>
          <w:tcPr>
            <w:tcW w:w="2029" w:type="pct"/>
            <w:vAlign w:val="center"/>
          </w:tcPr>
          <w:p w14:paraId="62E0D87B" w14:textId="77777777" w:rsidR="00A77034" w:rsidRPr="00915DBD" w:rsidRDefault="00A77034" w:rsidP="00E072B9">
            <w:pPr>
              <w:pStyle w:val="Tabletext"/>
              <w:keepNext/>
              <w:rPr>
                <w:i/>
              </w:rPr>
            </w:pPr>
            <w:r w:rsidRPr="00915DBD">
              <w:t>5% applied to cost and outcomes</w:t>
            </w:r>
          </w:p>
        </w:tc>
        <w:tc>
          <w:tcPr>
            <w:tcW w:w="2109" w:type="pct"/>
            <w:vAlign w:val="center"/>
          </w:tcPr>
          <w:p w14:paraId="66DDCCBC" w14:textId="77777777" w:rsidR="00A77034" w:rsidRPr="00915DBD" w:rsidRDefault="00A77034" w:rsidP="00E072B9">
            <w:pPr>
              <w:pStyle w:val="Tabletext"/>
              <w:keepNext/>
              <w:rPr>
                <w:i/>
              </w:rPr>
            </w:pPr>
            <w:r w:rsidRPr="00915DBD">
              <w:t>Reasonable</w:t>
            </w:r>
          </w:p>
        </w:tc>
      </w:tr>
      <w:tr w:rsidR="00A77034" w:rsidRPr="00915DBD" w14:paraId="6C3A32CF" w14:textId="77777777" w:rsidTr="00580D86">
        <w:tc>
          <w:tcPr>
            <w:tcW w:w="862" w:type="pct"/>
            <w:vAlign w:val="center"/>
          </w:tcPr>
          <w:p w14:paraId="49E31043" w14:textId="77777777" w:rsidR="00A77034" w:rsidRPr="00915DBD" w:rsidRDefault="00A77034" w:rsidP="00E072B9">
            <w:pPr>
              <w:pStyle w:val="TableText0"/>
              <w:keepNext/>
              <w:widowControl/>
              <w:rPr>
                <w:i/>
              </w:rPr>
            </w:pPr>
            <w:r w:rsidRPr="00915DBD">
              <w:t>Methods used to generate results</w:t>
            </w:r>
          </w:p>
        </w:tc>
        <w:tc>
          <w:tcPr>
            <w:tcW w:w="2029" w:type="pct"/>
            <w:vAlign w:val="center"/>
          </w:tcPr>
          <w:p w14:paraId="26F3BF45" w14:textId="77777777" w:rsidR="00A77034" w:rsidRPr="00915DBD" w:rsidRDefault="00A77034" w:rsidP="00E072B9">
            <w:pPr>
              <w:pStyle w:val="Tabletext"/>
              <w:keepNext/>
              <w:rPr>
                <w:i/>
              </w:rPr>
            </w:pPr>
            <w:r w:rsidRPr="00915DBD">
              <w:t>Markov model</w:t>
            </w:r>
          </w:p>
        </w:tc>
        <w:tc>
          <w:tcPr>
            <w:tcW w:w="2109" w:type="pct"/>
            <w:vAlign w:val="center"/>
          </w:tcPr>
          <w:p w14:paraId="6FFD873D" w14:textId="77777777" w:rsidR="00A77034" w:rsidRPr="00915DBD" w:rsidRDefault="00A77034" w:rsidP="00E072B9">
            <w:pPr>
              <w:pStyle w:val="Tabletext"/>
              <w:keepNext/>
              <w:rPr>
                <w:i/>
              </w:rPr>
            </w:pPr>
            <w:r w:rsidRPr="00915DBD">
              <w:t>Reasonable</w:t>
            </w:r>
          </w:p>
        </w:tc>
      </w:tr>
      <w:tr w:rsidR="00A77034" w:rsidRPr="00915DBD" w14:paraId="77C3BDB0" w14:textId="77777777" w:rsidTr="001D0651">
        <w:trPr>
          <w:cantSplit/>
        </w:trPr>
        <w:tc>
          <w:tcPr>
            <w:tcW w:w="862" w:type="pct"/>
            <w:vAlign w:val="center"/>
          </w:tcPr>
          <w:p w14:paraId="0FBC0E96" w14:textId="77777777" w:rsidR="00A77034" w:rsidRPr="00915DBD" w:rsidRDefault="00A77034" w:rsidP="00E072B9">
            <w:pPr>
              <w:pStyle w:val="TableText0"/>
              <w:keepNext/>
              <w:widowControl/>
              <w:rPr>
                <w:i/>
              </w:rPr>
            </w:pPr>
            <w:r w:rsidRPr="00915DBD">
              <w:t>Health states</w:t>
            </w:r>
          </w:p>
        </w:tc>
        <w:tc>
          <w:tcPr>
            <w:tcW w:w="2029" w:type="pct"/>
            <w:vAlign w:val="center"/>
          </w:tcPr>
          <w:p w14:paraId="3C884CCF" w14:textId="609E5818" w:rsidR="00A77034" w:rsidRPr="00915DBD" w:rsidRDefault="00A77034" w:rsidP="00E072B9">
            <w:pPr>
              <w:pStyle w:val="Tabletext"/>
              <w:keepNext/>
              <w:rPr>
                <w:i/>
              </w:rPr>
            </w:pPr>
            <w:r w:rsidRPr="00915DBD">
              <w:t>The model incorporates four health states, assigned by AAR:</w:t>
            </w:r>
          </w:p>
          <w:p w14:paraId="53F78381" w14:textId="58CDDDE7" w:rsidR="00A77034" w:rsidRPr="00915DBD" w:rsidRDefault="00A77034" w:rsidP="00E072B9">
            <w:pPr>
              <w:pStyle w:val="Tabletext"/>
              <w:keepNext/>
              <w:rPr>
                <w:i/>
              </w:rPr>
            </w:pPr>
            <w:r w:rsidRPr="00915DBD">
              <w:t>AAR = 0</w:t>
            </w:r>
            <w:r w:rsidR="00141F58" w:rsidRPr="00915DBD">
              <w:t xml:space="preserve"> (‘asymptomatic’)</w:t>
            </w:r>
          </w:p>
          <w:p w14:paraId="597CD1B1" w14:textId="0B7DE5A0" w:rsidR="00A77034" w:rsidRPr="00915DBD" w:rsidRDefault="00A77034" w:rsidP="00E072B9">
            <w:pPr>
              <w:pStyle w:val="Tabletext"/>
              <w:keepNext/>
              <w:rPr>
                <w:i/>
              </w:rPr>
            </w:pPr>
            <w:r w:rsidRPr="00915DBD">
              <w:t xml:space="preserve">AAR </w:t>
            </w:r>
            <w:r w:rsidR="00BD03FD">
              <w:t>&gt;</w:t>
            </w:r>
            <w:r w:rsidR="00A550BD">
              <w:t xml:space="preserve"> </w:t>
            </w:r>
            <w:r w:rsidRPr="00915DBD">
              <w:t>0 to ≤</w:t>
            </w:r>
            <w:r w:rsidR="004230A9">
              <w:t xml:space="preserve"> </w:t>
            </w:r>
            <w:r w:rsidRPr="00915DBD">
              <w:t>4</w:t>
            </w:r>
            <w:r w:rsidR="00141F58" w:rsidRPr="00915DBD">
              <w:t xml:space="preserve"> (‘symptomatic’)</w:t>
            </w:r>
          </w:p>
          <w:p w14:paraId="2485475F" w14:textId="3A5C7F25" w:rsidR="00A77034" w:rsidRPr="00915DBD" w:rsidRDefault="00A77034" w:rsidP="00E072B9">
            <w:pPr>
              <w:pStyle w:val="Tabletext"/>
              <w:keepNext/>
              <w:rPr>
                <w:i/>
              </w:rPr>
            </w:pPr>
            <w:r w:rsidRPr="00915DBD">
              <w:t xml:space="preserve">AAR </w:t>
            </w:r>
            <w:r w:rsidR="00BD03FD">
              <w:t>&gt;</w:t>
            </w:r>
            <w:r w:rsidR="00A550BD">
              <w:t xml:space="preserve"> </w:t>
            </w:r>
            <w:r w:rsidRPr="00915DBD">
              <w:t>4 to ≤</w:t>
            </w:r>
            <w:r w:rsidR="004230A9">
              <w:t xml:space="preserve"> </w:t>
            </w:r>
            <w:r w:rsidRPr="00915DBD">
              <w:t>24</w:t>
            </w:r>
            <w:r w:rsidR="00141F58" w:rsidRPr="00915DBD">
              <w:t xml:space="preserve"> (‘recurrent’)</w:t>
            </w:r>
          </w:p>
          <w:p w14:paraId="03BFF7D9" w14:textId="0A5D75DD" w:rsidR="00A77034" w:rsidRPr="00915DBD" w:rsidRDefault="00A77034" w:rsidP="00E072B9">
            <w:pPr>
              <w:pStyle w:val="Tabletext"/>
              <w:keepNext/>
              <w:rPr>
                <w:i/>
              </w:rPr>
            </w:pPr>
            <w:r w:rsidRPr="00915DBD">
              <w:t xml:space="preserve">AAR </w:t>
            </w:r>
            <w:r w:rsidR="00BD03FD">
              <w:t>&gt;</w:t>
            </w:r>
            <w:r w:rsidR="00A550BD">
              <w:t xml:space="preserve"> </w:t>
            </w:r>
            <w:r w:rsidRPr="00915DBD">
              <w:t>24</w:t>
            </w:r>
            <w:r w:rsidR="00141F58" w:rsidRPr="00915DBD">
              <w:t xml:space="preserve"> (‘severe’)</w:t>
            </w:r>
          </w:p>
          <w:p w14:paraId="280FD9B6" w14:textId="058B4852" w:rsidR="000F0B82" w:rsidRPr="00915DBD" w:rsidRDefault="000F0B82" w:rsidP="00E072B9">
            <w:pPr>
              <w:pStyle w:val="Tabletext"/>
              <w:keepNext/>
              <w:rPr>
                <w:i/>
              </w:rPr>
            </w:pPr>
            <w:r w:rsidRPr="00915DBD">
              <w:t xml:space="preserve">Additionally, death is an absorbing state. </w:t>
            </w:r>
            <w:r w:rsidR="00D46D9E" w:rsidRPr="00915DBD">
              <w:t xml:space="preserve">A further health state of ‘asymptomatic post menopause’ </w:t>
            </w:r>
            <w:r w:rsidR="00946D76" w:rsidRPr="00915DBD">
              <w:t>which is identical to AAR = 0 except no drug treatment costs was also modelled</w:t>
            </w:r>
          </w:p>
        </w:tc>
        <w:tc>
          <w:tcPr>
            <w:tcW w:w="2109" w:type="pct"/>
            <w:vAlign w:val="center"/>
          </w:tcPr>
          <w:p w14:paraId="031FD890" w14:textId="6F11398E" w:rsidR="00A77034" w:rsidRPr="00915DBD" w:rsidRDefault="00A77034" w:rsidP="00E072B9">
            <w:pPr>
              <w:pStyle w:val="Tabletext"/>
              <w:keepNext/>
              <w:rPr>
                <w:i/>
              </w:rPr>
            </w:pPr>
            <w:proofErr w:type="gramStart"/>
            <w:r w:rsidRPr="00915DBD">
              <w:t>With the exception of</w:t>
            </w:r>
            <w:proofErr w:type="gramEnd"/>
            <w:r w:rsidRPr="00915DBD">
              <w:t xml:space="preserve"> the AAR</w:t>
            </w:r>
            <w:r w:rsidR="004230A9">
              <w:t xml:space="preserve"> </w:t>
            </w:r>
            <w:r w:rsidR="00BD03FD">
              <w:t>&gt;</w:t>
            </w:r>
            <w:r w:rsidR="00A550BD">
              <w:t xml:space="preserve"> </w:t>
            </w:r>
            <w:r w:rsidRPr="00915DBD">
              <w:t>24 health state, health states were based on Neeleman 201</w:t>
            </w:r>
            <w:r w:rsidR="00141F58" w:rsidRPr="00915DBD">
              <w:t>8</w:t>
            </w:r>
            <w:r w:rsidRPr="00915DBD">
              <w:t xml:space="preserve">. </w:t>
            </w:r>
            <w:r w:rsidR="00F234D8">
              <w:t xml:space="preserve">The </w:t>
            </w:r>
            <w:r w:rsidR="001C7C34">
              <w:t>Commentary</w:t>
            </w:r>
            <w:r w:rsidR="00F234D8">
              <w:t xml:space="preserve"> noted i</w:t>
            </w:r>
            <w:r w:rsidRPr="00915DBD">
              <w:t>t was unclear whether the inclusion of the AAR</w:t>
            </w:r>
            <w:r w:rsidR="004230A9">
              <w:t xml:space="preserve"> </w:t>
            </w:r>
            <w:r w:rsidR="00BD03FD">
              <w:t>&gt;</w:t>
            </w:r>
            <w:r w:rsidR="00A550BD">
              <w:t xml:space="preserve"> </w:t>
            </w:r>
            <w:r w:rsidRPr="00915DBD">
              <w:t>24 health state was reasonable and was a key driver of the model.</w:t>
            </w:r>
          </w:p>
        </w:tc>
      </w:tr>
      <w:tr w:rsidR="00A77034" w:rsidRPr="00915DBD" w14:paraId="6AAE009A" w14:textId="77777777" w:rsidTr="00580D86">
        <w:tc>
          <w:tcPr>
            <w:tcW w:w="862" w:type="pct"/>
            <w:vAlign w:val="center"/>
          </w:tcPr>
          <w:p w14:paraId="2B50FDAE" w14:textId="77777777" w:rsidR="00A77034" w:rsidRPr="00915DBD" w:rsidRDefault="00A77034" w:rsidP="00E072B9">
            <w:pPr>
              <w:pStyle w:val="TableText0"/>
              <w:keepNext/>
              <w:widowControl/>
              <w:rPr>
                <w:i/>
              </w:rPr>
            </w:pPr>
            <w:r w:rsidRPr="00915DBD">
              <w:t>Cycle length</w:t>
            </w:r>
          </w:p>
        </w:tc>
        <w:tc>
          <w:tcPr>
            <w:tcW w:w="2029" w:type="pct"/>
            <w:vAlign w:val="center"/>
          </w:tcPr>
          <w:p w14:paraId="5D20C69D" w14:textId="77777777" w:rsidR="00A77034" w:rsidRPr="00915DBD" w:rsidRDefault="00A77034" w:rsidP="00E072B9">
            <w:pPr>
              <w:pStyle w:val="Tabletext"/>
              <w:keepNext/>
              <w:rPr>
                <w:i/>
              </w:rPr>
            </w:pPr>
            <w:r w:rsidRPr="00915DBD">
              <w:t>6 months (182.63 days)</w:t>
            </w:r>
          </w:p>
        </w:tc>
        <w:tc>
          <w:tcPr>
            <w:tcW w:w="2109" w:type="pct"/>
            <w:vAlign w:val="center"/>
          </w:tcPr>
          <w:p w14:paraId="4D705D09" w14:textId="77777777" w:rsidR="00A77034" w:rsidRPr="00915DBD" w:rsidRDefault="00A77034" w:rsidP="00E072B9">
            <w:pPr>
              <w:pStyle w:val="Tabletext"/>
              <w:keepNext/>
              <w:rPr>
                <w:i/>
              </w:rPr>
            </w:pPr>
            <w:r w:rsidRPr="00915DBD">
              <w:t xml:space="preserve">Given the ENVISION trial duration was only six months, there was only comparative evidence for one cycle of the model. </w:t>
            </w:r>
          </w:p>
        </w:tc>
      </w:tr>
      <w:tr w:rsidR="00A77034" w:rsidRPr="00915DBD" w14:paraId="17107066" w14:textId="77777777" w:rsidTr="00580D86">
        <w:tc>
          <w:tcPr>
            <w:tcW w:w="862" w:type="pct"/>
            <w:vAlign w:val="center"/>
          </w:tcPr>
          <w:p w14:paraId="305A0816" w14:textId="77777777" w:rsidR="00A77034" w:rsidRPr="00915DBD" w:rsidRDefault="00A77034" w:rsidP="00E072B9">
            <w:pPr>
              <w:pStyle w:val="TableText0"/>
              <w:keepNext/>
              <w:widowControl/>
              <w:rPr>
                <w:i/>
              </w:rPr>
            </w:pPr>
            <w:r w:rsidRPr="00915DBD">
              <w:t>Transition probabilities</w:t>
            </w:r>
          </w:p>
        </w:tc>
        <w:tc>
          <w:tcPr>
            <w:tcW w:w="2029" w:type="pct"/>
            <w:vAlign w:val="center"/>
          </w:tcPr>
          <w:p w14:paraId="08F4FC4D" w14:textId="42F6A038" w:rsidR="00A77034" w:rsidRPr="00915DBD" w:rsidRDefault="00A77034" w:rsidP="00E072B9">
            <w:pPr>
              <w:pStyle w:val="Tabletext"/>
              <w:keepNext/>
              <w:rPr>
                <w:i/>
              </w:rPr>
            </w:pPr>
            <w:r w:rsidRPr="00915DBD">
              <w:t>Transition probabilities for givosiran and BSC:</w:t>
            </w:r>
          </w:p>
          <w:p w14:paraId="397FD450" w14:textId="4666E9B7" w:rsidR="00A77034" w:rsidRPr="00915DBD" w:rsidRDefault="00A77034" w:rsidP="00E072B9">
            <w:pPr>
              <w:pStyle w:val="Tabletext"/>
              <w:keepNext/>
              <w:rPr>
                <w:i/>
              </w:rPr>
            </w:pPr>
            <w:r w:rsidRPr="00915DBD">
              <w:t xml:space="preserve">A patient can transition between any of the four health states (i.e., AAR = 0, AAR </w:t>
            </w:r>
            <w:r w:rsidR="00BD03FD">
              <w:t>&gt;</w:t>
            </w:r>
            <w:r w:rsidR="00A550BD">
              <w:t xml:space="preserve"> </w:t>
            </w:r>
            <w:r w:rsidRPr="00915DBD">
              <w:t>0 to ≤</w:t>
            </w:r>
            <w:r w:rsidR="004230A9">
              <w:t xml:space="preserve"> </w:t>
            </w:r>
            <w:r w:rsidRPr="00915DBD">
              <w:t xml:space="preserve">4, AAR </w:t>
            </w:r>
            <w:r w:rsidR="00BD03FD">
              <w:t>&gt;</w:t>
            </w:r>
            <w:r w:rsidR="00A550BD">
              <w:t xml:space="preserve"> </w:t>
            </w:r>
            <w:r w:rsidRPr="00915DBD">
              <w:t>4 to ≤</w:t>
            </w:r>
            <w:r w:rsidR="004230A9">
              <w:t xml:space="preserve"> </w:t>
            </w:r>
            <w:r w:rsidRPr="00915DBD">
              <w:t xml:space="preserve">24, AAR </w:t>
            </w:r>
            <w:r w:rsidR="00BD03FD">
              <w:t>&gt;</w:t>
            </w:r>
            <w:r w:rsidR="00A550BD">
              <w:t xml:space="preserve"> </w:t>
            </w:r>
            <w:r w:rsidRPr="00915DBD">
              <w:t>24) based on the transition probabilities obtained from the ENVISION trial and the additional 36 months of the ENVISION OLE data.</w:t>
            </w:r>
          </w:p>
          <w:p w14:paraId="7800DFB2" w14:textId="480332B3" w:rsidR="00A77034" w:rsidRPr="00915DBD" w:rsidRDefault="00A77034" w:rsidP="00E072B9">
            <w:pPr>
              <w:pStyle w:val="Tabletext"/>
              <w:keepNext/>
              <w:rPr>
                <w:i/>
              </w:rPr>
            </w:pPr>
            <w:r w:rsidRPr="00915DBD">
              <w:t>The cohort may transition to death from any alive health states based on population</w:t>
            </w:r>
            <w:r w:rsidR="00E072B9">
              <w:noBreakHyphen/>
            </w:r>
            <w:r w:rsidRPr="00915DBD">
              <w:t>adjusted norms.</w:t>
            </w:r>
          </w:p>
        </w:tc>
        <w:tc>
          <w:tcPr>
            <w:tcW w:w="2109" w:type="pct"/>
            <w:vAlign w:val="center"/>
          </w:tcPr>
          <w:p w14:paraId="54929950" w14:textId="1943EDC9" w:rsidR="00A77034" w:rsidRPr="00915DBD" w:rsidRDefault="00A77034" w:rsidP="00E072B9">
            <w:pPr>
              <w:pStyle w:val="Tabletext"/>
              <w:keepNext/>
              <w:rPr>
                <w:i/>
              </w:rPr>
            </w:pPr>
            <w:r w:rsidRPr="00915DBD">
              <w:t xml:space="preserve">Application of transition probabilities </w:t>
            </w:r>
            <w:r w:rsidR="000E750A" w:rsidRPr="00915DBD">
              <w:t xml:space="preserve">was </w:t>
            </w:r>
            <w:r w:rsidRPr="00915DBD">
              <w:t xml:space="preserve">reasonable however there were </w:t>
            </w:r>
            <w:r w:rsidR="00631DFE" w:rsidRPr="00915DBD">
              <w:t xml:space="preserve">limitations </w:t>
            </w:r>
            <w:r w:rsidRPr="00915DBD">
              <w:t xml:space="preserve">with the data used to inform the transition probabilities </w:t>
            </w:r>
            <w:r w:rsidR="00631DFE" w:rsidRPr="00915DBD">
              <w:t>(see paragraph</w:t>
            </w:r>
            <w:r w:rsidR="008C392C" w:rsidRPr="00915DBD">
              <w:t xml:space="preserve">s </w:t>
            </w:r>
            <w:r w:rsidR="00FF5C1B" w:rsidRPr="00915DBD">
              <w:rPr>
                <w:i/>
              </w:rPr>
              <w:fldChar w:fldCharType="begin" w:fldLock="1"/>
            </w:r>
            <w:r w:rsidR="00FF5C1B" w:rsidRPr="00915DBD">
              <w:instrText xml:space="preserve"> REF _Ref197970847 \r \h </w:instrText>
            </w:r>
            <w:r w:rsidR="0029679A" w:rsidRPr="00915DBD">
              <w:instrText xml:space="preserve"> \* MERGEFORMAT </w:instrText>
            </w:r>
            <w:r w:rsidR="00FF5C1B" w:rsidRPr="00915DBD">
              <w:rPr>
                <w:i/>
              </w:rPr>
            </w:r>
            <w:r w:rsidR="00FF5C1B" w:rsidRPr="00915DBD">
              <w:rPr>
                <w:i/>
              </w:rPr>
              <w:fldChar w:fldCharType="separate"/>
            </w:r>
            <w:r w:rsidR="00D853F4">
              <w:t>6.44</w:t>
            </w:r>
            <w:r w:rsidR="00FF5C1B" w:rsidRPr="00915DBD">
              <w:rPr>
                <w:i/>
              </w:rPr>
              <w:fldChar w:fldCharType="end"/>
            </w:r>
            <w:r w:rsidR="000E750A" w:rsidRPr="00915DBD">
              <w:t xml:space="preserve"> </w:t>
            </w:r>
            <w:r w:rsidR="00FF5C1B" w:rsidRPr="00915DBD">
              <w:t xml:space="preserve">to </w:t>
            </w:r>
            <w:r w:rsidR="00FF5C1B" w:rsidRPr="00915DBD">
              <w:rPr>
                <w:i/>
              </w:rPr>
              <w:fldChar w:fldCharType="begin" w:fldLock="1"/>
            </w:r>
            <w:r w:rsidR="00FF5C1B" w:rsidRPr="00915DBD">
              <w:instrText xml:space="preserve"> REF _Ref197970851 \r \h </w:instrText>
            </w:r>
            <w:r w:rsidR="0029679A" w:rsidRPr="00915DBD">
              <w:instrText xml:space="preserve"> \* MERGEFORMAT </w:instrText>
            </w:r>
            <w:r w:rsidR="00FF5C1B" w:rsidRPr="00915DBD">
              <w:rPr>
                <w:i/>
              </w:rPr>
            </w:r>
            <w:r w:rsidR="00FF5C1B" w:rsidRPr="00915DBD">
              <w:rPr>
                <w:i/>
              </w:rPr>
              <w:fldChar w:fldCharType="separate"/>
            </w:r>
            <w:r w:rsidR="00D853F4">
              <w:t>6.47</w:t>
            </w:r>
            <w:r w:rsidR="00FF5C1B" w:rsidRPr="00915DBD">
              <w:rPr>
                <w:i/>
              </w:rPr>
              <w:fldChar w:fldCharType="end"/>
            </w:r>
            <w:r w:rsidR="00631DFE" w:rsidRPr="00915DBD">
              <w:t>)</w:t>
            </w:r>
            <w:r w:rsidR="00D853F4">
              <w:t>.</w:t>
            </w:r>
          </w:p>
        </w:tc>
      </w:tr>
      <w:tr w:rsidR="00A77034" w:rsidRPr="00915DBD" w14:paraId="363BB160" w14:textId="77777777" w:rsidTr="00580D86">
        <w:tc>
          <w:tcPr>
            <w:tcW w:w="862" w:type="pct"/>
            <w:vAlign w:val="center"/>
          </w:tcPr>
          <w:p w14:paraId="6CB4C6D4" w14:textId="77777777" w:rsidR="00A77034" w:rsidRPr="00915DBD" w:rsidRDefault="00A77034" w:rsidP="00E072B9">
            <w:pPr>
              <w:pStyle w:val="TableText0"/>
              <w:keepNext/>
              <w:widowControl/>
              <w:rPr>
                <w:i/>
              </w:rPr>
            </w:pPr>
            <w:r w:rsidRPr="00915DBD">
              <w:t>Software package</w:t>
            </w:r>
          </w:p>
        </w:tc>
        <w:tc>
          <w:tcPr>
            <w:tcW w:w="2029" w:type="pct"/>
            <w:vAlign w:val="center"/>
          </w:tcPr>
          <w:p w14:paraId="6E3CA1AF" w14:textId="77777777" w:rsidR="00A77034" w:rsidRPr="00915DBD" w:rsidRDefault="00A77034" w:rsidP="00E072B9">
            <w:pPr>
              <w:pStyle w:val="Tabletext"/>
              <w:keepNext/>
              <w:rPr>
                <w:i/>
              </w:rPr>
            </w:pPr>
            <w:r w:rsidRPr="00915DBD">
              <w:t>Microsoft® Excel® for Microsoft 365</w:t>
            </w:r>
          </w:p>
        </w:tc>
        <w:tc>
          <w:tcPr>
            <w:tcW w:w="2109" w:type="pct"/>
            <w:vAlign w:val="center"/>
          </w:tcPr>
          <w:p w14:paraId="27139B5B" w14:textId="77777777" w:rsidR="00A77034" w:rsidRPr="00915DBD" w:rsidRDefault="00A77034" w:rsidP="00E072B9">
            <w:pPr>
              <w:pStyle w:val="Tabletext"/>
              <w:keepNext/>
              <w:rPr>
                <w:i/>
              </w:rPr>
            </w:pPr>
            <w:r w:rsidRPr="00915DBD">
              <w:t>Reasonable</w:t>
            </w:r>
          </w:p>
        </w:tc>
      </w:tr>
    </w:tbl>
    <w:p w14:paraId="2B107602" w14:textId="77777777" w:rsidR="00A77034" w:rsidRPr="00E750DB" w:rsidRDefault="00A77034" w:rsidP="00117002">
      <w:pPr>
        <w:pStyle w:val="TableFigureFooter"/>
      </w:pPr>
      <w:r w:rsidRPr="00E750DB">
        <w:t xml:space="preserve">Source: Table 3.1, p79 of the submission. </w:t>
      </w:r>
    </w:p>
    <w:p w14:paraId="1611216A" w14:textId="59374C69" w:rsidR="00141F58" w:rsidRPr="00E750DB" w:rsidRDefault="00141F58" w:rsidP="00117002">
      <w:pPr>
        <w:pStyle w:val="TableFigureFooter"/>
      </w:pPr>
      <w:r w:rsidRPr="00E750DB">
        <w:t>AAR = Annuali</w:t>
      </w:r>
      <w:r w:rsidR="005B25BB" w:rsidRPr="00E750DB">
        <w:t>s</w:t>
      </w:r>
      <w:r w:rsidRPr="00E750DB">
        <w:t>ed Attack Rate, AHP = Acute Hepatic Porphyria, ALA = Aminolevulinic Acid, BSC = Best Supportive Care, CUA = Cost</w:t>
      </w:r>
      <w:r w:rsidR="00E072B9">
        <w:noBreakHyphen/>
      </w:r>
      <w:r w:rsidRPr="00E750DB">
        <w:t>Utility Analysis, HRQoL = Health</w:t>
      </w:r>
      <w:r w:rsidR="00E072B9">
        <w:noBreakHyphen/>
      </w:r>
      <w:r w:rsidRPr="00E750DB">
        <w:t>Related Quality of Life, LY = Life Year, OLE = Open</w:t>
      </w:r>
      <w:r w:rsidR="00E072B9">
        <w:noBreakHyphen/>
      </w:r>
      <w:r w:rsidRPr="00E750DB">
        <w:t>Label Extension, PBG = Porphobilinogen, PBS = Pharmaceutical Benefits Scheme, QALYs = Quality</w:t>
      </w:r>
      <w:r w:rsidR="00E072B9">
        <w:noBreakHyphen/>
      </w:r>
      <w:r w:rsidRPr="00E750DB">
        <w:t>Adjusted Life Years, ULN = Upper Limit of Normal,</w:t>
      </w:r>
    </w:p>
    <w:p w14:paraId="59A0ADEF" w14:textId="2EC50CB8" w:rsidR="00A65FDB" w:rsidRPr="00E750DB" w:rsidRDefault="00A77034" w:rsidP="00E072B9">
      <w:pPr>
        <w:pStyle w:val="3-BodyText"/>
      </w:pPr>
      <w:r w:rsidRPr="00E750DB">
        <w:t>In the absence of a standard classification system to define disease severity in AHP, the submission categorised patients as follows: ‘Recurrent’ (</w:t>
      </w:r>
      <w:r w:rsidR="00BD03FD">
        <w:t xml:space="preserve">&gt; </w:t>
      </w:r>
      <w:r w:rsidRPr="00E750DB">
        <w:t xml:space="preserve">4 attacks per year), ‘Symptomatic’ (≥1 attack per year), and ‘Asymptomatic’ (no attacks) based on Neeleman 2018. </w:t>
      </w:r>
      <w:r w:rsidR="00A87FF5" w:rsidRPr="00E750DB">
        <w:t xml:space="preserve">The submission considered it crude to group all patients with </w:t>
      </w:r>
      <w:r w:rsidR="00BD03FD">
        <w:t>&gt;</w:t>
      </w:r>
      <w:r w:rsidR="00A550BD">
        <w:t xml:space="preserve"> </w:t>
      </w:r>
      <w:r w:rsidR="00A87FF5" w:rsidRPr="00E750DB">
        <w:t xml:space="preserve">4 attacks together, therefore a fourth health state of AAR </w:t>
      </w:r>
      <w:r w:rsidR="00BD03FD">
        <w:t>&gt;</w:t>
      </w:r>
      <w:r w:rsidR="00A550BD">
        <w:t xml:space="preserve"> </w:t>
      </w:r>
      <w:r w:rsidR="00A87FF5" w:rsidRPr="00E750DB">
        <w:t xml:space="preserve">24 was included. </w:t>
      </w:r>
      <w:r w:rsidR="00B231E3" w:rsidRPr="00E750DB">
        <w:t>The model also includes</w:t>
      </w:r>
      <w:r w:rsidR="004526DC" w:rsidRPr="00E750DB">
        <w:t xml:space="preserve"> an additional health state of ‘asymptomatic post menopause’ which patient</w:t>
      </w:r>
      <w:r w:rsidR="00B231E3" w:rsidRPr="00E750DB">
        <w:t>s</w:t>
      </w:r>
      <w:r w:rsidR="004526DC" w:rsidRPr="00E750DB">
        <w:t xml:space="preserve"> may transition to at the cycle post menopause. Patients in this health state are assumed to be the same as the asymptomatic (AAR=0) health state </w:t>
      </w:r>
      <w:r w:rsidR="001C355C" w:rsidRPr="00E750DB">
        <w:t>but</w:t>
      </w:r>
      <w:r w:rsidR="004526DC" w:rsidRPr="00E750DB">
        <w:t xml:space="preserve"> will not receive any active treatment.</w:t>
      </w:r>
      <w:r w:rsidR="00A65FDB" w:rsidRPr="00E750DB">
        <w:t xml:space="preserve"> </w:t>
      </w:r>
      <w:r w:rsidR="001C355C" w:rsidRPr="00915DBD">
        <w:rPr>
          <w:iCs/>
        </w:rPr>
        <w:t>The Commentary noted that</w:t>
      </w:r>
      <w:r w:rsidR="001C355C" w:rsidRPr="00E750DB">
        <w:t xml:space="preserve"> t</w:t>
      </w:r>
      <w:r w:rsidR="00A65FDB" w:rsidRPr="00E750DB">
        <w:t xml:space="preserve">here was a lack of correlation between AAR and health related quality of life (HRQoL) in ENVISION, which undermined the validity of using AAR </w:t>
      </w:r>
      <w:r w:rsidR="006E0293" w:rsidRPr="00E750DB">
        <w:t>to inform</w:t>
      </w:r>
      <w:r w:rsidR="00A65FDB" w:rsidRPr="00E750DB">
        <w:t xml:space="preserve"> health state</w:t>
      </w:r>
      <w:r w:rsidR="006E0293" w:rsidRPr="00E750DB">
        <w:t>s</w:t>
      </w:r>
      <w:r w:rsidR="00A65FDB" w:rsidRPr="00E750DB">
        <w:t xml:space="preserve"> in the economic model.</w:t>
      </w:r>
    </w:p>
    <w:p w14:paraId="27FD0452" w14:textId="35DBC413" w:rsidR="000C6FC3" w:rsidRPr="00E750DB" w:rsidRDefault="00A77034" w:rsidP="00E072B9">
      <w:pPr>
        <w:pStyle w:val="3-BodyText"/>
      </w:pPr>
      <w:bookmarkStart w:id="45" w:name="_Ref197976985"/>
      <w:r w:rsidRPr="00E750DB">
        <w:t>While the submission cite</w:t>
      </w:r>
      <w:r w:rsidR="000C6FC3" w:rsidRPr="00E750DB">
        <w:t>d</w:t>
      </w:r>
      <w:r w:rsidRPr="00E750DB">
        <w:t xml:space="preserve"> Neeleman 2018 to justify its classification of disease severity, noting that the study demonstrated a relationship between attack frequency and overall disease burden, the applicability of </w:t>
      </w:r>
      <w:r w:rsidR="00373708" w:rsidRPr="00E750DB">
        <w:t>Neeleman 2018</w:t>
      </w:r>
      <w:r w:rsidRPr="00E750DB">
        <w:t xml:space="preserve"> to the model may be uncertain </w:t>
      </w:r>
      <w:r w:rsidR="0060648B" w:rsidRPr="00E750DB">
        <w:t>as</w:t>
      </w:r>
      <w:r w:rsidR="000C6FC3" w:rsidRPr="00E750DB">
        <w:t>:</w:t>
      </w:r>
      <w:bookmarkEnd w:id="45"/>
    </w:p>
    <w:p w14:paraId="1D1212FD" w14:textId="6726CF0B" w:rsidR="00A77034" w:rsidRPr="00E750DB" w:rsidRDefault="00A77034" w:rsidP="000869D3">
      <w:pPr>
        <w:pStyle w:val="3-BodyText"/>
        <w:numPr>
          <w:ilvl w:val="0"/>
          <w:numId w:val="10"/>
        </w:numPr>
        <w:ind w:left="1134" w:hanging="425"/>
      </w:pPr>
      <w:r w:rsidRPr="00E750DB">
        <w:t xml:space="preserve">The definition of an attack in Neeleman 2018 </w:t>
      </w:r>
      <w:r w:rsidR="0060648B" w:rsidRPr="00E750DB">
        <w:t>(</w:t>
      </w:r>
      <w:r w:rsidRPr="00E750DB">
        <w:t xml:space="preserve">an episode of abdominal pain in parallel with a significant rise in urinary ALA and PBG levels </w:t>
      </w:r>
      <w:r w:rsidR="00EB084B" w:rsidRPr="00E750DB">
        <w:t xml:space="preserve">of </w:t>
      </w:r>
      <w:r w:rsidRPr="00E750DB">
        <w:t>≥ 4 times upper limit of normal and a verified visit or admission to a hospital for diagnosis and treatment</w:t>
      </w:r>
      <w:r w:rsidR="0060648B" w:rsidRPr="00E750DB">
        <w:t xml:space="preserve">) </w:t>
      </w:r>
      <w:r w:rsidR="00EB084B" w:rsidRPr="00E750DB">
        <w:t xml:space="preserve">was narrower than </w:t>
      </w:r>
      <w:r w:rsidR="0060648B" w:rsidRPr="00E750DB">
        <w:t>t</w:t>
      </w:r>
      <w:r w:rsidRPr="00E750DB">
        <w:t xml:space="preserve">he definition of an attack in ENVISION </w:t>
      </w:r>
      <w:r w:rsidR="0060648B" w:rsidRPr="00E750DB">
        <w:t xml:space="preserve">(an attack </w:t>
      </w:r>
      <w:r w:rsidRPr="00E750DB">
        <w:t>requiring hospitalisation, an urgent healthcare visit, or IV hemin administration at home</w:t>
      </w:r>
      <w:r w:rsidR="0060648B" w:rsidRPr="00E750DB">
        <w:t>)</w:t>
      </w:r>
      <w:r w:rsidR="00E82766" w:rsidRPr="00E750DB">
        <w:t xml:space="preserve"> and the requested restriction (attack requiring hospitalisation, presentation at an emergency department or medical intervention via a porphyria clinic) due to the inclusion of biochemical </w:t>
      </w:r>
      <w:r w:rsidR="004172D6" w:rsidRPr="00E750DB">
        <w:t>measurements and a specific symptom (abdominal pain) and setting (hospital only)</w:t>
      </w:r>
      <w:r w:rsidR="00CF1026" w:rsidRPr="00E750DB">
        <w:t>.</w:t>
      </w:r>
    </w:p>
    <w:p w14:paraId="01AEE8AB" w14:textId="6DDB8550" w:rsidR="00010E7B" w:rsidRPr="00E750DB" w:rsidRDefault="00010E7B" w:rsidP="000869D3">
      <w:pPr>
        <w:pStyle w:val="3-BodyText"/>
        <w:numPr>
          <w:ilvl w:val="0"/>
          <w:numId w:val="10"/>
        </w:numPr>
        <w:ind w:left="1134" w:hanging="425"/>
      </w:pPr>
      <w:r w:rsidRPr="00E750DB">
        <w:t xml:space="preserve">The definition of ‘symptomatic’ and ‘recurrent’ in Neeleman 2018 was misrepresented by the submission and </w:t>
      </w:r>
      <w:r w:rsidR="00CF1026" w:rsidRPr="00E750DB">
        <w:t xml:space="preserve">was </w:t>
      </w:r>
      <w:r w:rsidRPr="00E750DB">
        <w:t>not aligned with the submission’s assumptions:</w:t>
      </w:r>
    </w:p>
    <w:p w14:paraId="1628781F" w14:textId="1E2901FE" w:rsidR="00010E7B" w:rsidRPr="00E750DB" w:rsidRDefault="00010E7B" w:rsidP="000869D3">
      <w:pPr>
        <w:pStyle w:val="3-BodyText"/>
        <w:numPr>
          <w:ilvl w:val="1"/>
          <w:numId w:val="10"/>
        </w:numPr>
        <w:ind w:left="1701" w:hanging="425"/>
      </w:pPr>
      <w:r w:rsidRPr="00E750DB">
        <w:t>‘</w:t>
      </w:r>
      <w:r w:rsidR="008D1BD7" w:rsidRPr="00E750DB">
        <w:t>S</w:t>
      </w:r>
      <w:r w:rsidRPr="00E750DB">
        <w:t xml:space="preserve">ymptomatic’ in the submission’s economic model was assumed to reflect an AAR </w:t>
      </w:r>
      <w:r w:rsidR="00BD03FD">
        <w:t>&gt;</w:t>
      </w:r>
      <w:r w:rsidR="00A550BD">
        <w:t xml:space="preserve"> </w:t>
      </w:r>
      <w:r w:rsidRPr="00E750DB">
        <w:t>0 to ≤</w:t>
      </w:r>
      <w:r w:rsidR="004230A9">
        <w:t xml:space="preserve"> </w:t>
      </w:r>
      <w:r w:rsidRPr="00E750DB">
        <w:t>4. In Neeleman 2018, ‘symptomatic’ was defined as having experienced one or more confirmed acute porphyric attack</w:t>
      </w:r>
      <w:r w:rsidR="00252177" w:rsidRPr="00E750DB">
        <w:t>s</w:t>
      </w:r>
      <w:r w:rsidRPr="00E750DB">
        <w:t>, and not as an annualised rate</w:t>
      </w:r>
      <w:r w:rsidR="00FD5784" w:rsidRPr="00E750DB">
        <w:t>,</w:t>
      </w:r>
      <w:r w:rsidRPr="00E750DB">
        <w:t xml:space="preserve"> i.e. any patient with at least </w:t>
      </w:r>
      <w:r w:rsidR="00252177" w:rsidRPr="00E750DB">
        <w:t xml:space="preserve">one </w:t>
      </w:r>
      <w:r w:rsidR="00F00140" w:rsidRPr="00E750DB">
        <w:t>attack</w:t>
      </w:r>
      <w:r w:rsidRPr="00E750DB">
        <w:t xml:space="preserve"> ever during the follow up period would be considered symptomatic. </w:t>
      </w:r>
      <w:r w:rsidR="0078246A" w:rsidRPr="00E750DB">
        <w:t>S</w:t>
      </w:r>
      <w:r w:rsidRPr="00E750DB">
        <w:t xml:space="preserve">ome patients </w:t>
      </w:r>
      <w:r w:rsidR="008D1BD7" w:rsidRPr="00E750DB">
        <w:t xml:space="preserve">with </w:t>
      </w:r>
      <w:r w:rsidRPr="00E750DB">
        <w:t>only one attack from 60 years of follow</w:t>
      </w:r>
      <w:r w:rsidR="00E072B9">
        <w:noBreakHyphen/>
      </w:r>
      <w:r w:rsidRPr="00E750DB">
        <w:t>up were considered as ‘symptomatic’</w:t>
      </w:r>
      <w:r w:rsidR="0078246A" w:rsidRPr="00E750DB">
        <w:t xml:space="preserve"> in Neeleman 2018, whereas these patients would likely be considered ‘asymptomatic’ for </w:t>
      </w:r>
      <w:proofErr w:type="gramStart"/>
      <w:r w:rsidR="0078246A" w:rsidRPr="00E750DB">
        <w:t>the majority of</w:t>
      </w:r>
      <w:proofErr w:type="gramEnd"/>
      <w:r w:rsidR="0078246A" w:rsidRPr="00E750DB">
        <w:t xml:space="preserve"> their life in the model</w:t>
      </w:r>
      <w:r w:rsidR="008D1BD7" w:rsidRPr="00E750DB">
        <w:t>.</w:t>
      </w:r>
    </w:p>
    <w:p w14:paraId="304453FF" w14:textId="39D427E7" w:rsidR="00A77034" w:rsidRPr="00E750DB" w:rsidRDefault="00A77034" w:rsidP="000869D3">
      <w:pPr>
        <w:pStyle w:val="3-BodyText"/>
        <w:numPr>
          <w:ilvl w:val="1"/>
          <w:numId w:val="10"/>
        </w:numPr>
        <w:ind w:left="1701" w:hanging="425"/>
      </w:pPr>
      <w:r w:rsidRPr="00E750DB">
        <w:t>‘</w:t>
      </w:r>
      <w:r w:rsidR="008D1BD7" w:rsidRPr="00E750DB">
        <w:t>R</w:t>
      </w:r>
      <w:r w:rsidRPr="00E750DB">
        <w:t>ecurrent’ in the submission’s economic</w:t>
      </w:r>
      <w:r w:rsidR="0038342C">
        <w:t xml:space="preserve"> model</w:t>
      </w:r>
      <w:r w:rsidRPr="00E750DB">
        <w:t xml:space="preserve"> was assumed to reflect an AAR </w:t>
      </w:r>
      <w:r w:rsidR="00BD03FD">
        <w:t>&gt;</w:t>
      </w:r>
      <w:r w:rsidR="00A550BD">
        <w:t xml:space="preserve"> </w:t>
      </w:r>
      <w:r w:rsidRPr="00E750DB">
        <w:t>4 to ≤</w:t>
      </w:r>
      <w:r w:rsidR="004230A9">
        <w:t xml:space="preserve"> </w:t>
      </w:r>
      <w:r w:rsidRPr="00E750DB">
        <w:t>24. In Neeleman 2018, recurrent cases were defined as having more than four attacks in any year, or on prophylactic h</w:t>
      </w:r>
      <w:r w:rsidR="00CC1E51" w:rsidRPr="00E750DB">
        <w:t>a</w:t>
      </w:r>
      <w:r w:rsidRPr="00E750DB">
        <w:t xml:space="preserve">em therapy, which was a broader definition than the submission. </w:t>
      </w:r>
      <w:r w:rsidR="00141662" w:rsidRPr="00E750DB">
        <w:t xml:space="preserve">Neeleman 2018 </w:t>
      </w:r>
      <w:r w:rsidR="002D7F84" w:rsidRPr="00E750DB">
        <w:t xml:space="preserve">also </w:t>
      </w:r>
      <w:r w:rsidR="00141662" w:rsidRPr="00E750DB">
        <w:t xml:space="preserve">did not include an upper limit of 24 attacks per year. </w:t>
      </w:r>
    </w:p>
    <w:p w14:paraId="2A5B1C5A" w14:textId="575CA387" w:rsidR="00EE3BCA" w:rsidRPr="00E750DB" w:rsidRDefault="002D7F84" w:rsidP="00E072B9">
      <w:pPr>
        <w:pStyle w:val="3-BodyText"/>
      </w:pPr>
      <w:bookmarkStart w:id="46" w:name="_Ref197968141"/>
      <w:bookmarkStart w:id="47" w:name="_Ref198008701"/>
      <w:r w:rsidRPr="00E750DB">
        <w:t>The inclusion of an AAR</w:t>
      </w:r>
      <w:r w:rsidR="00252177" w:rsidRPr="00E750DB">
        <w:t xml:space="preserve"> </w:t>
      </w:r>
      <w:r w:rsidR="00BD03FD">
        <w:t>&gt;</w:t>
      </w:r>
      <w:r w:rsidR="00A550BD">
        <w:t xml:space="preserve"> </w:t>
      </w:r>
      <w:r w:rsidRPr="00E750DB">
        <w:t xml:space="preserve">24 health state </w:t>
      </w:r>
      <w:r w:rsidR="00A77034" w:rsidRPr="00E750DB">
        <w:t xml:space="preserve">was not consistent with Neeleman 2018 and </w:t>
      </w:r>
      <w:r w:rsidR="00842BC3" w:rsidRPr="00E750DB">
        <w:t>its inclusion favoured givosiran</w:t>
      </w:r>
      <w:r w:rsidR="00A77034" w:rsidRPr="00E750DB">
        <w:t xml:space="preserve">. </w:t>
      </w:r>
      <w:r w:rsidRPr="00E750DB">
        <w:t>In the base case,</w:t>
      </w:r>
      <w:r w:rsidR="0095173B" w:rsidRPr="00E750DB">
        <w:t xml:space="preserve"> the model estimated that patients in the BSC arm would experience 672 attacks </w:t>
      </w:r>
      <w:r w:rsidR="00450B57" w:rsidRPr="00E750DB">
        <w:t xml:space="preserve">compared to 15 attacks in the givosiran arm </w:t>
      </w:r>
      <w:r w:rsidR="0095173B" w:rsidRPr="00E750DB">
        <w:t xml:space="preserve">during the modelled time horizon of 62 years. </w:t>
      </w:r>
      <w:r w:rsidR="00F511D0" w:rsidRPr="00E750DB">
        <w:t xml:space="preserve">The high number of attacks in the </w:t>
      </w:r>
      <w:r w:rsidR="005B575E" w:rsidRPr="00E750DB">
        <w:t xml:space="preserve">BSC arm was </w:t>
      </w:r>
      <w:r w:rsidR="00F511D0" w:rsidRPr="00E750DB">
        <w:t xml:space="preserve">driven by the AAR </w:t>
      </w:r>
      <w:r w:rsidR="00BD03FD">
        <w:t>&gt;</w:t>
      </w:r>
      <w:r w:rsidR="00A550BD">
        <w:t xml:space="preserve"> </w:t>
      </w:r>
      <w:r w:rsidR="00F511D0" w:rsidRPr="00E750DB">
        <w:t>24 health state in which patient</w:t>
      </w:r>
      <w:r w:rsidR="005B575E" w:rsidRPr="00E750DB">
        <w:t>s</w:t>
      </w:r>
      <w:r w:rsidR="00F511D0" w:rsidRPr="00E750DB">
        <w:t xml:space="preserve"> w</w:t>
      </w:r>
      <w:r w:rsidR="005B575E" w:rsidRPr="00E750DB">
        <w:t>ere</w:t>
      </w:r>
      <w:r w:rsidR="00F511D0" w:rsidRPr="00E750DB">
        <w:t xml:space="preserve"> assumed to have 33.1 attacks per year </w:t>
      </w:r>
      <w:r w:rsidR="0058651B" w:rsidRPr="00E750DB">
        <w:t>(</w:t>
      </w:r>
      <w:r w:rsidR="00F511D0" w:rsidRPr="00E750DB">
        <w:t xml:space="preserve">see </w:t>
      </w:r>
      <w:r w:rsidR="00F511D0" w:rsidRPr="00E750DB">
        <w:fldChar w:fldCharType="begin" w:fldLock="1"/>
      </w:r>
      <w:r w:rsidR="00F511D0" w:rsidRPr="00E750DB">
        <w:instrText xml:space="preserve"> REF _Ref197969355 \h  \* MERGEFORMAT </w:instrText>
      </w:r>
      <w:r w:rsidR="00F511D0" w:rsidRPr="00E750DB">
        <w:fldChar w:fldCharType="separate"/>
      </w:r>
      <w:r w:rsidR="00E750DB" w:rsidRPr="00E750DB">
        <w:t>Table 9</w:t>
      </w:r>
      <w:r w:rsidR="00F511D0" w:rsidRPr="00E750DB">
        <w:fldChar w:fldCharType="end"/>
      </w:r>
      <w:r w:rsidR="00F511D0" w:rsidRPr="00E750DB">
        <w:t>)</w:t>
      </w:r>
      <w:r w:rsidR="00C146BB" w:rsidRPr="00E750DB">
        <w:t xml:space="preserve">, </w:t>
      </w:r>
      <w:r w:rsidR="0042146C" w:rsidRPr="00E750DB">
        <w:t xml:space="preserve">or a </w:t>
      </w:r>
      <w:r w:rsidR="0033599D" w:rsidRPr="00E750DB">
        <w:t>total of 672 attacks over the lifetime horizon in the BSC arm.</w:t>
      </w:r>
      <w:r w:rsidR="00F511D0" w:rsidRPr="00E750DB">
        <w:t xml:space="preserve"> </w:t>
      </w:r>
      <w:r w:rsidR="0095173B" w:rsidRPr="00E750DB">
        <w:t xml:space="preserve">Comparatively, </w:t>
      </w:r>
      <w:r w:rsidR="009E550B" w:rsidRPr="00E750DB">
        <w:t xml:space="preserve">among the 11 patients classified as ‘recurrent’ in Neeleman 2018, </w:t>
      </w:r>
      <w:r w:rsidR="0095173B" w:rsidRPr="00E750DB">
        <w:t>t</w:t>
      </w:r>
      <w:r w:rsidR="00A77034" w:rsidRPr="00E750DB">
        <w:t xml:space="preserve">he highest number of attacks reported in </w:t>
      </w:r>
      <w:r w:rsidR="0095173B" w:rsidRPr="00E750DB">
        <w:t xml:space="preserve">any </w:t>
      </w:r>
      <w:r w:rsidR="00A77034" w:rsidRPr="00E750DB">
        <w:t>one patient in any given year was 13 attacks, and only one other patient had any one</w:t>
      </w:r>
      <w:r w:rsidR="00E072B9">
        <w:noBreakHyphen/>
      </w:r>
      <w:r w:rsidR="00A77034" w:rsidRPr="00E750DB">
        <w:t xml:space="preserve">year period during which they experienced more than four attacks (which was five). </w:t>
      </w:r>
      <w:r w:rsidR="00450B57" w:rsidRPr="00E750DB">
        <w:t>No patient in Neeleman 2018 experienced more than 54 attacks in their lifetime</w:t>
      </w:r>
      <w:r w:rsidR="00A77034" w:rsidRPr="00E750DB">
        <w:t>.</w:t>
      </w:r>
      <w:bookmarkEnd w:id="46"/>
      <w:r w:rsidR="00CE794C" w:rsidRPr="00E750DB">
        <w:t xml:space="preserve"> </w:t>
      </w:r>
    </w:p>
    <w:p w14:paraId="48572B43" w14:textId="4BC6CBF5" w:rsidR="00A77034" w:rsidRPr="00E750DB" w:rsidRDefault="00B076DB" w:rsidP="00E072B9">
      <w:pPr>
        <w:pStyle w:val="3-BodyText"/>
      </w:pPr>
      <w:r w:rsidRPr="00915DBD">
        <w:rPr>
          <w:iCs/>
        </w:rPr>
        <w:t xml:space="preserve">The PSCR </w:t>
      </w:r>
      <w:r w:rsidR="00630097">
        <w:rPr>
          <w:iCs/>
        </w:rPr>
        <w:t>and Pre</w:t>
      </w:r>
      <w:r w:rsidR="00E072B9">
        <w:rPr>
          <w:iCs/>
        </w:rPr>
        <w:noBreakHyphen/>
      </w:r>
      <w:r w:rsidR="00630097">
        <w:rPr>
          <w:iCs/>
        </w:rPr>
        <w:t xml:space="preserve">PBAC response </w:t>
      </w:r>
      <w:r w:rsidRPr="00915DBD">
        <w:rPr>
          <w:iCs/>
        </w:rPr>
        <w:t>reiterated that it was</w:t>
      </w:r>
      <w:r w:rsidR="00EA61E7" w:rsidRPr="00915DBD">
        <w:rPr>
          <w:iCs/>
        </w:rPr>
        <w:t xml:space="preserve"> important to include a separate health state with annualised attack rate (AAR) </w:t>
      </w:r>
      <w:r w:rsidR="00BD03FD">
        <w:rPr>
          <w:iCs/>
        </w:rPr>
        <w:t>&gt;</w:t>
      </w:r>
      <w:r w:rsidR="00A550BD">
        <w:rPr>
          <w:iCs/>
        </w:rPr>
        <w:t xml:space="preserve"> </w:t>
      </w:r>
      <w:r w:rsidR="00EA61E7" w:rsidRPr="00915DBD">
        <w:rPr>
          <w:iCs/>
        </w:rPr>
        <w:t>24 because there was a subset of</w:t>
      </w:r>
      <w:r w:rsidR="00A550BD">
        <w:rPr>
          <w:iCs/>
        </w:rPr>
        <w:t xml:space="preserve"> </w:t>
      </w:r>
      <w:r w:rsidR="00EA61E7" w:rsidRPr="00915DBD">
        <w:rPr>
          <w:iCs/>
        </w:rPr>
        <w:t>patients with AHP who experience a very high AAR</w:t>
      </w:r>
      <w:r w:rsidR="00D045A2" w:rsidRPr="00915DBD">
        <w:rPr>
          <w:iCs/>
        </w:rPr>
        <w:t>.</w:t>
      </w:r>
      <w:r w:rsidR="0027320E" w:rsidRPr="00915DBD">
        <w:rPr>
          <w:iCs/>
        </w:rPr>
        <w:t xml:space="preserve"> </w:t>
      </w:r>
      <w:r w:rsidR="00324522" w:rsidRPr="00915DBD">
        <w:t>The Sub</w:t>
      </w:r>
      <w:r w:rsidR="00E072B9">
        <w:rPr>
          <w:iCs/>
        </w:rPr>
        <w:noBreakHyphen/>
      </w:r>
      <w:r w:rsidR="00324522" w:rsidRPr="00915DBD">
        <w:t xml:space="preserve">Committees </w:t>
      </w:r>
      <w:r w:rsidR="00EE3BCA" w:rsidRPr="00915DBD">
        <w:t xml:space="preserve">noted that Neeleman 2018 </w:t>
      </w:r>
      <w:r w:rsidR="00407F14" w:rsidRPr="00915DBD">
        <w:t xml:space="preserve">studied the </w:t>
      </w:r>
      <w:r w:rsidR="00664BFD" w:rsidRPr="00915DBD">
        <w:t xml:space="preserve">lifetime probability of attacks, and </w:t>
      </w:r>
      <w:r w:rsidR="007807E8" w:rsidRPr="00915DBD">
        <w:t xml:space="preserve">commented </w:t>
      </w:r>
      <w:r w:rsidR="00664BFD" w:rsidRPr="00915DBD">
        <w:t xml:space="preserve">that </w:t>
      </w:r>
      <w:r w:rsidR="00F00E20" w:rsidRPr="00915DBD">
        <w:t>porphyria is a relapsing disease</w:t>
      </w:r>
      <w:r w:rsidR="007807E8" w:rsidRPr="00915DBD">
        <w:t xml:space="preserve"> and</w:t>
      </w:r>
      <w:r w:rsidR="00664BFD" w:rsidRPr="00915DBD">
        <w:t xml:space="preserve"> not all patients</w:t>
      </w:r>
      <w:r w:rsidR="00F00E20" w:rsidRPr="00915DBD">
        <w:t xml:space="preserve"> </w:t>
      </w:r>
      <w:r w:rsidR="009D7499" w:rsidRPr="00915DBD">
        <w:t xml:space="preserve">would </w:t>
      </w:r>
      <w:r w:rsidR="00F00E20" w:rsidRPr="00915DBD">
        <w:t>experience an attack every year</w:t>
      </w:r>
      <w:r w:rsidR="006F7B1B" w:rsidRPr="00915DBD">
        <w:t>.</w:t>
      </w:r>
      <w:r w:rsidR="00C6536D" w:rsidRPr="00915DBD">
        <w:t xml:space="preserve"> The Sub</w:t>
      </w:r>
      <w:r w:rsidR="00E072B9">
        <w:rPr>
          <w:iCs/>
        </w:rPr>
        <w:noBreakHyphen/>
      </w:r>
      <w:r w:rsidR="00C6536D" w:rsidRPr="00915DBD">
        <w:t xml:space="preserve">Committees </w:t>
      </w:r>
      <w:r w:rsidR="00D045A2" w:rsidRPr="00915DBD">
        <w:rPr>
          <w:iCs/>
        </w:rPr>
        <w:t xml:space="preserve">noted that </w:t>
      </w:r>
      <w:r w:rsidR="00147F04" w:rsidRPr="00915DBD">
        <w:rPr>
          <w:iCs/>
        </w:rPr>
        <w:t xml:space="preserve">the number of </w:t>
      </w:r>
      <w:r w:rsidR="009C1A06" w:rsidRPr="00915DBD">
        <w:rPr>
          <w:iCs/>
        </w:rPr>
        <w:t xml:space="preserve">attacks per year was a </w:t>
      </w:r>
      <w:r w:rsidR="005E27D5" w:rsidRPr="00915DBD">
        <w:rPr>
          <w:iCs/>
        </w:rPr>
        <w:t>proportion</w:t>
      </w:r>
      <w:r w:rsidR="009C1A06" w:rsidRPr="00915DBD">
        <w:rPr>
          <w:iCs/>
        </w:rPr>
        <w:t xml:space="preserve"> of the number per lifetime</w:t>
      </w:r>
      <w:r w:rsidR="00F246E0" w:rsidRPr="00915DBD">
        <w:rPr>
          <w:iCs/>
        </w:rPr>
        <w:t>,</w:t>
      </w:r>
      <w:r w:rsidR="009C1A06" w:rsidRPr="00915DBD">
        <w:rPr>
          <w:iCs/>
        </w:rPr>
        <w:t xml:space="preserve"> and </w:t>
      </w:r>
      <w:r w:rsidR="00C6536D" w:rsidRPr="00915DBD">
        <w:t>commented</w:t>
      </w:r>
      <w:r w:rsidR="00C6536D" w:rsidRPr="00E750DB">
        <w:t xml:space="preserve"> </w:t>
      </w:r>
      <w:r w:rsidR="00CB0241" w:rsidRPr="00E750DB">
        <w:t xml:space="preserve">that the number of attacks in the model </w:t>
      </w:r>
      <w:r w:rsidR="00EE3BCA" w:rsidRPr="00E750DB">
        <w:t>was</w:t>
      </w:r>
      <w:r w:rsidR="00CB0241" w:rsidRPr="00E750DB">
        <w:t xml:space="preserve"> substantially overestimated, favouring givosiran.</w:t>
      </w:r>
      <w:bookmarkEnd w:id="47"/>
    </w:p>
    <w:p w14:paraId="50108A0C" w14:textId="564C5D76" w:rsidR="00544725" w:rsidRPr="00915DBD" w:rsidRDefault="00081F9E" w:rsidP="00E072B9">
      <w:pPr>
        <w:pStyle w:val="3-BodyText"/>
        <w:rPr>
          <w:iCs/>
        </w:rPr>
      </w:pPr>
      <w:r w:rsidRPr="00915DBD">
        <w:rPr>
          <w:iCs/>
        </w:rPr>
        <w:t xml:space="preserve">The PSCR </w:t>
      </w:r>
      <w:r w:rsidR="00B84089" w:rsidRPr="00915DBD">
        <w:rPr>
          <w:iCs/>
        </w:rPr>
        <w:t>noted that</w:t>
      </w:r>
      <w:r w:rsidR="00626B76" w:rsidRPr="00915DBD">
        <w:rPr>
          <w:iCs/>
        </w:rPr>
        <w:t>, “G</w:t>
      </w:r>
      <w:r w:rsidR="00B84089" w:rsidRPr="00915DBD">
        <w:rPr>
          <w:iCs/>
        </w:rPr>
        <w:t xml:space="preserve">rouping all patients with </w:t>
      </w:r>
      <w:r w:rsidR="00BD03FD">
        <w:rPr>
          <w:iCs/>
        </w:rPr>
        <w:t>&gt;</w:t>
      </w:r>
      <w:r w:rsidR="00A550BD">
        <w:rPr>
          <w:iCs/>
        </w:rPr>
        <w:t xml:space="preserve"> </w:t>
      </w:r>
      <w:r w:rsidR="00B84089" w:rsidRPr="00915DBD">
        <w:rPr>
          <w:iCs/>
        </w:rPr>
        <w:t xml:space="preserve">4 attacks per year in one health state would not allow the model to differentiate the burden of disease for a patient with an AAR of 5 from a patient with an AAR of 25. </w:t>
      </w:r>
      <w:r w:rsidR="00FB0670" w:rsidRPr="00915DBD">
        <w:rPr>
          <w:iCs/>
        </w:rPr>
        <w:t xml:space="preserve">HRQoL data from ENVISION shows that patients with </w:t>
      </w:r>
      <w:r w:rsidR="00BD03FD">
        <w:rPr>
          <w:iCs/>
        </w:rPr>
        <w:t>&gt;</w:t>
      </w:r>
      <w:r w:rsidR="00A550BD">
        <w:rPr>
          <w:iCs/>
        </w:rPr>
        <w:t xml:space="preserve"> </w:t>
      </w:r>
      <w:r w:rsidR="00FB0670" w:rsidRPr="00915DBD">
        <w:rPr>
          <w:iCs/>
        </w:rPr>
        <w:t xml:space="preserve">24 attacks per year experience clinically meaningfully worse disease than patients who have </w:t>
      </w:r>
      <w:r w:rsidR="00BD03FD">
        <w:rPr>
          <w:iCs/>
        </w:rPr>
        <w:t>&gt;</w:t>
      </w:r>
      <w:r w:rsidR="00A550BD">
        <w:rPr>
          <w:iCs/>
        </w:rPr>
        <w:t xml:space="preserve"> </w:t>
      </w:r>
      <w:r w:rsidR="00FB0670" w:rsidRPr="00915DBD">
        <w:rPr>
          <w:iCs/>
        </w:rPr>
        <w:t>4 but ≤24 attacks per year.</w:t>
      </w:r>
      <w:r w:rsidR="00626B76" w:rsidRPr="00915DBD">
        <w:rPr>
          <w:iCs/>
        </w:rPr>
        <w:t>”</w:t>
      </w:r>
      <w:r w:rsidR="00FB0670" w:rsidRPr="00915DBD">
        <w:rPr>
          <w:iCs/>
        </w:rPr>
        <w:t xml:space="preserve"> </w:t>
      </w:r>
      <w:r w:rsidR="00544725" w:rsidRPr="00915DBD">
        <w:rPr>
          <w:iCs/>
        </w:rPr>
        <w:t xml:space="preserve">The </w:t>
      </w:r>
      <w:r w:rsidR="00370811" w:rsidRPr="00915DBD">
        <w:rPr>
          <w:iCs/>
        </w:rPr>
        <w:t>Sub</w:t>
      </w:r>
      <w:r w:rsidR="00E072B9">
        <w:rPr>
          <w:iCs/>
        </w:rPr>
        <w:noBreakHyphen/>
      </w:r>
      <w:r w:rsidR="00370811" w:rsidRPr="00915DBD">
        <w:rPr>
          <w:iCs/>
        </w:rPr>
        <w:t>Committees</w:t>
      </w:r>
      <w:r w:rsidR="00544725" w:rsidRPr="00915DBD">
        <w:rPr>
          <w:iCs/>
        </w:rPr>
        <w:t xml:space="preserve"> </w:t>
      </w:r>
      <w:r w:rsidR="00626B76" w:rsidRPr="00915DBD">
        <w:rPr>
          <w:iCs/>
        </w:rPr>
        <w:t xml:space="preserve">noted that despite this argument, the QoL decrement </w:t>
      </w:r>
      <w:r w:rsidR="00126E60" w:rsidRPr="00915DBD">
        <w:rPr>
          <w:iCs/>
        </w:rPr>
        <w:t xml:space="preserve">for chronic </w:t>
      </w:r>
      <w:r w:rsidR="00DE6E94" w:rsidRPr="00915DBD">
        <w:rPr>
          <w:iCs/>
        </w:rPr>
        <w:t xml:space="preserve">symptoms </w:t>
      </w:r>
      <w:r w:rsidR="00626B76" w:rsidRPr="00915DBD">
        <w:rPr>
          <w:iCs/>
        </w:rPr>
        <w:t>in the model was the same for recurrent and severe health states (0.617)</w:t>
      </w:r>
      <w:r w:rsidR="0084188E" w:rsidRPr="00915DBD">
        <w:rPr>
          <w:iCs/>
        </w:rPr>
        <w:t>.</w:t>
      </w:r>
    </w:p>
    <w:p w14:paraId="4ABBCE93" w14:textId="211B8072" w:rsidR="00810C04" w:rsidRPr="00E750DB" w:rsidRDefault="006C3765" w:rsidP="00E072B9">
      <w:pPr>
        <w:pStyle w:val="3-BodyText"/>
      </w:pPr>
      <w:r w:rsidRPr="00E750DB">
        <w:t xml:space="preserve">Assuming no patients started the model in the AAR </w:t>
      </w:r>
      <w:r w:rsidR="00BD03FD">
        <w:t>&gt;</w:t>
      </w:r>
      <w:r w:rsidR="00A550BD">
        <w:t xml:space="preserve"> </w:t>
      </w:r>
      <w:r w:rsidRPr="00E750DB">
        <w:t xml:space="preserve">24 health state increased the ICER by </w:t>
      </w:r>
      <w:r w:rsidR="00B35ACC" w:rsidRPr="00A550BD">
        <w:rPr>
          <w:color w:val="000000"/>
          <w:spacing w:val="6"/>
          <w:w w:val="61"/>
          <w:shd w:val="solid" w:color="000000" w:fill="000000"/>
          <w:fitText w:val="475" w:id="-625250043"/>
          <w14:textFill>
            <w14:solidFill>
              <w14:srgbClr w14:val="000000">
                <w14:alpha w14:val="100000"/>
              </w14:srgbClr>
            </w14:solidFill>
          </w14:textFill>
        </w:rPr>
        <w:t>|||</w:t>
      </w:r>
      <w:r w:rsidR="00A550BD" w:rsidRPr="00A550BD">
        <w:rPr>
          <w:color w:val="000000"/>
          <w:spacing w:val="6"/>
          <w:w w:val="61"/>
          <w:shd w:val="solid" w:color="000000" w:fill="000000"/>
          <w:fitText w:val="475" w:id="-625250043"/>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3"/>
          <w14:textFill>
            <w14:solidFill>
              <w14:srgbClr w14:val="000000">
                <w14:alpha w14:val="100000"/>
              </w14:srgbClr>
            </w14:solidFill>
          </w14:textFill>
        </w:rPr>
        <w:t>||</w:t>
      </w:r>
      <w:r w:rsidR="00B35ACC" w:rsidRPr="00A550BD">
        <w:rPr>
          <w:color w:val="000000"/>
          <w:spacing w:val="3"/>
          <w:w w:val="61"/>
          <w:shd w:val="solid" w:color="000000" w:fill="000000"/>
          <w:fitText w:val="475" w:id="-625250043"/>
          <w14:textFill>
            <w14:solidFill>
              <w14:srgbClr w14:val="000000">
                <w14:alpha w14:val="100000"/>
              </w14:srgbClr>
            </w14:solidFill>
          </w14:textFill>
        </w:rPr>
        <w:t>|</w:t>
      </w:r>
      <w:r w:rsidRPr="00E750DB">
        <w:t>%</w:t>
      </w:r>
      <w:r w:rsidR="00921D13" w:rsidRPr="00E750DB">
        <w:t xml:space="preserve">, and reducing the assumed number of attacks in the AAR </w:t>
      </w:r>
      <w:r w:rsidR="00BD03FD">
        <w:t>&gt;</w:t>
      </w:r>
      <w:r w:rsidR="00A550BD">
        <w:t xml:space="preserve"> </w:t>
      </w:r>
      <w:r w:rsidR="00921D13" w:rsidRPr="00E750DB">
        <w:t xml:space="preserve">24 health state from 33.1 to 28.22 (the lower 95% CI calculated by the submission) increased the ICER by </w:t>
      </w:r>
      <w:r w:rsidR="00B35ACC" w:rsidRPr="00A550BD">
        <w:rPr>
          <w:color w:val="000000"/>
          <w:spacing w:val="6"/>
          <w:w w:val="61"/>
          <w:shd w:val="solid" w:color="000000" w:fill="000000"/>
          <w:fitText w:val="475" w:id="-625250042"/>
          <w14:textFill>
            <w14:solidFill>
              <w14:srgbClr w14:val="000000">
                <w14:alpha w14:val="100000"/>
              </w14:srgbClr>
            </w14:solidFill>
          </w14:textFill>
        </w:rPr>
        <w:t>|||</w:t>
      </w:r>
      <w:r w:rsidR="00A550BD" w:rsidRPr="00A550BD">
        <w:rPr>
          <w:color w:val="000000"/>
          <w:spacing w:val="6"/>
          <w:w w:val="61"/>
          <w:shd w:val="solid" w:color="000000" w:fill="000000"/>
          <w:fitText w:val="475" w:id="-625250042"/>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2"/>
          <w14:textFill>
            <w14:solidFill>
              <w14:srgbClr w14:val="000000">
                <w14:alpha w14:val="100000"/>
              </w14:srgbClr>
            </w14:solidFill>
          </w14:textFill>
        </w:rPr>
        <w:t>||</w:t>
      </w:r>
      <w:r w:rsidR="00B35ACC" w:rsidRPr="00A550BD">
        <w:rPr>
          <w:color w:val="000000"/>
          <w:spacing w:val="3"/>
          <w:w w:val="61"/>
          <w:shd w:val="solid" w:color="000000" w:fill="000000"/>
          <w:fitText w:val="475" w:id="-625250042"/>
          <w14:textFill>
            <w14:solidFill>
              <w14:srgbClr w14:val="000000">
                <w14:alpha w14:val="100000"/>
              </w14:srgbClr>
            </w14:solidFill>
          </w14:textFill>
        </w:rPr>
        <w:t>|</w:t>
      </w:r>
      <w:r w:rsidR="00C04F5C" w:rsidRPr="00E750DB">
        <w:t>%</w:t>
      </w:r>
      <w:r w:rsidRPr="00E750DB">
        <w:t xml:space="preserve">. </w:t>
      </w:r>
      <w:r w:rsidR="00C04F5C" w:rsidRPr="00E750DB">
        <w:t xml:space="preserve">Notably, CADTH removed the health state of ‘severe’ (corresponding to AAR </w:t>
      </w:r>
      <w:r w:rsidR="00BD03FD">
        <w:t>&gt;</w:t>
      </w:r>
      <w:r w:rsidR="00A550BD">
        <w:t xml:space="preserve"> </w:t>
      </w:r>
      <w:r w:rsidR="00C04F5C" w:rsidRPr="00E750DB">
        <w:t xml:space="preserve">24) in the respecified base case. </w:t>
      </w:r>
      <w:bookmarkStart w:id="48" w:name="_Ref197968142"/>
    </w:p>
    <w:p w14:paraId="2D8A2A0C" w14:textId="41434EE6" w:rsidR="00C565EF" w:rsidRPr="00E750DB" w:rsidRDefault="00C565EF" w:rsidP="00E072B9">
      <w:pPr>
        <w:pStyle w:val="3-BodyText"/>
      </w:pPr>
      <w:bookmarkStart w:id="49" w:name="_Ref197970847"/>
      <w:bookmarkEnd w:id="48"/>
      <w:r w:rsidRPr="00E750DB">
        <w:t>Transition probabilities for givosiran were derived from the 0 to 6 months of the ENVISION (cycle 1) and the 36</w:t>
      </w:r>
      <w:r w:rsidR="00E072B9">
        <w:noBreakHyphen/>
      </w:r>
      <w:r w:rsidRPr="00E750DB">
        <w:t>month follow</w:t>
      </w:r>
      <w:r w:rsidR="00E072B9">
        <w:noBreakHyphen/>
      </w:r>
      <w:r w:rsidR="005F5EB0" w:rsidRPr="00E750DB">
        <w:t>up</w:t>
      </w:r>
      <w:r w:rsidRPr="00E750DB">
        <w:t xml:space="preserve"> of ENVISION OLE (cycles 2–6). </w:t>
      </w:r>
      <w:r w:rsidR="00FC4387" w:rsidRPr="00E750DB">
        <w:t>The transition probabilities from cycle 6 (corresponding to 30</w:t>
      </w:r>
      <w:r w:rsidR="00E072B9">
        <w:noBreakHyphen/>
      </w:r>
      <w:r w:rsidR="00FC4387" w:rsidRPr="00E750DB">
        <w:t xml:space="preserve">36 months in ENVISION OLE) </w:t>
      </w:r>
      <w:r w:rsidR="00BF75F1" w:rsidRPr="00E750DB">
        <w:t xml:space="preserve">were </w:t>
      </w:r>
      <w:r w:rsidR="00FC4387" w:rsidRPr="00E750DB">
        <w:t>assumed to apply until year</w:t>
      </w:r>
      <w:r w:rsidR="00BF75F1" w:rsidRPr="00E750DB">
        <w:t xml:space="preserve"> </w:t>
      </w:r>
      <w:r w:rsidR="00FC4387" w:rsidRPr="00E750DB">
        <w:t>5 (cycle 10), after which all patients were considered to remain in their respective health states</w:t>
      </w:r>
      <w:r w:rsidR="00E660F0" w:rsidRPr="00E750DB">
        <w:t xml:space="preserve"> until death, except for the transition from asymptomatic (AAR=0) to asymptomatic post menopause at the cycle post menopause</w:t>
      </w:r>
      <w:r w:rsidR="008B228C" w:rsidRPr="00E750DB">
        <w:t>,</w:t>
      </w:r>
      <w:r w:rsidR="00E660F0" w:rsidRPr="00E750DB">
        <w:t xml:space="preserve"> which had the same utility and costs associated with the AAR=0 health state. </w:t>
      </w:r>
      <w:r w:rsidR="00A72051" w:rsidRPr="00E750DB">
        <w:t>Only cycle 1 of the 122</w:t>
      </w:r>
      <w:r w:rsidR="00E072B9">
        <w:noBreakHyphen/>
      </w:r>
      <w:r w:rsidR="00A72051" w:rsidRPr="00E750DB">
        <w:t xml:space="preserve">cycle model included evidence from the comparative ENVISION trial. </w:t>
      </w:r>
      <w:r w:rsidRPr="00E750DB">
        <w:t xml:space="preserve">The transition probabilities </w:t>
      </w:r>
      <w:r w:rsidR="009133E3" w:rsidRPr="00E750DB">
        <w:t xml:space="preserve">afterwards </w:t>
      </w:r>
      <w:r w:rsidRPr="00E750DB">
        <w:t>were based on a small number of patients (n=48) who were randomised to givosiran in ENVISION and ENVISION OLE. It was unclear why patients (n=4</w:t>
      </w:r>
      <w:r w:rsidR="00E660F0" w:rsidRPr="00E750DB">
        <w:t>4</w:t>
      </w:r>
      <w:r w:rsidRPr="00E750DB">
        <w:t>) who were randomised to placebo in the randomised ENVISION trial who subsequently were enrolled in the open label ENVISION OLE were not included in these transitions. The number of patients within each AAR health state in ENVISION and ENVISION OLE could not be independently verified during the evaluation.</w:t>
      </w:r>
      <w:bookmarkEnd w:id="49"/>
      <w:r w:rsidR="000B1529" w:rsidRPr="00E750DB">
        <w:t xml:space="preserve"> </w:t>
      </w:r>
    </w:p>
    <w:p w14:paraId="2C11F7FA" w14:textId="303B3D0B" w:rsidR="000B1529" w:rsidRPr="00E750DB" w:rsidRDefault="000B1529" w:rsidP="00E072B9">
      <w:pPr>
        <w:pStyle w:val="3-BodyText"/>
      </w:pPr>
      <w:r w:rsidRPr="00E750DB">
        <w:t>With regards to the transition probabilities in the givosiran arm:</w:t>
      </w:r>
    </w:p>
    <w:p w14:paraId="6B32D09C" w14:textId="1FD2359C" w:rsidR="007172DA" w:rsidRPr="00E750DB" w:rsidRDefault="007172DA" w:rsidP="000869D3">
      <w:pPr>
        <w:pStyle w:val="ListParagraph"/>
        <w:numPr>
          <w:ilvl w:val="1"/>
          <w:numId w:val="7"/>
        </w:numPr>
        <w:ind w:left="1134" w:hanging="425"/>
        <w:jc w:val="both"/>
      </w:pPr>
      <w:r w:rsidRPr="00E750DB">
        <w:t xml:space="preserve">Most transitions occurred in the first 6 months and the number of patients informing transitions beyond 6 months (except for in the AAR=0 health state) </w:t>
      </w:r>
      <w:r w:rsidR="000347FE" w:rsidRPr="00E750DB">
        <w:t xml:space="preserve">was </w:t>
      </w:r>
      <w:r w:rsidRPr="00E750DB">
        <w:t xml:space="preserve">relatively small. For example, in cycle 2, almost 50% (23/47) of patients were in the AAR=0 health state, with </w:t>
      </w:r>
      <w:proofErr w:type="gramStart"/>
      <w:r w:rsidRPr="00E750DB">
        <w:t>more and more</w:t>
      </w:r>
      <w:proofErr w:type="gramEnd"/>
      <w:r w:rsidRPr="00E750DB">
        <w:t xml:space="preserve"> patients in the AAR=0 health state thereafter until by cycle 6, only eight patients remained in the </w:t>
      </w:r>
      <w:r w:rsidR="00D13798" w:rsidRPr="00E750DB">
        <w:t>non</w:t>
      </w:r>
      <w:r w:rsidR="00E072B9">
        <w:noBreakHyphen/>
      </w:r>
      <w:r w:rsidR="00D13798" w:rsidRPr="00E750DB">
        <w:t>AAR</w:t>
      </w:r>
      <w:r w:rsidRPr="00E750DB">
        <w:t>=0 health state</w:t>
      </w:r>
      <w:r w:rsidR="00ED796B" w:rsidRPr="00E750DB">
        <w:t>.</w:t>
      </w:r>
      <w:r w:rsidRPr="00E750DB">
        <w:t xml:space="preserve"> </w:t>
      </w:r>
      <w:r w:rsidR="00ED796B" w:rsidRPr="00E750DB">
        <w:t>T</w:t>
      </w:r>
      <w:r w:rsidRPr="00E750DB">
        <w:t xml:space="preserve">hese eight patients </w:t>
      </w:r>
      <w:r w:rsidR="00D41739" w:rsidRPr="00915DBD">
        <w:rPr>
          <w:iCs/>
        </w:rPr>
        <w:t>informed</w:t>
      </w:r>
      <w:r w:rsidRPr="00E750DB">
        <w:t xml:space="preserve"> transitions between all the health states (all patients in AAR=0 health state were assumed to remain in the health state)</w:t>
      </w:r>
      <w:r w:rsidR="0079021A" w:rsidRPr="00E750DB">
        <w:t xml:space="preserve"> until cycle 10</w:t>
      </w:r>
      <w:r w:rsidRPr="00E750DB">
        <w:t xml:space="preserve">. This introduces considerable uncertainty in some </w:t>
      </w:r>
      <w:r w:rsidR="00E40B7E" w:rsidRPr="00E750DB">
        <w:t xml:space="preserve">of </w:t>
      </w:r>
      <w:r w:rsidRPr="00E750DB">
        <w:t>the transition probabilities</w:t>
      </w:r>
      <w:r w:rsidR="00A256E7" w:rsidRPr="00E750DB">
        <w:t>.</w:t>
      </w:r>
    </w:p>
    <w:p w14:paraId="1779CEEF" w14:textId="3214E776" w:rsidR="007172DA" w:rsidRPr="00E750DB" w:rsidRDefault="007172DA" w:rsidP="000869D3">
      <w:pPr>
        <w:pStyle w:val="ListParagraph"/>
        <w:numPr>
          <w:ilvl w:val="1"/>
          <w:numId w:val="7"/>
        </w:numPr>
        <w:ind w:left="1134" w:hanging="425"/>
        <w:jc w:val="both"/>
      </w:pPr>
      <w:r w:rsidRPr="00E750DB">
        <w:t xml:space="preserve">Based on the transition probabilities applied, the model estimated that </w:t>
      </w:r>
      <w:proofErr w:type="gramStart"/>
      <w:r w:rsidRPr="00E750DB">
        <w:t>the majority of</w:t>
      </w:r>
      <w:proofErr w:type="gramEnd"/>
      <w:r w:rsidRPr="00E750DB">
        <w:t xml:space="preserve"> patients treated with givosiran will eventually transition to the AAR=0 health state, with no patients remaining in the AAR </w:t>
      </w:r>
      <w:r w:rsidR="00BD03FD">
        <w:t>&gt;</w:t>
      </w:r>
      <w:r w:rsidR="00A550BD">
        <w:t xml:space="preserve"> </w:t>
      </w:r>
      <w:r w:rsidRPr="00E750DB">
        <w:t xml:space="preserve">24 health state. After </w:t>
      </w:r>
      <w:r w:rsidR="00E072B9">
        <w:br/>
      </w:r>
      <w:r w:rsidRPr="00E750DB">
        <w:t xml:space="preserve">18 months in the givosiran arm (i.e. cycle 3), more than 70% of patients were estimated to be asymptomatic with a 95%+ probability of remaining asymptomatic until </w:t>
      </w:r>
      <w:r w:rsidR="00ED796B" w:rsidRPr="00E750DB">
        <w:t xml:space="preserve">cycle 10 (5 years) </w:t>
      </w:r>
      <w:r w:rsidRPr="00E750DB">
        <w:t>after which it increase</w:t>
      </w:r>
      <w:r w:rsidR="00252177" w:rsidRPr="00E750DB">
        <w:t>d</w:t>
      </w:r>
      <w:r w:rsidRPr="00E750DB">
        <w:t xml:space="preserve"> to 100%. This may be a strong and optimistic assumption given the small patient numbers used to inform the transition probabilities and the fact that only results from the first cycle were informed by the double blind ENVISION trial, and all subsequent transition probabilities </w:t>
      </w:r>
      <w:r w:rsidR="005D217A" w:rsidRPr="00E750DB">
        <w:t xml:space="preserve">were </w:t>
      </w:r>
      <w:r w:rsidRPr="00E750DB">
        <w:t>informed by the single arm open label ENVISION OLE</w:t>
      </w:r>
      <w:r w:rsidR="005D217A" w:rsidRPr="00E750DB">
        <w:t xml:space="preserve">. </w:t>
      </w:r>
      <w:r w:rsidR="00F9402D" w:rsidRPr="00E750DB">
        <w:t>This</w:t>
      </w:r>
      <w:r w:rsidRPr="00E750DB">
        <w:t xml:space="preserve"> may underestimate disease management costs in the givosiran arm and overestimate its long</w:t>
      </w:r>
      <w:r w:rsidR="00E072B9">
        <w:noBreakHyphen/>
      </w:r>
      <w:r w:rsidRPr="00E750DB">
        <w:t>term benefit</w:t>
      </w:r>
      <w:r w:rsidR="00A256E7" w:rsidRPr="00E750DB">
        <w:t>.</w:t>
      </w:r>
    </w:p>
    <w:p w14:paraId="37046DC8" w14:textId="1347A7C3" w:rsidR="007172DA" w:rsidRPr="00E750DB" w:rsidRDefault="007172DA" w:rsidP="000869D3">
      <w:pPr>
        <w:pStyle w:val="ListParagraph"/>
        <w:numPr>
          <w:ilvl w:val="1"/>
          <w:numId w:val="7"/>
        </w:numPr>
        <w:ind w:left="1134" w:hanging="425"/>
        <w:jc w:val="both"/>
      </w:pPr>
      <w:r w:rsidRPr="00E750DB">
        <w:t xml:space="preserve">Only six patients were initially in the severe (AAR </w:t>
      </w:r>
      <w:r w:rsidR="00BD03FD">
        <w:t>&gt;</w:t>
      </w:r>
      <w:r w:rsidR="00A550BD">
        <w:t xml:space="preserve"> </w:t>
      </w:r>
      <w:r w:rsidRPr="00E750DB">
        <w:t>24) health state, all of whom transitioned out after cycle 1 (0</w:t>
      </w:r>
      <w:r w:rsidR="00E072B9">
        <w:noBreakHyphen/>
      </w:r>
      <w:r w:rsidRPr="00E750DB">
        <w:t>6 months) in the givosiran arm. This health state is</w:t>
      </w:r>
      <w:r w:rsidR="00F439A8" w:rsidRPr="00E750DB">
        <w:t>,</w:t>
      </w:r>
      <w:r w:rsidRPr="00E750DB">
        <w:t xml:space="preserve"> therefore, unoccupied in the model in the givosiran arm beyond this point</w:t>
      </w:r>
      <w:r w:rsidR="00124232" w:rsidRPr="00E750DB">
        <w:t>, which</w:t>
      </w:r>
      <w:r w:rsidRPr="00E750DB">
        <w:t xml:space="preserve"> was highly favourable to givosiran</w:t>
      </w:r>
      <w:r w:rsidR="003559D5" w:rsidRPr="00E750DB">
        <w:t>.</w:t>
      </w:r>
    </w:p>
    <w:p w14:paraId="02C7EBB8" w14:textId="56A93BEC" w:rsidR="000343BA" w:rsidRPr="00E750DB" w:rsidRDefault="000343BA" w:rsidP="00E072B9">
      <w:pPr>
        <w:pStyle w:val="3-BodyText"/>
      </w:pPr>
      <w:r w:rsidRPr="00E750DB">
        <w:t xml:space="preserve">Transition </w:t>
      </w:r>
      <w:r w:rsidR="007550FE" w:rsidRPr="00E750DB">
        <w:t xml:space="preserve">probabilities </w:t>
      </w:r>
      <w:r w:rsidRPr="00E750DB">
        <w:t>for BSC w</w:t>
      </w:r>
      <w:r w:rsidR="007550FE" w:rsidRPr="00E750DB">
        <w:t>ere</w:t>
      </w:r>
      <w:r w:rsidRPr="00E750DB">
        <w:t xml:space="preserve"> based on the AAR of patients randomised to placebo </w:t>
      </w:r>
      <w:r w:rsidR="00E660F0" w:rsidRPr="00E750DB">
        <w:t xml:space="preserve">(n=44) </w:t>
      </w:r>
      <w:r w:rsidRPr="00E750DB">
        <w:t>in ENVISION</w:t>
      </w:r>
      <w:r w:rsidR="00170F12" w:rsidRPr="00E750DB">
        <w:t xml:space="preserve"> at baseline compared to at six months</w:t>
      </w:r>
      <w:r w:rsidRPr="00E750DB">
        <w:t xml:space="preserve">. </w:t>
      </w:r>
      <w:r w:rsidR="00170F12" w:rsidRPr="00E750DB">
        <w:t xml:space="preserve">The same transition was applied each cycle until cycle 10 (year 5). </w:t>
      </w:r>
      <w:r w:rsidR="00E660F0" w:rsidRPr="00E750DB">
        <w:t>Beyond year 5 the model assumed no further transitions between AHP severity health states until death, except for the transition from asymptomatic (AAR=0) to asymptomatic post menopause at the cycle post menopause</w:t>
      </w:r>
      <w:r w:rsidR="00BB0BD5" w:rsidRPr="00E750DB">
        <w:t xml:space="preserve">. This transition was </w:t>
      </w:r>
      <w:r w:rsidR="00915588" w:rsidRPr="00E750DB">
        <w:t>applied</w:t>
      </w:r>
      <w:r w:rsidR="00BB0BD5" w:rsidRPr="00E750DB">
        <w:t xml:space="preserve"> to 95% of all female patients </w:t>
      </w:r>
      <w:r w:rsidR="00A64606" w:rsidRPr="00915DBD">
        <w:rPr>
          <w:iCs/>
        </w:rPr>
        <w:t xml:space="preserve">in the </w:t>
      </w:r>
      <w:r w:rsidR="008E4985" w:rsidRPr="00915DBD">
        <w:rPr>
          <w:iCs/>
        </w:rPr>
        <w:t>AAR=0 state</w:t>
      </w:r>
      <w:r w:rsidR="008E4985" w:rsidRPr="00E750DB">
        <w:t xml:space="preserve"> </w:t>
      </w:r>
      <w:r w:rsidR="00BB0BD5" w:rsidRPr="00E750DB">
        <w:t xml:space="preserve">alive </w:t>
      </w:r>
      <w:r w:rsidR="00AF6ED6" w:rsidRPr="00E750DB">
        <w:t>at the first cycle past</w:t>
      </w:r>
      <w:r w:rsidR="00BB0BD5" w:rsidRPr="00E750DB">
        <w:t xml:space="preserve"> </w:t>
      </w:r>
      <w:r w:rsidR="00B136F6" w:rsidRPr="00E750DB">
        <w:t xml:space="preserve">the age of </w:t>
      </w:r>
      <w:r w:rsidR="00BB0BD5" w:rsidRPr="00E750DB">
        <w:t>menopause</w:t>
      </w:r>
      <w:r w:rsidR="00B136F6" w:rsidRPr="00E750DB">
        <w:t xml:space="preserve"> (51 years old in the base case)</w:t>
      </w:r>
      <w:r w:rsidR="00BB0BD5" w:rsidRPr="00E750DB">
        <w:t>. The asymp</w:t>
      </w:r>
      <w:r w:rsidR="005473EE" w:rsidRPr="00E750DB">
        <w:t>tomatic post menopause health state</w:t>
      </w:r>
      <w:r w:rsidR="00E2372F" w:rsidRPr="00E750DB">
        <w:t xml:space="preserve"> </w:t>
      </w:r>
      <w:r w:rsidR="00E660F0" w:rsidRPr="00E750DB">
        <w:t>had the same utility and costs associated with the AAR=0 health state</w:t>
      </w:r>
      <w:r w:rsidR="005473EE" w:rsidRPr="00E750DB">
        <w:t xml:space="preserve"> but all patients were assumed to be not using active treatment</w:t>
      </w:r>
      <w:r w:rsidR="00E660F0" w:rsidRPr="00E750DB">
        <w:t>.</w:t>
      </w:r>
      <w:r w:rsidR="00A550BD">
        <w:t xml:space="preserve"> </w:t>
      </w:r>
    </w:p>
    <w:p w14:paraId="276D5ED2" w14:textId="0758B5E0" w:rsidR="00917935" w:rsidRPr="00E750DB" w:rsidRDefault="00D82CD7" w:rsidP="00E072B9">
      <w:pPr>
        <w:pStyle w:val="3-BodyText"/>
      </w:pPr>
      <w:bookmarkStart w:id="50" w:name="_Ref197970851"/>
      <w:r w:rsidRPr="00E750DB">
        <w:t xml:space="preserve">Based on </w:t>
      </w:r>
      <w:r w:rsidR="00AF0322" w:rsidRPr="00E750DB">
        <w:t>six</w:t>
      </w:r>
      <w:r w:rsidR="00E072B9">
        <w:noBreakHyphen/>
      </w:r>
      <w:r w:rsidR="00AF0322" w:rsidRPr="00E750DB">
        <w:t>month data from</w:t>
      </w:r>
      <w:r w:rsidR="00971F62" w:rsidRPr="00E750DB">
        <w:t xml:space="preserve"> </w:t>
      </w:r>
      <w:r w:rsidR="00917935" w:rsidRPr="00E750DB">
        <w:t>only three patients</w:t>
      </w:r>
      <w:r w:rsidR="00AF0322" w:rsidRPr="00E750DB">
        <w:t xml:space="preserve"> in ENVISION</w:t>
      </w:r>
      <w:r w:rsidR="00917935" w:rsidRPr="00E750DB">
        <w:t>, the model assumed th</w:t>
      </w:r>
      <w:r w:rsidR="00555F67" w:rsidRPr="00E750DB">
        <w:t xml:space="preserve">at </w:t>
      </w:r>
      <w:r w:rsidR="00A70A85" w:rsidRPr="00E750DB">
        <w:t xml:space="preserve">any </w:t>
      </w:r>
      <w:r w:rsidR="00555F67" w:rsidRPr="00E750DB">
        <w:t>BSC</w:t>
      </w:r>
      <w:r w:rsidR="00917935" w:rsidRPr="00E750DB">
        <w:t xml:space="preserve"> patients </w:t>
      </w:r>
      <w:r w:rsidR="00555F67" w:rsidRPr="00E750DB">
        <w:t>in the AAR</w:t>
      </w:r>
      <w:r w:rsidR="00252177" w:rsidRPr="00E750DB">
        <w:t xml:space="preserve"> </w:t>
      </w:r>
      <w:r w:rsidR="00BD03FD">
        <w:t>&gt;</w:t>
      </w:r>
      <w:r w:rsidR="00A550BD">
        <w:t xml:space="preserve"> </w:t>
      </w:r>
      <w:r w:rsidR="00555F67" w:rsidRPr="00E750DB">
        <w:t xml:space="preserve">24 health state </w:t>
      </w:r>
      <w:r w:rsidR="00917935" w:rsidRPr="00E750DB">
        <w:t xml:space="preserve">would remain in this state </w:t>
      </w:r>
      <w:r w:rsidR="00971F62" w:rsidRPr="00E750DB">
        <w:t>until death</w:t>
      </w:r>
      <w:r w:rsidR="00917935" w:rsidRPr="00E750DB">
        <w:t xml:space="preserve">. Similarly, </w:t>
      </w:r>
      <w:r w:rsidR="00555F67" w:rsidRPr="00E750DB">
        <w:t xml:space="preserve">BSC </w:t>
      </w:r>
      <w:r w:rsidR="00917935" w:rsidRPr="00E750DB">
        <w:t xml:space="preserve">patients in the AAR </w:t>
      </w:r>
      <w:r w:rsidR="00BD03FD">
        <w:t>&gt;</w:t>
      </w:r>
      <w:r w:rsidR="00A550BD">
        <w:t xml:space="preserve"> </w:t>
      </w:r>
      <w:r w:rsidR="00917935" w:rsidRPr="00E750DB">
        <w:t>4 to ≤</w:t>
      </w:r>
      <w:r w:rsidR="004230A9">
        <w:t xml:space="preserve"> </w:t>
      </w:r>
      <w:r w:rsidR="00917935" w:rsidRPr="00E750DB">
        <w:t xml:space="preserve">24 state had only a 13% chance of improving (3% to AAR=0 and 10% to AAR </w:t>
      </w:r>
      <w:r w:rsidR="00BD03FD">
        <w:t>&gt;</w:t>
      </w:r>
      <w:r w:rsidR="00A550BD">
        <w:t xml:space="preserve"> </w:t>
      </w:r>
      <w:r w:rsidR="00917935" w:rsidRPr="00E750DB">
        <w:t>0 to ≤</w:t>
      </w:r>
      <w:r w:rsidR="004230A9">
        <w:t xml:space="preserve"> </w:t>
      </w:r>
      <w:r w:rsidR="00917935" w:rsidRPr="00E750DB">
        <w:t>4)</w:t>
      </w:r>
      <w:r w:rsidR="00555F67" w:rsidRPr="00E750DB">
        <w:t xml:space="preserve"> </w:t>
      </w:r>
      <w:r w:rsidR="00BD473F" w:rsidRPr="00E750DB">
        <w:t>each cycle. Notably, the number of patients</w:t>
      </w:r>
      <w:r w:rsidR="006C0E8B" w:rsidRPr="00E750DB">
        <w:t xml:space="preserve"> in the AAR</w:t>
      </w:r>
      <w:r w:rsidR="00252177" w:rsidRPr="00E750DB">
        <w:t xml:space="preserve"> </w:t>
      </w:r>
      <w:r w:rsidR="00BD03FD">
        <w:t xml:space="preserve">&gt; </w:t>
      </w:r>
      <w:r w:rsidR="006C0E8B" w:rsidRPr="00E750DB">
        <w:t>24 health state increase</w:t>
      </w:r>
      <w:r w:rsidR="006B4CFE" w:rsidRPr="00E750DB">
        <w:t>d</w:t>
      </w:r>
      <w:r w:rsidR="00977D28" w:rsidRPr="00E750DB">
        <w:t xml:space="preserve"> from 10% at baseline</w:t>
      </w:r>
      <w:r w:rsidR="006C0E8B" w:rsidRPr="00E750DB">
        <w:t xml:space="preserve"> to around 29% </w:t>
      </w:r>
      <w:r w:rsidR="00977D28" w:rsidRPr="00E750DB">
        <w:t xml:space="preserve">by cycle </w:t>
      </w:r>
      <w:r w:rsidR="004E57E6" w:rsidRPr="00E750DB">
        <w:t xml:space="preserve">2 </w:t>
      </w:r>
      <w:r w:rsidR="006C0E8B" w:rsidRPr="00E750DB">
        <w:t xml:space="preserve">before gradually declining due to death (see </w:t>
      </w:r>
      <w:r w:rsidR="006C0E8B" w:rsidRPr="00E750DB">
        <w:fldChar w:fldCharType="begin" w:fldLock="1"/>
      </w:r>
      <w:r w:rsidR="006C0E8B" w:rsidRPr="00E750DB">
        <w:instrText xml:space="preserve"> REF _Ref197968887 \h  \* MERGEFORMAT </w:instrText>
      </w:r>
      <w:r w:rsidR="006C0E8B" w:rsidRPr="00E750DB">
        <w:fldChar w:fldCharType="separate"/>
      </w:r>
      <w:r w:rsidR="00E750DB" w:rsidRPr="00E750DB">
        <w:t>Figure 4</w:t>
      </w:r>
      <w:r w:rsidR="006C0E8B" w:rsidRPr="00E750DB">
        <w:fldChar w:fldCharType="end"/>
      </w:r>
      <w:r w:rsidR="006C0E8B" w:rsidRPr="00E750DB">
        <w:t>).</w:t>
      </w:r>
      <w:r w:rsidR="00BD473F" w:rsidRPr="00E750DB">
        <w:t xml:space="preserve"> </w:t>
      </w:r>
      <w:r w:rsidR="00917935" w:rsidRPr="00E750DB">
        <w:t>While the submission acknowledged that no further data were available beyond the 6</w:t>
      </w:r>
      <w:r w:rsidR="00E072B9">
        <w:noBreakHyphen/>
      </w:r>
      <w:r w:rsidR="00917935" w:rsidRPr="00E750DB">
        <w:t>month double</w:t>
      </w:r>
      <w:r w:rsidR="00E072B9">
        <w:noBreakHyphen/>
      </w:r>
      <w:r w:rsidR="00917935" w:rsidRPr="00E750DB">
        <w:t>blind period, the assumption that these short</w:t>
      </w:r>
      <w:r w:rsidR="00E072B9">
        <w:noBreakHyphen/>
      </w:r>
      <w:r w:rsidR="00917935" w:rsidRPr="00E750DB">
        <w:t xml:space="preserve">term transition probabilities could be applied consistently up to 5 years </w:t>
      </w:r>
      <w:r w:rsidR="00D357DF" w:rsidRPr="00E750DB">
        <w:t xml:space="preserve">and beyond </w:t>
      </w:r>
      <w:r w:rsidR="00917935" w:rsidRPr="00E750DB">
        <w:t>introduce</w:t>
      </w:r>
      <w:r w:rsidR="00D357DF" w:rsidRPr="00E750DB">
        <w:t>d</w:t>
      </w:r>
      <w:r w:rsidR="00917935" w:rsidRPr="00E750DB">
        <w:t xml:space="preserve"> significant uncertainty </w:t>
      </w:r>
      <w:r w:rsidR="00DF57FB" w:rsidRPr="00915DBD">
        <w:rPr>
          <w:iCs/>
        </w:rPr>
        <w:t>and the assumption that</w:t>
      </w:r>
      <w:r w:rsidR="00917935" w:rsidRPr="00915DBD">
        <w:rPr>
          <w:iCs/>
        </w:rPr>
        <w:t xml:space="preserve"> patients’ disease severity might worsen considerably over time under BSC</w:t>
      </w:r>
      <w:r w:rsidR="00DF57FB" w:rsidRPr="00915DBD">
        <w:rPr>
          <w:iCs/>
        </w:rPr>
        <w:t xml:space="preserve"> </w:t>
      </w:r>
      <w:r w:rsidR="009961D4" w:rsidRPr="00915DBD">
        <w:rPr>
          <w:iCs/>
        </w:rPr>
        <w:t>was not well</w:t>
      </w:r>
      <w:r w:rsidR="00E072B9">
        <w:rPr>
          <w:iCs/>
        </w:rPr>
        <w:noBreakHyphen/>
      </w:r>
      <w:r w:rsidR="009961D4" w:rsidRPr="00915DBD">
        <w:rPr>
          <w:iCs/>
        </w:rPr>
        <w:t>supported</w:t>
      </w:r>
      <w:r w:rsidR="00917935" w:rsidRPr="00E750DB">
        <w:t>.</w:t>
      </w:r>
      <w:bookmarkEnd w:id="50"/>
    </w:p>
    <w:p w14:paraId="7E3A815E" w14:textId="25D9F3B0" w:rsidR="002A69C4" w:rsidRPr="00E750DB" w:rsidRDefault="00383EB6" w:rsidP="00E072B9">
      <w:pPr>
        <w:pStyle w:val="3-BodyText"/>
      </w:pPr>
      <w:r w:rsidRPr="00E750DB">
        <w:t>F</w:t>
      </w:r>
      <w:r w:rsidR="002A69C4" w:rsidRPr="00E750DB">
        <w:t>emale patients who experienced an attack just before menopause onset were assumed to continue experiencing attacks post</w:t>
      </w:r>
      <w:r w:rsidR="00E072B9">
        <w:noBreakHyphen/>
      </w:r>
      <w:r w:rsidR="002A69C4" w:rsidRPr="00E750DB">
        <w:t xml:space="preserve">menopause </w:t>
      </w:r>
      <w:r w:rsidR="00A73C8F" w:rsidRPr="00915DBD">
        <w:rPr>
          <w:iCs/>
        </w:rPr>
        <w:t xml:space="preserve">and </w:t>
      </w:r>
      <w:r w:rsidR="008F15FA" w:rsidRPr="00915DBD">
        <w:rPr>
          <w:iCs/>
        </w:rPr>
        <w:t>did not transition</w:t>
      </w:r>
      <w:r w:rsidR="00363DAD" w:rsidRPr="00915DBD">
        <w:rPr>
          <w:iCs/>
        </w:rPr>
        <w:t xml:space="preserve"> to the asymptomatic health state</w:t>
      </w:r>
      <w:r w:rsidR="008F15FA" w:rsidRPr="00915DBD">
        <w:rPr>
          <w:iCs/>
        </w:rPr>
        <w:t xml:space="preserve"> at menopause</w:t>
      </w:r>
      <w:r w:rsidR="00470FC5" w:rsidRPr="00915DBD">
        <w:rPr>
          <w:iCs/>
        </w:rPr>
        <w:t>. The Sub</w:t>
      </w:r>
      <w:r w:rsidR="00E072B9">
        <w:rPr>
          <w:iCs/>
        </w:rPr>
        <w:noBreakHyphen/>
      </w:r>
      <w:r w:rsidR="00470FC5" w:rsidRPr="00915DBD">
        <w:rPr>
          <w:iCs/>
        </w:rPr>
        <w:t>Committees agreed with the Commentary that this</w:t>
      </w:r>
      <w:r w:rsidR="00470FC5" w:rsidRPr="00E750DB">
        <w:t xml:space="preserve"> </w:t>
      </w:r>
      <w:r w:rsidR="00470FC5" w:rsidRPr="00915DBD">
        <w:rPr>
          <w:iCs/>
        </w:rPr>
        <w:t>was</w:t>
      </w:r>
      <w:r w:rsidR="002A69C4" w:rsidRPr="00E750DB">
        <w:t xml:space="preserve"> inconsistent with clinical expectations of the impact of menopause on AHP</w:t>
      </w:r>
      <w:r w:rsidR="00470FC5" w:rsidRPr="00E750DB">
        <w:t xml:space="preserve"> symptoms</w:t>
      </w:r>
      <w:r w:rsidR="002A69C4" w:rsidRPr="00E750DB">
        <w:t xml:space="preserve">, </w:t>
      </w:r>
      <w:r w:rsidR="00470FC5" w:rsidRPr="00915DBD">
        <w:rPr>
          <w:iCs/>
        </w:rPr>
        <w:t xml:space="preserve">which </w:t>
      </w:r>
      <w:r w:rsidR="00DD1EB3" w:rsidRPr="00915DBD">
        <w:rPr>
          <w:iCs/>
        </w:rPr>
        <w:t>typically</w:t>
      </w:r>
      <w:r w:rsidR="002A69C4" w:rsidRPr="00E750DB">
        <w:t xml:space="preserve"> improve at the time of menopause for all female patients (i.e., severity and frequency of attacks is expected to decrease) regardless of which treatment is administered, given that the likely trigger for the attacks (hormone levels at the time of menstruation) would no longer be present. </w:t>
      </w:r>
      <w:r w:rsidR="001477E6" w:rsidRPr="00915DBD">
        <w:rPr>
          <w:iCs/>
        </w:rPr>
        <w:t xml:space="preserve">The </w:t>
      </w:r>
      <w:r w:rsidR="002951F2" w:rsidRPr="00915DBD">
        <w:rPr>
          <w:iCs/>
        </w:rPr>
        <w:t>Sub</w:t>
      </w:r>
      <w:r w:rsidR="00E072B9">
        <w:rPr>
          <w:iCs/>
        </w:rPr>
        <w:noBreakHyphen/>
      </w:r>
      <w:r w:rsidR="002951F2" w:rsidRPr="00915DBD">
        <w:rPr>
          <w:iCs/>
        </w:rPr>
        <w:t>Committees acknowledged that there can be other triggers for some patients but</w:t>
      </w:r>
      <w:r w:rsidR="001477E6" w:rsidRPr="00915DBD">
        <w:rPr>
          <w:iCs/>
        </w:rPr>
        <w:t xml:space="preserve"> noted that post</w:t>
      </w:r>
      <w:r w:rsidR="00E072B9">
        <w:rPr>
          <w:iCs/>
        </w:rPr>
        <w:noBreakHyphen/>
      </w:r>
      <w:r w:rsidR="001477E6" w:rsidRPr="00915DBD">
        <w:rPr>
          <w:iCs/>
        </w:rPr>
        <w:t xml:space="preserve">menopausal patients are unlikely to require hospitalisation or rescue medication for attacks. </w:t>
      </w:r>
      <w:r w:rsidR="002A69C4" w:rsidRPr="00E750DB">
        <w:t>In the CADTH base case, all female AHP patients in the symptomatic and recurrent health state were assumed to become asymptomatic at onset of menopause</w:t>
      </w:r>
      <w:r w:rsidR="00E86413" w:rsidRPr="00E750DB">
        <w:t xml:space="preserve">. A similar sensitivity analysis was conducted during the evaluation and increased the ICER by </w:t>
      </w:r>
      <w:r w:rsidR="00B35ACC" w:rsidRPr="00A550BD">
        <w:rPr>
          <w:color w:val="000000"/>
          <w:spacing w:val="6"/>
          <w:w w:val="59"/>
          <w:shd w:val="solid" w:color="000000" w:fill="000000"/>
          <w:fitText w:val="460" w:id="-625250041"/>
          <w14:textFill>
            <w14:solidFill>
              <w14:srgbClr w14:val="000000">
                <w14:alpha w14:val="100000"/>
              </w14:srgbClr>
            </w14:solidFill>
          </w14:textFill>
        </w:rPr>
        <w:t>|||</w:t>
      </w:r>
      <w:r w:rsidR="00A550BD" w:rsidRPr="00A550BD">
        <w:rPr>
          <w:color w:val="000000"/>
          <w:spacing w:val="6"/>
          <w:w w:val="59"/>
          <w:shd w:val="solid" w:color="000000" w:fill="000000"/>
          <w:fitText w:val="460" w:id="-625250041"/>
          <w14:textFill>
            <w14:solidFill>
              <w14:srgbClr w14:val="000000">
                <w14:alpha w14:val="100000"/>
              </w14:srgbClr>
            </w14:solidFill>
          </w14:textFill>
        </w:rPr>
        <w:t xml:space="preserve"> </w:t>
      </w:r>
      <w:r w:rsidR="00B35ACC" w:rsidRPr="00A550BD">
        <w:rPr>
          <w:color w:val="000000"/>
          <w:spacing w:val="6"/>
          <w:w w:val="59"/>
          <w:shd w:val="solid" w:color="000000" w:fill="000000"/>
          <w:fitText w:val="460" w:id="-625250041"/>
          <w14:textFill>
            <w14:solidFill>
              <w14:srgbClr w14:val="000000">
                <w14:alpha w14:val="100000"/>
              </w14:srgbClr>
            </w14:solidFill>
          </w14:textFill>
        </w:rPr>
        <w:t>||</w:t>
      </w:r>
      <w:r w:rsidR="00B35ACC" w:rsidRPr="00A550BD">
        <w:rPr>
          <w:color w:val="000000"/>
          <w:spacing w:val="2"/>
          <w:w w:val="59"/>
          <w:shd w:val="solid" w:color="000000" w:fill="000000"/>
          <w:fitText w:val="460" w:id="-625250041"/>
          <w14:textFill>
            <w14:solidFill>
              <w14:srgbClr w14:val="000000">
                <w14:alpha w14:val="100000"/>
              </w14:srgbClr>
            </w14:solidFill>
          </w14:textFill>
        </w:rPr>
        <w:t>|</w:t>
      </w:r>
      <w:r w:rsidR="00E86413" w:rsidRPr="00E750DB">
        <w:t>%</w:t>
      </w:r>
      <w:r w:rsidR="00B51EC9" w:rsidRPr="00E750DB">
        <w:t>.</w:t>
      </w:r>
      <w:r w:rsidR="00693B40" w:rsidRPr="00915DBD">
        <w:rPr>
          <w:iCs/>
        </w:rPr>
        <w:t xml:space="preserve"> </w:t>
      </w:r>
    </w:p>
    <w:p w14:paraId="14BE6E02" w14:textId="425DB5EB" w:rsidR="00A77034" w:rsidRPr="00E750DB" w:rsidRDefault="00A77034" w:rsidP="00E072B9">
      <w:pPr>
        <w:pStyle w:val="3-BodyText"/>
      </w:pPr>
      <w:r w:rsidRPr="00E750DB">
        <w:t>Within each of the four health states, the model estimates the impact of both acute and chronic AHP consequences</w:t>
      </w:r>
      <w:r w:rsidR="008E7178" w:rsidRPr="00E750DB">
        <w:t xml:space="preserve"> </w:t>
      </w:r>
      <w:r w:rsidR="008E7178" w:rsidRPr="00915DBD">
        <w:rPr>
          <w:iCs/>
        </w:rPr>
        <w:t>(costs and utility impacts)</w:t>
      </w:r>
      <w:r w:rsidRPr="00E750DB">
        <w:t>.</w:t>
      </w:r>
    </w:p>
    <w:p w14:paraId="688F1200" w14:textId="37646F9B" w:rsidR="00A77034" w:rsidRPr="00E750DB" w:rsidRDefault="00A77034" w:rsidP="00E072B9">
      <w:pPr>
        <w:pStyle w:val="3-BodyText"/>
      </w:pPr>
      <w:bookmarkStart w:id="51" w:name="_Ref197971669"/>
      <w:r w:rsidRPr="00E750DB">
        <w:t xml:space="preserve">Acute attacks were included in the model as discrete events that may occur at every cycle in any of the health states, over the entire time horizon of the model. Acute attacks were defined based on the definitions of the ENVISION trial i.e. comprising attacks requiring hospitalisation, urgent healthcare visits or IV hemin administration at home (Balwani 2020). Each acute attack </w:t>
      </w:r>
      <w:r w:rsidR="00C04F5C" w:rsidRPr="00E750DB">
        <w:t>wa</w:t>
      </w:r>
      <w:r w:rsidRPr="00E750DB">
        <w:t>s associated with a one</w:t>
      </w:r>
      <w:r w:rsidR="00E072B9">
        <w:noBreakHyphen/>
      </w:r>
      <w:r w:rsidRPr="00E750DB">
        <w:t>off utility decrement weighted by the average attack duration and a one</w:t>
      </w:r>
      <w:r w:rsidR="00E072B9">
        <w:noBreakHyphen/>
      </w:r>
      <w:r w:rsidRPr="00E750DB">
        <w:t>off cost, based on healthcare resource use and setting informed by the EXPLORE study data and Australian clinical input.</w:t>
      </w:r>
      <w:r w:rsidR="00675791" w:rsidRPr="00E750DB">
        <w:t xml:space="preserve"> </w:t>
      </w:r>
      <w:r w:rsidR="0010227F" w:rsidRPr="00E750DB">
        <w:t xml:space="preserve">The use of </w:t>
      </w:r>
      <w:r w:rsidR="00C54C63" w:rsidRPr="00E750DB">
        <w:t xml:space="preserve">EXPLORE data </w:t>
      </w:r>
      <w:r w:rsidR="0010227F" w:rsidRPr="00E750DB">
        <w:t xml:space="preserve">to inform </w:t>
      </w:r>
      <w:r w:rsidR="00CF1FEE" w:rsidRPr="00E750DB">
        <w:t xml:space="preserve">the proportion of healthcare resource use for acute attacks </w:t>
      </w:r>
      <w:r w:rsidR="008F617D" w:rsidRPr="00E750DB">
        <w:t>may</w:t>
      </w:r>
      <w:r w:rsidR="00CF1FEE" w:rsidRPr="00E750DB">
        <w:t xml:space="preserve"> not </w:t>
      </w:r>
      <w:r w:rsidR="008F617D" w:rsidRPr="00E750DB">
        <w:t xml:space="preserve">be </w:t>
      </w:r>
      <w:r w:rsidR="00CF1FEE" w:rsidRPr="00E750DB">
        <w:t xml:space="preserve">justified when </w:t>
      </w:r>
      <w:r w:rsidR="007F539D" w:rsidRPr="00E750DB">
        <w:t xml:space="preserve">data </w:t>
      </w:r>
      <w:r w:rsidR="00C54C63" w:rsidRPr="00E750DB">
        <w:t>from ENVISION, which was the primary source of data in the model, was available.</w:t>
      </w:r>
      <w:r w:rsidR="00EE2D76" w:rsidRPr="00E750DB">
        <w:t xml:space="preserve"> Given that the AAR were all based on ENVISION, the </w:t>
      </w:r>
      <w:r w:rsidR="00817958" w:rsidRPr="00E750DB">
        <w:t xml:space="preserve">healthcare setting for treatment of acute attacks from ENVISION would be most applicable. </w:t>
      </w:r>
      <w:r w:rsidR="00C54C63" w:rsidRPr="00E750DB">
        <w:t xml:space="preserve">Use of </w:t>
      </w:r>
      <w:r w:rsidR="006C3765" w:rsidRPr="00E750DB">
        <w:t xml:space="preserve">healthcare setting for treatment of acute attacks from ENVISION instead of EXPLORE increased the ICER by </w:t>
      </w:r>
      <w:r w:rsidR="00B35ACC" w:rsidRPr="00A550BD">
        <w:rPr>
          <w:color w:val="000000"/>
          <w:spacing w:val="6"/>
          <w:w w:val="61"/>
          <w:shd w:val="solid" w:color="000000" w:fill="000000"/>
          <w:fitText w:val="475" w:id="-625250040"/>
          <w14:textFill>
            <w14:solidFill>
              <w14:srgbClr w14:val="000000">
                <w14:alpha w14:val="100000"/>
              </w14:srgbClr>
            </w14:solidFill>
          </w14:textFill>
        </w:rPr>
        <w:t>|||</w:t>
      </w:r>
      <w:r w:rsidR="00A550BD" w:rsidRPr="00A550BD">
        <w:rPr>
          <w:color w:val="000000"/>
          <w:spacing w:val="6"/>
          <w:w w:val="61"/>
          <w:shd w:val="solid" w:color="000000" w:fill="000000"/>
          <w:fitText w:val="475" w:id="-625250040"/>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0"/>
          <w14:textFill>
            <w14:solidFill>
              <w14:srgbClr w14:val="000000">
                <w14:alpha w14:val="100000"/>
              </w14:srgbClr>
            </w14:solidFill>
          </w14:textFill>
        </w:rPr>
        <w:t>||</w:t>
      </w:r>
      <w:r w:rsidR="00B35ACC" w:rsidRPr="00A550BD">
        <w:rPr>
          <w:color w:val="000000"/>
          <w:spacing w:val="3"/>
          <w:w w:val="61"/>
          <w:shd w:val="solid" w:color="000000" w:fill="000000"/>
          <w:fitText w:val="475" w:id="-625250040"/>
          <w14:textFill>
            <w14:solidFill>
              <w14:srgbClr w14:val="000000">
                <w14:alpha w14:val="100000"/>
              </w14:srgbClr>
            </w14:solidFill>
          </w14:textFill>
        </w:rPr>
        <w:t>|</w:t>
      </w:r>
      <w:r w:rsidR="006C3765" w:rsidRPr="00E750DB">
        <w:t>%.</w:t>
      </w:r>
      <w:bookmarkEnd w:id="51"/>
      <w:r w:rsidR="006C3765" w:rsidRPr="00E750DB">
        <w:t xml:space="preserve"> </w:t>
      </w:r>
    </w:p>
    <w:p w14:paraId="5A7D71F1" w14:textId="38F446A8" w:rsidR="00CE4BD4" w:rsidRPr="00E750DB" w:rsidRDefault="00942A04" w:rsidP="00E072B9">
      <w:pPr>
        <w:pStyle w:val="3-BodyText"/>
      </w:pPr>
      <w:r w:rsidRPr="00E750DB">
        <w:t>E</w:t>
      </w:r>
      <w:r w:rsidR="00A77034" w:rsidRPr="00E750DB">
        <w:t xml:space="preserve">ach health state was </w:t>
      </w:r>
      <w:r w:rsidRPr="00E750DB">
        <w:t xml:space="preserve">also </w:t>
      </w:r>
      <w:r w:rsidR="00A77034" w:rsidRPr="00E750DB">
        <w:t xml:space="preserve">assigned a </w:t>
      </w:r>
      <w:r w:rsidR="00C04F5C" w:rsidRPr="00E750DB">
        <w:t>dis</w:t>
      </w:r>
      <w:r w:rsidR="00A77034" w:rsidRPr="00E750DB">
        <w:t xml:space="preserve">utility </w:t>
      </w:r>
      <w:r w:rsidR="00CF1700" w:rsidRPr="00E750DB">
        <w:t xml:space="preserve">decrement </w:t>
      </w:r>
      <w:r w:rsidR="00A77034" w:rsidRPr="00E750DB">
        <w:t>and cost per cycle</w:t>
      </w:r>
      <w:r w:rsidR="00C04F5C" w:rsidRPr="00E750DB">
        <w:t xml:space="preserve"> associated with chronic conditions, which were assumed to be more severe at higher AAR</w:t>
      </w:r>
      <w:r w:rsidR="00A77034" w:rsidRPr="00E750DB">
        <w:t xml:space="preserve">. The submission noted that chronic conditions are more prevalent in AHP patients with frequent attacks, as reported by Neeleman 2018. </w:t>
      </w:r>
      <w:r w:rsidR="00C77320" w:rsidRPr="00E750DB">
        <w:t>Age adjusted u</w:t>
      </w:r>
      <w:r w:rsidR="00CE4BD4" w:rsidRPr="00E750DB">
        <w:t xml:space="preserve">tility values from the general population </w:t>
      </w:r>
      <w:r w:rsidR="00CF1700" w:rsidRPr="00E750DB">
        <w:t xml:space="preserve">(informed by McCaffery 2016) </w:t>
      </w:r>
      <w:r w:rsidR="008F654A" w:rsidRPr="00E750DB">
        <w:t>w</w:t>
      </w:r>
      <w:r w:rsidR="00252177" w:rsidRPr="00E750DB">
        <w:t>ere</w:t>
      </w:r>
      <w:r w:rsidR="008F654A" w:rsidRPr="00E750DB">
        <w:t xml:space="preserve"> used </w:t>
      </w:r>
      <w:r w:rsidR="00CE4BD4" w:rsidRPr="00E750DB">
        <w:t>as the baseline, with AHP</w:t>
      </w:r>
      <w:r w:rsidR="00E072B9">
        <w:noBreakHyphen/>
      </w:r>
      <w:r w:rsidR="00CE4BD4" w:rsidRPr="00E750DB">
        <w:t xml:space="preserve">related disutilities applied as decrements to account for both acute attacks and chronic conditions. Utilities in each health state </w:t>
      </w:r>
      <w:r w:rsidR="00252177" w:rsidRPr="00E750DB">
        <w:t>we</w:t>
      </w:r>
      <w:r w:rsidR="00CE4BD4" w:rsidRPr="00E750DB">
        <w:t>re estimated by subtracting the disutilities associated with chronic and acute attacks from a baseline utility.</w:t>
      </w:r>
    </w:p>
    <w:p w14:paraId="17BF1820" w14:textId="7ACF4D28" w:rsidR="00023CE7" w:rsidRPr="00E750DB" w:rsidRDefault="00C96BC7" w:rsidP="00E072B9">
      <w:pPr>
        <w:pStyle w:val="3-BodyText"/>
      </w:pPr>
      <w:r w:rsidRPr="00E750DB">
        <w:t xml:space="preserve">The </w:t>
      </w:r>
      <w:r w:rsidR="004F4013" w:rsidRPr="00E750DB">
        <w:t xml:space="preserve">disutility decrements for chronic conditions and acute attacks and the resultant </w:t>
      </w:r>
      <w:r w:rsidRPr="00E750DB">
        <w:t xml:space="preserve">utilities applied in the model are summarised in </w:t>
      </w:r>
      <w:r w:rsidRPr="00E750DB">
        <w:fldChar w:fldCharType="begin" w:fldLock="1"/>
      </w:r>
      <w:r w:rsidRPr="00E750DB">
        <w:instrText xml:space="preserve"> REF _Ref197969355 \h </w:instrText>
      </w:r>
      <w:r w:rsidR="0029679A" w:rsidRPr="00E750DB">
        <w:instrText xml:space="preserve"> \* MERGEFORMAT </w:instrText>
      </w:r>
      <w:r w:rsidRPr="00E750DB">
        <w:fldChar w:fldCharType="separate"/>
      </w:r>
      <w:r w:rsidR="00E750DB" w:rsidRPr="00E750DB">
        <w:t>Table 9</w:t>
      </w:r>
      <w:r w:rsidRPr="00E750DB">
        <w:fldChar w:fldCharType="end"/>
      </w:r>
      <w:r w:rsidRPr="00E750DB">
        <w:t xml:space="preserve">. </w:t>
      </w:r>
    </w:p>
    <w:p w14:paraId="45B3E5C5" w14:textId="675E150B" w:rsidR="00C96BC7" w:rsidRPr="00E750DB" w:rsidRDefault="00C96BC7" w:rsidP="00E072B9">
      <w:pPr>
        <w:pStyle w:val="Caption"/>
      </w:pPr>
      <w:bookmarkStart w:id="52" w:name="_Ref197969355"/>
      <w:r w:rsidRPr="00E750DB">
        <w:t xml:space="preserve">Table </w:t>
      </w:r>
      <w:r w:rsidR="00E750DB">
        <w:fldChar w:fldCharType="begin" w:fldLock="1"/>
      </w:r>
      <w:r w:rsidR="00E750DB">
        <w:instrText xml:space="preserve"> SEQ Table \* ARABIC </w:instrText>
      </w:r>
      <w:r w:rsidR="00E750DB">
        <w:fldChar w:fldCharType="separate"/>
      </w:r>
      <w:r w:rsidR="00E750DB" w:rsidRPr="00E750DB">
        <w:t>9</w:t>
      </w:r>
      <w:r w:rsidR="00E750DB">
        <w:fldChar w:fldCharType="end"/>
      </w:r>
      <w:bookmarkEnd w:id="52"/>
      <w:r w:rsidRPr="00E750DB">
        <w:t>: Health utility decrements accounting for chronic disutility used in the base</w:t>
      </w:r>
      <w:r w:rsidR="00E072B9">
        <w:noBreakHyphen/>
      </w:r>
      <w:r w:rsidRPr="00E750DB">
        <w:t>case analysis</w:t>
      </w:r>
    </w:p>
    <w:tbl>
      <w:tblPr>
        <w:tblStyle w:val="TableGrid"/>
        <w:tblW w:w="0" w:type="auto"/>
        <w:tblLook w:val="04A0" w:firstRow="1" w:lastRow="0" w:firstColumn="1" w:lastColumn="0" w:noHBand="0" w:noVBand="1"/>
        <w:tblCaption w:val="Table 9: Health utility decrements accounting for chronic disutility used in the base case analysis"/>
      </w:tblPr>
      <w:tblGrid>
        <w:gridCol w:w="1838"/>
        <w:gridCol w:w="1418"/>
        <w:gridCol w:w="1417"/>
        <w:gridCol w:w="1559"/>
        <w:gridCol w:w="1560"/>
        <w:gridCol w:w="1225"/>
      </w:tblGrid>
      <w:tr w:rsidR="00C96BC7" w:rsidRPr="00E750DB" w14:paraId="216FA743" w14:textId="77777777" w:rsidTr="00580D86">
        <w:tc>
          <w:tcPr>
            <w:tcW w:w="1838" w:type="dxa"/>
            <w:vAlign w:val="center"/>
          </w:tcPr>
          <w:p w14:paraId="2182A28A" w14:textId="77777777" w:rsidR="00C96BC7" w:rsidRPr="00E750DB" w:rsidRDefault="00C96BC7" w:rsidP="00E072B9">
            <w:pPr>
              <w:keepNext/>
              <w:keepLines/>
              <w:jc w:val="left"/>
              <w:rPr>
                <w:rFonts w:ascii="Arial Narrow" w:hAnsi="Arial Narrow"/>
                <w:b/>
                <w:bCs/>
                <w:sz w:val="20"/>
                <w:szCs w:val="20"/>
              </w:rPr>
            </w:pPr>
            <w:r w:rsidRPr="00E750DB">
              <w:rPr>
                <w:rFonts w:ascii="Arial Narrow" w:hAnsi="Arial Narrow"/>
                <w:b/>
                <w:bCs/>
                <w:sz w:val="20"/>
                <w:szCs w:val="20"/>
              </w:rPr>
              <w:t>Age group</w:t>
            </w:r>
          </w:p>
        </w:tc>
        <w:tc>
          <w:tcPr>
            <w:tcW w:w="1418" w:type="dxa"/>
            <w:vAlign w:val="center"/>
          </w:tcPr>
          <w:p w14:paraId="2BA25828"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Mean baseline utility</w:t>
            </w:r>
          </w:p>
        </w:tc>
        <w:tc>
          <w:tcPr>
            <w:tcW w:w="1417" w:type="dxa"/>
            <w:vAlign w:val="center"/>
          </w:tcPr>
          <w:p w14:paraId="0E1CD013"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 xml:space="preserve">Asymptomatic </w:t>
            </w:r>
          </w:p>
          <w:p w14:paraId="02671EB4"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AAR = 0</w:t>
            </w:r>
          </w:p>
        </w:tc>
        <w:tc>
          <w:tcPr>
            <w:tcW w:w="1559" w:type="dxa"/>
            <w:vAlign w:val="center"/>
          </w:tcPr>
          <w:p w14:paraId="4911A2E7"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Symptomatic</w:t>
            </w:r>
          </w:p>
          <w:p w14:paraId="44A344A6" w14:textId="44FA053D"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AAR</w:t>
            </w:r>
            <w:r w:rsidR="00A550BD">
              <w:rPr>
                <w:rFonts w:ascii="Arial Narrow" w:hAnsi="Arial Narrow"/>
                <w:b/>
                <w:bCs/>
                <w:sz w:val="20"/>
                <w:szCs w:val="20"/>
              </w:rPr>
              <w:t xml:space="preserve"> </w:t>
            </w:r>
            <w:r w:rsidRPr="00E750DB">
              <w:rPr>
                <w:rFonts w:ascii="Arial Narrow" w:hAnsi="Arial Narrow"/>
                <w:b/>
                <w:bCs/>
                <w:sz w:val="20"/>
                <w:szCs w:val="20"/>
              </w:rPr>
              <w:t>0 to ≤4</w:t>
            </w:r>
          </w:p>
        </w:tc>
        <w:tc>
          <w:tcPr>
            <w:tcW w:w="1560" w:type="dxa"/>
            <w:vAlign w:val="center"/>
          </w:tcPr>
          <w:p w14:paraId="468D5EC9"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Recurrent</w:t>
            </w:r>
          </w:p>
          <w:p w14:paraId="387A0DA0" w14:textId="34705D16"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 xml:space="preserve">AAR </w:t>
            </w:r>
            <w:r w:rsidR="00BD03FD">
              <w:rPr>
                <w:rFonts w:ascii="Arial Narrow" w:hAnsi="Arial Narrow"/>
                <w:b/>
                <w:bCs/>
                <w:sz w:val="20"/>
                <w:szCs w:val="20"/>
              </w:rPr>
              <w:t xml:space="preserve">&gt; </w:t>
            </w:r>
            <w:r w:rsidRPr="00E750DB">
              <w:rPr>
                <w:rFonts w:ascii="Arial Narrow" w:hAnsi="Arial Narrow"/>
                <w:b/>
                <w:bCs/>
                <w:sz w:val="20"/>
                <w:szCs w:val="20"/>
              </w:rPr>
              <w:t>4 to ≤24</w:t>
            </w:r>
          </w:p>
        </w:tc>
        <w:tc>
          <w:tcPr>
            <w:tcW w:w="1225" w:type="dxa"/>
            <w:vAlign w:val="center"/>
          </w:tcPr>
          <w:p w14:paraId="3D698D57"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Severe</w:t>
            </w:r>
          </w:p>
          <w:p w14:paraId="156010C2" w14:textId="57D7C528"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 xml:space="preserve">AAR </w:t>
            </w:r>
            <w:r w:rsidR="00BD03FD">
              <w:rPr>
                <w:rFonts w:ascii="Arial Narrow" w:hAnsi="Arial Narrow"/>
                <w:b/>
                <w:bCs/>
                <w:sz w:val="20"/>
                <w:szCs w:val="20"/>
              </w:rPr>
              <w:t xml:space="preserve">&gt; </w:t>
            </w:r>
            <w:r w:rsidRPr="00E750DB">
              <w:rPr>
                <w:rFonts w:ascii="Arial Narrow" w:hAnsi="Arial Narrow"/>
                <w:b/>
                <w:bCs/>
                <w:sz w:val="20"/>
                <w:szCs w:val="20"/>
              </w:rPr>
              <w:t>24</w:t>
            </w:r>
          </w:p>
        </w:tc>
      </w:tr>
      <w:tr w:rsidR="00C96BC7" w:rsidRPr="00E750DB" w14:paraId="5082CFA8" w14:textId="77777777" w:rsidTr="00580D86">
        <w:tc>
          <w:tcPr>
            <w:tcW w:w="1838" w:type="dxa"/>
            <w:vAlign w:val="center"/>
          </w:tcPr>
          <w:p w14:paraId="53708570" w14:textId="77777777" w:rsidR="00C96BC7" w:rsidRPr="00E750DB" w:rsidRDefault="00C96BC7" w:rsidP="00E072B9">
            <w:pPr>
              <w:keepNext/>
              <w:keepLines/>
              <w:jc w:val="left"/>
              <w:rPr>
                <w:rFonts w:ascii="Arial Narrow" w:hAnsi="Arial Narrow"/>
                <w:sz w:val="20"/>
                <w:szCs w:val="20"/>
              </w:rPr>
            </w:pPr>
            <w:r w:rsidRPr="00E750DB">
              <w:rPr>
                <w:rFonts w:ascii="Arial Narrow" w:hAnsi="Arial Narrow"/>
                <w:sz w:val="20"/>
                <w:szCs w:val="20"/>
              </w:rPr>
              <w:t>Chronic condition utility decrement</w:t>
            </w:r>
          </w:p>
        </w:tc>
        <w:tc>
          <w:tcPr>
            <w:tcW w:w="1418" w:type="dxa"/>
            <w:vAlign w:val="center"/>
          </w:tcPr>
          <w:p w14:paraId="1EBBFA33" w14:textId="6181EE34"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p>
        </w:tc>
        <w:tc>
          <w:tcPr>
            <w:tcW w:w="1417" w:type="dxa"/>
            <w:vAlign w:val="center"/>
          </w:tcPr>
          <w:p w14:paraId="2C7A2835" w14:textId="11DC7109"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0.198</w:t>
            </w:r>
          </w:p>
        </w:tc>
        <w:tc>
          <w:tcPr>
            <w:tcW w:w="1559" w:type="dxa"/>
            <w:vAlign w:val="center"/>
          </w:tcPr>
          <w:p w14:paraId="65653D23" w14:textId="1CE05FC8"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0.502</w:t>
            </w:r>
          </w:p>
        </w:tc>
        <w:tc>
          <w:tcPr>
            <w:tcW w:w="1560" w:type="dxa"/>
            <w:vAlign w:val="center"/>
          </w:tcPr>
          <w:p w14:paraId="77E75748" w14:textId="0381B05A"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0.617</w:t>
            </w:r>
          </w:p>
        </w:tc>
        <w:tc>
          <w:tcPr>
            <w:tcW w:w="1225" w:type="dxa"/>
            <w:vAlign w:val="center"/>
          </w:tcPr>
          <w:p w14:paraId="010C50C2" w14:textId="29206B23"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0.617</w:t>
            </w:r>
          </w:p>
        </w:tc>
      </w:tr>
      <w:tr w:rsidR="00C96BC7" w:rsidRPr="00E750DB" w14:paraId="54AB848C" w14:textId="77777777" w:rsidTr="00580D86">
        <w:tc>
          <w:tcPr>
            <w:tcW w:w="1838" w:type="dxa"/>
            <w:vAlign w:val="center"/>
          </w:tcPr>
          <w:p w14:paraId="45654E2D" w14:textId="77777777" w:rsidR="00C96BC7" w:rsidRPr="00E750DB" w:rsidRDefault="00C96BC7" w:rsidP="00E072B9">
            <w:pPr>
              <w:keepNext/>
              <w:keepLines/>
              <w:jc w:val="left"/>
              <w:rPr>
                <w:rFonts w:ascii="Arial Narrow" w:hAnsi="Arial Narrow"/>
                <w:sz w:val="20"/>
                <w:szCs w:val="20"/>
              </w:rPr>
            </w:pPr>
            <w:r w:rsidRPr="00E750DB">
              <w:rPr>
                <w:rFonts w:ascii="Arial Narrow" w:hAnsi="Arial Narrow"/>
                <w:sz w:val="20"/>
                <w:szCs w:val="20"/>
              </w:rPr>
              <w:t>Acute attack decrement per attack</w:t>
            </w:r>
          </w:p>
        </w:tc>
        <w:tc>
          <w:tcPr>
            <w:tcW w:w="7179" w:type="dxa"/>
            <w:gridSpan w:val="5"/>
            <w:vAlign w:val="center"/>
          </w:tcPr>
          <w:p w14:paraId="5A74FA19" w14:textId="7ED2BBA8"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 xml:space="preserve">0.0043 (Average duration of attack 7.29 days, </w:t>
            </w:r>
            <w:r>
              <w:rPr>
                <w:rFonts w:ascii="Arial Narrow" w:hAnsi="Arial Narrow"/>
                <w:sz w:val="20"/>
                <w:szCs w:val="20"/>
              </w:rPr>
              <w:noBreakHyphen/>
            </w:r>
            <w:r w:rsidR="00C96BC7" w:rsidRPr="00E750DB">
              <w:rPr>
                <w:rFonts w:ascii="Arial Narrow" w:hAnsi="Arial Narrow"/>
                <w:sz w:val="20"/>
                <w:szCs w:val="20"/>
              </w:rPr>
              <w:t xml:space="preserve">0.22 attack disutility, adjusted for 365.25 days) </w:t>
            </w:r>
          </w:p>
        </w:tc>
      </w:tr>
      <w:tr w:rsidR="00C96BC7" w:rsidRPr="00E750DB" w14:paraId="3CA8D8B9" w14:textId="77777777" w:rsidTr="00580D86">
        <w:tc>
          <w:tcPr>
            <w:tcW w:w="1838" w:type="dxa"/>
            <w:vAlign w:val="center"/>
          </w:tcPr>
          <w:p w14:paraId="5308C52D" w14:textId="63405119" w:rsidR="00C96BC7" w:rsidRPr="00481A2A" w:rsidRDefault="00C96BC7" w:rsidP="00E072B9">
            <w:pPr>
              <w:keepNext/>
              <w:keepLines/>
              <w:jc w:val="left"/>
              <w:rPr>
                <w:rFonts w:ascii="Arial Narrow" w:hAnsi="Arial Narrow"/>
                <w:sz w:val="20"/>
                <w:szCs w:val="20"/>
                <w:vertAlign w:val="superscript"/>
              </w:rPr>
            </w:pPr>
            <w:r w:rsidRPr="00481A2A">
              <w:rPr>
                <w:rFonts w:ascii="Arial Narrow" w:hAnsi="Arial Narrow"/>
                <w:sz w:val="20"/>
                <w:szCs w:val="20"/>
              </w:rPr>
              <w:t xml:space="preserve">Number of acute attacks </w:t>
            </w:r>
            <w:r w:rsidR="00817958" w:rsidRPr="00481A2A">
              <w:rPr>
                <w:rFonts w:ascii="Arial Narrow" w:hAnsi="Arial Narrow"/>
                <w:sz w:val="20"/>
                <w:szCs w:val="20"/>
              </w:rPr>
              <w:t xml:space="preserve">per year </w:t>
            </w:r>
            <w:r w:rsidRPr="00481A2A">
              <w:rPr>
                <w:rFonts w:ascii="Arial Narrow" w:hAnsi="Arial Narrow"/>
                <w:sz w:val="20"/>
                <w:szCs w:val="20"/>
                <w:vertAlign w:val="superscript"/>
              </w:rPr>
              <w:t>a</w:t>
            </w:r>
          </w:p>
        </w:tc>
        <w:tc>
          <w:tcPr>
            <w:tcW w:w="1418" w:type="dxa"/>
            <w:vAlign w:val="center"/>
          </w:tcPr>
          <w:p w14:paraId="128132C8" w14:textId="4D76CEF1" w:rsidR="00C96BC7" w:rsidRPr="00481A2A" w:rsidRDefault="00E072B9" w:rsidP="00E072B9">
            <w:pPr>
              <w:keepNext/>
              <w:keepLines/>
              <w:jc w:val="center"/>
              <w:rPr>
                <w:rFonts w:ascii="Arial Narrow" w:hAnsi="Arial Narrow"/>
                <w:sz w:val="20"/>
                <w:szCs w:val="20"/>
              </w:rPr>
            </w:pPr>
            <w:r w:rsidRPr="00481A2A">
              <w:rPr>
                <w:rFonts w:ascii="Arial Narrow" w:hAnsi="Arial Narrow"/>
                <w:sz w:val="20"/>
                <w:szCs w:val="20"/>
              </w:rPr>
              <w:noBreakHyphen/>
            </w:r>
          </w:p>
        </w:tc>
        <w:tc>
          <w:tcPr>
            <w:tcW w:w="1417" w:type="dxa"/>
            <w:vAlign w:val="center"/>
          </w:tcPr>
          <w:p w14:paraId="0185D78F"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0</w:t>
            </w:r>
          </w:p>
        </w:tc>
        <w:tc>
          <w:tcPr>
            <w:tcW w:w="1559" w:type="dxa"/>
            <w:vAlign w:val="center"/>
          </w:tcPr>
          <w:p w14:paraId="06AB4592"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2.27</w:t>
            </w:r>
          </w:p>
        </w:tc>
        <w:tc>
          <w:tcPr>
            <w:tcW w:w="1560" w:type="dxa"/>
            <w:vAlign w:val="center"/>
          </w:tcPr>
          <w:p w14:paraId="7398A37D"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10.90</w:t>
            </w:r>
          </w:p>
        </w:tc>
        <w:tc>
          <w:tcPr>
            <w:tcW w:w="1225" w:type="dxa"/>
            <w:vAlign w:val="center"/>
          </w:tcPr>
          <w:p w14:paraId="41C4F99D"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33.10</w:t>
            </w:r>
          </w:p>
        </w:tc>
      </w:tr>
      <w:tr w:rsidR="00C96BC7" w:rsidRPr="00E750DB" w14:paraId="6CDE9197" w14:textId="77777777" w:rsidTr="00580D86">
        <w:tc>
          <w:tcPr>
            <w:tcW w:w="9017" w:type="dxa"/>
            <w:gridSpan w:val="6"/>
            <w:vAlign w:val="center"/>
          </w:tcPr>
          <w:p w14:paraId="348EFF22" w14:textId="77777777" w:rsidR="00C96BC7" w:rsidRPr="00E750DB" w:rsidRDefault="00C96BC7" w:rsidP="00E072B9">
            <w:pPr>
              <w:keepNext/>
              <w:keepLines/>
              <w:rPr>
                <w:rFonts w:ascii="Arial Narrow" w:hAnsi="Arial Narrow" w:cs="Calibri"/>
                <w:sz w:val="20"/>
                <w:szCs w:val="20"/>
                <w:vertAlign w:val="superscript"/>
              </w:rPr>
            </w:pPr>
            <w:r w:rsidRPr="00E750DB">
              <w:rPr>
                <w:rFonts w:ascii="Arial Narrow" w:hAnsi="Arial Narrow"/>
                <w:sz w:val="20"/>
                <w:szCs w:val="20"/>
              </w:rPr>
              <w:t xml:space="preserve">Estimated utility by health state </w:t>
            </w:r>
            <w:r w:rsidRPr="00E750DB">
              <w:rPr>
                <w:rFonts w:ascii="Arial Narrow" w:hAnsi="Arial Narrow"/>
                <w:sz w:val="20"/>
                <w:szCs w:val="20"/>
                <w:vertAlign w:val="superscript"/>
              </w:rPr>
              <w:t>b</w:t>
            </w:r>
          </w:p>
        </w:tc>
      </w:tr>
      <w:tr w:rsidR="00C96BC7" w:rsidRPr="00E750DB" w14:paraId="69C00027" w14:textId="77777777" w:rsidTr="00580D86">
        <w:tc>
          <w:tcPr>
            <w:tcW w:w="1838" w:type="dxa"/>
            <w:vAlign w:val="center"/>
          </w:tcPr>
          <w:p w14:paraId="318450AE" w14:textId="7C90F41D" w:rsidR="00C96BC7" w:rsidRPr="00E750DB" w:rsidRDefault="00C96BC7" w:rsidP="00E072B9">
            <w:pPr>
              <w:keepNext/>
              <w:keepLines/>
              <w:jc w:val="left"/>
              <w:rPr>
                <w:rFonts w:ascii="Arial Narrow" w:hAnsi="Arial Narrow"/>
                <w:sz w:val="20"/>
                <w:szCs w:val="20"/>
                <w:vertAlign w:val="superscript"/>
              </w:rPr>
            </w:pPr>
            <w:r w:rsidRPr="00E750DB">
              <w:rPr>
                <w:rFonts w:ascii="Arial Narrow" w:hAnsi="Arial Narrow"/>
                <w:sz w:val="20"/>
                <w:szCs w:val="20"/>
              </w:rPr>
              <w:t>18</w:t>
            </w:r>
            <w:r w:rsidR="00E072B9">
              <w:rPr>
                <w:rFonts w:ascii="Arial Narrow" w:hAnsi="Arial Narrow"/>
                <w:sz w:val="20"/>
                <w:szCs w:val="20"/>
              </w:rPr>
              <w:noBreakHyphen/>
            </w:r>
            <w:r w:rsidRPr="00E750DB">
              <w:rPr>
                <w:rFonts w:ascii="Arial Narrow" w:hAnsi="Arial Narrow"/>
                <w:sz w:val="20"/>
                <w:szCs w:val="20"/>
              </w:rPr>
              <w:t xml:space="preserve">24 years </w:t>
            </w:r>
            <w:r w:rsidRPr="00E750DB">
              <w:rPr>
                <w:rFonts w:ascii="Arial Narrow" w:hAnsi="Arial Narrow"/>
                <w:sz w:val="20"/>
                <w:szCs w:val="20"/>
                <w:vertAlign w:val="superscript"/>
              </w:rPr>
              <w:t>c</w:t>
            </w:r>
          </w:p>
        </w:tc>
        <w:tc>
          <w:tcPr>
            <w:tcW w:w="1418" w:type="dxa"/>
            <w:vAlign w:val="center"/>
          </w:tcPr>
          <w:p w14:paraId="3C1802BF"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0.96</w:t>
            </w:r>
          </w:p>
        </w:tc>
        <w:tc>
          <w:tcPr>
            <w:tcW w:w="1417" w:type="dxa"/>
          </w:tcPr>
          <w:p w14:paraId="002E2392"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0.762</w:t>
            </w:r>
          </w:p>
        </w:tc>
        <w:tc>
          <w:tcPr>
            <w:tcW w:w="1559" w:type="dxa"/>
          </w:tcPr>
          <w:p w14:paraId="051744C6"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0.426</w:t>
            </w:r>
          </w:p>
        </w:tc>
        <w:tc>
          <w:tcPr>
            <w:tcW w:w="1560" w:type="dxa"/>
          </w:tcPr>
          <w:p w14:paraId="68B6244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0.296</w:t>
            </w:r>
          </w:p>
        </w:tc>
        <w:tc>
          <w:tcPr>
            <w:tcW w:w="1225" w:type="dxa"/>
          </w:tcPr>
          <w:p w14:paraId="2E9A1FBA"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0.200</w:t>
            </w:r>
          </w:p>
        </w:tc>
      </w:tr>
      <w:tr w:rsidR="00C96BC7" w:rsidRPr="00E750DB" w14:paraId="626A7910" w14:textId="77777777" w:rsidTr="00580D86">
        <w:tc>
          <w:tcPr>
            <w:tcW w:w="1838" w:type="dxa"/>
            <w:vAlign w:val="center"/>
          </w:tcPr>
          <w:p w14:paraId="05D2D35B" w14:textId="633A1C3B" w:rsidR="00C96BC7" w:rsidRPr="00E750DB" w:rsidRDefault="00C96BC7" w:rsidP="00E072B9">
            <w:pPr>
              <w:keepNext/>
              <w:keepLines/>
              <w:jc w:val="left"/>
              <w:rPr>
                <w:rFonts w:ascii="Arial Narrow" w:hAnsi="Arial Narrow"/>
                <w:sz w:val="20"/>
                <w:szCs w:val="20"/>
                <w:vertAlign w:val="superscript"/>
              </w:rPr>
            </w:pPr>
            <w:r w:rsidRPr="00E750DB">
              <w:rPr>
                <w:rFonts w:ascii="Arial Narrow" w:hAnsi="Arial Narrow"/>
                <w:sz w:val="20"/>
                <w:szCs w:val="20"/>
              </w:rPr>
              <w:t>25</w:t>
            </w:r>
            <w:r w:rsidR="00E072B9">
              <w:rPr>
                <w:rFonts w:ascii="Arial Narrow" w:hAnsi="Arial Narrow"/>
                <w:sz w:val="20"/>
                <w:szCs w:val="20"/>
              </w:rPr>
              <w:noBreakHyphen/>
            </w:r>
            <w:r w:rsidRPr="00E750DB">
              <w:rPr>
                <w:rFonts w:ascii="Arial Narrow" w:hAnsi="Arial Narrow"/>
                <w:sz w:val="20"/>
                <w:szCs w:val="20"/>
              </w:rPr>
              <w:t>34</w:t>
            </w:r>
            <w:r w:rsidRPr="00E750DB">
              <w:rPr>
                <w:rFonts w:ascii="Arial Narrow" w:eastAsia="Calibri" w:hAnsi="Arial Narrow"/>
                <w:sz w:val="20"/>
                <w:szCs w:val="20"/>
              </w:rPr>
              <w:t xml:space="preserve"> years </w:t>
            </w:r>
            <w:r w:rsidRPr="00E750DB">
              <w:rPr>
                <w:rFonts w:ascii="Arial Narrow" w:eastAsia="Calibri" w:hAnsi="Arial Narrow"/>
                <w:sz w:val="20"/>
                <w:szCs w:val="20"/>
                <w:vertAlign w:val="superscript"/>
              </w:rPr>
              <w:t>c</w:t>
            </w:r>
          </w:p>
        </w:tc>
        <w:tc>
          <w:tcPr>
            <w:tcW w:w="1418" w:type="dxa"/>
            <w:vAlign w:val="center"/>
          </w:tcPr>
          <w:p w14:paraId="0402EEDA"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0.95</w:t>
            </w:r>
          </w:p>
        </w:tc>
        <w:tc>
          <w:tcPr>
            <w:tcW w:w="1417" w:type="dxa"/>
          </w:tcPr>
          <w:p w14:paraId="7F91DBC9"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0.752</w:t>
            </w:r>
          </w:p>
        </w:tc>
        <w:tc>
          <w:tcPr>
            <w:tcW w:w="1559" w:type="dxa"/>
          </w:tcPr>
          <w:p w14:paraId="19A9AFDF"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0.422</w:t>
            </w:r>
          </w:p>
        </w:tc>
        <w:tc>
          <w:tcPr>
            <w:tcW w:w="1560" w:type="dxa"/>
          </w:tcPr>
          <w:p w14:paraId="1DCCCF9C"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0.286</w:t>
            </w:r>
          </w:p>
        </w:tc>
        <w:tc>
          <w:tcPr>
            <w:tcW w:w="1225" w:type="dxa"/>
          </w:tcPr>
          <w:p w14:paraId="55456618"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0.190</w:t>
            </w:r>
          </w:p>
        </w:tc>
      </w:tr>
      <w:tr w:rsidR="00C96BC7" w:rsidRPr="00E750DB" w14:paraId="26BF0D92" w14:textId="77777777" w:rsidTr="00580D86">
        <w:tc>
          <w:tcPr>
            <w:tcW w:w="1838" w:type="dxa"/>
            <w:vAlign w:val="center"/>
          </w:tcPr>
          <w:p w14:paraId="29B34C8E" w14:textId="5FE91CD0" w:rsidR="00C96BC7" w:rsidRPr="00E750DB" w:rsidRDefault="00C96BC7" w:rsidP="00E072B9">
            <w:pPr>
              <w:keepNext/>
              <w:keepLines/>
              <w:jc w:val="left"/>
              <w:rPr>
                <w:rFonts w:ascii="Arial Narrow" w:hAnsi="Arial Narrow"/>
                <w:sz w:val="20"/>
                <w:szCs w:val="20"/>
              </w:rPr>
            </w:pPr>
            <w:r w:rsidRPr="00E750DB">
              <w:rPr>
                <w:rFonts w:ascii="Arial Narrow" w:hAnsi="Arial Narrow"/>
                <w:sz w:val="20"/>
                <w:szCs w:val="20"/>
              </w:rPr>
              <w:t>35</w:t>
            </w:r>
            <w:r w:rsidR="00E072B9">
              <w:rPr>
                <w:rFonts w:ascii="Arial Narrow" w:hAnsi="Arial Narrow"/>
                <w:sz w:val="20"/>
                <w:szCs w:val="20"/>
              </w:rPr>
              <w:noBreakHyphen/>
            </w:r>
            <w:r w:rsidRPr="00E750DB">
              <w:rPr>
                <w:rFonts w:ascii="Arial Narrow" w:hAnsi="Arial Narrow"/>
                <w:sz w:val="20"/>
                <w:szCs w:val="20"/>
              </w:rPr>
              <w:t>44</w:t>
            </w:r>
            <w:r w:rsidRPr="00E750DB">
              <w:rPr>
                <w:rFonts w:ascii="Arial Narrow" w:eastAsia="Calibri" w:hAnsi="Arial Narrow"/>
                <w:sz w:val="20"/>
                <w:szCs w:val="20"/>
              </w:rPr>
              <w:t xml:space="preserve"> years</w:t>
            </w:r>
          </w:p>
        </w:tc>
        <w:tc>
          <w:tcPr>
            <w:tcW w:w="1418" w:type="dxa"/>
            <w:vAlign w:val="center"/>
          </w:tcPr>
          <w:p w14:paraId="5E8CB315"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0.92</w:t>
            </w:r>
          </w:p>
        </w:tc>
        <w:tc>
          <w:tcPr>
            <w:tcW w:w="1417" w:type="dxa"/>
          </w:tcPr>
          <w:p w14:paraId="56BF221E"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0.722</w:t>
            </w:r>
          </w:p>
        </w:tc>
        <w:tc>
          <w:tcPr>
            <w:tcW w:w="1559" w:type="dxa"/>
          </w:tcPr>
          <w:p w14:paraId="7D8CAB8A"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0.408</w:t>
            </w:r>
          </w:p>
        </w:tc>
        <w:tc>
          <w:tcPr>
            <w:tcW w:w="1560" w:type="dxa"/>
          </w:tcPr>
          <w:p w14:paraId="189DDAC0"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0.256</w:t>
            </w:r>
          </w:p>
        </w:tc>
        <w:tc>
          <w:tcPr>
            <w:tcW w:w="1225" w:type="dxa"/>
          </w:tcPr>
          <w:p w14:paraId="7ADDB6E9"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0.160</w:t>
            </w:r>
          </w:p>
        </w:tc>
      </w:tr>
      <w:tr w:rsidR="00C96BC7" w:rsidRPr="00E750DB" w14:paraId="17DBECAD" w14:textId="77777777" w:rsidTr="00580D86">
        <w:tc>
          <w:tcPr>
            <w:tcW w:w="1838" w:type="dxa"/>
            <w:vAlign w:val="center"/>
          </w:tcPr>
          <w:p w14:paraId="0A785683" w14:textId="506558C0"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45</w:t>
            </w:r>
            <w:r w:rsidR="00E072B9">
              <w:rPr>
                <w:rFonts w:ascii="Arial Narrow" w:hAnsi="Arial Narrow"/>
                <w:sz w:val="20"/>
                <w:szCs w:val="20"/>
              </w:rPr>
              <w:noBreakHyphen/>
            </w:r>
            <w:r w:rsidRPr="00E750DB">
              <w:rPr>
                <w:rFonts w:ascii="Arial Narrow" w:hAnsi="Arial Narrow"/>
                <w:sz w:val="20"/>
                <w:szCs w:val="20"/>
              </w:rPr>
              <w:t>54</w:t>
            </w:r>
            <w:r w:rsidRPr="00E750DB">
              <w:rPr>
                <w:rFonts w:ascii="Arial Narrow" w:eastAsia="Calibri" w:hAnsi="Arial Narrow"/>
                <w:sz w:val="20"/>
                <w:szCs w:val="20"/>
              </w:rPr>
              <w:t xml:space="preserve"> years</w:t>
            </w:r>
          </w:p>
        </w:tc>
        <w:tc>
          <w:tcPr>
            <w:tcW w:w="1418" w:type="dxa"/>
            <w:vAlign w:val="center"/>
          </w:tcPr>
          <w:p w14:paraId="459B831B"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0.89</w:t>
            </w:r>
          </w:p>
        </w:tc>
        <w:tc>
          <w:tcPr>
            <w:tcW w:w="1417" w:type="dxa"/>
          </w:tcPr>
          <w:p w14:paraId="7A018064"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0.692</w:t>
            </w:r>
          </w:p>
        </w:tc>
        <w:tc>
          <w:tcPr>
            <w:tcW w:w="1559" w:type="dxa"/>
          </w:tcPr>
          <w:p w14:paraId="26A7778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0.394</w:t>
            </w:r>
          </w:p>
        </w:tc>
        <w:tc>
          <w:tcPr>
            <w:tcW w:w="1560" w:type="dxa"/>
          </w:tcPr>
          <w:p w14:paraId="01A0A7BF"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0.226</w:t>
            </w:r>
          </w:p>
        </w:tc>
        <w:tc>
          <w:tcPr>
            <w:tcW w:w="1225" w:type="dxa"/>
          </w:tcPr>
          <w:p w14:paraId="0B5004FC"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0.130</w:t>
            </w:r>
          </w:p>
        </w:tc>
      </w:tr>
      <w:tr w:rsidR="00C96BC7" w:rsidRPr="00E750DB" w14:paraId="732F1E43" w14:textId="77777777" w:rsidTr="00580D86">
        <w:tc>
          <w:tcPr>
            <w:tcW w:w="1838" w:type="dxa"/>
            <w:vAlign w:val="center"/>
          </w:tcPr>
          <w:p w14:paraId="6B135F81" w14:textId="41EA5C12"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55</w:t>
            </w:r>
            <w:r w:rsidR="00E072B9">
              <w:rPr>
                <w:rFonts w:ascii="Arial Narrow" w:hAnsi="Arial Narrow"/>
                <w:sz w:val="20"/>
                <w:szCs w:val="20"/>
              </w:rPr>
              <w:noBreakHyphen/>
            </w:r>
            <w:r w:rsidRPr="00E750DB">
              <w:rPr>
                <w:rFonts w:ascii="Arial Narrow" w:hAnsi="Arial Narrow"/>
                <w:sz w:val="20"/>
                <w:szCs w:val="20"/>
              </w:rPr>
              <w:t>64</w:t>
            </w:r>
            <w:r w:rsidRPr="00E750DB">
              <w:rPr>
                <w:rFonts w:ascii="Arial Narrow" w:eastAsia="Calibri" w:hAnsi="Arial Narrow"/>
                <w:sz w:val="20"/>
                <w:szCs w:val="20"/>
              </w:rPr>
              <w:t xml:space="preserve"> years</w:t>
            </w:r>
          </w:p>
        </w:tc>
        <w:tc>
          <w:tcPr>
            <w:tcW w:w="1418" w:type="dxa"/>
            <w:vAlign w:val="center"/>
          </w:tcPr>
          <w:p w14:paraId="6143D853"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0.89</w:t>
            </w:r>
          </w:p>
        </w:tc>
        <w:tc>
          <w:tcPr>
            <w:tcW w:w="1417" w:type="dxa"/>
          </w:tcPr>
          <w:p w14:paraId="02CEE58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0.692</w:t>
            </w:r>
          </w:p>
        </w:tc>
        <w:tc>
          <w:tcPr>
            <w:tcW w:w="1559" w:type="dxa"/>
          </w:tcPr>
          <w:p w14:paraId="564781A5"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0.394</w:t>
            </w:r>
          </w:p>
        </w:tc>
        <w:tc>
          <w:tcPr>
            <w:tcW w:w="1560" w:type="dxa"/>
          </w:tcPr>
          <w:p w14:paraId="1045737C"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0.226</w:t>
            </w:r>
          </w:p>
        </w:tc>
        <w:tc>
          <w:tcPr>
            <w:tcW w:w="1225" w:type="dxa"/>
          </w:tcPr>
          <w:p w14:paraId="536C0CAD"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0.130</w:t>
            </w:r>
          </w:p>
        </w:tc>
      </w:tr>
      <w:tr w:rsidR="00C96BC7" w:rsidRPr="00E750DB" w14:paraId="547F4FC0" w14:textId="77777777" w:rsidTr="00580D86">
        <w:tc>
          <w:tcPr>
            <w:tcW w:w="1838" w:type="dxa"/>
            <w:vAlign w:val="center"/>
          </w:tcPr>
          <w:p w14:paraId="71A8F33D" w14:textId="268374ED"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65</w:t>
            </w:r>
            <w:r w:rsidR="00E072B9">
              <w:rPr>
                <w:rFonts w:ascii="Arial Narrow" w:hAnsi="Arial Narrow"/>
                <w:sz w:val="20"/>
                <w:szCs w:val="20"/>
              </w:rPr>
              <w:noBreakHyphen/>
            </w:r>
            <w:r w:rsidRPr="00E750DB">
              <w:rPr>
                <w:rFonts w:ascii="Arial Narrow" w:hAnsi="Arial Narrow"/>
                <w:sz w:val="20"/>
                <w:szCs w:val="20"/>
              </w:rPr>
              <w:t>74</w:t>
            </w:r>
            <w:r w:rsidRPr="00E750DB">
              <w:rPr>
                <w:rFonts w:ascii="Arial Narrow" w:eastAsia="Calibri" w:hAnsi="Arial Narrow"/>
                <w:sz w:val="20"/>
                <w:szCs w:val="20"/>
              </w:rPr>
              <w:t xml:space="preserve"> years</w:t>
            </w:r>
          </w:p>
        </w:tc>
        <w:tc>
          <w:tcPr>
            <w:tcW w:w="1418" w:type="dxa"/>
            <w:vAlign w:val="center"/>
          </w:tcPr>
          <w:p w14:paraId="79885195"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0.87</w:t>
            </w:r>
          </w:p>
        </w:tc>
        <w:tc>
          <w:tcPr>
            <w:tcW w:w="1417" w:type="dxa"/>
          </w:tcPr>
          <w:p w14:paraId="7DAECD04"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0.672</w:t>
            </w:r>
          </w:p>
        </w:tc>
        <w:tc>
          <w:tcPr>
            <w:tcW w:w="1559" w:type="dxa"/>
          </w:tcPr>
          <w:p w14:paraId="35FC1774"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0.385</w:t>
            </w:r>
          </w:p>
        </w:tc>
        <w:tc>
          <w:tcPr>
            <w:tcW w:w="1560" w:type="dxa"/>
          </w:tcPr>
          <w:p w14:paraId="231C8081"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0.206</w:t>
            </w:r>
          </w:p>
        </w:tc>
        <w:tc>
          <w:tcPr>
            <w:tcW w:w="1225" w:type="dxa"/>
          </w:tcPr>
          <w:p w14:paraId="177A93A8"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0.110</w:t>
            </w:r>
          </w:p>
        </w:tc>
      </w:tr>
      <w:tr w:rsidR="00C96BC7" w:rsidRPr="00E750DB" w14:paraId="69C71704" w14:textId="77777777" w:rsidTr="00580D86">
        <w:tc>
          <w:tcPr>
            <w:tcW w:w="1838" w:type="dxa"/>
            <w:vAlign w:val="center"/>
          </w:tcPr>
          <w:p w14:paraId="332349AC" w14:textId="77777777"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≥75</w:t>
            </w:r>
            <w:r w:rsidRPr="00E750DB">
              <w:rPr>
                <w:rFonts w:ascii="Arial Narrow" w:eastAsia="Calibri" w:hAnsi="Arial Narrow"/>
                <w:sz w:val="20"/>
                <w:szCs w:val="20"/>
              </w:rPr>
              <w:t xml:space="preserve"> years</w:t>
            </w:r>
          </w:p>
        </w:tc>
        <w:tc>
          <w:tcPr>
            <w:tcW w:w="1418" w:type="dxa"/>
            <w:vAlign w:val="center"/>
          </w:tcPr>
          <w:p w14:paraId="6BCE2BEA"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0.83</w:t>
            </w:r>
          </w:p>
        </w:tc>
        <w:tc>
          <w:tcPr>
            <w:tcW w:w="1417" w:type="dxa"/>
          </w:tcPr>
          <w:p w14:paraId="5F77A771"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0.632</w:t>
            </w:r>
          </w:p>
        </w:tc>
        <w:tc>
          <w:tcPr>
            <w:tcW w:w="1559" w:type="dxa"/>
          </w:tcPr>
          <w:p w14:paraId="0C5F889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0.367</w:t>
            </w:r>
          </w:p>
        </w:tc>
        <w:tc>
          <w:tcPr>
            <w:tcW w:w="1560" w:type="dxa"/>
          </w:tcPr>
          <w:p w14:paraId="48071FCE"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0.166</w:t>
            </w:r>
          </w:p>
        </w:tc>
        <w:tc>
          <w:tcPr>
            <w:tcW w:w="1225" w:type="dxa"/>
          </w:tcPr>
          <w:p w14:paraId="545C08B6"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0.070</w:t>
            </w:r>
          </w:p>
        </w:tc>
      </w:tr>
    </w:tbl>
    <w:p w14:paraId="15CAD9AF"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rPr>
        <w:t>Source: calculated during the evaluation using information from Table 3.6, p86, Table 3.20, p95 and Table 3.24, p98 of the submission</w:t>
      </w:r>
    </w:p>
    <w:p w14:paraId="220DD143"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vertAlign w:val="superscript"/>
        </w:rPr>
        <w:t xml:space="preserve">a </w:t>
      </w:r>
      <w:r w:rsidRPr="00E750DB">
        <w:rPr>
          <w:rFonts w:ascii="Arial Narrow" w:hAnsi="Arial Narrow"/>
          <w:sz w:val="18"/>
          <w:szCs w:val="18"/>
        </w:rPr>
        <w:t>based on ENVISION pooled data from givosiran and placebo arms</w:t>
      </w:r>
    </w:p>
    <w:p w14:paraId="0721C425"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vertAlign w:val="superscript"/>
        </w:rPr>
        <w:t>b</w:t>
      </w:r>
      <w:r w:rsidRPr="00E750DB">
        <w:rPr>
          <w:rFonts w:ascii="Arial Narrow" w:hAnsi="Arial Narrow"/>
          <w:sz w:val="18"/>
          <w:szCs w:val="18"/>
        </w:rPr>
        <w:t xml:space="preserve"> Calculated by adding mean baseline utility at the age range, with the chronic condition utility decrement multiplied by the ratio of the mean baseline utility at the age range divided by the mean baseline utility at the starting age of the model, and with utility decrement from acute attacks</w:t>
      </w:r>
    </w:p>
    <w:p w14:paraId="356E79E3"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vertAlign w:val="superscript"/>
        </w:rPr>
        <w:t>c</w:t>
      </w:r>
      <w:r w:rsidRPr="00E750DB">
        <w:rPr>
          <w:rFonts w:ascii="Arial Narrow" w:hAnsi="Arial Narrow"/>
          <w:sz w:val="18"/>
          <w:szCs w:val="18"/>
        </w:rPr>
        <w:t xml:space="preserve"> Not in model as baseline starting age was 38.8 years in the base case</w:t>
      </w:r>
    </w:p>
    <w:p w14:paraId="3B169549" w14:textId="1327E222" w:rsidR="00B44207" w:rsidRPr="00E750DB" w:rsidRDefault="00B44207" w:rsidP="00E072B9">
      <w:pPr>
        <w:pStyle w:val="3-BodyText"/>
      </w:pPr>
      <w:r w:rsidRPr="00E750DB">
        <w:t>The submission derived the acute attack disutility from the EXPLORE study, which collected EQ</w:t>
      </w:r>
      <w:r w:rsidR="00E072B9">
        <w:noBreakHyphen/>
      </w:r>
      <w:r w:rsidRPr="00E750DB">
        <w:t>5D</w:t>
      </w:r>
      <w:r w:rsidR="00E072B9">
        <w:noBreakHyphen/>
      </w:r>
      <w:r w:rsidRPr="00E750DB">
        <w:t>5L data at scheduled 6</w:t>
      </w:r>
      <w:r w:rsidR="00E072B9">
        <w:noBreakHyphen/>
      </w:r>
      <w:r w:rsidRPr="00E750DB">
        <w:t>month intervals and during acute attacks. The submission justified the use of EXPLORE on the basis that it captured a higher proportion of EQ</w:t>
      </w:r>
      <w:r w:rsidR="00E072B9">
        <w:noBreakHyphen/>
      </w:r>
      <w:r w:rsidRPr="00E750DB">
        <w:t>5D</w:t>
      </w:r>
      <w:r w:rsidR="00E072B9">
        <w:noBreakHyphen/>
      </w:r>
      <w:r w:rsidRPr="00E750DB">
        <w:t xml:space="preserve">5L assessments during attacks (10.1%) compared to the ENVISION trial (0.4%), allowing a more reliable estimate. </w:t>
      </w:r>
    </w:p>
    <w:p w14:paraId="55103944" w14:textId="572B7AD7" w:rsidR="002D178F" w:rsidRPr="00E750DB" w:rsidRDefault="00B44207" w:rsidP="00E072B9">
      <w:pPr>
        <w:pStyle w:val="3-BodyText"/>
      </w:pPr>
      <w:r w:rsidRPr="00E750DB">
        <w:t>Utility decrements for chronic AHP symptoms (pain, neurological, and psychiatric) were derived from non</w:t>
      </w:r>
      <w:r w:rsidR="00E072B9">
        <w:noBreakHyphen/>
      </w:r>
      <w:r w:rsidRPr="00E750DB">
        <w:t>AHP</w:t>
      </w:r>
      <w:r w:rsidR="00E072B9">
        <w:noBreakHyphen/>
      </w:r>
      <w:r w:rsidRPr="00E750DB">
        <w:t>specific published literature due to limited direct trial data</w:t>
      </w:r>
      <w:r w:rsidR="002D178F" w:rsidRPr="00E750DB">
        <w:t>:</w:t>
      </w:r>
      <w:r w:rsidRPr="00E750DB">
        <w:t xml:space="preserve"> </w:t>
      </w:r>
    </w:p>
    <w:p w14:paraId="23A83203" w14:textId="582565C1" w:rsidR="002B40BB" w:rsidRPr="00E750DB" w:rsidRDefault="002D178F" w:rsidP="000869D3">
      <w:pPr>
        <w:pStyle w:val="ListParagraph"/>
        <w:numPr>
          <w:ilvl w:val="0"/>
          <w:numId w:val="12"/>
        </w:numPr>
        <w:ind w:left="1134" w:hanging="425"/>
        <w:jc w:val="both"/>
      </w:pPr>
      <w:r w:rsidRPr="00E750DB">
        <w:t>For chronic pain, the submission used a disutility value sourced from McDermott 2006, a cross</w:t>
      </w:r>
      <w:r w:rsidR="00E072B9">
        <w:noBreakHyphen/>
      </w:r>
      <w:r w:rsidRPr="00E750DB">
        <w:t xml:space="preserve">sectional study exploring the burden of neuropathic pain across </w:t>
      </w:r>
      <w:r w:rsidR="00E072B9">
        <w:t>6</w:t>
      </w:r>
      <w:r w:rsidRPr="00E750DB">
        <w:t xml:space="preserve"> European countries (n=602, mean age: 62.9 years) which reported utility estimates for mild, moderate, and severe neuropathic pain. It </w:t>
      </w:r>
      <w:r w:rsidR="00903658" w:rsidRPr="00E750DB">
        <w:t>wa</w:t>
      </w:r>
      <w:r w:rsidRPr="00E750DB">
        <w:t xml:space="preserve">s unclear whether chronic pain in AHP is clinically comparable to the pain profiles observed in other progressive or neurological conditions. Further, McDermott 2006 </w:t>
      </w:r>
      <w:r w:rsidR="003F649C" w:rsidRPr="00E750DB">
        <w:t>had other applicability issues</w:t>
      </w:r>
      <w:r w:rsidRPr="00E750DB">
        <w:t xml:space="preserve"> as the mean age of the study population was 62 years, approximately 49% were male, and </w:t>
      </w:r>
      <w:proofErr w:type="gramStart"/>
      <w:r w:rsidRPr="00E750DB">
        <w:t>the majority of</w:t>
      </w:r>
      <w:proofErr w:type="gramEnd"/>
      <w:r w:rsidRPr="00E750DB">
        <w:t xml:space="preserve"> patients experienced neuropathic pain secondary to diabetes (23%) whereas the model assumed a baseline age of 38.8 years and 89.4% female</w:t>
      </w:r>
      <w:r w:rsidR="00645C1B" w:rsidRPr="00E750DB">
        <w:t>.</w:t>
      </w:r>
    </w:p>
    <w:p w14:paraId="165E1BE6" w14:textId="2E21CBA8" w:rsidR="002B40BB" w:rsidRPr="00E750DB" w:rsidRDefault="002D178F" w:rsidP="000869D3">
      <w:pPr>
        <w:pStyle w:val="ListParagraph"/>
        <w:numPr>
          <w:ilvl w:val="0"/>
          <w:numId w:val="12"/>
        </w:numPr>
        <w:ind w:left="1134" w:hanging="425"/>
        <w:jc w:val="both"/>
      </w:pPr>
      <w:r w:rsidRPr="00E750DB">
        <w:t xml:space="preserve">For neurological disutility, the submission used a </w:t>
      </w:r>
      <w:r w:rsidR="002B40BB" w:rsidRPr="00E750DB">
        <w:t xml:space="preserve">disutility </w:t>
      </w:r>
      <w:r w:rsidRPr="00E750DB">
        <w:t>value from Sullivan 2011, a study that presents a catalogue of EQ</w:t>
      </w:r>
      <w:r w:rsidR="00E072B9">
        <w:noBreakHyphen/>
      </w:r>
      <w:r w:rsidRPr="00E750DB">
        <w:t>5D scores for the United Kingdom pooled from 79,522 individuals with complete EQ</w:t>
      </w:r>
      <w:r w:rsidR="00E072B9">
        <w:noBreakHyphen/>
      </w:r>
      <w:r w:rsidRPr="00E750DB">
        <w:t>5D scores. The utility decrement reported for “other hereditary and degenerative neuropathy” (</w:t>
      </w:r>
      <w:r w:rsidR="00E072B9">
        <w:noBreakHyphen/>
      </w:r>
      <w:r w:rsidR="00F926D7" w:rsidRPr="00E750DB">
        <w:t> </w:t>
      </w:r>
      <w:r w:rsidRPr="00E750DB">
        <w:t xml:space="preserve">0.097) was selected. The rationale provided was that this category captures a broader range of neurological impairments without restricting disutility to a specific clinical presentation. </w:t>
      </w:r>
      <w:r w:rsidR="00113366" w:rsidRPr="00E750DB">
        <w:t>The applicability to the AHP population remains uncertain</w:t>
      </w:r>
      <w:r w:rsidR="00255102" w:rsidRPr="00E750DB">
        <w:t>.</w:t>
      </w:r>
      <w:r w:rsidR="00A550BD">
        <w:t xml:space="preserve"> </w:t>
      </w:r>
    </w:p>
    <w:p w14:paraId="5C0B7134" w14:textId="5D2C9840" w:rsidR="002D178F" w:rsidRPr="00E750DB" w:rsidRDefault="002D178F" w:rsidP="000869D3">
      <w:pPr>
        <w:pStyle w:val="ListParagraph"/>
        <w:numPr>
          <w:ilvl w:val="0"/>
          <w:numId w:val="12"/>
        </w:numPr>
        <w:ind w:left="1134" w:hanging="425"/>
        <w:jc w:val="both"/>
      </w:pPr>
      <w:r w:rsidRPr="00E750DB">
        <w:t>For psychiatric disutility, the submission stated that patients with AHP may experience a spectrum of psychiatric symptoms, including depression, anxiety, insomnia, and psychosis. To reflect this, the submission used data from Ara and Brazier 2011, a study that provides EQ</w:t>
      </w:r>
      <w:r w:rsidR="00E072B9">
        <w:noBreakHyphen/>
      </w:r>
      <w:r w:rsidRPr="00E750DB">
        <w:t>5D scores obtained from noninstitutionali</w:t>
      </w:r>
      <w:r w:rsidR="00F926D7" w:rsidRPr="00E750DB">
        <w:t>s</w:t>
      </w:r>
      <w:r w:rsidRPr="00E750DB">
        <w:t>ed residents (n=41,174; mean age: 48.6 years) in England stratified by self</w:t>
      </w:r>
      <w:r w:rsidR="00E072B9">
        <w:noBreakHyphen/>
      </w:r>
      <w:r w:rsidRPr="00E750DB">
        <w:t xml:space="preserve">reported history of prevalent health conditions and age, when condition specific data are not available. This study included HRQoL impacts for a range of psychiatric conditions. There </w:t>
      </w:r>
      <w:r w:rsidR="001F734D" w:rsidRPr="00E750DB">
        <w:t>is</w:t>
      </w:r>
      <w:r w:rsidRPr="00E750DB">
        <w:t xml:space="preserve"> uncertainty regarding the applicability of these values to the AHP population, as the utility decrements were derived from populations with differing demographic and clinical profiles, and the underlying conditions may not fully capture the severity, pattern, or interaction of symptoms experienced in AHP.</w:t>
      </w:r>
    </w:p>
    <w:p w14:paraId="3875365B" w14:textId="73701399" w:rsidR="00A449DB" w:rsidRPr="00E750DB" w:rsidRDefault="00B44207" w:rsidP="00E072B9">
      <w:pPr>
        <w:pStyle w:val="3-BodyText"/>
      </w:pPr>
      <w:r w:rsidRPr="00E750DB">
        <w:t xml:space="preserve">These values were weighted by the prevalence of chronic symptoms </w:t>
      </w:r>
      <w:r w:rsidR="003F649C" w:rsidRPr="00E750DB">
        <w:t xml:space="preserve">from </w:t>
      </w:r>
      <w:r w:rsidRPr="00E750DB">
        <w:t>Neeleman 2018 and adjusted for co</w:t>
      </w:r>
      <w:r w:rsidR="00E072B9">
        <w:noBreakHyphen/>
      </w:r>
      <w:r w:rsidRPr="00E750DB">
        <w:t xml:space="preserve">occurrence using a multiplicative method (Ara and Brazier 2011). </w:t>
      </w:r>
      <w:r w:rsidR="00A449DB" w:rsidRPr="00E750DB">
        <w:t>While the use of literature</w:t>
      </w:r>
      <w:r w:rsidR="00E072B9">
        <w:noBreakHyphen/>
      </w:r>
      <w:r w:rsidR="00A449DB" w:rsidRPr="00E750DB">
        <w:t>based utility decrements is reasonable when condition</w:t>
      </w:r>
      <w:r w:rsidR="00E072B9">
        <w:noBreakHyphen/>
      </w:r>
      <w:r w:rsidR="00A449DB" w:rsidRPr="00E750DB">
        <w:t>specific trial data are not available, it introduces potential uncertainty regarding the applicability of the selected disutilities to the AHP population, particularly given that the sourced utility values are not specific to AHP and may not be representative of the HRQoL associated with AHP.</w:t>
      </w:r>
    </w:p>
    <w:p w14:paraId="18374E3E" w14:textId="3C135BA7" w:rsidR="00DA29A9" w:rsidRPr="00E750DB" w:rsidRDefault="006F7603" w:rsidP="00E072B9">
      <w:pPr>
        <w:pStyle w:val="3-BodyText"/>
      </w:pPr>
      <w:r w:rsidRPr="00E750DB">
        <w:t xml:space="preserve">Notably, the ‘out of attack’ utility in </w:t>
      </w:r>
      <w:r w:rsidRPr="00481A2A">
        <w:t xml:space="preserve">EXPLORE of 0.577 </w:t>
      </w:r>
      <w:r w:rsidRPr="00E750DB">
        <w:t xml:space="preserve">was higher than the utility in the AAR </w:t>
      </w:r>
      <w:r w:rsidR="00BD03FD">
        <w:t xml:space="preserve">&gt; </w:t>
      </w:r>
      <w:r w:rsidRPr="00E750DB">
        <w:t xml:space="preserve">0 to </w:t>
      </w:r>
      <w:r w:rsidRPr="00E750DB">
        <w:rPr>
          <w:rFonts w:cstheme="minorHAnsi"/>
        </w:rPr>
        <w:t>≤</w:t>
      </w:r>
      <w:r w:rsidRPr="00E750DB">
        <w:t>4 health state assumed in the model when considering only chronic condition decrements (0.92</w:t>
      </w:r>
      <w:r w:rsidR="00E072B9">
        <w:noBreakHyphen/>
      </w:r>
      <w:r w:rsidRPr="00E750DB">
        <w:t xml:space="preserve"> 0.502 = 0.418). This suggests that the chronic utility decrements assumed by the submission were overestimated, favouring givosiran. </w:t>
      </w:r>
      <w:r w:rsidR="00DA29A9" w:rsidRPr="00E750DB">
        <w:t xml:space="preserve">The differences in utility between each health state </w:t>
      </w:r>
      <w:r w:rsidR="00CD6CF2" w:rsidRPr="00E750DB">
        <w:t xml:space="preserve">were </w:t>
      </w:r>
      <w:r w:rsidRPr="00E750DB">
        <w:t xml:space="preserve">also </w:t>
      </w:r>
      <w:r w:rsidR="00DA29A9" w:rsidRPr="00E750DB">
        <w:t>substantial. The utility in the AAR</w:t>
      </w:r>
      <w:r w:rsidR="004230A9">
        <w:t xml:space="preserve"> </w:t>
      </w:r>
      <w:r w:rsidR="00BD03FD">
        <w:t>&gt;</w:t>
      </w:r>
      <w:r w:rsidR="00A550BD">
        <w:t xml:space="preserve"> </w:t>
      </w:r>
      <w:r w:rsidR="00DA29A9" w:rsidRPr="00E750DB">
        <w:t>0 to ≤</w:t>
      </w:r>
      <w:r w:rsidR="004230A9">
        <w:t xml:space="preserve"> </w:t>
      </w:r>
      <w:r w:rsidR="00DA29A9" w:rsidRPr="00E750DB">
        <w:t>4 (0.408) was almost half of AAR=0 (0.722) in the 35</w:t>
      </w:r>
      <w:r w:rsidR="00E072B9">
        <w:noBreakHyphen/>
      </w:r>
      <w:r w:rsidR="00DA29A9" w:rsidRPr="00E750DB">
        <w:t>44 age group– s</w:t>
      </w:r>
      <w:r w:rsidR="003C1E78" w:rsidRPr="00E750DB">
        <w:t>uggesting that</w:t>
      </w:r>
      <w:r w:rsidR="00DA29A9" w:rsidRPr="00E750DB">
        <w:t xml:space="preserve"> if a </w:t>
      </w:r>
      <w:r w:rsidR="003C1E78" w:rsidRPr="00E750DB">
        <w:t xml:space="preserve">previously </w:t>
      </w:r>
      <w:r w:rsidR="003F649C" w:rsidRPr="00E750DB">
        <w:t>a</w:t>
      </w:r>
      <w:r w:rsidR="003C1E78" w:rsidRPr="00E750DB">
        <w:t xml:space="preserve">symptomatic </w:t>
      </w:r>
      <w:r w:rsidR="00DA29A9" w:rsidRPr="00E750DB">
        <w:t>patient has one attack</w:t>
      </w:r>
      <w:r w:rsidR="00112466" w:rsidRPr="00E750DB">
        <w:t>, they</w:t>
      </w:r>
      <w:r w:rsidR="00DA29A9" w:rsidRPr="00E750DB">
        <w:t xml:space="preserve"> will </w:t>
      </w:r>
      <w:r w:rsidR="003C1E78" w:rsidRPr="00E750DB">
        <w:t xml:space="preserve">subsequently </w:t>
      </w:r>
      <w:r w:rsidR="00DA29A9" w:rsidRPr="00E750DB">
        <w:t xml:space="preserve">be classified as AAR </w:t>
      </w:r>
      <w:r w:rsidR="00BD03FD">
        <w:t xml:space="preserve">&gt; </w:t>
      </w:r>
      <w:r w:rsidR="00DA29A9" w:rsidRPr="00E750DB">
        <w:t>0 to ≤4 and will have a significant loss of HRQoL.</w:t>
      </w:r>
    </w:p>
    <w:p w14:paraId="64CF71F2" w14:textId="6F287B0E" w:rsidR="000F7EB1" w:rsidRPr="00E750DB" w:rsidRDefault="000F7EB1" w:rsidP="00E072B9">
      <w:pPr>
        <w:pStyle w:val="3-BodyText"/>
      </w:pPr>
      <w:r w:rsidRPr="00E750DB">
        <w:t xml:space="preserve">Utilities were </w:t>
      </w:r>
      <w:r w:rsidR="00F61A7E" w:rsidRPr="00E750DB">
        <w:t xml:space="preserve">identified as </w:t>
      </w:r>
      <w:r w:rsidRPr="00E750DB">
        <w:t>a source of uncertainty by both CADTH and NICE. CADTH stated in relation to the HRQoL measures in ENVISION</w:t>
      </w:r>
      <w:r w:rsidR="00112466" w:rsidRPr="00E750DB">
        <w:t>,</w:t>
      </w:r>
      <w:r w:rsidRPr="00E750DB">
        <w:t xml:space="preserve"> “none of these measures have been validated in this patient population, and all related results were not adjusted for multiple testing. Other symptom</w:t>
      </w:r>
      <w:r w:rsidR="00E072B9">
        <w:noBreakHyphen/>
      </w:r>
      <w:r w:rsidRPr="00E750DB">
        <w:t xml:space="preserve">related outcomes, including pain, fatigue, and nausea, either did not show a statistically significant result or were outside of the statistical testing hierarchy and not adjusted for multiple testing. As such, no conclusion could have been made on the effect of givosiran on these outcomes. There is no conclusive evidence to support any effect of givosiran on chronic neurologic or psychiatric complications of AHP” (p5, CADTH 2021). Given this, it might not be reasonable to model such a large utility difference due to different prevalence in these conditions. A sensitivity analysis </w:t>
      </w:r>
      <w:r w:rsidR="008E59A0" w:rsidRPr="00E750DB">
        <w:t xml:space="preserve">in the submission’s model </w:t>
      </w:r>
      <w:r w:rsidRPr="00E750DB">
        <w:t>assuming all health states had the utility decrement equal to the asymptomatic health state (</w:t>
      </w:r>
      <w:r w:rsidR="00E072B9">
        <w:noBreakHyphen/>
      </w:r>
      <w:r w:rsidR="00F926D7" w:rsidRPr="00E750DB">
        <w:t> </w:t>
      </w:r>
      <w:r w:rsidRPr="00E750DB">
        <w:t>0.19</w:t>
      </w:r>
      <w:r w:rsidR="001A7DA4" w:rsidRPr="00E750DB">
        <w:t>8)</w:t>
      </w:r>
      <w:r w:rsidRPr="00E750DB">
        <w:t xml:space="preserve"> increased the ICER by </w:t>
      </w:r>
      <w:r w:rsidR="00B35ACC" w:rsidRPr="00A550BD">
        <w:rPr>
          <w:color w:val="000000"/>
          <w:spacing w:val="6"/>
          <w:w w:val="61"/>
          <w:shd w:val="solid" w:color="000000" w:fill="000000"/>
          <w:fitText w:val="475" w:id="-625250039"/>
          <w14:textFill>
            <w14:solidFill>
              <w14:srgbClr w14:val="000000">
                <w14:alpha w14:val="100000"/>
              </w14:srgbClr>
            </w14:solidFill>
          </w14:textFill>
        </w:rPr>
        <w:t>|||</w:t>
      </w:r>
      <w:r w:rsidR="00A550BD" w:rsidRPr="00A550BD">
        <w:rPr>
          <w:color w:val="000000"/>
          <w:spacing w:val="6"/>
          <w:w w:val="61"/>
          <w:shd w:val="solid" w:color="000000" w:fill="000000"/>
          <w:fitText w:val="475" w:id="-625250039"/>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9"/>
          <w14:textFill>
            <w14:solidFill>
              <w14:srgbClr w14:val="000000">
                <w14:alpha w14:val="100000"/>
              </w14:srgbClr>
            </w14:solidFill>
          </w14:textFill>
        </w:rPr>
        <w:t>||</w:t>
      </w:r>
      <w:r w:rsidR="00B35ACC" w:rsidRPr="00A550BD">
        <w:rPr>
          <w:color w:val="000000"/>
          <w:spacing w:val="3"/>
          <w:w w:val="61"/>
          <w:shd w:val="solid" w:color="000000" w:fill="000000"/>
          <w:fitText w:val="475" w:id="-625250039"/>
          <w14:textFill>
            <w14:solidFill>
              <w14:srgbClr w14:val="000000">
                <w14:alpha w14:val="100000"/>
              </w14:srgbClr>
            </w14:solidFill>
          </w14:textFill>
        </w:rPr>
        <w:t>|</w:t>
      </w:r>
      <w:r w:rsidRPr="00E750DB">
        <w:t>%.</w:t>
      </w:r>
      <w:r w:rsidR="002F1073" w:rsidRPr="00E750DB">
        <w:t xml:space="preserve"> </w:t>
      </w:r>
    </w:p>
    <w:p w14:paraId="480FEAAF" w14:textId="53E28FC4" w:rsidR="00167C51" w:rsidRPr="00E750DB" w:rsidRDefault="00167C51" w:rsidP="00E072B9">
      <w:pPr>
        <w:pStyle w:val="3-BodyText"/>
      </w:pPr>
      <w:r w:rsidRPr="00E750DB">
        <w:t>NICE suggested the use of utilities from relapsing</w:t>
      </w:r>
      <w:r w:rsidR="00E072B9">
        <w:noBreakHyphen/>
      </w:r>
      <w:r w:rsidRPr="00E750DB">
        <w:t xml:space="preserve">remitting multiple sclerosis (RRMS) </w:t>
      </w:r>
      <w:r w:rsidR="00E759C3">
        <w:t>may</w:t>
      </w:r>
      <w:r w:rsidRPr="00E750DB">
        <w:t xml:space="preserve"> be a reasonable proxy for AHP health states, on the basis that the condition is chronic and progressive in nature and patients have the potential to relapse/experience recurrence. Using RRMS utilities from Hawton 2016 (as used by NICE) increased the ICER by </w:t>
      </w:r>
      <w:r w:rsidR="00B35ACC" w:rsidRPr="00A550BD">
        <w:rPr>
          <w:color w:val="000000"/>
          <w:spacing w:val="6"/>
          <w:w w:val="61"/>
          <w:shd w:val="solid" w:color="000000" w:fill="000000"/>
          <w:fitText w:val="475" w:id="-625250038"/>
          <w14:textFill>
            <w14:solidFill>
              <w14:srgbClr w14:val="000000">
                <w14:alpha w14:val="100000"/>
              </w14:srgbClr>
            </w14:solidFill>
          </w14:textFill>
        </w:rPr>
        <w:t>|||</w:t>
      </w:r>
      <w:r w:rsidR="00A550BD" w:rsidRPr="00A550BD">
        <w:rPr>
          <w:color w:val="000000"/>
          <w:spacing w:val="6"/>
          <w:w w:val="61"/>
          <w:shd w:val="solid" w:color="000000" w:fill="000000"/>
          <w:fitText w:val="475" w:id="-625250038"/>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8"/>
          <w14:textFill>
            <w14:solidFill>
              <w14:srgbClr w14:val="000000">
                <w14:alpha w14:val="100000"/>
              </w14:srgbClr>
            </w14:solidFill>
          </w14:textFill>
        </w:rPr>
        <w:t>||</w:t>
      </w:r>
      <w:r w:rsidR="00B35ACC" w:rsidRPr="00A550BD">
        <w:rPr>
          <w:color w:val="000000"/>
          <w:spacing w:val="3"/>
          <w:w w:val="61"/>
          <w:shd w:val="solid" w:color="000000" w:fill="000000"/>
          <w:fitText w:val="475" w:id="-625250038"/>
          <w14:textFill>
            <w14:solidFill>
              <w14:srgbClr w14:val="000000">
                <w14:alpha w14:val="100000"/>
              </w14:srgbClr>
            </w14:solidFill>
          </w14:textFill>
        </w:rPr>
        <w:t>|</w:t>
      </w:r>
      <w:r w:rsidR="009C3E39">
        <w:t>%</w:t>
      </w:r>
      <w:r w:rsidRPr="00E750DB">
        <w:t xml:space="preserve">. Using the utility decrements from Orme 2007, which was considered by the PBAC in the consideration of ofatumumab in RRMS (Table 9, ofatumumab </w:t>
      </w:r>
      <w:r w:rsidR="002E6A7E">
        <w:t>Public Summary Document</w:t>
      </w:r>
      <w:r w:rsidRPr="00E750DB">
        <w:t xml:space="preserve">, March 2024 PBAC meeting) increased the ICER by </w:t>
      </w:r>
      <w:r w:rsidR="00B35ACC" w:rsidRPr="00A550BD">
        <w:rPr>
          <w:color w:val="000000"/>
          <w:spacing w:val="6"/>
          <w:w w:val="61"/>
          <w:shd w:val="solid" w:color="000000" w:fill="000000"/>
          <w:fitText w:val="475" w:id="-625250037"/>
          <w14:textFill>
            <w14:solidFill>
              <w14:srgbClr w14:val="000000">
                <w14:alpha w14:val="100000"/>
              </w14:srgbClr>
            </w14:solidFill>
          </w14:textFill>
        </w:rPr>
        <w:t>|||</w:t>
      </w:r>
      <w:r w:rsidR="00A550BD" w:rsidRPr="00A550BD">
        <w:rPr>
          <w:color w:val="000000"/>
          <w:spacing w:val="6"/>
          <w:w w:val="61"/>
          <w:shd w:val="solid" w:color="000000" w:fill="000000"/>
          <w:fitText w:val="475" w:id="-625250037"/>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7"/>
          <w14:textFill>
            <w14:solidFill>
              <w14:srgbClr w14:val="000000">
                <w14:alpha w14:val="100000"/>
              </w14:srgbClr>
            </w14:solidFill>
          </w14:textFill>
        </w:rPr>
        <w:t>||</w:t>
      </w:r>
      <w:r w:rsidR="00B35ACC" w:rsidRPr="00A550BD">
        <w:rPr>
          <w:color w:val="000000"/>
          <w:spacing w:val="3"/>
          <w:w w:val="61"/>
          <w:shd w:val="solid" w:color="000000" w:fill="000000"/>
          <w:fitText w:val="475" w:id="-625250037"/>
          <w14:textFill>
            <w14:solidFill>
              <w14:srgbClr w14:val="000000">
                <w14:alpha w14:val="100000"/>
              </w14:srgbClr>
            </w14:solidFill>
          </w14:textFill>
        </w:rPr>
        <w:t>|</w:t>
      </w:r>
      <w:r w:rsidRPr="00E750DB">
        <w:t xml:space="preserve">%. </w:t>
      </w:r>
    </w:p>
    <w:p w14:paraId="2A3A8B8F" w14:textId="23DF09B6" w:rsidR="005F7645" w:rsidRPr="00915DBD" w:rsidRDefault="00DE770B" w:rsidP="00E072B9">
      <w:pPr>
        <w:pStyle w:val="3-BodyText"/>
        <w:rPr>
          <w:iCs/>
        </w:rPr>
      </w:pPr>
      <w:r w:rsidRPr="00915DBD">
        <w:rPr>
          <w:iCs/>
        </w:rPr>
        <w:t>The PSCR argued that</w:t>
      </w:r>
      <w:r w:rsidR="00BF246D" w:rsidRPr="00915DBD">
        <w:rPr>
          <w:iCs/>
        </w:rPr>
        <w:t xml:space="preserve"> “</w:t>
      </w:r>
      <w:r w:rsidR="00961474">
        <w:rPr>
          <w:iCs/>
        </w:rPr>
        <w:t>t</w:t>
      </w:r>
      <w:r w:rsidRPr="00915DBD">
        <w:rPr>
          <w:iCs/>
        </w:rPr>
        <w:t>he preference for conservative utility values by CADTH and NICE does not align with clinical reality or patient experience. Given the severity of the disease and the evidence for a negatively impacted HRQoL with increasing attack frequency and chronic conditions in AHP, the values used in the CEA are reasonable in the context of the disease. The proposed alternatives by CADTH and NICE are no more clinically plausible than those used in the submission given the severe impact of AHP on HRQoL.</w:t>
      </w:r>
      <w:r w:rsidR="00BF246D" w:rsidRPr="00915DBD">
        <w:rPr>
          <w:iCs/>
        </w:rPr>
        <w:t>”</w:t>
      </w:r>
      <w:r w:rsidR="001D1CCF" w:rsidRPr="00915DBD">
        <w:rPr>
          <w:iCs/>
        </w:rPr>
        <w:t xml:space="preserve"> The Sub</w:t>
      </w:r>
      <w:r w:rsidR="00E072B9">
        <w:rPr>
          <w:iCs/>
        </w:rPr>
        <w:noBreakHyphen/>
      </w:r>
      <w:r w:rsidR="001D1CCF" w:rsidRPr="00915DBD">
        <w:rPr>
          <w:iCs/>
        </w:rPr>
        <w:t xml:space="preserve">Committees </w:t>
      </w:r>
      <w:r w:rsidR="00E87B3C" w:rsidRPr="00915DBD">
        <w:rPr>
          <w:iCs/>
        </w:rPr>
        <w:t>considered</w:t>
      </w:r>
      <w:r w:rsidR="001D1CCF" w:rsidRPr="00915DBD">
        <w:rPr>
          <w:iCs/>
        </w:rPr>
        <w:t xml:space="preserve"> that</w:t>
      </w:r>
      <w:r w:rsidR="00E87B3C" w:rsidRPr="00915DBD">
        <w:rPr>
          <w:iCs/>
        </w:rPr>
        <w:t xml:space="preserve"> the chronic </w:t>
      </w:r>
      <w:r w:rsidR="00A24D6F" w:rsidRPr="00915DBD">
        <w:rPr>
          <w:iCs/>
        </w:rPr>
        <w:t xml:space="preserve">utility decrements in the submission base case </w:t>
      </w:r>
      <w:r w:rsidR="00381616" w:rsidRPr="00915DBD">
        <w:rPr>
          <w:iCs/>
        </w:rPr>
        <w:t xml:space="preserve">were poorly justified and </w:t>
      </w:r>
      <w:r w:rsidR="00A24D6F" w:rsidRPr="00915DBD">
        <w:rPr>
          <w:iCs/>
        </w:rPr>
        <w:t>appeared substantially overestimated</w:t>
      </w:r>
      <w:r w:rsidR="00381616" w:rsidRPr="00915DBD">
        <w:rPr>
          <w:iCs/>
        </w:rPr>
        <w:t>. The Sub</w:t>
      </w:r>
      <w:r w:rsidR="00E072B9">
        <w:rPr>
          <w:iCs/>
        </w:rPr>
        <w:noBreakHyphen/>
      </w:r>
      <w:r w:rsidR="00381616" w:rsidRPr="00915DBD">
        <w:rPr>
          <w:iCs/>
        </w:rPr>
        <w:t>committees considered that</w:t>
      </w:r>
      <w:r w:rsidR="001D1CCF" w:rsidRPr="00915DBD">
        <w:rPr>
          <w:iCs/>
        </w:rPr>
        <w:t xml:space="preserve"> the assumption all health states had the utility decrement equal to the asymptomatic health state (</w:t>
      </w:r>
      <w:r w:rsidR="00E072B9">
        <w:rPr>
          <w:iCs/>
        </w:rPr>
        <w:noBreakHyphen/>
      </w:r>
      <w:r w:rsidR="001D1CCF" w:rsidRPr="00915DBD">
        <w:rPr>
          <w:iCs/>
        </w:rPr>
        <w:t xml:space="preserve"> 0.19</w:t>
      </w:r>
      <w:r w:rsidR="00B7107A" w:rsidRPr="00915DBD">
        <w:rPr>
          <w:iCs/>
        </w:rPr>
        <w:t>8</w:t>
      </w:r>
      <w:r w:rsidR="001D1CCF" w:rsidRPr="00915DBD">
        <w:rPr>
          <w:iCs/>
        </w:rPr>
        <w:t xml:space="preserve">) </w:t>
      </w:r>
      <w:r w:rsidR="00E87B3C" w:rsidRPr="00915DBD">
        <w:rPr>
          <w:iCs/>
        </w:rPr>
        <w:t xml:space="preserve">should </w:t>
      </w:r>
      <w:r w:rsidR="001D1CCF" w:rsidRPr="00915DBD">
        <w:rPr>
          <w:iCs/>
        </w:rPr>
        <w:t>be included in a respecified base case ICER.</w:t>
      </w:r>
    </w:p>
    <w:p w14:paraId="1F257492" w14:textId="2CC1548D" w:rsidR="00A77034" w:rsidRPr="00E750DB" w:rsidRDefault="00A77034" w:rsidP="00E072B9">
      <w:pPr>
        <w:pStyle w:val="3-BodyText"/>
      </w:pPr>
      <w:r w:rsidRPr="00E750DB">
        <w:t xml:space="preserve">The submission excluded mortality from acute attacks, stating </w:t>
      </w:r>
      <w:r w:rsidR="003D66C0" w:rsidRPr="00915DBD">
        <w:rPr>
          <w:iCs/>
        </w:rPr>
        <w:t>deaths from acute attacks</w:t>
      </w:r>
      <w:r w:rsidR="003D66C0" w:rsidRPr="00E750DB">
        <w:t xml:space="preserve"> </w:t>
      </w:r>
      <w:r w:rsidRPr="00E750DB">
        <w:t>are now exceedingly rare due to improved management and hemin use, with no such deaths reported in ENVISION or EXPLORE study. The cohort could transition to death from any alive health state based on population</w:t>
      </w:r>
      <w:r w:rsidR="00E072B9">
        <w:noBreakHyphen/>
      </w:r>
      <w:r w:rsidRPr="00E750DB">
        <w:t xml:space="preserve">adjusted norms, with the same mortality risk across all health states. </w:t>
      </w:r>
      <w:r w:rsidRPr="00E750DB">
        <w:rPr>
          <w:rFonts w:eastAsia="Times New Roman" w:cs="Arial"/>
          <w:szCs w:val="24"/>
        </w:rPr>
        <w:t xml:space="preserve">Overall, </w:t>
      </w:r>
      <w:r w:rsidRPr="00E750DB">
        <w:t>mortality assumptions had a limited impact on the ICER</w:t>
      </w:r>
      <w:r w:rsidR="00353C01" w:rsidRPr="00E750DB">
        <w:t xml:space="preserve"> and</w:t>
      </w:r>
      <w:r w:rsidR="003D6FA3" w:rsidRPr="00E750DB">
        <w:t xml:space="preserve"> appropriately</w:t>
      </w:r>
      <w:r w:rsidR="00353C01" w:rsidRPr="00E750DB">
        <w:t xml:space="preserve"> the model did not estimate any </w:t>
      </w:r>
      <w:r w:rsidR="00C96BC7" w:rsidRPr="00E750DB">
        <w:t>differences in life years gained in the base case</w:t>
      </w:r>
      <w:r w:rsidR="003235C0" w:rsidRPr="00E750DB">
        <w:t>.</w:t>
      </w:r>
    </w:p>
    <w:p w14:paraId="44016276" w14:textId="055AF134" w:rsidR="00AF0322" w:rsidRPr="00E750DB" w:rsidRDefault="00A77034" w:rsidP="00E072B9">
      <w:pPr>
        <w:pStyle w:val="3-BodyText"/>
      </w:pPr>
      <w:r w:rsidRPr="00E750DB">
        <w:t>The model applied a time</w:t>
      </w:r>
      <w:r w:rsidR="00E072B9">
        <w:noBreakHyphen/>
      </w:r>
      <w:r w:rsidRPr="00E750DB">
        <w:t>on</w:t>
      </w:r>
      <w:r w:rsidR="00E072B9">
        <w:noBreakHyphen/>
      </w:r>
      <w:r w:rsidRPr="00E750DB">
        <w:t xml:space="preserve">treatment (ToT) curve based on ENVISION and ENVISION OLE to simulate givosiran discontinuation. </w:t>
      </w:r>
      <w:r w:rsidR="00A17ED9" w:rsidRPr="00E750DB">
        <w:t>Parametric e</w:t>
      </w:r>
      <w:r w:rsidR="004E57E6" w:rsidRPr="00E750DB">
        <w:t xml:space="preserve">xtrapolation was used </w:t>
      </w:r>
      <w:r w:rsidR="00A17ED9" w:rsidRPr="00E750DB">
        <w:t xml:space="preserve">to inform </w:t>
      </w:r>
      <w:r w:rsidR="006F1940" w:rsidRPr="00E750DB">
        <w:t xml:space="preserve">long term </w:t>
      </w:r>
      <w:r w:rsidR="00A17ED9" w:rsidRPr="00E750DB">
        <w:t xml:space="preserve">discontinuation. </w:t>
      </w:r>
      <w:r w:rsidR="00C60E80" w:rsidRPr="00E750DB">
        <w:t xml:space="preserve">Patients who discontinue givosiran were assumed to remain in the same health state but have the BSC transition probabilities applied to them in subsequent cycles. </w:t>
      </w:r>
      <w:r w:rsidR="00AF0322" w:rsidRPr="00E750DB">
        <w:t>It may be unreasonable to assume that patients who discontinue from givosiran would not experience a worsening of AHP</w:t>
      </w:r>
      <w:r w:rsidR="00DD5E13" w:rsidRPr="00E750DB">
        <w:t xml:space="preserve"> in the same cycle</w:t>
      </w:r>
      <w:r w:rsidR="00AF0322" w:rsidRPr="00E750DB">
        <w:t>, particularly as the requested continuing restriction requires patients to have improvement in frequency or severity of AHP attacks, which would imply that those who discontinue did not experience any improvement or worsened</w:t>
      </w:r>
      <w:r w:rsidR="0006102F" w:rsidRPr="00E750DB">
        <w:t xml:space="preserve"> and should transition to a more severe AAR health state in the cycle which they discontinued</w:t>
      </w:r>
      <w:r w:rsidR="00AF0322" w:rsidRPr="00E750DB">
        <w:t xml:space="preserve">. This assumption also favoured givosiran but could not be tested during the evaluation. </w:t>
      </w:r>
    </w:p>
    <w:p w14:paraId="70975236" w14:textId="3C0FF494" w:rsidR="00C60E80" w:rsidRPr="00E750DB" w:rsidRDefault="00DD5E13" w:rsidP="00E072B9">
      <w:pPr>
        <w:pStyle w:val="3-BodyText"/>
      </w:pPr>
      <w:r w:rsidRPr="00E750DB">
        <w:t xml:space="preserve">Beyond the assumption of </w:t>
      </w:r>
      <w:r w:rsidR="00C854FE" w:rsidRPr="00E750DB">
        <w:t xml:space="preserve">no worsening in AAR at discontinuation, </w:t>
      </w:r>
      <w:proofErr w:type="gramStart"/>
      <w:r w:rsidR="00C854FE" w:rsidRPr="00E750DB">
        <w:t>t</w:t>
      </w:r>
      <w:r w:rsidR="00E10FB4" w:rsidRPr="00E750DB">
        <w:t>he majority of</w:t>
      </w:r>
      <w:proofErr w:type="gramEnd"/>
      <w:r w:rsidR="00E10FB4" w:rsidRPr="00E750DB">
        <w:t xml:space="preserve"> patients who discontinue</w:t>
      </w:r>
      <w:r w:rsidR="00055D4D" w:rsidRPr="00E750DB">
        <w:t>d</w:t>
      </w:r>
      <w:r w:rsidR="00E10FB4" w:rsidRPr="00E750DB">
        <w:t xml:space="preserve"> givosiran did so in the AAR=0 health state, and the BSC transition assumes all patients in the AAR=0 health state will remain in </w:t>
      </w:r>
      <w:r w:rsidR="00563663" w:rsidRPr="00E750DB">
        <w:t>it</w:t>
      </w:r>
      <w:r w:rsidR="00E10FB4" w:rsidRPr="00E750DB">
        <w:t>. As such, t</w:t>
      </w:r>
      <w:r w:rsidR="00C60E80" w:rsidRPr="00E750DB">
        <w:t xml:space="preserve">he model effectively assumed that </w:t>
      </w:r>
      <w:proofErr w:type="gramStart"/>
      <w:r w:rsidR="00583B89" w:rsidRPr="00E750DB">
        <w:t>the majority of</w:t>
      </w:r>
      <w:proofErr w:type="gramEnd"/>
      <w:r w:rsidR="00583B89" w:rsidRPr="00E750DB">
        <w:t xml:space="preserve"> </w:t>
      </w:r>
      <w:r w:rsidR="00C60E80" w:rsidRPr="00E750DB">
        <w:t>patients who discontinue givosiran will retain the treatment benefit despite not receiving any treatment</w:t>
      </w:r>
      <w:r w:rsidR="00E10FB4" w:rsidRPr="00E750DB">
        <w:t>, which was not plausible and</w:t>
      </w:r>
      <w:r w:rsidR="00C60E80" w:rsidRPr="00E750DB">
        <w:t xml:space="preserve"> favoured givosiran. The magnitude of this bias was demonstrated in the sensitivity analysis which assumed that 99.9% of givosiran patients discontinued after cycle 1, which returned a QALY gain of 3.93 associated with givosiran</w:t>
      </w:r>
      <w:r w:rsidR="001862A9" w:rsidRPr="00E750DB">
        <w:t xml:space="preserve">, which </w:t>
      </w:r>
      <w:r w:rsidR="00C60E80" w:rsidRPr="00E750DB">
        <w:t xml:space="preserve">was highly implausible. </w:t>
      </w:r>
    </w:p>
    <w:p w14:paraId="411513CD" w14:textId="194B0DC4" w:rsidR="00A77034" w:rsidRPr="00E750DB" w:rsidRDefault="00E903EC" w:rsidP="00E072B9">
      <w:pPr>
        <w:pStyle w:val="3-BodyText"/>
      </w:pPr>
      <w:r w:rsidRPr="00E750DB">
        <w:t xml:space="preserve">In the base case, the exponential model was nominated for the ToT extrapolation. </w:t>
      </w:r>
      <w:r w:rsidR="00A77034" w:rsidRPr="00E750DB">
        <w:t xml:space="preserve">While the choice of the exponential model for extrapolating </w:t>
      </w:r>
      <w:r w:rsidR="00F926D7" w:rsidRPr="00E750DB">
        <w:t>ToT</w:t>
      </w:r>
      <w:r w:rsidR="00A77034" w:rsidRPr="00E750DB">
        <w:t xml:space="preserve"> appears reasonable based on AIC and BIC fit statistics</w:t>
      </w:r>
      <w:r w:rsidR="00D20089" w:rsidRPr="00E750DB">
        <w:t>,</w:t>
      </w:r>
      <w:r w:rsidR="00A77034" w:rsidRPr="00E750DB">
        <w:t xml:space="preserve"> the exponential function predicts ~15% of patients remain on treatment after 30 years and ~2% after 60 years. The reasonableness of assuming most patients discontinue (as per </w:t>
      </w:r>
      <w:r w:rsidR="003E0342" w:rsidRPr="00E750DB">
        <w:t xml:space="preserve">the </w:t>
      </w:r>
      <w:r w:rsidR="00A77034" w:rsidRPr="00E750DB">
        <w:t>exponential</w:t>
      </w:r>
      <w:r w:rsidR="003E0342" w:rsidRPr="00E750DB">
        <w:t xml:space="preserve"> extrapolation</w:t>
      </w:r>
      <w:r w:rsidR="00A77034" w:rsidRPr="00E750DB">
        <w:t xml:space="preserve">) </w:t>
      </w:r>
      <w:r w:rsidR="003E0342" w:rsidRPr="00E750DB">
        <w:t>wa</w:t>
      </w:r>
      <w:r w:rsidR="00A77034" w:rsidRPr="00E750DB">
        <w:t xml:space="preserve">s unclear. NICE noted that while lifelong treatment may be needed for some, the proportion </w:t>
      </w:r>
      <w:r w:rsidR="003E0342" w:rsidRPr="00E750DB">
        <w:t>wa</w:t>
      </w:r>
      <w:r w:rsidR="00A77034" w:rsidRPr="00E750DB">
        <w:t>s uncertain.</w:t>
      </w:r>
      <w:r w:rsidR="003E0342" w:rsidRPr="00E750DB">
        <w:t xml:space="preserve"> </w:t>
      </w:r>
    </w:p>
    <w:p w14:paraId="5AF924A6" w14:textId="0E593ECB" w:rsidR="00A77034" w:rsidRPr="00E750DB" w:rsidRDefault="00A77034" w:rsidP="00E072B9">
      <w:pPr>
        <w:pStyle w:val="3-BodyText"/>
      </w:pPr>
      <w:r w:rsidRPr="00E750DB">
        <w:t xml:space="preserve">CADTH considered that assuming a gradual discontinuation rate over time was not reasonable and it was unlikely that the discontinuation observed during the trial would hold over the course of a lifetime time horizon, as a greater rate of discontinuation is likely to occur during the trial rather than beyond the trial period, given that only patients demonstrating good tolerability and response will remain on treatment. As such, the model’s assumption of discontinuation may underestimate givosiran utilisation, favouring givosiran. The CADTH base case therefore assumed that all patients remained on givosiran treatment for the remainder of the model. A sensitivity analyses conducted during the evaluation which assumed discontinuation from cycle 8 onwards to be 0% increased the ICER by </w:t>
      </w:r>
      <w:r w:rsidR="00B35ACC" w:rsidRPr="00A550BD">
        <w:rPr>
          <w:color w:val="000000"/>
          <w:spacing w:val="6"/>
          <w:w w:val="61"/>
          <w:shd w:val="solid" w:color="000000" w:fill="000000"/>
          <w:fitText w:val="475" w:id="-625250036"/>
          <w14:textFill>
            <w14:solidFill>
              <w14:srgbClr w14:val="000000">
                <w14:alpha w14:val="100000"/>
              </w14:srgbClr>
            </w14:solidFill>
          </w14:textFill>
        </w:rPr>
        <w:t>|||</w:t>
      </w:r>
      <w:r w:rsidR="00A550BD" w:rsidRPr="00A550BD">
        <w:rPr>
          <w:color w:val="000000"/>
          <w:spacing w:val="6"/>
          <w:w w:val="61"/>
          <w:shd w:val="solid" w:color="000000" w:fill="000000"/>
          <w:fitText w:val="475" w:id="-625250036"/>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6"/>
          <w14:textFill>
            <w14:solidFill>
              <w14:srgbClr w14:val="000000">
                <w14:alpha w14:val="100000"/>
              </w14:srgbClr>
            </w14:solidFill>
          </w14:textFill>
        </w:rPr>
        <w:t>||</w:t>
      </w:r>
      <w:r w:rsidR="00B35ACC" w:rsidRPr="00A550BD">
        <w:rPr>
          <w:color w:val="000000"/>
          <w:spacing w:val="3"/>
          <w:w w:val="61"/>
          <w:shd w:val="solid" w:color="000000" w:fill="000000"/>
          <w:fitText w:val="475" w:id="-625250036"/>
          <w14:textFill>
            <w14:solidFill>
              <w14:srgbClr w14:val="000000">
                <w14:alpha w14:val="100000"/>
              </w14:srgbClr>
            </w14:solidFill>
          </w14:textFill>
        </w:rPr>
        <w:t>|</w:t>
      </w:r>
      <w:r w:rsidRPr="00E750DB">
        <w:t xml:space="preserve">%. </w:t>
      </w:r>
      <w:r w:rsidR="00181A67" w:rsidRPr="00915DBD">
        <w:rPr>
          <w:iCs/>
        </w:rPr>
        <w:t>The Sub</w:t>
      </w:r>
      <w:r w:rsidR="00E072B9">
        <w:rPr>
          <w:iCs/>
        </w:rPr>
        <w:noBreakHyphen/>
      </w:r>
      <w:r w:rsidR="007E172A" w:rsidRPr="00915DBD">
        <w:rPr>
          <w:iCs/>
        </w:rPr>
        <w:t>C</w:t>
      </w:r>
      <w:r w:rsidR="00181A67" w:rsidRPr="00915DBD">
        <w:rPr>
          <w:iCs/>
        </w:rPr>
        <w:t xml:space="preserve">ommittees agreed with the Commentary that </w:t>
      </w:r>
      <w:r w:rsidR="0000270C" w:rsidRPr="00915DBD">
        <w:rPr>
          <w:iCs/>
        </w:rPr>
        <w:t xml:space="preserve">discontinuation </w:t>
      </w:r>
      <w:r w:rsidR="007E172A" w:rsidRPr="00915DBD">
        <w:rPr>
          <w:iCs/>
        </w:rPr>
        <w:t>is likely to</w:t>
      </w:r>
      <w:r w:rsidR="0000270C" w:rsidRPr="00915DBD">
        <w:rPr>
          <w:iCs/>
        </w:rPr>
        <w:t xml:space="preserve"> </w:t>
      </w:r>
      <w:r w:rsidR="001A0526" w:rsidRPr="00915DBD">
        <w:rPr>
          <w:iCs/>
        </w:rPr>
        <w:t xml:space="preserve">reflect the trial </w:t>
      </w:r>
      <w:r w:rsidR="007E172A" w:rsidRPr="00915DBD">
        <w:rPr>
          <w:iCs/>
        </w:rPr>
        <w:t xml:space="preserve">rates </w:t>
      </w:r>
      <w:r w:rsidR="001A0526" w:rsidRPr="00915DBD">
        <w:rPr>
          <w:iCs/>
        </w:rPr>
        <w:t xml:space="preserve">initially, but </w:t>
      </w:r>
      <w:r w:rsidR="00D01ED4" w:rsidRPr="00915DBD">
        <w:rPr>
          <w:iCs/>
        </w:rPr>
        <w:t>is li</w:t>
      </w:r>
      <w:r w:rsidR="00C46742" w:rsidRPr="00915DBD">
        <w:rPr>
          <w:iCs/>
        </w:rPr>
        <w:t>kely to reduce as responders stay on treatment</w:t>
      </w:r>
      <w:r w:rsidR="009976F2" w:rsidRPr="00915DBD">
        <w:rPr>
          <w:iCs/>
        </w:rPr>
        <w:t>. The Sub</w:t>
      </w:r>
      <w:r w:rsidR="00E072B9">
        <w:rPr>
          <w:iCs/>
        </w:rPr>
        <w:noBreakHyphen/>
      </w:r>
      <w:r w:rsidR="00B96C0A" w:rsidRPr="00915DBD">
        <w:rPr>
          <w:iCs/>
        </w:rPr>
        <w:t>C</w:t>
      </w:r>
      <w:r w:rsidR="009976F2" w:rsidRPr="00915DBD">
        <w:rPr>
          <w:iCs/>
        </w:rPr>
        <w:t xml:space="preserve">ommittees considered that a revised base case should assume </w:t>
      </w:r>
      <w:r w:rsidR="007A114D" w:rsidRPr="00915DBD">
        <w:rPr>
          <w:iCs/>
        </w:rPr>
        <w:t>no discontinuation beyond cycle 8.</w:t>
      </w:r>
      <w:r w:rsidR="00E43801">
        <w:rPr>
          <w:iCs/>
        </w:rPr>
        <w:t xml:space="preserve"> The Pre</w:t>
      </w:r>
      <w:r w:rsidR="00E072B9">
        <w:rPr>
          <w:iCs/>
        </w:rPr>
        <w:noBreakHyphen/>
      </w:r>
      <w:r w:rsidR="00E43801">
        <w:rPr>
          <w:iCs/>
        </w:rPr>
        <w:t xml:space="preserve">PBAC response argued that this scenario is </w:t>
      </w:r>
      <w:r w:rsidR="0053734E">
        <w:rPr>
          <w:iCs/>
        </w:rPr>
        <w:t>clinically implausible and proposed reducing the probability of discontinuation by 50%</w:t>
      </w:r>
      <w:r w:rsidR="00B340EF">
        <w:rPr>
          <w:iCs/>
        </w:rPr>
        <w:t xml:space="preserve"> in an alternative base case.</w:t>
      </w:r>
    </w:p>
    <w:p w14:paraId="2D2ABC4B" w14:textId="4A7EBE60" w:rsidR="006F1940" w:rsidRPr="00E750DB" w:rsidRDefault="00B96C0A" w:rsidP="00E072B9">
      <w:pPr>
        <w:pStyle w:val="3-BodyText"/>
      </w:pPr>
      <w:r w:rsidRPr="00E750DB">
        <w:t>The c</w:t>
      </w:r>
      <w:r w:rsidR="006D637D" w:rsidRPr="00E750DB">
        <w:t xml:space="preserve">ost of treatment of acute attacks was a key component of the </w:t>
      </w:r>
      <w:r w:rsidR="003270CC" w:rsidRPr="00E750DB">
        <w:t xml:space="preserve">costs in AHP. </w:t>
      </w:r>
      <w:r w:rsidR="007711CB" w:rsidRPr="00E750DB">
        <w:t xml:space="preserve">These are summarised in </w:t>
      </w:r>
      <w:r w:rsidR="00C620CF" w:rsidRPr="00E750DB">
        <w:fldChar w:fldCharType="begin" w:fldLock="1"/>
      </w:r>
      <w:r w:rsidR="00C620CF" w:rsidRPr="00E750DB">
        <w:instrText xml:space="preserve"> REF _Ref197973575 \h </w:instrText>
      </w:r>
      <w:r w:rsidR="0029679A" w:rsidRPr="00E750DB">
        <w:instrText xml:space="preserve"> \* MERGEFORMAT </w:instrText>
      </w:r>
      <w:r w:rsidR="00C620CF" w:rsidRPr="00E750DB">
        <w:fldChar w:fldCharType="separate"/>
      </w:r>
      <w:r w:rsidR="00E750DB" w:rsidRPr="00E750DB">
        <w:t>Table 10</w:t>
      </w:r>
      <w:r w:rsidR="00C620CF" w:rsidRPr="00E750DB">
        <w:fldChar w:fldCharType="end"/>
      </w:r>
      <w:r w:rsidR="00C620CF" w:rsidRPr="00E750DB">
        <w:t xml:space="preserve">. </w:t>
      </w:r>
      <w:r w:rsidR="00F019CD" w:rsidRPr="00E750DB">
        <w:t xml:space="preserve">As discussed in paragraph </w:t>
      </w:r>
      <w:r w:rsidR="00F019CD" w:rsidRPr="00E750DB">
        <w:fldChar w:fldCharType="begin" w:fldLock="1"/>
      </w:r>
      <w:r w:rsidR="00F019CD" w:rsidRPr="00E750DB">
        <w:instrText xml:space="preserve"> REF _Ref197971669 \r \h </w:instrText>
      </w:r>
      <w:r w:rsidR="0029679A" w:rsidRPr="00E750DB">
        <w:instrText xml:space="preserve"> \* MERGEFORMAT </w:instrText>
      </w:r>
      <w:r w:rsidR="00F019CD" w:rsidRPr="00E750DB">
        <w:fldChar w:fldCharType="separate"/>
      </w:r>
      <w:r w:rsidR="00F86784">
        <w:t>6.50</w:t>
      </w:r>
      <w:r w:rsidR="00F019CD" w:rsidRPr="00E750DB">
        <w:fldChar w:fldCharType="end"/>
      </w:r>
      <w:r w:rsidR="00F019CD" w:rsidRPr="00E750DB">
        <w:t xml:space="preserve">, the </w:t>
      </w:r>
      <w:r w:rsidR="008526EE" w:rsidRPr="00E750DB">
        <w:t xml:space="preserve">assumptions behind the treatment settings for acute attacks </w:t>
      </w:r>
      <w:r w:rsidR="00C67055" w:rsidRPr="00E750DB">
        <w:t xml:space="preserve">(hospitalisation, urgent healthcare visits or IV hemin administration at home) </w:t>
      </w:r>
      <w:r w:rsidR="008526EE" w:rsidRPr="00E750DB">
        <w:t xml:space="preserve">favoured givosiran, and using the distribution of settings from ENVISION instead of EXPLORE increased the ICER by </w:t>
      </w:r>
      <w:r w:rsidR="00B35ACC" w:rsidRPr="00A550BD">
        <w:rPr>
          <w:color w:val="000000"/>
          <w:spacing w:val="6"/>
          <w:w w:val="61"/>
          <w:shd w:val="solid" w:color="000000" w:fill="000000"/>
          <w:fitText w:val="475" w:id="-625250035"/>
          <w14:textFill>
            <w14:solidFill>
              <w14:srgbClr w14:val="000000">
                <w14:alpha w14:val="100000"/>
              </w14:srgbClr>
            </w14:solidFill>
          </w14:textFill>
        </w:rPr>
        <w:t>|||</w:t>
      </w:r>
      <w:r w:rsidR="00A550BD" w:rsidRPr="00A550BD">
        <w:rPr>
          <w:color w:val="000000"/>
          <w:spacing w:val="6"/>
          <w:w w:val="61"/>
          <w:shd w:val="solid" w:color="000000" w:fill="000000"/>
          <w:fitText w:val="475" w:id="-625250035"/>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5"/>
          <w14:textFill>
            <w14:solidFill>
              <w14:srgbClr w14:val="000000">
                <w14:alpha w14:val="100000"/>
              </w14:srgbClr>
            </w14:solidFill>
          </w14:textFill>
        </w:rPr>
        <w:t>||</w:t>
      </w:r>
      <w:r w:rsidR="00B35ACC" w:rsidRPr="00A550BD">
        <w:rPr>
          <w:color w:val="000000"/>
          <w:spacing w:val="3"/>
          <w:w w:val="61"/>
          <w:shd w:val="solid" w:color="000000" w:fill="000000"/>
          <w:fitText w:val="475" w:id="-625250035"/>
          <w14:textFill>
            <w14:solidFill>
              <w14:srgbClr w14:val="000000">
                <w14:alpha w14:val="100000"/>
              </w14:srgbClr>
            </w14:solidFill>
          </w14:textFill>
        </w:rPr>
        <w:t>|</w:t>
      </w:r>
      <w:r w:rsidR="008526EE" w:rsidRPr="00E750DB">
        <w:t xml:space="preserve">%. </w:t>
      </w:r>
    </w:p>
    <w:p w14:paraId="4D5D305E" w14:textId="4D6352EF" w:rsidR="007711CB" w:rsidRPr="00E750DB" w:rsidRDefault="007711CB" w:rsidP="00E072B9">
      <w:pPr>
        <w:pStyle w:val="Caption"/>
        <w:rPr>
          <w:szCs w:val="20"/>
        </w:rPr>
      </w:pPr>
      <w:bookmarkStart w:id="53" w:name="_Ref197973575"/>
      <w:r w:rsidRPr="00E750DB">
        <w:t xml:space="preserve">Table </w:t>
      </w:r>
      <w:r w:rsidR="00E750DB">
        <w:fldChar w:fldCharType="begin" w:fldLock="1"/>
      </w:r>
      <w:r w:rsidR="00E750DB">
        <w:instrText xml:space="preserve"> SEQ Table \* ARABIC </w:instrText>
      </w:r>
      <w:r w:rsidR="00E750DB">
        <w:fldChar w:fldCharType="separate"/>
      </w:r>
      <w:r w:rsidR="00E750DB" w:rsidRPr="00E750DB">
        <w:t>10</w:t>
      </w:r>
      <w:r w:rsidR="00E750DB">
        <w:fldChar w:fldCharType="end"/>
      </w:r>
      <w:bookmarkEnd w:id="53"/>
      <w:r w:rsidRPr="00E750DB">
        <w:rPr>
          <w:szCs w:val="20"/>
        </w:rPr>
        <w:t>: Cost estimation per acute AHP attack:</w:t>
      </w:r>
    </w:p>
    <w:tbl>
      <w:tblPr>
        <w:tblStyle w:val="TableGrid"/>
        <w:tblW w:w="5054" w:type="pct"/>
        <w:tblLayout w:type="fixed"/>
        <w:tblLook w:val="04A0" w:firstRow="1" w:lastRow="0" w:firstColumn="1" w:lastColumn="0" w:noHBand="0" w:noVBand="1"/>
        <w:tblCaption w:val="Table 10: Cost estimation per acute AHP attack:"/>
      </w:tblPr>
      <w:tblGrid>
        <w:gridCol w:w="1368"/>
        <w:gridCol w:w="822"/>
        <w:gridCol w:w="1017"/>
        <w:gridCol w:w="1156"/>
        <w:gridCol w:w="1092"/>
        <w:gridCol w:w="1188"/>
        <w:gridCol w:w="18"/>
        <w:gridCol w:w="2453"/>
      </w:tblGrid>
      <w:tr w:rsidR="007711CB" w:rsidRPr="00E750DB" w14:paraId="54CD2087" w14:textId="77777777" w:rsidTr="00F37D21">
        <w:trPr>
          <w:trHeight w:val="113"/>
        </w:trPr>
        <w:tc>
          <w:tcPr>
            <w:tcW w:w="750" w:type="pct"/>
            <w:noWrap/>
            <w:vAlign w:val="center"/>
            <w:hideMark/>
          </w:tcPr>
          <w:p w14:paraId="0B155D38" w14:textId="77777777" w:rsidR="007711CB" w:rsidRPr="00E750DB" w:rsidRDefault="007711CB" w:rsidP="00E072B9">
            <w:pPr>
              <w:keepNext/>
              <w:keepLines/>
              <w:jc w:val="left"/>
              <w:rPr>
                <w:rFonts w:ascii="Arial Narrow" w:hAnsi="Arial Narrow"/>
                <w:b/>
                <w:sz w:val="20"/>
                <w:szCs w:val="20"/>
              </w:rPr>
            </w:pPr>
            <w:r w:rsidRPr="00E750DB">
              <w:rPr>
                <w:rFonts w:ascii="Arial Narrow" w:hAnsi="Arial Narrow"/>
                <w:b/>
                <w:sz w:val="20"/>
                <w:szCs w:val="20"/>
              </w:rPr>
              <w:t xml:space="preserve">Attack </w:t>
            </w:r>
          </w:p>
          <w:p w14:paraId="4DA5E35E" w14:textId="77777777" w:rsidR="007711CB" w:rsidRPr="00E750DB" w:rsidRDefault="007711CB" w:rsidP="00E072B9">
            <w:pPr>
              <w:keepNext/>
              <w:keepLines/>
              <w:jc w:val="left"/>
              <w:rPr>
                <w:rFonts w:ascii="Arial Narrow" w:hAnsi="Arial Narrow"/>
                <w:b/>
                <w:sz w:val="20"/>
                <w:szCs w:val="20"/>
              </w:rPr>
            </w:pPr>
            <w:r w:rsidRPr="00E750DB">
              <w:rPr>
                <w:rFonts w:ascii="Arial Narrow" w:hAnsi="Arial Narrow"/>
                <w:b/>
                <w:sz w:val="20"/>
                <w:szCs w:val="20"/>
              </w:rPr>
              <w:t>treatment</w:t>
            </w:r>
          </w:p>
          <w:p w14:paraId="70106590" w14:textId="77777777" w:rsidR="007711CB" w:rsidRPr="00E750DB" w:rsidRDefault="007711CB" w:rsidP="00E072B9">
            <w:pPr>
              <w:keepNext/>
              <w:keepLines/>
              <w:jc w:val="left"/>
              <w:rPr>
                <w:rFonts w:ascii="Arial Narrow" w:hAnsi="Arial Narrow"/>
                <w:b/>
                <w:sz w:val="20"/>
                <w:szCs w:val="20"/>
              </w:rPr>
            </w:pPr>
            <w:r w:rsidRPr="00E750DB">
              <w:rPr>
                <w:rFonts w:ascii="Arial Narrow" w:hAnsi="Arial Narrow"/>
                <w:b/>
                <w:sz w:val="20"/>
                <w:szCs w:val="20"/>
              </w:rPr>
              <w:t>(Total attacks=483)</w:t>
            </w:r>
          </w:p>
        </w:tc>
        <w:tc>
          <w:tcPr>
            <w:tcW w:w="451" w:type="pct"/>
            <w:noWrap/>
            <w:vAlign w:val="center"/>
            <w:hideMark/>
          </w:tcPr>
          <w:p w14:paraId="40152C0A"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Attacks</w:t>
            </w:r>
          </w:p>
        </w:tc>
        <w:tc>
          <w:tcPr>
            <w:tcW w:w="558" w:type="pct"/>
            <w:noWrap/>
            <w:vAlign w:val="center"/>
            <w:hideMark/>
          </w:tcPr>
          <w:p w14:paraId="074756AD"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Utilisation per attack (%)</w:t>
            </w:r>
          </w:p>
        </w:tc>
        <w:tc>
          <w:tcPr>
            <w:tcW w:w="634" w:type="pct"/>
            <w:noWrap/>
            <w:vAlign w:val="center"/>
            <w:hideMark/>
          </w:tcPr>
          <w:p w14:paraId="56D4D28F"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Utilisation per attack (n)</w:t>
            </w:r>
          </w:p>
        </w:tc>
        <w:tc>
          <w:tcPr>
            <w:tcW w:w="598" w:type="pct"/>
            <w:noWrap/>
            <w:vAlign w:val="center"/>
            <w:hideMark/>
          </w:tcPr>
          <w:p w14:paraId="3D9E9C21"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Unit cost</w:t>
            </w:r>
          </w:p>
        </w:tc>
        <w:tc>
          <w:tcPr>
            <w:tcW w:w="652" w:type="pct"/>
            <w:noWrap/>
            <w:vAlign w:val="center"/>
            <w:hideMark/>
          </w:tcPr>
          <w:p w14:paraId="08D87236"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Total cost per attack</w:t>
            </w:r>
          </w:p>
        </w:tc>
        <w:tc>
          <w:tcPr>
            <w:tcW w:w="1357" w:type="pct"/>
            <w:gridSpan w:val="2"/>
            <w:noWrap/>
            <w:vAlign w:val="center"/>
            <w:hideMark/>
          </w:tcPr>
          <w:p w14:paraId="72A23B62"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Source</w:t>
            </w:r>
          </w:p>
        </w:tc>
      </w:tr>
      <w:tr w:rsidR="007711CB" w:rsidRPr="00E750DB" w14:paraId="44AB15D8" w14:textId="77777777" w:rsidTr="00F37D21">
        <w:trPr>
          <w:trHeight w:val="113"/>
        </w:trPr>
        <w:tc>
          <w:tcPr>
            <w:tcW w:w="5000" w:type="pct"/>
            <w:gridSpan w:val="8"/>
            <w:noWrap/>
            <w:vAlign w:val="center"/>
          </w:tcPr>
          <w:p w14:paraId="5C65B3AF"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Setting</w:t>
            </w:r>
          </w:p>
        </w:tc>
      </w:tr>
      <w:tr w:rsidR="007711CB" w:rsidRPr="00E750DB" w14:paraId="32A70F6C" w14:textId="77777777" w:rsidTr="00F37D21">
        <w:trPr>
          <w:trHeight w:val="20"/>
        </w:trPr>
        <w:tc>
          <w:tcPr>
            <w:tcW w:w="750" w:type="pct"/>
            <w:noWrap/>
            <w:vAlign w:val="center"/>
            <w:hideMark/>
          </w:tcPr>
          <w:p w14:paraId="7271CE11"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Inpatient ward</w:t>
            </w:r>
          </w:p>
        </w:tc>
        <w:tc>
          <w:tcPr>
            <w:tcW w:w="451" w:type="pct"/>
            <w:noWrap/>
            <w:vAlign w:val="center"/>
            <w:hideMark/>
          </w:tcPr>
          <w:p w14:paraId="12FB50C6"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161</w:t>
            </w:r>
          </w:p>
        </w:tc>
        <w:tc>
          <w:tcPr>
            <w:tcW w:w="558" w:type="pct"/>
            <w:noWrap/>
            <w:vAlign w:val="center"/>
            <w:hideMark/>
          </w:tcPr>
          <w:p w14:paraId="4E56734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59%</w:t>
            </w:r>
          </w:p>
        </w:tc>
        <w:tc>
          <w:tcPr>
            <w:tcW w:w="634" w:type="pct"/>
            <w:noWrap/>
            <w:vAlign w:val="center"/>
            <w:hideMark/>
          </w:tcPr>
          <w:p w14:paraId="659233B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34D74FD8"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$12,563.00</w:t>
            </w:r>
          </w:p>
        </w:tc>
        <w:tc>
          <w:tcPr>
            <w:tcW w:w="652" w:type="pct"/>
            <w:noWrap/>
            <w:vAlign w:val="center"/>
            <w:hideMark/>
          </w:tcPr>
          <w:p w14:paraId="431EF32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$12,563.00</w:t>
            </w:r>
          </w:p>
        </w:tc>
        <w:tc>
          <w:tcPr>
            <w:tcW w:w="1357" w:type="pct"/>
            <w:gridSpan w:val="2"/>
            <w:noWrap/>
            <w:hideMark/>
          </w:tcPr>
          <w:p w14:paraId="1563D9CB" w14:textId="09F7CBBB"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Inborn Errors of Metabolism, Major Complexity. AR</w:t>
            </w:r>
            <w:r w:rsidR="00E072B9">
              <w:rPr>
                <w:rFonts w:ascii="Arial Narrow" w:hAnsi="Arial Narrow"/>
                <w:sz w:val="20"/>
                <w:szCs w:val="20"/>
              </w:rPr>
              <w:noBreakHyphen/>
            </w:r>
            <w:r w:rsidRPr="00E750DB">
              <w:rPr>
                <w:rFonts w:ascii="Arial Narrow" w:hAnsi="Arial Narrow"/>
                <w:sz w:val="20"/>
                <w:szCs w:val="20"/>
              </w:rPr>
              <w:t>DRG item K63A</w:t>
            </w:r>
          </w:p>
        </w:tc>
      </w:tr>
      <w:tr w:rsidR="007711CB" w:rsidRPr="00E750DB" w14:paraId="01A54CE3" w14:textId="77777777" w:rsidTr="00F37D21">
        <w:trPr>
          <w:trHeight w:val="20"/>
        </w:trPr>
        <w:tc>
          <w:tcPr>
            <w:tcW w:w="750" w:type="pct"/>
            <w:noWrap/>
            <w:vAlign w:val="center"/>
            <w:hideMark/>
          </w:tcPr>
          <w:p w14:paraId="4E07716F"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Infusion centre</w:t>
            </w:r>
          </w:p>
        </w:tc>
        <w:tc>
          <w:tcPr>
            <w:tcW w:w="451" w:type="pct"/>
            <w:noWrap/>
            <w:vAlign w:val="center"/>
            <w:hideMark/>
          </w:tcPr>
          <w:p w14:paraId="0E9788F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64</w:t>
            </w:r>
          </w:p>
        </w:tc>
        <w:tc>
          <w:tcPr>
            <w:tcW w:w="558" w:type="pct"/>
            <w:noWrap/>
            <w:vAlign w:val="center"/>
            <w:hideMark/>
          </w:tcPr>
          <w:p w14:paraId="666D425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24%</w:t>
            </w:r>
          </w:p>
        </w:tc>
        <w:tc>
          <w:tcPr>
            <w:tcW w:w="634" w:type="pct"/>
            <w:noWrap/>
            <w:vAlign w:val="center"/>
            <w:hideMark/>
          </w:tcPr>
          <w:p w14:paraId="0896032F"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w:t>
            </w:r>
          </w:p>
        </w:tc>
        <w:tc>
          <w:tcPr>
            <w:tcW w:w="598" w:type="pct"/>
            <w:noWrap/>
            <w:vAlign w:val="center"/>
            <w:hideMark/>
          </w:tcPr>
          <w:p w14:paraId="7E04C8CF"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$111.60</w:t>
            </w:r>
          </w:p>
        </w:tc>
        <w:tc>
          <w:tcPr>
            <w:tcW w:w="652" w:type="pct"/>
            <w:noWrap/>
            <w:vAlign w:val="center"/>
            <w:hideMark/>
          </w:tcPr>
          <w:p w14:paraId="1898A9E2"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$446.40</w:t>
            </w:r>
          </w:p>
        </w:tc>
        <w:tc>
          <w:tcPr>
            <w:tcW w:w="1357" w:type="pct"/>
            <w:gridSpan w:val="2"/>
            <w:noWrap/>
            <w:hideMark/>
          </w:tcPr>
          <w:p w14:paraId="33BA002B"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MBS item 14245</w:t>
            </w:r>
          </w:p>
        </w:tc>
      </w:tr>
      <w:tr w:rsidR="007711CB" w:rsidRPr="00E750DB" w14:paraId="0C0024C3" w14:textId="77777777" w:rsidTr="00F37D21">
        <w:trPr>
          <w:trHeight w:val="20"/>
        </w:trPr>
        <w:tc>
          <w:tcPr>
            <w:tcW w:w="750" w:type="pct"/>
            <w:noWrap/>
            <w:vAlign w:val="center"/>
            <w:hideMark/>
          </w:tcPr>
          <w:p w14:paraId="3D835D15"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ED</w:t>
            </w:r>
          </w:p>
        </w:tc>
        <w:tc>
          <w:tcPr>
            <w:tcW w:w="451" w:type="pct"/>
            <w:noWrap/>
            <w:vAlign w:val="center"/>
            <w:hideMark/>
          </w:tcPr>
          <w:p w14:paraId="7396C67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47</w:t>
            </w:r>
          </w:p>
        </w:tc>
        <w:tc>
          <w:tcPr>
            <w:tcW w:w="558" w:type="pct"/>
            <w:noWrap/>
            <w:vAlign w:val="center"/>
            <w:hideMark/>
          </w:tcPr>
          <w:p w14:paraId="7A47E438"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17%</w:t>
            </w:r>
          </w:p>
        </w:tc>
        <w:tc>
          <w:tcPr>
            <w:tcW w:w="634" w:type="pct"/>
            <w:noWrap/>
            <w:vAlign w:val="center"/>
            <w:hideMark/>
          </w:tcPr>
          <w:p w14:paraId="330B2C42"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4EADB9D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$724.00</w:t>
            </w:r>
          </w:p>
        </w:tc>
        <w:tc>
          <w:tcPr>
            <w:tcW w:w="652" w:type="pct"/>
            <w:noWrap/>
            <w:vAlign w:val="center"/>
            <w:hideMark/>
          </w:tcPr>
          <w:p w14:paraId="79BE5898"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$724.00</w:t>
            </w:r>
          </w:p>
        </w:tc>
        <w:tc>
          <w:tcPr>
            <w:tcW w:w="1357" w:type="pct"/>
            <w:gridSpan w:val="2"/>
            <w:noWrap/>
            <w:hideMark/>
          </w:tcPr>
          <w:p w14:paraId="1659BEF9" w14:textId="3D3E4C2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NHCDC 2021</w:t>
            </w:r>
            <w:r w:rsidR="00E072B9">
              <w:rPr>
                <w:rFonts w:ascii="Arial Narrow" w:hAnsi="Arial Narrow"/>
                <w:sz w:val="20"/>
                <w:szCs w:val="20"/>
              </w:rPr>
              <w:noBreakHyphen/>
            </w:r>
            <w:r w:rsidRPr="00E750DB">
              <w:rPr>
                <w:rFonts w:ascii="Arial Narrow" w:hAnsi="Arial Narrow"/>
                <w:sz w:val="20"/>
                <w:szCs w:val="20"/>
              </w:rPr>
              <w:t>22 ED visit, left without being admitted</w:t>
            </w:r>
          </w:p>
        </w:tc>
      </w:tr>
      <w:tr w:rsidR="007711CB" w:rsidRPr="00E750DB" w14:paraId="13FAE163" w14:textId="77777777" w:rsidTr="00F37D21">
        <w:trPr>
          <w:trHeight w:val="20"/>
        </w:trPr>
        <w:tc>
          <w:tcPr>
            <w:tcW w:w="5000" w:type="pct"/>
            <w:gridSpan w:val="8"/>
            <w:noWrap/>
            <w:vAlign w:val="center"/>
          </w:tcPr>
          <w:p w14:paraId="7C8EF932" w14:textId="77777777" w:rsidR="007711CB" w:rsidRPr="00E750DB" w:rsidDel="005F527A" w:rsidRDefault="007711CB" w:rsidP="00E072B9">
            <w:pPr>
              <w:keepNext/>
              <w:keepLines/>
              <w:jc w:val="left"/>
              <w:rPr>
                <w:rFonts w:ascii="Arial Narrow" w:hAnsi="Arial Narrow"/>
                <w:sz w:val="20"/>
                <w:szCs w:val="20"/>
              </w:rPr>
            </w:pPr>
            <w:r w:rsidRPr="00E750DB">
              <w:rPr>
                <w:rFonts w:ascii="Arial Narrow" w:hAnsi="Arial Narrow"/>
                <w:sz w:val="20"/>
                <w:szCs w:val="20"/>
              </w:rPr>
              <w:t>Medications</w:t>
            </w:r>
          </w:p>
        </w:tc>
      </w:tr>
      <w:tr w:rsidR="007711CB" w:rsidRPr="00E750DB" w14:paraId="2DDB5FFD" w14:textId="77777777" w:rsidTr="00F37D21">
        <w:trPr>
          <w:trHeight w:val="20"/>
        </w:trPr>
        <w:tc>
          <w:tcPr>
            <w:tcW w:w="750" w:type="pct"/>
            <w:noWrap/>
            <w:vAlign w:val="center"/>
            <w:hideMark/>
          </w:tcPr>
          <w:p w14:paraId="1AA54DF0"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Hemin (product only)</w:t>
            </w:r>
          </w:p>
        </w:tc>
        <w:tc>
          <w:tcPr>
            <w:tcW w:w="451" w:type="pct"/>
            <w:noWrap/>
            <w:vAlign w:val="center"/>
            <w:hideMark/>
          </w:tcPr>
          <w:p w14:paraId="52ABA1C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332</w:t>
            </w:r>
          </w:p>
        </w:tc>
        <w:tc>
          <w:tcPr>
            <w:tcW w:w="558" w:type="pct"/>
            <w:noWrap/>
            <w:vAlign w:val="center"/>
            <w:hideMark/>
          </w:tcPr>
          <w:p w14:paraId="1D6AA5A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69%</w:t>
            </w:r>
          </w:p>
        </w:tc>
        <w:tc>
          <w:tcPr>
            <w:tcW w:w="634" w:type="pct"/>
            <w:noWrap/>
            <w:vAlign w:val="center"/>
            <w:hideMark/>
          </w:tcPr>
          <w:p w14:paraId="1F623816"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w:t>
            </w:r>
          </w:p>
        </w:tc>
        <w:tc>
          <w:tcPr>
            <w:tcW w:w="598" w:type="pct"/>
            <w:noWrap/>
            <w:vAlign w:val="center"/>
            <w:hideMark/>
          </w:tcPr>
          <w:p w14:paraId="160E68DB"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$1,214.00</w:t>
            </w:r>
          </w:p>
        </w:tc>
        <w:tc>
          <w:tcPr>
            <w:tcW w:w="652" w:type="pct"/>
            <w:noWrap/>
            <w:vAlign w:val="center"/>
            <w:hideMark/>
          </w:tcPr>
          <w:p w14:paraId="41D94A43"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$4,856.00</w:t>
            </w:r>
          </w:p>
        </w:tc>
        <w:tc>
          <w:tcPr>
            <w:tcW w:w="1357" w:type="pct"/>
            <w:gridSpan w:val="2"/>
            <w:noWrap/>
            <w:hideMark/>
          </w:tcPr>
          <w:p w14:paraId="4802C8BA" w14:textId="3E845838"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 xml:space="preserve">Local clinician. Dosed 1 vial </w:t>
            </w:r>
            <w:r w:rsidRPr="006D5D33">
              <w:rPr>
                <w:rFonts w:ascii="Arial Narrow" w:hAnsi="Arial Narrow"/>
                <w:sz w:val="20"/>
                <w:szCs w:val="20"/>
              </w:rPr>
              <w:t xml:space="preserve">x4 days </w:t>
            </w:r>
          </w:p>
        </w:tc>
      </w:tr>
      <w:tr w:rsidR="007711CB" w:rsidRPr="00E750DB" w14:paraId="24D5510B" w14:textId="77777777" w:rsidTr="00F37D21">
        <w:trPr>
          <w:trHeight w:val="20"/>
        </w:trPr>
        <w:tc>
          <w:tcPr>
            <w:tcW w:w="750" w:type="pct"/>
            <w:noWrap/>
            <w:vAlign w:val="center"/>
            <w:hideMark/>
          </w:tcPr>
          <w:p w14:paraId="53FE2D46"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Opioids</w:t>
            </w:r>
          </w:p>
        </w:tc>
        <w:tc>
          <w:tcPr>
            <w:tcW w:w="451" w:type="pct"/>
            <w:noWrap/>
            <w:vAlign w:val="center"/>
            <w:hideMark/>
          </w:tcPr>
          <w:p w14:paraId="591BB164"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262</w:t>
            </w:r>
          </w:p>
        </w:tc>
        <w:tc>
          <w:tcPr>
            <w:tcW w:w="558" w:type="pct"/>
            <w:noWrap/>
            <w:vAlign w:val="center"/>
            <w:hideMark/>
          </w:tcPr>
          <w:p w14:paraId="167136C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54%</w:t>
            </w:r>
          </w:p>
        </w:tc>
        <w:tc>
          <w:tcPr>
            <w:tcW w:w="634" w:type="pct"/>
            <w:noWrap/>
            <w:vAlign w:val="center"/>
            <w:hideMark/>
          </w:tcPr>
          <w:p w14:paraId="1050186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6BC547F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$23.08</w:t>
            </w:r>
          </w:p>
        </w:tc>
        <w:tc>
          <w:tcPr>
            <w:tcW w:w="652" w:type="pct"/>
            <w:noWrap/>
            <w:vAlign w:val="center"/>
            <w:hideMark/>
          </w:tcPr>
          <w:p w14:paraId="0A679892"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$23.08</w:t>
            </w:r>
          </w:p>
        </w:tc>
        <w:tc>
          <w:tcPr>
            <w:tcW w:w="1357" w:type="pct"/>
            <w:gridSpan w:val="2"/>
            <w:noWrap/>
            <w:hideMark/>
          </w:tcPr>
          <w:p w14:paraId="4354BCA1"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PBS item 12054K, 10 tablets</w:t>
            </w:r>
          </w:p>
        </w:tc>
      </w:tr>
      <w:tr w:rsidR="007711CB" w:rsidRPr="00E750DB" w14:paraId="508863EA" w14:textId="77777777" w:rsidTr="00F37D21">
        <w:trPr>
          <w:trHeight w:val="20"/>
        </w:trPr>
        <w:tc>
          <w:tcPr>
            <w:tcW w:w="750" w:type="pct"/>
            <w:noWrap/>
            <w:vAlign w:val="center"/>
            <w:hideMark/>
          </w:tcPr>
          <w:p w14:paraId="2692E3B2"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NSAIDs</w:t>
            </w:r>
          </w:p>
        </w:tc>
        <w:tc>
          <w:tcPr>
            <w:tcW w:w="451" w:type="pct"/>
            <w:noWrap/>
            <w:vAlign w:val="center"/>
            <w:hideMark/>
          </w:tcPr>
          <w:p w14:paraId="6C35EF30"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217</w:t>
            </w:r>
          </w:p>
        </w:tc>
        <w:tc>
          <w:tcPr>
            <w:tcW w:w="558" w:type="pct"/>
            <w:noWrap/>
            <w:vAlign w:val="center"/>
            <w:hideMark/>
          </w:tcPr>
          <w:p w14:paraId="6C26083C"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45%</w:t>
            </w:r>
          </w:p>
        </w:tc>
        <w:tc>
          <w:tcPr>
            <w:tcW w:w="634" w:type="pct"/>
            <w:noWrap/>
            <w:vAlign w:val="center"/>
            <w:hideMark/>
          </w:tcPr>
          <w:p w14:paraId="0A16D31F"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28AE0057"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$16.15</w:t>
            </w:r>
          </w:p>
        </w:tc>
        <w:tc>
          <w:tcPr>
            <w:tcW w:w="652" w:type="pct"/>
            <w:noWrap/>
            <w:vAlign w:val="center"/>
            <w:hideMark/>
          </w:tcPr>
          <w:p w14:paraId="364FC64C"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$16.15</w:t>
            </w:r>
          </w:p>
        </w:tc>
        <w:tc>
          <w:tcPr>
            <w:tcW w:w="1357" w:type="pct"/>
            <w:gridSpan w:val="2"/>
            <w:noWrap/>
            <w:hideMark/>
          </w:tcPr>
          <w:p w14:paraId="2D773065"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 xml:space="preserve">PBS item 3192B, 30 tablets </w:t>
            </w:r>
          </w:p>
        </w:tc>
      </w:tr>
      <w:tr w:rsidR="007711CB" w:rsidRPr="00E750DB" w14:paraId="70F68B34" w14:textId="77777777" w:rsidTr="00F37D21">
        <w:trPr>
          <w:trHeight w:val="20"/>
        </w:trPr>
        <w:tc>
          <w:tcPr>
            <w:tcW w:w="750" w:type="pct"/>
            <w:noWrap/>
            <w:vAlign w:val="center"/>
            <w:hideMark/>
          </w:tcPr>
          <w:p w14:paraId="1B6DDDF4"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 xml:space="preserve">Hemin AE costs </w:t>
            </w:r>
          </w:p>
        </w:tc>
        <w:tc>
          <w:tcPr>
            <w:tcW w:w="451" w:type="pct"/>
            <w:noWrap/>
            <w:vAlign w:val="center"/>
            <w:hideMark/>
          </w:tcPr>
          <w:p w14:paraId="60E89A3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332</w:t>
            </w:r>
          </w:p>
        </w:tc>
        <w:tc>
          <w:tcPr>
            <w:tcW w:w="558" w:type="pct"/>
            <w:noWrap/>
            <w:vAlign w:val="center"/>
            <w:hideMark/>
          </w:tcPr>
          <w:p w14:paraId="567192F0"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69%</w:t>
            </w:r>
          </w:p>
        </w:tc>
        <w:tc>
          <w:tcPr>
            <w:tcW w:w="634" w:type="pct"/>
            <w:noWrap/>
            <w:vAlign w:val="center"/>
            <w:hideMark/>
          </w:tcPr>
          <w:p w14:paraId="5E1EE24B"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61DC40AB"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$168.24</w:t>
            </w:r>
          </w:p>
        </w:tc>
        <w:tc>
          <w:tcPr>
            <w:tcW w:w="652" w:type="pct"/>
            <w:noWrap/>
            <w:vAlign w:val="center"/>
            <w:hideMark/>
          </w:tcPr>
          <w:p w14:paraId="59A9CFC3"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$168.24</w:t>
            </w:r>
          </w:p>
        </w:tc>
        <w:tc>
          <w:tcPr>
            <w:tcW w:w="1357" w:type="pct"/>
            <w:gridSpan w:val="2"/>
            <w:noWrap/>
            <w:hideMark/>
          </w:tcPr>
          <w:p w14:paraId="62945E67" w14:textId="05A165A0" w:rsidR="007711CB" w:rsidRPr="00E750DB" w:rsidRDefault="007711CB" w:rsidP="00E072B9">
            <w:pPr>
              <w:keepNext/>
              <w:keepLines/>
              <w:rPr>
                <w:rFonts w:ascii="Arial Narrow" w:hAnsi="Arial Narrow"/>
                <w:sz w:val="20"/>
                <w:szCs w:val="20"/>
                <w:vertAlign w:val="superscript"/>
              </w:rPr>
            </w:pPr>
            <w:r w:rsidRPr="00E750DB">
              <w:rPr>
                <w:rFonts w:ascii="Arial Narrow" w:hAnsi="Arial Narrow"/>
                <w:sz w:val="20"/>
                <w:szCs w:val="20"/>
              </w:rPr>
              <w:t xml:space="preserve">Anderson 2006. </w:t>
            </w:r>
          </w:p>
        </w:tc>
      </w:tr>
      <w:tr w:rsidR="007711CB" w:rsidRPr="00E750DB" w14:paraId="5028E842" w14:textId="77777777" w:rsidTr="00F37D21">
        <w:trPr>
          <w:trHeight w:val="20"/>
        </w:trPr>
        <w:tc>
          <w:tcPr>
            <w:tcW w:w="2992" w:type="pct"/>
            <w:gridSpan w:val="5"/>
            <w:noWrap/>
            <w:vAlign w:val="center"/>
          </w:tcPr>
          <w:p w14:paraId="3D473869" w14:textId="77777777" w:rsidR="007711CB" w:rsidRPr="00E750DB" w:rsidRDefault="007711CB" w:rsidP="00E072B9">
            <w:pPr>
              <w:keepNext/>
              <w:keepLines/>
              <w:jc w:val="left"/>
              <w:rPr>
                <w:rFonts w:ascii="Arial Narrow" w:hAnsi="Arial Narrow"/>
                <w:b/>
                <w:bCs/>
                <w:sz w:val="20"/>
                <w:szCs w:val="20"/>
              </w:rPr>
            </w:pPr>
            <w:r w:rsidRPr="00E750DB">
              <w:rPr>
                <w:rFonts w:ascii="Arial Narrow" w:hAnsi="Arial Narrow"/>
                <w:b/>
                <w:bCs/>
                <w:sz w:val="20"/>
                <w:szCs w:val="20"/>
              </w:rPr>
              <w:t>Cost per attack</w:t>
            </w:r>
          </w:p>
        </w:tc>
        <w:tc>
          <w:tcPr>
            <w:tcW w:w="662" w:type="pct"/>
            <w:gridSpan w:val="2"/>
            <w:noWrap/>
            <w:vAlign w:val="center"/>
          </w:tcPr>
          <w:p w14:paraId="704BEAFC" w14:textId="77777777" w:rsidR="007711CB" w:rsidRPr="00E750DB" w:rsidRDefault="007711CB" w:rsidP="00E072B9">
            <w:pPr>
              <w:keepNext/>
              <w:keepLines/>
              <w:jc w:val="center"/>
              <w:rPr>
                <w:rFonts w:ascii="Arial Narrow" w:hAnsi="Arial Narrow"/>
                <w:b/>
                <w:bCs/>
                <w:sz w:val="20"/>
                <w:szCs w:val="20"/>
              </w:rPr>
            </w:pPr>
            <w:r w:rsidRPr="00E750DB">
              <w:rPr>
                <w:rFonts w:ascii="Arial Narrow" w:hAnsi="Arial Narrow"/>
                <w:b/>
                <w:bCs/>
                <w:sz w:val="20"/>
                <w:szCs w:val="20"/>
              </w:rPr>
              <w:t>$11,139.62</w:t>
            </w:r>
          </w:p>
        </w:tc>
        <w:tc>
          <w:tcPr>
            <w:tcW w:w="1347" w:type="pct"/>
            <w:noWrap/>
          </w:tcPr>
          <w:p w14:paraId="2B82B365"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Weighted mean</w:t>
            </w:r>
          </w:p>
        </w:tc>
      </w:tr>
    </w:tbl>
    <w:p w14:paraId="4C62F927" w14:textId="77777777" w:rsidR="007711CB" w:rsidRPr="00E750DB" w:rsidRDefault="007711CB" w:rsidP="00E072B9">
      <w:pPr>
        <w:pStyle w:val="CaptionFootnote"/>
        <w:keepNext/>
        <w:rPr>
          <w:rFonts w:ascii="Arial Narrow" w:hAnsi="Arial Narrow"/>
          <w:szCs w:val="18"/>
        </w:rPr>
      </w:pPr>
      <w:r w:rsidRPr="00E750DB">
        <w:rPr>
          <w:rFonts w:ascii="Arial Narrow" w:hAnsi="Arial Narrow"/>
          <w:szCs w:val="18"/>
        </w:rPr>
        <w:t>Source: Table 3.29 of the submission</w:t>
      </w:r>
    </w:p>
    <w:p w14:paraId="0BFD2A75" w14:textId="4097B83B" w:rsidR="007711CB" w:rsidRPr="00E750DB" w:rsidRDefault="007711CB" w:rsidP="00E072B9">
      <w:pPr>
        <w:pStyle w:val="CaptionFootnote"/>
        <w:keepNext/>
        <w:rPr>
          <w:rFonts w:ascii="Arial Narrow" w:hAnsi="Arial Narrow"/>
          <w:szCs w:val="18"/>
        </w:rPr>
      </w:pPr>
      <w:r w:rsidRPr="00E750DB">
        <w:rPr>
          <w:rFonts w:ascii="Arial Narrow" w:hAnsi="Arial Narrow"/>
          <w:szCs w:val="18"/>
        </w:rPr>
        <w:t>AE= adverse event; ED= emergency department; MBS = Medical Benefits Schedule; NSAIDs =non</w:t>
      </w:r>
      <w:r w:rsidR="00E072B9">
        <w:rPr>
          <w:rFonts w:ascii="Arial Narrow" w:hAnsi="Arial Narrow"/>
          <w:szCs w:val="18"/>
        </w:rPr>
        <w:noBreakHyphen/>
      </w:r>
      <w:r w:rsidRPr="00E750DB">
        <w:rPr>
          <w:rFonts w:ascii="Arial Narrow" w:hAnsi="Arial Narrow"/>
          <w:szCs w:val="18"/>
        </w:rPr>
        <w:t>steroidal anti</w:t>
      </w:r>
      <w:r w:rsidR="00E072B9">
        <w:rPr>
          <w:rFonts w:ascii="Arial Narrow" w:hAnsi="Arial Narrow"/>
          <w:szCs w:val="18"/>
        </w:rPr>
        <w:noBreakHyphen/>
      </w:r>
      <w:r w:rsidRPr="00E750DB">
        <w:rPr>
          <w:rFonts w:ascii="Arial Narrow" w:hAnsi="Arial Narrow"/>
          <w:szCs w:val="18"/>
        </w:rPr>
        <w:t>inflammatory drugs; PBS =Pharmaceutical Benefit Scheme</w:t>
      </w:r>
    </w:p>
    <w:p w14:paraId="173E59FF" w14:textId="53C6553C" w:rsidR="00D10257" w:rsidRPr="00E750DB" w:rsidRDefault="001E176C" w:rsidP="00E072B9">
      <w:pPr>
        <w:pStyle w:val="3-BodyText"/>
      </w:pPr>
      <w:r w:rsidRPr="00E750DB">
        <w:t xml:space="preserve">A substantial component of the cost of managing acute attacks was the use of hemin. </w:t>
      </w:r>
      <w:r w:rsidR="00D10257" w:rsidRPr="00E750DB">
        <w:t xml:space="preserve">The cost per vial of hemin was assumed to be </w:t>
      </w:r>
      <w:r w:rsidR="00D10257" w:rsidRPr="000C7F42">
        <w:t>$1,214</w:t>
      </w:r>
      <w:r w:rsidR="00D10257" w:rsidRPr="00E750DB">
        <w:t xml:space="preserve">, based on local clinician input </w:t>
      </w:r>
      <w:r w:rsidR="007F0004">
        <w:t xml:space="preserve">and </w:t>
      </w:r>
      <w:r w:rsidR="00D10257" w:rsidRPr="00E750DB">
        <w:t>from the Porphyria Association of Australia</w:t>
      </w:r>
      <w:r w:rsidR="003336F2">
        <w:t>;</w:t>
      </w:r>
      <w:r w:rsidR="00D10257" w:rsidRPr="00E750DB">
        <w:t xml:space="preserve"> however, this could not be independently verified. </w:t>
      </w:r>
      <w:r w:rsidR="00C6043B" w:rsidRPr="00E750DB">
        <w:t>The cost of serious and non</w:t>
      </w:r>
      <w:r w:rsidR="00E072B9">
        <w:noBreakHyphen/>
      </w:r>
      <w:r w:rsidR="00C6043B" w:rsidRPr="00E750DB">
        <w:t>serious AEs associated with hemin use was also modelled based on Ander</w:t>
      </w:r>
      <w:r w:rsidR="00640698" w:rsidRPr="00E750DB">
        <w:t>s</w:t>
      </w:r>
      <w:r w:rsidR="00C6043B" w:rsidRPr="00E750DB">
        <w:t>on 20</w:t>
      </w:r>
      <w:r w:rsidR="00BB3143" w:rsidRPr="00E750DB">
        <w:t>06</w:t>
      </w:r>
      <w:r w:rsidR="00640698" w:rsidRPr="00E750DB">
        <w:t xml:space="preserve">, </w:t>
      </w:r>
      <w:r w:rsidR="007A7F63" w:rsidRPr="00E750DB">
        <w:t>an open label study of hemin for acute porphyria</w:t>
      </w:r>
      <w:r w:rsidR="00C6043B" w:rsidRPr="00E750DB">
        <w:t xml:space="preserve">. </w:t>
      </w:r>
      <w:r w:rsidR="00D10257" w:rsidRPr="00E750DB">
        <w:t xml:space="preserve">The assumed utilisation (four vials over four days) was substantially higher than what CADTH clinical experts reported (one vial per day, with an urgent health care visit not lasting more than one day). Since a greater proportion of BSC patients required hemin, this favoured givosiran. Decreasing the assumed hemin use to 2.5 vials for infusion centre visits (which was used in the base case for the sponsor’s model to CADTH for urgent care) increased the ICER by </w:t>
      </w:r>
      <w:r w:rsidR="00B35ACC" w:rsidRPr="00A550BD">
        <w:rPr>
          <w:color w:val="000000"/>
          <w:spacing w:val="6"/>
          <w:w w:val="61"/>
          <w:shd w:val="solid" w:color="000000" w:fill="000000"/>
          <w:fitText w:val="475" w:id="-625250034"/>
          <w14:textFill>
            <w14:solidFill>
              <w14:srgbClr w14:val="000000">
                <w14:alpha w14:val="100000"/>
              </w14:srgbClr>
            </w14:solidFill>
          </w14:textFill>
        </w:rPr>
        <w:t>|||</w:t>
      </w:r>
      <w:r w:rsidR="00A550BD" w:rsidRPr="00A550BD">
        <w:rPr>
          <w:color w:val="000000"/>
          <w:spacing w:val="6"/>
          <w:w w:val="61"/>
          <w:shd w:val="solid" w:color="000000" w:fill="000000"/>
          <w:fitText w:val="475" w:id="-625250034"/>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4"/>
          <w14:textFill>
            <w14:solidFill>
              <w14:srgbClr w14:val="000000">
                <w14:alpha w14:val="100000"/>
              </w14:srgbClr>
            </w14:solidFill>
          </w14:textFill>
        </w:rPr>
        <w:t>||</w:t>
      </w:r>
      <w:r w:rsidR="00B35ACC" w:rsidRPr="00A550BD">
        <w:rPr>
          <w:color w:val="000000"/>
          <w:spacing w:val="3"/>
          <w:w w:val="61"/>
          <w:shd w:val="solid" w:color="000000" w:fill="000000"/>
          <w:fitText w:val="475" w:id="-625250034"/>
          <w14:textFill>
            <w14:solidFill>
              <w14:srgbClr w14:val="000000">
                <w14:alpha w14:val="100000"/>
              </w14:srgbClr>
            </w14:solidFill>
          </w14:textFill>
        </w:rPr>
        <w:t>|</w:t>
      </w:r>
      <w:r w:rsidR="00D10257" w:rsidRPr="00E750DB">
        <w:t>%</w:t>
      </w:r>
      <w:r w:rsidR="00C77297" w:rsidRPr="00E750DB">
        <w:t>.</w:t>
      </w:r>
      <w:r w:rsidR="003A1776" w:rsidRPr="00E750DB">
        <w:t xml:space="preserve"> </w:t>
      </w:r>
      <w:r w:rsidR="003A1776" w:rsidRPr="00915DBD">
        <w:rPr>
          <w:iCs/>
        </w:rPr>
        <w:t>The Sub</w:t>
      </w:r>
      <w:r w:rsidR="00E072B9">
        <w:rPr>
          <w:iCs/>
        </w:rPr>
        <w:noBreakHyphen/>
      </w:r>
      <w:r w:rsidR="003A1776" w:rsidRPr="00915DBD">
        <w:rPr>
          <w:iCs/>
        </w:rPr>
        <w:t xml:space="preserve">Committees noted that </w:t>
      </w:r>
      <w:r w:rsidR="001C0A95" w:rsidRPr="00915DBD">
        <w:rPr>
          <w:iCs/>
        </w:rPr>
        <w:t xml:space="preserve">patients are likely to receive up to 5 days hemin </w:t>
      </w:r>
      <w:r w:rsidR="00DE2183" w:rsidRPr="00915DBD">
        <w:rPr>
          <w:iCs/>
        </w:rPr>
        <w:t xml:space="preserve">use to manage acute attacks, though they would </w:t>
      </w:r>
      <w:r w:rsidR="001D2410" w:rsidRPr="00915DBD">
        <w:rPr>
          <w:iCs/>
        </w:rPr>
        <w:t xml:space="preserve">not be hospitalised during </w:t>
      </w:r>
      <w:proofErr w:type="gramStart"/>
      <w:r w:rsidR="007D6D31" w:rsidRPr="00915DBD">
        <w:rPr>
          <w:iCs/>
        </w:rPr>
        <w:t>all of</w:t>
      </w:r>
      <w:proofErr w:type="gramEnd"/>
      <w:r w:rsidR="007D6D31" w:rsidRPr="00915DBD">
        <w:rPr>
          <w:iCs/>
        </w:rPr>
        <w:t xml:space="preserve"> </w:t>
      </w:r>
      <w:r w:rsidR="001D2410" w:rsidRPr="00915DBD">
        <w:rPr>
          <w:iCs/>
        </w:rPr>
        <w:t>this time</w:t>
      </w:r>
      <w:r w:rsidR="00547584" w:rsidRPr="00915DBD">
        <w:rPr>
          <w:iCs/>
        </w:rPr>
        <w:t>.</w:t>
      </w:r>
      <w:r w:rsidR="00AD06FC">
        <w:rPr>
          <w:iCs/>
        </w:rPr>
        <w:t xml:space="preserve"> The PBAC noted that these </w:t>
      </w:r>
      <w:r w:rsidR="0048471F">
        <w:rPr>
          <w:iCs/>
        </w:rPr>
        <w:t xml:space="preserve">modelled </w:t>
      </w:r>
      <w:r w:rsidR="00AD06FC">
        <w:rPr>
          <w:iCs/>
        </w:rPr>
        <w:t>cost</w:t>
      </w:r>
      <w:r w:rsidR="0048471F">
        <w:rPr>
          <w:iCs/>
        </w:rPr>
        <w:t>s</w:t>
      </w:r>
      <w:r w:rsidR="00AD06FC">
        <w:rPr>
          <w:iCs/>
        </w:rPr>
        <w:t xml:space="preserve"> do not necessarily </w:t>
      </w:r>
      <w:r w:rsidR="006F7235">
        <w:rPr>
          <w:iCs/>
        </w:rPr>
        <w:t>reflect</w:t>
      </w:r>
      <w:r w:rsidR="00AD06FC">
        <w:rPr>
          <w:iCs/>
        </w:rPr>
        <w:t xml:space="preserve"> </w:t>
      </w:r>
      <w:r w:rsidR="0048471F">
        <w:rPr>
          <w:iCs/>
        </w:rPr>
        <w:t>advice from the sponsor hearing that i</w:t>
      </w:r>
      <w:r w:rsidR="00AD06FC" w:rsidRPr="00DD2E5A">
        <w:rPr>
          <w:bCs/>
          <w:snapToGrid w:val="0"/>
        </w:rPr>
        <w:t>n some cases patients require extended hospitalisation, which is associated with a high cost, especially where patients with seizures or respiratory paralysis require treatment in the ICU and where long</w:t>
      </w:r>
      <w:r w:rsidR="00E072B9">
        <w:rPr>
          <w:bCs/>
          <w:snapToGrid w:val="0"/>
        </w:rPr>
        <w:noBreakHyphen/>
      </w:r>
      <w:r w:rsidR="00AD06FC" w:rsidRPr="00DD2E5A">
        <w:rPr>
          <w:bCs/>
          <w:snapToGrid w:val="0"/>
        </w:rPr>
        <w:t>term neurological damage requires lengthy rehabilitation</w:t>
      </w:r>
      <w:r w:rsidR="0048471F">
        <w:rPr>
          <w:bCs/>
          <w:snapToGrid w:val="0"/>
        </w:rPr>
        <w:t>.</w:t>
      </w:r>
    </w:p>
    <w:p w14:paraId="41E1CF30" w14:textId="2E94E0CE" w:rsidR="001E176C" w:rsidRPr="00E750DB" w:rsidRDefault="00C77297" w:rsidP="00E072B9">
      <w:pPr>
        <w:pStyle w:val="3-BodyText"/>
      </w:pPr>
      <w:r w:rsidRPr="00E750DB">
        <w:t xml:space="preserve">Another factor which affected the </w:t>
      </w:r>
      <w:r w:rsidR="00547584" w:rsidRPr="00E750DB">
        <w:t xml:space="preserve">cumulative </w:t>
      </w:r>
      <w:r w:rsidRPr="00E750DB">
        <w:t xml:space="preserve">cost </w:t>
      </w:r>
      <w:r w:rsidR="00547584" w:rsidRPr="00E750DB">
        <w:t>for</w:t>
      </w:r>
      <w:r w:rsidRPr="00E750DB">
        <w:t xml:space="preserve"> acute attacks was the number of acute attacks</w:t>
      </w:r>
      <w:r w:rsidR="00C46F64" w:rsidRPr="00E750DB">
        <w:t xml:space="preserve"> (see</w:t>
      </w:r>
      <w:r w:rsidRPr="00E750DB">
        <w:t xml:space="preserve"> </w:t>
      </w:r>
      <w:r w:rsidR="00C46F64" w:rsidRPr="00E750DB">
        <w:fldChar w:fldCharType="begin" w:fldLock="1"/>
      </w:r>
      <w:r w:rsidR="00C46F64" w:rsidRPr="00E750DB">
        <w:instrText xml:space="preserve"> REF _Ref197969355 \h  \* MERGEFORMAT </w:instrText>
      </w:r>
      <w:r w:rsidR="00C46F64" w:rsidRPr="00E750DB">
        <w:fldChar w:fldCharType="separate"/>
      </w:r>
      <w:r w:rsidR="00E750DB" w:rsidRPr="00E750DB">
        <w:t>Table 9</w:t>
      </w:r>
      <w:r w:rsidR="00C46F64" w:rsidRPr="00E750DB">
        <w:fldChar w:fldCharType="end"/>
      </w:r>
      <w:r w:rsidR="00C46F64" w:rsidRPr="00E750DB">
        <w:t>)</w:t>
      </w:r>
      <w:r w:rsidR="00082588" w:rsidRPr="00E750DB">
        <w:t xml:space="preserve">. As discussed in paragraph </w:t>
      </w:r>
      <w:r w:rsidR="00082588" w:rsidRPr="00E750DB">
        <w:fldChar w:fldCharType="begin" w:fldLock="1"/>
      </w:r>
      <w:r w:rsidR="00082588" w:rsidRPr="00E750DB">
        <w:instrText xml:space="preserve"> REF _Ref197968142 \r \h </w:instrText>
      </w:r>
      <w:r w:rsidR="0029679A" w:rsidRPr="00E750DB">
        <w:instrText xml:space="preserve"> \* MERGEFORMAT </w:instrText>
      </w:r>
      <w:r w:rsidR="00082588" w:rsidRPr="00E750DB">
        <w:fldChar w:fldCharType="separate"/>
      </w:r>
      <w:r w:rsidR="000F2993">
        <w:t>6.43</w:t>
      </w:r>
      <w:r w:rsidR="00082588" w:rsidRPr="00E750DB">
        <w:fldChar w:fldCharType="end"/>
      </w:r>
      <w:r w:rsidR="00082588" w:rsidRPr="00E750DB">
        <w:t xml:space="preserve">, </w:t>
      </w:r>
      <w:r w:rsidR="00C93634" w:rsidRPr="00E750DB">
        <w:t xml:space="preserve">this </w:t>
      </w:r>
      <w:r w:rsidR="002F02B2" w:rsidRPr="00E750DB">
        <w:t>had most impact</w:t>
      </w:r>
      <w:r w:rsidR="00C93634" w:rsidRPr="00E750DB">
        <w:t xml:space="preserve"> in the AAR </w:t>
      </w:r>
      <w:r w:rsidR="00BD03FD">
        <w:t>&gt;</w:t>
      </w:r>
      <w:r w:rsidR="00A550BD">
        <w:t xml:space="preserve"> </w:t>
      </w:r>
      <w:r w:rsidR="00C93634" w:rsidRPr="00E750DB">
        <w:t xml:space="preserve">24 health state, as reducing the assumed number of attacks in the AAR </w:t>
      </w:r>
      <w:r w:rsidR="00BD03FD">
        <w:t>&gt;</w:t>
      </w:r>
      <w:r w:rsidR="00A550BD">
        <w:t xml:space="preserve"> </w:t>
      </w:r>
      <w:r w:rsidR="00C93634" w:rsidRPr="00E750DB">
        <w:t xml:space="preserve">24 health state from 33.1 to 28.22 (the lower 95% CI calculated by the submission) increased the ICER by </w:t>
      </w:r>
      <w:r w:rsidR="00B35ACC" w:rsidRPr="00A550BD">
        <w:rPr>
          <w:color w:val="000000"/>
          <w:spacing w:val="6"/>
          <w:w w:val="61"/>
          <w:shd w:val="solid" w:color="000000" w:fill="000000"/>
          <w:fitText w:val="475" w:id="-625250033"/>
          <w14:textFill>
            <w14:solidFill>
              <w14:srgbClr w14:val="000000">
                <w14:alpha w14:val="100000"/>
              </w14:srgbClr>
            </w14:solidFill>
          </w14:textFill>
        </w:rPr>
        <w:t>|||</w:t>
      </w:r>
      <w:r w:rsidR="00A550BD" w:rsidRPr="00A550BD">
        <w:rPr>
          <w:color w:val="000000"/>
          <w:spacing w:val="6"/>
          <w:w w:val="61"/>
          <w:shd w:val="solid" w:color="000000" w:fill="000000"/>
          <w:fitText w:val="475" w:id="-625250033"/>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3"/>
          <w14:textFill>
            <w14:solidFill>
              <w14:srgbClr w14:val="000000">
                <w14:alpha w14:val="100000"/>
              </w14:srgbClr>
            </w14:solidFill>
          </w14:textFill>
        </w:rPr>
        <w:t>||</w:t>
      </w:r>
      <w:r w:rsidR="00B35ACC" w:rsidRPr="00A550BD">
        <w:rPr>
          <w:color w:val="000000"/>
          <w:spacing w:val="3"/>
          <w:w w:val="61"/>
          <w:shd w:val="solid" w:color="000000" w:fill="000000"/>
          <w:fitText w:val="475" w:id="-625250033"/>
          <w14:textFill>
            <w14:solidFill>
              <w14:srgbClr w14:val="000000">
                <w14:alpha w14:val="100000"/>
              </w14:srgbClr>
            </w14:solidFill>
          </w14:textFill>
        </w:rPr>
        <w:t>|</w:t>
      </w:r>
      <w:r w:rsidR="00C93634" w:rsidRPr="00E750DB">
        <w:t>%.</w:t>
      </w:r>
      <w:r w:rsidR="00547584" w:rsidRPr="00E750DB">
        <w:t xml:space="preserve"> </w:t>
      </w:r>
    </w:p>
    <w:p w14:paraId="419BA565" w14:textId="4DE4B6E4" w:rsidR="00280CE3" w:rsidRPr="00E750DB" w:rsidRDefault="005C30E6" w:rsidP="00E072B9">
      <w:pPr>
        <w:pStyle w:val="3-BodyText"/>
      </w:pPr>
      <w:r w:rsidRPr="00E750DB">
        <w:t xml:space="preserve">The </w:t>
      </w:r>
      <w:r w:rsidR="00696597" w:rsidRPr="00E750DB">
        <w:t>c</w:t>
      </w:r>
      <w:r w:rsidR="004A6D45" w:rsidRPr="00E750DB">
        <w:t>ost</w:t>
      </w:r>
      <w:r w:rsidR="00696597" w:rsidRPr="00E750DB">
        <w:t>s</w:t>
      </w:r>
      <w:r w:rsidR="004A6D45" w:rsidRPr="00E750DB">
        <w:t xml:space="preserve"> of chronic conditions were derived by multiplying the prevalence of symptoms reported by Neeleman 2018 with associated unit costs sourced from various Australian data sources. </w:t>
      </w:r>
      <w:r w:rsidR="00280CE3" w:rsidRPr="00E750DB">
        <w:t>The cost</w:t>
      </w:r>
      <w:r w:rsidR="008862F3" w:rsidRPr="00E750DB">
        <w:t>s</w:t>
      </w:r>
      <w:r w:rsidR="00280CE3" w:rsidRPr="00E750DB">
        <w:t xml:space="preserve"> per cycle of chronic conditions by health state were:</w:t>
      </w:r>
    </w:p>
    <w:p w14:paraId="0B24EC09" w14:textId="77777777" w:rsidR="00280CE3" w:rsidRPr="00E750DB" w:rsidRDefault="00280CE3" w:rsidP="000869D3">
      <w:pPr>
        <w:pStyle w:val="ListParagraph"/>
        <w:numPr>
          <w:ilvl w:val="0"/>
          <w:numId w:val="8"/>
        </w:numPr>
        <w:spacing w:after="0" w:line="259" w:lineRule="auto"/>
        <w:ind w:left="1276" w:hanging="567"/>
      </w:pPr>
      <w:r w:rsidRPr="00E750DB">
        <w:t>AAR=0: $2,094.60</w:t>
      </w:r>
    </w:p>
    <w:p w14:paraId="227FCEAB" w14:textId="10215E9D" w:rsidR="00280CE3" w:rsidRPr="00E750DB" w:rsidRDefault="00280CE3" w:rsidP="000869D3">
      <w:pPr>
        <w:pStyle w:val="ListParagraph"/>
        <w:numPr>
          <w:ilvl w:val="0"/>
          <w:numId w:val="8"/>
        </w:numPr>
        <w:spacing w:after="0" w:line="259" w:lineRule="auto"/>
        <w:ind w:left="1276" w:hanging="567"/>
      </w:pPr>
      <w:r w:rsidRPr="00E750DB">
        <w:t>AAR</w:t>
      </w:r>
      <w:r w:rsidR="00BD03FD">
        <w:t>&gt;</w:t>
      </w:r>
      <w:r w:rsidR="00A550BD">
        <w:t xml:space="preserve"> </w:t>
      </w:r>
      <w:r w:rsidRPr="00E750DB">
        <w:t xml:space="preserve">0 to </w:t>
      </w:r>
      <w:r w:rsidRPr="00E750DB">
        <w:rPr>
          <w:rFonts w:cstheme="minorHAnsi"/>
        </w:rPr>
        <w:t>≤</w:t>
      </w:r>
      <w:r w:rsidRPr="00E750DB">
        <w:t>4 = $6,059.63</w:t>
      </w:r>
    </w:p>
    <w:p w14:paraId="1C282ED8" w14:textId="4827C01F" w:rsidR="00280CE3" w:rsidRPr="00E750DB" w:rsidRDefault="00280CE3" w:rsidP="000869D3">
      <w:pPr>
        <w:pStyle w:val="ListParagraph"/>
        <w:numPr>
          <w:ilvl w:val="0"/>
          <w:numId w:val="8"/>
        </w:numPr>
        <w:spacing w:after="0" w:line="259" w:lineRule="auto"/>
        <w:ind w:left="1276" w:hanging="567"/>
      </w:pPr>
      <w:r w:rsidRPr="00E750DB">
        <w:t xml:space="preserve">AAR </w:t>
      </w:r>
      <w:r w:rsidR="00BD03FD">
        <w:t>&gt;</w:t>
      </w:r>
      <w:r w:rsidR="00A550BD">
        <w:t xml:space="preserve"> </w:t>
      </w:r>
      <w:r w:rsidRPr="00E750DB">
        <w:t xml:space="preserve">4 to </w:t>
      </w:r>
      <w:r w:rsidRPr="00E750DB">
        <w:rPr>
          <w:rFonts w:cstheme="minorHAnsi"/>
        </w:rPr>
        <w:t>≤</w:t>
      </w:r>
      <w:r w:rsidRPr="00E750DB">
        <w:t>24 = $9,090.92</w:t>
      </w:r>
    </w:p>
    <w:p w14:paraId="4C99DB33" w14:textId="49C593E9" w:rsidR="00280CE3" w:rsidRPr="00E750DB" w:rsidRDefault="00280CE3" w:rsidP="000869D3">
      <w:pPr>
        <w:pStyle w:val="ListParagraph"/>
        <w:numPr>
          <w:ilvl w:val="0"/>
          <w:numId w:val="8"/>
        </w:numPr>
        <w:spacing w:after="0" w:line="259" w:lineRule="auto"/>
        <w:ind w:left="1276" w:hanging="567"/>
      </w:pPr>
      <w:r w:rsidRPr="00E750DB">
        <w:t xml:space="preserve">AAR </w:t>
      </w:r>
      <w:r w:rsidR="00BD03FD">
        <w:t>&gt;</w:t>
      </w:r>
      <w:r w:rsidR="00A550BD">
        <w:t xml:space="preserve"> </w:t>
      </w:r>
      <w:r w:rsidRPr="00E750DB">
        <w:t>24 = $9,090.92</w:t>
      </w:r>
    </w:p>
    <w:p w14:paraId="1E64C827" w14:textId="68CAB67B" w:rsidR="004A6D45" w:rsidRPr="00E750DB" w:rsidRDefault="004A6D45" w:rsidP="00E072B9">
      <w:pPr>
        <w:pStyle w:val="3-BodyText"/>
      </w:pPr>
      <w:r w:rsidRPr="00E750DB">
        <w:t xml:space="preserve">The sources used to estimate chronic condition costs </w:t>
      </w:r>
      <w:r w:rsidR="003E4A44" w:rsidRPr="00E750DB">
        <w:t>we</w:t>
      </w:r>
      <w:r w:rsidRPr="00E750DB">
        <w:t xml:space="preserve">re not specific to AHP and </w:t>
      </w:r>
      <w:r w:rsidR="003E4A44" w:rsidRPr="00E750DB">
        <w:t>we</w:t>
      </w:r>
      <w:r w:rsidRPr="00E750DB">
        <w:t>re largely drawn from studies involving older, hospital</w:t>
      </w:r>
      <w:r w:rsidR="00E072B9">
        <w:noBreakHyphen/>
      </w:r>
      <w:r w:rsidRPr="00E750DB">
        <w:t>based populations or general pain</w:t>
      </w:r>
      <w:r w:rsidR="00E072B9">
        <w:noBreakHyphen/>
      </w:r>
      <w:r w:rsidRPr="00E750DB">
        <w:t>related conditions. In addition to demographic differences, the severity of symptoms reported, such as ambulance</w:t>
      </w:r>
      <w:r w:rsidR="00E072B9">
        <w:noBreakHyphen/>
      </w:r>
      <w:r w:rsidRPr="00E750DB">
        <w:t>attended chest pain or hospital</w:t>
      </w:r>
      <w:r w:rsidR="00E072B9">
        <w:noBreakHyphen/>
      </w:r>
      <w:r w:rsidRPr="00E750DB">
        <w:t>managed back pain, which may not reflect the typically less acute, chronic nature of AHP symptoms. These differences increased the uncertainty of the chronic condition costs applied in the model.</w:t>
      </w:r>
    </w:p>
    <w:p w14:paraId="54A5BD4E" w14:textId="4ACB56B5" w:rsidR="00083D36" w:rsidRPr="00E750DB" w:rsidRDefault="00083D36" w:rsidP="00E072B9">
      <w:pPr>
        <w:pStyle w:val="3-BodyText"/>
      </w:pPr>
      <w:bookmarkStart w:id="54" w:name="_Ref197978877"/>
      <w:r w:rsidRPr="00E750DB">
        <w:t xml:space="preserve">The submission also assumed that </w:t>
      </w:r>
      <w:r w:rsidR="00C277C9" w:rsidRPr="00E750DB">
        <w:t xml:space="preserve">82% of all patients </w:t>
      </w:r>
      <w:r w:rsidR="00D05488" w:rsidRPr="00E750DB">
        <w:t xml:space="preserve">in the AAR </w:t>
      </w:r>
      <w:r w:rsidR="00BD03FD">
        <w:t>&gt;</w:t>
      </w:r>
      <w:r w:rsidR="00A550BD">
        <w:t xml:space="preserve"> </w:t>
      </w:r>
      <w:r w:rsidR="00D05488" w:rsidRPr="00E750DB">
        <w:t>4 to ≤</w:t>
      </w:r>
      <w:r w:rsidR="00BD03FD">
        <w:t xml:space="preserve"> </w:t>
      </w:r>
      <w:r w:rsidR="00D05488" w:rsidRPr="00E750DB">
        <w:t xml:space="preserve">24 and AAR </w:t>
      </w:r>
      <w:r w:rsidR="00BD03FD">
        <w:t>&gt;</w:t>
      </w:r>
      <w:r w:rsidR="00A550BD">
        <w:t xml:space="preserve"> </w:t>
      </w:r>
      <w:r w:rsidR="00D05488" w:rsidRPr="00E750DB">
        <w:t xml:space="preserve">24 health states would be treated for opioid addiction. This was based on </w:t>
      </w:r>
      <w:r w:rsidR="006D0B34" w:rsidRPr="00E750DB">
        <w:t xml:space="preserve">9 out of 11 recurrent cases having analgesic dependence in Neeleman 2018. </w:t>
      </w:r>
      <w:r w:rsidRPr="00E750DB">
        <w:t>Opioid addiction was not a reported outcome in ENVISION</w:t>
      </w:r>
      <w:r w:rsidR="006D0B34" w:rsidRPr="00E750DB">
        <w:t xml:space="preserve">. </w:t>
      </w:r>
      <w:r w:rsidRPr="00E750DB">
        <w:t xml:space="preserve">CADTH clinicians expressed that inclusion of opioid addiction in the model implied inappropriate use of opioids among AHP patients, and while AHP patients do receive management with opioids they would not be classified as addicted. The CADTH base case therefore assumed 0% of patients would be treated for opioid addiction in the AAR </w:t>
      </w:r>
      <w:r w:rsidR="00BD03FD">
        <w:t>&gt;</w:t>
      </w:r>
      <w:r w:rsidR="00A550BD">
        <w:t xml:space="preserve"> </w:t>
      </w:r>
      <w:r w:rsidRPr="00E750DB">
        <w:t>4 to ≤</w:t>
      </w:r>
      <w:r w:rsidR="00BD03FD">
        <w:t xml:space="preserve"> </w:t>
      </w:r>
      <w:r w:rsidRPr="00E750DB">
        <w:t xml:space="preserve">24 and AAR </w:t>
      </w:r>
      <w:r w:rsidR="00BD03FD">
        <w:t>&gt;</w:t>
      </w:r>
      <w:r w:rsidR="00A550BD">
        <w:t xml:space="preserve"> </w:t>
      </w:r>
      <w:r w:rsidRPr="00E750DB">
        <w:t xml:space="preserve">24 health states. A sensitivity analysis showed that removing this cost increased the ICER by </w:t>
      </w:r>
      <w:r w:rsidR="00B35ACC" w:rsidRPr="00A550BD">
        <w:rPr>
          <w:color w:val="000000"/>
          <w:spacing w:val="6"/>
          <w:w w:val="61"/>
          <w:shd w:val="solid" w:color="000000" w:fill="000000"/>
          <w:fitText w:val="475" w:id="-625250032"/>
          <w14:textFill>
            <w14:solidFill>
              <w14:srgbClr w14:val="000000">
                <w14:alpha w14:val="100000"/>
              </w14:srgbClr>
            </w14:solidFill>
          </w14:textFill>
        </w:rPr>
        <w:t>|||</w:t>
      </w:r>
      <w:r w:rsidR="00A550BD" w:rsidRPr="00A550BD">
        <w:rPr>
          <w:color w:val="000000"/>
          <w:spacing w:val="6"/>
          <w:w w:val="61"/>
          <w:shd w:val="solid" w:color="000000" w:fill="000000"/>
          <w:fitText w:val="475" w:id="-625250032"/>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32"/>
          <w14:textFill>
            <w14:solidFill>
              <w14:srgbClr w14:val="000000">
                <w14:alpha w14:val="100000"/>
              </w14:srgbClr>
            </w14:solidFill>
          </w14:textFill>
        </w:rPr>
        <w:t>||</w:t>
      </w:r>
      <w:r w:rsidR="00B35ACC" w:rsidRPr="00A550BD">
        <w:rPr>
          <w:color w:val="000000"/>
          <w:spacing w:val="3"/>
          <w:w w:val="61"/>
          <w:shd w:val="solid" w:color="000000" w:fill="000000"/>
          <w:fitText w:val="475" w:id="-625250032"/>
          <w14:textFill>
            <w14:solidFill>
              <w14:srgbClr w14:val="000000">
                <w14:alpha w14:val="100000"/>
              </w14:srgbClr>
            </w14:solidFill>
          </w14:textFill>
        </w:rPr>
        <w:t>|</w:t>
      </w:r>
      <w:r w:rsidRPr="00E750DB">
        <w:t>%.</w:t>
      </w:r>
      <w:bookmarkEnd w:id="54"/>
    </w:p>
    <w:p w14:paraId="1DE5635F" w14:textId="68C97F24" w:rsidR="00E86413" w:rsidRPr="00E750DB" w:rsidRDefault="00E86413" w:rsidP="00E072B9">
      <w:pPr>
        <w:pStyle w:val="3-BodyText"/>
      </w:pPr>
      <w:r w:rsidRPr="00E750DB">
        <w:t>Half</w:t>
      </w:r>
      <w:r w:rsidR="00E072B9">
        <w:noBreakHyphen/>
      </w:r>
      <w:r w:rsidRPr="00E750DB">
        <w:t>cycle correction was applied to all costs and outcomes. Inappropriately</w:t>
      </w:r>
      <w:r w:rsidR="00F926D7" w:rsidRPr="00E750DB">
        <w:t>,</w:t>
      </w:r>
      <w:r w:rsidRPr="00E750DB">
        <w:t xml:space="preserve"> half cycle correction was applied to the drug costs. A sensitivity analysis was conducted to remove the half cycle correction applied to drug costs, which led to an </w:t>
      </w:r>
      <w:r w:rsidR="00B35ACC" w:rsidRPr="00A550BD">
        <w:rPr>
          <w:color w:val="000000"/>
          <w:spacing w:val="6"/>
          <w:w w:val="59"/>
          <w:shd w:val="solid" w:color="000000" w:fill="000000"/>
          <w:fitText w:val="460" w:id="-625250048"/>
          <w14:textFill>
            <w14:solidFill>
              <w14:srgbClr w14:val="000000">
                <w14:alpha w14:val="100000"/>
              </w14:srgbClr>
            </w14:solidFill>
          </w14:textFill>
        </w:rPr>
        <w:t>|||</w:t>
      </w:r>
      <w:r w:rsidR="00A550BD" w:rsidRPr="00A550BD">
        <w:rPr>
          <w:color w:val="000000"/>
          <w:spacing w:val="6"/>
          <w:w w:val="59"/>
          <w:shd w:val="solid" w:color="000000" w:fill="000000"/>
          <w:fitText w:val="460" w:id="-625250048"/>
          <w14:textFill>
            <w14:solidFill>
              <w14:srgbClr w14:val="000000">
                <w14:alpha w14:val="100000"/>
              </w14:srgbClr>
            </w14:solidFill>
          </w14:textFill>
        </w:rPr>
        <w:t xml:space="preserve"> </w:t>
      </w:r>
      <w:r w:rsidR="00B35ACC" w:rsidRPr="00A550BD">
        <w:rPr>
          <w:color w:val="000000"/>
          <w:spacing w:val="6"/>
          <w:w w:val="59"/>
          <w:shd w:val="solid" w:color="000000" w:fill="000000"/>
          <w:fitText w:val="460" w:id="-625250048"/>
          <w14:textFill>
            <w14:solidFill>
              <w14:srgbClr w14:val="000000">
                <w14:alpha w14:val="100000"/>
              </w14:srgbClr>
            </w14:solidFill>
          </w14:textFill>
        </w:rPr>
        <w:t>||</w:t>
      </w:r>
      <w:r w:rsidR="00B35ACC" w:rsidRPr="00A550BD">
        <w:rPr>
          <w:color w:val="000000"/>
          <w:spacing w:val="2"/>
          <w:w w:val="59"/>
          <w:shd w:val="solid" w:color="000000" w:fill="000000"/>
          <w:fitText w:val="460" w:id="-625250048"/>
          <w14:textFill>
            <w14:solidFill>
              <w14:srgbClr w14:val="000000">
                <w14:alpha w14:val="100000"/>
              </w14:srgbClr>
            </w14:solidFill>
          </w14:textFill>
        </w:rPr>
        <w:t>|</w:t>
      </w:r>
      <w:r w:rsidRPr="00E750DB">
        <w:t>% increase in the ICER.</w:t>
      </w:r>
    </w:p>
    <w:p w14:paraId="0421FB26" w14:textId="43078D5D" w:rsidR="00E86413" w:rsidRPr="00E750DB" w:rsidRDefault="00E86413" w:rsidP="00E072B9">
      <w:pPr>
        <w:pStyle w:val="3-BodyText"/>
      </w:pPr>
      <w:bookmarkStart w:id="55" w:name="_Ref197975881"/>
      <w:r w:rsidRPr="00E750DB">
        <w:t>A 5% annual discount rate was applied to both to cost</w:t>
      </w:r>
      <w:r w:rsidR="009417E1" w:rsidRPr="00E750DB">
        <w:t>s</w:t>
      </w:r>
      <w:r w:rsidRPr="00E750DB">
        <w:t xml:space="preserve"> and outcomes in the model. </w:t>
      </w:r>
      <w:r w:rsidR="000230FF" w:rsidRPr="00E750DB">
        <w:t>T</w:t>
      </w:r>
      <w:r w:rsidRPr="00E750DB">
        <w:t>he undiscounted and discounted ICERs were substantially different. In the base case, undiscounted results showed givosiran was dominant compared to BSC (16.14 QALY gained with $</w:t>
      </w:r>
      <w:r w:rsidR="00B35ACC" w:rsidRPr="00A550BD">
        <w:rPr>
          <w:color w:val="000000"/>
          <w:spacing w:val="6"/>
          <w:w w:val="59"/>
          <w:shd w:val="solid" w:color="000000" w:fill="000000"/>
          <w:fitText w:val="460" w:id="-625250047"/>
          <w14:textFill>
            <w14:solidFill>
              <w14:srgbClr w14:val="000000">
                <w14:alpha w14:val="100000"/>
              </w14:srgbClr>
            </w14:solidFill>
          </w14:textFill>
        </w:rPr>
        <w:t>|||</w:t>
      </w:r>
      <w:r w:rsidR="00A550BD" w:rsidRPr="00A550BD">
        <w:rPr>
          <w:color w:val="000000"/>
          <w:spacing w:val="6"/>
          <w:w w:val="59"/>
          <w:shd w:val="solid" w:color="000000" w:fill="000000"/>
          <w:fitText w:val="460" w:id="-625250047"/>
          <w14:textFill>
            <w14:solidFill>
              <w14:srgbClr w14:val="000000">
                <w14:alpha w14:val="100000"/>
              </w14:srgbClr>
            </w14:solidFill>
          </w14:textFill>
        </w:rPr>
        <w:t xml:space="preserve"> </w:t>
      </w:r>
      <w:r w:rsidR="00B35ACC" w:rsidRPr="00A550BD">
        <w:rPr>
          <w:color w:val="000000"/>
          <w:spacing w:val="6"/>
          <w:w w:val="59"/>
          <w:shd w:val="solid" w:color="000000" w:fill="000000"/>
          <w:fitText w:val="460" w:id="-625250047"/>
          <w14:textFill>
            <w14:solidFill>
              <w14:srgbClr w14:val="000000">
                <w14:alpha w14:val="100000"/>
              </w14:srgbClr>
            </w14:solidFill>
          </w14:textFill>
        </w:rPr>
        <w:t>||</w:t>
      </w:r>
      <w:r w:rsidR="00B35ACC" w:rsidRPr="00A550BD">
        <w:rPr>
          <w:color w:val="000000"/>
          <w:spacing w:val="2"/>
          <w:w w:val="59"/>
          <w:shd w:val="solid" w:color="000000" w:fill="000000"/>
          <w:fitText w:val="460" w:id="-625250047"/>
          <w14:textFill>
            <w14:solidFill>
              <w14:srgbClr w14:val="000000">
                <w14:alpha w14:val="100000"/>
              </w14:srgbClr>
            </w14:solidFill>
          </w14:textFill>
        </w:rPr>
        <w:t>|</w:t>
      </w:r>
      <w:r w:rsidRPr="00E750DB">
        <w:t xml:space="preserve"> million in savings) whereas discounted results showed givosiran was more effective but more costly compared to BSC </w:t>
      </w:r>
      <w:r w:rsidR="00FA1FC7" w:rsidRPr="00FA1FC7">
        <w:t>$155,000 to &lt; $255,000</w:t>
      </w:r>
      <w:r w:rsidRPr="00E750DB">
        <w:t>/QALY). This was mainly attributed to the substantially greater cost of acute attack</w:t>
      </w:r>
      <w:r w:rsidR="00C515FF" w:rsidRPr="00E750DB">
        <w:t>s</w:t>
      </w:r>
      <w:r w:rsidRPr="00E750DB">
        <w:t xml:space="preserve"> in the BSC arm compared to the givosiran arm. </w:t>
      </w:r>
      <w:r w:rsidR="00D40260" w:rsidRPr="00E750DB">
        <w:t>A</w:t>
      </w:r>
      <w:r w:rsidRPr="00E750DB">
        <w:t xml:space="preserve">cute attack costs </w:t>
      </w:r>
      <w:r w:rsidR="00D40260" w:rsidRPr="00E750DB">
        <w:t xml:space="preserve">were more heavily impacted by discounting as </w:t>
      </w:r>
      <w:r w:rsidR="00CF6E0F">
        <w:t>they</w:t>
      </w:r>
      <w:r w:rsidR="00D40260" w:rsidRPr="00E750DB">
        <w:t xml:space="preserve"> </w:t>
      </w:r>
      <w:r w:rsidRPr="00E750DB">
        <w:t xml:space="preserve">accrued over the time horizon. As such, the costs in the BSC arm were substantially discounted ($8.6 million undiscounted vs $3.5 million discounted) compared to givosiran </w:t>
      </w:r>
      <w:r w:rsidRPr="00C51FA7">
        <w:t>($</w:t>
      </w:r>
      <w:r w:rsidR="00B35ACC" w:rsidRPr="00A550BD">
        <w:rPr>
          <w:color w:val="000000"/>
          <w:spacing w:val="6"/>
          <w:w w:val="61"/>
          <w:shd w:val="solid" w:color="000000" w:fill="000000"/>
          <w:fitText w:val="475" w:id="-625250046"/>
          <w14:textFill>
            <w14:solidFill>
              <w14:srgbClr w14:val="000000">
                <w14:alpha w14:val="100000"/>
              </w14:srgbClr>
            </w14:solidFill>
          </w14:textFill>
        </w:rPr>
        <w:t>|||</w:t>
      </w:r>
      <w:r w:rsidR="00A550BD" w:rsidRPr="00A550BD">
        <w:rPr>
          <w:color w:val="000000"/>
          <w:spacing w:val="6"/>
          <w:w w:val="61"/>
          <w:shd w:val="solid" w:color="000000" w:fill="000000"/>
          <w:fitText w:val="475" w:id="-625250046"/>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6"/>
          <w14:textFill>
            <w14:solidFill>
              <w14:srgbClr w14:val="000000">
                <w14:alpha w14:val="100000"/>
              </w14:srgbClr>
            </w14:solidFill>
          </w14:textFill>
        </w:rPr>
        <w:t>||</w:t>
      </w:r>
      <w:r w:rsidR="00B35ACC" w:rsidRPr="00A550BD">
        <w:rPr>
          <w:color w:val="000000"/>
          <w:spacing w:val="3"/>
          <w:w w:val="61"/>
          <w:shd w:val="solid" w:color="000000" w:fill="000000"/>
          <w:fitText w:val="475" w:id="-625250046"/>
          <w14:textFill>
            <w14:solidFill>
              <w14:srgbClr w14:val="000000">
                <w14:alpha w14:val="100000"/>
              </w14:srgbClr>
            </w14:solidFill>
          </w14:textFill>
        </w:rPr>
        <w:t>|</w:t>
      </w:r>
      <w:r w:rsidRPr="00C51FA7">
        <w:t xml:space="preserve"> </w:t>
      </w:r>
      <w:r w:rsidRPr="00E750DB">
        <w:t xml:space="preserve">million undiscounted vs </w:t>
      </w:r>
      <w:r w:rsidRPr="00C51FA7">
        <w:t>$</w:t>
      </w:r>
      <w:r w:rsidR="00B35ACC" w:rsidRPr="00A550BD">
        <w:rPr>
          <w:color w:val="000000"/>
          <w:spacing w:val="6"/>
          <w:w w:val="61"/>
          <w:shd w:val="solid" w:color="000000" w:fill="000000"/>
          <w:fitText w:val="475" w:id="-625250045"/>
          <w14:textFill>
            <w14:solidFill>
              <w14:srgbClr w14:val="000000">
                <w14:alpha w14:val="100000"/>
              </w14:srgbClr>
            </w14:solidFill>
          </w14:textFill>
        </w:rPr>
        <w:t>|||</w:t>
      </w:r>
      <w:r w:rsidR="00A550BD" w:rsidRPr="00A550BD">
        <w:rPr>
          <w:color w:val="000000"/>
          <w:spacing w:val="6"/>
          <w:w w:val="61"/>
          <w:shd w:val="solid" w:color="000000" w:fill="000000"/>
          <w:fitText w:val="475" w:id="-625250045"/>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5"/>
          <w14:textFill>
            <w14:solidFill>
              <w14:srgbClr w14:val="000000">
                <w14:alpha w14:val="100000"/>
              </w14:srgbClr>
            </w14:solidFill>
          </w14:textFill>
        </w:rPr>
        <w:t>||</w:t>
      </w:r>
      <w:r w:rsidR="00B35ACC" w:rsidRPr="00A550BD">
        <w:rPr>
          <w:color w:val="000000"/>
          <w:spacing w:val="3"/>
          <w:w w:val="61"/>
          <w:shd w:val="solid" w:color="000000" w:fill="000000"/>
          <w:fitText w:val="475" w:id="-625250045"/>
          <w14:textFill>
            <w14:solidFill>
              <w14:srgbClr w14:val="000000">
                <w14:alpha w14:val="100000"/>
              </w14:srgbClr>
            </w14:solidFill>
          </w14:textFill>
        </w:rPr>
        <w:t>|</w:t>
      </w:r>
      <w:r w:rsidRPr="00C51FA7">
        <w:t xml:space="preserve"> </w:t>
      </w:r>
      <w:r w:rsidRPr="00E750DB">
        <w:t>million discounted).</w:t>
      </w:r>
      <w:bookmarkEnd w:id="55"/>
    </w:p>
    <w:p w14:paraId="26AC86CC" w14:textId="5263C0D3" w:rsidR="00E86413" w:rsidRPr="00E750DB" w:rsidRDefault="00E86413" w:rsidP="00E072B9">
      <w:pPr>
        <w:pStyle w:val="3-BodyText"/>
      </w:pPr>
      <w:r w:rsidRPr="00E750DB">
        <w:t xml:space="preserve">The </w:t>
      </w:r>
      <w:r w:rsidR="000B5A96" w:rsidRPr="00E750DB">
        <w:t xml:space="preserve">baseline characteristics of the cohort in the model were </w:t>
      </w:r>
      <w:r w:rsidRPr="00E750DB">
        <w:t>based on characteristics of patients in ENVISION</w:t>
      </w:r>
      <w:r w:rsidR="000B5A96" w:rsidRPr="00E750DB">
        <w:t>.</w:t>
      </w:r>
      <w:r w:rsidRPr="00E750DB">
        <w:t xml:space="preserve"> </w:t>
      </w:r>
      <w:r w:rsidR="000B5A96" w:rsidRPr="00E750DB">
        <w:t xml:space="preserve">A </w:t>
      </w:r>
      <w:r w:rsidRPr="00E750DB">
        <w:t>mean start</w:t>
      </w:r>
      <w:r w:rsidR="0083772D" w:rsidRPr="00E750DB">
        <w:t>ing</w:t>
      </w:r>
      <w:r w:rsidRPr="00E750DB">
        <w:t xml:space="preserve"> age </w:t>
      </w:r>
      <w:r w:rsidR="000B5A96" w:rsidRPr="00E750DB">
        <w:t xml:space="preserve">of </w:t>
      </w:r>
      <w:r w:rsidRPr="00E750DB">
        <w:t>38.80 years</w:t>
      </w:r>
      <w:r w:rsidR="000B5A96" w:rsidRPr="00E750DB">
        <w:t xml:space="preserve"> was assumed</w:t>
      </w:r>
      <w:r w:rsidRPr="00E750DB">
        <w:t xml:space="preserve">, with 89.4% female patients having a mean onset </w:t>
      </w:r>
      <w:r w:rsidR="00EB3581" w:rsidRPr="00E750DB">
        <w:t xml:space="preserve">of </w:t>
      </w:r>
      <w:r w:rsidRPr="00E750DB">
        <w:t xml:space="preserve">menopause at 51 years, and 23.4% of patients having a weight </w:t>
      </w:r>
      <w:r w:rsidR="00BD03FD">
        <w:t>&gt;</w:t>
      </w:r>
      <w:r w:rsidR="00A550BD">
        <w:t xml:space="preserve"> </w:t>
      </w:r>
      <w:r w:rsidRPr="00E750DB">
        <w:t xml:space="preserve">75.6 kg. Changes in baseline characteristics had </w:t>
      </w:r>
      <w:r w:rsidR="00971CEC" w:rsidRPr="00E750DB">
        <w:t>sizeable</w:t>
      </w:r>
      <w:r w:rsidRPr="00E750DB">
        <w:t xml:space="preserve"> impact</w:t>
      </w:r>
      <w:r w:rsidR="00971CEC" w:rsidRPr="00E750DB">
        <w:t>s</w:t>
      </w:r>
      <w:r w:rsidRPr="00E750DB">
        <w:t xml:space="preserve"> on the ICER:</w:t>
      </w:r>
    </w:p>
    <w:p w14:paraId="43BBF71B" w14:textId="2BAFCE59" w:rsidR="00E86413" w:rsidRPr="00E750DB" w:rsidRDefault="00E86413" w:rsidP="000869D3">
      <w:pPr>
        <w:pStyle w:val="3-BodyText"/>
        <w:numPr>
          <w:ilvl w:val="0"/>
          <w:numId w:val="11"/>
        </w:numPr>
        <w:ind w:left="1134" w:hanging="425"/>
      </w:pPr>
      <w:r w:rsidRPr="00E750DB">
        <w:t>Based on ELEVATE</w:t>
      </w:r>
      <w:r w:rsidR="00971CEC" w:rsidRPr="00E750DB">
        <w:t>, an international AHP registry, among 151 patients with symptoms, the median age of symptom onset was 29 years (range 6</w:t>
      </w:r>
      <w:r w:rsidR="00E072B9">
        <w:noBreakHyphen/>
      </w:r>
      <w:r w:rsidR="00971CEC" w:rsidRPr="00E750DB">
        <w:t>69 years).</w:t>
      </w:r>
      <w:r w:rsidRPr="00E750DB">
        <w:t xml:space="preserve"> </w:t>
      </w:r>
      <w:r w:rsidR="00971CEC" w:rsidRPr="00E750DB">
        <w:t xml:space="preserve">This </w:t>
      </w:r>
      <w:r w:rsidRPr="00E750DB">
        <w:t>suggest</w:t>
      </w:r>
      <w:r w:rsidR="00971CEC" w:rsidRPr="00E750DB">
        <w:t>ed</w:t>
      </w:r>
      <w:r w:rsidRPr="00E750DB">
        <w:t xml:space="preserve"> that the starting age of 38.8 years in the model may be overestimated. Assuming a starting age of 29 years in the model increased the ICER by </w:t>
      </w:r>
      <w:r w:rsidR="00B35ACC" w:rsidRPr="00A550BD">
        <w:rPr>
          <w:color w:val="000000"/>
          <w:spacing w:val="6"/>
          <w:w w:val="61"/>
          <w:shd w:val="solid" w:color="000000" w:fill="000000"/>
          <w:fitText w:val="475" w:id="-625250044"/>
          <w14:textFill>
            <w14:solidFill>
              <w14:srgbClr w14:val="000000">
                <w14:alpha w14:val="100000"/>
              </w14:srgbClr>
            </w14:solidFill>
          </w14:textFill>
        </w:rPr>
        <w:t>|||</w:t>
      </w:r>
      <w:r w:rsidR="00A550BD" w:rsidRPr="00A550BD">
        <w:rPr>
          <w:color w:val="000000"/>
          <w:spacing w:val="6"/>
          <w:w w:val="61"/>
          <w:shd w:val="solid" w:color="000000" w:fill="000000"/>
          <w:fitText w:val="475" w:id="-625250044"/>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50044"/>
          <w14:textFill>
            <w14:solidFill>
              <w14:srgbClr w14:val="000000">
                <w14:alpha w14:val="100000"/>
              </w14:srgbClr>
            </w14:solidFill>
          </w14:textFill>
        </w:rPr>
        <w:t>||</w:t>
      </w:r>
      <w:r w:rsidR="00B35ACC" w:rsidRPr="00A550BD">
        <w:rPr>
          <w:color w:val="000000"/>
          <w:spacing w:val="3"/>
          <w:w w:val="61"/>
          <w:shd w:val="solid" w:color="000000" w:fill="000000"/>
          <w:fitText w:val="475" w:id="-625250044"/>
          <w14:textFill>
            <w14:solidFill>
              <w14:srgbClr w14:val="000000">
                <w14:alpha w14:val="100000"/>
              </w14:srgbClr>
            </w14:solidFill>
          </w14:textFill>
        </w:rPr>
        <w:t>|</w:t>
      </w:r>
      <w:r w:rsidRPr="00E750DB">
        <w:t>%</w:t>
      </w:r>
      <w:r w:rsidR="004D56C2" w:rsidRPr="00E750DB">
        <w:t>.</w:t>
      </w:r>
      <w:r w:rsidRPr="00E750DB">
        <w:t xml:space="preserve"> </w:t>
      </w:r>
    </w:p>
    <w:p w14:paraId="1D03AD17" w14:textId="1FCA43B0" w:rsidR="00E86413" w:rsidRPr="00E750DB" w:rsidRDefault="00E86413" w:rsidP="000869D3">
      <w:pPr>
        <w:pStyle w:val="ListParagraph"/>
        <w:numPr>
          <w:ilvl w:val="0"/>
          <w:numId w:val="11"/>
        </w:numPr>
        <w:ind w:left="1134" w:hanging="425"/>
        <w:jc w:val="both"/>
        <w:rPr>
          <w:rFonts w:eastAsiaTheme="minorHAnsi" w:cstheme="minorBidi"/>
          <w:snapToGrid/>
          <w:szCs w:val="22"/>
        </w:rPr>
      </w:pPr>
      <w:r w:rsidRPr="00E750DB">
        <w:rPr>
          <w:rFonts w:eastAsiaTheme="minorHAnsi" w:cstheme="minorBidi"/>
          <w:snapToGrid/>
          <w:szCs w:val="22"/>
        </w:rPr>
        <w:t xml:space="preserve">A reduction in the proportion of females in the model from 89.4% to 80% led to a </w:t>
      </w:r>
      <w:r w:rsidR="00B35ACC" w:rsidRPr="00A550BD">
        <w:rPr>
          <w:rFonts w:eastAsiaTheme="minorHAnsi" w:cstheme="minorBidi"/>
          <w:snapToGrid/>
          <w:color w:val="000000"/>
          <w:spacing w:val="6"/>
          <w:w w:val="59"/>
          <w:szCs w:val="22"/>
          <w:shd w:val="solid" w:color="000000" w:fill="000000"/>
          <w:fitText w:val="460" w:id="-625249792"/>
          <w14:textFill>
            <w14:solidFill>
              <w14:srgbClr w14:val="000000">
                <w14:alpha w14:val="100000"/>
              </w14:srgbClr>
            </w14:solidFill>
          </w14:textFill>
        </w:rPr>
        <w:t>|||</w:t>
      </w:r>
      <w:r w:rsidR="00A550BD" w:rsidRPr="00A550BD">
        <w:rPr>
          <w:rFonts w:eastAsiaTheme="minorHAnsi" w:cstheme="minorBidi"/>
          <w:snapToGrid/>
          <w:color w:val="000000"/>
          <w:spacing w:val="6"/>
          <w:w w:val="59"/>
          <w:szCs w:val="22"/>
          <w:shd w:val="solid" w:color="000000" w:fill="000000"/>
          <w:fitText w:val="460" w:id="-625249792"/>
          <w14:textFill>
            <w14:solidFill>
              <w14:srgbClr w14:val="000000">
                <w14:alpha w14:val="100000"/>
              </w14:srgbClr>
            </w14:solidFill>
          </w14:textFill>
        </w:rPr>
        <w:t xml:space="preserve"> </w:t>
      </w:r>
      <w:r w:rsidR="00B35ACC" w:rsidRPr="00A550BD">
        <w:rPr>
          <w:rFonts w:eastAsiaTheme="minorHAnsi" w:cstheme="minorBidi"/>
          <w:snapToGrid/>
          <w:color w:val="000000"/>
          <w:spacing w:val="6"/>
          <w:w w:val="59"/>
          <w:szCs w:val="22"/>
          <w:shd w:val="solid" w:color="000000" w:fill="000000"/>
          <w:fitText w:val="460" w:id="-625249792"/>
          <w14:textFill>
            <w14:solidFill>
              <w14:srgbClr w14:val="000000">
                <w14:alpha w14:val="100000"/>
              </w14:srgbClr>
            </w14:solidFill>
          </w14:textFill>
        </w:rPr>
        <w:t>||</w:t>
      </w:r>
      <w:r w:rsidR="00B35ACC" w:rsidRPr="00A550BD">
        <w:rPr>
          <w:rFonts w:eastAsiaTheme="minorHAnsi" w:cstheme="minorBidi"/>
          <w:snapToGrid/>
          <w:color w:val="000000"/>
          <w:spacing w:val="2"/>
          <w:w w:val="59"/>
          <w:szCs w:val="22"/>
          <w:shd w:val="solid" w:color="000000" w:fill="000000"/>
          <w:fitText w:val="460" w:id="-625249792"/>
          <w14:textFill>
            <w14:solidFill>
              <w14:srgbClr w14:val="000000">
                <w14:alpha w14:val="100000"/>
              </w14:srgbClr>
            </w14:solidFill>
          </w14:textFill>
        </w:rPr>
        <w:t>|</w:t>
      </w:r>
      <w:r w:rsidRPr="00C51FA7">
        <w:rPr>
          <w:rFonts w:eastAsiaTheme="minorHAnsi" w:cstheme="minorBidi"/>
          <w:snapToGrid/>
          <w:szCs w:val="22"/>
        </w:rPr>
        <w:t>%</w:t>
      </w:r>
      <w:r w:rsidRPr="00E750DB">
        <w:rPr>
          <w:rFonts w:eastAsiaTheme="minorHAnsi" w:cstheme="minorBidi"/>
          <w:snapToGrid/>
          <w:szCs w:val="22"/>
        </w:rPr>
        <w:t xml:space="preserve"> increase in the ICER, which was attributed to </w:t>
      </w:r>
      <w:r w:rsidR="00E724EE" w:rsidRPr="00E750DB">
        <w:rPr>
          <w:rFonts w:eastAsiaTheme="minorHAnsi" w:cstheme="minorBidi"/>
          <w:snapToGrid/>
          <w:szCs w:val="22"/>
        </w:rPr>
        <w:t>fewer</w:t>
      </w:r>
      <w:r w:rsidRPr="00E750DB">
        <w:rPr>
          <w:rFonts w:eastAsiaTheme="minorHAnsi" w:cstheme="minorBidi"/>
          <w:snapToGrid/>
          <w:szCs w:val="22"/>
        </w:rPr>
        <w:t xml:space="preserve"> patients </w:t>
      </w:r>
      <w:r w:rsidR="0016318A" w:rsidRPr="00E750DB">
        <w:rPr>
          <w:rFonts w:eastAsiaTheme="minorHAnsi" w:cstheme="minorBidi"/>
          <w:snapToGrid/>
          <w:szCs w:val="22"/>
        </w:rPr>
        <w:t>impacted by</w:t>
      </w:r>
      <w:r w:rsidRPr="00E750DB">
        <w:rPr>
          <w:rFonts w:eastAsiaTheme="minorHAnsi" w:cstheme="minorBidi"/>
          <w:snapToGrid/>
          <w:szCs w:val="22"/>
        </w:rPr>
        <w:t xml:space="preserve"> menopause</w:t>
      </w:r>
      <w:r w:rsidR="004D56C2" w:rsidRPr="00E750DB">
        <w:rPr>
          <w:rFonts w:eastAsiaTheme="minorHAnsi" w:cstheme="minorBidi"/>
          <w:snapToGrid/>
          <w:szCs w:val="22"/>
        </w:rPr>
        <w:t>.</w:t>
      </w:r>
    </w:p>
    <w:p w14:paraId="3113FC82" w14:textId="6E47AD70" w:rsidR="00E86413" w:rsidRPr="00E750DB" w:rsidRDefault="00E86413" w:rsidP="000869D3">
      <w:pPr>
        <w:pStyle w:val="3-BodyText"/>
        <w:numPr>
          <w:ilvl w:val="0"/>
          <w:numId w:val="11"/>
        </w:numPr>
        <w:ind w:left="1134" w:hanging="425"/>
      </w:pPr>
      <w:r w:rsidRPr="00E750DB">
        <w:t>While the weight of AHP patients in Australia was unknown</w:t>
      </w:r>
      <w:r w:rsidR="0090486C">
        <w:t>,</w:t>
      </w:r>
      <w:r w:rsidR="00D40260" w:rsidRPr="00E750DB">
        <w:t xml:space="preserve"> </w:t>
      </w:r>
      <w:r w:rsidRPr="00E750DB">
        <w:t>ABS data</w:t>
      </w:r>
      <w:r w:rsidR="005F119A" w:rsidRPr="00E750DB">
        <w:rPr>
          <w:rStyle w:val="FootnoteReference"/>
        </w:rPr>
        <w:footnoteReference w:id="6"/>
      </w:r>
      <w:r w:rsidRPr="00E750DB">
        <w:t xml:space="preserve"> indicated that in 2022, 58.3% of females aged 35</w:t>
      </w:r>
      <w:r w:rsidR="00E072B9">
        <w:noBreakHyphen/>
      </w:r>
      <w:r w:rsidRPr="00E750DB">
        <w:t xml:space="preserve">44 in Australia were considered overweight or obese based on waist circumference and BMI. Assuming 58.3% of patients weighed </w:t>
      </w:r>
      <w:r w:rsidR="00BD03FD">
        <w:t>&gt;</w:t>
      </w:r>
      <w:r w:rsidR="00A550BD">
        <w:t xml:space="preserve"> </w:t>
      </w:r>
      <w:r w:rsidRPr="00E750DB">
        <w:t xml:space="preserve">75.6kg increased the ICER by </w:t>
      </w:r>
      <w:r w:rsidR="00B35ACC" w:rsidRPr="00A550BD">
        <w:rPr>
          <w:color w:val="000000"/>
          <w:spacing w:val="6"/>
          <w:w w:val="59"/>
          <w:shd w:val="solid" w:color="000000" w:fill="000000"/>
          <w:fitText w:val="460" w:id="-625249791"/>
          <w14:textFill>
            <w14:solidFill>
              <w14:srgbClr w14:val="000000">
                <w14:alpha w14:val="100000"/>
              </w14:srgbClr>
            </w14:solidFill>
          </w14:textFill>
        </w:rPr>
        <w:t>|||</w:t>
      </w:r>
      <w:r w:rsidR="00A550BD" w:rsidRPr="00A550BD">
        <w:rPr>
          <w:color w:val="000000"/>
          <w:spacing w:val="6"/>
          <w:w w:val="59"/>
          <w:shd w:val="solid" w:color="000000" w:fill="000000"/>
          <w:fitText w:val="460" w:id="-625249791"/>
          <w14:textFill>
            <w14:solidFill>
              <w14:srgbClr w14:val="000000">
                <w14:alpha w14:val="100000"/>
              </w14:srgbClr>
            </w14:solidFill>
          </w14:textFill>
        </w:rPr>
        <w:t xml:space="preserve"> </w:t>
      </w:r>
      <w:r w:rsidR="00B35ACC" w:rsidRPr="00A550BD">
        <w:rPr>
          <w:color w:val="000000"/>
          <w:spacing w:val="6"/>
          <w:w w:val="59"/>
          <w:shd w:val="solid" w:color="000000" w:fill="000000"/>
          <w:fitText w:val="460" w:id="-625249791"/>
          <w14:textFill>
            <w14:solidFill>
              <w14:srgbClr w14:val="000000">
                <w14:alpha w14:val="100000"/>
              </w14:srgbClr>
            </w14:solidFill>
          </w14:textFill>
        </w:rPr>
        <w:t>||</w:t>
      </w:r>
      <w:r w:rsidR="00B35ACC" w:rsidRPr="00A550BD">
        <w:rPr>
          <w:color w:val="000000"/>
          <w:spacing w:val="2"/>
          <w:w w:val="59"/>
          <w:shd w:val="solid" w:color="000000" w:fill="000000"/>
          <w:fitText w:val="460" w:id="-625249791"/>
          <w14:textFill>
            <w14:solidFill>
              <w14:srgbClr w14:val="000000">
                <w14:alpha w14:val="100000"/>
              </w14:srgbClr>
            </w14:solidFill>
          </w14:textFill>
        </w:rPr>
        <w:t>|</w:t>
      </w:r>
      <w:r w:rsidRPr="00E750DB">
        <w:t>%</w:t>
      </w:r>
      <w:r w:rsidR="0005511C" w:rsidRPr="00E750DB">
        <w:t>.</w:t>
      </w:r>
    </w:p>
    <w:p w14:paraId="66CAE70F" w14:textId="72A2712A" w:rsidR="00E86413" w:rsidRPr="00E750DB" w:rsidRDefault="00E86413" w:rsidP="000869D3">
      <w:pPr>
        <w:pStyle w:val="3-BodyText"/>
        <w:numPr>
          <w:ilvl w:val="0"/>
          <w:numId w:val="11"/>
        </w:numPr>
        <w:ind w:left="1134" w:hanging="425"/>
      </w:pPr>
      <w:r w:rsidRPr="00E750DB">
        <w:t xml:space="preserve">The model assumed that 95% of female patients in the AAR=0 health state would discontinue treatment and experience no more attacks once they pass menopause. </w:t>
      </w:r>
      <w:r w:rsidR="00F67556">
        <w:t>I</w:t>
      </w:r>
      <w:r w:rsidRPr="00E750DB">
        <w:t xml:space="preserve">ncreasing the age of menopause onset by 1 year (52 years old) led to a </w:t>
      </w:r>
      <w:r w:rsidR="00B35ACC" w:rsidRPr="00A550BD">
        <w:rPr>
          <w:color w:val="000000"/>
          <w:spacing w:val="6"/>
          <w:w w:val="61"/>
          <w:shd w:val="solid" w:color="000000" w:fill="000000"/>
          <w:fitText w:val="475" w:id="-625249790"/>
          <w14:textFill>
            <w14:solidFill>
              <w14:srgbClr w14:val="000000">
                <w14:alpha w14:val="100000"/>
              </w14:srgbClr>
            </w14:solidFill>
          </w14:textFill>
        </w:rPr>
        <w:t>|||</w:t>
      </w:r>
      <w:r w:rsidR="00A550BD" w:rsidRPr="00A550BD">
        <w:rPr>
          <w:color w:val="000000"/>
          <w:spacing w:val="6"/>
          <w:w w:val="61"/>
          <w:shd w:val="solid" w:color="000000" w:fill="000000"/>
          <w:fitText w:val="475" w:id="-625249790"/>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49790"/>
          <w14:textFill>
            <w14:solidFill>
              <w14:srgbClr w14:val="000000">
                <w14:alpha w14:val="100000"/>
              </w14:srgbClr>
            </w14:solidFill>
          </w14:textFill>
        </w:rPr>
        <w:t>||</w:t>
      </w:r>
      <w:r w:rsidR="00B35ACC" w:rsidRPr="00A550BD">
        <w:rPr>
          <w:color w:val="000000"/>
          <w:spacing w:val="3"/>
          <w:w w:val="61"/>
          <w:shd w:val="solid" w:color="000000" w:fill="000000"/>
          <w:fitText w:val="475" w:id="-625249790"/>
          <w14:textFill>
            <w14:solidFill>
              <w14:srgbClr w14:val="000000">
                <w14:alpha w14:val="100000"/>
              </w14:srgbClr>
            </w14:solidFill>
          </w14:textFill>
        </w:rPr>
        <w:t>|</w:t>
      </w:r>
      <w:r w:rsidRPr="001B579C">
        <w:t>%</w:t>
      </w:r>
      <w:r w:rsidRPr="00E750DB">
        <w:t xml:space="preserve"> increase in the ICER, mostly attributed to an increase in incremental costs from givosiran.</w:t>
      </w:r>
    </w:p>
    <w:p w14:paraId="0F97877B" w14:textId="0A32301A" w:rsidR="00B449D1" w:rsidRPr="00915DBD" w:rsidRDefault="00B94D67" w:rsidP="00E072B9">
      <w:pPr>
        <w:pStyle w:val="3-BodyText"/>
        <w:rPr>
          <w:iCs/>
        </w:rPr>
      </w:pPr>
      <w:bookmarkStart w:id="56" w:name="_Ref198657131"/>
      <w:r w:rsidRPr="00915DBD">
        <w:rPr>
          <w:iCs/>
        </w:rPr>
        <w:t xml:space="preserve">Regarding the </w:t>
      </w:r>
      <w:r w:rsidR="00675049" w:rsidRPr="00915DBD">
        <w:rPr>
          <w:iCs/>
        </w:rPr>
        <w:t xml:space="preserve">likely </w:t>
      </w:r>
      <w:r w:rsidRPr="00915DBD">
        <w:rPr>
          <w:iCs/>
        </w:rPr>
        <w:t xml:space="preserve">proportion of patients </w:t>
      </w:r>
      <w:r w:rsidR="00BD03FD">
        <w:rPr>
          <w:iCs/>
        </w:rPr>
        <w:t>&gt;</w:t>
      </w:r>
      <w:r w:rsidR="00A550BD">
        <w:rPr>
          <w:iCs/>
        </w:rPr>
        <w:t xml:space="preserve"> </w:t>
      </w:r>
      <w:r w:rsidRPr="00915DBD">
        <w:rPr>
          <w:iCs/>
        </w:rPr>
        <w:t>75.6</w:t>
      </w:r>
      <w:r w:rsidR="00D8696B" w:rsidRPr="00915DBD">
        <w:rPr>
          <w:iCs/>
        </w:rPr>
        <w:t xml:space="preserve"> kg, t</w:t>
      </w:r>
      <w:r w:rsidR="00B449D1" w:rsidRPr="00915DBD">
        <w:rPr>
          <w:iCs/>
        </w:rPr>
        <w:t xml:space="preserve">he PSCR </w:t>
      </w:r>
      <w:r w:rsidR="00830B28" w:rsidRPr="00915DBD">
        <w:rPr>
          <w:iCs/>
        </w:rPr>
        <w:t>noted that, “The ENVISION trial provides the most robust, patient</w:t>
      </w:r>
      <w:r w:rsidR="00E072B9">
        <w:rPr>
          <w:iCs/>
        </w:rPr>
        <w:noBreakHyphen/>
      </w:r>
      <w:r w:rsidR="00830B28" w:rsidRPr="00915DBD">
        <w:rPr>
          <w:iCs/>
        </w:rPr>
        <w:t>level weight data specifically in individuals with AHP, the target population for this submission</w:t>
      </w:r>
      <w:r w:rsidR="00402EDB" w:rsidRPr="00915DBD">
        <w:rPr>
          <w:iCs/>
        </w:rPr>
        <w:t>”</w:t>
      </w:r>
      <w:r w:rsidR="00830B28" w:rsidRPr="00915DBD">
        <w:rPr>
          <w:iCs/>
        </w:rPr>
        <w:t xml:space="preserve">. </w:t>
      </w:r>
      <w:r w:rsidR="00402EDB" w:rsidRPr="00915DBD">
        <w:rPr>
          <w:iCs/>
        </w:rPr>
        <w:t xml:space="preserve">The PSCR also noted </w:t>
      </w:r>
      <w:r w:rsidR="00830B28" w:rsidRPr="00915DBD">
        <w:rPr>
          <w:iCs/>
        </w:rPr>
        <w:t>ENVISION was an international trial (including three Australian sites)</w:t>
      </w:r>
      <w:r w:rsidR="00447D53" w:rsidRPr="00915DBD">
        <w:rPr>
          <w:iCs/>
        </w:rPr>
        <w:t>.</w:t>
      </w:r>
      <w:r w:rsidR="00E66050" w:rsidRPr="00915DBD">
        <w:rPr>
          <w:iCs/>
        </w:rPr>
        <w:t xml:space="preserve"> </w:t>
      </w:r>
      <w:r w:rsidR="009F40BD" w:rsidRPr="00915DBD">
        <w:rPr>
          <w:iCs/>
        </w:rPr>
        <w:t xml:space="preserve">The </w:t>
      </w:r>
      <w:r w:rsidR="00370811" w:rsidRPr="00915DBD">
        <w:rPr>
          <w:iCs/>
        </w:rPr>
        <w:t>Sub</w:t>
      </w:r>
      <w:r w:rsidR="00E072B9">
        <w:rPr>
          <w:iCs/>
        </w:rPr>
        <w:noBreakHyphen/>
      </w:r>
      <w:r w:rsidR="00370811" w:rsidRPr="00915DBD">
        <w:rPr>
          <w:iCs/>
        </w:rPr>
        <w:t>Committees</w:t>
      </w:r>
      <w:r w:rsidR="009F40BD" w:rsidRPr="00915DBD">
        <w:rPr>
          <w:iCs/>
        </w:rPr>
        <w:t xml:space="preserve"> </w:t>
      </w:r>
      <w:r w:rsidR="00D8696B" w:rsidRPr="00915DBD">
        <w:rPr>
          <w:iCs/>
        </w:rPr>
        <w:t xml:space="preserve">noted there is uncertainty associated with this </w:t>
      </w:r>
      <w:r w:rsidR="00E072B9" w:rsidRPr="00915DBD">
        <w:rPr>
          <w:iCs/>
        </w:rPr>
        <w:t>estimate,</w:t>
      </w:r>
      <w:r w:rsidR="00D8696B" w:rsidRPr="00915DBD">
        <w:rPr>
          <w:iCs/>
        </w:rPr>
        <w:t xml:space="preserve"> </w:t>
      </w:r>
      <w:r w:rsidR="004E49E9" w:rsidRPr="00915DBD">
        <w:rPr>
          <w:iCs/>
        </w:rPr>
        <w:t xml:space="preserve">which </w:t>
      </w:r>
      <w:r w:rsidR="00D8696B" w:rsidRPr="00915DBD">
        <w:rPr>
          <w:iCs/>
        </w:rPr>
        <w:t>is difficult to resolve</w:t>
      </w:r>
      <w:r w:rsidR="004E49E9" w:rsidRPr="00915DBD">
        <w:rPr>
          <w:iCs/>
        </w:rPr>
        <w:t xml:space="preserve">, but </w:t>
      </w:r>
      <w:r w:rsidR="00FD6D4D" w:rsidRPr="00915DBD">
        <w:rPr>
          <w:iCs/>
        </w:rPr>
        <w:t>considered</w:t>
      </w:r>
      <w:r w:rsidR="004E49E9" w:rsidRPr="00915DBD">
        <w:rPr>
          <w:iCs/>
        </w:rPr>
        <w:t xml:space="preserve"> the </w:t>
      </w:r>
      <w:r w:rsidR="00A461E1" w:rsidRPr="00915DBD">
        <w:rPr>
          <w:iCs/>
        </w:rPr>
        <w:t xml:space="preserve">submission’s </w:t>
      </w:r>
      <w:r w:rsidR="00A829A3" w:rsidRPr="00915DBD">
        <w:rPr>
          <w:iCs/>
        </w:rPr>
        <w:t>use of trial data was a</w:t>
      </w:r>
      <w:r w:rsidR="00A461E1" w:rsidRPr="00915DBD">
        <w:rPr>
          <w:iCs/>
        </w:rPr>
        <w:t xml:space="preserve"> reasonable</w:t>
      </w:r>
      <w:r w:rsidR="00A829A3" w:rsidRPr="00915DBD">
        <w:rPr>
          <w:iCs/>
        </w:rPr>
        <w:t xml:space="preserve"> approach</w:t>
      </w:r>
      <w:r w:rsidR="00D8696B" w:rsidRPr="00915DBD">
        <w:rPr>
          <w:iCs/>
        </w:rPr>
        <w:t>.</w:t>
      </w:r>
    </w:p>
    <w:p w14:paraId="19397F5B" w14:textId="447144FC" w:rsidR="00901D4B" w:rsidRPr="00E750DB" w:rsidRDefault="00901D4B" w:rsidP="00E072B9">
      <w:pPr>
        <w:pStyle w:val="3-BodyText"/>
      </w:pPr>
      <w:r w:rsidRPr="00E750DB">
        <w:t>The cost of givosiran did not include any relevant mark</w:t>
      </w:r>
      <w:r w:rsidR="00E072B9">
        <w:noBreakHyphen/>
      </w:r>
      <w:r w:rsidRPr="00E750DB">
        <w:t>ups and therefore was underestimated.</w:t>
      </w:r>
      <w:r w:rsidR="00A458E9" w:rsidRPr="00E750DB">
        <w:t xml:space="preserve"> </w:t>
      </w:r>
      <w:r w:rsidR="002A24EF" w:rsidRPr="00E750DB">
        <w:t xml:space="preserve">A sensitivity analysis conducted during the evaluation found the ICER increased by </w:t>
      </w:r>
      <w:r w:rsidR="00B35ACC" w:rsidRPr="00A550BD">
        <w:rPr>
          <w:color w:val="000000"/>
          <w:spacing w:val="6"/>
          <w:w w:val="61"/>
          <w:shd w:val="solid" w:color="000000" w:fill="000000"/>
          <w:fitText w:val="475" w:id="-625249789"/>
          <w14:textFill>
            <w14:solidFill>
              <w14:srgbClr w14:val="000000">
                <w14:alpha w14:val="100000"/>
              </w14:srgbClr>
            </w14:solidFill>
          </w14:textFill>
        </w:rPr>
        <w:t>|||</w:t>
      </w:r>
      <w:r w:rsidR="00A550BD" w:rsidRPr="00A550BD">
        <w:rPr>
          <w:color w:val="000000"/>
          <w:spacing w:val="6"/>
          <w:w w:val="61"/>
          <w:shd w:val="solid" w:color="000000" w:fill="000000"/>
          <w:fitText w:val="475" w:id="-625249789"/>
          <w14:textFill>
            <w14:solidFill>
              <w14:srgbClr w14:val="000000">
                <w14:alpha w14:val="100000"/>
              </w14:srgbClr>
            </w14:solidFill>
          </w14:textFill>
        </w:rPr>
        <w:t xml:space="preserve"> </w:t>
      </w:r>
      <w:r w:rsidR="00B35ACC" w:rsidRPr="00A550BD">
        <w:rPr>
          <w:color w:val="000000"/>
          <w:spacing w:val="6"/>
          <w:w w:val="61"/>
          <w:shd w:val="solid" w:color="000000" w:fill="000000"/>
          <w:fitText w:val="475" w:id="-625249789"/>
          <w14:textFill>
            <w14:solidFill>
              <w14:srgbClr w14:val="000000">
                <w14:alpha w14:val="100000"/>
              </w14:srgbClr>
            </w14:solidFill>
          </w14:textFill>
        </w:rPr>
        <w:t>||</w:t>
      </w:r>
      <w:r w:rsidR="00B35ACC" w:rsidRPr="00A550BD">
        <w:rPr>
          <w:color w:val="000000"/>
          <w:spacing w:val="3"/>
          <w:w w:val="61"/>
          <w:shd w:val="solid" w:color="000000" w:fill="000000"/>
          <w:fitText w:val="475" w:id="-625249789"/>
          <w14:textFill>
            <w14:solidFill>
              <w14:srgbClr w14:val="000000">
                <w14:alpha w14:val="100000"/>
              </w14:srgbClr>
            </w14:solidFill>
          </w14:textFill>
        </w:rPr>
        <w:t>|</w:t>
      </w:r>
      <w:r w:rsidR="002A24EF" w:rsidRPr="00E750DB">
        <w:t>% when mark</w:t>
      </w:r>
      <w:r w:rsidR="00E072B9">
        <w:noBreakHyphen/>
      </w:r>
      <w:r w:rsidR="002A24EF" w:rsidRPr="00E750DB">
        <w:t>ups were applied to each dose of givosiran.</w:t>
      </w:r>
      <w:bookmarkEnd w:id="56"/>
      <w:r w:rsidR="002A24EF" w:rsidRPr="00E750DB">
        <w:t xml:space="preserve"> </w:t>
      </w:r>
    </w:p>
    <w:p w14:paraId="6A1A4186" w14:textId="3A8922A3" w:rsidR="00A77034" w:rsidRPr="00E750DB" w:rsidRDefault="003E0342" w:rsidP="00E072B9">
      <w:pPr>
        <w:pStyle w:val="3-BodyText"/>
      </w:pPr>
      <w:r w:rsidRPr="00E750DB">
        <w:t xml:space="preserve">The Markov trace for the economic model is presented in </w:t>
      </w:r>
      <w:r w:rsidRPr="00E750DB">
        <w:fldChar w:fldCharType="begin" w:fldLock="1"/>
      </w:r>
      <w:r w:rsidRPr="00E750DB">
        <w:instrText xml:space="preserve"> REF _Ref197968887 \h </w:instrText>
      </w:r>
      <w:r w:rsidR="0029679A" w:rsidRPr="00E750DB">
        <w:instrText xml:space="preserve"> \* MERGEFORMAT </w:instrText>
      </w:r>
      <w:r w:rsidRPr="00E750DB">
        <w:fldChar w:fldCharType="separate"/>
      </w:r>
      <w:r w:rsidR="00E750DB" w:rsidRPr="00E750DB">
        <w:t>Figure 4</w:t>
      </w:r>
      <w:r w:rsidRPr="00E750DB">
        <w:fldChar w:fldCharType="end"/>
      </w:r>
      <w:r w:rsidRPr="00E750DB">
        <w:t xml:space="preserve">. </w:t>
      </w:r>
      <w:r w:rsidR="00A77034" w:rsidRPr="00E750DB">
        <w:t xml:space="preserve">Two additional traces showing the proportion of </w:t>
      </w:r>
      <w:r w:rsidR="006248BC" w:rsidRPr="00E750DB">
        <w:t xml:space="preserve">patients in the </w:t>
      </w:r>
      <w:r w:rsidR="00A77034" w:rsidRPr="00E750DB">
        <w:t xml:space="preserve">asymptomatic post menopause </w:t>
      </w:r>
      <w:r w:rsidR="006248BC" w:rsidRPr="00E750DB">
        <w:t xml:space="preserve">state </w:t>
      </w:r>
      <w:r w:rsidR="00A77034" w:rsidRPr="00E750DB">
        <w:t>were constructed during the evaluation</w:t>
      </w:r>
      <w:r w:rsidR="00961A15" w:rsidRPr="00E750DB">
        <w:t>.</w:t>
      </w:r>
    </w:p>
    <w:p w14:paraId="0C509EEE" w14:textId="77777777" w:rsidR="00A77034" w:rsidRPr="00E750DB" w:rsidRDefault="00A77034" w:rsidP="00E072B9">
      <w:pPr>
        <w:pStyle w:val="3-BodyText"/>
        <w:numPr>
          <w:ilvl w:val="0"/>
          <w:numId w:val="0"/>
        </w:numPr>
      </w:pPr>
    </w:p>
    <w:p w14:paraId="0BEDBD7F" w14:textId="1558FD0F" w:rsidR="00A77034" w:rsidRPr="00E750DB" w:rsidRDefault="00BD473F" w:rsidP="00E072B9">
      <w:pPr>
        <w:pStyle w:val="Caption"/>
      </w:pPr>
      <w:bookmarkStart w:id="57" w:name="_Ref197968887"/>
      <w:r w:rsidRPr="00E750DB">
        <w:t xml:space="preserve">Figure </w:t>
      </w:r>
      <w:r w:rsidR="00E750DB">
        <w:fldChar w:fldCharType="begin" w:fldLock="1"/>
      </w:r>
      <w:r w:rsidR="00E750DB">
        <w:instrText xml:space="preserve"> SEQ Figure \* ARABIC </w:instrText>
      </w:r>
      <w:r w:rsidR="00E750DB">
        <w:fldChar w:fldCharType="separate"/>
      </w:r>
      <w:r w:rsidR="00E750DB" w:rsidRPr="00E750DB">
        <w:t>4</w:t>
      </w:r>
      <w:r w:rsidR="00E750DB">
        <w:fldChar w:fldCharType="end"/>
      </w:r>
      <w:bookmarkEnd w:id="57"/>
      <w:r w:rsidR="00A77034" w:rsidRPr="00E750DB">
        <w:t>:</w:t>
      </w:r>
      <w:r w:rsidRPr="00E750DB">
        <w:t xml:space="preserve"> Markov </w:t>
      </w:r>
      <w:r w:rsidR="00926D26" w:rsidRPr="00E750DB">
        <w:t>trace</w:t>
      </w:r>
      <w:r w:rsidR="00A77034" w:rsidRPr="00E750DB">
        <w:t xml:space="preserve"> for the </w:t>
      </w:r>
      <w:r w:rsidRPr="00E750DB">
        <w:t>base case of the economic model</w:t>
      </w:r>
    </w:p>
    <w:tbl>
      <w:tblPr>
        <w:tblStyle w:val="TableGrid"/>
        <w:tblW w:w="0" w:type="auto"/>
        <w:tblLook w:val="04A0" w:firstRow="1" w:lastRow="0" w:firstColumn="1" w:lastColumn="0" w:noHBand="0" w:noVBand="1"/>
      </w:tblPr>
      <w:tblGrid>
        <w:gridCol w:w="4532"/>
        <w:gridCol w:w="4485"/>
      </w:tblGrid>
      <w:tr w:rsidR="00614B3B" w:rsidRPr="00E750DB" w14:paraId="0C46B718" w14:textId="77777777" w:rsidTr="00580D86">
        <w:tc>
          <w:tcPr>
            <w:tcW w:w="4601" w:type="dxa"/>
            <w:tcBorders>
              <w:bottom w:val="nil"/>
              <w:right w:val="single" w:sz="4" w:space="0" w:color="auto"/>
            </w:tcBorders>
          </w:tcPr>
          <w:p w14:paraId="6A03BE6C" w14:textId="77777777" w:rsidR="00614B3B" w:rsidRPr="00E750DB" w:rsidRDefault="00614B3B" w:rsidP="00E072B9">
            <w:pPr>
              <w:pStyle w:val="Caption"/>
              <w:jc w:val="left"/>
              <w:rPr>
                <w:sz w:val="18"/>
              </w:rPr>
            </w:pPr>
            <w:bookmarkStart w:id="58" w:name="_Hlk197904166"/>
            <w:r w:rsidRPr="00E750DB">
              <w:rPr>
                <w:sz w:val="18"/>
              </w:rPr>
              <w:t>Proportion of the patient cohort across all health states over time (Markov trace) for the givosiran arm</w:t>
            </w:r>
          </w:p>
        </w:tc>
        <w:tc>
          <w:tcPr>
            <w:tcW w:w="4641" w:type="dxa"/>
            <w:tcBorders>
              <w:left w:val="single" w:sz="4" w:space="0" w:color="auto"/>
              <w:bottom w:val="nil"/>
            </w:tcBorders>
          </w:tcPr>
          <w:p w14:paraId="2CAD37E9" w14:textId="77777777" w:rsidR="00614B3B" w:rsidRPr="00E750DB" w:rsidRDefault="00614B3B" w:rsidP="00E072B9">
            <w:pPr>
              <w:pStyle w:val="Caption"/>
              <w:jc w:val="left"/>
              <w:rPr>
                <w:b w:val="0"/>
                <w:bCs w:val="0"/>
                <w:sz w:val="18"/>
              </w:rPr>
            </w:pPr>
            <w:r w:rsidRPr="00E750DB">
              <w:rPr>
                <w:sz w:val="18"/>
              </w:rPr>
              <w:t>Proportion of the patient cohort across all health states over time (Markov trace) for the BSC arm</w:t>
            </w:r>
          </w:p>
        </w:tc>
      </w:tr>
      <w:tr w:rsidR="00614B3B" w:rsidRPr="00E750DB" w14:paraId="0AF8C251" w14:textId="77777777" w:rsidTr="00580D86">
        <w:tc>
          <w:tcPr>
            <w:tcW w:w="4601" w:type="dxa"/>
            <w:tcBorders>
              <w:top w:val="nil"/>
              <w:left w:val="single" w:sz="4" w:space="0" w:color="auto"/>
              <w:bottom w:val="nil"/>
              <w:right w:val="single" w:sz="4" w:space="0" w:color="auto"/>
            </w:tcBorders>
          </w:tcPr>
          <w:p w14:paraId="0FEAD835" w14:textId="77777777" w:rsidR="00614B3B" w:rsidRPr="00E750DB" w:rsidRDefault="00614B3B" w:rsidP="00E072B9">
            <w:pPr>
              <w:keepNext/>
              <w:keepLines/>
              <w:jc w:val="center"/>
            </w:pPr>
            <w:r w:rsidRPr="00E750DB">
              <w:rPr>
                <w:noProof/>
              </w:rPr>
              <w:drawing>
                <wp:inline distT="0" distB="0" distL="0" distR="0" wp14:anchorId="7C5D64AB" wp14:editId="768E0782">
                  <wp:extent cx="2422104" cy="1132840"/>
                  <wp:effectExtent l="0" t="0" r="0" b="0"/>
                  <wp:docPr id="540851023" name="Picture 540851023"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51023" name="Picture 540851023" descr="Figure 4: Markov trace for the base case of the economic model"/>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452803" cy="1147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1" w:type="dxa"/>
            <w:tcBorders>
              <w:top w:val="nil"/>
              <w:left w:val="single" w:sz="4" w:space="0" w:color="auto"/>
              <w:bottom w:val="nil"/>
              <w:right w:val="single" w:sz="4" w:space="0" w:color="auto"/>
            </w:tcBorders>
          </w:tcPr>
          <w:p w14:paraId="3F751D7B" w14:textId="77777777" w:rsidR="00614B3B" w:rsidRPr="00E750DB" w:rsidRDefault="00614B3B" w:rsidP="00E072B9">
            <w:pPr>
              <w:keepNext/>
              <w:keepLines/>
              <w:jc w:val="center"/>
            </w:pPr>
            <w:r w:rsidRPr="00E750DB">
              <w:rPr>
                <w:noProof/>
              </w:rPr>
              <w:drawing>
                <wp:inline distT="0" distB="0" distL="0" distR="0" wp14:anchorId="670BF147" wp14:editId="739E5D93">
                  <wp:extent cx="2353759" cy="1082040"/>
                  <wp:effectExtent l="0" t="0" r="0" b="0"/>
                  <wp:docPr id="345709312" name="Picture 345709312"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09312" name="Picture 345709312" descr="Figure 4: Markov trace for the base case of the economic model"/>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92" t="2602" r="1739" b="4075"/>
                          <a:stretch/>
                        </pic:blipFill>
                        <pic:spPr bwMode="auto">
                          <a:xfrm>
                            <a:off x="0" y="0"/>
                            <a:ext cx="2392985" cy="11000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4B3B" w:rsidRPr="00E750DB" w14:paraId="4CA86A0E" w14:textId="77777777" w:rsidTr="00580D86">
        <w:tc>
          <w:tcPr>
            <w:tcW w:w="4601" w:type="dxa"/>
            <w:tcBorders>
              <w:top w:val="nil"/>
              <w:left w:val="single" w:sz="4" w:space="0" w:color="auto"/>
              <w:bottom w:val="single" w:sz="4" w:space="0" w:color="auto"/>
              <w:right w:val="single" w:sz="4" w:space="0" w:color="auto"/>
            </w:tcBorders>
          </w:tcPr>
          <w:p w14:paraId="04434D9C"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3.7 of the submission</w:t>
            </w:r>
          </w:p>
        </w:tc>
        <w:tc>
          <w:tcPr>
            <w:tcW w:w="4641" w:type="dxa"/>
            <w:tcBorders>
              <w:top w:val="nil"/>
              <w:left w:val="single" w:sz="4" w:space="0" w:color="auto"/>
              <w:bottom w:val="single" w:sz="4" w:space="0" w:color="auto"/>
              <w:right w:val="single" w:sz="4" w:space="0" w:color="auto"/>
            </w:tcBorders>
          </w:tcPr>
          <w:p w14:paraId="25050548"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3.8 of the submission</w:t>
            </w:r>
          </w:p>
        </w:tc>
      </w:tr>
      <w:tr w:rsidR="00614B3B" w:rsidRPr="00E750DB" w14:paraId="7185FF0D" w14:textId="77777777" w:rsidTr="00580D86">
        <w:tc>
          <w:tcPr>
            <w:tcW w:w="4601" w:type="dxa"/>
            <w:tcBorders>
              <w:top w:val="single" w:sz="4" w:space="0" w:color="auto"/>
              <w:left w:val="single" w:sz="4" w:space="0" w:color="auto"/>
              <w:bottom w:val="nil"/>
              <w:right w:val="single" w:sz="4" w:space="0" w:color="auto"/>
            </w:tcBorders>
          </w:tcPr>
          <w:p w14:paraId="73F97F30" w14:textId="77777777" w:rsidR="00614B3B" w:rsidRPr="00E750DB" w:rsidRDefault="00614B3B" w:rsidP="00E072B9">
            <w:pPr>
              <w:pStyle w:val="Caption"/>
              <w:jc w:val="left"/>
              <w:rPr>
                <w:sz w:val="18"/>
              </w:rPr>
            </w:pPr>
            <w:r w:rsidRPr="00E750DB">
              <w:rPr>
                <w:sz w:val="18"/>
              </w:rPr>
              <w:t>Proportion of the patient cohort across all health states over time (Markov trace) for the givosiran arm showing asymptomatic post menopause</w:t>
            </w:r>
          </w:p>
        </w:tc>
        <w:tc>
          <w:tcPr>
            <w:tcW w:w="4641" w:type="dxa"/>
            <w:tcBorders>
              <w:top w:val="single" w:sz="4" w:space="0" w:color="auto"/>
              <w:left w:val="single" w:sz="4" w:space="0" w:color="auto"/>
              <w:bottom w:val="nil"/>
              <w:right w:val="single" w:sz="4" w:space="0" w:color="auto"/>
            </w:tcBorders>
          </w:tcPr>
          <w:p w14:paraId="4591480D" w14:textId="77777777" w:rsidR="00614B3B" w:rsidRPr="00E750DB" w:rsidRDefault="00614B3B" w:rsidP="00E072B9">
            <w:pPr>
              <w:pStyle w:val="Caption"/>
              <w:jc w:val="left"/>
              <w:rPr>
                <w:sz w:val="18"/>
              </w:rPr>
            </w:pPr>
            <w:r w:rsidRPr="00E750DB">
              <w:rPr>
                <w:sz w:val="18"/>
              </w:rPr>
              <w:t>Proportion of the patient cohort across all health states over time (Markov trace) for the BSC arm showing asymptomatic post menopause</w:t>
            </w:r>
          </w:p>
        </w:tc>
      </w:tr>
      <w:tr w:rsidR="00614B3B" w:rsidRPr="00E750DB" w14:paraId="554D1E8A" w14:textId="77777777" w:rsidTr="00580D86">
        <w:tc>
          <w:tcPr>
            <w:tcW w:w="4601" w:type="dxa"/>
            <w:tcBorders>
              <w:top w:val="nil"/>
              <w:left w:val="single" w:sz="4" w:space="0" w:color="auto"/>
              <w:bottom w:val="nil"/>
              <w:right w:val="single" w:sz="4" w:space="0" w:color="auto"/>
            </w:tcBorders>
          </w:tcPr>
          <w:p w14:paraId="3C9677E1" w14:textId="77777777" w:rsidR="00614B3B" w:rsidRPr="00E750DB" w:rsidRDefault="00614B3B" w:rsidP="00E072B9">
            <w:pPr>
              <w:keepNext/>
              <w:keepLines/>
              <w:jc w:val="right"/>
            </w:pPr>
            <w:r w:rsidRPr="00E750DB">
              <w:rPr>
                <w:noProof/>
              </w:rPr>
              <w:drawing>
                <wp:inline distT="0" distB="0" distL="0" distR="0" wp14:anchorId="7B1DB144" wp14:editId="2E362B4A">
                  <wp:extent cx="2673359" cy="1259205"/>
                  <wp:effectExtent l="0" t="0" r="0" b="0"/>
                  <wp:docPr id="371242013" name="Picture 371242013"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42013" name="Picture 371242013" descr="Figure 4: Markov trace for the base case of the economic model"/>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709267" cy="12761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1" w:type="dxa"/>
            <w:tcBorders>
              <w:top w:val="nil"/>
              <w:left w:val="single" w:sz="4" w:space="0" w:color="auto"/>
              <w:bottom w:val="nil"/>
              <w:right w:val="single" w:sz="4" w:space="0" w:color="auto"/>
            </w:tcBorders>
          </w:tcPr>
          <w:p w14:paraId="7381CAC7" w14:textId="77777777" w:rsidR="00614B3B" w:rsidRPr="00E750DB" w:rsidRDefault="00614B3B" w:rsidP="00E072B9">
            <w:pPr>
              <w:keepNext/>
              <w:keepLines/>
              <w:jc w:val="right"/>
            </w:pPr>
            <w:r w:rsidRPr="00E750DB">
              <w:rPr>
                <w:noProof/>
              </w:rPr>
              <w:drawing>
                <wp:inline distT="0" distB="0" distL="0" distR="0" wp14:anchorId="071DF173" wp14:editId="451CD074">
                  <wp:extent cx="2560320" cy="1200761"/>
                  <wp:effectExtent l="0" t="0" r="0" b="0"/>
                  <wp:docPr id="435753085" name="Picture 435753085"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53085" name="Picture 435753085" descr="Figure 4: Markov trace for the base case of the economic model"/>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2566434" cy="12036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4B3B" w:rsidRPr="00E750DB" w14:paraId="20948274" w14:textId="77777777" w:rsidTr="00580D86">
        <w:tc>
          <w:tcPr>
            <w:tcW w:w="4601" w:type="dxa"/>
            <w:tcBorders>
              <w:top w:val="nil"/>
              <w:left w:val="single" w:sz="4" w:space="0" w:color="auto"/>
              <w:bottom w:val="single" w:sz="4" w:space="0" w:color="auto"/>
              <w:right w:val="single" w:sz="4" w:space="0" w:color="auto"/>
            </w:tcBorders>
          </w:tcPr>
          <w:p w14:paraId="0A9983DB"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generated during evaluation</w:t>
            </w:r>
          </w:p>
        </w:tc>
        <w:tc>
          <w:tcPr>
            <w:tcW w:w="4641" w:type="dxa"/>
            <w:tcBorders>
              <w:top w:val="nil"/>
              <w:left w:val="single" w:sz="4" w:space="0" w:color="auto"/>
              <w:bottom w:val="single" w:sz="4" w:space="0" w:color="auto"/>
              <w:right w:val="single" w:sz="4" w:space="0" w:color="auto"/>
            </w:tcBorders>
          </w:tcPr>
          <w:p w14:paraId="3E64155E"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generated during evaluation</w:t>
            </w:r>
          </w:p>
        </w:tc>
      </w:tr>
      <w:bookmarkEnd w:id="58"/>
    </w:tbl>
    <w:p w14:paraId="35391995" w14:textId="40B7E61D" w:rsidR="005F6FFD" w:rsidRPr="00E750DB" w:rsidRDefault="005F6FFD" w:rsidP="00E072B9"/>
    <w:p w14:paraId="7CBA81B0" w14:textId="47AA4D42" w:rsidR="00A77034" w:rsidRPr="00E750DB" w:rsidRDefault="00A77034" w:rsidP="00E072B9">
      <w:pPr>
        <w:pStyle w:val="3-BodyText"/>
      </w:pPr>
      <w:r w:rsidRPr="00E750DB">
        <w:t xml:space="preserve">The model, despite having </w:t>
      </w:r>
      <w:proofErr w:type="gramStart"/>
      <w:r w:rsidRPr="00E750DB">
        <w:t>a large number of</w:t>
      </w:r>
      <w:proofErr w:type="gramEnd"/>
      <w:r w:rsidRPr="00E750DB">
        <w:t xml:space="preserve"> cycles, has very few instances of transition between health states</w:t>
      </w:r>
      <w:r w:rsidR="00A942AB" w:rsidRPr="00E750DB">
        <w:t xml:space="preserve">. </w:t>
      </w:r>
      <w:r w:rsidR="009C7EBD" w:rsidRPr="00E750DB">
        <w:t>T</w:t>
      </w:r>
      <w:r w:rsidRPr="00E750DB">
        <w:t xml:space="preserve">here was </w:t>
      </w:r>
      <w:r w:rsidR="009C7EBD" w:rsidRPr="00E750DB">
        <w:t>effectively</w:t>
      </w:r>
      <w:r w:rsidR="00A942AB" w:rsidRPr="00E750DB">
        <w:t xml:space="preserve"> </w:t>
      </w:r>
      <w:r w:rsidRPr="00E750DB">
        <w:t xml:space="preserve">only one transition in BSC at cycle 1, and only 10 cycles with transitions in the givosiran arm, and after cycle 3, </w:t>
      </w:r>
      <w:proofErr w:type="gramStart"/>
      <w:r w:rsidRPr="00E750DB">
        <w:t>the majority of</w:t>
      </w:r>
      <w:proofErr w:type="gramEnd"/>
      <w:r w:rsidRPr="00E750DB">
        <w:t xml:space="preserve"> patients in the givosiran arm were assumed to be in the AAR=0 health state and remain</w:t>
      </w:r>
      <w:r w:rsidR="0032320F" w:rsidRPr="00E750DB">
        <w:t>ed</w:t>
      </w:r>
      <w:r w:rsidRPr="00E750DB">
        <w:t xml:space="preserve"> there until death, regardless of whether they remained on treatment or not. This can be observed clearly in the Markov traces where the relative proportions of health states do not change in the BSC arm after cycle 1 (except for deaths</w:t>
      </w:r>
      <w:r w:rsidR="00814293" w:rsidRPr="00E750DB">
        <w:t xml:space="preserve"> and transition from asymptomatic to asymptomatic post menopause at age 51</w:t>
      </w:r>
      <w:r w:rsidRPr="00E750DB">
        <w:t xml:space="preserve">) and in the givosiran arm, </w:t>
      </w:r>
      <w:proofErr w:type="gramStart"/>
      <w:r w:rsidRPr="00E750DB">
        <w:t>the majority of</w:t>
      </w:r>
      <w:proofErr w:type="gramEnd"/>
      <w:r w:rsidRPr="00E750DB">
        <w:t xml:space="preserve"> patients are in the AAR=0 arm</w:t>
      </w:r>
      <w:r w:rsidR="00A1103F" w:rsidRPr="00E750DB">
        <w:t xml:space="preserve"> until </w:t>
      </w:r>
      <w:r w:rsidR="006D68D4" w:rsidRPr="00E750DB">
        <w:t>moving to</w:t>
      </w:r>
      <w:r w:rsidR="000934D7" w:rsidRPr="00E750DB">
        <w:t xml:space="preserve"> the</w:t>
      </w:r>
      <w:r w:rsidR="006D68D4" w:rsidRPr="00E750DB">
        <w:t xml:space="preserve"> post menopause</w:t>
      </w:r>
      <w:r w:rsidR="000934D7" w:rsidRPr="00E750DB">
        <w:t xml:space="preserve"> state</w:t>
      </w:r>
      <w:r w:rsidRPr="00E750DB">
        <w:t xml:space="preserve">. As such, even small changes to inputs can have their impacts magnified due to the lack of interaction in the model, and the model </w:t>
      </w:r>
      <w:r w:rsidR="0032320F" w:rsidRPr="00E750DB">
        <w:t>being</w:t>
      </w:r>
      <w:r w:rsidRPr="00E750DB">
        <w:t xml:space="preserve"> sensitive to </w:t>
      </w:r>
      <w:proofErr w:type="gramStart"/>
      <w:r w:rsidRPr="00E750DB">
        <w:t>a number of</w:t>
      </w:r>
      <w:proofErr w:type="gramEnd"/>
      <w:r w:rsidRPr="00E750DB">
        <w:t xml:space="preserve"> parameters</w:t>
      </w:r>
      <w:r w:rsidR="000934D7" w:rsidRPr="00E750DB">
        <w:t>.</w:t>
      </w:r>
      <w:r w:rsidRPr="00E750DB">
        <w:t xml:space="preserve"> </w:t>
      </w:r>
    </w:p>
    <w:p w14:paraId="1A0E2A69" w14:textId="1978E2EC" w:rsidR="00A77034" w:rsidRPr="00E750DB" w:rsidRDefault="00A77034" w:rsidP="00E072B9">
      <w:pPr>
        <w:pStyle w:val="3-BodyText"/>
      </w:pPr>
      <w:r w:rsidRPr="00E750DB">
        <w:t xml:space="preserve">No external validation was provided by the submission. The base case model estimates that, even post menopause, only 10% of patients (from </w:t>
      </w:r>
      <w:r w:rsidR="009406BF" w:rsidRPr="00E750DB">
        <w:t>an</w:t>
      </w:r>
      <w:r w:rsidRPr="00E750DB">
        <w:t xml:space="preserve"> 89.4% female cohort) would be asymptomatic</w:t>
      </w:r>
      <w:r w:rsidR="00F07F89" w:rsidRPr="00E750DB">
        <w:t>,</w:t>
      </w:r>
      <w:r w:rsidRPr="00E750DB">
        <w:t xml:space="preserve"> which was not consistent with the natural history of AHP. Moreover, it was unclear whether it was reasonable to have estimated that 28</w:t>
      </w:r>
      <w:r w:rsidR="00E072B9">
        <w:noBreakHyphen/>
      </w:r>
      <w:r w:rsidRPr="00E750DB">
        <w:t>29% of patients will have severe AHP, given that at baseline (prior to ENVISION, in which all patients would be treated with BSC since their diagnosis) only 10% of patients had an AAR</w:t>
      </w:r>
      <w:r w:rsidR="0032320F" w:rsidRPr="00E750DB">
        <w:t xml:space="preserve"> </w:t>
      </w:r>
      <w:r w:rsidR="00BD03FD">
        <w:t>&gt;</w:t>
      </w:r>
      <w:r w:rsidR="00A550BD">
        <w:t xml:space="preserve"> </w:t>
      </w:r>
      <w:r w:rsidRPr="00E750DB">
        <w:t xml:space="preserve">24. </w:t>
      </w:r>
    </w:p>
    <w:p w14:paraId="6F419957" w14:textId="2B1FF094" w:rsidR="00A77034" w:rsidRPr="00E750DB" w:rsidRDefault="00A77034" w:rsidP="00E072B9">
      <w:pPr>
        <w:pStyle w:val="3-BodyText"/>
        <w:spacing w:before="0" w:after="120"/>
      </w:pPr>
      <w:r w:rsidRPr="00E750DB">
        <w:t>The key drivers</w:t>
      </w:r>
      <w:r w:rsidR="00BF62EF" w:rsidRPr="00E750DB">
        <w:t xml:space="preserve"> of the model</w:t>
      </w:r>
      <w:r w:rsidRPr="00E750DB">
        <w:t xml:space="preserve"> are presented in </w:t>
      </w:r>
      <w:r w:rsidR="00BF62EF" w:rsidRPr="00E750DB">
        <w:fldChar w:fldCharType="begin" w:fldLock="1"/>
      </w:r>
      <w:r w:rsidR="00BF62EF" w:rsidRPr="00E750DB">
        <w:instrText xml:space="preserve"> REF _Ref197973971 \h </w:instrText>
      </w:r>
      <w:r w:rsidR="0029679A" w:rsidRPr="00E750DB">
        <w:instrText xml:space="preserve"> \* MERGEFORMAT </w:instrText>
      </w:r>
      <w:r w:rsidR="00BF62EF" w:rsidRPr="00E750DB">
        <w:fldChar w:fldCharType="separate"/>
      </w:r>
      <w:r w:rsidR="00E750DB" w:rsidRPr="00E750DB">
        <w:t>Table 11</w:t>
      </w:r>
      <w:r w:rsidR="00BF62EF" w:rsidRPr="00E750DB">
        <w:fldChar w:fldCharType="end"/>
      </w:r>
      <w:r w:rsidR="00BF62EF" w:rsidRPr="00E750DB">
        <w:t>.</w:t>
      </w:r>
    </w:p>
    <w:p w14:paraId="42A4A481" w14:textId="4C0FB470" w:rsidR="00A77034" w:rsidRPr="00E750DB" w:rsidRDefault="00A77034" w:rsidP="00E072B9">
      <w:pPr>
        <w:pStyle w:val="Caption"/>
        <w:keepNext w:val="0"/>
        <w:keepLines w:val="0"/>
        <w:jc w:val="left"/>
        <w:rPr>
          <w:rStyle w:val="CommentReference"/>
          <w:b/>
          <w:szCs w:val="24"/>
        </w:rPr>
      </w:pPr>
      <w:bookmarkStart w:id="59" w:name="_Ref197973971"/>
      <w:r w:rsidRPr="00E750DB">
        <w:t xml:space="preserve">Table </w:t>
      </w:r>
      <w:r w:rsidR="00E750DB">
        <w:fldChar w:fldCharType="begin" w:fldLock="1"/>
      </w:r>
      <w:r w:rsidR="00E750DB">
        <w:instrText xml:space="preserve"> SEQ Table \* ARABIC </w:instrText>
      </w:r>
      <w:r w:rsidR="00E750DB">
        <w:fldChar w:fldCharType="separate"/>
      </w:r>
      <w:r w:rsidR="00E750DB" w:rsidRPr="00E750DB">
        <w:t>11</w:t>
      </w:r>
      <w:r w:rsidR="00E750DB">
        <w:fldChar w:fldCharType="end"/>
      </w:r>
      <w:bookmarkEnd w:id="59"/>
      <w:r w:rsidRPr="00E750DB">
        <w:t>:</w:t>
      </w:r>
      <w:r w:rsidRPr="00E750DB">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72"/>
        <w:gridCol w:w="4124"/>
        <w:gridCol w:w="3621"/>
      </w:tblGrid>
      <w:tr w:rsidR="00A77034" w:rsidRPr="00E750DB" w14:paraId="791492C4" w14:textId="77777777" w:rsidTr="00DE45C9">
        <w:trPr>
          <w:cantSplit/>
          <w:tblHeader/>
        </w:trPr>
        <w:tc>
          <w:tcPr>
            <w:tcW w:w="705" w:type="pct"/>
            <w:vAlign w:val="center"/>
          </w:tcPr>
          <w:p w14:paraId="4147B31E" w14:textId="77777777" w:rsidR="00A77034" w:rsidRPr="00E750DB" w:rsidRDefault="00A77034" w:rsidP="00E072B9">
            <w:pPr>
              <w:pStyle w:val="TableFigureHeading"/>
            </w:pPr>
            <w:r w:rsidRPr="00E750DB">
              <w:t>Description</w:t>
            </w:r>
          </w:p>
        </w:tc>
        <w:tc>
          <w:tcPr>
            <w:tcW w:w="2287" w:type="pct"/>
            <w:vAlign w:val="center"/>
          </w:tcPr>
          <w:p w14:paraId="76AF5FF6" w14:textId="77777777" w:rsidR="00A77034" w:rsidRPr="00E750DB" w:rsidRDefault="00A77034" w:rsidP="00E072B9">
            <w:pPr>
              <w:pStyle w:val="TableFigureHeading"/>
            </w:pPr>
            <w:r w:rsidRPr="00E750DB">
              <w:t>Method/Value</w:t>
            </w:r>
          </w:p>
        </w:tc>
        <w:tc>
          <w:tcPr>
            <w:tcW w:w="2008" w:type="pct"/>
            <w:vAlign w:val="center"/>
          </w:tcPr>
          <w:p w14:paraId="410146F2" w14:textId="77777777" w:rsidR="00A77034" w:rsidRPr="00E750DB" w:rsidRDefault="00A77034" w:rsidP="00E072B9">
            <w:pPr>
              <w:pStyle w:val="TableFigureHeading"/>
            </w:pPr>
            <w:r w:rsidRPr="00E750DB">
              <w:t>Impact</w:t>
            </w:r>
          </w:p>
          <w:p w14:paraId="690B7F03" w14:textId="116386E3" w:rsidR="00A77034" w:rsidRPr="00E750DB" w:rsidRDefault="00A77034" w:rsidP="00E072B9">
            <w:pPr>
              <w:pStyle w:val="TableFigureHeading"/>
            </w:pPr>
            <w:r w:rsidRPr="00E750DB">
              <w:t xml:space="preserve">[Base </w:t>
            </w:r>
            <w:r w:rsidRPr="002F2FF4">
              <w:t>case: $</w:t>
            </w:r>
            <w:r w:rsidR="00B35ACC" w:rsidRPr="009742C5">
              <w:rPr>
                <w:color w:val="000000"/>
                <w:spacing w:val="53"/>
                <w:shd w:val="solid" w:color="000000" w:fill="000000"/>
                <w:fitText w:val="345" w:id="-625249788"/>
                <w14:textFill>
                  <w14:solidFill>
                    <w14:srgbClr w14:val="000000">
                      <w14:alpha w14:val="100000"/>
                    </w14:srgbClr>
                  </w14:solidFill>
                </w14:textFill>
              </w:rPr>
              <w:t>|||</w:t>
            </w:r>
            <w:r w:rsidR="00B35ACC" w:rsidRPr="009742C5">
              <w:rPr>
                <w:color w:val="000000"/>
                <w:spacing w:val="3"/>
                <w:shd w:val="solid" w:color="000000" w:fill="000000"/>
                <w:fitText w:val="345" w:id="-625249788"/>
                <w14:textFill>
                  <w14:solidFill>
                    <w14:srgbClr w14:val="000000">
                      <w14:alpha w14:val="100000"/>
                    </w14:srgbClr>
                  </w14:solidFill>
                </w14:textFill>
              </w:rPr>
              <w:t>|</w:t>
            </w:r>
            <w:r w:rsidR="001D674A" w:rsidRPr="005E66E9">
              <w:rPr>
                <w:vertAlign w:val="superscript"/>
              </w:rPr>
              <w:t>1</w:t>
            </w:r>
            <w:r w:rsidRPr="002F2FF4">
              <w:t>/QALY gained</w:t>
            </w:r>
            <w:r w:rsidRPr="00E750DB">
              <w:t>.]</w:t>
            </w:r>
          </w:p>
        </w:tc>
      </w:tr>
      <w:tr w:rsidR="00250A87" w:rsidRPr="00E750DB" w14:paraId="4D4110B8" w14:textId="77777777" w:rsidTr="00DE45C9">
        <w:trPr>
          <w:cantSplit/>
        </w:trPr>
        <w:tc>
          <w:tcPr>
            <w:tcW w:w="705" w:type="pct"/>
            <w:vAlign w:val="center"/>
          </w:tcPr>
          <w:p w14:paraId="3CC3552F" w14:textId="3C9C8DF3" w:rsidR="00250A87" w:rsidRPr="00E750DB" w:rsidRDefault="00250A87" w:rsidP="00E072B9">
            <w:pPr>
              <w:pStyle w:val="Tabletext"/>
            </w:pPr>
            <w:r w:rsidRPr="00E750DB">
              <w:t>Utility decrements from chronic symptoms</w:t>
            </w:r>
          </w:p>
        </w:tc>
        <w:tc>
          <w:tcPr>
            <w:tcW w:w="2287" w:type="pct"/>
            <w:vAlign w:val="center"/>
          </w:tcPr>
          <w:p w14:paraId="2CA7BCEC" w14:textId="63F75511" w:rsidR="00250A87" w:rsidRPr="00E750DB" w:rsidRDefault="00250A87" w:rsidP="00E072B9">
            <w:pPr>
              <w:pStyle w:val="Tabletext"/>
              <w:rPr>
                <w:rFonts w:cstheme="minorHAnsi"/>
              </w:rPr>
            </w:pPr>
            <w:r w:rsidRPr="00E750DB">
              <w:t xml:space="preserve">The utility decrements related to chronic symptoms </w:t>
            </w:r>
            <w:r w:rsidR="00F523E0" w:rsidRPr="00E750DB">
              <w:t>were based on non</w:t>
            </w:r>
            <w:r w:rsidR="00E072B9">
              <w:noBreakHyphen/>
            </w:r>
            <w:r w:rsidR="00F523E0" w:rsidRPr="00E750DB">
              <w:t>AHP patients</w:t>
            </w:r>
            <w:r w:rsidRPr="00E750DB">
              <w:t xml:space="preserve">. </w:t>
            </w:r>
          </w:p>
        </w:tc>
        <w:tc>
          <w:tcPr>
            <w:tcW w:w="2008" w:type="pct"/>
            <w:vAlign w:val="center"/>
          </w:tcPr>
          <w:p w14:paraId="33209CCB" w14:textId="77777777" w:rsidR="00250A87" w:rsidRPr="00E750DB" w:rsidRDefault="00250A87" w:rsidP="00E072B9">
            <w:pPr>
              <w:pStyle w:val="Tabletext"/>
            </w:pPr>
            <w:r w:rsidRPr="00E750DB">
              <w:t>High, favours givosiran</w:t>
            </w:r>
          </w:p>
          <w:p w14:paraId="3A078333" w14:textId="79C5C8C4" w:rsidR="00250A87" w:rsidRPr="00E750DB" w:rsidRDefault="00250A87" w:rsidP="00E072B9">
            <w:pPr>
              <w:pStyle w:val="Tabletext"/>
            </w:pPr>
            <w:r w:rsidRPr="00E750DB">
              <w:t xml:space="preserve">Applying the CADTH or NICE preferred utility estimates increased the ICER by </w:t>
            </w:r>
            <w:r w:rsidR="00B35ACC" w:rsidRPr="009742C5">
              <w:rPr>
                <w:color w:val="000000"/>
                <w:spacing w:val="48"/>
                <w:shd w:val="solid" w:color="000000" w:fill="000000"/>
                <w:fitText w:val="315" w:id="-625249787"/>
                <w14:textFill>
                  <w14:solidFill>
                    <w14:srgbClr w14:val="000000">
                      <w14:alpha w14:val="100000"/>
                    </w14:srgbClr>
                  </w14:solidFill>
                </w14:textFill>
              </w:rPr>
              <w:t>|||</w:t>
            </w:r>
            <w:r w:rsidR="00B35ACC" w:rsidRPr="009742C5">
              <w:rPr>
                <w:color w:val="000000"/>
                <w:spacing w:val="1"/>
                <w:shd w:val="solid" w:color="000000" w:fill="000000"/>
                <w:fitText w:val="315" w:id="-625249787"/>
                <w14:textFill>
                  <w14:solidFill>
                    <w14:srgbClr w14:val="000000">
                      <w14:alpha w14:val="100000"/>
                    </w14:srgbClr>
                  </w14:solidFill>
                </w14:textFill>
              </w:rPr>
              <w:t>|</w:t>
            </w:r>
            <w:r w:rsidRPr="00E750DB">
              <w:t>%</w:t>
            </w:r>
            <w:r w:rsidR="00F87DF2" w:rsidRPr="00E750DB">
              <w:t xml:space="preserve"> and </w:t>
            </w:r>
            <w:r w:rsidR="00B35ACC" w:rsidRPr="009742C5">
              <w:rPr>
                <w:color w:val="000000"/>
                <w:spacing w:val="53"/>
                <w:shd w:val="solid" w:color="000000" w:fill="000000"/>
                <w:fitText w:val="330" w:id="-625249786"/>
                <w14:textFill>
                  <w14:solidFill>
                    <w14:srgbClr w14:val="000000">
                      <w14:alpha w14:val="100000"/>
                    </w14:srgbClr>
                  </w14:solidFill>
                </w14:textFill>
              </w:rPr>
              <w:t>|||</w:t>
            </w:r>
            <w:r w:rsidR="00B35ACC" w:rsidRPr="009742C5">
              <w:rPr>
                <w:color w:val="000000"/>
                <w:spacing w:val="1"/>
                <w:shd w:val="solid" w:color="000000" w:fill="000000"/>
                <w:fitText w:val="330" w:id="-625249786"/>
                <w14:textFill>
                  <w14:solidFill>
                    <w14:srgbClr w14:val="000000">
                      <w14:alpha w14:val="100000"/>
                    </w14:srgbClr>
                  </w14:solidFill>
                </w14:textFill>
              </w:rPr>
              <w:t>|</w:t>
            </w:r>
            <w:r w:rsidR="00F87DF2" w:rsidRPr="00E750DB">
              <w:t>%</w:t>
            </w:r>
            <w:r w:rsidRPr="00E750DB">
              <w:t xml:space="preserve">, respectively. </w:t>
            </w:r>
          </w:p>
        </w:tc>
      </w:tr>
      <w:tr w:rsidR="00250A87" w:rsidRPr="00E750DB" w14:paraId="703A0EA0" w14:textId="77777777" w:rsidTr="00DE45C9">
        <w:trPr>
          <w:cantSplit/>
        </w:trPr>
        <w:tc>
          <w:tcPr>
            <w:tcW w:w="705" w:type="pct"/>
            <w:vAlign w:val="center"/>
          </w:tcPr>
          <w:p w14:paraId="254F7300" w14:textId="7A54E851" w:rsidR="00250A87" w:rsidRPr="00E750DB" w:rsidRDefault="00250A87" w:rsidP="00E072B9">
            <w:pPr>
              <w:pStyle w:val="Tabletext"/>
            </w:pPr>
            <w:r w:rsidRPr="00E750DB">
              <w:t xml:space="preserve">Assumption around givosiran discontinuation </w:t>
            </w:r>
          </w:p>
        </w:tc>
        <w:tc>
          <w:tcPr>
            <w:tcW w:w="2287" w:type="pct"/>
            <w:vAlign w:val="center"/>
          </w:tcPr>
          <w:p w14:paraId="134F3FFD" w14:textId="402897A9" w:rsidR="00DE45C9" w:rsidRPr="00E750DB" w:rsidRDefault="00250A87" w:rsidP="00E072B9">
            <w:pPr>
              <w:pStyle w:val="Tabletext"/>
            </w:pPr>
            <w:r w:rsidRPr="00E750DB">
              <w:t>The model assumed discontinuation of givosiran based on extrapolated time on treatment extrapolated from ENVISION, based on only six months of randomised comparative data and up to 36 months of open</w:t>
            </w:r>
            <w:r w:rsidR="00E072B9">
              <w:noBreakHyphen/>
            </w:r>
            <w:r w:rsidRPr="00E750DB">
              <w:t xml:space="preserve">label data from the OLE. </w:t>
            </w:r>
          </w:p>
          <w:p w14:paraId="73FB7BF9" w14:textId="0513183D" w:rsidR="00F87DF2" w:rsidRPr="00E750DB" w:rsidRDefault="00F87DF2" w:rsidP="00E072B9">
            <w:pPr>
              <w:pStyle w:val="Tabletext"/>
            </w:pPr>
          </w:p>
        </w:tc>
        <w:tc>
          <w:tcPr>
            <w:tcW w:w="2008" w:type="pct"/>
            <w:vAlign w:val="center"/>
          </w:tcPr>
          <w:p w14:paraId="50AB65AE" w14:textId="77777777" w:rsidR="00250A87" w:rsidRPr="00E750DB" w:rsidRDefault="00250A87" w:rsidP="00E072B9">
            <w:pPr>
              <w:pStyle w:val="Tabletext"/>
            </w:pPr>
            <w:r w:rsidRPr="00E750DB">
              <w:t>High, favours givosiran</w:t>
            </w:r>
          </w:p>
          <w:p w14:paraId="07E7EC2A" w14:textId="5E47F0DE" w:rsidR="00250A87" w:rsidRPr="005F654A" w:rsidRDefault="005B59CB" w:rsidP="00E072B9">
            <w:pPr>
              <w:pStyle w:val="Tabletext"/>
            </w:pPr>
            <w:r w:rsidRPr="005F654A">
              <w:rPr>
                <w:rStyle w:val="TableTextChar0"/>
                <w:rFonts w:cs="Times New Roman"/>
                <w:b w:val="0"/>
                <w:iCs w:val="0"/>
                <w:snapToGrid w:val="0"/>
              </w:rPr>
              <w:t>The Sub</w:t>
            </w:r>
            <w:r w:rsidR="00E072B9">
              <w:rPr>
                <w:rStyle w:val="TableTextChar0"/>
                <w:rFonts w:cs="Times New Roman"/>
                <w:b w:val="0"/>
                <w:iCs w:val="0"/>
                <w:snapToGrid w:val="0"/>
              </w:rPr>
              <w:noBreakHyphen/>
            </w:r>
            <w:r w:rsidRPr="005F654A">
              <w:rPr>
                <w:rStyle w:val="TableTextChar0"/>
                <w:rFonts w:cs="Times New Roman"/>
                <w:b w:val="0"/>
                <w:iCs w:val="0"/>
                <w:snapToGrid w:val="0"/>
              </w:rPr>
              <w:t>Committees considered that this likely underestimates the use of givosiran</w:t>
            </w:r>
            <w:r>
              <w:rPr>
                <w:rStyle w:val="TableTextChar0"/>
                <w:rFonts w:cs="Times New Roman"/>
                <w:b w:val="0"/>
                <w:iCs w:val="0"/>
                <w:snapToGrid w:val="0"/>
              </w:rPr>
              <w:t xml:space="preserve">. </w:t>
            </w:r>
            <w:r w:rsidR="00250A87" w:rsidRPr="005F654A">
              <w:t xml:space="preserve">Assuming no further discontinuation after cycle 8 increased the ICER by </w:t>
            </w:r>
            <w:r w:rsidR="00B35ACC" w:rsidRPr="009742C5">
              <w:rPr>
                <w:color w:val="000000"/>
                <w:spacing w:val="53"/>
                <w:shd w:val="solid" w:color="000000" w:fill="000000"/>
                <w:fitText w:val="330" w:id="-625249785"/>
                <w14:textFill>
                  <w14:solidFill>
                    <w14:srgbClr w14:val="000000">
                      <w14:alpha w14:val="100000"/>
                    </w14:srgbClr>
                  </w14:solidFill>
                </w14:textFill>
              </w:rPr>
              <w:t>|||</w:t>
            </w:r>
            <w:r w:rsidR="00B35ACC" w:rsidRPr="009742C5">
              <w:rPr>
                <w:color w:val="000000"/>
                <w:spacing w:val="1"/>
                <w:shd w:val="solid" w:color="000000" w:fill="000000"/>
                <w:fitText w:val="330" w:id="-625249785"/>
                <w14:textFill>
                  <w14:solidFill>
                    <w14:srgbClr w14:val="000000">
                      <w14:alpha w14:val="100000"/>
                    </w14:srgbClr>
                  </w14:solidFill>
                </w14:textFill>
              </w:rPr>
              <w:t>|</w:t>
            </w:r>
            <w:r w:rsidR="00250A87" w:rsidRPr="005F654A">
              <w:t>%</w:t>
            </w:r>
            <w:r w:rsidR="00F87DF2" w:rsidRPr="005F654A">
              <w:t xml:space="preserve">. </w:t>
            </w:r>
          </w:p>
          <w:p w14:paraId="15A83483" w14:textId="77777777" w:rsidR="00F87DF2" w:rsidRPr="00E750DB" w:rsidRDefault="00F87DF2" w:rsidP="00E072B9">
            <w:pPr>
              <w:pStyle w:val="Tabletext"/>
            </w:pPr>
          </w:p>
          <w:p w14:paraId="11CFE969" w14:textId="2C2B10EC" w:rsidR="00F87DF2" w:rsidRPr="00E750DB" w:rsidRDefault="00F87DF2" w:rsidP="00E072B9">
            <w:pPr>
              <w:pStyle w:val="Tabletext"/>
            </w:pPr>
          </w:p>
        </w:tc>
      </w:tr>
      <w:tr w:rsidR="00DE45C9" w:rsidRPr="00E750DB" w14:paraId="7A12DF4D" w14:textId="77777777" w:rsidTr="00DE45C9">
        <w:trPr>
          <w:cantSplit/>
        </w:trPr>
        <w:tc>
          <w:tcPr>
            <w:tcW w:w="705" w:type="pct"/>
            <w:vAlign w:val="center"/>
          </w:tcPr>
          <w:p w14:paraId="557F56A4" w14:textId="77B6F1E3" w:rsidR="00DE45C9" w:rsidRPr="00E750DB" w:rsidRDefault="00DE45C9" w:rsidP="00E072B9">
            <w:pPr>
              <w:pStyle w:val="Tabletext"/>
            </w:pPr>
            <w:r>
              <w:t>Maintenance of response</w:t>
            </w:r>
          </w:p>
        </w:tc>
        <w:tc>
          <w:tcPr>
            <w:tcW w:w="2287" w:type="pct"/>
            <w:vAlign w:val="center"/>
          </w:tcPr>
          <w:p w14:paraId="112BC68B" w14:textId="74520511" w:rsidR="00DE45C9" w:rsidRPr="00E750DB" w:rsidRDefault="00DE45C9" w:rsidP="00E072B9">
            <w:pPr>
              <w:pStyle w:val="Tabletext"/>
            </w:pPr>
            <w:proofErr w:type="gramStart"/>
            <w:r>
              <w:t>T</w:t>
            </w:r>
            <w:r w:rsidRPr="00E750DB">
              <w:t>he majority of</w:t>
            </w:r>
            <w:proofErr w:type="gramEnd"/>
            <w:r w:rsidRPr="00E750DB">
              <w:t xml:space="preserve"> patients who discontinue were effectively assumed to maintain treatment benefit as majority discontinued from the AAR=0 health state and were assumed to remain in the AAR=0 health state after discontinuation.</w:t>
            </w:r>
          </w:p>
        </w:tc>
        <w:tc>
          <w:tcPr>
            <w:tcW w:w="2008" w:type="pct"/>
            <w:vAlign w:val="center"/>
          </w:tcPr>
          <w:p w14:paraId="76A06EBD" w14:textId="77777777" w:rsidR="00DE45C9" w:rsidRDefault="00DE45C9" w:rsidP="00E072B9">
            <w:pPr>
              <w:pStyle w:val="Tabletext"/>
            </w:pPr>
            <w:r>
              <w:t xml:space="preserve">High, favours givosiran. </w:t>
            </w:r>
          </w:p>
          <w:p w14:paraId="576C8ABA" w14:textId="06C2124A" w:rsidR="00DE45C9" w:rsidRPr="00E750DB" w:rsidRDefault="00DE45C9" w:rsidP="00E072B9">
            <w:pPr>
              <w:pStyle w:val="Tabletext"/>
            </w:pPr>
            <w:r w:rsidRPr="00E750DB">
              <w:t>Assuming 99.9% of patients discontinue after cycle 1 results in a dominant ICER with 3.93 QALY gain.</w:t>
            </w:r>
            <w:r w:rsidR="00655328">
              <w:t xml:space="preserve"> Alternative </w:t>
            </w:r>
            <w:r w:rsidR="005C1C5B">
              <w:t>approaches could not be tested.</w:t>
            </w:r>
          </w:p>
        </w:tc>
      </w:tr>
      <w:tr w:rsidR="00250A87" w:rsidRPr="00E750DB" w14:paraId="6584773C" w14:textId="77777777" w:rsidTr="00DE45C9">
        <w:trPr>
          <w:cantSplit/>
        </w:trPr>
        <w:tc>
          <w:tcPr>
            <w:tcW w:w="705" w:type="pct"/>
            <w:vAlign w:val="center"/>
          </w:tcPr>
          <w:p w14:paraId="0A4ED7AC" w14:textId="055AEA1D" w:rsidR="00250A87" w:rsidRPr="00E750DB" w:rsidRDefault="00250A87" w:rsidP="00E072B9">
            <w:pPr>
              <w:pStyle w:val="Tabletext"/>
            </w:pPr>
            <w:r w:rsidRPr="00E750DB">
              <w:t>Assumption of post menopause transition.</w:t>
            </w:r>
          </w:p>
        </w:tc>
        <w:tc>
          <w:tcPr>
            <w:tcW w:w="2287" w:type="pct"/>
            <w:vAlign w:val="center"/>
          </w:tcPr>
          <w:p w14:paraId="0DB4A752" w14:textId="25C733ED" w:rsidR="00250A87" w:rsidRPr="00E750DB" w:rsidRDefault="00250A87" w:rsidP="00E072B9">
            <w:pPr>
              <w:pStyle w:val="Tabletext"/>
            </w:pPr>
            <w:r w:rsidRPr="00E750DB">
              <w:t xml:space="preserve">Only patients who are asymptomatic </w:t>
            </w:r>
            <w:r w:rsidR="00366075" w:rsidRPr="00E750DB">
              <w:t>(AAR=0)</w:t>
            </w:r>
            <w:r w:rsidR="00263337" w:rsidRPr="00E750DB">
              <w:t xml:space="preserve"> </w:t>
            </w:r>
            <w:r w:rsidRPr="00E750DB">
              <w:t xml:space="preserve">prior to the onset of menopause were assumed to transition to the asymptomatic post menopause health state in the model. This assumption </w:t>
            </w:r>
            <w:r w:rsidR="00E460C4">
              <w:t>was</w:t>
            </w:r>
            <w:r w:rsidRPr="00E750DB">
              <w:t xml:space="preserve"> inconsistent with the natural course of the disease in post menopause women</w:t>
            </w:r>
            <w:r w:rsidR="00E460C4">
              <w:t>.</w:t>
            </w:r>
          </w:p>
        </w:tc>
        <w:tc>
          <w:tcPr>
            <w:tcW w:w="2008" w:type="pct"/>
            <w:vAlign w:val="center"/>
          </w:tcPr>
          <w:p w14:paraId="61C2B3E8" w14:textId="77777777" w:rsidR="00250A87" w:rsidRPr="005F654A" w:rsidRDefault="00250A87" w:rsidP="00E072B9">
            <w:pPr>
              <w:pStyle w:val="Tabletext"/>
            </w:pPr>
            <w:r w:rsidRPr="005F654A">
              <w:t>High, favours givosiran</w:t>
            </w:r>
          </w:p>
          <w:p w14:paraId="6683B35A" w14:textId="12D90404" w:rsidR="00250A87" w:rsidRPr="005F654A" w:rsidRDefault="00250A87" w:rsidP="00E072B9">
            <w:pPr>
              <w:pStyle w:val="Tabletext"/>
            </w:pPr>
            <w:r w:rsidRPr="005F654A">
              <w:t>Assuming 95% of all female patients in symptomatic and recurrent states become asymptomatic post</w:t>
            </w:r>
            <w:r w:rsidR="00E072B9">
              <w:noBreakHyphen/>
            </w:r>
            <w:r w:rsidRPr="005F654A">
              <w:t xml:space="preserve">menopause increased the ICER by </w:t>
            </w:r>
            <w:r w:rsidR="00B35ACC" w:rsidRPr="009742C5">
              <w:rPr>
                <w:color w:val="000000"/>
                <w:spacing w:val="53"/>
                <w:shd w:val="solid" w:color="000000" w:fill="000000"/>
                <w:fitText w:val="330" w:id="-625249784"/>
                <w14:textFill>
                  <w14:solidFill>
                    <w14:srgbClr w14:val="000000">
                      <w14:alpha w14:val="100000"/>
                    </w14:srgbClr>
                  </w14:solidFill>
                </w14:textFill>
              </w:rPr>
              <w:t>|||</w:t>
            </w:r>
            <w:r w:rsidR="00B35ACC" w:rsidRPr="009742C5">
              <w:rPr>
                <w:color w:val="000000"/>
                <w:spacing w:val="1"/>
                <w:shd w:val="solid" w:color="000000" w:fill="000000"/>
                <w:fitText w:val="330" w:id="-625249784"/>
                <w14:textFill>
                  <w14:solidFill>
                    <w14:srgbClr w14:val="000000">
                      <w14:alpha w14:val="100000"/>
                    </w14:srgbClr>
                  </w14:solidFill>
                </w14:textFill>
              </w:rPr>
              <w:t>|</w:t>
            </w:r>
            <w:r w:rsidRPr="005F654A">
              <w:t>%</w:t>
            </w:r>
            <w:r w:rsidR="00BD36A4" w:rsidRPr="005F654A">
              <w:t>.</w:t>
            </w:r>
            <w:r w:rsidR="00B04748" w:rsidRPr="005F654A">
              <w:t xml:space="preserve"> </w:t>
            </w:r>
          </w:p>
        </w:tc>
      </w:tr>
      <w:tr w:rsidR="00250A87" w:rsidRPr="00E750DB" w14:paraId="2241F1FD" w14:textId="77777777" w:rsidTr="00DE45C9">
        <w:trPr>
          <w:cantSplit/>
        </w:trPr>
        <w:tc>
          <w:tcPr>
            <w:tcW w:w="705" w:type="pct"/>
            <w:vAlign w:val="center"/>
          </w:tcPr>
          <w:p w14:paraId="7E4FF3C7" w14:textId="37446711" w:rsidR="00250A87" w:rsidRPr="00E750DB" w:rsidRDefault="00824F01" w:rsidP="00E072B9">
            <w:pPr>
              <w:pStyle w:val="Tabletext"/>
            </w:pPr>
            <w:r w:rsidRPr="00E750DB">
              <w:t>Proportion of acute treatment setting</w:t>
            </w:r>
          </w:p>
        </w:tc>
        <w:tc>
          <w:tcPr>
            <w:tcW w:w="2287" w:type="pct"/>
            <w:vAlign w:val="center"/>
          </w:tcPr>
          <w:p w14:paraId="5C48099C" w14:textId="009E3FB3" w:rsidR="00250A87" w:rsidRPr="00E750DB" w:rsidRDefault="00250A87" w:rsidP="00E072B9">
            <w:pPr>
              <w:pStyle w:val="Tabletext"/>
            </w:pPr>
            <w:r w:rsidRPr="00E750DB">
              <w:t>The model used data from the EXPLORE study to determine the proportion of treatments required for acute attacks (hospitalisation</w:t>
            </w:r>
            <w:r w:rsidR="003C77D7" w:rsidRPr="00E750DB">
              <w:t xml:space="preserve"> 59%</w:t>
            </w:r>
            <w:r w:rsidRPr="00E750DB">
              <w:t>, emergency department visits</w:t>
            </w:r>
            <w:r w:rsidR="003C77D7" w:rsidRPr="00E750DB">
              <w:t xml:space="preserve"> 17%</w:t>
            </w:r>
            <w:r w:rsidRPr="00E750DB">
              <w:t>, or infusion centre</w:t>
            </w:r>
            <w:r w:rsidR="003C77D7" w:rsidRPr="00E750DB">
              <w:t xml:space="preserve"> 24%</w:t>
            </w:r>
            <w:r w:rsidRPr="00E750DB">
              <w:t>), which was inconsistent with the results from the ENVISION trial</w:t>
            </w:r>
            <w:r w:rsidR="003C77D7" w:rsidRPr="00E750DB">
              <w:t xml:space="preserve"> (hospitalisation </w:t>
            </w:r>
            <w:r w:rsidR="00B523B6" w:rsidRPr="00E750DB">
              <w:t>30</w:t>
            </w:r>
            <w:r w:rsidR="003C77D7" w:rsidRPr="00E750DB">
              <w:t>%, emergency department visit</w:t>
            </w:r>
            <w:r w:rsidR="00B523B6" w:rsidRPr="00E750DB">
              <w:t>/urgent healthcare</w:t>
            </w:r>
            <w:r w:rsidR="003C77D7" w:rsidRPr="00E750DB">
              <w:t xml:space="preserve"> </w:t>
            </w:r>
            <w:r w:rsidR="00B523B6" w:rsidRPr="00E750DB">
              <w:t>60</w:t>
            </w:r>
            <w:r w:rsidR="003C77D7" w:rsidRPr="00E750DB">
              <w:t>%, or infusion centre</w:t>
            </w:r>
            <w:r w:rsidR="00B523B6" w:rsidRPr="00E750DB">
              <w:t>/</w:t>
            </w:r>
            <w:r w:rsidR="001A737F" w:rsidRPr="00E750DB">
              <w:t>hemin at home</w:t>
            </w:r>
            <w:r w:rsidR="003C77D7" w:rsidRPr="00E750DB">
              <w:t xml:space="preserve"> </w:t>
            </w:r>
            <w:r w:rsidR="001A737F" w:rsidRPr="00E750DB">
              <w:t>10</w:t>
            </w:r>
            <w:r w:rsidR="003C77D7" w:rsidRPr="00E750DB">
              <w:t>%)</w:t>
            </w:r>
            <w:r w:rsidR="00366075" w:rsidRPr="00E750DB">
              <w:t>.</w:t>
            </w:r>
          </w:p>
        </w:tc>
        <w:tc>
          <w:tcPr>
            <w:tcW w:w="2008" w:type="pct"/>
            <w:vAlign w:val="center"/>
          </w:tcPr>
          <w:p w14:paraId="110F5ED1" w14:textId="77777777" w:rsidR="00250A87" w:rsidRPr="00E750DB" w:rsidRDefault="00250A87" w:rsidP="00E072B9">
            <w:pPr>
              <w:pStyle w:val="Tabletext"/>
            </w:pPr>
            <w:r w:rsidRPr="00E750DB">
              <w:t>High, favours givosiran</w:t>
            </w:r>
          </w:p>
          <w:p w14:paraId="33B783A4" w14:textId="7575F0D7" w:rsidR="00250A87" w:rsidRPr="00E750DB" w:rsidRDefault="00250A87" w:rsidP="00E072B9">
            <w:pPr>
              <w:pStyle w:val="Tabletext"/>
            </w:pPr>
            <w:r w:rsidRPr="00E750DB">
              <w:t xml:space="preserve">Applying the acute attack treatment data from ENVISION increased </w:t>
            </w:r>
            <w:r w:rsidR="00366075" w:rsidRPr="00E750DB">
              <w:t xml:space="preserve">the ICER </w:t>
            </w:r>
            <w:r w:rsidRPr="00E750DB">
              <w:t xml:space="preserve">by </w:t>
            </w:r>
            <w:r w:rsidR="00B35ACC" w:rsidRPr="009742C5">
              <w:rPr>
                <w:color w:val="000000"/>
                <w:spacing w:val="53"/>
                <w:shd w:val="solid" w:color="000000" w:fill="000000"/>
                <w:fitText w:val="330" w:id="-625249783"/>
                <w14:textFill>
                  <w14:solidFill>
                    <w14:srgbClr w14:val="000000">
                      <w14:alpha w14:val="100000"/>
                    </w14:srgbClr>
                  </w14:solidFill>
                </w14:textFill>
              </w:rPr>
              <w:t>|||</w:t>
            </w:r>
            <w:r w:rsidR="00B35ACC" w:rsidRPr="009742C5">
              <w:rPr>
                <w:color w:val="000000"/>
                <w:spacing w:val="1"/>
                <w:shd w:val="solid" w:color="000000" w:fill="000000"/>
                <w:fitText w:val="330" w:id="-625249783"/>
                <w14:textFill>
                  <w14:solidFill>
                    <w14:srgbClr w14:val="000000">
                      <w14:alpha w14:val="100000"/>
                    </w14:srgbClr>
                  </w14:solidFill>
                </w14:textFill>
              </w:rPr>
              <w:t>|</w:t>
            </w:r>
            <w:r w:rsidRPr="00E750DB">
              <w:t>%.</w:t>
            </w:r>
          </w:p>
        </w:tc>
      </w:tr>
      <w:tr w:rsidR="00250A87" w:rsidRPr="00E750DB" w14:paraId="61A5F7FE" w14:textId="77777777" w:rsidTr="00DE45C9">
        <w:trPr>
          <w:cantSplit/>
        </w:trPr>
        <w:tc>
          <w:tcPr>
            <w:tcW w:w="705" w:type="pct"/>
            <w:vAlign w:val="center"/>
          </w:tcPr>
          <w:p w14:paraId="7182C0B2" w14:textId="27979BF2" w:rsidR="00250A87" w:rsidRPr="00E750DB" w:rsidRDefault="00250A87" w:rsidP="00E072B9">
            <w:pPr>
              <w:pStyle w:val="Tabletext"/>
            </w:pPr>
            <w:r w:rsidRPr="00E750DB">
              <w:t>Time horizon</w:t>
            </w:r>
          </w:p>
        </w:tc>
        <w:tc>
          <w:tcPr>
            <w:tcW w:w="2287" w:type="pct"/>
            <w:vAlign w:val="center"/>
          </w:tcPr>
          <w:p w14:paraId="4027641A" w14:textId="36B43730" w:rsidR="00250A87" w:rsidRPr="00E750DB" w:rsidRDefault="00250A87" w:rsidP="00E072B9">
            <w:pPr>
              <w:pStyle w:val="Tabletext"/>
            </w:pPr>
            <w:r w:rsidRPr="00E750DB">
              <w:t>The lifetime time horizon</w:t>
            </w:r>
            <w:r w:rsidR="001A737F" w:rsidRPr="00E750DB">
              <w:t xml:space="preserve"> (62 years)</w:t>
            </w:r>
            <w:r w:rsidRPr="00E750DB">
              <w:t xml:space="preserve"> </w:t>
            </w:r>
            <w:r w:rsidR="00615D5D">
              <w:t>based on</w:t>
            </w:r>
            <w:r w:rsidRPr="00E750DB">
              <w:t xml:space="preserve"> 6 months of comparative data for givosiran</w:t>
            </w:r>
            <w:r w:rsidR="00366075" w:rsidRPr="00E750DB">
              <w:t xml:space="preserve"> from ENVISION and up to 36 months from ENVISION OLE</w:t>
            </w:r>
            <w:r w:rsidRPr="00E750DB">
              <w:t>.</w:t>
            </w:r>
          </w:p>
        </w:tc>
        <w:tc>
          <w:tcPr>
            <w:tcW w:w="2008" w:type="pct"/>
            <w:vAlign w:val="center"/>
          </w:tcPr>
          <w:p w14:paraId="1E6136A2" w14:textId="77777777" w:rsidR="00250A87" w:rsidRPr="005F654A" w:rsidRDefault="00250A87" w:rsidP="00E072B9">
            <w:pPr>
              <w:pStyle w:val="Tabletext"/>
            </w:pPr>
            <w:r w:rsidRPr="005F654A">
              <w:t>High, favours givosiran</w:t>
            </w:r>
          </w:p>
          <w:p w14:paraId="79A247B6" w14:textId="68F56235" w:rsidR="00250A87" w:rsidRPr="005F654A" w:rsidRDefault="00250A87" w:rsidP="00E072B9">
            <w:pPr>
              <w:pStyle w:val="Tabletext"/>
            </w:pPr>
            <w:r w:rsidRPr="005F654A">
              <w:t>Use of a 30</w:t>
            </w:r>
            <w:r w:rsidR="00E072B9">
              <w:noBreakHyphen/>
            </w:r>
            <w:r w:rsidRPr="005F654A">
              <w:t xml:space="preserve">year time horizon increased the ICER by </w:t>
            </w:r>
            <w:r w:rsidR="00B35ACC" w:rsidRPr="009742C5">
              <w:rPr>
                <w:color w:val="000000"/>
                <w:spacing w:val="53"/>
                <w:shd w:val="solid" w:color="000000" w:fill="000000"/>
                <w:fitText w:val="330" w:id="-625249782"/>
                <w14:textFill>
                  <w14:solidFill>
                    <w14:srgbClr w14:val="000000">
                      <w14:alpha w14:val="100000"/>
                    </w14:srgbClr>
                  </w14:solidFill>
                </w14:textFill>
              </w:rPr>
              <w:t>|||</w:t>
            </w:r>
            <w:r w:rsidR="00B35ACC" w:rsidRPr="009742C5">
              <w:rPr>
                <w:color w:val="000000"/>
                <w:spacing w:val="1"/>
                <w:shd w:val="solid" w:color="000000" w:fill="000000"/>
                <w:fitText w:val="330" w:id="-625249782"/>
                <w14:textFill>
                  <w14:solidFill>
                    <w14:srgbClr w14:val="000000">
                      <w14:alpha w14:val="100000"/>
                    </w14:srgbClr>
                  </w14:solidFill>
                </w14:textFill>
              </w:rPr>
              <w:t>|</w:t>
            </w:r>
            <w:r w:rsidRPr="005F654A">
              <w:t>%</w:t>
            </w:r>
            <w:r w:rsidR="00BD36A4" w:rsidRPr="005F654A">
              <w:t>.</w:t>
            </w:r>
            <w:r w:rsidR="00E55E3E" w:rsidRPr="005F654A">
              <w:rPr>
                <w:rStyle w:val="TableTextChar0"/>
                <w:rFonts w:cs="Times New Roman"/>
                <w:b w:val="0"/>
                <w:iCs w:val="0"/>
                <w:snapToGrid w:val="0"/>
              </w:rPr>
              <w:t xml:space="preserve"> </w:t>
            </w:r>
          </w:p>
        </w:tc>
      </w:tr>
      <w:tr w:rsidR="00250A87" w:rsidRPr="00E750DB" w14:paraId="402AB6E9" w14:textId="77777777" w:rsidTr="00DE45C9">
        <w:trPr>
          <w:cantSplit/>
        </w:trPr>
        <w:tc>
          <w:tcPr>
            <w:tcW w:w="705" w:type="pct"/>
            <w:vAlign w:val="center"/>
          </w:tcPr>
          <w:p w14:paraId="3727B440" w14:textId="7C64164F" w:rsidR="00250A87" w:rsidRPr="00E750DB" w:rsidRDefault="00250A87" w:rsidP="00E072B9">
            <w:pPr>
              <w:pStyle w:val="Tabletext"/>
            </w:pPr>
            <w:r w:rsidRPr="00E750DB">
              <w:t xml:space="preserve">Inclusion of </w:t>
            </w:r>
            <w:r w:rsidR="00F30E68" w:rsidRPr="00E750DB">
              <w:t>AAR</w:t>
            </w:r>
            <w:r w:rsidR="00615D5D">
              <w:t xml:space="preserve"> </w:t>
            </w:r>
            <w:r w:rsidR="00BD03FD">
              <w:t>&gt;</w:t>
            </w:r>
            <w:r w:rsidR="00A550BD">
              <w:t xml:space="preserve"> </w:t>
            </w:r>
            <w:r w:rsidR="00F30E68" w:rsidRPr="00E750DB">
              <w:t>24 health state</w:t>
            </w:r>
          </w:p>
        </w:tc>
        <w:tc>
          <w:tcPr>
            <w:tcW w:w="2287" w:type="pct"/>
            <w:vAlign w:val="center"/>
          </w:tcPr>
          <w:p w14:paraId="093AC116" w14:textId="1C1FCFD8" w:rsidR="00250A87" w:rsidRPr="00E750DB" w:rsidRDefault="005D6CE5" w:rsidP="00E072B9">
            <w:pPr>
              <w:pStyle w:val="Tabletext"/>
            </w:pPr>
            <w:r w:rsidRPr="00E750DB">
              <w:t xml:space="preserve">The model included </w:t>
            </w:r>
            <w:r w:rsidR="001D63C9" w:rsidRPr="00E750DB">
              <w:t>an AAR</w:t>
            </w:r>
            <w:r w:rsidR="00615D5D">
              <w:t xml:space="preserve"> </w:t>
            </w:r>
            <w:r w:rsidR="00BD03FD">
              <w:t>&gt;</w:t>
            </w:r>
            <w:r w:rsidR="00A550BD">
              <w:t xml:space="preserve"> </w:t>
            </w:r>
            <w:r w:rsidR="001D63C9" w:rsidRPr="00E750DB">
              <w:t xml:space="preserve">24 health state which was not supported by clinical evidence and resulted in </w:t>
            </w:r>
            <w:r w:rsidR="00184272" w:rsidRPr="00E750DB">
              <w:t>a substantially greater</w:t>
            </w:r>
            <w:r w:rsidR="003D7B9A" w:rsidRPr="00E750DB">
              <w:t xml:space="preserve"> modelled</w:t>
            </w:r>
            <w:r w:rsidR="00184272" w:rsidRPr="00E750DB">
              <w:t xml:space="preserve"> </w:t>
            </w:r>
            <w:r w:rsidR="001D63C9" w:rsidRPr="00E750DB">
              <w:t xml:space="preserve">number of acute attacks in BSC patients than </w:t>
            </w:r>
            <w:r w:rsidR="00184272" w:rsidRPr="00E750DB">
              <w:t xml:space="preserve">the </w:t>
            </w:r>
            <w:r w:rsidR="001D63C9" w:rsidRPr="00E750DB">
              <w:t xml:space="preserve">known number of attacks in AHP patients. </w:t>
            </w:r>
          </w:p>
        </w:tc>
        <w:tc>
          <w:tcPr>
            <w:tcW w:w="2008" w:type="pct"/>
            <w:vAlign w:val="center"/>
          </w:tcPr>
          <w:p w14:paraId="195CBE5A" w14:textId="77777777" w:rsidR="0032320F" w:rsidRPr="005F654A" w:rsidRDefault="005D6CE5" w:rsidP="00E072B9">
            <w:pPr>
              <w:pStyle w:val="Tabletext"/>
            </w:pPr>
            <w:r w:rsidRPr="005F654A">
              <w:t>High</w:t>
            </w:r>
            <w:r w:rsidR="00933424" w:rsidRPr="005F654A">
              <w:t>, favours givosiran</w:t>
            </w:r>
            <w:r w:rsidRPr="005F654A">
              <w:t xml:space="preserve">. </w:t>
            </w:r>
          </w:p>
          <w:p w14:paraId="7010661F" w14:textId="2C27F1FE" w:rsidR="00250A87" w:rsidRPr="005F654A" w:rsidRDefault="00F30E68" w:rsidP="00E072B9">
            <w:pPr>
              <w:pStyle w:val="Tabletext"/>
            </w:pPr>
            <w:r w:rsidRPr="005F654A">
              <w:t>Assuming no patients started the model in the AAR</w:t>
            </w:r>
            <w:r w:rsidR="00915AF1">
              <w:t xml:space="preserve"> </w:t>
            </w:r>
            <w:r w:rsidR="00BD03FD">
              <w:t>&gt;</w:t>
            </w:r>
            <w:r w:rsidR="00A550BD">
              <w:t xml:space="preserve"> </w:t>
            </w:r>
            <w:r w:rsidRPr="005F654A">
              <w:t xml:space="preserve">24 health state increased the ICER by </w:t>
            </w:r>
            <w:r w:rsidR="00B35ACC" w:rsidRPr="009742C5">
              <w:rPr>
                <w:color w:val="000000"/>
                <w:spacing w:val="53"/>
                <w:shd w:val="solid" w:color="000000" w:fill="000000"/>
                <w:fitText w:val="330" w:id="-625249781"/>
                <w14:textFill>
                  <w14:solidFill>
                    <w14:srgbClr w14:val="000000">
                      <w14:alpha w14:val="100000"/>
                    </w14:srgbClr>
                  </w14:solidFill>
                </w14:textFill>
              </w:rPr>
              <w:t>|||</w:t>
            </w:r>
            <w:r w:rsidR="00B35ACC" w:rsidRPr="009742C5">
              <w:rPr>
                <w:color w:val="000000"/>
                <w:spacing w:val="1"/>
                <w:shd w:val="solid" w:color="000000" w:fill="000000"/>
                <w:fitText w:val="330" w:id="-625249781"/>
                <w14:textFill>
                  <w14:solidFill>
                    <w14:srgbClr w14:val="000000">
                      <w14:alpha w14:val="100000"/>
                    </w14:srgbClr>
                  </w14:solidFill>
                </w14:textFill>
              </w:rPr>
              <w:t>|</w:t>
            </w:r>
            <w:r w:rsidRPr="005F654A">
              <w:t>%.</w:t>
            </w:r>
          </w:p>
        </w:tc>
      </w:tr>
      <w:tr w:rsidR="00227B6A" w:rsidRPr="00915DBD" w14:paraId="0CD8A28A" w14:textId="77777777" w:rsidTr="00DE45C9">
        <w:trPr>
          <w:cantSplit/>
        </w:trPr>
        <w:tc>
          <w:tcPr>
            <w:tcW w:w="705" w:type="pct"/>
            <w:vAlign w:val="center"/>
          </w:tcPr>
          <w:p w14:paraId="404DE857" w14:textId="026A4727" w:rsidR="00227B6A" w:rsidRPr="00915DBD" w:rsidRDefault="00227B6A" w:rsidP="00E072B9">
            <w:pPr>
              <w:pStyle w:val="Tabletext"/>
              <w:rPr>
                <w:i/>
              </w:rPr>
            </w:pPr>
            <w:r w:rsidRPr="00915DBD">
              <w:t>Number of attacks in the AAR</w:t>
            </w:r>
            <w:r w:rsidR="00BD03FD">
              <w:t xml:space="preserve"> &gt;</w:t>
            </w:r>
            <w:r w:rsidR="00A550BD">
              <w:t xml:space="preserve"> </w:t>
            </w:r>
            <w:r w:rsidRPr="00915DBD">
              <w:t>24 health state</w:t>
            </w:r>
          </w:p>
        </w:tc>
        <w:tc>
          <w:tcPr>
            <w:tcW w:w="2287" w:type="pct"/>
            <w:vAlign w:val="center"/>
          </w:tcPr>
          <w:p w14:paraId="07D723CE" w14:textId="04138422" w:rsidR="00227B6A" w:rsidRPr="00915DBD" w:rsidRDefault="00227B6A" w:rsidP="00E072B9">
            <w:pPr>
              <w:pStyle w:val="Tabletext"/>
              <w:rPr>
                <w:i/>
              </w:rPr>
            </w:pPr>
            <w:r w:rsidRPr="00915DBD">
              <w:t xml:space="preserve">The model assumed </w:t>
            </w:r>
            <w:r w:rsidR="00526504" w:rsidRPr="00915DBD">
              <w:t>patients in the AAR</w:t>
            </w:r>
            <w:r w:rsidR="00BD03FD">
              <w:t xml:space="preserve"> &gt;</w:t>
            </w:r>
            <w:r w:rsidR="00A550BD">
              <w:t xml:space="preserve"> </w:t>
            </w:r>
            <w:r w:rsidR="00526504" w:rsidRPr="00915DBD">
              <w:t xml:space="preserve">24 health state would have 33.1 attacks per year. </w:t>
            </w:r>
          </w:p>
        </w:tc>
        <w:tc>
          <w:tcPr>
            <w:tcW w:w="2008" w:type="pct"/>
            <w:vAlign w:val="center"/>
          </w:tcPr>
          <w:p w14:paraId="63855346" w14:textId="4E6144E2" w:rsidR="00227B6A" w:rsidRPr="00915DBD" w:rsidRDefault="00B34204" w:rsidP="00E072B9">
            <w:pPr>
              <w:pStyle w:val="Tabletext"/>
              <w:rPr>
                <w:i/>
              </w:rPr>
            </w:pPr>
            <w:r w:rsidRPr="00915DBD">
              <w:t xml:space="preserve">Changing the number of attacks per year to 28.22 increased the ICER by </w:t>
            </w:r>
            <w:r w:rsidR="00B35ACC" w:rsidRPr="009742C5">
              <w:rPr>
                <w:color w:val="000000"/>
                <w:spacing w:val="53"/>
                <w:shd w:val="solid" w:color="000000" w:fill="000000"/>
                <w:fitText w:val="330" w:id="-625249780"/>
                <w14:textFill>
                  <w14:solidFill>
                    <w14:srgbClr w14:val="000000">
                      <w14:alpha w14:val="100000"/>
                    </w14:srgbClr>
                  </w14:solidFill>
                </w14:textFill>
              </w:rPr>
              <w:t>|||</w:t>
            </w:r>
            <w:r w:rsidR="00B35ACC" w:rsidRPr="009742C5">
              <w:rPr>
                <w:color w:val="000000"/>
                <w:spacing w:val="1"/>
                <w:shd w:val="solid" w:color="000000" w:fill="000000"/>
                <w:fitText w:val="330" w:id="-625249780"/>
                <w14:textFill>
                  <w14:solidFill>
                    <w14:srgbClr w14:val="000000">
                      <w14:alpha w14:val="100000"/>
                    </w14:srgbClr>
                  </w14:solidFill>
                </w14:textFill>
              </w:rPr>
              <w:t>|</w:t>
            </w:r>
            <w:r w:rsidRPr="00915DBD">
              <w:t>%</w:t>
            </w:r>
            <w:r w:rsidR="002A1639" w:rsidRPr="00915DBD">
              <w:t xml:space="preserve">. </w:t>
            </w:r>
          </w:p>
        </w:tc>
      </w:tr>
      <w:tr w:rsidR="001A68F3" w:rsidRPr="00E750DB" w14:paraId="5221A222" w14:textId="77777777" w:rsidTr="00DE45C9">
        <w:trPr>
          <w:cantSplit/>
        </w:trPr>
        <w:tc>
          <w:tcPr>
            <w:tcW w:w="705" w:type="pct"/>
            <w:vAlign w:val="center"/>
          </w:tcPr>
          <w:p w14:paraId="61448B9E" w14:textId="2FAC954D" w:rsidR="001A68F3" w:rsidRPr="00E750DB" w:rsidRDefault="001A68F3" w:rsidP="00E072B9">
            <w:pPr>
              <w:pStyle w:val="Tabletext"/>
            </w:pPr>
            <w:r w:rsidRPr="00E750DB">
              <w:t>Age of initiation</w:t>
            </w:r>
          </w:p>
        </w:tc>
        <w:tc>
          <w:tcPr>
            <w:tcW w:w="2287" w:type="pct"/>
            <w:vAlign w:val="center"/>
          </w:tcPr>
          <w:p w14:paraId="1DAD10F4" w14:textId="509D78EC" w:rsidR="001A68F3" w:rsidRPr="00E750DB" w:rsidRDefault="001A68F3" w:rsidP="00E072B9">
            <w:pPr>
              <w:pStyle w:val="Tabletext"/>
            </w:pPr>
            <w:r w:rsidRPr="00E750DB">
              <w:t xml:space="preserve">The model assumed patients started the model at 38.8 years of age, based on the baseline characteristics of ENVISION. </w:t>
            </w:r>
          </w:p>
        </w:tc>
        <w:tc>
          <w:tcPr>
            <w:tcW w:w="2008" w:type="pct"/>
            <w:vAlign w:val="center"/>
          </w:tcPr>
          <w:p w14:paraId="13703157" w14:textId="4C1FB792" w:rsidR="001A68F3" w:rsidRPr="00E750DB" w:rsidRDefault="00FC6A84" w:rsidP="00E072B9">
            <w:pPr>
              <w:pStyle w:val="Tabletext"/>
            </w:pPr>
            <w:r w:rsidRPr="00E750DB">
              <w:t>Moderate</w:t>
            </w:r>
            <w:r w:rsidR="002B61E6" w:rsidRPr="00E750DB">
              <w:t xml:space="preserve">. May favour givosiran though some uncertainty. </w:t>
            </w:r>
            <w:r w:rsidR="00933424" w:rsidRPr="00E750DB">
              <w:t xml:space="preserve">Assuming an age of initiation of 29 </w:t>
            </w:r>
            <w:r w:rsidR="00326870">
              <w:t xml:space="preserve">years (as per ENVISION) </w:t>
            </w:r>
            <w:r w:rsidR="00933424" w:rsidRPr="00E750DB">
              <w:t xml:space="preserve">increased the ICER by </w:t>
            </w:r>
            <w:r w:rsidR="00B35ACC" w:rsidRPr="009742C5">
              <w:rPr>
                <w:color w:val="000000"/>
                <w:spacing w:val="53"/>
                <w:shd w:val="solid" w:color="000000" w:fill="000000"/>
                <w:fitText w:val="330" w:id="-625249779"/>
                <w14:textFill>
                  <w14:solidFill>
                    <w14:srgbClr w14:val="000000">
                      <w14:alpha w14:val="100000"/>
                    </w14:srgbClr>
                  </w14:solidFill>
                </w14:textFill>
              </w:rPr>
              <w:t>|||</w:t>
            </w:r>
            <w:r w:rsidR="00B35ACC" w:rsidRPr="009742C5">
              <w:rPr>
                <w:color w:val="000000"/>
                <w:spacing w:val="1"/>
                <w:shd w:val="solid" w:color="000000" w:fill="000000"/>
                <w:fitText w:val="330" w:id="-625249779"/>
                <w14:textFill>
                  <w14:solidFill>
                    <w14:srgbClr w14:val="000000">
                      <w14:alpha w14:val="100000"/>
                    </w14:srgbClr>
                  </w14:solidFill>
                </w14:textFill>
              </w:rPr>
              <w:t>|</w:t>
            </w:r>
            <w:r w:rsidR="00933424" w:rsidRPr="00E750DB">
              <w:t xml:space="preserve">%. </w:t>
            </w:r>
          </w:p>
        </w:tc>
      </w:tr>
      <w:tr w:rsidR="00250A87" w:rsidRPr="00E750DB" w14:paraId="160B2C38" w14:textId="77777777" w:rsidTr="00DE45C9">
        <w:trPr>
          <w:cantSplit/>
        </w:trPr>
        <w:tc>
          <w:tcPr>
            <w:tcW w:w="705" w:type="pct"/>
            <w:vAlign w:val="center"/>
          </w:tcPr>
          <w:p w14:paraId="69C54590" w14:textId="2A4D138E" w:rsidR="00250A87" w:rsidRPr="00E750DB" w:rsidRDefault="00250A87" w:rsidP="00E072B9">
            <w:pPr>
              <w:pStyle w:val="Tabletext"/>
            </w:pPr>
            <w:r w:rsidRPr="00E750DB">
              <w:t xml:space="preserve">Proportion of patients weighing </w:t>
            </w:r>
            <w:r w:rsidR="00BD03FD">
              <w:t>&gt;</w:t>
            </w:r>
            <w:r w:rsidR="00A550BD">
              <w:t xml:space="preserve"> </w:t>
            </w:r>
            <w:r w:rsidRPr="00E750DB">
              <w:t>75.6kg</w:t>
            </w:r>
          </w:p>
        </w:tc>
        <w:tc>
          <w:tcPr>
            <w:tcW w:w="2287" w:type="pct"/>
            <w:vAlign w:val="center"/>
          </w:tcPr>
          <w:p w14:paraId="500AA24B" w14:textId="1CE5B30C" w:rsidR="00250A87" w:rsidRPr="00E750DB" w:rsidRDefault="00250A87" w:rsidP="00E072B9">
            <w:pPr>
              <w:pStyle w:val="Tabletext"/>
            </w:pPr>
            <w:r w:rsidRPr="00E750DB">
              <w:t xml:space="preserve">The model assumes </w:t>
            </w:r>
            <w:r w:rsidRPr="00481A2A">
              <w:t>that 23.4% of patients would weigh more than 75.6kg</w:t>
            </w:r>
            <w:r w:rsidR="003759BA" w:rsidRPr="00481A2A">
              <w:t xml:space="preserve"> (i.e. require two vials</w:t>
            </w:r>
            <w:r w:rsidR="003759BA" w:rsidRPr="00E750DB">
              <w:t xml:space="preserve"> per dose).</w:t>
            </w:r>
          </w:p>
        </w:tc>
        <w:tc>
          <w:tcPr>
            <w:tcW w:w="2008" w:type="pct"/>
            <w:vAlign w:val="center"/>
          </w:tcPr>
          <w:p w14:paraId="4300F030" w14:textId="4EF1B1EE" w:rsidR="00250A87" w:rsidRPr="00E750DB" w:rsidRDefault="005D6CE5" w:rsidP="00E072B9">
            <w:pPr>
              <w:pStyle w:val="Tabletext"/>
            </w:pPr>
            <w:r w:rsidRPr="00E750DB">
              <w:t xml:space="preserve">Uncertain, may favour givosiran. </w:t>
            </w:r>
            <w:r w:rsidR="003759BA" w:rsidRPr="00E750DB">
              <w:t>In 2022, 58.3% of females aged 35</w:t>
            </w:r>
            <w:r w:rsidR="00E072B9">
              <w:noBreakHyphen/>
            </w:r>
            <w:r w:rsidR="003759BA" w:rsidRPr="00E750DB">
              <w:t xml:space="preserve">44 in Australia </w:t>
            </w:r>
            <w:proofErr w:type="gramStart"/>
            <w:r w:rsidR="003759BA" w:rsidRPr="00E750DB">
              <w:t>were considered to be</w:t>
            </w:r>
            <w:proofErr w:type="gramEnd"/>
            <w:r w:rsidR="003759BA" w:rsidRPr="00E750DB">
              <w:t xml:space="preserve"> overweight or obese </w:t>
            </w:r>
            <w:r w:rsidR="00E269D1" w:rsidRPr="00E750DB">
              <w:t xml:space="preserve">when considering waist circumference and BMI. Using this percentage as a proxy for proportion </w:t>
            </w:r>
            <w:r w:rsidR="00BD03FD">
              <w:t>&gt;</w:t>
            </w:r>
            <w:r w:rsidR="00A550BD">
              <w:t xml:space="preserve"> </w:t>
            </w:r>
            <w:r w:rsidR="00E269D1" w:rsidRPr="00E750DB">
              <w:t xml:space="preserve">75.6kg, the ICER increased by </w:t>
            </w:r>
            <w:r w:rsidR="00B35ACC" w:rsidRPr="009742C5">
              <w:rPr>
                <w:color w:val="000000"/>
                <w:spacing w:val="53"/>
                <w:shd w:val="solid" w:color="000000" w:fill="000000"/>
                <w:fitText w:val="330" w:id="-625249778"/>
                <w14:textFill>
                  <w14:solidFill>
                    <w14:srgbClr w14:val="000000">
                      <w14:alpha w14:val="100000"/>
                    </w14:srgbClr>
                  </w14:solidFill>
                </w14:textFill>
              </w:rPr>
              <w:t>|||</w:t>
            </w:r>
            <w:r w:rsidR="00B35ACC" w:rsidRPr="009742C5">
              <w:rPr>
                <w:color w:val="000000"/>
                <w:spacing w:val="1"/>
                <w:shd w:val="solid" w:color="000000" w:fill="000000"/>
                <w:fitText w:val="330" w:id="-625249778"/>
                <w14:textFill>
                  <w14:solidFill>
                    <w14:srgbClr w14:val="000000">
                      <w14:alpha w14:val="100000"/>
                    </w14:srgbClr>
                  </w14:solidFill>
                </w14:textFill>
              </w:rPr>
              <w:t>|</w:t>
            </w:r>
            <w:r w:rsidR="00E269D1" w:rsidRPr="00E750DB">
              <w:t>%</w:t>
            </w:r>
            <w:r w:rsidR="00BD36A4" w:rsidRPr="00E750DB">
              <w:t>.</w:t>
            </w:r>
          </w:p>
        </w:tc>
      </w:tr>
    </w:tbl>
    <w:p w14:paraId="45AC1E76" w14:textId="6D4314DC" w:rsidR="00A77034" w:rsidRPr="00E750DB" w:rsidRDefault="00A77034" w:rsidP="00E072B9">
      <w:pPr>
        <w:pStyle w:val="FooterTableFigure"/>
      </w:pPr>
      <w:r w:rsidRPr="00E750DB">
        <w:t>Source: Constructed during evaluation</w:t>
      </w:r>
    </w:p>
    <w:p w14:paraId="77195E98" w14:textId="0CBD0CAF" w:rsidR="00A77034" w:rsidRDefault="00A77034" w:rsidP="00E072B9">
      <w:pPr>
        <w:pStyle w:val="FooterTableFigure"/>
      </w:pPr>
      <w:r w:rsidRPr="00E750DB">
        <w:t>AAR = Annualised Attack Rate, ABS = Australian Bureau of Statistics, AHP = Acute Hepatic Porphyria, BSC = Best Supportive Care, CADTH = Canadian Agency for Drugs and Technologies in Health, ED = Emergency Department, ICER = Incremental Cost</w:t>
      </w:r>
      <w:r w:rsidR="00E072B9">
        <w:noBreakHyphen/>
      </w:r>
      <w:r w:rsidRPr="00E750DB">
        <w:t>Effectiveness Ratio, NICE = National Institute for Health and Care Excellence, OLE = Open</w:t>
      </w:r>
      <w:r w:rsidR="00E072B9">
        <w:noBreakHyphen/>
      </w:r>
      <w:r w:rsidRPr="00E750DB">
        <w:t>Label Extension, RRMS = Relapsing</w:t>
      </w:r>
      <w:r w:rsidR="00E072B9">
        <w:noBreakHyphen/>
      </w:r>
      <w:r w:rsidRPr="00E750DB">
        <w:t>Remitting Multiple Sclerosis.</w:t>
      </w:r>
    </w:p>
    <w:p w14:paraId="2E3CE578" w14:textId="77777777" w:rsidR="00DA41C5" w:rsidRPr="00DA41C5" w:rsidRDefault="00DA41C5" w:rsidP="00DA41C5">
      <w:pPr>
        <w:pStyle w:val="FooterTableFigure"/>
        <w:rPr>
          <w:i/>
          <w:iCs/>
        </w:rPr>
      </w:pPr>
      <w:r w:rsidRPr="00DA41C5">
        <w:rPr>
          <w:i/>
          <w:iCs/>
        </w:rPr>
        <w:t xml:space="preserve">The redacted values correspond to the following ranges: </w:t>
      </w:r>
    </w:p>
    <w:p w14:paraId="713C078E" w14:textId="06F722F8" w:rsidR="00DA41C5" w:rsidRPr="00DA41C5" w:rsidRDefault="00DA41C5" w:rsidP="00DA41C5">
      <w:pPr>
        <w:pStyle w:val="FooterTableFigure"/>
        <w:rPr>
          <w:i/>
          <w:iCs/>
        </w:rPr>
      </w:pPr>
      <w:r w:rsidRPr="00DA41C5">
        <w:rPr>
          <w:i/>
          <w:iCs/>
          <w:vertAlign w:val="superscript"/>
        </w:rPr>
        <w:t>1</w:t>
      </w:r>
      <w:r w:rsidRPr="00DA41C5">
        <w:rPr>
          <w:i/>
          <w:iCs/>
        </w:rPr>
        <w:t xml:space="preserve"> </w:t>
      </w:r>
      <w:r w:rsidR="008F264A" w:rsidRPr="008F264A">
        <w:rPr>
          <w:i/>
          <w:iCs/>
        </w:rPr>
        <w:t>$155,000 to &lt; $255,000</w:t>
      </w:r>
    </w:p>
    <w:p w14:paraId="26FAC00F" w14:textId="42168321" w:rsidR="00DA41C5" w:rsidRPr="00DA41C5" w:rsidRDefault="00DA41C5" w:rsidP="00DA41C5">
      <w:pPr>
        <w:pStyle w:val="FooterTableFigure"/>
        <w:rPr>
          <w:i/>
          <w:iCs/>
        </w:rPr>
      </w:pPr>
    </w:p>
    <w:p w14:paraId="520DD3FB" w14:textId="77777777" w:rsidR="00DA41C5" w:rsidRPr="00DA41C5" w:rsidRDefault="00DA41C5" w:rsidP="00E072B9">
      <w:pPr>
        <w:pStyle w:val="FooterTableFigure"/>
        <w:rPr>
          <w:i/>
          <w:iCs/>
        </w:rPr>
      </w:pPr>
    </w:p>
    <w:p w14:paraId="24702B92" w14:textId="4793F369" w:rsidR="00A77034" w:rsidRPr="00E750DB" w:rsidRDefault="00A77034" w:rsidP="00E072B9">
      <w:pPr>
        <w:pStyle w:val="3-BodyText"/>
        <w:spacing w:before="0" w:after="120"/>
      </w:pPr>
      <w:r w:rsidRPr="00E750DB">
        <w:t>The base case summary of the results of the economic evaluation base</w:t>
      </w:r>
      <w:r w:rsidR="00E072B9">
        <w:noBreakHyphen/>
      </w:r>
      <w:r w:rsidRPr="00E750DB">
        <w:t>case ICER is presented in</w:t>
      </w:r>
      <w:r w:rsidR="00933424" w:rsidRPr="00E750DB">
        <w:t xml:space="preserve"> </w:t>
      </w:r>
      <w:r w:rsidR="00933424" w:rsidRPr="00E750DB">
        <w:fldChar w:fldCharType="begin" w:fldLock="1"/>
      </w:r>
      <w:r w:rsidR="00933424" w:rsidRPr="00E750DB">
        <w:instrText xml:space="preserve"> REF _Ref197975396 \h </w:instrText>
      </w:r>
      <w:r w:rsidR="0029679A" w:rsidRPr="00E750DB">
        <w:instrText xml:space="preserve"> \* MERGEFORMAT </w:instrText>
      </w:r>
      <w:r w:rsidR="00933424" w:rsidRPr="00E750DB">
        <w:fldChar w:fldCharType="separate"/>
      </w:r>
      <w:r w:rsidR="00E750DB" w:rsidRPr="00E750DB">
        <w:t>Table 12</w:t>
      </w:r>
      <w:r w:rsidR="00933424" w:rsidRPr="00E750DB">
        <w:fldChar w:fldCharType="end"/>
      </w:r>
      <w:r w:rsidRPr="00E750DB">
        <w:t>.</w:t>
      </w:r>
    </w:p>
    <w:p w14:paraId="7E445168" w14:textId="567DB9D4" w:rsidR="00A77034" w:rsidRPr="00E750DB" w:rsidRDefault="00933424" w:rsidP="00E072B9">
      <w:pPr>
        <w:pStyle w:val="Caption"/>
        <w:jc w:val="left"/>
        <w:rPr>
          <w:rStyle w:val="CommentReference"/>
          <w:b/>
          <w:szCs w:val="18"/>
        </w:rPr>
      </w:pPr>
      <w:bookmarkStart w:id="60" w:name="_Ref197975396"/>
      <w:r w:rsidRPr="00E750DB">
        <w:t xml:space="preserve">Table </w:t>
      </w:r>
      <w:r w:rsidR="00E750DB">
        <w:fldChar w:fldCharType="begin" w:fldLock="1"/>
      </w:r>
      <w:r w:rsidR="00E750DB">
        <w:instrText xml:space="preserve"> SEQ Table \* ARABIC </w:instrText>
      </w:r>
      <w:r w:rsidR="00E750DB">
        <w:fldChar w:fldCharType="separate"/>
      </w:r>
      <w:r w:rsidR="00E750DB" w:rsidRPr="00E750DB">
        <w:t>12</w:t>
      </w:r>
      <w:r w:rsidR="00E750DB">
        <w:fldChar w:fldCharType="end"/>
      </w:r>
      <w:bookmarkEnd w:id="60"/>
      <w:r w:rsidRPr="00E750DB">
        <w:t xml:space="preserve">: </w:t>
      </w:r>
      <w:r w:rsidR="00A77034" w:rsidRPr="00E750DB">
        <w:rPr>
          <w:rStyle w:val="CommentReference"/>
          <w:b/>
          <w:szCs w:val="24"/>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w:tblPr>
      <w:tblGrid>
        <w:gridCol w:w="2757"/>
        <w:gridCol w:w="2451"/>
        <w:gridCol w:w="2298"/>
        <w:gridCol w:w="1511"/>
      </w:tblGrid>
      <w:tr w:rsidR="00A77034" w:rsidRPr="00E750DB" w14:paraId="3ABB2E15" w14:textId="77777777" w:rsidTr="00580D86">
        <w:trPr>
          <w:tblHeader/>
        </w:trPr>
        <w:tc>
          <w:tcPr>
            <w:tcW w:w="1529" w:type="pct"/>
            <w:vAlign w:val="center"/>
          </w:tcPr>
          <w:p w14:paraId="1DF40D07" w14:textId="77777777" w:rsidR="00A77034" w:rsidRPr="00E750DB" w:rsidRDefault="00A77034" w:rsidP="00E072B9">
            <w:pPr>
              <w:pStyle w:val="TableFigureHeading"/>
              <w:keepLines/>
            </w:pPr>
            <w:r w:rsidRPr="00E750DB">
              <w:t>Component</w:t>
            </w:r>
          </w:p>
        </w:tc>
        <w:tc>
          <w:tcPr>
            <w:tcW w:w="1359" w:type="pct"/>
            <w:vAlign w:val="center"/>
          </w:tcPr>
          <w:p w14:paraId="36A47DF7" w14:textId="77777777" w:rsidR="00A77034" w:rsidRPr="00E750DB" w:rsidRDefault="00A77034" w:rsidP="00E072B9">
            <w:pPr>
              <w:pStyle w:val="TableFigureHeading"/>
              <w:keepLines/>
            </w:pPr>
            <w:r w:rsidRPr="00E750DB">
              <w:t>Givosiran</w:t>
            </w:r>
          </w:p>
        </w:tc>
        <w:tc>
          <w:tcPr>
            <w:tcW w:w="1274" w:type="pct"/>
            <w:vAlign w:val="center"/>
          </w:tcPr>
          <w:p w14:paraId="5F813DF3" w14:textId="77777777" w:rsidR="00A77034" w:rsidRPr="00E750DB" w:rsidRDefault="00A77034" w:rsidP="00E072B9">
            <w:pPr>
              <w:pStyle w:val="TableFigureHeading"/>
              <w:keepLines/>
            </w:pPr>
            <w:r w:rsidRPr="00E750DB">
              <w:t>BSC</w:t>
            </w:r>
          </w:p>
        </w:tc>
        <w:tc>
          <w:tcPr>
            <w:tcW w:w="838" w:type="pct"/>
            <w:vAlign w:val="center"/>
          </w:tcPr>
          <w:p w14:paraId="7C328F94" w14:textId="77777777" w:rsidR="00A77034" w:rsidRPr="00E750DB" w:rsidRDefault="00A77034" w:rsidP="00E072B9">
            <w:pPr>
              <w:pStyle w:val="TableFigureHeading"/>
              <w:keepLines/>
            </w:pPr>
            <w:r w:rsidRPr="00E750DB">
              <w:t>Increment</w:t>
            </w:r>
          </w:p>
        </w:tc>
      </w:tr>
      <w:tr w:rsidR="00A77034" w:rsidRPr="00E750DB" w14:paraId="148BE5D6" w14:textId="77777777" w:rsidTr="00580D86">
        <w:tc>
          <w:tcPr>
            <w:tcW w:w="1529" w:type="pct"/>
            <w:vAlign w:val="center"/>
          </w:tcPr>
          <w:p w14:paraId="39E3A549" w14:textId="77777777" w:rsidR="00A77034" w:rsidRPr="00E750DB" w:rsidRDefault="00A77034" w:rsidP="00E072B9">
            <w:pPr>
              <w:pStyle w:val="Tabletext"/>
              <w:keepNext/>
              <w:keepLines/>
              <w:rPr>
                <w:rFonts w:ascii="Times" w:hAnsi="Times"/>
              </w:rPr>
            </w:pPr>
            <w:r w:rsidRPr="00E750DB">
              <w:t>Undiscounted costs</w:t>
            </w:r>
          </w:p>
        </w:tc>
        <w:tc>
          <w:tcPr>
            <w:tcW w:w="1359" w:type="pct"/>
            <w:vAlign w:val="center"/>
          </w:tcPr>
          <w:p w14:paraId="6D48AA33" w14:textId="03905878" w:rsidR="00A77034" w:rsidRPr="00E750DB" w:rsidRDefault="00A77034" w:rsidP="00E072B9">
            <w:pPr>
              <w:pStyle w:val="Tabletext"/>
              <w:keepNext/>
              <w:keepLines/>
            </w:pPr>
            <w:r w:rsidRPr="00E750DB">
              <w:t>$</w:t>
            </w:r>
            <w:r w:rsidR="00B35ACC" w:rsidRPr="009742C5">
              <w:rPr>
                <w:color w:val="000000"/>
                <w:spacing w:val="53"/>
                <w:shd w:val="solid" w:color="000000" w:fill="000000"/>
                <w:fitText w:val="330" w:id="-625249777"/>
                <w14:textFill>
                  <w14:solidFill>
                    <w14:srgbClr w14:val="000000">
                      <w14:alpha w14:val="100000"/>
                    </w14:srgbClr>
                  </w14:solidFill>
                </w14:textFill>
              </w:rPr>
              <w:t>|||</w:t>
            </w:r>
            <w:r w:rsidR="00B35ACC" w:rsidRPr="009742C5">
              <w:rPr>
                <w:color w:val="000000"/>
                <w:spacing w:val="1"/>
                <w:shd w:val="solid" w:color="000000" w:fill="000000"/>
                <w:fitText w:val="330" w:id="-625249777"/>
                <w14:textFill>
                  <w14:solidFill>
                    <w14:srgbClr w14:val="000000">
                      <w14:alpha w14:val="100000"/>
                    </w14:srgbClr>
                  </w14:solidFill>
                </w14:textFill>
              </w:rPr>
              <w:t>|</w:t>
            </w:r>
          </w:p>
        </w:tc>
        <w:tc>
          <w:tcPr>
            <w:tcW w:w="1274" w:type="pct"/>
            <w:vAlign w:val="center"/>
          </w:tcPr>
          <w:p w14:paraId="17B647B6" w14:textId="77777777" w:rsidR="00A77034" w:rsidRPr="00E750DB" w:rsidRDefault="00A77034" w:rsidP="00E072B9">
            <w:pPr>
              <w:pStyle w:val="Tabletext"/>
              <w:keepNext/>
              <w:keepLines/>
            </w:pPr>
            <w:r w:rsidRPr="00E750DB">
              <w:t>$8,646,350</w:t>
            </w:r>
          </w:p>
        </w:tc>
        <w:tc>
          <w:tcPr>
            <w:tcW w:w="838" w:type="pct"/>
            <w:vAlign w:val="center"/>
          </w:tcPr>
          <w:p w14:paraId="46E9DB39" w14:textId="7149E9C1" w:rsidR="00A77034" w:rsidRPr="00E750DB" w:rsidRDefault="00A77034" w:rsidP="00E072B9">
            <w:pPr>
              <w:pStyle w:val="Tabletext"/>
              <w:keepNext/>
              <w:keepLines/>
            </w:pPr>
            <w:r w:rsidRPr="00E750DB">
              <w:t>$</w:t>
            </w:r>
            <w:r w:rsidR="00E072B9">
              <w:noBreakHyphen/>
            </w:r>
            <w:r w:rsidR="00B35ACC" w:rsidRPr="009742C5">
              <w:rPr>
                <w:color w:val="000000"/>
                <w:spacing w:val="53"/>
                <w:shd w:val="solid" w:color="000000" w:fill="000000"/>
                <w:fitText w:val="330" w:id="-625249776"/>
                <w14:textFill>
                  <w14:solidFill>
                    <w14:srgbClr w14:val="000000">
                      <w14:alpha w14:val="100000"/>
                    </w14:srgbClr>
                  </w14:solidFill>
                </w14:textFill>
              </w:rPr>
              <w:t>|||</w:t>
            </w:r>
            <w:r w:rsidR="00B35ACC" w:rsidRPr="009742C5">
              <w:rPr>
                <w:color w:val="000000"/>
                <w:spacing w:val="1"/>
                <w:shd w:val="solid" w:color="000000" w:fill="000000"/>
                <w:fitText w:val="330" w:id="-625249776"/>
                <w14:textFill>
                  <w14:solidFill>
                    <w14:srgbClr w14:val="000000">
                      <w14:alpha w14:val="100000"/>
                    </w14:srgbClr>
                  </w14:solidFill>
                </w14:textFill>
              </w:rPr>
              <w:t>|</w:t>
            </w:r>
          </w:p>
        </w:tc>
      </w:tr>
      <w:tr w:rsidR="00A77034" w:rsidRPr="00E750DB" w14:paraId="7DD569BB" w14:textId="77777777" w:rsidTr="00580D86">
        <w:tc>
          <w:tcPr>
            <w:tcW w:w="1529" w:type="pct"/>
            <w:vAlign w:val="center"/>
          </w:tcPr>
          <w:p w14:paraId="55FD0B32" w14:textId="77777777" w:rsidR="00A77034" w:rsidRPr="00E750DB" w:rsidRDefault="00A77034" w:rsidP="00E072B9">
            <w:pPr>
              <w:pStyle w:val="Tabletext"/>
              <w:keepNext/>
              <w:keepLines/>
              <w:rPr>
                <w:rFonts w:ascii="Times" w:hAnsi="Times"/>
              </w:rPr>
            </w:pPr>
            <w:r w:rsidRPr="00E750DB">
              <w:t>Discounted costs</w:t>
            </w:r>
          </w:p>
        </w:tc>
        <w:tc>
          <w:tcPr>
            <w:tcW w:w="1359" w:type="pct"/>
            <w:vAlign w:val="center"/>
          </w:tcPr>
          <w:p w14:paraId="67A36FCD" w14:textId="5DF35C1A" w:rsidR="00A77034" w:rsidRPr="00E750DB" w:rsidRDefault="00A77034" w:rsidP="00E072B9">
            <w:pPr>
              <w:pStyle w:val="Tabletext"/>
              <w:keepNext/>
              <w:keepLines/>
            </w:pPr>
            <w:r w:rsidRPr="00E750DB">
              <w:t>$</w:t>
            </w:r>
            <w:r w:rsidR="00B35ACC" w:rsidRPr="009742C5">
              <w:rPr>
                <w:color w:val="000000"/>
                <w:spacing w:val="53"/>
                <w:shd w:val="solid" w:color="000000" w:fill="000000"/>
                <w:fitText w:val="330" w:id="-625249792"/>
                <w14:textFill>
                  <w14:solidFill>
                    <w14:srgbClr w14:val="000000">
                      <w14:alpha w14:val="100000"/>
                    </w14:srgbClr>
                  </w14:solidFill>
                </w14:textFill>
              </w:rPr>
              <w:t>|||</w:t>
            </w:r>
            <w:r w:rsidR="00B35ACC" w:rsidRPr="009742C5">
              <w:rPr>
                <w:color w:val="000000"/>
                <w:spacing w:val="1"/>
                <w:shd w:val="solid" w:color="000000" w:fill="000000"/>
                <w:fitText w:val="330" w:id="-625249792"/>
                <w14:textFill>
                  <w14:solidFill>
                    <w14:srgbClr w14:val="000000">
                      <w14:alpha w14:val="100000"/>
                    </w14:srgbClr>
                  </w14:solidFill>
                </w14:textFill>
              </w:rPr>
              <w:t>|</w:t>
            </w:r>
          </w:p>
        </w:tc>
        <w:tc>
          <w:tcPr>
            <w:tcW w:w="1274" w:type="pct"/>
            <w:vAlign w:val="center"/>
          </w:tcPr>
          <w:p w14:paraId="0405083B" w14:textId="77777777" w:rsidR="00A77034" w:rsidRPr="00E750DB" w:rsidRDefault="00A77034" w:rsidP="00E072B9">
            <w:pPr>
              <w:pStyle w:val="Tabletext"/>
              <w:keepNext/>
              <w:keepLines/>
            </w:pPr>
            <w:r w:rsidRPr="00E750DB">
              <w:t>$3,482,891</w:t>
            </w:r>
          </w:p>
        </w:tc>
        <w:tc>
          <w:tcPr>
            <w:tcW w:w="838" w:type="pct"/>
            <w:vAlign w:val="center"/>
          </w:tcPr>
          <w:p w14:paraId="50198378" w14:textId="26ADAE48" w:rsidR="00A77034" w:rsidRPr="00E750DB" w:rsidRDefault="00A77034" w:rsidP="00E072B9">
            <w:pPr>
              <w:pStyle w:val="Tabletext"/>
              <w:keepNext/>
              <w:keepLines/>
            </w:pPr>
            <w:r w:rsidRPr="00E750DB">
              <w:t>$</w:t>
            </w:r>
            <w:r w:rsidR="00B35ACC" w:rsidRPr="009742C5">
              <w:rPr>
                <w:color w:val="000000"/>
                <w:spacing w:val="53"/>
                <w:shd w:val="solid" w:color="000000" w:fill="000000"/>
                <w:fitText w:val="330" w:id="-625249791"/>
                <w14:textFill>
                  <w14:solidFill>
                    <w14:srgbClr w14:val="000000">
                      <w14:alpha w14:val="100000"/>
                    </w14:srgbClr>
                  </w14:solidFill>
                </w14:textFill>
              </w:rPr>
              <w:t>|||</w:t>
            </w:r>
            <w:r w:rsidR="00B35ACC" w:rsidRPr="009742C5">
              <w:rPr>
                <w:color w:val="000000"/>
                <w:spacing w:val="1"/>
                <w:shd w:val="solid" w:color="000000" w:fill="000000"/>
                <w:fitText w:val="330" w:id="-625249791"/>
                <w14:textFill>
                  <w14:solidFill>
                    <w14:srgbClr w14:val="000000">
                      <w14:alpha w14:val="100000"/>
                    </w14:srgbClr>
                  </w14:solidFill>
                </w14:textFill>
              </w:rPr>
              <w:t>|</w:t>
            </w:r>
          </w:p>
        </w:tc>
      </w:tr>
      <w:tr w:rsidR="00A77034" w:rsidRPr="00E750DB" w14:paraId="40827D6E" w14:textId="77777777" w:rsidTr="00580D86">
        <w:tc>
          <w:tcPr>
            <w:tcW w:w="1529" w:type="pct"/>
            <w:vAlign w:val="center"/>
          </w:tcPr>
          <w:p w14:paraId="7F4634A6" w14:textId="77777777" w:rsidR="00A77034" w:rsidRPr="00E750DB" w:rsidRDefault="00A77034" w:rsidP="00E072B9">
            <w:pPr>
              <w:pStyle w:val="Tabletext"/>
              <w:keepNext/>
              <w:keepLines/>
            </w:pPr>
            <w:r w:rsidRPr="00E750DB">
              <w:t>Undiscounted LYs</w:t>
            </w:r>
          </w:p>
        </w:tc>
        <w:tc>
          <w:tcPr>
            <w:tcW w:w="1359" w:type="pct"/>
            <w:vAlign w:val="center"/>
          </w:tcPr>
          <w:p w14:paraId="435EBF1D" w14:textId="77777777" w:rsidR="00A77034" w:rsidRPr="00E750DB" w:rsidRDefault="00A77034" w:rsidP="00E072B9">
            <w:pPr>
              <w:pStyle w:val="Tabletext"/>
              <w:keepNext/>
              <w:keepLines/>
            </w:pPr>
            <w:r w:rsidRPr="00E750DB">
              <w:t>44.70</w:t>
            </w:r>
          </w:p>
        </w:tc>
        <w:tc>
          <w:tcPr>
            <w:tcW w:w="1274" w:type="pct"/>
            <w:vAlign w:val="center"/>
          </w:tcPr>
          <w:p w14:paraId="24D68A49" w14:textId="77777777" w:rsidR="00A77034" w:rsidRPr="00E750DB" w:rsidRDefault="00A77034" w:rsidP="00E072B9">
            <w:pPr>
              <w:pStyle w:val="Tabletext"/>
              <w:keepNext/>
              <w:keepLines/>
            </w:pPr>
            <w:r w:rsidRPr="00E750DB">
              <w:t>44.70</w:t>
            </w:r>
          </w:p>
        </w:tc>
        <w:tc>
          <w:tcPr>
            <w:tcW w:w="838" w:type="pct"/>
            <w:vAlign w:val="center"/>
          </w:tcPr>
          <w:p w14:paraId="5583E8B0" w14:textId="77777777" w:rsidR="00A77034" w:rsidRPr="00E750DB" w:rsidRDefault="00A77034" w:rsidP="00E072B9">
            <w:pPr>
              <w:pStyle w:val="Tabletext"/>
              <w:keepNext/>
              <w:keepLines/>
            </w:pPr>
            <w:r w:rsidRPr="00E750DB">
              <w:t>0.00</w:t>
            </w:r>
          </w:p>
        </w:tc>
      </w:tr>
      <w:tr w:rsidR="00A77034" w:rsidRPr="00E750DB" w14:paraId="429315A9" w14:textId="77777777" w:rsidTr="00580D86">
        <w:tc>
          <w:tcPr>
            <w:tcW w:w="1529" w:type="pct"/>
            <w:vAlign w:val="center"/>
          </w:tcPr>
          <w:p w14:paraId="6912C877" w14:textId="77777777" w:rsidR="00A77034" w:rsidRPr="00E750DB" w:rsidRDefault="00A77034" w:rsidP="00E072B9">
            <w:pPr>
              <w:pStyle w:val="Tabletext"/>
              <w:keepNext/>
              <w:keepLines/>
            </w:pPr>
            <w:r w:rsidRPr="00E750DB">
              <w:t>Discounted LYs</w:t>
            </w:r>
          </w:p>
        </w:tc>
        <w:tc>
          <w:tcPr>
            <w:tcW w:w="1359" w:type="pct"/>
            <w:vAlign w:val="center"/>
          </w:tcPr>
          <w:p w14:paraId="10A15F77" w14:textId="77777777" w:rsidR="00A77034" w:rsidRPr="00E750DB" w:rsidRDefault="00A77034" w:rsidP="00E072B9">
            <w:pPr>
              <w:pStyle w:val="Tabletext"/>
              <w:keepNext/>
              <w:keepLines/>
            </w:pPr>
            <w:r w:rsidRPr="00E750DB">
              <w:t>18.13</w:t>
            </w:r>
          </w:p>
        </w:tc>
        <w:tc>
          <w:tcPr>
            <w:tcW w:w="1274" w:type="pct"/>
            <w:vAlign w:val="center"/>
          </w:tcPr>
          <w:p w14:paraId="19D810BB" w14:textId="77777777" w:rsidR="00A77034" w:rsidRPr="00E750DB" w:rsidRDefault="00A77034" w:rsidP="00E072B9">
            <w:pPr>
              <w:pStyle w:val="Tabletext"/>
              <w:keepNext/>
              <w:keepLines/>
            </w:pPr>
            <w:r w:rsidRPr="00E750DB">
              <w:t>18.13</w:t>
            </w:r>
          </w:p>
        </w:tc>
        <w:tc>
          <w:tcPr>
            <w:tcW w:w="838" w:type="pct"/>
            <w:vAlign w:val="center"/>
          </w:tcPr>
          <w:p w14:paraId="110687C4" w14:textId="77777777" w:rsidR="00A77034" w:rsidRPr="00E750DB" w:rsidRDefault="00A77034" w:rsidP="00E072B9">
            <w:pPr>
              <w:pStyle w:val="Tabletext"/>
              <w:keepNext/>
              <w:keepLines/>
            </w:pPr>
            <w:r w:rsidRPr="00E750DB">
              <w:t>0.00</w:t>
            </w:r>
          </w:p>
        </w:tc>
      </w:tr>
      <w:tr w:rsidR="00A77034" w:rsidRPr="00E750DB" w14:paraId="20E0401B" w14:textId="77777777" w:rsidTr="00580D86">
        <w:tc>
          <w:tcPr>
            <w:tcW w:w="1529" w:type="pct"/>
            <w:vAlign w:val="center"/>
          </w:tcPr>
          <w:p w14:paraId="1FB2DBB9" w14:textId="77777777" w:rsidR="00A77034" w:rsidRPr="00E750DB" w:rsidRDefault="00A77034" w:rsidP="00E072B9">
            <w:pPr>
              <w:pStyle w:val="Tabletext"/>
              <w:keepNext/>
              <w:keepLines/>
            </w:pPr>
            <w:r w:rsidRPr="00E750DB">
              <w:t>Undiscounted QALYs</w:t>
            </w:r>
          </w:p>
        </w:tc>
        <w:tc>
          <w:tcPr>
            <w:tcW w:w="1359" w:type="pct"/>
            <w:vAlign w:val="center"/>
          </w:tcPr>
          <w:p w14:paraId="2BA40E31" w14:textId="77777777" w:rsidR="00A77034" w:rsidRPr="00E750DB" w:rsidRDefault="00A77034" w:rsidP="00E072B9">
            <w:pPr>
              <w:pStyle w:val="Tabletext"/>
              <w:keepNext/>
              <w:keepLines/>
            </w:pPr>
            <w:r w:rsidRPr="00E750DB">
              <w:t>29.09</w:t>
            </w:r>
          </w:p>
        </w:tc>
        <w:tc>
          <w:tcPr>
            <w:tcW w:w="1274" w:type="pct"/>
            <w:vAlign w:val="center"/>
          </w:tcPr>
          <w:p w14:paraId="4FC13A4D" w14:textId="77777777" w:rsidR="00A77034" w:rsidRPr="00E750DB" w:rsidRDefault="00A77034" w:rsidP="00E072B9">
            <w:pPr>
              <w:pStyle w:val="Tabletext"/>
              <w:keepNext/>
              <w:keepLines/>
            </w:pPr>
            <w:r w:rsidRPr="00E750DB">
              <w:t>12.95</w:t>
            </w:r>
          </w:p>
        </w:tc>
        <w:tc>
          <w:tcPr>
            <w:tcW w:w="838" w:type="pct"/>
            <w:vAlign w:val="center"/>
          </w:tcPr>
          <w:p w14:paraId="42E68745" w14:textId="77777777" w:rsidR="00A77034" w:rsidRPr="00E750DB" w:rsidRDefault="00A77034" w:rsidP="00E072B9">
            <w:pPr>
              <w:pStyle w:val="Tabletext"/>
              <w:keepNext/>
              <w:keepLines/>
            </w:pPr>
            <w:r w:rsidRPr="00E750DB">
              <w:t>16.14</w:t>
            </w:r>
          </w:p>
        </w:tc>
      </w:tr>
      <w:tr w:rsidR="00A77034" w:rsidRPr="00E750DB" w14:paraId="6F006D8B" w14:textId="77777777" w:rsidTr="00580D86">
        <w:tc>
          <w:tcPr>
            <w:tcW w:w="1529" w:type="pct"/>
            <w:vAlign w:val="center"/>
          </w:tcPr>
          <w:p w14:paraId="5607FDB6" w14:textId="77777777" w:rsidR="00A77034" w:rsidRPr="00E750DB" w:rsidRDefault="00A77034" w:rsidP="00E072B9">
            <w:pPr>
              <w:pStyle w:val="Tabletext"/>
              <w:keepNext/>
              <w:keepLines/>
            </w:pPr>
            <w:r w:rsidRPr="00E750DB">
              <w:t>Discounted QALYs</w:t>
            </w:r>
          </w:p>
        </w:tc>
        <w:tc>
          <w:tcPr>
            <w:tcW w:w="1359" w:type="pct"/>
            <w:vAlign w:val="center"/>
          </w:tcPr>
          <w:p w14:paraId="0B9D07E9" w14:textId="77777777" w:rsidR="00A77034" w:rsidRPr="00E750DB" w:rsidRDefault="00A77034" w:rsidP="00E072B9">
            <w:pPr>
              <w:pStyle w:val="Tabletext"/>
              <w:keepNext/>
              <w:keepLines/>
            </w:pPr>
            <w:r w:rsidRPr="00E750DB">
              <w:t>11.81</w:t>
            </w:r>
          </w:p>
        </w:tc>
        <w:tc>
          <w:tcPr>
            <w:tcW w:w="1274" w:type="pct"/>
            <w:vAlign w:val="center"/>
          </w:tcPr>
          <w:p w14:paraId="2245327D" w14:textId="77777777" w:rsidR="00A77034" w:rsidRPr="00E750DB" w:rsidRDefault="00A77034" w:rsidP="00E072B9">
            <w:pPr>
              <w:pStyle w:val="Tabletext"/>
              <w:keepNext/>
              <w:keepLines/>
            </w:pPr>
            <w:r w:rsidRPr="00E750DB">
              <w:t>5.38</w:t>
            </w:r>
          </w:p>
        </w:tc>
        <w:tc>
          <w:tcPr>
            <w:tcW w:w="838" w:type="pct"/>
            <w:vAlign w:val="center"/>
          </w:tcPr>
          <w:p w14:paraId="53AEABC4" w14:textId="77777777" w:rsidR="00A77034" w:rsidRPr="00E750DB" w:rsidRDefault="00A77034" w:rsidP="00E072B9">
            <w:pPr>
              <w:pStyle w:val="Tabletext"/>
              <w:keepNext/>
              <w:keepLines/>
            </w:pPr>
            <w:r w:rsidRPr="00E750DB">
              <w:t>6.43</w:t>
            </w:r>
          </w:p>
        </w:tc>
      </w:tr>
      <w:tr w:rsidR="00A77034" w:rsidRPr="00E750DB" w14:paraId="0D9955F5" w14:textId="77777777" w:rsidTr="00580D86">
        <w:tc>
          <w:tcPr>
            <w:tcW w:w="4162" w:type="pct"/>
            <w:gridSpan w:val="3"/>
            <w:vAlign w:val="center"/>
          </w:tcPr>
          <w:p w14:paraId="7E776A8C" w14:textId="77777777" w:rsidR="00A77034" w:rsidRPr="00E750DB" w:rsidRDefault="00A77034" w:rsidP="00E072B9">
            <w:pPr>
              <w:pStyle w:val="Tabletext"/>
              <w:keepNext/>
              <w:keepLines/>
              <w:rPr>
                <w:rFonts w:ascii="Times" w:hAnsi="Times"/>
              </w:rPr>
            </w:pPr>
            <w:r w:rsidRPr="00E750DB">
              <w:t>Incremental cost/QALYs gained (undiscounted)</w:t>
            </w:r>
          </w:p>
        </w:tc>
        <w:tc>
          <w:tcPr>
            <w:tcW w:w="838" w:type="pct"/>
            <w:vAlign w:val="center"/>
          </w:tcPr>
          <w:p w14:paraId="463F8335" w14:textId="06A804DA" w:rsidR="00A77034" w:rsidRPr="00E750DB" w:rsidRDefault="00E072B9" w:rsidP="00E072B9">
            <w:pPr>
              <w:pStyle w:val="Tabletext"/>
              <w:keepNext/>
              <w:keepLines/>
              <w:rPr>
                <w:rFonts w:ascii="Times" w:hAnsi="Times"/>
              </w:rPr>
            </w:pPr>
            <w:r>
              <w:noBreakHyphen/>
            </w:r>
            <w:r w:rsidR="00A77034" w:rsidRPr="00E750DB">
              <w:t>$</w:t>
            </w:r>
            <w:r w:rsidR="00B35ACC" w:rsidRPr="009742C5">
              <w:rPr>
                <w:color w:val="000000"/>
                <w:spacing w:val="53"/>
                <w:shd w:val="solid" w:color="000000" w:fill="000000"/>
                <w:fitText w:val="330" w:id="-625249790"/>
                <w14:textFill>
                  <w14:solidFill>
                    <w14:srgbClr w14:val="000000">
                      <w14:alpha w14:val="100000"/>
                    </w14:srgbClr>
                  </w14:solidFill>
                </w14:textFill>
              </w:rPr>
              <w:t>|||</w:t>
            </w:r>
            <w:r w:rsidR="00B35ACC" w:rsidRPr="009742C5">
              <w:rPr>
                <w:color w:val="000000"/>
                <w:spacing w:val="1"/>
                <w:shd w:val="solid" w:color="000000" w:fill="000000"/>
                <w:fitText w:val="330" w:id="-625249790"/>
                <w14:textFill>
                  <w14:solidFill>
                    <w14:srgbClr w14:val="000000">
                      <w14:alpha w14:val="100000"/>
                    </w14:srgbClr>
                  </w14:solidFill>
                </w14:textFill>
              </w:rPr>
              <w:t>|</w:t>
            </w:r>
          </w:p>
        </w:tc>
      </w:tr>
      <w:tr w:rsidR="00A77034" w:rsidRPr="00E750DB" w14:paraId="524C2538" w14:textId="77777777" w:rsidTr="00580D86">
        <w:tc>
          <w:tcPr>
            <w:tcW w:w="4162" w:type="pct"/>
            <w:gridSpan w:val="3"/>
            <w:vAlign w:val="center"/>
          </w:tcPr>
          <w:p w14:paraId="4E835957" w14:textId="77777777" w:rsidR="00A77034" w:rsidRPr="00E750DB" w:rsidRDefault="00A77034" w:rsidP="00E072B9">
            <w:pPr>
              <w:pStyle w:val="TableText0"/>
              <w:widowControl/>
            </w:pPr>
            <w:r w:rsidRPr="00E750DB">
              <w:t>Incremental cost/QALYs gained (discounted)</w:t>
            </w:r>
          </w:p>
        </w:tc>
        <w:tc>
          <w:tcPr>
            <w:tcW w:w="838" w:type="pct"/>
            <w:vAlign w:val="center"/>
          </w:tcPr>
          <w:p w14:paraId="2007476F" w14:textId="55A05811" w:rsidR="00A77034" w:rsidRPr="00E750DB" w:rsidRDefault="00A77034" w:rsidP="00E072B9">
            <w:pPr>
              <w:pStyle w:val="TableText0"/>
              <w:widowControl/>
            </w:pPr>
            <w:r w:rsidRPr="00E750DB">
              <w:t>$</w:t>
            </w:r>
            <w:r w:rsidR="00B35ACC" w:rsidRPr="009742C5">
              <w:rPr>
                <w:color w:val="000000"/>
                <w:spacing w:val="58"/>
                <w:shd w:val="solid" w:color="000000" w:fill="000000"/>
                <w:fitText w:val="360" w:id="-625249789"/>
                <w14:textFill>
                  <w14:solidFill>
                    <w14:srgbClr w14:val="000000">
                      <w14:alpha w14:val="100000"/>
                    </w14:srgbClr>
                  </w14:solidFill>
                </w14:textFill>
              </w:rPr>
              <w:t>|||</w:t>
            </w:r>
            <w:r w:rsidR="00B35ACC" w:rsidRPr="009742C5">
              <w:rPr>
                <w:color w:val="000000"/>
                <w:spacing w:val="3"/>
                <w:shd w:val="solid" w:color="000000" w:fill="000000"/>
                <w:fitText w:val="360" w:id="-625249789"/>
                <w14:textFill>
                  <w14:solidFill>
                    <w14:srgbClr w14:val="000000">
                      <w14:alpha w14:val="100000"/>
                    </w14:srgbClr>
                  </w14:solidFill>
                </w14:textFill>
              </w:rPr>
              <w:t>|</w:t>
            </w:r>
          </w:p>
        </w:tc>
      </w:tr>
    </w:tbl>
    <w:p w14:paraId="4E3CC284" w14:textId="2A7C844C" w:rsidR="00A77034" w:rsidRPr="00E750DB" w:rsidRDefault="00A77034" w:rsidP="00E072B9">
      <w:pPr>
        <w:pStyle w:val="FooterTableFigure"/>
        <w:keepNext/>
        <w:keepLines/>
      </w:pPr>
      <w:r w:rsidRPr="00E750DB">
        <w:t>ICER = incremental cost</w:t>
      </w:r>
      <w:r w:rsidR="00E072B9">
        <w:noBreakHyphen/>
      </w:r>
      <w:r w:rsidRPr="00E750DB">
        <w:t>effectiveness ratios; LY = life year; QALYs = quality adjusted life years; BSC= Best supportive care</w:t>
      </w:r>
    </w:p>
    <w:p w14:paraId="0BFF0E62" w14:textId="77777777" w:rsidR="00A77034" w:rsidRDefault="00A77034" w:rsidP="00E072B9">
      <w:pPr>
        <w:pStyle w:val="FooterTableFigure"/>
        <w:keepNext/>
        <w:keepLines/>
      </w:pPr>
      <w:r w:rsidRPr="00E750DB">
        <w:t xml:space="preserve">Source: Table 3.38 and table 3.39, p107 of the submission </w:t>
      </w:r>
    </w:p>
    <w:p w14:paraId="1B4DF268" w14:textId="77777777" w:rsidR="004007A2" w:rsidRDefault="004007A2" w:rsidP="004007A2">
      <w:pPr>
        <w:pStyle w:val="FooterTableFigure"/>
        <w:keepNext/>
        <w:keepLines/>
        <w:rPr>
          <w:i/>
        </w:rPr>
      </w:pPr>
      <w:r w:rsidRPr="004007A2">
        <w:rPr>
          <w:i/>
        </w:rPr>
        <w:t xml:space="preserve">The redacted values correspond to the following ranges: </w:t>
      </w:r>
    </w:p>
    <w:p w14:paraId="4AE79760" w14:textId="69A3125C" w:rsidR="004007A2" w:rsidRDefault="004007A2" w:rsidP="004007A2">
      <w:pPr>
        <w:pStyle w:val="FooterTableFigure"/>
        <w:keepNext/>
        <w:keepLines/>
        <w:rPr>
          <w:i/>
        </w:rPr>
      </w:pPr>
      <w:r>
        <w:rPr>
          <w:i/>
          <w:vertAlign w:val="superscript"/>
        </w:rPr>
        <w:t>1</w:t>
      </w:r>
      <w:r w:rsidR="00AE53C5">
        <w:rPr>
          <w:i/>
        </w:rPr>
        <w:t xml:space="preserve"> Dominant </w:t>
      </w:r>
    </w:p>
    <w:p w14:paraId="5D526729" w14:textId="195D28DD" w:rsidR="00FA41BB" w:rsidRPr="004007A2" w:rsidRDefault="00FA41BB" w:rsidP="004007A2">
      <w:pPr>
        <w:pStyle w:val="FooterTableFigure"/>
        <w:keepNext/>
        <w:keepLines/>
        <w:rPr>
          <w:i/>
        </w:rPr>
      </w:pPr>
      <w:r>
        <w:rPr>
          <w:i/>
          <w:vertAlign w:val="superscript"/>
        </w:rPr>
        <w:t>2</w:t>
      </w:r>
      <w:r>
        <w:rPr>
          <w:i/>
        </w:rPr>
        <w:t xml:space="preserve"> </w:t>
      </w:r>
      <w:r w:rsidR="00D96F42" w:rsidRPr="00D96F42">
        <w:rPr>
          <w:i/>
        </w:rPr>
        <w:t>$155,000 to &lt; $255,000</w:t>
      </w:r>
    </w:p>
    <w:p w14:paraId="3502233A" w14:textId="77777777" w:rsidR="004007A2" w:rsidRPr="00E750DB" w:rsidRDefault="004007A2" w:rsidP="00E072B9">
      <w:pPr>
        <w:pStyle w:val="FooterTableFigure"/>
        <w:keepNext/>
        <w:keepLines/>
      </w:pPr>
    </w:p>
    <w:p w14:paraId="30DF33D5" w14:textId="26273898" w:rsidR="00A77034" w:rsidRPr="00E750DB" w:rsidRDefault="00A77034" w:rsidP="00E072B9">
      <w:pPr>
        <w:pStyle w:val="3-BodyText"/>
      </w:pPr>
      <w:r w:rsidRPr="00E750DB">
        <w:t xml:space="preserve">The results of key sensitivity analyses are summarised in </w:t>
      </w:r>
      <w:r w:rsidR="00B02F31" w:rsidRPr="00E750DB">
        <w:fldChar w:fldCharType="begin" w:fldLock="1"/>
      </w:r>
      <w:r w:rsidR="00B02F31" w:rsidRPr="00E750DB">
        <w:instrText xml:space="preserve"> REF _Ref196158488 \h </w:instrText>
      </w:r>
      <w:r w:rsidR="0029679A" w:rsidRPr="00E750DB">
        <w:instrText xml:space="preserve"> \* MERGEFORMAT </w:instrText>
      </w:r>
      <w:r w:rsidR="00B02F31" w:rsidRPr="00E750DB">
        <w:fldChar w:fldCharType="separate"/>
      </w:r>
      <w:r w:rsidR="00E750DB" w:rsidRPr="00E750DB">
        <w:t>Table 13</w:t>
      </w:r>
      <w:r w:rsidR="00B02F31" w:rsidRPr="00E750DB">
        <w:fldChar w:fldCharType="end"/>
      </w:r>
      <w:r w:rsidR="00281ADF" w:rsidRPr="00E750DB">
        <w:t>.</w:t>
      </w:r>
      <w:r w:rsidR="00901D4B" w:rsidRPr="00E750DB">
        <w:t xml:space="preserve"> </w:t>
      </w:r>
    </w:p>
    <w:p w14:paraId="5C510812" w14:textId="77777777" w:rsidR="005E6507" w:rsidRPr="00E750DB" w:rsidRDefault="005E6507" w:rsidP="00E072B9">
      <w:pPr>
        <w:pStyle w:val="3-BodyText"/>
        <w:numPr>
          <w:ilvl w:val="0"/>
          <w:numId w:val="0"/>
        </w:numPr>
      </w:pPr>
    </w:p>
    <w:p w14:paraId="54321561" w14:textId="20E30E4D" w:rsidR="00A77034" w:rsidRPr="00E750DB" w:rsidRDefault="00A77034" w:rsidP="00E072B9">
      <w:pPr>
        <w:pStyle w:val="Caption"/>
        <w:keepNext w:val="0"/>
        <w:keepLines w:val="0"/>
      </w:pPr>
      <w:bookmarkStart w:id="61" w:name="_Ref196158488"/>
      <w:r w:rsidRPr="00E750DB">
        <w:t xml:space="preserve">Table </w:t>
      </w:r>
      <w:r w:rsidR="00E750DB">
        <w:fldChar w:fldCharType="begin" w:fldLock="1"/>
      </w:r>
      <w:r w:rsidR="00E750DB">
        <w:instrText xml:space="preserve"> SEQ Table \* ARABIC </w:instrText>
      </w:r>
      <w:r w:rsidR="00E750DB">
        <w:fldChar w:fldCharType="separate"/>
      </w:r>
      <w:r w:rsidR="00E750DB" w:rsidRPr="00E750DB">
        <w:t>13</w:t>
      </w:r>
      <w:r w:rsidR="00E750DB">
        <w:fldChar w:fldCharType="end"/>
      </w:r>
      <w:bookmarkEnd w:id="61"/>
      <w:r w:rsidRPr="00E750DB">
        <w:t>:</w:t>
      </w:r>
      <w:r w:rsidRPr="00E750DB">
        <w:rPr>
          <w:rStyle w:val="CommentReference"/>
          <w:b/>
          <w:szCs w:val="24"/>
        </w:rPr>
        <w:t xml:space="preserve"> </w:t>
      </w:r>
      <w:r w:rsidR="00B02F31" w:rsidRPr="00E750DB">
        <w:t xml:space="preserve">Sensitivity </w:t>
      </w:r>
      <w:r w:rsidRPr="00E750DB">
        <w:t>analysis</w:t>
      </w:r>
      <w:r w:rsidR="00B02F31" w:rsidRPr="00E750DB">
        <w:t xml:space="preserve"> around the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Table 13: Sensitivity analysis around the economic evaluation"/>
      </w:tblPr>
      <w:tblGrid>
        <w:gridCol w:w="4248"/>
        <w:gridCol w:w="667"/>
        <w:gridCol w:w="360"/>
        <w:gridCol w:w="249"/>
        <w:gridCol w:w="1275"/>
        <w:gridCol w:w="1134"/>
        <w:gridCol w:w="1084"/>
      </w:tblGrid>
      <w:tr w:rsidR="00A77034" w:rsidRPr="00E750DB" w14:paraId="24482613" w14:textId="77777777" w:rsidTr="00FF7512">
        <w:trPr>
          <w:tblHeader/>
        </w:trPr>
        <w:tc>
          <w:tcPr>
            <w:tcW w:w="4248" w:type="dxa"/>
            <w:noWrap/>
            <w:vAlign w:val="center"/>
          </w:tcPr>
          <w:p w14:paraId="206AFBB0" w14:textId="77777777" w:rsidR="00A77034" w:rsidRPr="00E750DB" w:rsidRDefault="00A77034" w:rsidP="00E072B9">
            <w:pPr>
              <w:pStyle w:val="In-tableHeading"/>
            </w:pPr>
            <w:r w:rsidRPr="00E750DB">
              <w:t>Variables altered in sensitivity analysis</w:t>
            </w:r>
          </w:p>
        </w:tc>
        <w:tc>
          <w:tcPr>
            <w:tcW w:w="1276" w:type="dxa"/>
            <w:gridSpan w:val="3"/>
            <w:noWrap/>
            <w:vAlign w:val="center"/>
          </w:tcPr>
          <w:p w14:paraId="4346536C" w14:textId="77777777" w:rsidR="00A77034" w:rsidRPr="00E750DB" w:rsidRDefault="00A77034" w:rsidP="00E072B9">
            <w:pPr>
              <w:pStyle w:val="In-tableHeading"/>
            </w:pPr>
            <w:r w:rsidRPr="00E750DB">
              <w:t>Incremental costs</w:t>
            </w:r>
          </w:p>
        </w:tc>
        <w:tc>
          <w:tcPr>
            <w:tcW w:w="1275" w:type="dxa"/>
            <w:noWrap/>
            <w:vAlign w:val="center"/>
          </w:tcPr>
          <w:p w14:paraId="7BFB30D2" w14:textId="77777777" w:rsidR="00A77034" w:rsidRPr="00E750DB" w:rsidRDefault="00A77034" w:rsidP="00E072B9">
            <w:pPr>
              <w:pStyle w:val="In-tableHeading"/>
            </w:pPr>
            <w:r w:rsidRPr="00E750DB">
              <w:t>Incremental QALY</w:t>
            </w:r>
          </w:p>
        </w:tc>
        <w:tc>
          <w:tcPr>
            <w:tcW w:w="1134" w:type="dxa"/>
            <w:noWrap/>
            <w:vAlign w:val="center"/>
          </w:tcPr>
          <w:p w14:paraId="6E8CD947" w14:textId="77777777" w:rsidR="00A77034" w:rsidRPr="00E750DB" w:rsidRDefault="00A77034" w:rsidP="00E072B9">
            <w:pPr>
              <w:pStyle w:val="In-tableHeading"/>
            </w:pPr>
            <w:r w:rsidRPr="00E750DB">
              <w:t>ICER ($/QALYs)</w:t>
            </w:r>
          </w:p>
        </w:tc>
        <w:tc>
          <w:tcPr>
            <w:tcW w:w="1084" w:type="dxa"/>
            <w:noWrap/>
            <w:vAlign w:val="center"/>
          </w:tcPr>
          <w:p w14:paraId="2C7875B3" w14:textId="77777777" w:rsidR="00A77034" w:rsidRPr="00E750DB" w:rsidRDefault="00A77034" w:rsidP="00E072B9">
            <w:pPr>
              <w:pStyle w:val="In-tableHeading"/>
            </w:pPr>
            <w:r w:rsidRPr="00E750DB">
              <w:t>% change from base case</w:t>
            </w:r>
          </w:p>
        </w:tc>
      </w:tr>
      <w:tr w:rsidR="00A77034" w:rsidRPr="00E750DB" w14:paraId="1B582311" w14:textId="77777777" w:rsidTr="00FF7512">
        <w:tc>
          <w:tcPr>
            <w:tcW w:w="4248" w:type="dxa"/>
            <w:noWrap/>
            <w:vAlign w:val="center"/>
          </w:tcPr>
          <w:p w14:paraId="7EE97CC4" w14:textId="77777777" w:rsidR="00A77034" w:rsidRPr="00E750DB" w:rsidRDefault="00A77034" w:rsidP="00E072B9">
            <w:pPr>
              <w:pStyle w:val="In-tableHeading"/>
            </w:pPr>
            <w:r w:rsidRPr="00E750DB">
              <w:t>Base case (BC)</w:t>
            </w:r>
          </w:p>
        </w:tc>
        <w:tc>
          <w:tcPr>
            <w:tcW w:w="1276" w:type="dxa"/>
            <w:gridSpan w:val="3"/>
            <w:noWrap/>
            <w:vAlign w:val="center"/>
          </w:tcPr>
          <w:p w14:paraId="5E64718C" w14:textId="55FF97F7" w:rsidR="00A77034" w:rsidRPr="00E750DB" w:rsidRDefault="00A77034" w:rsidP="00E072B9">
            <w:pPr>
              <w:pStyle w:val="In-tableHeading"/>
            </w:pPr>
            <w:r w:rsidRPr="00E750DB">
              <w:t>$</w:t>
            </w:r>
            <w:r w:rsidR="00B35ACC" w:rsidRPr="009742C5">
              <w:rPr>
                <w:color w:val="000000"/>
                <w:spacing w:val="53"/>
                <w:shd w:val="solid" w:color="000000" w:fill="000000"/>
                <w:fitText w:val="330" w:id="-625249788"/>
                <w14:textFill>
                  <w14:solidFill>
                    <w14:srgbClr w14:val="000000">
                      <w14:alpha w14:val="100000"/>
                    </w14:srgbClr>
                  </w14:solidFill>
                </w14:textFill>
              </w:rPr>
              <w:t>|||</w:t>
            </w:r>
            <w:r w:rsidR="00B35ACC" w:rsidRPr="009742C5">
              <w:rPr>
                <w:color w:val="000000"/>
                <w:spacing w:val="1"/>
                <w:shd w:val="solid" w:color="000000" w:fill="000000"/>
                <w:fitText w:val="330" w:id="-625249788"/>
                <w14:textFill>
                  <w14:solidFill>
                    <w14:srgbClr w14:val="000000">
                      <w14:alpha w14:val="100000"/>
                    </w14:srgbClr>
                  </w14:solidFill>
                </w14:textFill>
              </w:rPr>
              <w:t>|</w:t>
            </w:r>
          </w:p>
        </w:tc>
        <w:tc>
          <w:tcPr>
            <w:tcW w:w="1275" w:type="dxa"/>
            <w:noWrap/>
            <w:vAlign w:val="center"/>
          </w:tcPr>
          <w:p w14:paraId="4E64FBEC" w14:textId="77777777" w:rsidR="00A77034" w:rsidRPr="00E750DB" w:rsidRDefault="00A77034" w:rsidP="00E072B9">
            <w:pPr>
              <w:pStyle w:val="In-tableHeading"/>
            </w:pPr>
            <w:r w:rsidRPr="00E750DB">
              <w:t>6.43</w:t>
            </w:r>
          </w:p>
        </w:tc>
        <w:tc>
          <w:tcPr>
            <w:tcW w:w="1134" w:type="dxa"/>
            <w:noWrap/>
            <w:vAlign w:val="center"/>
          </w:tcPr>
          <w:p w14:paraId="13217470" w14:textId="74578E59" w:rsidR="00A77034" w:rsidRPr="00C757DF" w:rsidRDefault="00A77034" w:rsidP="00E072B9">
            <w:pPr>
              <w:pStyle w:val="In-tableHeading"/>
              <w:rPr>
                <w:vertAlign w:val="superscript"/>
              </w:rPr>
            </w:pPr>
            <w:r w:rsidRPr="00E750DB">
              <w:t>$</w:t>
            </w:r>
            <w:r w:rsidR="00B35ACC" w:rsidRPr="009742C5">
              <w:rPr>
                <w:color w:val="000000"/>
                <w:spacing w:val="53"/>
                <w:shd w:val="solid" w:color="000000" w:fill="000000"/>
                <w:fitText w:val="330" w:id="-625249787"/>
                <w14:textFill>
                  <w14:solidFill>
                    <w14:srgbClr w14:val="000000">
                      <w14:alpha w14:val="100000"/>
                    </w14:srgbClr>
                  </w14:solidFill>
                </w14:textFill>
              </w:rPr>
              <w:t>|||</w:t>
            </w:r>
            <w:r w:rsidR="00B35ACC" w:rsidRPr="009742C5">
              <w:rPr>
                <w:color w:val="000000"/>
                <w:spacing w:val="1"/>
                <w:shd w:val="solid" w:color="000000" w:fill="000000"/>
                <w:fitText w:val="330" w:id="-625249787"/>
                <w14:textFill>
                  <w14:solidFill>
                    <w14:srgbClr w14:val="000000">
                      <w14:alpha w14:val="100000"/>
                    </w14:srgbClr>
                  </w14:solidFill>
                </w14:textFill>
              </w:rPr>
              <w:t>|</w:t>
            </w:r>
            <w:r w:rsidR="00C757DF">
              <w:rPr>
                <w:vertAlign w:val="superscript"/>
              </w:rPr>
              <w:t>1</w:t>
            </w:r>
          </w:p>
        </w:tc>
        <w:tc>
          <w:tcPr>
            <w:tcW w:w="1084" w:type="dxa"/>
            <w:noWrap/>
            <w:vAlign w:val="center"/>
          </w:tcPr>
          <w:p w14:paraId="057CAF27" w14:textId="77777777" w:rsidR="00A77034" w:rsidRPr="00E750DB" w:rsidRDefault="00A77034" w:rsidP="00E072B9">
            <w:pPr>
              <w:pStyle w:val="In-tableHeading"/>
            </w:pPr>
            <w:r w:rsidRPr="00E750DB">
              <w:t>0%</w:t>
            </w:r>
          </w:p>
        </w:tc>
      </w:tr>
      <w:tr w:rsidR="00A77034" w:rsidRPr="00E750DB" w14:paraId="5CF9D4F9" w14:textId="77777777" w:rsidTr="00FF7512">
        <w:tc>
          <w:tcPr>
            <w:tcW w:w="9017" w:type="dxa"/>
            <w:gridSpan w:val="7"/>
            <w:noWrap/>
            <w:vAlign w:val="center"/>
          </w:tcPr>
          <w:p w14:paraId="1F4609FC" w14:textId="77777777" w:rsidR="00A77034" w:rsidRPr="00E750DB" w:rsidRDefault="00A77034" w:rsidP="00E072B9">
            <w:pPr>
              <w:pStyle w:val="Tabletext"/>
            </w:pPr>
            <w:r w:rsidRPr="00E750DB">
              <w:t>Discount rate (BC 5% costs and outcomes)</w:t>
            </w:r>
          </w:p>
        </w:tc>
      </w:tr>
      <w:tr w:rsidR="00A77034" w:rsidRPr="00E750DB" w14:paraId="40AFD8AC" w14:textId="77777777" w:rsidTr="00FF7512">
        <w:tc>
          <w:tcPr>
            <w:tcW w:w="4248" w:type="dxa"/>
            <w:noWrap/>
            <w:vAlign w:val="center"/>
          </w:tcPr>
          <w:p w14:paraId="776C38C8" w14:textId="77777777" w:rsidR="00A77034" w:rsidRPr="00E750DB" w:rsidRDefault="00A77034" w:rsidP="00E072B9">
            <w:pPr>
              <w:pStyle w:val="Tabletext"/>
            </w:pPr>
            <w:r w:rsidRPr="00E750DB">
              <w:t>0 % (costs and outcomes)</w:t>
            </w:r>
          </w:p>
        </w:tc>
        <w:tc>
          <w:tcPr>
            <w:tcW w:w="1276" w:type="dxa"/>
            <w:gridSpan w:val="3"/>
            <w:noWrap/>
            <w:vAlign w:val="center"/>
          </w:tcPr>
          <w:p w14:paraId="0DCB592E" w14:textId="16124985" w:rsidR="00A77034" w:rsidRPr="00E750DB" w:rsidRDefault="00E072B9" w:rsidP="00E072B9">
            <w:pPr>
              <w:pStyle w:val="Tabletext"/>
            </w:pPr>
            <w:r>
              <w:noBreakHyphen/>
            </w:r>
            <w:r w:rsidR="00A77034" w:rsidRPr="00E750DB">
              <w:t>$</w:t>
            </w:r>
            <w:r w:rsidR="00B35ACC" w:rsidRPr="009742C5">
              <w:rPr>
                <w:color w:val="000000"/>
                <w:spacing w:val="53"/>
                <w:shd w:val="solid" w:color="000000" w:fill="000000"/>
                <w:fitText w:val="330" w:id="-625249786"/>
                <w14:textFill>
                  <w14:solidFill>
                    <w14:srgbClr w14:val="000000">
                      <w14:alpha w14:val="100000"/>
                    </w14:srgbClr>
                  </w14:solidFill>
                </w14:textFill>
              </w:rPr>
              <w:t>|||</w:t>
            </w:r>
            <w:r w:rsidR="00B35ACC" w:rsidRPr="009742C5">
              <w:rPr>
                <w:color w:val="000000"/>
                <w:spacing w:val="1"/>
                <w:shd w:val="solid" w:color="000000" w:fill="000000"/>
                <w:fitText w:val="330" w:id="-625249786"/>
                <w14:textFill>
                  <w14:solidFill>
                    <w14:srgbClr w14:val="000000">
                      <w14:alpha w14:val="100000"/>
                    </w14:srgbClr>
                  </w14:solidFill>
                </w14:textFill>
              </w:rPr>
              <w:t>|</w:t>
            </w:r>
          </w:p>
        </w:tc>
        <w:tc>
          <w:tcPr>
            <w:tcW w:w="1275" w:type="dxa"/>
            <w:noWrap/>
            <w:vAlign w:val="center"/>
          </w:tcPr>
          <w:p w14:paraId="4D28EB63" w14:textId="77777777" w:rsidR="00A77034" w:rsidRPr="00E750DB" w:rsidRDefault="00A77034" w:rsidP="00E072B9">
            <w:pPr>
              <w:pStyle w:val="Tabletext"/>
            </w:pPr>
            <w:r w:rsidRPr="00E750DB">
              <w:t>16.14</w:t>
            </w:r>
          </w:p>
        </w:tc>
        <w:tc>
          <w:tcPr>
            <w:tcW w:w="1134" w:type="dxa"/>
            <w:noWrap/>
            <w:vAlign w:val="center"/>
          </w:tcPr>
          <w:p w14:paraId="35DB1F37" w14:textId="77777777" w:rsidR="00A77034" w:rsidRPr="00E750DB" w:rsidRDefault="00A77034" w:rsidP="00E072B9">
            <w:pPr>
              <w:pStyle w:val="Tabletext"/>
            </w:pPr>
            <w:r w:rsidRPr="00E750DB">
              <w:t>dominant</w:t>
            </w:r>
          </w:p>
        </w:tc>
        <w:tc>
          <w:tcPr>
            <w:tcW w:w="1084" w:type="dxa"/>
            <w:noWrap/>
            <w:vAlign w:val="center"/>
          </w:tcPr>
          <w:p w14:paraId="32494A30" w14:textId="77777777" w:rsidR="00A77034" w:rsidRPr="00E750DB" w:rsidRDefault="00A77034" w:rsidP="00E072B9">
            <w:pPr>
              <w:pStyle w:val="Tabletext"/>
            </w:pPr>
          </w:p>
        </w:tc>
      </w:tr>
      <w:tr w:rsidR="00A77034" w:rsidRPr="00E750DB" w14:paraId="7EA9E397" w14:textId="77777777" w:rsidTr="00FF7512">
        <w:tc>
          <w:tcPr>
            <w:tcW w:w="4248" w:type="dxa"/>
            <w:noWrap/>
            <w:vAlign w:val="center"/>
          </w:tcPr>
          <w:p w14:paraId="35181208" w14:textId="77777777" w:rsidR="00A77034" w:rsidRPr="00E750DB" w:rsidRDefault="00A77034" w:rsidP="00E072B9">
            <w:pPr>
              <w:pStyle w:val="Tabletext"/>
            </w:pPr>
            <w:r w:rsidRPr="00E750DB">
              <w:t>3.5% (costs and outcomes)</w:t>
            </w:r>
          </w:p>
        </w:tc>
        <w:tc>
          <w:tcPr>
            <w:tcW w:w="1276" w:type="dxa"/>
            <w:gridSpan w:val="3"/>
            <w:noWrap/>
            <w:vAlign w:val="center"/>
          </w:tcPr>
          <w:p w14:paraId="777884AF" w14:textId="22E7FECD" w:rsidR="00A77034" w:rsidRPr="00E750DB" w:rsidRDefault="00A77034" w:rsidP="00E072B9">
            <w:pPr>
              <w:pStyle w:val="Tabletext"/>
            </w:pPr>
            <w:r w:rsidRPr="00E750DB">
              <w:t>$</w:t>
            </w:r>
            <w:r w:rsidR="00B35ACC" w:rsidRPr="009742C5">
              <w:rPr>
                <w:color w:val="000000"/>
                <w:spacing w:val="53"/>
                <w:shd w:val="solid" w:color="000000" w:fill="000000"/>
                <w:fitText w:val="330" w:id="-625249785"/>
                <w14:textFill>
                  <w14:solidFill>
                    <w14:srgbClr w14:val="000000">
                      <w14:alpha w14:val="100000"/>
                    </w14:srgbClr>
                  </w14:solidFill>
                </w14:textFill>
              </w:rPr>
              <w:t>|||</w:t>
            </w:r>
            <w:r w:rsidR="00B35ACC" w:rsidRPr="009742C5">
              <w:rPr>
                <w:color w:val="000000"/>
                <w:spacing w:val="1"/>
                <w:shd w:val="solid" w:color="000000" w:fill="000000"/>
                <w:fitText w:val="330" w:id="-625249785"/>
                <w14:textFill>
                  <w14:solidFill>
                    <w14:srgbClr w14:val="000000">
                      <w14:alpha w14:val="100000"/>
                    </w14:srgbClr>
                  </w14:solidFill>
                </w14:textFill>
              </w:rPr>
              <w:t>|</w:t>
            </w:r>
          </w:p>
        </w:tc>
        <w:tc>
          <w:tcPr>
            <w:tcW w:w="1275" w:type="dxa"/>
            <w:noWrap/>
            <w:vAlign w:val="center"/>
          </w:tcPr>
          <w:p w14:paraId="65872E39" w14:textId="77777777" w:rsidR="00A77034" w:rsidRPr="00E750DB" w:rsidRDefault="00A77034" w:rsidP="00E072B9">
            <w:pPr>
              <w:pStyle w:val="Tabletext"/>
            </w:pPr>
            <w:r w:rsidRPr="00E750DB">
              <w:t>8.08</w:t>
            </w:r>
          </w:p>
        </w:tc>
        <w:tc>
          <w:tcPr>
            <w:tcW w:w="1134" w:type="dxa"/>
            <w:noWrap/>
            <w:vAlign w:val="center"/>
          </w:tcPr>
          <w:p w14:paraId="0E053C44" w14:textId="37CE210A" w:rsidR="00A77034" w:rsidRPr="007A27A5" w:rsidRDefault="00A77034" w:rsidP="00E072B9">
            <w:pPr>
              <w:pStyle w:val="Tabletext"/>
              <w:rPr>
                <w:vertAlign w:val="superscript"/>
              </w:rPr>
            </w:pPr>
            <w:r w:rsidRPr="00E750DB">
              <w:t>$</w:t>
            </w:r>
            <w:r w:rsidR="00B35ACC" w:rsidRPr="009742C5">
              <w:rPr>
                <w:color w:val="000000"/>
                <w:spacing w:val="53"/>
                <w:shd w:val="solid" w:color="000000" w:fill="000000"/>
                <w:fitText w:val="330" w:id="-625249784"/>
                <w14:textFill>
                  <w14:solidFill>
                    <w14:srgbClr w14:val="000000">
                      <w14:alpha w14:val="100000"/>
                    </w14:srgbClr>
                  </w14:solidFill>
                </w14:textFill>
              </w:rPr>
              <w:t>|||</w:t>
            </w:r>
            <w:r w:rsidR="00B35ACC" w:rsidRPr="009742C5">
              <w:rPr>
                <w:color w:val="000000"/>
                <w:spacing w:val="1"/>
                <w:shd w:val="solid" w:color="000000" w:fill="000000"/>
                <w:fitText w:val="330" w:id="-625249784"/>
                <w14:textFill>
                  <w14:solidFill>
                    <w14:srgbClr w14:val="000000">
                      <w14:alpha w14:val="100000"/>
                    </w14:srgbClr>
                  </w14:solidFill>
                </w14:textFill>
              </w:rPr>
              <w:t>|</w:t>
            </w:r>
            <w:r w:rsidR="007A27A5">
              <w:rPr>
                <w:vertAlign w:val="superscript"/>
              </w:rPr>
              <w:t>2</w:t>
            </w:r>
          </w:p>
        </w:tc>
        <w:tc>
          <w:tcPr>
            <w:tcW w:w="1084" w:type="dxa"/>
            <w:noWrap/>
            <w:vAlign w:val="center"/>
          </w:tcPr>
          <w:p w14:paraId="79E5C455" w14:textId="0610DC35" w:rsidR="00A77034" w:rsidRPr="00E750DB" w:rsidRDefault="00E072B9" w:rsidP="00E072B9">
            <w:pPr>
              <w:pStyle w:val="Tabletext"/>
            </w:pPr>
            <w:r>
              <w:noBreakHyphen/>
            </w:r>
            <w:r w:rsidR="00B35ACC" w:rsidRPr="009742C5">
              <w:rPr>
                <w:color w:val="000000"/>
                <w:spacing w:val="53"/>
                <w:shd w:val="solid" w:color="000000" w:fill="000000"/>
                <w:fitText w:val="330" w:id="-625249783"/>
                <w14:textFill>
                  <w14:solidFill>
                    <w14:srgbClr w14:val="000000">
                      <w14:alpha w14:val="100000"/>
                    </w14:srgbClr>
                  </w14:solidFill>
                </w14:textFill>
              </w:rPr>
              <w:t>|||</w:t>
            </w:r>
            <w:r w:rsidR="00B35ACC" w:rsidRPr="009742C5">
              <w:rPr>
                <w:color w:val="000000"/>
                <w:spacing w:val="1"/>
                <w:shd w:val="solid" w:color="000000" w:fill="000000"/>
                <w:fitText w:val="330" w:id="-625249783"/>
                <w14:textFill>
                  <w14:solidFill>
                    <w14:srgbClr w14:val="000000">
                      <w14:alpha w14:val="100000"/>
                    </w14:srgbClr>
                  </w14:solidFill>
                </w14:textFill>
              </w:rPr>
              <w:t>|</w:t>
            </w:r>
            <w:r w:rsidR="00A77034" w:rsidRPr="00E750DB">
              <w:t>%</w:t>
            </w:r>
          </w:p>
        </w:tc>
      </w:tr>
      <w:tr w:rsidR="00A77034" w:rsidRPr="00E750DB" w14:paraId="7E6AC2FC" w14:textId="77777777" w:rsidTr="00FF7512">
        <w:tc>
          <w:tcPr>
            <w:tcW w:w="9017" w:type="dxa"/>
            <w:gridSpan w:val="7"/>
            <w:noWrap/>
            <w:vAlign w:val="center"/>
          </w:tcPr>
          <w:p w14:paraId="568D1BA7" w14:textId="77777777" w:rsidR="00A77034" w:rsidRPr="00E750DB" w:rsidRDefault="00A77034" w:rsidP="00E072B9">
            <w:pPr>
              <w:pStyle w:val="Tabletext"/>
            </w:pPr>
            <w:r w:rsidRPr="00E750DB">
              <w:t>Time horizon (BC lifetime; 63 years)</w:t>
            </w:r>
          </w:p>
        </w:tc>
      </w:tr>
      <w:tr w:rsidR="00A77034" w:rsidRPr="00E750DB" w14:paraId="07B6A2D7" w14:textId="77777777" w:rsidTr="00FF7512">
        <w:tc>
          <w:tcPr>
            <w:tcW w:w="4248" w:type="dxa"/>
            <w:noWrap/>
            <w:vAlign w:val="center"/>
          </w:tcPr>
          <w:p w14:paraId="60C73E46" w14:textId="77777777" w:rsidR="00A77034" w:rsidRPr="00E750DB" w:rsidRDefault="00A77034" w:rsidP="00E072B9">
            <w:pPr>
              <w:pStyle w:val="Tabletext"/>
            </w:pPr>
            <w:r w:rsidRPr="00E750DB">
              <w:t>30 years</w:t>
            </w:r>
          </w:p>
        </w:tc>
        <w:tc>
          <w:tcPr>
            <w:tcW w:w="1276" w:type="dxa"/>
            <w:gridSpan w:val="3"/>
            <w:noWrap/>
            <w:vAlign w:val="center"/>
          </w:tcPr>
          <w:p w14:paraId="56ACDFAA" w14:textId="442E74DD" w:rsidR="00A77034" w:rsidRPr="00E750DB" w:rsidRDefault="00A77034" w:rsidP="00E072B9">
            <w:pPr>
              <w:pStyle w:val="Tabletext"/>
            </w:pPr>
            <w:r w:rsidRPr="00E750DB">
              <w:t>$</w:t>
            </w:r>
            <w:r w:rsidR="00B35ACC" w:rsidRPr="009742C5">
              <w:rPr>
                <w:color w:val="000000"/>
                <w:spacing w:val="53"/>
                <w:shd w:val="solid" w:color="000000" w:fill="000000"/>
                <w:fitText w:val="330" w:id="-625249782"/>
                <w14:textFill>
                  <w14:solidFill>
                    <w14:srgbClr w14:val="000000">
                      <w14:alpha w14:val="100000"/>
                    </w14:srgbClr>
                  </w14:solidFill>
                </w14:textFill>
              </w:rPr>
              <w:t>|||</w:t>
            </w:r>
            <w:r w:rsidR="00B35ACC" w:rsidRPr="009742C5">
              <w:rPr>
                <w:color w:val="000000"/>
                <w:spacing w:val="1"/>
                <w:shd w:val="solid" w:color="000000" w:fill="000000"/>
                <w:fitText w:val="330" w:id="-625249782"/>
                <w14:textFill>
                  <w14:solidFill>
                    <w14:srgbClr w14:val="000000">
                      <w14:alpha w14:val="100000"/>
                    </w14:srgbClr>
                  </w14:solidFill>
                </w14:textFill>
              </w:rPr>
              <w:t>|</w:t>
            </w:r>
          </w:p>
        </w:tc>
        <w:tc>
          <w:tcPr>
            <w:tcW w:w="1275" w:type="dxa"/>
            <w:noWrap/>
            <w:vAlign w:val="center"/>
          </w:tcPr>
          <w:p w14:paraId="410D6D9A" w14:textId="77777777" w:rsidR="00A77034" w:rsidRPr="00E750DB" w:rsidRDefault="00A77034" w:rsidP="00E072B9">
            <w:pPr>
              <w:pStyle w:val="Tabletext"/>
            </w:pPr>
            <w:r w:rsidRPr="00E750DB">
              <w:t>5.57</w:t>
            </w:r>
          </w:p>
        </w:tc>
        <w:tc>
          <w:tcPr>
            <w:tcW w:w="1134" w:type="dxa"/>
            <w:noWrap/>
            <w:vAlign w:val="center"/>
          </w:tcPr>
          <w:p w14:paraId="3B32758D" w14:textId="25C3109D" w:rsidR="00A77034" w:rsidRPr="00E621FD" w:rsidRDefault="00A77034" w:rsidP="00E072B9">
            <w:pPr>
              <w:pStyle w:val="Tabletext"/>
              <w:rPr>
                <w:vertAlign w:val="superscript"/>
              </w:rPr>
            </w:pPr>
            <w:r w:rsidRPr="00E750DB">
              <w:t>$</w:t>
            </w:r>
            <w:r w:rsidR="00B35ACC" w:rsidRPr="009742C5">
              <w:rPr>
                <w:color w:val="000000"/>
                <w:spacing w:val="53"/>
                <w:shd w:val="solid" w:color="000000" w:fill="000000"/>
                <w:fitText w:val="330" w:id="-625249781"/>
                <w14:textFill>
                  <w14:solidFill>
                    <w14:srgbClr w14:val="000000">
                      <w14:alpha w14:val="100000"/>
                    </w14:srgbClr>
                  </w14:solidFill>
                </w14:textFill>
              </w:rPr>
              <w:t>|||</w:t>
            </w:r>
            <w:r w:rsidR="00B35ACC" w:rsidRPr="009742C5">
              <w:rPr>
                <w:color w:val="000000"/>
                <w:spacing w:val="1"/>
                <w:shd w:val="solid" w:color="000000" w:fill="000000"/>
                <w:fitText w:val="330" w:id="-625249781"/>
                <w14:textFill>
                  <w14:solidFill>
                    <w14:srgbClr w14:val="000000">
                      <w14:alpha w14:val="100000"/>
                    </w14:srgbClr>
                  </w14:solidFill>
                </w14:textFill>
              </w:rPr>
              <w:t>|</w:t>
            </w:r>
            <w:r w:rsidR="00E621FD">
              <w:rPr>
                <w:vertAlign w:val="superscript"/>
              </w:rPr>
              <w:t>3</w:t>
            </w:r>
          </w:p>
        </w:tc>
        <w:tc>
          <w:tcPr>
            <w:tcW w:w="1084" w:type="dxa"/>
            <w:noWrap/>
            <w:vAlign w:val="center"/>
          </w:tcPr>
          <w:p w14:paraId="19D47C70" w14:textId="4FB057FA" w:rsidR="00A77034" w:rsidRPr="00E750DB" w:rsidRDefault="00B35ACC" w:rsidP="00E072B9">
            <w:pPr>
              <w:pStyle w:val="Tabletext"/>
            </w:pPr>
            <w:r w:rsidRPr="009742C5">
              <w:rPr>
                <w:color w:val="000000"/>
                <w:spacing w:val="53"/>
                <w:shd w:val="solid" w:color="000000" w:fill="000000"/>
                <w:fitText w:val="330" w:id="-625249780"/>
                <w14:textFill>
                  <w14:solidFill>
                    <w14:srgbClr w14:val="000000">
                      <w14:alpha w14:val="100000"/>
                    </w14:srgbClr>
                  </w14:solidFill>
                </w14:textFill>
              </w:rPr>
              <w:t>|||</w:t>
            </w:r>
            <w:r w:rsidRPr="009742C5">
              <w:rPr>
                <w:color w:val="000000"/>
                <w:spacing w:val="1"/>
                <w:shd w:val="solid" w:color="000000" w:fill="000000"/>
                <w:fitText w:val="330" w:id="-625249780"/>
                <w14:textFill>
                  <w14:solidFill>
                    <w14:srgbClr w14:val="000000">
                      <w14:alpha w14:val="100000"/>
                    </w14:srgbClr>
                  </w14:solidFill>
                </w14:textFill>
              </w:rPr>
              <w:t>|</w:t>
            </w:r>
            <w:r w:rsidR="00A77034" w:rsidRPr="00E750DB">
              <w:t>%</w:t>
            </w:r>
          </w:p>
        </w:tc>
      </w:tr>
      <w:tr w:rsidR="00A77034" w:rsidRPr="00E750DB" w14:paraId="19F5AB56" w14:textId="77777777" w:rsidTr="00FF7512">
        <w:tc>
          <w:tcPr>
            <w:tcW w:w="4248" w:type="dxa"/>
            <w:noWrap/>
            <w:vAlign w:val="center"/>
          </w:tcPr>
          <w:p w14:paraId="0491D6E5" w14:textId="77777777" w:rsidR="00A77034" w:rsidRPr="00E750DB" w:rsidRDefault="00A77034" w:rsidP="00E072B9">
            <w:pPr>
              <w:pStyle w:val="Tabletext"/>
            </w:pPr>
            <w:r w:rsidRPr="00E750DB">
              <w:t>40 years</w:t>
            </w:r>
          </w:p>
        </w:tc>
        <w:tc>
          <w:tcPr>
            <w:tcW w:w="1276" w:type="dxa"/>
            <w:gridSpan w:val="3"/>
            <w:noWrap/>
            <w:vAlign w:val="center"/>
          </w:tcPr>
          <w:p w14:paraId="69EDB8ED" w14:textId="1E034839" w:rsidR="00A77034" w:rsidRPr="00E750DB" w:rsidRDefault="00A77034" w:rsidP="00E072B9">
            <w:pPr>
              <w:pStyle w:val="Tabletext"/>
            </w:pPr>
            <w:r w:rsidRPr="00E750DB">
              <w:t>$</w:t>
            </w:r>
            <w:r w:rsidR="00B35ACC" w:rsidRPr="009742C5">
              <w:rPr>
                <w:color w:val="000000"/>
                <w:spacing w:val="53"/>
                <w:shd w:val="solid" w:color="000000" w:fill="000000"/>
                <w:fitText w:val="330" w:id="-625249779"/>
                <w14:textFill>
                  <w14:solidFill>
                    <w14:srgbClr w14:val="000000">
                      <w14:alpha w14:val="100000"/>
                    </w14:srgbClr>
                  </w14:solidFill>
                </w14:textFill>
              </w:rPr>
              <w:t>|||</w:t>
            </w:r>
            <w:r w:rsidR="00B35ACC" w:rsidRPr="009742C5">
              <w:rPr>
                <w:color w:val="000000"/>
                <w:spacing w:val="1"/>
                <w:shd w:val="solid" w:color="000000" w:fill="000000"/>
                <w:fitText w:val="330" w:id="-625249779"/>
                <w14:textFill>
                  <w14:solidFill>
                    <w14:srgbClr w14:val="000000">
                      <w14:alpha w14:val="100000"/>
                    </w14:srgbClr>
                  </w14:solidFill>
                </w14:textFill>
              </w:rPr>
              <w:t>|</w:t>
            </w:r>
          </w:p>
        </w:tc>
        <w:tc>
          <w:tcPr>
            <w:tcW w:w="1275" w:type="dxa"/>
            <w:noWrap/>
            <w:vAlign w:val="center"/>
          </w:tcPr>
          <w:p w14:paraId="5FDC3C9B" w14:textId="77777777" w:rsidR="00A77034" w:rsidRPr="00E750DB" w:rsidRDefault="00A77034" w:rsidP="00E072B9">
            <w:pPr>
              <w:pStyle w:val="Tabletext"/>
            </w:pPr>
            <w:r w:rsidRPr="00E750DB">
              <w:t>6.14</w:t>
            </w:r>
          </w:p>
        </w:tc>
        <w:tc>
          <w:tcPr>
            <w:tcW w:w="1134" w:type="dxa"/>
            <w:noWrap/>
            <w:vAlign w:val="center"/>
          </w:tcPr>
          <w:p w14:paraId="1F0DDE5A" w14:textId="1D883DF8" w:rsidR="00A77034" w:rsidRPr="00C757DF" w:rsidRDefault="00A77034" w:rsidP="00E072B9">
            <w:pPr>
              <w:pStyle w:val="Tabletext"/>
              <w:rPr>
                <w:vertAlign w:val="superscript"/>
              </w:rPr>
            </w:pPr>
            <w:r w:rsidRPr="00E750DB">
              <w:t>$</w:t>
            </w:r>
            <w:r w:rsidR="00B35ACC" w:rsidRPr="009742C5">
              <w:rPr>
                <w:color w:val="000000"/>
                <w:spacing w:val="53"/>
                <w:shd w:val="solid" w:color="000000" w:fill="000000"/>
                <w:fitText w:val="330" w:id="-625249778"/>
                <w14:textFill>
                  <w14:solidFill>
                    <w14:srgbClr w14:val="000000">
                      <w14:alpha w14:val="100000"/>
                    </w14:srgbClr>
                  </w14:solidFill>
                </w14:textFill>
              </w:rPr>
              <w:t>|||</w:t>
            </w:r>
            <w:r w:rsidR="00B35ACC" w:rsidRPr="009742C5">
              <w:rPr>
                <w:color w:val="000000"/>
                <w:spacing w:val="1"/>
                <w:shd w:val="solid" w:color="000000" w:fill="000000"/>
                <w:fitText w:val="330" w:id="-625249778"/>
                <w14:textFill>
                  <w14:solidFill>
                    <w14:srgbClr w14:val="000000">
                      <w14:alpha w14:val="100000"/>
                    </w14:srgbClr>
                  </w14:solidFill>
                </w14:textFill>
              </w:rPr>
              <w:t>|</w:t>
            </w:r>
            <w:r w:rsidR="00C757DF">
              <w:rPr>
                <w:vertAlign w:val="superscript"/>
              </w:rPr>
              <w:t>1</w:t>
            </w:r>
          </w:p>
        </w:tc>
        <w:tc>
          <w:tcPr>
            <w:tcW w:w="1084" w:type="dxa"/>
            <w:noWrap/>
            <w:vAlign w:val="center"/>
          </w:tcPr>
          <w:p w14:paraId="7217E694" w14:textId="0C8EE53E" w:rsidR="00A77034" w:rsidRPr="00E750DB" w:rsidRDefault="00B35ACC" w:rsidP="00E072B9">
            <w:pPr>
              <w:pStyle w:val="Tabletext"/>
            </w:pPr>
            <w:r w:rsidRPr="009742C5">
              <w:rPr>
                <w:color w:val="000000"/>
                <w:spacing w:val="53"/>
                <w:shd w:val="solid" w:color="000000" w:fill="000000"/>
                <w:fitText w:val="330" w:id="-625249777"/>
                <w14:textFill>
                  <w14:solidFill>
                    <w14:srgbClr w14:val="000000">
                      <w14:alpha w14:val="100000"/>
                    </w14:srgbClr>
                  </w14:solidFill>
                </w14:textFill>
              </w:rPr>
              <w:t>|||</w:t>
            </w:r>
            <w:r w:rsidRPr="009742C5">
              <w:rPr>
                <w:color w:val="000000"/>
                <w:spacing w:val="1"/>
                <w:shd w:val="solid" w:color="000000" w:fill="000000"/>
                <w:fitText w:val="330" w:id="-625249777"/>
                <w14:textFill>
                  <w14:solidFill>
                    <w14:srgbClr w14:val="000000">
                      <w14:alpha w14:val="100000"/>
                    </w14:srgbClr>
                  </w14:solidFill>
                </w14:textFill>
              </w:rPr>
              <w:t>|</w:t>
            </w:r>
            <w:r w:rsidR="00A77034" w:rsidRPr="00E750DB">
              <w:t>%</w:t>
            </w:r>
          </w:p>
        </w:tc>
      </w:tr>
      <w:tr w:rsidR="00487317" w:rsidRPr="00E750DB" w14:paraId="4ABD3C58" w14:textId="77777777" w:rsidTr="00FF7512">
        <w:tc>
          <w:tcPr>
            <w:tcW w:w="4248" w:type="dxa"/>
            <w:noWrap/>
            <w:vAlign w:val="center"/>
          </w:tcPr>
          <w:p w14:paraId="761B0EE4" w14:textId="337B2BBD" w:rsidR="00487317" w:rsidRPr="00E750DB" w:rsidRDefault="00487317" w:rsidP="00E072B9">
            <w:pPr>
              <w:pStyle w:val="Tabletext"/>
            </w:pPr>
            <w:r w:rsidRPr="00E750DB">
              <w:t>Include PBS markup of $162.60 per script (BC not included)</w:t>
            </w:r>
          </w:p>
        </w:tc>
        <w:tc>
          <w:tcPr>
            <w:tcW w:w="1276" w:type="dxa"/>
            <w:gridSpan w:val="3"/>
            <w:noWrap/>
            <w:vAlign w:val="center"/>
          </w:tcPr>
          <w:p w14:paraId="071738B8" w14:textId="77EEF266" w:rsidR="00487317" w:rsidRPr="00E750DB" w:rsidRDefault="00487317" w:rsidP="00E072B9">
            <w:pPr>
              <w:pStyle w:val="Tabletext"/>
            </w:pPr>
            <w:r w:rsidRPr="00E750DB">
              <w:t>$</w:t>
            </w:r>
            <w:r w:rsidR="00B35ACC" w:rsidRPr="009742C5">
              <w:rPr>
                <w:color w:val="000000"/>
                <w:spacing w:val="53"/>
                <w:shd w:val="solid" w:color="000000" w:fill="000000"/>
                <w:fitText w:val="330" w:id="-625249776"/>
                <w14:textFill>
                  <w14:solidFill>
                    <w14:srgbClr w14:val="000000">
                      <w14:alpha w14:val="100000"/>
                    </w14:srgbClr>
                  </w14:solidFill>
                </w14:textFill>
              </w:rPr>
              <w:t>|||</w:t>
            </w:r>
            <w:r w:rsidR="00B35ACC" w:rsidRPr="009742C5">
              <w:rPr>
                <w:color w:val="000000"/>
                <w:spacing w:val="1"/>
                <w:shd w:val="solid" w:color="000000" w:fill="000000"/>
                <w:fitText w:val="330" w:id="-625249776"/>
                <w14:textFill>
                  <w14:solidFill>
                    <w14:srgbClr w14:val="000000">
                      <w14:alpha w14:val="100000"/>
                    </w14:srgbClr>
                  </w14:solidFill>
                </w14:textFill>
              </w:rPr>
              <w:t>|</w:t>
            </w:r>
          </w:p>
        </w:tc>
        <w:tc>
          <w:tcPr>
            <w:tcW w:w="1275" w:type="dxa"/>
            <w:noWrap/>
            <w:vAlign w:val="center"/>
          </w:tcPr>
          <w:p w14:paraId="20E78FEF" w14:textId="01988723" w:rsidR="00487317" w:rsidRPr="00E750DB" w:rsidRDefault="00487317" w:rsidP="00E072B9">
            <w:pPr>
              <w:pStyle w:val="Tabletext"/>
            </w:pPr>
            <w:r w:rsidRPr="00E750DB">
              <w:t>6.43</w:t>
            </w:r>
          </w:p>
        </w:tc>
        <w:tc>
          <w:tcPr>
            <w:tcW w:w="1134" w:type="dxa"/>
            <w:noWrap/>
            <w:vAlign w:val="center"/>
          </w:tcPr>
          <w:p w14:paraId="6E899A4A" w14:textId="1B60D0AA" w:rsidR="00487317" w:rsidRPr="00C757DF" w:rsidRDefault="00487317" w:rsidP="00E072B9">
            <w:pPr>
              <w:pStyle w:val="Tabletext"/>
              <w:rPr>
                <w:vertAlign w:val="superscript"/>
              </w:rPr>
            </w:pPr>
            <w:r w:rsidRPr="00E750DB">
              <w:t>$</w:t>
            </w:r>
            <w:r w:rsidR="00B35ACC" w:rsidRPr="009742C5">
              <w:rPr>
                <w:color w:val="000000"/>
                <w:spacing w:val="53"/>
                <w:shd w:val="solid" w:color="000000" w:fill="000000"/>
                <w:fitText w:val="330" w:id="-625249792"/>
                <w14:textFill>
                  <w14:solidFill>
                    <w14:srgbClr w14:val="000000">
                      <w14:alpha w14:val="100000"/>
                    </w14:srgbClr>
                  </w14:solidFill>
                </w14:textFill>
              </w:rPr>
              <w:t>|||</w:t>
            </w:r>
            <w:r w:rsidR="00B35ACC" w:rsidRPr="009742C5">
              <w:rPr>
                <w:color w:val="000000"/>
                <w:spacing w:val="1"/>
                <w:shd w:val="solid" w:color="000000" w:fill="000000"/>
                <w:fitText w:val="330" w:id="-625249792"/>
                <w14:textFill>
                  <w14:solidFill>
                    <w14:srgbClr w14:val="000000">
                      <w14:alpha w14:val="100000"/>
                    </w14:srgbClr>
                  </w14:solidFill>
                </w14:textFill>
              </w:rPr>
              <w:t>|</w:t>
            </w:r>
            <w:r w:rsidR="00C757DF">
              <w:rPr>
                <w:vertAlign w:val="superscript"/>
              </w:rPr>
              <w:t>1</w:t>
            </w:r>
          </w:p>
        </w:tc>
        <w:tc>
          <w:tcPr>
            <w:tcW w:w="1084" w:type="dxa"/>
            <w:noWrap/>
            <w:vAlign w:val="center"/>
          </w:tcPr>
          <w:p w14:paraId="2FF0FA40" w14:textId="25B265F6" w:rsidR="00487317" w:rsidRPr="00E750DB" w:rsidRDefault="00B35ACC" w:rsidP="00E072B9">
            <w:pPr>
              <w:pStyle w:val="Tabletext"/>
            </w:pPr>
            <w:r w:rsidRPr="009742C5">
              <w:rPr>
                <w:color w:val="000000"/>
                <w:spacing w:val="53"/>
                <w:shd w:val="solid" w:color="000000" w:fill="000000"/>
                <w:fitText w:val="330" w:id="-625249791"/>
                <w14:textFill>
                  <w14:solidFill>
                    <w14:srgbClr w14:val="000000">
                      <w14:alpha w14:val="100000"/>
                    </w14:srgbClr>
                  </w14:solidFill>
                </w14:textFill>
              </w:rPr>
              <w:t>|||</w:t>
            </w:r>
            <w:r w:rsidRPr="009742C5">
              <w:rPr>
                <w:color w:val="000000"/>
                <w:spacing w:val="1"/>
                <w:shd w:val="solid" w:color="000000" w:fill="000000"/>
                <w:fitText w:val="330" w:id="-625249791"/>
                <w14:textFill>
                  <w14:solidFill>
                    <w14:srgbClr w14:val="000000">
                      <w14:alpha w14:val="100000"/>
                    </w14:srgbClr>
                  </w14:solidFill>
                </w14:textFill>
              </w:rPr>
              <w:t>|</w:t>
            </w:r>
            <w:r w:rsidR="00487317" w:rsidRPr="00E750DB">
              <w:t>%</w:t>
            </w:r>
          </w:p>
        </w:tc>
      </w:tr>
      <w:tr w:rsidR="00487317" w:rsidRPr="00E750DB" w14:paraId="468FA3DD" w14:textId="77777777" w:rsidTr="00FF7512">
        <w:tc>
          <w:tcPr>
            <w:tcW w:w="4248" w:type="dxa"/>
            <w:noWrap/>
            <w:vAlign w:val="center"/>
          </w:tcPr>
          <w:p w14:paraId="1C49ADD1" w14:textId="082AD6DD" w:rsidR="00487317" w:rsidRPr="00E750DB" w:rsidRDefault="00487317" w:rsidP="00E072B9">
            <w:pPr>
              <w:pStyle w:val="Tabletext"/>
            </w:pPr>
            <w:r w:rsidRPr="00E750DB">
              <w:t>Removing half cycle correction to givosiran drug cost</w:t>
            </w:r>
          </w:p>
        </w:tc>
        <w:tc>
          <w:tcPr>
            <w:tcW w:w="1276" w:type="dxa"/>
            <w:gridSpan w:val="3"/>
            <w:noWrap/>
            <w:vAlign w:val="center"/>
          </w:tcPr>
          <w:p w14:paraId="519DEC6A" w14:textId="6C44705D" w:rsidR="00487317" w:rsidRPr="00E750DB" w:rsidRDefault="00487317" w:rsidP="00E072B9">
            <w:pPr>
              <w:pStyle w:val="Tabletext"/>
            </w:pPr>
            <w:r w:rsidRPr="00E750DB">
              <w:t>$</w:t>
            </w:r>
            <w:r w:rsidR="00B35ACC" w:rsidRPr="009742C5">
              <w:rPr>
                <w:color w:val="000000"/>
                <w:spacing w:val="53"/>
                <w:shd w:val="solid" w:color="000000" w:fill="000000"/>
                <w:fitText w:val="330" w:id="-625249790"/>
                <w14:textFill>
                  <w14:solidFill>
                    <w14:srgbClr w14:val="000000">
                      <w14:alpha w14:val="100000"/>
                    </w14:srgbClr>
                  </w14:solidFill>
                </w14:textFill>
              </w:rPr>
              <w:t>|||</w:t>
            </w:r>
            <w:r w:rsidR="00B35ACC" w:rsidRPr="009742C5">
              <w:rPr>
                <w:color w:val="000000"/>
                <w:spacing w:val="1"/>
                <w:shd w:val="solid" w:color="000000" w:fill="000000"/>
                <w:fitText w:val="330" w:id="-625249790"/>
                <w14:textFill>
                  <w14:solidFill>
                    <w14:srgbClr w14:val="000000">
                      <w14:alpha w14:val="100000"/>
                    </w14:srgbClr>
                  </w14:solidFill>
                </w14:textFill>
              </w:rPr>
              <w:t>|</w:t>
            </w:r>
          </w:p>
        </w:tc>
        <w:tc>
          <w:tcPr>
            <w:tcW w:w="1275" w:type="dxa"/>
            <w:noWrap/>
            <w:vAlign w:val="center"/>
          </w:tcPr>
          <w:p w14:paraId="32836EE8" w14:textId="77777777" w:rsidR="00487317" w:rsidRPr="00E750DB" w:rsidRDefault="00487317" w:rsidP="00E072B9">
            <w:pPr>
              <w:pStyle w:val="Tabletext"/>
            </w:pPr>
            <w:r w:rsidRPr="00E750DB">
              <w:t>6.43</w:t>
            </w:r>
          </w:p>
        </w:tc>
        <w:tc>
          <w:tcPr>
            <w:tcW w:w="1134" w:type="dxa"/>
            <w:noWrap/>
            <w:vAlign w:val="center"/>
          </w:tcPr>
          <w:p w14:paraId="7742904C" w14:textId="65E32D98"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9"/>
                <w14:textFill>
                  <w14:solidFill>
                    <w14:srgbClr w14:val="000000">
                      <w14:alpha w14:val="100000"/>
                    </w14:srgbClr>
                  </w14:solidFill>
                </w14:textFill>
              </w:rPr>
              <w:t>|||</w:t>
            </w:r>
            <w:r w:rsidR="00B35ACC" w:rsidRPr="009742C5">
              <w:rPr>
                <w:color w:val="000000"/>
                <w:spacing w:val="1"/>
                <w:shd w:val="solid" w:color="000000" w:fill="000000"/>
                <w:fitText w:val="330" w:id="-625249789"/>
                <w14:textFill>
                  <w14:solidFill>
                    <w14:srgbClr w14:val="000000">
                      <w14:alpha w14:val="100000"/>
                    </w14:srgbClr>
                  </w14:solidFill>
                </w14:textFill>
              </w:rPr>
              <w:t>|</w:t>
            </w:r>
            <w:r w:rsidR="007A27A5">
              <w:rPr>
                <w:vertAlign w:val="superscript"/>
              </w:rPr>
              <w:t>1</w:t>
            </w:r>
          </w:p>
        </w:tc>
        <w:tc>
          <w:tcPr>
            <w:tcW w:w="1084" w:type="dxa"/>
            <w:noWrap/>
            <w:vAlign w:val="center"/>
          </w:tcPr>
          <w:p w14:paraId="4FA6A187" w14:textId="79298484" w:rsidR="00487317" w:rsidRPr="00E750DB" w:rsidRDefault="00B35ACC" w:rsidP="00E072B9">
            <w:pPr>
              <w:pStyle w:val="Tabletext"/>
            </w:pPr>
            <w:r w:rsidRPr="009742C5">
              <w:rPr>
                <w:color w:val="000000"/>
                <w:spacing w:val="53"/>
                <w:shd w:val="solid" w:color="000000" w:fill="000000"/>
                <w:fitText w:val="330" w:id="-625249788"/>
                <w14:textFill>
                  <w14:solidFill>
                    <w14:srgbClr w14:val="000000">
                      <w14:alpha w14:val="100000"/>
                    </w14:srgbClr>
                  </w14:solidFill>
                </w14:textFill>
              </w:rPr>
              <w:t>|||</w:t>
            </w:r>
            <w:r w:rsidRPr="009742C5">
              <w:rPr>
                <w:color w:val="000000"/>
                <w:spacing w:val="1"/>
                <w:shd w:val="solid" w:color="000000" w:fill="000000"/>
                <w:fitText w:val="330" w:id="-625249788"/>
                <w14:textFill>
                  <w14:solidFill>
                    <w14:srgbClr w14:val="000000">
                      <w14:alpha w14:val="100000"/>
                    </w14:srgbClr>
                  </w14:solidFill>
                </w14:textFill>
              </w:rPr>
              <w:t>|</w:t>
            </w:r>
            <w:r w:rsidR="00487317" w:rsidRPr="00E750DB">
              <w:t>%</w:t>
            </w:r>
          </w:p>
        </w:tc>
      </w:tr>
      <w:tr w:rsidR="00487317" w:rsidRPr="00E750DB" w14:paraId="5EE33714" w14:textId="77777777" w:rsidTr="00FF7512">
        <w:tc>
          <w:tcPr>
            <w:tcW w:w="9017" w:type="dxa"/>
            <w:gridSpan w:val="7"/>
            <w:noWrap/>
            <w:vAlign w:val="center"/>
          </w:tcPr>
          <w:p w14:paraId="0F8E3DBD" w14:textId="77777777" w:rsidR="00487317" w:rsidRPr="00E750DB" w:rsidRDefault="00487317" w:rsidP="00E072B9">
            <w:pPr>
              <w:pStyle w:val="Tabletext"/>
            </w:pPr>
            <w:r w:rsidRPr="00E750DB">
              <w:t>Menopause onset age (BC: 51 years)</w:t>
            </w:r>
          </w:p>
        </w:tc>
      </w:tr>
      <w:tr w:rsidR="00487317" w:rsidRPr="00E750DB" w14:paraId="5E15A309" w14:textId="77777777" w:rsidTr="00FF7512">
        <w:tc>
          <w:tcPr>
            <w:tcW w:w="4248" w:type="dxa"/>
            <w:noWrap/>
            <w:vAlign w:val="center"/>
          </w:tcPr>
          <w:p w14:paraId="4DC4D5AD" w14:textId="77777777" w:rsidR="00487317" w:rsidRPr="00E750DB" w:rsidRDefault="00487317" w:rsidP="00E072B9">
            <w:pPr>
              <w:pStyle w:val="Tabletext"/>
            </w:pPr>
            <w:r w:rsidRPr="00E750DB">
              <w:t>52 years</w:t>
            </w:r>
          </w:p>
        </w:tc>
        <w:tc>
          <w:tcPr>
            <w:tcW w:w="1276" w:type="dxa"/>
            <w:gridSpan w:val="3"/>
            <w:noWrap/>
            <w:vAlign w:val="center"/>
          </w:tcPr>
          <w:p w14:paraId="13463EC5" w14:textId="7CCA4127" w:rsidR="00487317" w:rsidRPr="00E750DB" w:rsidRDefault="00487317" w:rsidP="00E072B9">
            <w:pPr>
              <w:pStyle w:val="Tabletext"/>
            </w:pPr>
            <w:r w:rsidRPr="00E750DB">
              <w:t>$</w:t>
            </w:r>
            <w:r w:rsidR="00B35ACC" w:rsidRPr="009742C5">
              <w:rPr>
                <w:color w:val="000000"/>
                <w:spacing w:val="53"/>
                <w:shd w:val="solid" w:color="000000" w:fill="000000"/>
                <w:fitText w:val="330" w:id="-625249787"/>
                <w14:textFill>
                  <w14:solidFill>
                    <w14:srgbClr w14:val="000000">
                      <w14:alpha w14:val="100000"/>
                    </w14:srgbClr>
                  </w14:solidFill>
                </w14:textFill>
              </w:rPr>
              <w:t>|||</w:t>
            </w:r>
            <w:r w:rsidR="00B35ACC" w:rsidRPr="009742C5">
              <w:rPr>
                <w:color w:val="000000"/>
                <w:spacing w:val="1"/>
                <w:shd w:val="solid" w:color="000000" w:fill="000000"/>
                <w:fitText w:val="330" w:id="-625249787"/>
                <w14:textFill>
                  <w14:solidFill>
                    <w14:srgbClr w14:val="000000">
                      <w14:alpha w14:val="100000"/>
                    </w14:srgbClr>
                  </w14:solidFill>
                </w14:textFill>
              </w:rPr>
              <w:t>|</w:t>
            </w:r>
          </w:p>
        </w:tc>
        <w:tc>
          <w:tcPr>
            <w:tcW w:w="1275" w:type="dxa"/>
            <w:noWrap/>
            <w:vAlign w:val="center"/>
          </w:tcPr>
          <w:p w14:paraId="08E2B4C8" w14:textId="77777777" w:rsidR="00487317" w:rsidRPr="00E750DB" w:rsidRDefault="00487317" w:rsidP="00E072B9">
            <w:pPr>
              <w:pStyle w:val="Tabletext"/>
            </w:pPr>
            <w:r w:rsidRPr="00E750DB">
              <w:t>6.43</w:t>
            </w:r>
          </w:p>
        </w:tc>
        <w:tc>
          <w:tcPr>
            <w:tcW w:w="1134" w:type="dxa"/>
            <w:noWrap/>
            <w:vAlign w:val="center"/>
          </w:tcPr>
          <w:p w14:paraId="7C3E0C62" w14:textId="5087BDCD"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6"/>
                <w14:textFill>
                  <w14:solidFill>
                    <w14:srgbClr w14:val="000000">
                      <w14:alpha w14:val="100000"/>
                    </w14:srgbClr>
                  </w14:solidFill>
                </w14:textFill>
              </w:rPr>
              <w:t>|||</w:t>
            </w:r>
            <w:r w:rsidR="00B35ACC" w:rsidRPr="009742C5">
              <w:rPr>
                <w:color w:val="000000"/>
                <w:spacing w:val="1"/>
                <w:shd w:val="solid" w:color="000000" w:fill="000000"/>
                <w:fitText w:val="330" w:id="-625249786"/>
                <w14:textFill>
                  <w14:solidFill>
                    <w14:srgbClr w14:val="000000">
                      <w14:alpha w14:val="100000"/>
                    </w14:srgbClr>
                  </w14:solidFill>
                </w14:textFill>
              </w:rPr>
              <w:t>|</w:t>
            </w:r>
            <w:r w:rsidR="007A27A5">
              <w:rPr>
                <w:vertAlign w:val="superscript"/>
              </w:rPr>
              <w:t>1</w:t>
            </w:r>
          </w:p>
        </w:tc>
        <w:tc>
          <w:tcPr>
            <w:tcW w:w="1084" w:type="dxa"/>
            <w:noWrap/>
            <w:vAlign w:val="center"/>
          </w:tcPr>
          <w:p w14:paraId="736E007D" w14:textId="2471FAD3" w:rsidR="00487317" w:rsidRPr="00E750DB" w:rsidRDefault="00487317" w:rsidP="00E072B9">
            <w:pPr>
              <w:pStyle w:val="Tabletext"/>
            </w:pPr>
            <w:r w:rsidRPr="00E750DB">
              <w:t>+</w:t>
            </w:r>
            <w:r w:rsidR="00B35ACC" w:rsidRPr="009742C5">
              <w:rPr>
                <w:color w:val="000000"/>
                <w:spacing w:val="53"/>
                <w:shd w:val="solid" w:color="000000" w:fill="000000"/>
                <w:fitText w:val="330" w:id="-625249785"/>
                <w14:textFill>
                  <w14:solidFill>
                    <w14:srgbClr w14:val="000000">
                      <w14:alpha w14:val="100000"/>
                    </w14:srgbClr>
                  </w14:solidFill>
                </w14:textFill>
              </w:rPr>
              <w:t>|||</w:t>
            </w:r>
            <w:r w:rsidR="00B35ACC" w:rsidRPr="009742C5">
              <w:rPr>
                <w:color w:val="000000"/>
                <w:spacing w:val="1"/>
                <w:shd w:val="solid" w:color="000000" w:fill="000000"/>
                <w:fitText w:val="330" w:id="-625249785"/>
                <w14:textFill>
                  <w14:solidFill>
                    <w14:srgbClr w14:val="000000">
                      <w14:alpha w14:val="100000"/>
                    </w14:srgbClr>
                  </w14:solidFill>
                </w14:textFill>
              </w:rPr>
              <w:t>|</w:t>
            </w:r>
            <w:r w:rsidRPr="00E750DB">
              <w:t>%</w:t>
            </w:r>
          </w:p>
        </w:tc>
      </w:tr>
      <w:tr w:rsidR="00487317" w:rsidRPr="00E750DB" w14:paraId="37136771" w14:textId="77777777" w:rsidTr="00FF7512">
        <w:tc>
          <w:tcPr>
            <w:tcW w:w="4248" w:type="dxa"/>
            <w:noWrap/>
            <w:vAlign w:val="center"/>
          </w:tcPr>
          <w:p w14:paraId="7F1C7233" w14:textId="77777777" w:rsidR="00487317" w:rsidRPr="00E750DB" w:rsidRDefault="00487317" w:rsidP="00E072B9">
            <w:pPr>
              <w:pStyle w:val="Tabletext"/>
            </w:pPr>
            <w:r w:rsidRPr="00E750DB">
              <w:t>50 years</w:t>
            </w:r>
          </w:p>
        </w:tc>
        <w:tc>
          <w:tcPr>
            <w:tcW w:w="1276" w:type="dxa"/>
            <w:gridSpan w:val="3"/>
            <w:noWrap/>
            <w:vAlign w:val="center"/>
          </w:tcPr>
          <w:p w14:paraId="0155F7E1" w14:textId="69503A74" w:rsidR="00487317" w:rsidRPr="00E750DB" w:rsidRDefault="00487317" w:rsidP="00E072B9">
            <w:pPr>
              <w:pStyle w:val="Tabletext"/>
            </w:pPr>
            <w:r w:rsidRPr="00E750DB">
              <w:t>$</w:t>
            </w:r>
            <w:r w:rsidR="00B35ACC" w:rsidRPr="009742C5">
              <w:rPr>
                <w:color w:val="000000"/>
                <w:spacing w:val="53"/>
                <w:shd w:val="solid" w:color="000000" w:fill="000000"/>
                <w:fitText w:val="330" w:id="-625249784"/>
                <w14:textFill>
                  <w14:solidFill>
                    <w14:srgbClr w14:val="000000">
                      <w14:alpha w14:val="100000"/>
                    </w14:srgbClr>
                  </w14:solidFill>
                </w14:textFill>
              </w:rPr>
              <w:t>|||</w:t>
            </w:r>
            <w:r w:rsidR="00B35ACC" w:rsidRPr="009742C5">
              <w:rPr>
                <w:color w:val="000000"/>
                <w:spacing w:val="1"/>
                <w:shd w:val="solid" w:color="000000" w:fill="000000"/>
                <w:fitText w:val="330" w:id="-625249784"/>
                <w14:textFill>
                  <w14:solidFill>
                    <w14:srgbClr w14:val="000000">
                      <w14:alpha w14:val="100000"/>
                    </w14:srgbClr>
                  </w14:solidFill>
                </w14:textFill>
              </w:rPr>
              <w:t>|</w:t>
            </w:r>
          </w:p>
        </w:tc>
        <w:tc>
          <w:tcPr>
            <w:tcW w:w="1275" w:type="dxa"/>
            <w:noWrap/>
            <w:vAlign w:val="center"/>
          </w:tcPr>
          <w:p w14:paraId="5A133533" w14:textId="77777777" w:rsidR="00487317" w:rsidRPr="00E750DB" w:rsidRDefault="00487317" w:rsidP="00E072B9">
            <w:pPr>
              <w:pStyle w:val="Tabletext"/>
            </w:pPr>
            <w:r w:rsidRPr="00E750DB">
              <w:t>6.43</w:t>
            </w:r>
          </w:p>
        </w:tc>
        <w:tc>
          <w:tcPr>
            <w:tcW w:w="1134" w:type="dxa"/>
            <w:noWrap/>
            <w:vAlign w:val="center"/>
          </w:tcPr>
          <w:p w14:paraId="2DECC3CA" w14:textId="667FA75A" w:rsidR="00487317" w:rsidRPr="002F0111" w:rsidRDefault="00487317" w:rsidP="00E072B9">
            <w:pPr>
              <w:pStyle w:val="Tabletext"/>
              <w:rPr>
                <w:vertAlign w:val="superscript"/>
              </w:rPr>
            </w:pPr>
            <w:r w:rsidRPr="00E750DB">
              <w:t>$</w:t>
            </w:r>
            <w:r w:rsidR="00B35ACC" w:rsidRPr="009742C5">
              <w:rPr>
                <w:color w:val="000000"/>
                <w:spacing w:val="53"/>
                <w:shd w:val="solid" w:color="000000" w:fill="000000"/>
                <w:fitText w:val="330" w:id="-625249783"/>
                <w14:textFill>
                  <w14:solidFill>
                    <w14:srgbClr w14:val="000000">
                      <w14:alpha w14:val="100000"/>
                    </w14:srgbClr>
                  </w14:solidFill>
                </w14:textFill>
              </w:rPr>
              <w:t>|||</w:t>
            </w:r>
            <w:r w:rsidR="00B35ACC" w:rsidRPr="009742C5">
              <w:rPr>
                <w:color w:val="000000"/>
                <w:spacing w:val="1"/>
                <w:shd w:val="solid" w:color="000000" w:fill="000000"/>
                <w:fitText w:val="330" w:id="-625249783"/>
                <w14:textFill>
                  <w14:solidFill>
                    <w14:srgbClr w14:val="000000">
                      <w14:alpha w14:val="100000"/>
                    </w14:srgbClr>
                  </w14:solidFill>
                </w14:textFill>
              </w:rPr>
              <w:t>|</w:t>
            </w:r>
            <w:r w:rsidR="002F0111">
              <w:rPr>
                <w:vertAlign w:val="superscript"/>
              </w:rPr>
              <w:t>4</w:t>
            </w:r>
          </w:p>
        </w:tc>
        <w:tc>
          <w:tcPr>
            <w:tcW w:w="1084" w:type="dxa"/>
            <w:noWrap/>
            <w:vAlign w:val="center"/>
          </w:tcPr>
          <w:p w14:paraId="6F1FEEA7" w14:textId="5E2F733E" w:rsidR="00487317" w:rsidRPr="00E750DB" w:rsidRDefault="00E072B9" w:rsidP="00E072B9">
            <w:pPr>
              <w:pStyle w:val="Tabletext"/>
            </w:pPr>
            <w:r>
              <w:noBreakHyphen/>
            </w:r>
            <w:r w:rsidR="00B35ACC" w:rsidRPr="009742C5">
              <w:rPr>
                <w:color w:val="000000"/>
                <w:spacing w:val="53"/>
                <w:shd w:val="solid" w:color="000000" w:fill="000000"/>
                <w:fitText w:val="330" w:id="-625249782"/>
                <w14:textFill>
                  <w14:solidFill>
                    <w14:srgbClr w14:val="000000">
                      <w14:alpha w14:val="100000"/>
                    </w14:srgbClr>
                  </w14:solidFill>
                </w14:textFill>
              </w:rPr>
              <w:t>|||</w:t>
            </w:r>
            <w:r w:rsidR="00B35ACC" w:rsidRPr="009742C5">
              <w:rPr>
                <w:color w:val="000000"/>
                <w:spacing w:val="1"/>
                <w:shd w:val="solid" w:color="000000" w:fill="000000"/>
                <w:fitText w:val="330" w:id="-625249782"/>
                <w14:textFill>
                  <w14:solidFill>
                    <w14:srgbClr w14:val="000000">
                      <w14:alpha w14:val="100000"/>
                    </w14:srgbClr>
                  </w14:solidFill>
                </w14:textFill>
              </w:rPr>
              <w:t>|</w:t>
            </w:r>
            <w:r w:rsidR="00487317" w:rsidRPr="00E750DB">
              <w:t>%</w:t>
            </w:r>
          </w:p>
        </w:tc>
      </w:tr>
      <w:tr w:rsidR="00487317" w:rsidRPr="00E750DB" w14:paraId="3D4200D4" w14:textId="77777777" w:rsidTr="00FF7512">
        <w:tc>
          <w:tcPr>
            <w:tcW w:w="4248" w:type="dxa"/>
            <w:noWrap/>
            <w:vAlign w:val="center"/>
          </w:tcPr>
          <w:p w14:paraId="7E742DBE" w14:textId="467FC2FD" w:rsidR="00487317" w:rsidRPr="0007135F" w:rsidRDefault="00DA4521" w:rsidP="00E072B9">
            <w:pPr>
              <w:pStyle w:val="Tabletext"/>
            </w:pPr>
            <w:r w:rsidRPr="0007135F">
              <w:rPr>
                <w:rStyle w:val="TableTextChar0"/>
                <w:rFonts w:cs="Times New Roman"/>
                <w:b w:val="0"/>
                <w:iCs w:val="0"/>
                <w:snapToGrid w:val="0"/>
              </w:rPr>
              <w:t xml:space="preserve">Assume 95% of female patients alive in the AAR=0, AAR </w:t>
            </w:r>
            <w:r w:rsidR="00BD03FD">
              <w:rPr>
                <w:rStyle w:val="TableTextChar0"/>
                <w:rFonts w:cs="Times New Roman"/>
                <w:b w:val="0"/>
                <w:iCs w:val="0"/>
                <w:snapToGrid w:val="0"/>
              </w:rPr>
              <w:t>&gt;</w:t>
            </w:r>
            <w:r w:rsidR="00A550BD">
              <w:rPr>
                <w:rStyle w:val="TableTextChar0"/>
                <w:rFonts w:cs="Times New Roman"/>
                <w:b w:val="0"/>
                <w:iCs w:val="0"/>
                <w:snapToGrid w:val="0"/>
              </w:rPr>
              <w:t xml:space="preserve"> </w:t>
            </w:r>
            <w:r w:rsidRPr="0007135F">
              <w:rPr>
                <w:rStyle w:val="TableTextChar0"/>
                <w:rFonts w:cs="Times New Roman"/>
                <w:b w:val="0"/>
                <w:iCs w:val="0"/>
                <w:snapToGrid w:val="0"/>
              </w:rPr>
              <w:t>0 to ≤</w:t>
            </w:r>
            <w:r w:rsidR="00BD03FD">
              <w:rPr>
                <w:rStyle w:val="TableTextChar0"/>
                <w:rFonts w:cs="Times New Roman"/>
                <w:b w:val="0"/>
                <w:iCs w:val="0"/>
                <w:snapToGrid w:val="0"/>
              </w:rPr>
              <w:t xml:space="preserve"> </w:t>
            </w:r>
            <w:r w:rsidRPr="0007135F">
              <w:rPr>
                <w:rStyle w:val="TableTextChar0"/>
                <w:rFonts w:cs="Times New Roman"/>
                <w:b w:val="0"/>
                <w:iCs w:val="0"/>
                <w:snapToGrid w:val="0"/>
              </w:rPr>
              <w:t xml:space="preserve">4 and AAR </w:t>
            </w:r>
            <w:r w:rsidR="00BD03FD">
              <w:rPr>
                <w:rStyle w:val="TableTextChar0"/>
                <w:rFonts w:cs="Times New Roman"/>
                <w:b w:val="0"/>
                <w:iCs w:val="0"/>
                <w:snapToGrid w:val="0"/>
              </w:rPr>
              <w:t>&gt;</w:t>
            </w:r>
            <w:r w:rsidR="00A550BD">
              <w:rPr>
                <w:rStyle w:val="TableTextChar0"/>
                <w:rFonts w:cs="Times New Roman"/>
                <w:b w:val="0"/>
                <w:iCs w:val="0"/>
                <w:snapToGrid w:val="0"/>
              </w:rPr>
              <w:t xml:space="preserve"> </w:t>
            </w:r>
            <w:r w:rsidRPr="0007135F">
              <w:rPr>
                <w:rStyle w:val="TableTextChar0"/>
                <w:rFonts w:cs="Times New Roman"/>
                <w:b w:val="0"/>
                <w:iCs w:val="0"/>
                <w:snapToGrid w:val="0"/>
              </w:rPr>
              <w:t>4 to ≤</w:t>
            </w:r>
            <w:r w:rsidR="00BD03FD">
              <w:rPr>
                <w:rStyle w:val="TableTextChar0"/>
                <w:rFonts w:cs="Times New Roman"/>
                <w:b w:val="0"/>
                <w:iCs w:val="0"/>
                <w:snapToGrid w:val="0"/>
              </w:rPr>
              <w:t xml:space="preserve"> </w:t>
            </w:r>
            <w:r w:rsidRPr="0007135F">
              <w:rPr>
                <w:rStyle w:val="TableTextChar0"/>
                <w:rFonts w:cs="Times New Roman"/>
                <w:b w:val="0"/>
                <w:iCs w:val="0"/>
                <w:snapToGrid w:val="0"/>
              </w:rPr>
              <w:t>24 health states will become asymptomatic (AAR=0) post menopause</w:t>
            </w:r>
            <w:r w:rsidRPr="0007135F" w:rsidDel="00DA4521">
              <w:rPr>
                <w:rStyle w:val="TableTextChar0"/>
                <w:rFonts w:cs="Times New Roman"/>
                <w:b w:val="0"/>
                <w:iCs w:val="0"/>
                <w:snapToGrid w:val="0"/>
              </w:rPr>
              <w:t xml:space="preserve"> </w:t>
            </w:r>
            <w:r w:rsidR="00487317" w:rsidRPr="0007135F">
              <w:t>(BC: only patients who were asymptomatic pre</w:t>
            </w:r>
            <w:r w:rsidR="00E072B9">
              <w:noBreakHyphen/>
            </w:r>
            <w:r w:rsidR="00487317" w:rsidRPr="0007135F">
              <w:t xml:space="preserve">menopause assumed to become asymptomatic post menopause) </w:t>
            </w:r>
          </w:p>
        </w:tc>
        <w:tc>
          <w:tcPr>
            <w:tcW w:w="1276" w:type="dxa"/>
            <w:gridSpan w:val="3"/>
            <w:noWrap/>
            <w:vAlign w:val="center"/>
          </w:tcPr>
          <w:p w14:paraId="4A0BCE1B" w14:textId="4D9A45E6" w:rsidR="00487317" w:rsidRPr="00E750DB" w:rsidRDefault="00487317" w:rsidP="00E072B9">
            <w:pPr>
              <w:pStyle w:val="Tabletext"/>
            </w:pPr>
            <w:r w:rsidRPr="00E750DB">
              <w:t>$</w:t>
            </w:r>
            <w:r w:rsidR="00B35ACC" w:rsidRPr="009742C5">
              <w:rPr>
                <w:color w:val="000000"/>
                <w:spacing w:val="53"/>
                <w:shd w:val="solid" w:color="000000" w:fill="000000"/>
                <w:fitText w:val="330" w:id="-625249781"/>
                <w14:textFill>
                  <w14:solidFill>
                    <w14:srgbClr w14:val="000000">
                      <w14:alpha w14:val="100000"/>
                    </w14:srgbClr>
                  </w14:solidFill>
                </w14:textFill>
              </w:rPr>
              <w:t>|||</w:t>
            </w:r>
            <w:r w:rsidR="00B35ACC" w:rsidRPr="009742C5">
              <w:rPr>
                <w:color w:val="000000"/>
                <w:spacing w:val="1"/>
                <w:shd w:val="solid" w:color="000000" w:fill="000000"/>
                <w:fitText w:val="330" w:id="-625249781"/>
                <w14:textFill>
                  <w14:solidFill>
                    <w14:srgbClr w14:val="000000">
                      <w14:alpha w14:val="100000"/>
                    </w14:srgbClr>
                  </w14:solidFill>
                </w14:textFill>
              </w:rPr>
              <w:t>|</w:t>
            </w:r>
          </w:p>
        </w:tc>
        <w:tc>
          <w:tcPr>
            <w:tcW w:w="1275" w:type="dxa"/>
            <w:noWrap/>
            <w:vAlign w:val="center"/>
          </w:tcPr>
          <w:p w14:paraId="41EEB3DB" w14:textId="77777777" w:rsidR="00487317" w:rsidRPr="00E750DB" w:rsidRDefault="00487317" w:rsidP="00E072B9">
            <w:pPr>
              <w:pStyle w:val="Tabletext"/>
            </w:pPr>
            <w:r w:rsidRPr="00E750DB">
              <w:t>4.76</w:t>
            </w:r>
          </w:p>
        </w:tc>
        <w:tc>
          <w:tcPr>
            <w:tcW w:w="1134" w:type="dxa"/>
            <w:noWrap/>
            <w:vAlign w:val="center"/>
          </w:tcPr>
          <w:p w14:paraId="7D76AE6C" w14:textId="5121A439" w:rsidR="00487317" w:rsidRPr="002F0111" w:rsidRDefault="00487317" w:rsidP="00E072B9">
            <w:pPr>
              <w:pStyle w:val="Tabletext"/>
              <w:rPr>
                <w:vertAlign w:val="superscript"/>
              </w:rPr>
            </w:pPr>
            <w:r w:rsidRPr="00E750DB">
              <w:t>$</w:t>
            </w:r>
            <w:r w:rsidR="00B35ACC" w:rsidRPr="009742C5">
              <w:rPr>
                <w:color w:val="000000"/>
                <w:spacing w:val="53"/>
                <w:shd w:val="solid" w:color="000000" w:fill="000000"/>
                <w:fitText w:val="330" w:id="-625249780"/>
                <w14:textFill>
                  <w14:solidFill>
                    <w14:srgbClr w14:val="000000">
                      <w14:alpha w14:val="100000"/>
                    </w14:srgbClr>
                  </w14:solidFill>
                </w14:textFill>
              </w:rPr>
              <w:t>|||</w:t>
            </w:r>
            <w:r w:rsidR="00B35ACC" w:rsidRPr="009742C5">
              <w:rPr>
                <w:color w:val="000000"/>
                <w:spacing w:val="1"/>
                <w:shd w:val="solid" w:color="000000" w:fill="000000"/>
                <w:fitText w:val="330" w:id="-625249780"/>
                <w14:textFill>
                  <w14:solidFill>
                    <w14:srgbClr w14:val="000000">
                      <w14:alpha w14:val="100000"/>
                    </w14:srgbClr>
                  </w14:solidFill>
                </w14:textFill>
              </w:rPr>
              <w:t>|</w:t>
            </w:r>
            <w:r w:rsidR="002F0111">
              <w:rPr>
                <w:vertAlign w:val="superscript"/>
              </w:rPr>
              <w:t>3</w:t>
            </w:r>
          </w:p>
        </w:tc>
        <w:tc>
          <w:tcPr>
            <w:tcW w:w="1084" w:type="dxa"/>
            <w:noWrap/>
            <w:vAlign w:val="center"/>
          </w:tcPr>
          <w:p w14:paraId="4D0E6B95" w14:textId="23017FF4" w:rsidR="00487317" w:rsidRPr="00E750DB" w:rsidDel="00CA0ACB" w:rsidRDefault="00B35ACC" w:rsidP="00E072B9">
            <w:pPr>
              <w:pStyle w:val="Tabletext"/>
            </w:pPr>
            <w:r w:rsidRPr="009742C5">
              <w:rPr>
                <w:color w:val="000000"/>
                <w:spacing w:val="53"/>
                <w:shd w:val="solid" w:color="000000" w:fill="000000"/>
                <w:fitText w:val="330" w:id="-625249779"/>
                <w14:textFill>
                  <w14:solidFill>
                    <w14:srgbClr w14:val="000000">
                      <w14:alpha w14:val="100000"/>
                    </w14:srgbClr>
                  </w14:solidFill>
                </w14:textFill>
              </w:rPr>
              <w:t>|||</w:t>
            </w:r>
            <w:r w:rsidRPr="009742C5">
              <w:rPr>
                <w:color w:val="000000"/>
                <w:spacing w:val="1"/>
                <w:shd w:val="solid" w:color="000000" w:fill="000000"/>
                <w:fitText w:val="330" w:id="-625249779"/>
                <w14:textFill>
                  <w14:solidFill>
                    <w14:srgbClr w14:val="000000">
                      <w14:alpha w14:val="100000"/>
                    </w14:srgbClr>
                  </w14:solidFill>
                </w14:textFill>
              </w:rPr>
              <w:t>|</w:t>
            </w:r>
            <w:r w:rsidR="00487317" w:rsidRPr="00E750DB">
              <w:t>%</w:t>
            </w:r>
          </w:p>
        </w:tc>
      </w:tr>
      <w:tr w:rsidR="00487317" w:rsidRPr="00E750DB" w14:paraId="5267067E" w14:textId="77777777" w:rsidTr="00FF7512">
        <w:tc>
          <w:tcPr>
            <w:tcW w:w="4248" w:type="dxa"/>
            <w:noWrap/>
            <w:vAlign w:val="center"/>
          </w:tcPr>
          <w:p w14:paraId="2F6F0AA4" w14:textId="70A579F4" w:rsidR="00487317" w:rsidRPr="00E750DB" w:rsidRDefault="00724EB2" w:rsidP="00E072B9">
            <w:pPr>
              <w:pStyle w:val="Tabletext"/>
            </w:pPr>
            <w:r w:rsidRPr="00E750DB">
              <w:t xml:space="preserve">Mean start age </w:t>
            </w:r>
            <w:r w:rsidR="00487317" w:rsidRPr="00E750DB">
              <w:t>39.8 years</w:t>
            </w:r>
            <w:r w:rsidR="00A550BD">
              <w:t xml:space="preserve"> </w:t>
            </w:r>
            <w:r w:rsidRPr="00E750DB">
              <w:t>(BC = 38.8 years)</w:t>
            </w:r>
          </w:p>
        </w:tc>
        <w:tc>
          <w:tcPr>
            <w:tcW w:w="1276" w:type="dxa"/>
            <w:gridSpan w:val="3"/>
            <w:noWrap/>
            <w:vAlign w:val="center"/>
          </w:tcPr>
          <w:p w14:paraId="51F811BD" w14:textId="7264C78A" w:rsidR="00487317" w:rsidRPr="00E750DB" w:rsidRDefault="00487317" w:rsidP="00E072B9">
            <w:pPr>
              <w:pStyle w:val="Tabletext"/>
            </w:pPr>
            <w:r w:rsidRPr="00E750DB">
              <w:t>$</w:t>
            </w:r>
            <w:r w:rsidR="00B35ACC" w:rsidRPr="009742C5">
              <w:rPr>
                <w:color w:val="000000"/>
                <w:spacing w:val="53"/>
                <w:shd w:val="solid" w:color="000000" w:fill="000000"/>
                <w:fitText w:val="330" w:id="-625249778"/>
                <w14:textFill>
                  <w14:solidFill>
                    <w14:srgbClr w14:val="000000">
                      <w14:alpha w14:val="100000"/>
                    </w14:srgbClr>
                  </w14:solidFill>
                </w14:textFill>
              </w:rPr>
              <w:t>|||</w:t>
            </w:r>
            <w:r w:rsidR="00B35ACC" w:rsidRPr="009742C5">
              <w:rPr>
                <w:color w:val="000000"/>
                <w:spacing w:val="1"/>
                <w:shd w:val="solid" w:color="000000" w:fill="000000"/>
                <w:fitText w:val="330" w:id="-625249778"/>
                <w14:textFill>
                  <w14:solidFill>
                    <w14:srgbClr w14:val="000000">
                      <w14:alpha w14:val="100000"/>
                    </w14:srgbClr>
                  </w14:solidFill>
                </w14:textFill>
              </w:rPr>
              <w:t>|</w:t>
            </w:r>
          </w:p>
        </w:tc>
        <w:tc>
          <w:tcPr>
            <w:tcW w:w="1275" w:type="dxa"/>
            <w:noWrap/>
            <w:vAlign w:val="center"/>
          </w:tcPr>
          <w:p w14:paraId="34CD6989" w14:textId="77777777" w:rsidR="00487317" w:rsidRPr="00E750DB" w:rsidRDefault="00487317" w:rsidP="00E072B9">
            <w:pPr>
              <w:pStyle w:val="Tabletext"/>
            </w:pPr>
            <w:r w:rsidRPr="00E750DB">
              <w:t>6.37</w:t>
            </w:r>
          </w:p>
        </w:tc>
        <w:tc>
          <w:tcPr>
            <w:tcW w:w="1134" w:type="dxa"/>
            <w:noWrap/>
            <w:vAlign w:val="center"/>
          </w:tcPr>
          <w:p w14:paraId="4756797F" w14:textId="6EC0EFB4" w:rsidR="00487317" w:rsidRPr="003362B3" w:rsidRDefault="00487317" w:rsidP="00E072B9">
            <w:pPr>
              <w:pStyle w:val="Tabletext"/>
              <w:rPr>
                <w:vertAlign w:val="superscript"/>
              </w:rPr>
            </w:pPr>
            <w:r w:rsidRPr="00E750DB">
              <w:t>$</w:t>
            </w:r>
            <w:r w:rsidR="00B35ACC" w:rsidRPr="009742C5">
              <w:rPr>
                <w:color w:val="000000"/>
                <w:spacing w:val="53"/>
                <w:shd w:val="solid" w:color="000000" w:fill="000000"/>
                <w:fitText w:val="330" w:id="-625249777"/>
                <w14:textFill>
                  <w14:solidFill>
                    <w14:srgbClr w14:val="000000">
                      <w14:alpha w14:val="100000"/>
                    </w14:srgbClr>
                  </w14:solidFill>
                </w14:textFill>
              </w:rPr>
              <w:t>|||</w:t>
            </w:r>
            <w:r w:rsidR="00B35ACC" w:rsidRPr="009742C5">
              <w:rPr>
                <w:color w:val="000000"/>
                <w:spacing w:val="1"/>
                <w:shd w:val="solid" w:color="000000" w:fill="000000"/>
                <w:fitText w:val="330" w:id="-625249777"/>
                <w14:textFill>
                  <w14:solidFill>
                    <w14:srgbClr w14:val="000000">
                      <w14:alpha w14:val="100000"/>
                    </w14:srgbClr>
                  </w14:solidFill>
                </w14:textFill>
              </w:rPr>
              <w:t>|</w:t>
            </w:r>
            <w:r w:rsidR="003362B3">
              <w:rPr>
                <w:vertAlign w:val="superscript"/>
              </w:rPr>
              <w:t>4</w:t>
            </w:r>
          </w:p>
        </w:tc>
        <w:tc>
          <w:tcPr>
            <w:tcW w:w="1084" w:type="dxa"/>
            <w:noWrap/>
            <w:vAlign w:val="center"/>
          </w:tcPr>
          <w:p w14:paraId="5B7FD6F9" w14:textId="0697FFC0" w:rsidR="00487317" w:rsidRPr="00E750DB" w:rsidRDefault="00E072B9" w:rsidP="00E072B9">
            <w:pPr>
              <w:pStyle w:val="Tabletext"/>
            </w:pPr>
            <w:r>
              <w:noBreakHyphen/>
            </w:r>
            <w:r w:rsidR="00B35ACC" w:rsidRPr="009742C5">
              <w:rPr>
                <w:color w:val="000000"/>
                <w:spacing w:val="53"/>
                <w:shd w:val="solid" w:color="000000" w:fill="000000"/>
                <w:fitText w:val="330" w:id="-625249776"/>
                <w14:textFill>
                  <w14:solidFill>
                    <w14:srgbClr w14:val="000000">
                      <w14:alpha w14:val="100000"/>
                    </w14:srgbClr>
                  </w14:solidFill>
                </w14:textFill>
              </w:rPr>
              <w:t>|||</w:t>
            </w:r>
            <w:r w:rsidR="00B35ACC" w:rsidRPr="009742C5">
              <w:rPr>
                <w:color w:val="000000"/>
                <w:spacing w:val="1"/>
                <w:shd w:val="solid" w:color="000000" w:fill="000000"/>
                <w:fitText w:val="330" w:id="-625249776"/>
                <w14:textFill>
                  <w14:solidFill>
                    <w14:srgbClr w14:val="000000">
                      <w14:alpha w14:val="100000"/>
                    </w14:srgbClr>
                  </w14:solidFill>
                </w14:textFill>
              </w:rPr>
              <w:t>|</w:t>
            </w:r>
            <w:r w:rsidR="00487317" w:rsidRPr="00E750DB">
              <w:t>%</w:t>
            </w:r>
          </w:p>
        </w:tc>
      </w:tr>
      <w:tr w:rsidR="00487317" w:rsidRPr="00E750DB" w14:paraId="55C3F5EA" w14:textId="77777777" w:rsidTr="00FF7512">
        <w:tc>
          <w:tcPr>
            <w:tcW w:w="4248" w:type="dxa"/>
            <w:noWrap/>
            <w:vAlign w:val="center"/>
          </w:tcPr>
          <w:p w14:paraId="5570E929" w14:textId="389C1A90" w:rsidR="00487317" w:rsidRPr="00E750DB" w:rsidDel="002E7583" w:rsidRDefault="00724EB2" w:rsidP="00E072B9">
            <w:pPr>
              <w:pStyle w:val="Tabletext"/>
            </w:pPr>
            <w:r w:rsidRPr="00E750DB">
              <w:t xml:space="preserve">Mean start age </w:t>
            </w:r>
            <w:r w:rsidR="00487317" w:rsidRPr="00E750DB">
              <w:t>29 years as per ELEVATE median age of symptom onset</w:t>
            </w:r>
            <w:r w:rsidR="00A550BD">
              <w:t xml:space="preserve"> </w:t>
            </w:r>
            <w:r w:rsidRPr="00E750DB">
              <w:t>(BC = 38.8 years)</w:t>
            </w:r>
          </w:p>
        </w:tc>
        <w:tc>
          <w:tcPr>
            <w:tcW w:w="1276" w:type="dxa"/>
            <w:gridSpan w:val="3"/>
            <w:noWrap/>
            <w:vAlign w:val="center"/>
          </w:tcPr>
          <w:p w14:paraId="67ADBE7B" w14:textId="1646C630" w:rsidR="00487317" w:rsidRPr="00E750DB" w:rsidRDefault="00487317" w:rsidP="00E072B9">
            <w:pPr>
              <w:pStyle w:val="Tabletext"/>
            </w:pPr>
            <w:r w:rsidRPr="00E750DB">
              <w:t>$</w:t>
            </w:r>
            <w:r w:rsidR="00B35ACC" w:rsidRPr="009742C5">
              <w:rPr>
                <w:color w:val="000000"/>
                <w:spacing w:val="53"/>
                <w:shd w:val="solid" w:color="000000" w:fill="000000"/>
                <w:fitText w:val="330" w:id="-625249792"/>
                <w14:textFill>
                  <w14:solidFill>
                    <w14:srgbClr w14:val="000000">
                      <w14:alpha w14:val="100000"/>
                    </w14:srgbClr>
                  </w14:solidFill>
                </w14:textFill>
              </w:rPr>
              <w:t>|||</w:t>
            </w:r>
            <w:r w:rsidR="00B35ACC" w:rsidRPr="009742C5">
              <w:rPr>
                <w:color w:val="000000"/>
                <w:spacing w:val="1"/>
                <w:shd w:val="solid" w:color="000000" w:fill="000000"/>
                <w:fitText w:val="330" w:id="-625249792"/>
                <w14:textFill>
                  <w14:solidFill>
                    <w14:srgbClr w14:val="000000">
                      <w14:alpha w14:val="100000"/>
                    </w14:srgbClr>
                  </w14:solidFill>
                </w14:textFill>
              </w:rPr>
              <w:t>|</w:t>
            </w:r>
          </w:p>
        </w:tc>
        <w:tc>
          <w:tcPr>
            <w:tcW w:w="1275" w:type="dxa"/>
            <w:noWrap/>
            <w:vAlign w:val="center"/>
          </w:tcPr>
          <w:p w14:paraId="0F7166CD" w14:textId="77777777" w:rsidR="00487317" w:rsidRPr="00E750DB" w:rsidDel="002E7583" w:rsidRDefault="00487317" w:rsidP="00E072B9">
            <w:pPr>
              <w:pStyle w:val="Tabletext"/>
            </w:pPr>
            <w:r w:rsidRPr="00E750DB">
              <w:t>6.96</w:t>
            </w:r>
          </w:p>
        </w:tc>
        <w:tc>
          <w:tcPr>
            <w:tcW w:w="1134" w:type="dxa"/>
            <w:noWrap/>
            <w:vAlign w:val="center"/>
          </w:tcPr>
          <w:p w14:paraId="0C819274" w14:textId="40712C5A" w:rsidR="00487317" w:rsidRPr="007A27A5" w:rsidDel="002E7583" w:rsidRDefault="00487317" w:rsidP="00E072B9">
            <w:pPr>
              <w:pStyle w:val="Tabletext"/>
              <w:rPr>
                <w:vertAlign w:val="superscript"/>
              </w:rPr>
            </w:pPr>
            <w:r w:rsidRPr="00E750DB">
              <w:t>$</w:t>
            </w:r>
            <w:r w:rsidR="00B35ACC" w:rsidRPr="009742C5">
              <w:rPr>
                <w:color w:val="000000"/>
                <w:spacing w:val="53"/>
                <w:shd w:val="solid" w:color="000000" w:fill="000000"/>
                <w:fitText w:val="330" w:id="-625249791"/>
                <w14:textFill>
                  <w14:solidFill>
                    <w14:srgbClr w14:val="000000">
                      <w14:alpha w14:val="100000"/>
                    </w14:srgbClr>
                  </w14:solidFill>
                </w14:textFill>
              </w:rPr>
              <w:t>|||</w:t>
            </w:r>
            <w:r w:rsidR="00B35ACC" w:rsidRPr="009742C5">
              <w:rPr>
                <w:color w:val="000000"/>
                <w:spacing w:val="1"/>
                <w:shd w:val="solid" w:color="000000" w:fill="000000"/>
                <w:fitText w:val="330" w:id="-625249791"/>
                <w14:textFill>
                  <w14:solidFill>
                    <w14:srgbClr w14:val="000000">
                      <w14:alpha w14:val="100000"/>
                    </w14:srgbClr>
                  </w14:solidFill>
                </w14:textFill>
              </w:rPr>
              <w:t>|</w:t>
            </w:r>
            <w:r w:rsidR="007A27A5">
              <w:rPr>
                <w:vertAlign w:val="superscript"/>
              </w:rPr>
              <w:t>1</w:t>
            </w:r>
          </w:p>
        </w:tc>
        <w:tc>
          <w:tcPr>
            <w:tcW w:w="1084" w:type="dxa"/>
            <w:noWrap/>
            <w:vAlign w:val="center"/>
          </w:tcPr>
          <w:p w14:paraId="61DC26A8" w14:textId="792DA838" w:rsidR="00487317" w:rsidRPr="00E750DB" w:rsidDel="002E7583" w:rsidRDefault="00B35ACC" w:rsidP="00E072B9">
            <w:pPr>
              <w:pStyle w:val="Tabletext"/>
            </w:pPr>
            <w:r w:rsidRPr="009742C5">
              <w:rPr>
                <w:color w:val="000000"/>
                <w:spacing w:val="53"/>
                <w:shd w:val="solid" w:color="000000" w:fill="000000"/>
                <w:fitText w:val="330" w:id="-625249790"/>
                <w14:textFill>
                  <w14:solidFill>
                    <w14:srgbClr w14:val="000000">
                      <w14:alpha w14:val="100000"/>
                    </w14:srgbClr>
                  </w14:solidFill>
                </w14:textFill>
              </w:rPr>
              <w:t>|||</w:t>
            </w:r>
            <w:r w:rsidRPr="009742C5">
              <w:rPr>
                <w:color w:val="000000"/>
                <w:spacing w:val="1"/>
                <w:shd w:val="solid" w:color="000000" w:fill="000000"/>
                <w:fitText w:val="330" w:id="-625249790"/>
                <w14:textFill>
                  <w14:solidFill>
                    <w14:srgbClr w14:val="000000">
                      <w14:alpha w14:val="100000"/>
                    </w14:srgbClr>
                  </w14:solidFill>
                </w14:textFill>
              </w:rPr>
              <w:t>|</w:t>
            </w:r>
            <w:r w:rsidR="00487317" w:rsidRPr="00E750DB">
              <w:t>%</w:t>
            </w:r>
          </w:p>
        </w:tc>
      </w:tr>
      <w:tr w:rsidR="00487317" w:rsidRPr="00E750DB" w14:paraId="7B820623" w14:textId="77777777" w:rsidTr="00FF7512">
        <w:tc>
          <w:tcPr>
            <w:tcW w:w="4248" w:type="dxa"/>
            <w:noWrap/>
            <w:vAlign w:val="center"/>
          </w:tcPr>
          <w:p w14:paraId="59BDE7A6" w14:textId="0C0F3650" w:rsidR="00487317" w:rsidRPr="00E750DB" w:rsidRDefault="00487317" w:rsidP="00E072B9">
            <w:pPr>
              <w:pStyle w:val="Tabletext"/>
            </w:pPr>
            <w:r w:rsidRPr="00E750DB">
              <w:t>Proportion of females 80% (BC = 89.4%)</w:t>
            </w:r>
          </w:p>
        </w:tc>
        <w:tc>
          <w:tcPr>
            <w:tcW w:w="1276" w:type="dxa"/>
            <w:gridSpan w:val="3"/>
            <w:noWrap/>
            <w:vAlign w:val="center"/>
          </w:tcPr>
          <w:p w14:paraId="656CBCBF" w14:textId="192BB179" w:rsidR="00487317" w:rsidRPr="00E750DB" w:rsidRDefault="00487317" w:rsidP="00E072B9">
            <w:pPr>
              <w:pStyle w:val="Tabletext"/>
            </w:pPr>
            <w:r w:rsidRPr="00E750DB">
              <w:t>$</w:t>
            </w:r>
            <w:r w:rsidR="00B35ACC" w:rsidRPr="009742C5">
              <w:rPr>
                <w:color w:val="000000"/>
                <w:spacing w:val="53"/>
                <w:shd w:val="solid" w:color="000000" w:fill="000000"/>
                <w:fitText w:val="330" w:id="-625249789"/>
                <w14:textFill>
                  <w14:solidFill>
                    <w14:srgbClr w14:val="000000">
                      <w14:alpha w14:val="100000"/>
                    </w14:srgbClr>
                  </w14:solidFill>
                </w14:textFill>
              </w:rPr>
              <w:t>|||</w:t>
            </w:r>
            <w:r w:rsidR="00B35ACC" w:rsidRPr="009742C5">
              <w:rPr>
                <w:color w:val="000000"/>
                <w:spacing w:val="1"/>
                <w:shd w:val="solid" w:color="000000" w:fill="000000"/>
                <w:fitText w:val="330" w:id="-625249789"/>
                <w14:textFill>
                  <w14:solidFill>
                    <w14:srgbClr w14:val="000000">
                      <w14:alpha w14:val="100000"/>
                    </w14:srgbClr>
                  </w14:solidFill>
                </w14:textFill>
              </w:rPr>
              <w:t>|</w:t>
            </w:r>
          </w:p>
        </w:tc>
        <w:tc>
          <w:tcPr>
            <w:tcW w:w="1275" w:type="dxa"/>
            <w:noWrap/>
            <w:vAlign w:val="center"/>
          </w:tcPr>
          <w:p w14:paraId="1791C561" w14:textId="77777777" w:rsidR="00487317" w:rsidRPr="00E750DB" w:rsidRDefault="00487317" w:rsidP="00E072B9">
            <w:pPr>
              <w:pStyle w:val="Tabletext"/>
            </w:pPr>
            <w:r w:rsidRPr="00E750DB">
              <w:t>6.41</w:t>
            </w:r>
          </w:p>
        </w:tc>
        <w:tc>
          <w:tcPr>
            <w:tcW w:w="1134" w:type="dxa"/>
            <w:noWrap/>
            <w:vAlign w:val="center"/>
          </w:tcPr>
          <w:p w14:paraId="4E4DD37C" w14:textId="1958B0BF"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8"/>
                <w14:textFill>
                  <w14:solidFill>
                    <w14:srgbClr w14:val="000000">
                      <w14:alpha w14:val="100000"/>
                    </w14:srgbClr>
                  </w14:solidFill>
                </w14:textFill>
              </w:rPr>
              <w:t>|||</w:t>
            </w:r>
            <w:r w:rsidR="00B35ACC" w:rsidRPr="009742C5">
              <w:rPr>
                <w:color w:val="000000"/>
                <w:spacing w:val="1"/>
                <w:shd w:val="solid" w:color="000000" w:fill="000000"/>
                <w:fitText w:val="330" w:id="-625249788"/>
                <w14:textFill>
                  <w14:solidFill>
                    <w14:srgbClr w14:val="000000">
                      <w14:alpha w14:val="100000"/>
                    </w14:srgbClr>
                  </w14:solidFill>
                </w14:textFill>
              </w:rPr>
              <w:t>|</w:t>
            </w:r>
            <w:r w:rsidR="007A27A5">
              <w:rPr>
                <w:vertAlign w:val="superscript"/>
              </w:rPr>
              <w:t>1</w:t>
            </w:r>
          </w:p>
        </w:tc>
        <w:tc>
          <w:tcPr>
            <w:tcW w:w="1084" w:type="dxa"/>
            <w:noWrap/>
            <w:vAlign w:val="center"/>
          </w:tcPr>
          <w:p w14:paraId="1AB70D32" w14:textId="527F8A4E" w:rsidR="00487317" w:rsidRPr="00E750DB" w:rsidRDefault="00B35ACC" w:rsidP="00E072B9">
            <w:pPr>
              <w:pStyle w:val="Tabletext"/>
            </w:pPr>
            <w:r w:rsidRPr="009742C5">
              <w:rPr>
                <w:color w:val="000000"/>
                <w:spacing w:val="53"/>
                <w:shd w:val="solid" w:color="000000" w:fill="000000"/>
                <w:fitText w:val="330" w:id="-625249787"/>
                <w14:textFill>
                  <w14:solidFill>
                    <w14:srgbClr w14:val="000000">
                      <w14:alpha w14:val="100000"/>
                    </w14:srgbClr>
                  </w14:solidFill>
                </w14:textFill>
              </w:rPr>
              <w:t>|||</w:t>
            </w:r>
            <w:r w:rsidRPr="009742C5">
              <w:rPr>
                <w:color w:val="000000"/>
                <w:spacing w:val="1"/>
                <w:shd w:val="solid" w:color="000000" w:fill="000000"/>
                <w:fitText w:val="330" w:id="-625249787"/>
                <w14:textFill>
                  <w14:solidFill>
                    <w14:srgbClr w14:val="000000">
                      <w14:alpha w14:val="100000"/>
                    </w14:srgbClr>
                  </w14:solidFill>
                </w14:textFill>
              </w:rPr>
              <w:t>|</w:t>
            </w:r>
            <w:r w:rsidR="00487317" w:rsidRPr="00E750DB">
              <w:t>%</w:t>
            </w:r>
          </w:p>
        </w:tc>
      </w:tr>
      <w:tr w:rsidR="00487317" w:rsidRPr="00E750DB" w14:paraId="5ABC8251" w14:textId="77777777" w:rsidTr="00FF7512">
        <w:tc>
          <w:tcPr>
            <w:tcW w:w="4248" w:type="dxa"/>
            <w:noWrap/>
            <w:vAlign w:val="center"/>
          </w:tcPr>
          <w:p w14:paraId="463257CA" w14:textId="186847C4" w:rsidR="00487317" w:rsidRPr="00E750DB" w:rsidRDefault="00487317" w:rsidP="00E072B9">
            <w:pPr>
              <w:pStyle w:val="Tabletext"/>
              <w:rPr>
                <w:vertAlign w:val="superscript"/>
              </w:rPr>
            </w:pPr>
            <w:r w:rsidRPr="00E750DB">
              <w:t xml:space="preserve">Assume baseline % of AAR </w:t>
            </w:r>
            <w:r w:rsidR="00BD03FD">
              <w:t>&gt;</w:t>
            </w:r>
            <w:r w:rsidR="00A550BD">
              <w:t xml:space="preserve"> </w:t>
            </w:r>
            <w:r w:rsidRPr="00E750DB">
              <w:t xml:space="preserve">24 initiated in AAR </w:t>
            </w:r>
            <w:r w:rsidR="00BD03FD">
              <w:t>&gt;</w:t>
            </w:r>
            <w:r w:rsidR="00A550BD">
              <w:t xml:space="preserve"> </w:t>
            </w:r>
            <w:r w:rsidRPr="00E750DB">
              <w:t>4 to ≤</w:t>
            </w:r>
            <w:r w:rsidR="00BD03FD">
              <w:t xml:space="preserve"> </w:t>
            </w:r>
            <w:r w:rsidRPr="00E750DB">
              <w:t xml:space="preserve">24 instead i.e. 0% start in AAR </w:t>
            </w:r>
            <w:r w:rsidR="00BD03FD">
              <w:t>&gt;</w:t>
            </w:r>
            <w:r w:rsidR="00A550BD">
              <w:t xml:space="preserve"> </w:t>
            </w:r>
            <w:r w:rsidRPr="00E750DB">
              <w:t xml:space="preserve"> 24 (BC: 10% start in AAR</w:t>
            </w:r>
            <w:r w:rsidR="00BD03FD">
              <w:t xml:space="preserve"> &gt;</w:t>
            </w:r>
            <w:r w:rsidR="00A550BD">
              <w:t xml:space="preserve"> </w:t>
            </w:r>
            <w:r w:rsidRPr="00E750DB">
              <w:t>24)</w:t>
            </w:r>
          </w:p>
        </w:tc>
        <w:tc>
          <w:tcPr>
            <w:tcW w:w="1276" w:type="dxa"/>
            <w:gridSpan w:val="3"/>
            <w:noWrap/>
            <w:vAlign w:val="center"/>
          </w:tcPr>
          <w:p w14:paraId="145EA997" w14:textId="4D923758" w:rsidR="00487317" w:rsidRPr="00E750DB" w:rsidRDefault="00487317" w:rsidP="00E072B9">
            <w:pPr>
              <w:pStyle w:val="Tabletext"/>
            </w:pPr>
            <w:r w:rsidRPr="00E750DB">
              <w:t>$</w:t>
            </w:r>
            <w:r w:rsidR="00B35ACC" w:rsidRPr="009742C5">
              <w:rPr>
                <w:color w:val="000000"/>
                <w:spacing w:val="53"/>
                <w:shd w:val="solid" w:color="000000" w:fill="000000"/>
                <w:fitText w:val="330" w:id="-625249786"/>
                <w14:textFill>
                  <w14:solidFill>
                    <w14:srgbClr w14:val="000000">
                      <w14:alpha w14:val="100000"/>
                    </w14:srgbClr>
                  </w14:solidFill>
                </w14:textFill>
              </w:rPr>
              <w:t>|||</w:t>
            </w:r>
            <w:r w:rsidR="00B35ACC" w:rsidRPr="009742C5">
              <w:rPr>
                <w:color w:val="000000"/>
                <w:spacing w:val="1"/>
                <w:shd w:val="solid" w:color="000000" w:fill="000000"/>
                <w:fitText w:val="330" w:id="-625249786"/>
                <w14:textFill>
                  <w14:solidFill>
                    <w14:srgbClr w14:val="000000">
                      <w14:alpha w14:val="100000"/>
                    </w14:srgbClr>
                  </w14:solidFill>
                </w14:textFill>
              </w:rPr>
              <w:t>|</w:t>
            </w:r>
          </w:p>
        </w:tc>
        <w:tc>
          <w:tcPr>
            <w:tcW w:w="1275" w:type="dxa"/>
            <w:noWrap/>
            <w:vAlign w:val="center"/>
          </w:tcPr>
          <w:p w14:paraId="0E9CCB18" w14:textId="77777777" w:rsidR="00487317" w:rsidRPr="00E750DB" w:rsidRDefault="00487317" w:rsidP="00E072B9">
            <w:pPr>
              <w:pStyle w:val="Tabletext"/>
            </w:pPr>
            <w:r w:rsidRPr="00E750DB">
              <w:t>6.25</w:t>
            </w:r>
          </w:p>
        </w:tc>
        <w:tc>
          <w:tcPr>
            <w:tcW w:w="1134" w:type="dxa"/>
            <w:noWrap/>
            <w:vAlign w:val="center"/>
          </w:tcPr>
          <w:p w14:paraId="302804E7" w14:textId="4EFB1E67"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5"/>
                <w14:textFill>
                  <w14:solidFill>
                    <w14:srgbClr w14:val="000000">
                      <w14:alpha w14:val="100000"/>
                    </w14:srgbClr>
                  </w14:solidFill>
                </w14:textFill>
              </w:rPr>
              <w:t>|||</w:t>
            </w:r>
            <w:r w:rsidR="00B35ACC" w:rsidRPr="009742C5">
              <w:rPr>
                <w:color w:val="000000"/>
                <w:spacing w:val="1"/>
                <w:shd w:val="solid" w:color="000000" w:fill="000000"/>
                <w:fitText w:val="330" w:id="-625249785"/>
                <w14:textFill>
                  <w14:solidFill>
                    <w14:srgbClr w14:val="000000">
                      <w14:alpha w14:val="100000"/>
                    </w14:srgbClr>
                  </w14:solidFill>
                </w14:textFill>
              </w:rPr>
              <w:t>|</w:t>
            </w:r>
            <w:r w:rsidR="007A27A5">
              <w:rPr>
                <w:vertAlign w:val="superscript"/>
              </w:rPr>
              <w:t>1</w:t>
            </w:r>
          </w:p>
        </w:tc>
        <w:tc>
          <w:tcPr>
            <w:tcW w:w="1084" w:type="dxa"/>
            <w:noWrap/>
            <w:vAlign w:val="center"/>
          </w:tcPr>
          <w:p w14:paraId="0A50D9B4" w14:textId="1ED13FEC" w:rsidR="00487317" w:rsidRPr="00E750DB" w:rsidRDefault="00B35ACC" w:rsidP="00E072B9">
            <w:pPr>
              <w:pStyle w:val="Tabletext"/>
            </w:pPr>
            <w:r w:rsidRPr="009742C5">
              <w:rPr>
                <w:color w:val="000000"/>
                <w:spacing w:val="53"/>
                <w:shd w:val="solid" w:color="000000" w:fill="000000"/>
                <w:fitText w:val="330" w:id="-625249784"/>
                <w14:textFill>
                  <w14:solidFill>
                    <w14:srgbClr w14:val="000000">
                      <w14:alpha w14:val="100000"/>
                    </w14:srgbClr>
                  </w14:solidFill>
                </w14:textFill>
              </w:rPr>
              <w:t>|||</w:t>
            </w:r>
            <w:r w:rsidRPr="009742C5">
              <w:rPr>
                <w:color w:val="000000"/>
                <w:spacing w:val="1"/>
                <w:shd w:val="solid" w:color="000000" w:fill="000000"/>
                <w:fitText w:val="330" w:id="-625249784"/>
                <w14:textFill>
                  <w14:solidFill>
                    <w14:srgbClr w14:val="000000">
                      <w14:alpha w14:val="100000"/>
                    </w14:srgbClr>
                  </w14:solidFill>
                </w14:textFill>
              </w:rPr>
              <w:t>|</w:t>
            </w:r>
            <w:r w:rsidR="00487317" w:rsidRPr="00E750DB">
              <w:t>%</w:t>
            </w:r>
          </w:p>
        </w:tc>
      </w:tr>
      <w:tr w:rsidR="00487317" w:rsidRPr="00E750DB" w14:paraId="348B87EE" w14:textId="77777777" w:rsidTr="00FF7512">
        <w:tc>
          <w:tcPr>
            <w:tcW w:w="4248" w:type="dxa"/>
            <w:noWrap/>
            <w:vAlign w:val="center"/>
          </w:tcPr>
          <w:p w14:paraId="36D86428" w14:textId="57B3CA64" w:rsidR="00487317" w:rsidRPr="00E750DB" w:rsidRDefault="00487317" w:rsidP="00E072B9">
            <w:pPr>
              <w:pStyle w:val="Tabletext"/>
            </w:pPr>
            <w:r w:rsidRPr="00E750DB">
              <w:t xml:space="preserve">Change number of acute attacks per year in AAR </w:t>
            </w:r>
            <w:r w:rsidR="00BD03FD">
              <w:t>&gt;</w:t>
            </w:r>
            <w:r w:rsidR="00A550BD">
              <w:t xml:space="preserve"> </w:t>
            </w:r>
            <w:r w:rsidRPr="00E750DB">
              <w:t>24 health state to 28.22 (BC 33.1 attacks per year)</w:t>
            </w:r>
          </w:p>
        </w:tc>
        <w:tc>
          <w:tcPr>
            <w:tcW w:w="1276" w:type="dxa"/>
            <w:gridSpan w:val="3"/>
            <w:noWrap/>
            <w:vAlign w:val="center"/>
          </w:tcPr>
          <w:p w14:paraId="268723FB" w14:textId="7D765DB5" w:rsidR="00487317" w:rsidRPr="00E750DB" w:rsidRDefault="00487317" w:rsidP="00E072B9">
            <w:pPr>
              <w:pStyle w:val="Tabletext"/>
            </w:pPr>
            <w:r w:rsidRPr="00E750DB">
              <w:t>$</w:t>
            </w:r>
            <w:r w:rsidR="00B35ACC" w:rsidRPr="009742C5">
              <w:rPr>
                <w:color w:val="000000"/>
                <w:spacing w:val="53"/>
                <w:shd w:val="solid" w:color="000000" w:fill="000000"/>
                <w:fitText w:val="330" w:id="-625249783"/>
                <w14:textFill>
                  <w14:solidFill>
                    <w14:srgbClr w14:val="000000">
                      <w14:alpha w14:val="100000"/>
                    </w14:srgbClr>
                  </w14:solidFill>
                </w14:textFill>
              </w:rPr>
              <w:t>|||</w:t>
            </w:r>
            <w:r w:rsidR="00B35ACC" w:rsidRPr="009742C5">
              <w:rPr>
                <w:color w:val="000000"/>
                <w:spacing w:val="1"/>
                <w:shd w:val="solid" w:color="000000" w:fill="000000"/>
                <w:fitText w:val="330" w:id="-625249783"/>
                <w14:textFill>
                  <w14:solidFill>
                    <w14:srgbClr w14:val="000000">
                      <w14:alpha w14:val="100000"/>
                    </w14:srgbClr>
                  </w14:solidFill>
                </w14:textFill>
              </w:rPr>
              <w:t>|</w:t>
            </w:r>
          </w:p>
        </w:tc>
        <w:tc>
          <w:tcPr>
            <w:tcW w:w="1275" w:type="dxa"/>
            <w:noWrap/>
            <w:vAlign w:val="center"/>
          </w:tcPr>
          <w:p w14:paraId="297C18AB" w14:textId="77777777" w:rsidR="00487317" w:rsidRPr="00E750DB" w:rsidRDefault="00487317" w:rsidP="00E072B9">
            <w:pPr>
              <w:pStyle w:val="Tabletext"/>
            </w:pPr>
            <w:r w:rsidRPr="00E750DB">
              <w:t>6.33</w:t>
            </w:r>
          </w:p>
        </w:tc>
        <w:tc>
          <w:tcPr>
            <w:tcW w:w="1134" w:type="dxa"/>
            <w:noWrap/>
            <w:vAlign w:val="center"/>
          </w:tcPr>
          <w:p w14:paraId="18CB32B6" w14:textId="68B6FBC7"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2"/>
                <w14:textFill>
                  <w14:solidFill>
                    <w14:srgbClr w14:val="000000">
                      <w14:alpha w14:val="100000"/>
                    </w14:srgbClr>
                  </w14:solidFill>
                </w14:textFill>
              </w:rPr>
              <w:t>|||</w:t>
            </w:r>
            <w:r w:rsidR="00B35ACC" w:rsidRPr="009742C5">
              <w:rPr>
                <w:color w:val="000000"/>
                <w:spacing w:val="1"/>
                <w:shd w:val="solid" w:color="000000" w:fill="000000"/>
                <w:fitText w:val="330" w:id="-625249782"/>
                <w14:textFill>
                  <w14:solidFill>
                    <w14:srgbClr w14:val="000000">
                      <w14:alpha w14:val="100000"/>
                    </w14:srgbClr>
                  </w14:solidFill>
                </w14:textFill>
              </w:rPr>
              <w:t>|</w:t>
            </w:r>
            <w:r w:rsidR="007A27A5">
              <w:rPr>
                <w:vertAlign w:val="superscript"/>
              </w:rPr>
              <w:t>1</w:t>
            </w:r>
          </w:p>
        </w:tc>
        <w:tc>
          <w:tcPr>
            <w:tcW w:w="1084" w:type="dxa"/>
            <w:noWrap/>
            <w:vAlign w:val="center"/>
          </w:tcPr>
          <w:p w14:paraId="46653ABF" w14:textId="34901FB6" w:rsidR="00487317" w:rsidRPr="00E750DB" w:rsidRDefault="00B35ACC" w:rsidP="00E072B9">
            <w:pPr>
              <w:pStyle w:val="Tabletext"/>
            </w:pPr>
            <w:r w:rsidRPr="009742C5">
              <w:rPr>
                <w:color w:val="000000"/>
                <w:spacing w:val="53"/>
                <w:shd w:val="solid" w:color="000000" w:fill="000000"/>
                <w:fitText w:val="330" w:id="-625249781"/>
                <w14:textFill>
                  <w14:solidFill>
                    <w14:srgbClr w14:val="000000">
                      <w14:alpha w14:val="100000"/>
                    </w14:srgbClr>
                  </w14:solidFill>
                </w14:textFill>
              </w:rPr>
              <w:t>|||</w:t>
            </w:r>
            <w:r w:rsidRPr="009742C5">
              <w:rPr>
                <w:color w:val="000000"/>
                <w:spacing w:val="1"/>
                <w:shd w:val="solid" w:color="000000" w:fill="000000"/>
                <w:fitText w:val="330" w:id="-625249781"/>
                <w14:textFill>
                  <w14:solidFill>
                    <w14:srgbClr w14:val="000000">
                      <w14:alpha w14:val="100000"/>
                    </w14:srgbClr>
                  </w14:solidFill>
                </w14:textFill>
              </w:rPr>
              <w:t>|</w:t>
            </w:r>
            <w:r w:rsidR="00487317" w:rsidRPr="00E750DB">
              <w:t>%</w:t>
            </w:r>
          </w:p>
        </w:tc>
      </w:tr>
      <w:tr w:rsidR="00487317" w:rsidRPr="00E750DB" w14:paraId="1423BA44" w14:textId="77777777" w:rsidTr="00FF7512">
        <w:tc>
          <w:tcPr>
            <w:tcW w:w="4248" w:type="dxa"/>
            <w:noWrap/>
            <w:vAlign w:val="center"/>
          </w:tcPr>
          <w:p w14:paraId="67EA876E" w14:textId="4192ACE4" w:rsidR="00487317" w:rsidRPr="00E750DB" w:rsidRDefault="00487317" w:rsidP="00E072B9">
            <w:pPr>
              <w:pStyle w:val="Tabletext"/>
              <w:rPr>
                <w:vertAlign w:val="superscript"/>
              </w:rPr>
            </w:pPr>
            <w:r w:rsidRPr="00E750DB">
              <w:t>Proportion of acute treatment setting informed by ENVISION (BC informed by EXPLORE)</w:t>
            </w:r>
          </w:p>
        </w:tc>
        <w:tc>
          <w:tcPr>
            <w:tcW w:w="1276" w:type="dxa"/>
            <w:gridSpan w:val="3"/>
            <w:noWrap/>
            <w:vAlign w:val="center"/>
          </w:tcPr>
          <w:p w14:paraId="2B5A7C3A" w14:textId="4A731B5A" w:rsidR="00487317" w:rsidRPr="00E750DB" w:rsidRDefault="00487317" w:rsidP="00E072B9">
            <w:pPr>
              <w:pStyle w:val="Tabletext"/>
            </w:pPr>
            <w:r w:rsidRPr="00E750DB">
              <w:t>$</w:t>
            </w:r>
            <w:r w:rsidR="00B35ACC" w:rsidRPr="009742C5">
              <w:rPr>
                <w:color w:val="000000"/>
                <w:spacing w:val="53"/>
                <w:shd w:val="solid" w:color="000000" w:fill="000000"/>
                <w:fitText w:val="330" w:id="-625249780"/>
                <w14:textFill>
                  <w14:solidFill>
                    <w14:srgbClr w14:val="000000">
                      <w14:alpha w14:val="100000"/>
                    </w14:srgbClr>
                  </w14:solidFill>
                </w14:textFill>
              </w:rPr>
              <w:t>|||</w:t>
            </w:r>
            <w:r w:rsidR="00B35ACC" w:rsidRPr="009742C5">
              <w:rPr>
                <w:color w:val="000000"/>
                <w:spacing w:val="1"/>
                <w:shd w:val="solid" w:color="000000" w:fill="000000"/>
                <w:fitText w:val="330" w:id="-625249780"/>
                <w14:textFill>
                  <w14:solidFill>
                    <w14:srgbClr w14:val="000000">
                      <w14:alpha w14:val="100000"/>
                    </w14:srgbClr>
                  </w14:solidFill>
                </w14:textFill>
              </w:rPr>
              <w:t>|</w:t>
            </w:r>
          </w:p>
        </w:tc>
        <w:tc>
          <w:tcPr>
            <w:tcW w:w="1275" w:type="dxa"/>
            <w:noWrap/>
            <w:vAlign w:val="center"/>
          </w:tcPr>
          <w:p w14:paraId="495C7AD0" w14:textId="77777777" w:rsidR="00487317" w:rsidRPr="00E750DB" w:rsidRDefault="00487317" w:rsidP="00E072B9">
            <w:pPr>
              <w:pStyle w:val="Tabletext"/>
            </w:pPr>
            <w:r w:rsidRPr="00E750DB">
              <w:t>6.43</w:t>
            </w:r>
          </w:p>
        </w:tc>
        <w:tc>
          <w:tcPr>
            <w:tcW w:w="1134" w:type="dxa"/>
            <w:noWrap/>
            <w:vAlign w:val="center"/>
          </w:tcPr>
          <w:p w14:paraId="7BE04ACF" w14:textId="76D72EFB" w:rsidR="00487317" w:rsidRPr="002F0111" w:rsidRDefault="00F029D4" w:rsidP="00E072B9">
            <w:pPr>
              <w:pStyle w:val="Tabletext"/>
              <w:rPr>
                <w:vertAlign w:val="superscript"/>
              </w:rPr>
            </w:pPr>
            <w:r w:rsidRPr="00E750DB">
              <w:t>$</w:t>
            </w:r>
            <w:r w:rsidR="00B35ACC" w:rsidRPr="009742C5">
              <w:rPr>
                <w:color w:val="000000"/>
                <w:spacing w:val="53"/>
                <w:shd w:val="solid" w:color="000000" w:fill="000000"/>
                <w:fitText w:val="330" w:id="-625249779"/>
                <w14:textFill>
                  <w14:solidFill>
                    <w14:srgbClr w14:val="000000">
                      <w14:alpha w14:val="100000"/>
                    </w14:srgbClr>
                  </w14:solidFill>
                </w14:textFill>
              </w:rPr>
              <w:t>|||</w:t>
            </w:r>
            <w:r w:rsidR="00B35ACC" w:rsidRPr="009742C5">
              <w:rPr>
                <w:color w:val="000000"/>
                <w:spacing w:val="1"/>
                <w:shd w:val="solid" w:color="000000" w:fill="000000"/>
                <w:fitText w:val="330" w:id="-625249779"/>
                <w14:textFill>
                  <w14:solidFill>
                    <w14:srgbClr w14:val="000000">
                      <w14:alpha w14:val="100000"/>
                    </w14:srgbClr>
                  </w14:solidFill>
                </w14:textFill>
              </w:rPr>
              <w:t>|</w:t>
            </w:r>
            <w:r w:rsidR="002F0111">
              <w:rPr>
                <w:vertAlign w:val="superscript"/>
              </w:rPr>
              <w:t>3</w:t>
            </w:r>
          </w:p>
        </w:tc>
        <w:tc>
          <w:tcPr>
            <w:tcW w:w="1084" w:type="dxa"/>
            <w:noWrap/>
            <w:vAlign w:val="center"/>
          </w:tcPr>
          <w:p w14:paraId="66A2F1D1" w14:textId="493DF84F" w:rsidR="00487317" w:rsidRPr="00E750DB" w:rsidRDefault="00B35ACC" w:rsidP="00E072B9">
            <w:pPr>
              <w:pStyle w:val="Tabletext"/>
            </w:pPr>
            <w:r w:rsidRPr="009742C5">
              <w:rPr>
                <w:color w:val="000000"/>
                <w:spacing w:val="53"/>
                <w:shd w:val="solid" w:color="000000" w:fill="000000"/>
                <w:fitText w:val="330" w:id="-625249778"/>
                <w14:textFill>
                  <w14:solidFill>
                    <w14:srgbClr w14:val="000000">
                      <w14:alpha w14:val="100000"/>
                    </w14:srgbClr>
                  </w14:solidFill>
                </w14:textFill>
              </w:rPr>
              <w:t>|||</w:t>
            </w:r>
            <w:r w:rsidRPr="009742C5">
              <w:rPr>
                <w:color w:val="000000"/>
                <w:spacing w:val="1"/>
                <w:shd w:val="solid" w:color="000000" w:fill="000000"/>
                <w:fitText w:val="330" w:id="-625249778"/>
                <w14:textFill>
                  <w14:solidFill>
                    <w14:srgbClr w14:val="000000">
                      <w14:alpha w14:val="100000"/>
                    </w14:srgbClr>
                  </w14:solidFill>
                </w14:textFill>
              </w:rPr>
              <w:t>|</w:t>
            </w:r>
            <w:r w:rsidR="00487317" w:rsidRPr="00E750DB">
              <w:t>%</w:t>
            </w:r>
          </w:p>
        </w:tc>
      </w:tr>
      <w:tr w:rsidR="00487317" w:rsidRPr="00E750DB" w14:paraId="0858C361" w14:textId="77777777" w:rsidTr="00FF7512">
        <w:tc>
          <w:tcPr>
            <w:tcW w:w="4248" w:type="dxa"/>
            <w:noWrap/>
            <w:vAlign w:val="center"/>
          </w:tcPr>
          <w:p w14:paraId="0943F301" w14:textId="6E94BD6B" w:rsidR="00487317" w:rsidRPr="00E750DB" w:rsidRDefault="00487317" w:rsidP="00E072B9">
            <w:pPr>
              <w:pStyle w:val="Tabletext"/>
              <w:rPr>
                <w:vertAlign w:val="superscript"/>
              </w:rPr>
            </w:pPr>
            <w:r w:rsidRPr="00E750DB">
              <w:t>No discontinuation of givosiran after cycle 8 (BC: discontinuation based on extrapolation)</w:t>
            </w:r>
          </w:p>
        </w:tc>
        <w:tc>
          <w:tcPr>
            <w:tcW w:w="1276" w:type="dxa"/>
            <w:gridSpan w:val="3"/>
            <w:noWrap/>
            <w:vAlign w:val="center"/>
          </w:tcPr>
          <w:p w14:paraId="0ECE18C0" w14:textId="4CC49A5F" w:rsidR="00487317" w:rsidRPr="00E750DB" w:rsidRDefault="00487317" w:rsidP="00E072B9">
            <w:pPr>
              <w:pStyle w:val="Tabletext"/>
            </w:pPr>
            <w:r w:rsidRPr="00E750DB">
              <w:t>$</w:t>
            </w:r>
            <w:r w:rsidR="00B35ACC" w:rsidRPr="009742C5">
              <w:rPr>
                <w:color w:val="000000"/>
                <w:spacing w:val="53"/>
                <w:shd w:val="solid" w:color="000000" w:fill="000000"/>
                <w:fitText w:val="330" w:id="-625249777"/>
                <w14:textFill>
                  <w14:solidFill>
                    <w14:srgbClr w14:val="000000">
                      <w14:alpha w14:val="100000"/>
                    </w14:srgbClr>
                  </w14:solidFill>
                </w14:textFill>
              </w:rPr>
              <w:t>|||</w:t>
            </w:r>
            <w:r w:rsidR="00B35ACC" w:rsidRPr="009742C5">
              <w:rPr>
                <w:color w:val="000000"/>
                <w:spacing w:val="1"/>
                <w:shd w:val="solid" w:color="000000" w:fill="000000"/>
                <w:fitText w:val="330" w:id="-625249777"/>
                <w14:textFill>
                  <w14:solidFill>
                    <w14:srgbClr w14:val="000000">
                      <w14:alpha w14:val="100000"/>
                    </w14:srgbClr>
                  </w14:solidFill>
                </w14:textFill>
              </w:rPr>
              <w:t>|</w:t>
            </w:r>
          </w:p>
        </w:tc>
        <w:tc>
          <w:tcPr>
            <w:tcW w:w="1275" w:type="dxa"/>
            <w:noWrap/>
            <w:vAlign w:val="center"/>
          </w:tcPr>
          <w:p w14:paraId="139837BF" w14:textId="77777777" w:rsidR="00487317" w:rsidRPr="00E750DB" w:rsidRDefault="00487317" w:rsidP="00E072B9">
            <w:pPr>
              <w:pStyle w:val="Tabletext"/>
            </w:pPr>
            <w:r w:rsidRPr="00E750DB">
              <w:t>6.42</w:t>
            </w:r>
          </w:p>
        </w:tc>
        <w:tc>
          <w:tcPr>
            <w:tcW w:w="1134" w:type="dxa"/>
            <w:noWrap/>
            <w:vAlign w:val="center"/>
          </w:tcPr>
          <w:p w14:paraId="519F647D" w14:textId="13BC455D" w:rsidR="00487317" w:rsidRPr="002F0111" w:rsidRDefault="00487317" w:rsidP="00E072B9">
            <w:pPr>
              <w:pStyle w:val="Tabletext"/>
              <w:rPr>
                <w:vertAlign w:val="superscript"/>
              </w:rPr>
            </w:pPr>
            <w:r w:rsidRPr="00E750DB">
              <w:t>$</w:t>
            </w:r>
            <w:r w:rsidR="00B35ACC" w:rsidRPr="009742C5">
              <w:rPr>
                <w:color w:val="000000"/>
                <w:spacing w:val="53"/>
                <w:shd w:val="solid" w:color="000000" w:fill="000000"/>
                <w:fitText w:val="330" w:id="-625249776"/>
                <w14:textFill>
                  <w14:solidFill>
                    <w14:srgbClr w14:val="000000">
                      <w14:alpha w14:val="100000"/>
                    </w14:srgbClr>
                  </w14:solidFill>
                </w14:textFill>
              </w:rPr>
              <w:t>|||</w:t>
            </w:r>
            <w:r w:rsidR="00B35ACC" w:rsidRPr="009742C5">
              <w:rPr>
                <w:color w:val="000000"/>
                <w:spacing w:val="1"/>
                <w:shd w:val="solid" w:color="000000" w:fill="000000"/>
                <w:fitText w:val="330" w:id="-625249776"/>
                <w14:textFill>
                  <w14:solidFill>
                    <w14:srgbClr w14:val="000000">
                      <w14:alpha w14:val="100000"/>
                    </w14:srgbClr>
                  </w14:solidFill>
                </w14:textFill>
              </w:rPr>
              <w:t>|</w:t>
            </w:r>
            <w:r w:rsidR="002F0111">
              <w:rPr>
                <w:vertAlign w:val="superscript"/>
              </w:rPr>
              <w:t>3</w:t>
            </w:r>
          </w:p>
        </w:tc>
        <w:tc>
          <w:tcPr>
            <w:tcW w:w="1084" w:type="dxa"/>
            <w:noWrap/>
            <w:vAlign w:val="center"/>
          </w:tcPr>
          <w:p w14:paraId="6ADF01E6" w14:textId="00A50206" w:rsidR="00487317" w:rsidRPr="00E750DB" w:rsidRDefault="00B35ACC" w:rsidP="00E072B9">
            <w:pPr>
              <w:pStyle w:val="Tabletext"/>
            </w:pPr>
            <w:r w:rsidRPr="009742C5">
              <w:rPr>
                <w:color w:val="000000"/>
                <w:spacing w:val="53"/>
                <w:shd w:val="solid" w:color="000000" w:fill="000000"/>
                <w:fitText w:val="330" w:id="-625249792"/>
                <w14:textFill>
                  <w14:solidFill>
                    <w14:srgbClr w14:val="000000">
                      <w14:alpha w14:val="100000"/>
                    </w14:srgbClr>
                  </w14:solidFill>
                </w14:textFill>
              </w:rPr>
              <w:t>|||</w:t>
            </w:r>
            <w:r w:rsidRPr="009742C5">
              <w:rPr>
                <w:color w:val="000000"/>
                <w:spacing w:val="1"/>
                <w:shd w:val="solid" w:color="000000" w:fill="000000"/>
                <w:fitText w:val="330" w:id="-625249792"/>
                <w14:textFill>
                  <w14:solidFill>
                    <w14:srgbClr w14:val="000000">
                      <w14:alpha w14:val="100000"/>
                    </w14:srgbClr>
                  </w14:solidFill>
                </w14:textFill>
              </w:rPr>
              <w:t>|</w:t>
            </w:r>
            <w:r w:rsidR="00487317" w:rsidRPr="00E750DB">
              <w:t>%</w:t>
            </w:r>
          </w:p>
        </w:tc>
      </w:tr>
      <w:tr w:rsidR="00487317" w:rsidRPr="00E750DB" w14:paraId="07BF8E44" w14:textId="77777777" w:rsidTr="00FF7512">
        <w:tc>
          <w:tcPr>
            <w:tcW w:w="4248" w:type="dxa"/>
            <w:noWrap/>
            <w:vAlign w:val="center"/>
          </w:tcPr>
          <w:p w14:paraId="504C063A" w14:textId="77777777" w:rsidR="00487317" w:rsidRPr="00E750DB" w:rsidRDefault="00487317" w:rsidP="00E072B9">
            <w:pPr>
              <w:pStyle w:val="Tabletext"/>
            </w:pPr>
            <w:r w:rsidRPr="00E750DB">
              <w:t>Assume 99.9% discontinue treatment after 1 cycle (BC exponential extrapolation)</w:t>
            </w:r>
          </w:p>
        </w:tc>
        <w:tc>
          <w:tcPr>
            <w:tcW w:w="1276" w:type="dxa"/>
            <w:gridSpan w:val="3"/>
            <w:noWrap/>
            <w:vAlign w:val="center"/>
          </w:tcPr>
          <w:p w14:paraId="0F97BC6F" w14:textId="063698EA" w:rsidR="00487317" w:rsidRPr="00E750DB" w:rsidRDefault="00E072B9" w:rsidP="00E072B9">
            <w:pPr>
              <w:pStyle w:val="Tabletext"/>
            </w:pPr>
            <w:r>
              <w:noBreakHyphen/>
            </w:r>
            <w:r w:rsidR="00487317" w:rsidRPr="00E750DB">
              <w:t>$</w:t>
            </w:r>
            <w:r w:rsidR="00B35ACC" w:rsidRPr="009742C5">
              <w:rPr>
                <w:color w:val="000000"/>
                <w:spacing w:val="53"/>
                <w:shd w:val="solid" w:color="000000" w:fill="000000"/>
                <w:fitText w:val="330" w:id="-625249791"/>
                <w14:textFill>
                  <w14:solidFill>
                    <w14:srgbClr w14:val="000000">
                      <w14:alpha w14:val="100000"/>
                    </w14:srgbClr>
                  </w14:solidFill>
                </w14:textFill>
              </w:rPr>
              <w:t>|||</w:t>
            </w:r>
            <w:r w:rsidR="00B35ACC" w:rsidRPr="009742C5">
              <w:rPr>
                <w:color w:val="000000"/>
                <w:spacing w:val="1"/>
                <w:shd w:val="solid" w:color="000000" w:fill="000000"/>
                <w:fitText w:val="330" w:id="-625249791"/>
                <w14:textFill>
                  <w14:solidFill>
                    <w14:srgbClr w14:val="000000">
                      <w14:alpha w14:val="100000"/>
                    </w14:srgbClr>
                  </w14:solidFill>
                </w14:textFill>
              </w:rPr>
              <w:t>|</w:t>
            </w:r>
          </w:p>
        </w:tc>
        <w:tc>
          <w:tcPr>
            <w:tcW w:w="1275" w:type="dxa"/>
            <w:noWrap/>
            <w:vAlign w:val="center"/>
          </w:tcPr>
          <w:p w14:paraId="4B24AE3D" w14:textId="77777777" w:rsidR="00487317" w:rsidRPr="00E750DB" w:rsidRDefault="00487317" w:rsidP="00E072B9">
            <w:pPr>
              <w:pStyle w:val="Tabletext"/>
            </w:pPr>
            <w:r w:rsidRPr="00E750DB">
              <w:t>3.93</w:t>
            </w:r>
          </w:p>
        </w:tc>
        <w:tc>
          <w:tcPr>
            <w:tcW w:w="1134" w:type="dxa"/>
            <w:noWrap/>
            <w:vAlign w:val="center"/>
          </w:tcPr>
          <w:p w14:paraId="593D31AD" w14:textId="77777777" w:rsidR="00487317" w:rsidRPr="00E750DB" w:rsidRDefault="00487317" w:rsidP="00E072B9">
            <w:pPr>
              <w:pStyle w:val="Tabletext"/>
            </w:pPr>
            <w:r w:rsidRPr="00E750DB">
              <w:t>dominant</w:t>
            </w:r>
          </w:p>
        </w:tc>
        <w:tc>
          <w:tcPr>
            <w:tcW w:w="1084" w:type="dxa"/>
            <w:noWrap/>
            <w:vAlign w:val="center"/>
          </w:tcPr>
          <w:p w14:paraId="1BA799AF" w14:textId="06EDCFEE" w:rsidR="00487317" w:rsidRPr="00E750DB" w:rsidRDefault="00E072B9" w:rsidP="00E072B9">
            <w:pPr>
              <w:pStyle w:val="Tabletext"/>
            </w:pPr>
            <w:r>
              <w:noBreakHyphen/>
            </w:r>
          </w:p>
        </w:tc>
      </w:tr>
      <w:tr w:rsidR="00487317" w:rsidRPr="00E750DB" w14:paraId="376568EA" w14:textId="77777777" w:rsidTr="00FF7512">
        <w:tc>
          <w:tcPr>
            <w:tcW w:w="4248" w:type="dxa"/>
            <w:noWrap/>
            <w:vAlign w:val="center"/>
          </w:tcPr>
          <w:p w14:paraId="2B5A037D" w14:textId="64C3D558" w:rsidR="00487317" w:rsidRPr="00E750DB" w:rsidRDefault="00487317" w:rsidP="00E072B9">
            <w:pPr>
              <w:pStyle w:val="Tabletext"/>
              <w:rPr>
                <w:vertAlign w:val="superscript"/>
              </w:rPr>
            </w:pPr>
            <w:r w:rsidRPr="00E750DB">
              <w:t xml:space="preserve">Assume AAR </w:t>
            </w:r>
            <w:r w:rsidR="00BD03FD">
              <w:t>&gt;</w:t>
            </w:r>
            <w:r w:rsidR="00A550BD">
              <w:t xml:space="preserve"> </w:t>
            </w:r>
            <w:r w:rsidRPr="00E750DB">
              <w:t>0 to ≤</w:t>
            </w:r>
            <w:r w:rsidR="00BD03FD">
              <w:t xml:space="preserve"> </w:t>
            </w:r>
            <w:r w:rsidRPr="00E750DB">
              <w:t>4 health state</w:t>
            </w:r>
            <w:r w:rsidR="00647114" w:rsidRPr="00E750DB">
              <w:t xml:space="preserve"> chronic</w:t>
            </w:r>
            <w:r w:rsidRPr="00E750DB">
              <w:t xml:space="preserve"> utility to be the same ‘out of attack’ </w:t>
            </w:r>
            <w:r w:rsidRPr="00481A2A">
              <w:t>utility (0.577) in</w:t>
            </w:r>
            <w:r w:rsidRPr="00E750DB">
              <w:t xml:space="preserve"> EXPLORE in patients aged 35</w:t>
            </w:r>
            <w:r w:rsidR="00E072B9">
              <w:noBreakHyphen/>
            </w:r>
            <w:r w:rsidRPr="00E750DB">
              <w:t xml:space="preserve">44 </w:t>
            </w:r>
            <w:r w:rsidR="00063337" w:rsidRPr="00E750DB">
              <w:rPr>
                <w:vertAlign w:val="superscript"/>
              </w:rPr>
              <w:t>a</w:t>
            </w:r>
          </w:p>
        </w:tc>
        <w:tc>
          <w:tcPr>
            <w:tcW w:w="1276" w:type="dxa"/>
            <w:gridSpan w:val="3"/>
            <w:noWrap/>
            <w:vAlign w:val="center"/>
          </w:tcPr>
          <w:p w14:paraId="374499F8" w14:textId="34AD8EE7" w:rsidR="00487317" w:rsidRPr="00E750DB" w:rsidRDefault="00487317" w:rsidP="00E072B9">
            <w:pPr>
              <w:pStyle w:val="Tabletext"/>
            </w:pPr>
            <w:r w:rsidRPr="00E750DB">
              <w:t>$</w:t>
            </w:r>
            <w:r w:rsidR="00B35ACC" w:rsidRPr="009742C5">
              <w:rPr>
                <w:color w:val="000000"/>
                <w:spacing w:val="53"/>
                <w:shd w:val="solid" w:color="000000" w:fill="000000"/>
                <w:fitText w:val="330" w:id="-625249790"/>
                <w14:textFill>
                  <w14:solidFill>
                    <w14:srgbClr w14:val="000000">
                      <w14:alpha w14:val="100000"/>
                    </w14:srgbClr>
                  </w14:solidFill>
                </w14:textFill>
              </w:rPr>
              <w:t>|||</w:t>
            </w:r>
            <w:r w:rsidR="00B35ACC" w:rsidRPr="009742C5">
              <w:rPr>
                <w:color w:val="000000"/>
                <w:spacing w:val="1"/>
                <w:shd w:val="solid" w:color="000000" w:fill="000000"/>
                <w:fitText w:val="330" w:id="-625249790"/>
                <w14:textFill>
                  <w14:solidFill>
                    <w14:srgbClr w14:val="000000">
                      <w14:alpha w14:val="100000"/>
                    </w14:srgbClr>
                  </w14:solidFill>
                </w14:textFill>
              </w:rPr>
              <w:t>|</w:t>
            </w:r>
          </w:p>
        </w:tc>
        <w:tc>
          <w:tcPr>
            <w:tcW w:w="1275" w:type="dxa"/>
            <w:noWrap/>
            <w:vAlign w:val="center"/>
          </w:tcPr>
          <w:p w14:paraId="5DD3847A" w14:textId="77777777" w:rsidR="00487317" w:rsidRPr="00E750DB" w:rsidRDefault="00487317" w:rsidP="00E072B9">
            <w:pPr>
              <w:pStyle w:val="Tabletext"/>
            </w:pPr>
            <w:r w:rsidRPr="00E750DB">
              <w:t>4.31</w:t>
            </w:r>
          </w:p>
        </w:tc>
        <w:tc>
          <w:tcPr>
            <w:tcW w:w="1134" w:type="dxa"/>
            <w:noWrap/>
            <w:vAlign w:val="center"/>
          </w:tcPr>
          <w:p w14:paraId="168E1DCE" w14:textId="08A78C6B"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9"/>
                <w14:textFill>
                  <w14:solidFill>
                    <w14:srgbClr w14:val="000000">
                      <w14:alpha w14:val="100000"/>
                    </w14:srgbClr>
                  </w14:solidFill>
                </w14:textFill>
              </w:rPr>
              <w:t>|||</w:t>
            </w:r>
            <w:r w:rsidR="00B35ACC" w:rsidRPr="009742C5">
              <w:rPr>
                <w:color w:val="000000"/>
                <w:spacing w:val="1"/>
                <w:shd w:val="solid" w:color="000000" w:fill="000000"/>
                <w:fitText w:val="330" w:id="-625249789"/>
                <w14:textFill>
                  <w14:solidFill>
                    <w14:srgbClr w14:val="000000">
                      <w14:alpha w14:val="100000"/>
                    </w14:srgbClr>
                  </w14:solidFill>
                </w14:textFill>
              </w:rPr>
              <w:t>|</w:t>
            </w:r>
            <w:r w:rsidR="007A27A5">
              <w:rPr>
                <w:vertAlign w:val="superscript"/>
              </w:rPr>
              <w:t>1</w:t>
            </w:r>
          </w:p>
        </w:tc>
        <w:tc>
          <w:tcPr>
            <w:tcW w:w="1084" w:type="dxa"/>
            <w:noWrap/>
            <w:vAlign w:val="center"/>
          </w:tcPr>
          <w:p w14:paraId="651A2760" w14:textId="721ED8AA" w:rsidR="00487317" w:rsidRPr="00E750DB" w:rsidRDefault="00B35ACC" w:rsidP="00E072B9">
            <w:pPr>
              <w:pStyle w:val="Tabletext"/>
            </w:pPr>
            <w:r w:rsidRPr="009742C5">
              <w:rPr>
                <w:color w:val="000000"/>
                <w:spacing w:val="53"/>
                <w:shd w:val="solid" w:color="000000" w:fill="000000"/>
                <w:fitText w:val="330" w:id="-625249788"/>
                <w14:textFill>
                  <w14:solidFill>
                    <w14:srgbClr w14:val="000000">
                      <w14:alpha w14:val="100000"/>
                    </w14:srgbClr>
                  </w14:solidFill>
                </w14:textFill>
              </w:rPr>
              <w:t>|||</w:t>
            </w:r>
            <w:r w:rsidRPr="009742C5">
              <w:rPr>
                <w:color w:val="000000"/>
                <w:spacing w:val="1"/>
                <w:shd w:val="solid" w:color="000000" w:fill="000000"/>
                <w:fitText w:val="330" w:id="-625249788"/>
                <w14:textFill>
                  <w14:solidFill>
                    <w14:srgbClr w14:val="000000">
                      <w14:alpha w14:val="100000"/>
                    </w14:srgbClr>
                  </w14:solidFill>
                </w14:textFill>
              </w:rPr>
              <w:t>|</w:t>
            </w:r>
            <w:r w:rsidR="00487317" w:rsidRPr="00E750DB">
              <w:t>%</w:t>
            </w:r>
          </w:p>
        </w:tc>
      </w:tr>
      <w:tr w:rsidR="00487317" w:rsidRPr="00E750DB" w14:paraId="7C0C1ADC" w14:textId="77777777" w:rsidTr="00FF7512">
        <w:tc>
          <w:tcPr>
            <w:tcW w:w="4248" w:type="dxa"/>
            <w:noWrap/>
            <w:vAlign w:val="center"/>
          </w:tcPr>
          <w:p w14:paraId="59B7347A" w14:textId="210C5123" w:rsidR="00487317" w:rsidRPr="00E750DB" w:rsidRDefault="00487317" w:rsidP="00E072B9">
            <w:pPr>
              <w:pStyle w:val="Tabletext"/>
            </w:pPr>
            <w:r w:rsidRPr="00E750DB">
              <w:t xml:space="preserve">Use </w:t>
            </w:r>
            <w:r w:rsidR="00647114" w:rsidRPr="00E750DB">
              <w:t xml:space="preserve">chronic </w:t>
            </w:r>
            <w:r w:rsidRPr="00E750DB">
              <w:t xml:space="preserve">utility decrement for asymptomatic in all health states (i.e. </w:t>
            </w:r>
            <w:r w:rsidR="00E072B9">
              <w:noBreakHyphen/>
            </w:r>
            <w:r w:rsidRPr="00E750DB">
              <w:t xml:space="preserve">0.198 for all health states) as per CADTH </w:t>
            </w:r>
          </w:p>
        </w:tc>
        <w:tc>
          <w:tcPr>
            <w:tcW w:w="1276" w:type="dxa"/>
            <w:gridSpan w:val="3"/>
            <w:noWrap/>
            <w:vAlign w:val="center"/>
          </w:tcPr>
          <w:p w14:paraId="64650F00" w14:textId="5C8A89B2" w:rsidR="00487317" w:rsidRPr="00E750DB" w:rsidRDefault="00487317" w:rsidP="00E072B9">
            <w:pPr>
              <w:pStyle w:val="Tabletext"/>
            </w:pPr>
            <w:r w:rsidRPr="00E750DB">
              <w:t>$</w:t>
            </w:r>
            <w:r w:rsidR="00B35ACC" w:rsidRPr="009742C5">
              <w:rPr>
                <w:color w:val="000000"/>
                <w:spacing w:val="53"/>
                <w:shd w:val="solid" w:color="000000" w:fill="000000"/>
                <w:fitText w:val="330" w:id="-625249787"/>
                <w14:textFill>
                  <w14:solidFill>
                    <w14:srgbClr w14:val="000000">
                      <w14:alpha w14:val="100000"/>
                    </w14:srgbClr>
                  </w14:solidFill>
                </w14:textFill>
              </w:rPr>
              <w:t>|||</w:t>
            </w:r>
            <w:r w:rsidR="00B35ACC" w:rsidRPr="009742C5">
              <w:rPr>
                <w:color w:val="000000"/>
                <w:spacing w:val="1"/>
                <w:shd w:val="solid" w:color="000000" w:fill="000000"/>
                <w:fitText w:val="330" w:id="-625249787"/>
                <w14:textFill>
                  <w14:solidFill>
                    <w14:srgbClr w14:val="000000">
                      <w14:alpha w14:val="100000"/>
                    </w14:srgbClr>
                  </w14:solidFill>
                </w14:textFill>
              </w:rPr>
              <w:t>|</w:t>
            </w:r>
          </w:p>
        </w:tc>
        <w:tc>
          <w:tcPr>
            <w:tcW w:w="1275" w:type="dxa"/>
            <w:noWrap/>
            <w:vAlign w:val="center"/>
          </w:tcPr>
          <w:p w14:paraId="13FD554F" w14:textId="77777777" w:rsidR="00487317" w:rsidRPr="00E750DB" w:rsidRDefault="00487317" w:rsidP="00E072B9">
            <w:pPr>
              <w:pStyle w:val="Tabletext"/>
            </w:pPr>
            <w:r w:rsidRPr="00E750DB">
              <w:t>1.02</w:t>
            </w:r>
          </w:p>
        </w:tc>
        <w:tc>
          <w:tcPr>
            <w:tcW w:w="1134" w:type="dxa"/>
            <w:noWrap/>
            <w:vAlign w:val="center"/>
          </w:tcPr>
          <w:p w14:paraId="78BE7729" w14:textId="4045D4CA" w:rsidR="00487317" w:rsidRPr="004D7B63" w:rsidRDefault="00487317" w:rsidP="00E072B9">
            <w:pPr>
              <w:pStyle w:val="Tabletext"/>
              <w:rPr>
                <w:vertAlign w:val="superscript"/>
              </w:rPr>
            </w:pPr>
            <w:r w:rsidRPr="00E750DB">
              <w:t>$</w:t>
            </w:r>
            <w:r w:rsidR="00B35ACC" w:rsidRPr="009742C5">
              <w:rPr>
                <w:color w:val="000000"/>
                <w:spacing w:val="53"/>
                <w:shd w:val="solid" w:color="000000" w:fill="000000"/>
                <w:fitText w:val="330" w:id="-625249786"/>
                <w14:textFill>
                  <w14:solidFill>
                    <w14:srgbClr w14:val="000000">
                      <w14:alpha w14:val="100000"/>
                    </w14:srgbClr>
                  </w14:solidFill>
                </w14:textFill>
              </w:rPr>
              <w:t>|||</w:t>
            </w:r>
            <w:r w:rsidR="00B35ACC" w:rsidRPr="009742C5">
              <w:rPr>
                <w:color w:val="000000"/>
                <w:spacing w:val="1"/>
                <w:shd w:val="solid" w:color="000000" w:fill="000000"/>
                <w:fitText w:val="330" w:id="-625249786"/>
                <w14:textFill>
                  <w14:solidFill>
                    <w14:srgbClr w14:val="000000">
                      <w14:alpha w14:val="100000"/>
                    </w14:srgbClr>
                  </w14:solidFill>
                </w14:textFill>
              </w:rPr>
              <w:t>|</w:t>
            </w:r>
            <w:r w:rsidR="004D7B63">
              <w:rPr>
                <w:vertAlign w:val="superscript"/>
              </w:rPr>
              <w:t>5</w:t>
            </w:r>
          </w:p>
        </w:tc>
        <w:tc>
          <w:tcPr>
            <w:tcW w:w="1084" w:type="dxa"/>
            <w:noWrap/>
            <w:vAlign w:val="center"/>
          </w:tcPr>
          <w:p w14:paraId="3DEE5A54" w14:textId="27863507" w:rsidR="00487317" w:rsidRPr="00E750DB" w:rsidRDefault="00B35ACC" w:rsidP="00E072B9">
            <w:pPr>
              <w:pStyle w:val="Tabletext"/>
            </w:pPr>
            <w:r w:rsidRPr="009742C5">
              <w:rPr>
                <w:color w:val="000000"/>
                <w:spacing w:val="53"/>
                <w:shd w:val="solid" w:color="000000" w:fill="000000"/>
                <w:fitText w:val="330" w:id="-625249785"/>
                <w14:textFill>
                  <w14:solidFill>
                    <w14:srgbClr w14:val="000000">
                      <w14:alpha w14:val="100000"/>
                    </w14:srgbClr>
                  </w14:solidFill>
                </w14:textFill>
              </w:rPr>
              <w:t>|||</w:t>
            </w:r>
            <w:r w:rsidRPr="009742C5">
              <w:rPr>
                <w:color w:val="000000"/>
                <w:spacing w:val="1"/>
                <w:shd w:val="solid" w:color="000000" w:fill="000000"/>
                <w:fitText w:val="330" w:id="-625249785"/>
                <w14:textFill>
                  <w14:solidFill>
                    <w14:srgbClr w14:val="000000">
                      <w14:alpha w14:val="100000"/>
                    </w14:srgbClr>
                  </w14:solidFill>
                </w14:textFill>
              </w:rPr>
              <w:t>|</w:t>
            </w:r>
            <w:r w:rsidR="00487317" w:rsidRPr="00E750DB">
              <w:t>%</w:t>
            </w:r>
          </w:p>
        </w:tc>
      </w:tr>
      <w:tr w:rsidR="00487317" w:rsidRPr="00E750DB" w14:paraId="7EA642A0" w14:textId="77777777" w:rsidTr="00FF7512">
        <w:tc>
          <w:tcPr>
            <w:tcW w:w="4248" w:type="dxa"/>
            <w:noWrap/>
            <w:vAlign w:val="center"/>
          </w:tcPr>
          <w:p w14:paraId="776F5BA9" w14:textId="77777777" w:rsidR="00487317" w:rsidRPr="00E750DB" w:rsidRDefault="00487317" w:rsidP="00E072B9">
            <w:pPr>
              <w:pStyle w:val="Tabletext"/>
            </w:pPr>
            <w:r w:rsidRPr="00E750DB">
              <w:t>2.5 vial of hemin use per acute attack for infusion centres as per Sponsor’s submission to CADTH (BC 4 vials)</w:t>
            </w:r>
          </w:p>
        </w:tc>
        <w:tc>
          <w:tcPr>
            <w:tcW w:w="1276" w:type="dxa"/>
            <w:gridSpan w:val="3"/>
            <w:noWrap/>
            <w:vAlign w:val="center"/>
          </w:tcPr>
          <w:p w14:paraId="061C5869" w14:textId="7F9D3160" w:rsidR="00487317" w:rsidRPr="00E750DB" w:rsidRDefault="00487317" w:rsidP="00E072B9">
            <w:pPr>
              <w:pStyle w:val="Tabletext"/>
            </w:pPr>
            <w:r w:rsidRPr="00E750DB">
              <w:t>$</w:t>
            </w:r>
            <w:r w:rsidR="00B35ACC" w:rsidRPr="009742C5">
              <w:rPr>
                <w:color w:val="000000"/>
                <w:spacing w:val="53"/>
                <w:shd w:val="solid" w:color="000000" w:fill="000000"/>
                <w:fitText w:val="330" w:id="-625249784"/>
                <w14:textFill>
                  <w14:solidFill>
                    <w14:srgbClr w14:val="000000">
                      <w14:alpha w14:val="100000"/>
                    </w14:srgbClr>
                  </w14:solidFill>
                </w14:textFill>
              </w:rPr>
              <w:t>|||</w:t>
            </w:r>
            <w:r w:rsidR="00B35ACC" w:rsidRPr="009742C5">
              <w:rPr>
                <w:color w:val="000000"/>
                <w:spacing w:val="1"/>
                <w:shd w:val="solid" w:color="000000" w:fill="000000"/>
                <w:fitText w:val="330" w:id="-625249784"/>
                <w14:textFill>
                  <w14:solidFill>
                    <w14:srgbClr w14:val="000000">
                      <w14:alpha w14:val="100000"/>
                    </w14:srgbClr>
                  </w14:solidFill>
                </w14:textFill>
              </w:rPr>
              <w:t>|</w:t>
            </w:r>
          </w:p>
        </w:tc>
        <w:tc>
          <w:tcPr>
            <w:tcW w:w="1275" w:type="dxa"/>
            <w:noWrap/>
            <w:vAlign w:val="center"/>
          </w:tcPr>
          <w:p w14:paraId="08786AEC" w14:textId="77777777" w:rsidR="00487317" w:rsidRPr="00E750DB" w:rsidRDefault="00487317" w:rsidP="00E072B9">
            <w:pPr>
              <w:pStyle w:val="Tabletext"/>
            </w:pPr>
            <w:r w:rsidRPr="00E750DB">
              <w:t>6.43</w:t>
            </w:r>
          </w:p>
        </w:tc>
        <w:tc>
          <w:tcPr>
            <w:tcW w:w="1134" w:type="dxa"/>
            <w:noWrap/>
            <w:vAlign w:val="center"/>
          </w:tcPr>
          <w:p w14:paraId="0EAA8ABF" w14:textId="1F9F15C1"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83"/>
                <w14:textFill>
                  <w14:solidFill>
                    <w14:srgbClr w14:val="000000">
                      <w14:alpha w14:val="100000"/>
                    </w14:srgbClr>
                  </w14:solidFill>
                </w14:textFill>
              </w:rPr>
              <w:t>|||</w:t>
            </w:r>
            <w:r w:rsidR="00B35ACC" w:rsidRPr="009742C5">
              <w:rPr>
                <w:color w:val="000000"/>
                <w:spacing w:val="1"/>
                <w:shd w:val="solid" w:color="000000" w:fill="000000"/>
                <w:fitText w:val="330" w:id="-625249783"/>
                <w14:textFill>
                  <w14:solidFill>
                    <w14:srgbClr w14:val="000000">
                      <w14:alpha w14:val="100000"/>
                    </w14:srgbClr>
                  </w14:solidFill>
                </w14:textFill>
              </w:rPr>
              <w:t>|</w:t>
            </w:r>
            <w:r w:rsidR="007A27A5">
              <w:rPr>
                <w:vertAlign w:val="superscript"/>
              </w:rPr>
              <w:t>1</w:t>
            </w:r>
          </w:p>
        </w:tc>
        <w:tc>
          <w:tcPr>
            <w:tcW w:w="1084" w:type="dxa"/>
            <w:noWrap/>
            <w:vAlign w:val="center"/>
          </w:tcPr>
          <w:p w14:paraId="3F997EE7" w14:textId="61208D8B" w:rsidR="00487317" w:rsidRPr="00E750DB" w:rsidRDefault="00B35ACC" w:rsidP="00E072B9">
            <w:pPr>
              <w:pStyle w:val="Tabletext"/>
            </w:pPr>
            <w:r w:rsidRPr="009742C5">
              <w:rPr>
                <w:color w:val="000000"/>
                <w:spacing w:val="53"/>
                <w:shd w:val="solid" w:color="000000" w:fill="000000"/>
                <w:fitText w:val="330" w:id="-625249782"/>
                <w14:textFill>
                  <w14:solidFill>
                    <w14:srgbClr w14:val="000000">
                      <w14:alpha w14:val="100000"/>
                    </w14:srgbClr>
                  </w14:solidFill>
                </w14:textFill>
              </w:rPr>
              <w:t>|||</w:t>
            </w:r>
            <w:r w:rsidRPr="009742C5">
              <w:rPr>
                <w:color w:val="000000"/>
                <w:spacing w:val="1"/>
                <w:shd w:val="solid" w:color="000000" w:fill="000000"/>
                <w:fitText w:val="330" w:id="-625249782"/>
                <w14:textFill>
                  <w14:solidFill>
                    <w14:srgbClr w14:val="000000">
                      <w14:alpha w14:val="100000"/>
                    </w14:srgbClr>
                  </w14:solidFill>
                </w14:textFill>
              </w:rPr>
              <w:t>|</w:t>
            </w:r>
            <w:r w:rsidR="00487317" w:rsidRPr="00E750DB">
              <w:t>%</w:t>
            </w:r>
          </w:p>
        </w:tc>
      </w:tr>
      <w:tr w:rsidR="00487317" w:rsidRPr="00E750DB" w14:paraId="757E6681" w14:textId="77777777" w:rsidTr="00481A2A">
        <w:trPr>
          <w:trHeight w:val="333"/>
        </w:trPr>
        <w:tc>
          <w:tcPr>
            <w:tcW w:w="4248" w:type="dxa"/>
            <w:noWrap/>
            <w:vAlign w:val="center"/>
          </w:tcPr>
          <w:p w14:paraId="5503473A" w14:textId="6E3F55C4" w:rsidR="00487317" w:rsidRPr="00E750DB" w:rsidRDefault="00487317" w:rsidP="00E072B9">
            <w:pPr>
              <w:pStyle w:val="Tabletext"/>
            </w:pPr>
            <w:r w:rsidRPr="00E750DB">
              <w:t xml:space="preserve">Assume 58.3% patients weighted </w:t>
            </w:r>
            <w:r w:rsidR="00BD03FD">
              <w:t>&gt;</w:t>
            </w:r>
            <w:r w:rsidR="00A550BD">
              <w:t xml:space="preserve"> </w:t>
            </w:r>
            <w:r w:rsidRPr="00E750DB">
              <w:t xml:space="preserve">75.6 kg (base case </w:t>
            </w:r>
            <w:r w:rsidRPr="00481A2A">
              <w:t>23.4%)</w:t>
            </w:r>
            <w:r w:rsidRPr="00E750DB">
              <w:t xml:space="preserve"> </w:t>
            </w:r>
          </w:p>
        </w:tc>
        <w:tc>
          <w:tcPr>
            <w:tcW w:w="1276" w:type="dxa"/>
            <w:gridSpan w:val="3"/>
            <w:noWrap/>
            <w:vAlign w:val="center"/>
          </w:tcPr>
          <w:p w14:paraId="79D06471" w14:textId="7C37CD86" w:rsidR="00487317" w:rsidRPr="00E750DB" w:rsidRDefault="00487317" w:rsidP="00E072B9">
            <w:pPr>
              <w:pStyle w:val="Tabletext"/>
            </w:pPr>
            <w:r w:rsidRPr="00E750DB">
              <w:t>$</w:t>
            </w:r>
            <w:r w:rsidR="00B35ACC" w:rsidRPr="009742C5">
              <w:rPr>
                <w:color w:val="000000"/>
                <w:spacing w:val="53"/>
                <w:shd w:val="solid" w:color="000000" w:fill="000000"/>
                <w:fitText w:val="330" w:id="-625249781"/>
                <w14:textFill>
                  <w14:solidFill>
                    <w14:srgbClr w14:val="000000">
                      <w14:alpha w14:val="100000"/>
                    </w14:srgbClr>
                  </w14:solidFill>
                </w14:textFill>
              </w:rPr>
              <w:t>|||</w:t>
            </w:r>
            <w:r w:rsidR="00B35ACC" w:rsidRPr="009742C5">
              <w:rPr>
                <w:color w:val="000000"/>
                <w:spacing w:val="1"/>
                <w:shd w:val="solid" w:color="000000" w:fill="000000"/>
                <w:fitText w:val="330" w:id="-625249781"/>
                <w14:textFill>
                  <w14:solidFill>
                    <w14:srgbClr w14:val="000000">
                      <w14:alpha w14:val="100000"/>
                    </w14:srgbClr>
                  </w14:solidFill>
                </w14:textFill>
              </w:rPr>
              <w:t>|</w:t>
            </w:r>
          </w:p>
        </w:tc>
        <w:tc>
          <w:tcPr>
            <w:tcW w:w="1275" w:type="dxa"/>
            <w:noWrap/>
            <w:vAlign w:val="center"/>
          </w:tcPr>
          <w:p w14:paraId="4AAA443A" w14:textId="77777777" w:rsidR="00487317" w:rsidRPr="00E750DB" w:rsidRDefault="00487317" w:rsidP="00E072B9">
            <w:pPr>
              <w:pStyle w:val="Tabletext"/>
            </w:pPr>
            <w:r w:rsidRPr="00E750DB">
              <w:t>6.43</w:t>
            </w:r>
          </w:p>
        </w:tc>
        <w:tc>
          <w:tcPr>
            <w:tcW w:w="1134" w:type="dxa"/>
            <w:noWrap/>
            <w:vAlign w:val="center"/>
          </w:tcPr>
          <w:p w14:paraId="0108449C" w14:textId="5E89A163" w:rsidR="00487317" w:rsidRPr="0017016C" w:rsidRDefault="00487317" w:rsidP="00E072B9">
            <w:pPr>
              <w:pStyle w:val="Tabletext"/>
              <w:rPr>
                <w:vertAlign w:val="superscript"/>
              </w:rPr>
            </w:pPr>
            <w:r w:rsidRPr="00E750DB">
              <w:t>$</w:t>
            </w:r>
            <w:r w:rsidR="00B35ACC" w:rsidRPr="009742C5">
              <w:rPr>
                <w:color w:val="000000"/>
                <w:spacing w:val="53"/>
                <w:shd w:val="solid" w:color="000000" w:fill="000000"/>
                <w:fitText w:val="330" w:id="-625249780"/>
                <w14:textFill>
                  <w14:solidFill>
                    <w14:srgbClr w14:val="000000">
                      <w14:alpha w14:val="100000"/>
                    </w14:srgbClr>
                  </w14:solidFill>
                </w14:textFill>
              </w:rPr>
              <w:t>|||</w:t>
            </w:r>
            <w:r w:rsidR="00B35ACC" w:rsidRPr="009742C5">
              <w:rPr>
                <w:color w:val="000000"/>
                <w:spacing w:val="1"/>
                <w:shd w:val="solid" w:color="000000" w:fill="000000"/>
                <w:fitText w:val="330" w:id="-625249780"/>
                <w14:textFill>
                  <w14:solidFill>
                    <w14:srgbClr w14:val="000000">
                      <w14:alpha w14:val="100000"/>
                    </w14:srgbClr>
                  </w14:solidFill>
                </w14:textFill>
              </w:rPr>
              <w:t>|</w:t>
            </w:r>
            <w:r w:rsidR="0017016C">
              <w:rPr>
                <w:vertAlign w:val="superscript"/>
              </w:rPr>
              <w:t>6</w:t>
            </w:r>
          </w:p>
        </w:tc>
        <w:tc>
          <w:tcPr>
            <w:tcW w:w="1084" w:type="dxa"/>
            <w:noWrap/>
            <w:vAlign w:val="center"/>
          </w:tcPr>
          <w:p w14:paraId="353CB87D" w14:textId="01CB16E0" w:rsidR="00487317" w:rsidRPr="00E750DB" w:rsidRDefault="00B35ACC" w:rsidP="00E072B9">
            <w:pPr>
              <w:pStyle w:val="Tabletext"/>
            </w:pPr>
            <w:r w:rsidRPr="009742C5">
              <w:rPr>
                <w:color w:val="000000"/>
                <w:spacing w:val="53"/>
                <w:shd w:val="solid" w:color="000000" w:fill="000000"/>
                <w:fitText w:val="330" w:id="-625249779"/>
                <w14:textFill>
                  <w14:solidFill>
                    <w14:srgbClr w14:val="000000">
                      <w14:alpha w14:val="100000"/>
                    </w14:srgbClr>
                  </w14:solidFill>
                </w14:textFill>
              </w:rPr>
              <w:t>|||</w:t>
            </w:r>
            <w:r w:rsidRPr="009742C5">
              <w:rPr>
                <w:color w:val="000000"/>
                <w:spacing w:val="1"/>
                <w:shd w:val="solid" w:color="000000" w:fill="000000"/>
                <w:fitText w:val="330" w:id="-625249779"/>
                <w14:textFill>
                  <w14:solidFill>
                    <w14:srgbClr w14:val="000000">
                      <w14:alpha w14:val="100000"/>
                    </w14:srgbClr>
                  </w14:solidFill>
                </w14:textFill>
              </w:rPr>
              <w:t>|</w:t>
            </w:r>
            <w:r w:rsidR="00487317" w:rsidRPr="00E750DB">
              <w:t>%</w:t>
            </w:r>
          </w:p>
        </w:tc>
      </w:tr>
      <w:tr w:rsidR="00487317" w:rsidRPr="00E750DB" w14:paraId="24128333" w14:textId="77777777" w:rsidTr="0013043A">
        <w:tc>
          <w:tcPr>
            <w:tcW w:w="4248" w:type="dxa"/>
            <w:tcBorders>
              <w:bottom w:val="single" w:sz="4" w:space="0" w:color="auto"/>
            </w:tcBorders>
            <w:noWrap/>
            <w:vAlign w:val="center"/>
          </w:tcPr>
          <w:p w14:paraId="0D2F5911" w14:textId="77777777" w:rsidR="00487317" w:rsidRPr="00E750DB" w:rsidRDefault="00487317" w:rsidP="00E072B9">
            <w:pPr>
              <w:pStyle w:val="Tabletext"/>
              <w:rPr>
                <w:lang w:eastAsia="it-IT"/>
              </w:rPr>
            </w:pPr>
            <w:r w:rsidRPr="00E750DB">
              <w:t>Removing opioid addiction costs (BC included)</w:t>
            </w:r>
          </w:p>
        </w:tc>
        <w:tc>
          <w:tcPr>
            <w:tcW w:w="1276" w:type="dxa"/>
            <w:gridSpan w:val="3"/>
            <w:tcBorders>
              <w:bottom w:val="single" w:sz="4" w:space="0" w:color="auto"/>
            </w:tcBorders>
            <w:noWrap/>
            <w:vAlign w:val="center"/>
          </w:tcPr>
          <w:p w14:paraId="6C789626" w14:textId="7004F994" w:rsidR="00487317" w:rsidRPr="00E750DB" w:rsidRDefault="00487317" w:rsidP="00E072B9">
            <w:pPr>
              <w:pStyle w:val="Tabletext"/>
            </w:pPr>
            <w:r w:rsidRPr="00E750DB">
              <w:t>$</w:t>
            </w:r>
            <w:r w:rsidR="00B35ACC" w:rsidRPr="009742C5">
              <w:rPr>
                <w:color w:val="000000"/>
                <w:spacing w:val="53"/>
                <w:shd w:val="solid" w:color="000000" w:fill="000000"/>
                <w:fitText w:val="330" w:id="-625249778"/>
                <w14:textFill>
                  <w14:solidFill>
                    <w14:srgbClr w14:val="000000">
                      <w14:alpha w14:val="100000"/>
                    </w14:srgbClr>
                  </w14:solidFill>
                </w14:textFill>
              </w:rPr>
              <w:t>|||</w:t>
            </w:r>
            <w:r w:rsidR="00B35ACC" w:rsidRPr="009742C5">
              <w:rPr>
                <w:color w:val="000000"/>
                <w:spacing w:val="1"/>
                <w:shd w:val="solid" w:color="000000" w:fill="000000"/>
                <w:fitText w:val="330" w:id="-625249778"/>
                <w14:textFill>
                  <w14:solidFill>
                    <w14:srgbClr w14:val="000000">
                      <w14:alpha w14:val="100000"/>
                    </w14:srgbClr>
                  </w14:solidFill>
                </w14:textFill>
              </w:rPr>
              <w:t>|</w:t>
            </w:r>
          </w:p>
        </w:tc>
        <w:tc>
          <w:tcPr>
            <w:tcW w:w="1275" w:type="dxa"/>
            <w:tcBorders>
              <w:bottom w:val="single" w:sz="4" w:space="0" w:color="auto"/>
            </w:tcBorders>
            <w:noWrap/>
            <w:vAlign w:val="center"/>
          </w:tcPr>
          <w:p w14:paraId="692519C0" w14:textId="77777777" w:rsidR="00487317" w:rsidRPr="00E750DB" w:rsidRDefault="00487317" w:rsidP="00E072B9">
            <w:pPr>
              <w:pStyle w:val="Tabletext"/>
            </w:pPr>
            <w:r w:rsidRPr="00E750DB">
              <w:t>6.43</w:t>
            </w:r>
          </w:p>
        </w:tc>
        <w:tc>
          <w:tcPr>
            <w:tcW w:w="1134" w:type="dxa"/>
            <w:tcBorders>
              <w:bottom w:val="single" w:sz="4" w:space="0" w:color="auto"/>
            </w:tcBorders>
            <w:noWrap/>
            <w:vAlign w:val="center"/>
          </w:tcPr>
          <w:p w14:paraId="4F59D4F5" w14:textId="56E04627" w:rsidR="00487317" w:rsidRPr="007A27A5" w:rsidRDefault="00487317" w:rsidP="00E072B9">
            <w:pPr>
              <w:pStyle w:val="Tabletext"/>
              <w:rPr>
                <w:vertAlign w:val="superscript"/>
              </w:rPr>
            </w:pPr>
            <w:r w:rsidRPr="00E750DB">
              <w:t>$</w:t>
            </w:r>
            <w:r w:rsidR="00B35ACC" w:rsidRPr="009742C5">
              <w:rPr>
                <w:color w:val="000000"/>
                <w:spacing w:val="53"/>
                <w:shd w:val="solid" w:color="000000" w:fill="000000"/>
                <w:fitText w:val="330" w:id="-625249777"/>
                <w14:textFill>
                  <w14:solidFill>
                    <w14:srgbClr w14:val="000000">
                      <w14:alpha w14:val="100000"/>
                    </w14:srgbClr>
                  </w14:solidFill>
                </w14:textFill>
              </w:rPr>
              <w:t>|||</w:t>
            </w:r>
            <w:r w:rsidR="00B35ACC" w:rsidRPr="009742C5">
              <w:rPr>
                <w:color w:val="000000"/>
                <w:spacing w:val="1"/>
                <w:shd w:val="solid" w:color="000000" w:fill="000000"/>
                <w:fitText w:val="330" w:id="-625249777"/>
                <w14:textFill>
                  <w14:solidFill>
                    <w14:srgbClr w14:val="000000">
                      <w14:alpha w14:val="100000"/>
                    </w14:srgbClr>
                  </w14:solidFill>
                </w14:textFill>
              </w:rPr>
              <w:t>|</w:t>
            </w:r>
            <w:r w:rsidR="007A27A5">
              <w:rPr>
                <w:vertAlign w:val="superscript"/>
              </w:rPr>
              <w:t>1</w:t>
            </w:r>
          </w:p>
        </w:tc>
        <w:tc>
          <w:tcPr>
            <w:tcW w:w="1084" w:type="dxa"/>
            <w:tcBorders>
              <w:bottom w:val="single" w:sz="4" w:space="0" w:color="auto"/>
            </w:tcBorders>
            <w:noWrap/>
            <w:vAlign w:val="center"/>
          </w:tcPr>
          <w:p w14:paraId="444B9EA9" w14:textId="7B2CC278" w:rsidR="00487317" w:rsidRPr="00E750DB" w:rsidRDefault="00B35ACC" w:rsidP="00E072B9">
            <w:pPr>
              <w:pStyle w:val="Tabletext"/>
            </w:pPr>
            <w:r w:rsidRPr="009742C5">
              <w:rPr>
                <w:color w:val="000000"/>
                <w:spacing w:val="53"/>
                <w:shd w:val="solid" w:color="000000" w:fill="000000"/>
                <w:fitText w:val="330" w:id="-625249776"/>
                <w14:textFill>
                  <w14:solidFill>
                    <w14:srgbClr w14:val="000000">
                      <w14:alpha w14:val="100000"/>
                    </w14:srgbClr>
                  </w14:solidFill>
                </w14:textFill>
              </w:rPr>
              <w:t>|||</w:t>
            </w:r>
            <w:r w:rsidRPr="009742C5">
              <w:rPr>
                <w:color w:val="000000"/>
                <w:spacing w:val="1"/>
                <w:shd w:val="solid" w:color="000000" w:fill="000000"/>
                <w:fitText w:val="330" w:id="-625249776"/>
                <w14:textFill>
                  <w14:solidFill>
                    <w14:srgbClr w14:val="000000">
                      <w14:alpha w14:val="100000"/>
                    </w14:srgbClr>
                  </w14:solidFill>
                </w14:textFill>
              </w:rPr>
              <w:t>|</w:t>
            </w:r>
            <w:r w:rsidR="00487317" w:rsidRPr="00E750DB">
              <w:t>%</w:t>
            </w:r>
          </w:p>
        </w:tc>
      </w:tr>
      <w:tr w:rsidR="00217570" w:rsidRPr="00E750DB" w14:paraId="6C3A1511" w14:textId="77777777" w:rsidTr="0013043A">
        <w:tc>
          <w:tcPr>
            <w:tcW w:w="4248" w:type="dxa"/>
            <w:tcBorders>
              <w:right w:val="nil"/>
            </w:tcBorders>
            <w:noWrap/>
            <w:vAlign w:val="center"/>
          </w:tcPr>
          <w:p w14:paraId="5FA2581E" w14:textId="2A87D7E5" w:rsidR="00217570" w:rsidRPr="00E750DB" w:rsidRDefault="00724EB2" w:rsidP="00E072B9">
            <w:pPr>
              <w:pStyle w:val="Tabletext"/>
              <w:rPr>
                <w:b/>
                <w:bCs/>
              </w:rPr>
            </w:pPr>
            <w:r w:rsidRPr="00E750DB">
              <w:rPr>
                <w:b/>
                <w:bCs/>
              </w:rPr>
              <w:t>ESC revised base case</w:t>
            </w:r>
          </w:p>
        </w:tc>
        <w:tc>
          <w:tcPr>
            <w:tcW w:w="1276" w:type="dxa"/>
            <w:gridSpan w:val="3"/>
            <w:tcBorders>
              <w:left w:val="nil"/>
              <w:right w:val="nil"/>
            </w:tcBorders>
            <w:noWrap/>
            <w:vAlign w:val="center"/>
          </w:tcPr>
          <w:p w14:paraId="721B6F3B" w14:textId="77777777" w:rsidR="00217570" w:rsidRPr="00E750DB" w:rsidRDefault="00217570" w:rsidP="00E072B9">
            <w:pPr>
              <w:pStyle w:val="Tabletext"/>
              <w:rPr>
                <w:b/>
                <w:bCs/>
              </w:rPr>
            </w:pPr>
          </w:p>
        </w:tc>
        <w:tc>
          <w:tcPr>
            <w:tcW w:w="1275" w:type="dxa"/>
            <w:tcBorders>
              <w:left w:val="nil"/>
              <w:right w:val="nil"/>
            </w:tcBorders>
            <w:noWrap/>
            <w:vAlign w:val="center"/>
          </w:tcPr>
          <w:p w14:paraId="21871FB3" w14:textId="77777777" w:rsidR="00217570" w:rsidRPr="00E750DB" w:rsidRDefault="00217570" w:rsidP="00E072B9">
            <w:pPr>
              <w:pStyle w:val="Tabletext"/>
              <w:rPr>
                <w:b/>
                <w:bCs/>
              </w:rPr>
            </w:pPr>
          </w:p>
        </w:tc>
        <w:tc>
          <w:tcPr>
            <w:tcW w:w="1134" w:type="dxa"/>
            <w:tcBorders>
              <w:left w:val="nil"/>
              <w:right w:val="nil"/>
            </w:tcBorders>
            <w:noWrap/>
            <w:vAlign w:val="center"/>
          </w:tcPr>
          <w:p w14:paraId="57D7D3D8" w14:textId="77777777" w:rsidR="00217570" w:rsidRPr="00E750DB" w:rsidRDefault="00217570" w:rsidP="00E072B9">
            <w:pPr>
              <w:pStyle w:val="Tabletext"/>
              <w:rPr>
                <w:b/>
                <w:bCs/>
              </w:rPr>
            </w:pPr>
          </w:p>
        </w:tc>
        <w:tc>
          <w:tcPr>
            <w:tcW w:w="1084" w:type="dxa"/>
            <w:tcBorders>
              <w:left w:val="nil"/>
            </w:tcBorders>
            <w:noWrap/>
            <w:vAlign w:val="center"/>
          </w:tcPr>
          <w:p w14:paraId="0DE6D9B1" w14:textId="77777777" w:rsidR="00217570" w:rsidRPr="00E750DB" w:rsidRDefault="00217570" w:rsidP="00E072B9">
            <w:pPr>
              <w:pStyle w:val="Tabletext"/>
              <w:rPr>
                <w:b/>
                <w:bCs/>
              </w:rPr>
            </w:pPr>
          </w:p>
        </w:tc>
      </w:tr>
      <w:tr w:rsidR="00724EB2" w:rsidRPr="00E750DB" w14:paraId="776AAB4D" w14:textId="77777777" w:rsidTr="0013043A">
        <w:tc>
          <w:tcPr>
            <w:tcW w:w="4248" w:type="dxa"/>
            <w:tcBorders>
              <w:bottom w:val="single" w:sz="4" w:space="0" w:color="auto"/>
            </w:tcBorders>
            <w:noWrap/>
            <w:vAlign w:val="center"/>
          </w:tcPr>
          <w:p w14:paraId="2311872B" w14:textId="69A5EEC8" w:rsidR="00724EB2" w:rsidRPr="00E750DB" w:rsidRDefault="00E072B9" w:rsidP="00E072B9">
            <w:pPr>
              <w:pStyle w:val="Tabletext"/>
            </w:pPr>
            <w:r w:rsidRPr="00E750DB">
              <w:t>40</w:t>
            </w:r>
            <w:r>
              <w:noBreakHyphen/>
            </w:r>
            <w:r w:rsidRPr="00E750DB">
              <w:t>year</w:t>
            </w:r>
            <w:r w:rsidR="00267C64" w:rsidRPr="00E750DB">
              <w:t xml:space="preserve"> time horizon</w:t>
            </w:r>
            <w:r w:rsidR="004C6967" w:rsidRPr="00E750DB">
              <w:t>;</w:t>
            </w:r>
            <w:r w:rsidR="00267C64" w:rsidRPr="00E750DB">
              <w:t xml:space="preserve"> </w:t>
            </w:r>
            <w:r w:rsidR="004E5455" w:rsidRPr="00E750DB">
              <w:t xml:space="preserve">no discontinuation of givosiran after </w:t>
            </w:r>
            <w:r w:rsidR="004C6967" w:rsidRPr="00E750DB">
              <w:t xml:space="preserve">cycle 8; chronic utility decrement of </w:t>
            </w:r>
            <w:r>
              <w:noBreakHyphen/>
            </w:r>
            <w:r w:rsidR="004C6967" w:rsidRPr="00E750DB">
              <w:t>0.</w:t>
            </w:r>
            <w:r w:rsidR="00C67E56" w:rsidRPr="00E750DB">
              <w:t>198 for all health states.</w:t>
            </w:r>
            <w:r w:rsidR="004C6967" w:rsidRPr="00E750DB">
              <w:t xml:space="preserve"> </w:t>
            </w:r>
            <w:r w:rsidR="00063337" w:rsidRPr="00E750DB">
              <w:rPr>
                <w:vertAlign w:val="superscript"/>
              </w:rPr>
              <w:t>b</w:t>
            </w:r>
          </w:p>
        </w:tc>
        <w:tc>
          <w:tcPr>
            <w:tcW w:w="1276" w:type="dxa"/>
            <w:gridSpan w:val="3"/>
            <w:tcBorders>
              <w:bottom w:val="single" w:sz="4" w:space="0" w:color="auto"/>
            </w:tcBorders>
            <w:noWrap/>
            <w:vAlign w:val="center"/>
          </w:tcPr>
          <w:p w14:paraId="727B38B6" w14:textId="19F2B4AF" w:rsidR="00724EB2" w:rsidRPr="00E750DB" w:rsidRDefault="00F029D4" w:rsidP="00E072B9">
            <w:pPr>
              <w:pStyle w:val="Tabletext"/>
            </w:pPr>
            <w:r w:rsidRPr="00E750DB">
              <w:t>$</w:t>
            </w:r>
            <w:r w:rsidR="00B35ACC" w:rsidRPr="009742C5">
              <w:rPr>
                <w:color w:val="000000"/>
                <w:spacing w:val="53"/>
                <w:shd w:val="solid" w:color="000000" w:fill="000000"/>
                <w:fitText w:val="330" w:id="-625249792"/>
                <w14:textFill>
                  <w14:solidFill>
                    <w14:srgbClr w14:val="000000">
                      <w14:alpha w14:val="100000"/>
                    </w14:srgbClr>
                  </w14:solidFill>
                </w14:textFill>
              </w:rPr>
              <w:t>|||</w:t>
            </w:r>
            <w:r w:rsidR="00B35ACC" w:rsidRPr="009742C5">
              <w:rPr>
                <w:color w:val="000000"/>
                <w:spacing w:val="1"/>
                <w:shd w:val="solid" w:color="000000" w:fill="000000"/>
                <w:fitText w:val="330" w:id="-625249792"/>
                <w14:textFill>
                  <w14:solidFill>
                    <w14:srgbClr w14:val="000000">
                      <w14:alpha w14:val="100000"/>
                    </w14:srgbClr>
                  </w14:solidFill>
                </w14:textFill>
              </w:rPr>
              <w:t>|</w:t>
            </w:r>
          </w:p>
        </w:tc>
        <w:tc>
          <w:tcPr>
            <w:tcW w:w="1275" w:type="dxa"/>
            <w:tcBorders>
              <w:bottom w:val="single" w:sz="4" w:space="0" w:color="auto"/>
            </w:tcBorders>
            <w:noWrap/>
            <w:vAlign w:val="center"/>
          </w:tcPr>
          <w:p w14:paraId="7C3B91E1" w14:textId="58BAF12D" w:rsidR="00724EB2" w:rsidRPr="00E750DB" w:rsidRDefault="00F029D4" w:rsidP="00E072B9">
            <w:pPr>
              <w:pStyle w:val="Tabletext"/>
            </w:pPr>
            <w:r w:rsidRPr="00E750DB">
              <w:t>0.98</w:t>
            </w:r>
          </w:p>
        </w:tc>
        <w:tc>
          <w:tcPr>
            <w:tcW w:w="1134" w:type="dxa"/>
            <w:tcBorders>
              <w:bottom w:val="single" w:sz="4" w:space="0" w:color="auto"/>
            </w:tcBorders>
            <w:noWrap/>
            <w:vAlign w:val="center"/>
          </w:tcPr>
          <w:p w14:paraId="14585702" w14:textId="2F8FC3B4" w:rsidR="00724EB2" w:rsidRPr="0017016C" w:rsidRDefault="003C6AD7" w:rsidP="00E072B9">
            <w:pPr>
              <w:pStyle w:val="Tabletext"/>
              <w:rPr>
                <w:vertAlign w:val="superscript"/>
              </w:rPr>
            </w:pPr>
            <w:r w:rsidRPr="00E750DB">
              <w:t>$</w:t>
            </w:r>
            <w:r w:rsidR="00B35ACC" w:rsidRPr="009742C5">
              <w:rPr>
                <w:color w:val="000000"/>
                <w:spacing w:val="53"/>
                <w:shd w:val="solid" w:color="000000" w:fill="000000"/>
                <w:fitText w:val="330" w:id="-625249791"/>
                <w14:textFill>
                  <w14:solidFill>
                    <w14:srgbClr w14:val="000000">
                      <w14:alpha w14:val="100000"/>
                    </w14:srgbClr>
                  </w14:solidFill>
                </w14:textFill>
              </w:rPr>
              <w:t>|||</w:t>
            </w:r>
            <w:r w:rsidR="00B35ACC" w:rsidRPr="009742C5">
              <w:rPr>
                <w:color w:val="000000"/>
                <w:spacing w:val="1"/>
                <w:shd w:val="solid" w:color="000000" w:fill="000000"/>
                <w:fitText w:val="330" w:id="-625249791"/>
                <w14:textFill>
                  <w14:solidFill>
                    <w14:srgbClr w14:val="000000">
                      <w14:alpha w14:val="100000"/>
                    </w14:srgbClr>
                  </w14:solidFill>
                </w14:textFill>
              </w:rPr>
              <w:t>|</w:t>
            </w:r>
            <w:r w:rsidR="0017016C">
              <w:rPr>
                <w:vertAlign w:val="superscript"/>
              </w:rPr>
              <w:t>5</w:t>
            </w:r>
          </w:p>
        </w:tc>
        <w:tc>
          <w:tcPr>
            <w:tcW w:w="1084" w:type="dxa"/>
            <w:tcBorders>
              <w:bottom w:val="single" w:sz="4" w:space="0" w:color="auto"/>
            </w:tcBorders>
            <w:noWrap/>
            <w:vAlign w:val="center"/>
          </w:tcPr>
          <w:p w14:paraId="1C0E9B5B" w14:textId="2563F9EB" w:rsidR="00724EB2" w:rsidRPr="00E750DB" w:rsidRDefault="00B35ACC" w:rsidP="00E072B9">
            <w:pPr>
              <w:pStyle w:val="Tabletext"/>
            </w:pPr>
            <w:r w:rsidRPr="009742C5">
              <w:rPr>
                <w:color w:val="000000"/>
                <w:spacing w:val="53"/>
                <w:shd w:val="solid" w:color="000000" w:fill="000000"/>
                <w:fitText w:val="330" w:id="-625249790"/>
                <w14:textFill>
                  <w14:solidFill>
                    <w14:srgbClr w14:val="000000">
                      <w14:alpha w14:val="100000"/>
                    </w14:srgbClr>
                  </w14:solidFill>
                </w14:textFill>
              </w:rPr>
              <w:t>|||</w:t>
            </w:r>
            <w:r w:rsidRPr="009742C5">
              <w:rPr>
                <w:color w:val="000000"/>
                <w:spacing w:val="1"/>
                <w:shd w:val="solid" w:color="000000" w:fill="000000"/>
                <w:fitText w:val="330" w:id="-625249790"/>
                <w14:textFill>
                  <w14:solidFill>
                    <w14:srgbClr w14:val="000000">
                      <w14:alpha w14:val="100000"/>
                    </w14:srgbClr>
                  </w14:solidFill>
                </w14:textFill>
              </w:rPr>
              <w:t>|</w:t>
            </w:r>
            <w:r w:rsidR="00BC100B" w:rsidRPr="00E750DB">
              <w:t>%</w:t>
            </w:r>
          </w:p>
        </w:tc>
      </w:tr>
      <w:tr w:rsidR="00840E11" w:rsidRPr="00915DBD" w14:paraId="7FEE9CE6" w14:textId="77777777" w:rsidTr="00840E11">
        <w:tc>
          <w:tcPr>
            <w:tcW w:w="4915" w:type="dxa"/>
            <w:gridSpan w:val="2"/>
            <w:tcBorders>
              <w:right w:val="nil"/>
            </w:tcBorders>
            <w:noWrap/>
            <w:vAlign w:val="center"/>
          </w:tcPr>
          <w:p w14:paraId="0662C514" w14:textId="4093F5D2" w:rsidR="00840E11" w:rsidRPr="00915DBD" w:rsidRDefault="00840E11" w:rsidP="00E072B9">
            <w:pPr>
              <w:pStyle w:val="Tabletext"/>
              <w:rPr>
                <w:iCs/>
              </w:rPr>
            </w:pPr>
            <w:r w:rsidRPr="00915DBD">
              <w:rPr>
                <w:b/>
                <w:bCs/>
                <w:iCs/>
              </w:rPr>
              <w:t>ESC requested additional univariate sensitivity analyses</w:t>
            </w:r>
          </w:p>
        </w:tc>
        <w:tc>
          <w:tcPr>
            <w:tcW w:w="609" w:type="dxa"/>
            <w:gridSpan w:val="2"/>
            <w:tcBorders>
              <w:left w:val="nil"/>
              <w:right w:val="nil"/>
            </w:tcBorders>
            <w:noWrap/>
            <w:vAlign w:val="center"/>
          </w:tcPr>
          <w:p w14:paraId="162F411F" w14:textId="77777777" w:rsidR="00840E11" w:rsidRPr="00915DBD" w:rsidRDefault="00840E11" w:rsidP="00E072B9">
            <w:pPr>
              <w:pStyle w:val="Tabletext"/>
              <w:rPr>
                <w:iCs/>
              </w:rPr>
            </w:pPr>
          </w:p>
        </w:tc>
        <w:tc>
          <w:tcPr>
            <w:tcW w:w="1275" w:type="dxa"/>
            <w:tcBorders>
              <w:left w:val="nil"/>
              <w:right w:val="nil"/>
            </w:tcBorders>
            <w:noWrap/>
            <w:vAlign w:val="center"/>
          </w:tcPr>
          <w:p w14:paraId="2DE20639" w14:textId="77777777" w:rsidR="00840E11" w:rsidRPr="00915DBD" w:rsidRDefault="00840E11" w:rsidP="00E072B9">
            <w:pPr>
              <w:pStyle w:val="Tabletext"/>
              <w:rPr>
                <w:iCs/>
              </w:rPr>
            </w:pPr>
          </w:p>
        </w:tc>
        <w:tc>
          <w:tcPr>
            <w:tcW w:w="1134" w:type="dxa"/>
            <w:tcBorders>
              <w:left w:val="nil"/>
              <w:right w:val="nil"/>
            </w:tcBorders>
            <w:noWrap/>
            <w:vAlign w:val="center"/>
          </w:tcPr>
          <w:p w14:paraId="531588E1" w14:textId="77777777" w:rsidR="00840E11" w:rsidRPr="00915DBD" w:rsidRDefault="00840E11" w:rsidP="00E072B9">
            <w:pPr>
              <w:pStyle w:val="Tabletext"/>
              <w:rPr>
                <w:iCs/>
              </w:rPr>
            </w:pPr>
          </w:p>
        </w:tc>
        <w:tc>
          <w:tcPr>
            <w:tcW w:w="1084" w:type="dxa"/>
            <w:tcBorders>
              <w:left w:val="nil"/>
            </w:tcBorders>
            <w:noWrap/>
            <w:vAlign w:val="center"/>
          </w:tcPr>
          <w:p w14:paraId="7C310736" w14:textId="77777777" w:rsidR="00840E11" w:rsidRPr="00915DBD" w:rsidRDefault="00840E11" w:rsidP="00E072B9">
            <w:pPr>
              <w:pStyle w:val="Tabletext"/>
              <w:rPr>
                <w:iCs/>
              </w:rPr>
            </w:pPr>
          </w:p>
        </w:tc>
      </w:tr>
      <w:tr w:rsidR="00840E11" w:rsidRPr="00E750DB" w14:paraId="55FF7388" w14:textId="77777777" w:rsidTr="00FF7512">
        <w:tc>
          <w:tcPr>
            <w:tcW w:w="4248" w:type="dxa"/>
            <w:noWrap/>
            <w:vAlign w:val="center"/>
          </w:tcPr>
          <w:p w14:paraId="49329C81" w14:textId="7CB18E95" w:rsidR="00840E11" w:rsidRPr="00E750DB" w:rsidRDefault="00840E11" w:rsidP="00E072B9">
            <w:pPr>
              <w:pStyle w:val="Tabletext"/>
            </w:pPr>
            <w:r w:rsidRPr="00915DBD">
              <w:rPr>
                <w:iCs/>
                <w:szCs w:val="20"/>
              </w:rPr>
              <w:t xml:space="preserve">Assume givosiran discontinuation associated with progression to next worse health state (except for discontinuation at AAR </w:t>
            </w:r>
            <w:r w:rsidR="00BD03FD">
              <w:rPr>
                <w:iCs/>
                <w:szCs w:val="20"/>
              </w:rPr>
              <w:t>&gt;</w:t>
            </w:r>
            <w:r w:rsidR="00A550BD">
              <w:rPr>
                <w:iCs/>
                <w:szCs w:val="20"/>
              </w:rPr>
              <w:t xml:space="preserve"> </w:t>
            </w:r>
            <w:r w:rsidRPr="00915DBD">
              <w:rPr>
                <w:iCs/>
                <w:szCs w:val="20"/>
              </w:rPr>
              <w:t xml:space="preserve">24) at time of discontinuation, then BSC transitions apply thereafter </w:t>
            </w:r>
            <w:r w:rsidR="00063337" w:rsidRPr="00915DBD">
              <w:rPr>
                <w:iCs/>
                <w:szCs w:val="20"/>
                <w:vertAlign w:val="superscript"/>
              </w:rPr>
              <w:t>c</w:t>
            </w:r>
          </w:p>
        </w:tc>
        <w:tc>
          <w:tcPr>
            <w:tcW w:w="1276" w:type="dxa"/>
            <w:gridSpan w:val="3"/>
            <w:noWrap/>
            <w:vAlign w:val="center"/>
          </w:tcPr>
          <w:p w14:paraId="35AACB0B" w14:textId="2C4C68D1" w:rsidR="00840E11" w:rsidRPr="00E750DB" w:rsidRDefault="00840E11" w:rsidP="00E072B9">
            <w:pPr>
              <w:pStyle w:val="Tabletext"/>
            </w:pPr>
            <w:r w:rsidRPr="00915DBD">
              <w:rPr>
                <w:iCs/>
                <w:szCs w:val="20"/>
              </w:rPr>
              <w:t>$</w:t>
            </w:r>
            <w:r w:rsidR="00B35ACC" w:rsidRPr="009742C5">
              <w:rPr>
                <w:color w:val="000000"/>
                <w:spacing w:val="53"/>
                <w:szCs w:val="20"/>
                <w:shd w:val="solid" w:color="000000" w:fill="000000"/>
                <w:fitText w:val="330" w:id="-625249789"/>
                <w14:textFill>
                  <w14:solidFill>
                    <w14:srgbClr w14:val="000000">
                      <w14:alpha w14:val="100000"/>
                    </w14:srgbClr>
                  </w14:solidFill>
                </w14:textFill>
              </w:rPr>
              <w:t>|||</w:t>
            </w:r>
            <w:r w:rsidR="00B35ACC" w:rsidRPr="009742C5">
              <w:rPr>
                <w:color w:val="000000"/>
                <w:spacing w:val="1"/>
                <w:szCs w:val="20"/>
                <w:shd w:val="solid" w:color="000000" w:fill="000000"/>
                <w:fitText w:val="330" w:id="-625249789"/>
                <w14:textFill>
                  <w14:solidFill>
                    <w14:srgbClr w14:val="000000">
                      <w14:alpha w14:val="100000"/>
                    </w14:srgbClr>
                  </w14:solidFill>
                </w14:textFill>
              </w:rPr>
              <w:t>|</w:t>
            </w:r>
          </w:p>
        </w:tc>
        <w:tc>
          <w:tcPr>
            <w:tcW w:w="1275" w:type="dxa"/>
            <w:noWrap/>
            <w:vAlign w:val="center"/>
          </w:tcPr>
          <w:p w14:paraId="743C3817" w14:textId="7AF2FC42" w:rsidR="00840E11" w:rsidRPr="00E750DB" w:rsidRDefault="00840E11" w:rsidP="00E072B9">
            <w:pPr>
              <w:pStyle w:val="Tabletext"/>
            </w:pPr>
            <w:r w:rsidRPr="00915DBD">
              <w:rPr>
                <w:iCs/>
                <w:szCs w:val="20"/>
              </w:rPr>
              <w:t>2.86</w:t>
            </w:r>
          </w:p>
        </w:tc>
        <w:tc>
          <w:tcPr>
            <w:tcW w:w="1134" w:type="dxa"/>
            <w:noWrap/>
            <w:vAlign w:val="center"/>
          </w:tcPr>
          <w:p w14:paraId="4540B50E" w14:textId="4855E69E" w:rsidR="00840E11" w:rsidRPr="0017016C" w:rsidRDefault="00840E11" w:rsidP="00E072B9">
            <w:pPr>
              <w:pStyle w:val="Tabletext"/>
              <w:rPr>
                <w:vertAlign w:val="superscript"/>
              </w:rPr>
            </w:pPr>
            <w:r w:rsidRPr="00915DBD">
              <w:rPr>
                <w:iCs/>
                <w:szCs w:val="20"/>
              </w:rPr>
              <w:t>$</w:t>
            </w:r>
            <w:r w:rsidR="00B35ACC" w:rsidRPr="009742C5">
              <w:rPr>
                <w:color w:val="000000"/>
                <w:spacing w:val="53"/>
                <w:szCs w:val="20"/>
                <w:shd w:val="solid" w:color="000000" w:fill="000000"/>
                <w:fitText w:val="330" w:id="-625249788"/>
                <w14:textFill>
                  <w14:solidFill>
                    <w14:srgbClr w14:val="000000">
                      <w14:alpha w14:val="100000"/>
                    </w14:srgbClr>
                  </w14:solidFill>
                </w14:textFill>
              </w:rPr>
              <w:t>|||</w:t>
            </w:r>
            <w:r w:rsidR="00B35ACC" w:rsidRPr="009742C5">
              <w:rPr>
                <w:color w:val="000000"/>
                <w:spacing w:val="1"/>
                <w:szCs w:val="20"/>
                <w:shd w:val="solid" w:color="000000" w:fill="000000"/>
                <w:fitText w:val="330" w:id="-625249788"/>
                <w14:textFill>
                  <w14:solidFill>
                    <w14:srgbClr w14:val="000000">
                      <w14:alpha w14:val="100000"/>
                    </w14:srgbClr>
                  </w14:solidFill>
                </w14:textFill>
              </w:rPr>
              <w:t>|</w:t>
            </w:r>
            <w:r w:rsidR="0017016C">
              <w:rPr>
                <w:iCs/>
                <w:szCs w:val="20"/>
                <w:vertAlign w:val="superscript"/>
              </w:rPr>
              <w:t>5</w:t>
            </w:r>
          </w:p>
        </w:tc>
        <w:tc>
          <w:tcPr>
            <w:tcW w:w="1084" w:type="dxa"/>
            <w:noWrap/>
            <w:vAlign w:val="center"/>
          </w:tcPr>
          <w:p w14:paraId="5E6EA6BC" w14:textId="7EAE7E2D" w:rsidR="00840E11" w:rsidRPr="00E750DB" w:rsidRDefault="00B35ACC" w:rsidP="00E072B9">
            <w:pPr>
              <w:pStyle w:val="Tabletext"/>
            </w:pPr>
            <w:r w:rsidRPr="009742C5">
              <w:rPr>
                <w:color w:val="000000"/>
                <w:spacing w:val="53"/>
                <w:szCs w:val="20"/>
                <w:shd w:val="solid" w:color="000000" w:fill="000000"/>
                <w:fitText w:val="330" w:id="-625249787"/>
                <w14:textFill>
                  <w14:solidFill>
                    <w14:srgbClr w14:val="000000">
                      <w14:alpha w14:val="100000"/>
                    </w14:srgbClr>
                  </w14:solidFill>
                </w14:textFill>
              </w:rPr>
              <w:t>|||</w:t>
            </w:r>
            <w:r w:rsidRPr="009742C5">
              <w:rPr>
                <w:color w:val="000000"/>
                <w:spacing w:val="1"/>
                <w:szCs w:val="20"/>
                <w:shd w:val="solid" w:color="000000" w:fill="000000"/>
                <w:fitText w:val="330" w:id="-625249787"/>
                <w14:textFill>
                  <w14:solidFill>
                    <w14:srgbClr w14:val="000000">
                      <w14:alpha w14:val="100000"/>
                    </w14:srgbClr>
                  </w14:solidFill>
                </w14:textFill>
              </w:rPr>
              <w:t>|</w:t>
            </w:r>
            <w:r w:rsidR="00840E11" w:rsidRPr="00915DBD">
              <w:rPr>
                <w:iCs/>
                <w:szCs w:val="20"/>
              </w:rPr>
              <w:t>%</w:t>
            </w:r>
          </w:p>
        </w:tc>
      </w:tr>
      <w:tr w:rsidR="00840E11" w:rsidRPr="00E750DB" w14:paraId="2D25127C" w14:textId="77777777" w:rsidTr="00FF7512">
        <w:tc>
          <w:tcPr>
            <w:tcW w:w="4248" w:type="dxa"/>
            <w:noWrap/>
            <w:vAlign w:val="center"/>
          </w:tcPr>
          <w:p w14:paraId="4661F84E" w14:textId="22698A4A" w:rsidR="00840E11" w:rsidRPr="00E750DB" w:rsidRDefault="00840E11" w:rsidP="00E072B9">
            <w:pPr>
              <w:pStyle w:val="Tabletext"/>
            </w:pPr>
            <w:r w:rsidRPr="00915DBD">
              <w:rPr>
                <w:iCs/>
                <w:szCs w:val="20"/>
              </w:rPr>
              <w:t>Remove AAR</w:t>
            </w:r>
            <w:r w:rsidR="00BD03FD">
              <w:rPr>
                <w:iCs/>
                <w:szCs w:val="20"/>
              </w:rPr>
              <w:t>&gt;</w:t>
            </w:r>
            <w:r w:rsidR="00A550BD">
              <w:rPr>
                <w:iCs/>
                <w:szCs w:val="20"/>
              </w:rPr>
              <w:t xml:space="preserve"> </w:t>
            </w:r>
            <w:r w:rsidRPr="00915DBD">
              <w:rPr>
                <w:iCs/>
                <w:szCs w:val="20"/>
              </w:rPr>
              <w:t xml:space="preserve">24 Health State </w:t>
            </w:r>
            <w:r w:rsidR="00063337" w:rsidRPr="00915DBD">
              <w:rPr>
                <w:iCs/>
                <w:szCs w:val="20"/>
                <w:vertAlign w:val="superscript"/>
              </w:rPr>
              <w:t>d</w:t>
            </w:r>
          </w:p>
        </w:tc>
        <w:tc>
          <w:tcPr>
            <w:tcW w:w="1276" w:type="dxa"/>
            <w:gridSpan w:val="3"/>
            <w:noWrap/>
            <w:vAlign w:val="center"/>
          </w:tcPr>
          <w:p w14:paraId="377FB5E2" w14:textId="65FCA2E7" w:rsidR="00840E11" w:rsidRPr="00E750DB" w:rsidRDefault="00840E11" w:rsidP="00E072B9">
            <w:pPr>
              <w:pStyle w:val="Tabletext"/>
            </w:pPr>
            <w:r w:rsidRPr="00915DBD">
              <w:rPr>
                <w:iCs/>
                <w:szCs w:val="20"/>
              </w:rPr>
              <w:t>$</w:t>
            </w:r>
            <w:r w:rsidR="00B35ACC" w:rsidRPr="009742C5">
              <w:rPr>
                <w:color w:val="000000"/>
                <w:spacing w:val="53"/>
                <w:szCs w:val="20"/>
                <w:shd w:val="solid" w:color="000000" w:fill="000000"/>
                <w:fitText w:val="330" w:id="-625249786"/>
                <w14:textFill>
                  <w14:solidFill>
                    <w14:srgbClr w14:val="000000">
                      <w14:alpha w14:val="100000"/>
                    </w14:srgbClr>
                  </w14:solidFill>
                </w14:textFill>
              </w:rPr>
              <w:t>|||</w:t>
            </w:r>
            <w:r w:rsidR="00B35ACC" w:rsidRPr="009742C5">
              <w:rPr>
                <w:color w:val="000000"/>
                <w:spacing w:val="1"/>
                <w:szCs w:val="20"/>
                <w:shd w:val="solid" w:color="000000" w:fill="000000"/>
                <w:fitText w:val="330" w:id="-625249786"/>
                <w14:textFill>
                  <w14:solidFill>
                    <w14:srgbClr w14:val="000000">
                      <w14:alpha w14:val="100000"/>
                    </w14:srgbClr>
                  </w14:solidFill>
                </w14:textFill>
              </w:rPr>
              <w:t>|</w:t>
            </w:r>
          </w:p>
        </w:tc>
        <w:tc>
          <w:tcPr>
            <w:tcW w:w="1275" w:type="dxa"/>
            <w:noWrap/>
            <w:vAlign w:val="center"/>
          </w:tcPr>
          <w:p w14:paraId="39716802" w14:textId="14695180" w:rsidR="00840E11" w:rsidRPr="00E750DB" w:rsidRDefault="00840E11" w:rsidP="00E072B9">
            <w:pPr>
              <w:pStyle w:val="Tabletext"/>
            </w:pPr>
            <w:r w:rsidRPr="00915DBD">
              <w:rPr>
                <w:iCs/>
                <w:szCs w:val="20"/>
              </w:rPr>
              <w:t>6.17</w:t>
            </w:r>
          </w:p>
        </w:tc>
        <w:tc>
          <w:tcPr>
            <w:tcW w:w="1134" w:type="dxa"/>
            <w:noWrap/>
            <w:vAlign w:val="center"/>
          </w:tcPr>
          <w:p w14:paraId="4EAFE473" w14:textId="2D39AB44" w:rsidR="00840E11" w:rsidRPr="002F0111" w:rsidRDefault="00840E11" w:rsidP="00E072B9">
            <w:pPr>
              <w:pStyle w:val="Tabletext"/>
              <w:rPr>
                <w:vertAlign w:val="superscript"/>
              </w:rPr>
            </w:pPr>
            <w:r w:rsidRPr="00915DBD">
              <w:rPr>
                <w:iCs/>
                <w:szCs w:val="20"/>
              </w:rPr>
              <w:t>$</w:t>
            </w:r>
            <w:r w:rsidR="00B35ACC" w:rsidRPr="009742C5">
              <w:rPr>
                <w:color w:val="000000"/>
                <w:spacing w:val="53"/>
                <w:szCs w:val="20"/>
                <w:shd w:val="solid" w:color="000000" w:fill="000000"/>
                <w:fitText w:val="330" w:id="-625249785"/>
                <w14:textFill>
                  <w14:solidFill>
                    <w14:srgbClr w14:val="000000">
                      <w14:alpha w14:val="100000"/>
                    </w14:srgbClr>
                  </w14:solidFill>
                </w14:textFill>
              </w:rPr>
              <w:t>|||</w:t>
            </w:r>
            <w:r w:rsidR="00B35ACC" w:rsidRPr="009742C5">
              <w:rPr>
                <w:color w:val="000000"/>
                <w:spacing w:val="1"/>
                <w:szCs w:val="20"/>
                <w:shd w:val="solid" w:color="000000" w:fill="000000"/>
                <w:fitText w:val="330" w:id="-625249785"/>
                <w14:textFill>
                  <w14:solidFill>
                    <w14:srgbClr w14:val="000000">
                      <w14:alpha w14:val="100000"/>
                    </w14:srgbClr>
                  </w14:solidFill>
                </w14:textFill>
              </w:rPr>
              <w:t>|</w:t>
            </w:r>
            <w:r w:rsidR="002F0111">
              <w:rPr>
                <w:iCs/>
                <w:szCs w:val="20"/>
                <w:vertAlign w:val="superscript"/>
              </w:rPr>
              <w:t>3</w:t>
            </w:r>
          </w:p>
        </w:tc>
        <w:tc>
          <w:tcPr>
            <w:tcW w:w="1084" w:type="dxa"/>
            <w:noWrap/>
            <w:vAlign w:val="center"/>
          </w:tcPr>
          <w:p w14:paraId="4CDBF3CE" w14:textId="799B13AC" w:rsidR="00840E11" w:rsidRPr="00E750DB" w:rsidRDefault="00B35ACC" w:rsidP="00E072B9">
            <w:pPr>
              <w:pStyle w:val="Tabletext"/>
            </w:pPr>
            <w:r w:rsidRPr="009742C5">
              <w:rPr>
                <w:color w:val="000000"/>
                <w:spacing w:val="53"/>
                <w:szCs w:val="20"/>
                <w:shd w:val="solid" w:color="000000" w:fill="000000"/>
                <w:fitText w:val="330" w:id="-625249784"/>
                <w14:textFill>
                  <w14:solidFill>
                    <w14:srgbClr w14:val="000000">
                      <w14:alpha w14:val="100000"/>
                    </w14:srgbClr>
                  </w14:solidFill>
                </w14:textFill>
              </w:rPr>
              <w:t>|||</w:t>
            </w:r>
            <w:r w:rsidRPr="009742C5">
              <w:rPr>
                <w:color w:val="000000"/>
                <w:spacing w:val="1"/>
                <w:szCs w:val="20"/>
                <w:shd w:val="solid" w:color="000000" w:fill="000000"/>
                <w:fitText w:val="330" w:id="-625249784"/>
                <w14:textFill>
                  <w14:solidFill>
                    <w14:srgbClr w14:val="000000">
                      <w14:alpha w14:val="100000"/>
                    </w14:srgbClr>
                  </w14:solidFill>
                </w14:textFill>
              </w:rPr>
              <w:t>|</w:t>
            </w:r>
            <w:r w:rsidR="00840E11" w:rsidRPr="00915DBD">
              <w:rPr>
                <w:iCs/>
                <w:szCs w:val="20"/>
              </w:rPr>
              <w:t>%</w:t>
            </w:r>
          </w:p>
        </w:tc>
      </w:tr>
      <w:tr w:rsidR="00840E11" w:rsidRPr="00E750DB" w14:paraId="41C6EAFF" w14:textId="77777777" w:rsidTr="00FF7512">
        <w:tc>
          <w:tcPr>
            <w:tcW w:w="4248" w:type="dxa"/>
            <w:noWrap/>
            <w:vAlign w:val="center"/>
          </w:tcPr>
          <w:p w14:paraId="3B2CB638" w14:textId="04204A35" w:rsidR="00840E11" w:rsidRPr="00E750DB" w:rsidRDefault="00840E11" w:rsidP="00E072B9">
            <w:pPr>
              <w:pStyle w:val="Tabletext"/>
            </w:pPr>
            <w:r w:rsidRPr="00915DBD">
              <w:rPr>
                <w:iCs/>
                <w:szCs w:val="20"/>
              </w:rPr>
              <w:t>95% of all females progress to AAR =0 (asymptomatic) post menopause, including AAR</w:t>
            </w:r>
            <w:r w:rsidR="00BD03FD">
              <w:rPr>
                <w:iCs/>
                <w:szCs w:val="20"/>
              </w:rPr>
              <w:t xml:space="preserve"> &gt; </w:t>
            </w:r>
            <w:r w:rsidRPr="00915DBD">
              <w:rPr>
                <w:iCs/>
                <w:szCs w:val="20"/>
              </w:rPr>
              <w:t>24 (commentary sensitivity did not include AAR</w:t>
            </w:r>
            <w:r w:rsidR="00BD03FD">
              <w:rPr>
                <w:iCs/>
                <w:szCs w:val="20"/>
              </w:rPr>
              <w:t xml:space="preserve"> &gt; </w:t>
            </w:r>
            <w:r w:rsidRPr="00915DBD">
              <w:rPr>
                <w:iCs/>
                <w:szCs w:val="20"/>
              </w:rPr>
              <w:t xml:space="preserve">24 patients) </w:t>
            </w:r>
            <w:r w:rsidR="00063337" w:rsidRPr="00915DBD">
              <w:rPr>
                <w:iCs/>
                <w:szCs w:val="20"/>
                <w:vertAlign w:val="superscript"/>
              </w:rPr>
              <w:t>e</w:t>
            </w:r>
          </w:p>
        </w:tc>
        <w:tc>
          <w:tcPr>
            <w:tcW w:w="1276" w:type="dxa"/>
            <w:gridSpan w:val="3"/>
            <w:noWrap/>
            <w:vAlign w:val="center"/>
          </w:tcPr>
          <w:p w14:paraId="3D574BEC" w14:textId="1FE22A29" w:rsidR="00840E11" w:rsidRPr="00E750DB" w:rsidRDefault="00840E11" w:rsidP="00E072B9">
            <w:pPr>
              <w:pStyle w:val="Tabletext"/>
            </w:pPr>
            <w:r w:rsidRPr="00915DBD">
              <w:rPr>
                <w:iCs/>
                <w:szCs w:val="20"/>
              </w:rPr>
              <w:t>$</w:t>
            </w:r>
            <w:r w:rsidR="00B35ACC" w:rsidRPr="009742C5">
              <w:rPr>
                <w:color w:val="000000"/>
                <w:spacing w:val="53"/>
                <w:szCs w:val="20"/>
                <w:shd w:val="solid" w:color="000000" w:fill="000000"/>
                <w:fitText w:val="330" w:id="-625249783"/>
                <w14:textFill>
                  <w14:solidFill>
                    <w14:srgbClr w14:val="000000">
                      <w14:alpha w14:val="100000"/>
                    </w14:srgbClr>
                  </w14:solidFill>
                </w14:textFill>
              </w:rPr>
              <w:t>|||</w:t>
            </w:r>
            <w:r w:rsidR="00B35ACC" w:rsidRPr="009742C5">
              <w:rPr>
                <w:color w:val="000000"/>
                <w:spacing w:val="1"/>
                <w:szCs w:val="20"/>
                <w:shd w:val="solid" w:color="000000" w:fill="000000"/>
                <w:fitText w:val="330" w:id="-625249783"/>
                <w14:textFill>
                  <w14:solidFill>
                    <w14:srgbClr w14:val="000000">
                      <w14:alpha w14:val="100000"/>
                    </w14:srgbClr>
                  </w14:solidFill>
                </w14:textFill>
              </w:rPr>
              <w:t>|</w:t>
            </w:r>
          </w:p>
        </w:tc>
        <w:tc>
          <w:tcPr>
            <w:tcW w:w="1275" w:type="dxa"/>
            <w:noWrap/>
            <w:vAlign w:val="center"/>
          </w:tcPr>
          <w:p w14:paraId="590884CF" w14:textId="5C4DB013" w:rsidR="00840E11" w:rsidRPr="00E750DB" w:rsidRDefault="00840E11" w:rsidP="00E072B9">
            <w:pPr>
              <w:pStyle w:val="Tabletext"/>
            </w:pPr>
            <w:r w:rsidRPr="00915DBD">
              <w:rPr>
                <w:iCs/>
                <w:szCs w:val="20"/>
              </w:rPr>
              <w:t>3.62</w:t>
            </w:r>
          </w:p>
        </w:tc>
        <w:tc>
          <w:tcPr>
            <w:tcW w:w="1134" w:type="dxa"/>
            <w:noWrap/>
            <w:vAlign w:val="center"/>
          </w:tcPr>
          <w:p w14:paraId="36DBDE81" w14:textId="735E53FC" w:rsidR="00840E11" w:rsidRPr="00977AD0" w:rsidRDefault="00840E11" w:rsidP="00E072B9">
            <w:pPr>
              <w:pStyle w:val="Tabletext"/>
              <w:rPr>
                <w:vertAlign w:val="superscript"/>
              </w:rPr>
            </w:pPr>
            <w:r w:rsidRPr="00915DBD">
              <w:rPr>
                <w:iCs/>
                <w:szCs w:val="20"/>
              </w:rPr>
              <w:t>$</w:t>
            </w:r>
            <w:r w:rsidR="00B35ACC" w:rsidRPr="009742C5">
              <w:rPr>
                <w:color w:val="000000"/>
                <w:spacing w:val="53"/>
                <w:szCs w:val="20"/>
                <w:shd w:val="solid" w:color="000000" w:fill="000000"/>
                <w:fitText w:val="330" w:id="-625249782"/>
                <w14:textFill>
                  <w14:solidFill>
                    <w14:srgbClr w14:val="000000">
                      <w14:alpha w14:val="100000"/>
                    </w14:srgbClr>
                  </w14:solidFill>
                </w14:textFill>
              </w:rPr>
              <w:t>|||</w:t>
            </w:r>
            <w:r w:rsidR="00B35ACC" w:rsidRPr="009742C5">
              <w:rPr>
                <w:color w:val="000000"/>
                <w:spacing w:val="1"/>
                <w:szCs w:val="20"/>
                <w:shd w:val="solid" w:color="000000" w:fill="000000"/>
                <w:fitText w:val="330" w:id="-625249782"/>
                <w14:textFill>
                  <w14:solidFill>
                    <w14:srgbClr w14:val="000000">
                      <w14:alpha w14:val="100000"/>
                    </w14:srgbClr>
                  </w14:solidFill>
                </w14:textFill>
              </w:rPr>
              <w:t>|</w:t>
            </w:r>
            <w:r w:rsidR="00977AD0">
              <w:rPr>
                <w:iCs/>
                <w:szCs w:val="20"/>
                <w:vertAlign w:val="superscript"/>
              </w:rPr>
              <w:t>7</w:t>
            </w:r>
          </w:p>
        </w:tc>
        <w:tc>
          <w:tcPr>
            <w:tcW w:w="1084" w:type="dxa"/>
            <w:noWrap/>
            <w:vAlign w:val="center"/>
          </w:tcPr>
          <w:p w14:paraId="2BF3C485" w14:textId="34B3FA57" w:rsidR="00840E11" w:rsidRPr="00E750DB" w:rsidRDefault="00B35ACC" w:rsidP="00E072B9">
            <w:pPr>
              <w:pStyle w:val="Tabletext"/>
            </w:pPr>
            <w:r w:rsidRPr="009742C5">
              <w:rPr>
                <w:color w:val="000000"/>
                <w:spacing w:val="53"/>
                <w:szCs w:val="20"/>
                <w:shd w:val="solid" w:color="000000" w:fill="000000"/>
                <w:fitText w:val="330" w:id="-625249781"/>
                <w14:textFill>
                  <w14:solidFill>
                    <w14:srgbClr w14:val="000000">
                      <w14:alpha w14:val="100000"/>
                    </w14:srgbClr>
                  </w14:solidFill>
                </w14:textFill>
              </w:rPr>
              <w:t>|||</w:t>
            </w:r>
            <w:r w:rsidRPr="009742C5">
              <w:rPr>
                <w:color w:val="000000"/>
                <w:spacing w:val="1"/>
                <w:szCs w:val="20"/>
                <w:shd w:val="solid" w:color="000000" w:fill="000000"/>
                <w:fitText w:val="330" w:id="-625249781"/>
                <w14:textFill>
                  <w14:solidFill>
                    <w14:srgbClr w14:val="000000">
                      <w14:alpha w14:val="100000"/>
                    </w14:srgbClr>
                  </w14:solidFill>
                </w14:textFill>
              </w:rPr>
              <w:t>|</w:t>
            </w:r>
            <w:r w:rsidR="00840E11" w:rsidRPr="00915DBD">
              <w:rPr>
                <w:iCs/>
                <w:szCs w:val="20"/>
              </w:rPr>
              <w:t>%</w:t>
            </w:r>
          </w:p>
        </w:tc>
      </w:tr>
      <w:tr w:rsidR="00840E11" w:rsidRPr="00915DBD" w14:paraId="3092AEFD" w14:textId="77777777" w:rsidTr="00840E11">
        <w:tc>
          <w:tcPr>
            <w:tcW w:w="5275" w:type="dxa"/>
            <w:gridSpan w:val="3"/>
            <w:tcBorders>
              <w:right w:val="nil"/>
            </w:tcBorders>
            <w:noWrap/>
            <w:vAlign w:val="center"/>
          </w:tcPr>
          <w:p w14:paraId="3025EACB" w14:textId="4BD295E2" w:rsidR="00840E11" w:rsidRPr="00915DBD" w:rsidRDefault="00840E11" w:rsidP="00E072B9">
            <w:pPr>
              <w:pStyle w:val="Tabletext"/>
              <w:rPr>
                <w:iCs/>
              </w:rPr>
            </w:pPr>
            <w:r w:rsidRPr="00915DBD">
              <w:rPr>
                <w:b/>
                <w:bCs/>
                <w:iCs/>
              </w:rPr>
              <w:t>ESC requested additional multivariate sensitivity analyses</w:t>
            </w:r>
          </w:p>
        </w:tc>
        <w:tc>
          <w:tcPr>
            <w:tcW w:w="249" w:type="dxa"/>
            <w:tcBorders>
              <w:left w:val="nil"/>
              <w:right w:val="nil"/>
            </w:tcBorders>
            <w:noWrap/>
            <w:vAlign w:val="center"/>
          </w:tcPr>
          <w:p w14:paraId="39AD2A83" w14:textId="77777777" w:rsidR="00840E11" w:rsidRPr="00915DBD" w:rsidRDefault="00840E11" w:rsidP="00E072B9">
            <w:pPr>
              <w:pStyle w:val="Tabletext"/>
              <w:rPr>
                <w:iCs/>
              </w:rPr>
            </w:pPr>
          </w:p>
        </w:tc>
        <w:tc>
          <w:tcPr>
            <w:tcW w:w="1275" w:type="dxa"/>
            <w:tcBorders>
              <w:left w:val="nil"/>
              <w:right w:val="nil"/>
            </w:tcBorders>
            <w:noWrap/>
            <w:vAlign w:val="center"/>
          </w:tcPr>
          <w:p w14:paraId="4344C958" w14:textId="77777777" w:rsidR="00840E11" w:rsidRPr="00915DBD" w:rsidRDefault="00840E11" w:rsidP="00E072B9">
            <w:pPr>
              <w:pStyle w:val="Tabletext"/>
              <w:rPr>
                <w:iCs/>
              </w:rPr>
            </w:pPr>
          </w:p>
        </w:tc>
        <w:tc>
          <w:tcPr>
            <w:tcW w:w="1134" w:type="dxa"/>
            <w:tcBorders>
              <w:left w:val="nil"/>
              <w:right w:val="nil"/>
            </w:tcBorders>
            <w:noWrap/>
            <w:vAlign w:val="center"/>
          </w:tcPr>
          <w:p w14:paraId="40ED0212" w14:textId="77777777" w:rsidR="00840E11" w:rsidRPr="00915DBD" w:rsidRDefault="00840E11" w:rsidP="00E072B9">
            <w:pPr>
              <w:pStyle w:val="Tabletext"/>
              <w:rPr>
                <w:iCs/>
              </w:rPr>
            </w:pPr>
          </w:p>
        </w:tc>
        <w:tc>
          <w:tcPr>
            <w:tcW w:w="1084" w:type="dxa"/>
            <w:tcBorders>
              <w:left w:val="nil"/>
            </w:tcBorders>
            <w:noWrap/>
            <w:vAlign w:val="center"/>
          </w:tcPr>
          <w:p w14:paraId="5F7542DB" w14:textId="77777777" w:rsidR="00840E11" w:rsidRPr="00915DBD" w:rsidRDefault="00840E11" w:rsidP="00E072B9">
            <w:pPr>
              <w:pStyle w:val="Tabletext"/>
              <w:rPr>
                <w:iCs/>
              </w:rPr>
            </w:pPr>
          </w:p>
        </w:tc>
      </w:tr>
      <w:tr w:rsidR="00840E11" w:rsidRPr="00915DBD" w14:paraId="55FFBB61" w14:textId="77777777" w:rsidTr="00FF7512">
        <w:tc>
          <w:tcPr>
            <w:tcW w:w="4248" w:type="dxa"/>
            <w:noWrap/>
            <w:vAlign w:val="center"/>
          </w:tcPr>
          <w:p w14:paraId="590BE28E" w14:textId="6293DEE8" w:rsidR="00840E11" w:rsidRPr="00915DBD" w:rsidRDefault="00840E11" w:rsidP="00E072B9">
            <w:pPr>
              <w:pStyle w:val="Tabletext"/>
              <w:rPr>
                <w:iCs/>
              </w:rPr>
            </w:pPr>
            <w:r w:rsidRPr="00915DBD">
              <w:rPr>
                <w:iCs/>
                <w:szCs w:val="20"/>
              </w:rPr>
              <w:t>M</w:t>
            </w:r>
            <w:r w:rsidR="008E344F" w:rsidRPr="00915DBD">
              <w:rPr>
                <w:iCs/>
                <w:szCs w:val="20"/>
              </w:rPr>
              <w:t>V</w:t>
            </w:r>
            <w:r w:rsidRPr="00915DBD">
              <w:rPr>
                <w:iCs/>
                <w:szCs w:val="20"/>
              </w:rPr>
              <w:t>SA1: Remove ARR</w:t>
            </w:r>
            <w:r w:rsidR="001002B6">
              <w:rPr>
                <w:iCs/>
                <w:szCs w:val="20"/>
              </w:rPr>
              <w:t xml:space="preserve"> </w:t>
            </w:r>
            <w:r w:rsidR="00BD03FD">
              <w:rPr>
                <w:iCs/>
                <w:szCs w:val="20"/>
              </w:rPr>
              <w:t>&gt;</w:t>
            </w:r>
            <w:r w:rsidR="00A550BD">
              <w:rPr>
                <w:iCs/>
                <w:szCs w:val="20"/>
              </w:rPr>
              <w:t xml:space="preserve"> </w:t>
            </w:r>
            <w:r w:rsidRPr="00915DBD">
              <w:rPr>
                <w:iCs/>
                <w:szCs w:val="20"/>
              </w:rPr>
              <w:t>24 health state; assume 95% of female patients will become asymptomatic post menopause</w:t>
            </w:r>
          </w:p>
        </w:tc>
        <w:tc>
          <w:tcPr>
            <w:tcW w:w="1276" w:type="dxa"/>
            <w:gridSpan w:val="3"/>
            <w:noWrap/>
            <w:vAlign w:val="center"/>
          </w:tcPr>
          <w:p w14:paraId="37FF5833" w14:textId="6E60119C" w:rsidR="00840E11" w:rsidRPr="00915DBD" w:rsidRDefault="00840E11" w:rsidP="00E072B9">
            <w:pPr>
              <w:pStyle w:val="Tabletext"/>
            </w:pPr>
            <w:r w:rsidRPr="00915DBD">
              <w:rPr>
                <w:iCs/>
                <w:szCs w:val="20"/>
              </w:rPr>
              <w:t>$</w:t>
            </w:r>
            <w:r w:rsidR="00B35ACC" w:rsidRPr="009742C5">
              <w:rPr>
                <w:color w:val="000000"/>
                <w:spacing w:val="53"/>
                <w:szCs w:val="20"/>
                <w:shd w:val="solid" w:color="000000" w:fill="000000"/>
                <w:fitText w:val="330" w:id="-625249780"/>
                <w14:textFill>
                  <w14:solidFill>
                    <w14:srgbClr w14:val="000000">
                      <w14:alpha w14:val="100000"/>
                    </w14:srgbClr>
                  </w14:solidFill>
                </w14:textFill>
              </w:rPr>
              <w:t>|||</w:t>
            </w:r>
            <w:r w:rsidR="00B35ACC" w:rsidRPr="009742C5">
              <w:rPr>
                <w:color w:val="000000"/>
                <w:spacing w:val="1"/>
                <w:szCs w:val="20"/>
                <w:shd w:val="solid" w:color="000000" w:fill="000000"/>
                <w:fitText w:val="330" w:id="-625249780"/>
                <w14:textFill>
                  <w14:solidFill>
                    <w14:srgbClr w14:val="000000">
                      <w14:alpha w14:val="100000"/>
                    </w14:srgbClr>
                  </w14:solidFill>
                </w14:textFill>
              </w:rPr>
              <w:t>|</w:t>
            </w:r>
          </w:p>
        </w:tc>
        <w:tc>
          <w:tcPr>
            <w:tcW w:w="1275" w:type="dxa"/>
            <w:noWrap/>
            <w:vAlign w:val="center"/>
          </w:tcPr>
          <w:p w14:paraId="59E7649B" w14:textId="2D6C0292" w:rsidR="00840E11" w:rsidRPr="00915DBD" w:rsidRDefault="00840E11" w:rsidP="00E072B9">
            <w:pPr>
              <w:pStyle w:val="Tabletext"/>
            </w:pPr>
            <w:r w:rsidRPr="00915DBD">
              <w:rPr>
                <w:iCs/>
                <w:szCs w:val="20"/>
              </w:rPr>
              <w:t>3.56</w:t>
            </w:r>
          </w:p>
        </w:tc>
        <w:tc>
          <w:tcPr>
            <w:tcW w:w="1134" w:type="dxa"/>
            <w:noWrap/>
            <w:vAlign w:val="center"/>
          </w:tcPr>
          <w:p w14:paraId="1D0B8479" w14:textId="7D93E3A0" w:rsidR="00840E11" w:rsidRPr="00E977F5" w:rsidRDefault="00840E11" w:rsidP="00E072B9">
            <w:pPr>
              <w:pStyle w:val="Tabletext"/>
              <w:rPr>
                <w:vertAlign w:val="superscript"/>
              </w:rPr>
            </w:pPr>
            <w:r w:rsidRPr="00915DBD">
              <w:rPr>
                <w:iCs/>
                <w:szCs w:val="20"/>
              </w:rPr>
              <w:t>$</w:t>
            </w:r>
            <w:r w:rsidR="00B35ACC" w:rsidRPr="009742C5">
              <w:rPr>
                <w:color w:val="000000"/>
                <w:spacing w:val="53"/>
                <w:szCs w:val="20"/>
                <w:shd w:val="solid" w:color="000000" w:fill="000000"/>
                <w:fitText w:val="330" w:id="-625249779"/>
                <w14:textFill>
                  <w14:solidFill>
                    <w14:srgbClr w14:val="000000">
                      <w14:alpha w14:val="100000"/>
                    </w14:srgbClr>
                  </w14:solidFill>
                </w14:textFill>
              </w:rPr>
              <w:t>|||</w:t>
            </w:r>
            <w:r w:rsidR="00B35ACC" w:rsidRPr="009742C5">
              <w:rPr>
                <w:color w:val="000000"/>
                <w:spacing w:val="1"/>
                <w:szCs w:val="20"/>
                <w:shd w:val="solid" w:color="000000" w:fill="000000"/>
                <w:fitText w:val="330" w:id="-625249779"/>
                <w14:textFill>
                  <w14:solidFill>
                    <w14:srgbClr w14:val="000000">
                      <w14:alpha w14:val="100000"/>
                    </w14:srgbClr>
                  </w14:solidFill>
                </w14:textFill>
              </w:rPr>
              <w:t>|</w:t>
            </w:r>
            <w:r w:rsidR="00E977F5">
              <w:rPr>
                <w:iCs/>
                <w:szCs w:val="20"/>
                <w:vertAlign w:val="superscript"/>
              </w:rPr>
              <w:t>8</w:t>
            </w:r>
          </w:p>
        </w:tc>
        <w:tc>
          <w:tcPr>
            <w:tcW w:w="1084" w:type="dxa"/>
            <w:noWrap/>
            <w:vAlign w:val="center"/>
          </w:tcPr>
          <w:p w14:paraId="5DE5DA97" w14:textId="68356F95" w:rsidR="00840E11" w:rsidRPr="00915DBD" w:rsidRDefault="00B35ACC" w:rsidP="00E072B9">
            <w:pPr>
              <w:pStyle w:val="Tabletext"/>
            </w:pPr>
            <w:r w:rsidRPr="009742C5">
              <w:rPr>
                <w:color w:val="000000"/>
                <w:spacing w:val="53"/>
                <w:szCs w:val="20"/>
                <w:shd w:val="solid" w:color="000000" w:fill="000000"/>
                <w:fitText w:val="330" w:id="-625249778"/>
                <w14:textFill>
                  <w14:solidFill>
                    <w14:srgbClr w14:val="000000">
                      <w14:alpha w14:val="100000"/>
                    </w14:srgbClr>
                  </w14:solidFill>
                </w14:textFill>
              </w:rPr>
              <w:t>|||</w:t>
            </w:r>
            <w:r w:rsidRPr="009742C5">
              <w:rPr>
                <w:color w:val="000000"/>
                <w:spacing w:val="1"/>
                <w:szCs w:val="20"/>
                <w:shd w:val="solid" w:color="000000" w:fill="000000"/>
                <w:fitText w:val="330" w:id="-625249778"/>
                <w14:textFill>
                  <w14:solidFill>
                    <w14:srgbClr w14:val="000000">
                      <w14:alpha w14:val="100000"/>
                    </w14:srgbClr>
                  </w14:solidFill>
                </w14:textFill>
              </w:rPr>
              <w:t>|</w:t>
            </w:r>
            <w:r w:rsidR="00840E11" w:rsidRPr="00915DBD">
              <w:rPr>
                <w:iCs/>
                <w:szCs w:val="20"/>
              </w:rPr>
              <w:t>%</w:t>
            </w:r>
          </w:p>
        </w:tc>
      </w:tr>
      <w:tr w:rsidR="00840E11" w:rsidRPr="00915DBD" w14:paraId="2A80A0A9" w14:textId="77777777" w:rsidTr="00FF7512">
        <w:tc>
          <w:tcPr>
            <w:tcW w:w="4248" w:type="dxa"/>
            <w:noWrap/>
            <w:vAlign w:val="center"/>
          </w:tcPr>
          <w:p w14:paraId="2F1F422C" w14:textId="648A6B18" w:rsidR="00840E11" w:rsidRPr="00915DBD" w:rsidRDefault="00840E11" w:rsidP="00E072B9">
            <w:pPr>
              <w:pStyle w:val="Tabletext"/>
              <w:rPr>
                <w:iCs/>
              </w:rPr>
            </w:pPr>
            <w:r w:rsidRPr="00915DBD">
              <w:rPr>
                <w:iCs/>
                <w:szCs w:val="20"/>
              </w:rPr>
              <w:t>M</w:t>
            </w:r>
            <w:r w:rsidR="008E344F" w:rsidRPr="00915DBD">
              <w:rPr>
                <w:iCs/>
                <w:szCs w:val="20"/>
              </w:rPr>
              <w:t>V</w:t>
            </w:r>
            <w:r w:rsidRPr="00915DBD">
              <w:rPr>
                <w:iCs/>
                <w:szCs w:val="20"/>
              </w:rPr>
              <w:t>SA2: As above, plus 40</w:t>
            </w:r>
            <w:r w:rsidR="00E072B9">
              <w:rPr>
                <w:iCs/>
                <w:szCs w:val="20"/>
              </w:rPr>
              <w:noBreakHyphen/>
            </w:r>
            <w:r w:rsidRPr="00915DBD">
              <w:rPr>
                <w:iCs/>
                <w:szCs w:val="20"/>
              </w:rPr>
              <w:t xml:space="preserve">year time horizon; no discontinuation of givosiran after cycles 8; chronic utility decrement of </w:t>
            </w:r>
            <w:r w:rsidR="00E072B9">
              <w:rPr>
                <w:iCs/>
                <w:szCs w:val="20"/>
              </w:rPr>
              <w:noBreakHyphen/>
            </w:r>
            <w:r w:rsidRPr="00915DBD">
              <w:rPr>
                <w:iCs/>
                <w:szCs w:val="20"/>
              </w:rPr>
              <w:t>0.198 for all health states</w:t>
            </w:r>
          </w:p>
        </w:tc>
        <w:tc>
          <w:tcPr>
            <w:tcW w:w="1276" w:type="dxa"/>
            <w:gridSpan w:val="3"/>
            <w:noWrap/>
            <w:vAlign w:val="center"/>
          </w:tcPr>
          <w:p w14:paraId="5D3A6DFF" w14:textId="078D22D3" w:rsidR="00840E11" w:rsidRPr="00915DBD" w:rsidRDefault="00840E11" w:rsidP="00E072B9">
            <w:pPr>
              <w:pStyle w:val="Tabletext"/>
            </w:pPr>
            <w:r w:rsidRPr="00915DBD">
              <w:rPr>
                <w:iCs/>
                <w:szCs w:val="20"/>
              </w:rPr>
              <w:t>$</w:t>
            </w:r>
            <w:r w:rsidR="00B35ACC" w:rsidRPr="009742C5">
              <w:rPr>
                <w:color w:val="000000"/>
                <w:spacing w:val="53"/>
                <w:szCs w:val="20"/>
                <w:shd w:val="solid" w:color="000000" w:fill="000000"/>
                <w:fitText w:val="330" w:id="-625249777"/>
                <w14:textFill>
                  <w14:solidFill>
                    <w14:srgbClr w14:val="000000">
                      <w14:alpha w14:val="100000"/>
                    </w14:srgbClr>
                  </w14:solidFill>
                </w14:textFill>
              </w:rPr>
              <w:t>|||</w:t>
            </w:r>
            <w:r w:rsidR="00B35ACC" w:rsidRPr="009742C5">
              <w:rPr>
                <w:color w:val="000000"/>
                <w:spacing w:val="1"/>
                <w:szCs w:val="20"/>
                <w:shd w:val="solid" w:color="000000" w:fill="000000"/>
                <w:fitText w:val="330" w:id="-625249777"/>
                <w14:textFill>
                  <w14:solidFill>
                    <w14:srgbClr w14:val="000000">
                      <w14:alpha w14:val="100000"/>
                    </w14:srgbClr>
                  </w14:solidFill>
                </w14:textFill>
              </w:rPr>
              <w:t>|</w:t>
            </w:r>
          </w:p>
        </w:tc>
        <w:tc>
          <w:tcPr>
            <w:tcW w:w="1275" w:type="dxa"/>
            <w:noWrap/>
            <w:vAlign w:val="center"/>
          </w:tcPr>
          <w:p w14:paraId="259AAB93" w14:textId="45E2AF51" w:rsidR="00840E11" w:rsidRPr="00915DBD" w:rsidRDefault="00840E11" w:rsidP="00E072B9">
            <w:pPr>
              <w:pStyle w:val="Tabletext"/>
            </w:pPr>
            <w:r w:rsidRPr="00915DBD">
              <w:rPr>
                <w:iCs/>
                <w:szCs w:val="20"/>
              </w:rPr>
              <w:t>0.34</w:t>
            </w:r>
          </w:p>
        </w:tc>
        <w:tc>
          <w:tcPr>
            <w:tcW w:w="1134" w:type="dxa"/>
            <w:noWrap/>
            <w:vAlign w:val="center"/>
          </w:tcPr>
          <w:p w14:paraId="39B4FB5F" w14:textId="15D0398E" w:rsidR="00840E11" w:rsidRPr="0017016C" w:rsidRDefault="00840E11" w:rsidP="00E072B9">
            <w:pPr>
              <w:pStyle w:val="Tabletext"/>
              <w:rPr>
                <w:vertAlign w:val="superscript"/>
              </w:rPr>
            </w:pPr>
            <w:r w:rsidRPr="00915DBD">
              <w:rPr>
                <w:iCs/>
                <w:szCs w:val="20"/>
              </w:rPr>
              <w:t>$</w:t>
            </w:r>
            <w:r w:rsidR="00B35ACC" w:rsidRPr="009742C5">
              <w:rPr>
                <w:color w:val="000000"/>
                <w:spacing w:val="53"/>
                <w:szCs w:val="20"/>
                <w:shd w:val="solid" w:color="000000" w:fill="000000"/>
                <w:fitText w:val="330" w:id="-625249776"/>
                <w14:textFill>
                  <w14:solidFill>
                    <w14:srgbClr w14:val="000000">
                      <w14:alpha w14:val="100000"/>
                    </w14:srgbClr>
                  </w14:solidFill>
                </w14:textFill>
              </w:rPr>
              <w:t>|||</w:t>
            </w:r>
            <w:r w:rsidR="00B35ACC" w:rsidRPr="009742C5">
              <w:rPr>
                <w:color w:val="000000"/>
                <w:spacing w:val="1"/>
                <w:szCs w:val="20"/>
                <w:shd w:val="solid" w:color="000000" w:fill="000000"/>
                <w:fitText w:val="330" w:id="-625249776"/>
                <w14:textFill>
                  <w14:solidFill>
                    <w14:srgbClr w14:val="000000">
                      <w14:alpha w14:val="100000"/>
                    </w14:srgbClr>
                  </w14:solidFill>
                </w14:textFill>
              </w:rPr>
              <w:t>|</w:t>
            </w:r>
            <w:r w:rsidR="0017016C">
              <w:rPr>
                <w:iCs/>
                <w:szCs w:val="20"/>
                <w:vertAlign w:val="superscript"/>
              </w:rPr>
              <w:t>5</w:t>
            </w:r>
          </w:p>
        </w:tc>
        <w:tc>
          <w:tcPr>
            <w:tcW w:w="1084" w:type="dxa"/>
            <w:noWrap/>
            <w:vAlign w:val="center"/>
          </w:tcPr>
          <w:p w14:paraId="6F1C4499" w14:textId="41F0B176" w:rsidR="00840E11" w:rsidRPr="00915DBD" w:rsidRDefault="00B35ACC" w:rsidP="00E072B9">
            <w:pPr>
              <w:pStyle w:val="Tabletext"/>
            </w:pPr>
            <w:r w:rsidRPr="009742C5">
              <w:rPr>
                <w:color w:val="000000"/>
                <w:spacing w:val="53"/>
                <w:szCs w:val="20"/>
                <w:shd w:val="solid" w:color="000000" w:fill="000000"/>
                <w:fitText w:val="330" w:id="-625249792"/>
                <w14:textFill>
                  <w14:solidFill>
                    <w14:srgbClr w14:val="000000">
                      <w14:alpha w14:val="100000"/>
                    </w14:srgbClr>
                  </w14:solidFill>
                </w14:textFill>
              </w:rPr>
              <w:t>|||</w:t>
            </w:r>
            <w:r w:rsidRPr="009742C5">
              <w:rPr>
                <w:color w:val="000000"/>
                <w:spacing w:val="1"/>
                <w:szCs w:val="20"/>
                <w:shd w:val="solid" w:color="000000" w:fill="000000"/>
                <w:fitText w:val="330" w:id="-625249792"/>
                <w14:textFill>
                  <w14:solidFill>
                    <w14:srgbClr w14:val="000000">
                      <w14:alpha w14:val="100000"/>
                    </w14:srgbClr>
                  </w14:solidFill>
                </w14:textFill>
              </w:rPr>
              <w:t>|</w:t>
            </w:r>
            <w:r w:rsidR="00840E11" w:rsidRPr="00915DBD">
              <w:rPr>
                <w:iCs/>
                <w:szCs w:val="20"/>
              </w:rPr>
              <w:t>%</w:t>
            </w:r>
          </w:p>
        </w:tc>
      </w:tr>
      <w:tr w:rsidR="00840E11" w:rsidRPr="00915DBD" w14:paraId="4C188655" w14:textId="77777777" w:rsidTr="00FF7512">
        <w:tc>
          <w:tcPr>
            <w:tcW w:w="4248" w:type="dxa"/>
            <w:noWrap/>
            <w:vAlign w:val="center"/>
          </w:tcPr>
          <w:p w14:paraId="4C2AF64B" w14:textId="44FE4F50" w:rsidR="00840E11" w:rsidRPr="00915DBD" w:rsidRDefault="00840E11" w:rsidP="00E072B9">
            <w:pPr>
              <w:pStyle w:val="Tabletext"/>
              <w:rPr>
                <w:iCs/>
              </w:rPr>
            </w:pPr>
            <w:r w:rsidRPr="00915DBD">
              <w:rPr>
                <w:iCs/>
                <w:szCs w:val="20"/>
              </w:rPr>
              <w:t>M</w:t>
            </w:r>
            <w:r w:rsidR="008E344F" w:rsidRPr="00915DBD">
              <w:rPr>
                <w:iCs/>
                <w:szCs w:val="20"/>
              </w:rPr>
              <w:t>V</w:t>
            </w:r>
            <w:r w:rsidRPr="00915DBD">
              <w:rPr>
                <w:iCs/>
                <w:szCs w:val="20"/>
              </w:rPr>
              <w:t xml:space="preserve">SA3: As above, plus assume givosiran discontinuation associated with progression to next worse health state (except for discontinuation at AAR </w:t>
            </w:r>
            <w:r w:rsidR="00BD03FD">
              <w:rPr>
                <w:iCs/>
                <w:szCs w:val="20"/>
              </w:rPr>
              <w:t>&gt;</w:t>
            </w:r>
            <w:r w:rsidR="00A550BD">
              <w:rPr>
                <w:iCs/>
                <w:szCs w:val="20"/>
              </w:rPr>
              <w:t xml:space="preserve"> </w:t>
            </w:r>
            <w:r w:rsidRPr="00915DBD">
              <w:rPr>
                <w:iCs/>
                <w:szCs w:val="20"/>
              </w:rPr>
              <w:t>4 to ≤24 as it is most severe health state in this analysis) at time of discontinuation, then BSC transitions apply thereafter</w:t>
            </w:r>
          </w:p>
        </w:tc>
        <w:tc>
          <w:tcPr>
            <w:tcW w:w="1276" w:type="dxa"/>
            <w:gridSpan w:val="3"/>
            <w:noWrap/>
            <w:vAlign w:val="center"/>
          </w:tcPr>
          <w:p w14:paraId="27376CB2" w14:textId="30B0534F" w:rsidR="00840E11" w:rsidRPr="00915DBD" w:rsidRDefault="00840E11" w:rsidP="00E072B9">
            <w:pPr>
              <w:pStyle w:val="Tabletext"/>
            </w:pPr>
            <w:r w:rsidRPr="00915DBD">
              <w:rPr>
                <w:iCs/>
                <w:szCs w:val="20"/>
              </w:rPr>
              <w:t>$</w:t>
            </w:r>
            <w:r w:rsidR="00B35ACC" w:rsidRPr="009742C5">
              <w:rPr>
                <w:color w:val="000000"/>
                <w:spacing w:val="53"/>
                <w:szCs w:val="20"/>
                <w:shd w:val="solid" w:color="000000" w:fill="000000"/>
                <w:fitText w:val="330" w:id="-625249791"/>
                <w14:textFill>
                  <w14:solidFill>
                    <w14:srgbClr w14:val="000000">
                      <w14:alpha w14:val="100000"/>
                    </w14:srgbClr>
                  </w14:solidFill>
                </w14:textFill>
              </w:rPr>
              <w:t>|||</w:t>
            </w:r>
            <w:r w:rsidR="00B35ACC" w:rsidRPr="009742C5">
              <w:rPr>
                <w:color w:val="000000"/>
                <w:spacing w:val="1"/>
                <w:szCs w:val="20"/>
                <w:shd w:val="solid" w:color="000000" w:fill="000000"/>
                <w:fitText w:val="330" w:id="-625249791"/>
                <w14:textFill>
                  <w14:solidFill>
                    <w14:srgbClr w14:val="000000">
                      <w14:alpha w14:val="100000"/>
                    </w14:srgbClr>
                  </w14:solidFill>
                </w14:textFill>
              </w:rPr>
              <w:t>|</w:t>
            </w:r>
          </w:p>
        </w:tc>
        <w:tc>
          <w:tcPr>
            <w:tcW w:w="1275" w:type="dxa"/>
            <w:noWrap/>
            <w:vAlign w:val="center"/>
          </w:tcPr>
          <w:p w14:paraId="1451AD27" w14:textId="3E09E007" w:rsidR="00840E11" w:rsidRPr="00915DBD" w:rsidRDefault="00840E11" w:rsidP="00E072B9">
            <w:pPr>
              <w:pStyle w:val="Tabletext"/>
            </w:pPr>
            <w:r w:rsidRPr="00915DBD">
              <w:rPr>
                <w:iCs/>
                <w:szCs w:val="20"/>
              </w:rPr>
              <w:t>0.28</w:t>
            </w:r>
          </w:p>
        </w:tc>
        <w:tc>
          <w:tcPr>
            <w:tcW w:w="1134" w:type="dxa"/>
            <w:noWrap/>
            <w:vAlign w:val="center"/>
          </w:tcPr>
          <w:p w14:paraId="1C6C6565" w14:textId="7185A08F" w:rsidR="00840E11" w:rsidRPr="0017016C" w:rsidRDefault="00840E11" w:rsidP="00E072B9">
            <w:pPr>
              <w:pStyle w:val="Tabletext"/>
              <w:rPr>
                <w:vertAlign w:val="superscript"/>
              </w:rPr>
            </w:pPr>
            <w:r w:rsidRPr="00915DBD">
              <w:rPr>
                <w:iCs/>
                <w:szCs w:val="20"/>
              </w:rPr>
              <w:t>$</w:t>
            </w:r>
            <w:r w:rsidR="00B35ACC" w:rsidRPr="009742C5">
              <w:rPr>
                <w:color w:val="000000"/>
                <w:spacing w:val="53"/>
                <w:szCs w:val="20"/>
                <w:shd w:val="solid" w:color="000000" w:fill="000000"/>
                <w:fitText w:val="330" w:id="-625249790"/>
                <w14:textFill>
                  <w14:solidFill>
                    <w14:srgbClr w14:val="000000">
                      <w14:alpha w14:val="100000"/>
                    </w14:srgbClr>
                  </w14:solidFill>
                </w14:textFill>
              </w:rPr>
              <w:t>|||</w:t>
            </w:r>
            <w:r w:rsidR="00B35ACC" w:rsidRPr="009742C5">
              <w:rPr>
                <w:color w:val="000000"/>
                <w:spacing w:val="1"/>
                <w:szCs w:val="20"/>
                <w:shd w:val="solid" w:color="000000" w:fill="000000"/>
                <w:fitText w:val="330" w:id="-625249790"/>
                <w14:textFill>
                  <w14:solidFill>
                    <w14:srgbClr w14:val="000000">
                      <w14:alpha w14:val="100000"/>
                    </w14:srgbClr>
                  </w14:solidFill>
                </w14:textFill>
              </w:rPr>
              <w:t>|</w:t>
            </w:r>
            <w:r w:rsidR="0017016C">
              <w:rPr>
                <w:iCs/>
                <w:szCs w:val="20"/>
                <w:vertAlign w:val="superscript"/>
              </w:rPr>
              <w:t>5</w:t>
            </w:r>
          </w:p>
        </w:tc>
        <w:tc>
          <w:tcPr>
            <w:tcW w:w="1084" w:type="dxa"/>
            <w:noWrap/>
            <w:vAlign w:val="center"/>
          </w:tcPr>
          <w:p w14:paraId="057A9E53" w14:textId="311B58F5" w:rsidR="00840E11" w:rsidRPr="00915DBD" w:rsidRDefault="00B35ACC" w:rsidP="00E072B9">
            <w:pPr>
              <w:pStyle w:val="Tabletext"/>
            </w:pPr>
            <w:r w:rsidRPr="009742C5">
              <w:rPr>
                <w:color w:val="000000"/>
                <w:spacing w:val="53"/>
                <w:szCs w:val="20"/>
                <w:shd w:val="solid" w:color="000000" w:fill="000000"/>
                <w:fitText w:val="330" w:id="-625249789"/>
                <w14:textFill>
                  <w14:solidFill>
                    <w14:srgbClr w14:val="000000">
                      <w14:alpha w14:val="100000"/>
                    </w14:srgbClr>
                  </w14:solidFill>
                </w14:textFill>
              </w:rPr>
              <w:t>|||</w:t>
            </w:r>
            <w:r w:rsidRPr="009742C5">
              <w:rPr>
                <w:color w:val="000000"/>
                <w:spacing w:val="1"/>
                <w:szCs w:val="20"/>
                <w:shd w:val="solid" w:color="000000" w:fill="000000"/>
                <w:fitText w:val="330" w:id="-625249789"/>
                <w14:textFill>
                  <w14:solidFill>
                    <w14:srgbClr w14:val="000000">
                      <w14:alpha w14:val="100000"/>
                    </w14:srgbClr>
                  </w14:solidFill>
                </w14:textFill>
              </w:rPr>
              <w:t>|</w:t>
            </w:r>
            <w:r w:rsidR="00840E11" w:rsidRPr="00915DBD">
              <w:rPr>
                <w:iCs/>
                <w:szCs w:val="20"/>
              </w:rPr>
              <w:t>%</w:t>
            </w:r>
          </w:p>
        </w:tc>
      </w:tr>
    </w:tbl>
    <w:p w14:paraId="47266955" w14:textId="77777777" w:rsidR="00A77034" w:rsidRPr="00E750DB" w:rsidRDefault="00A77034" w:rsidP="00E072B9">
      <w:pPr>
        <w:pStyle w:val="FooterTableFigure"/>
      </w:pPr>
      <w:r w:rsidRPr="00E750DB">
        <w:t>Source: Table 3.47, p113 of the submission and sensitivity analysis performed during the evaluation (see footnotes).</w:t>
      </w:r>
    </w:p>
    <w:p w14:paraId="27A3C396" w14:textId="77777777" w:rsidR="00A77034" w:rsidRPr="00E750DB" w:rsidRDefault="00A77034" w:rsidP="00E072B9">
      <w:pPr>
        <w:pStyle w:val="FooterTableFigure"/>
      </w:pPr>
      <w:r w:rsidRPr="00E750DB">
        <w:t>Abbreviations: AAR = annualised attack rate; AE = adverse events, BC = base case; BSC = best supportive care; CADTH = Canadian Agency for Drugs and Technologies in Health; CSR = clinical study report; DB = double blind; HR = hazard ratio; NICE = National Institute for Health and Care excellence; RRMS = relapse remitting multiple sclerosis; ToT = time on treatment</w:t>
      </w:r>
    </w:p>
    <w:p w14:paraId="3E05D289" w14:textId="1A779672" w:rsidR="00063337" w:rsidRPr="00E750DB" w:rsidRDefault="00201A36" w:rsidP="00E072B9">
      <w:pPr>
        <w:pStyle w:val="FooterTableFigure"/>
      </w:pPr>
      <w:r w:rsidRPr="00E750DB">
        <w:t>a</w:t>
      </w:r>
      <w:r w:rsidR="00395CE8" w:rsidRPr="00E750DB">
        <w:t xml:space="preserve"> </w:t>
      </w:r>
      <w:r w:rsidR="00063337" w:rsidRPr="00E750DB">
        <w:t xml:space="preserve">Base case utility in AAR </w:t>
      </w:r>
      <w:r w:rsidR="00BD03FD">
        <w:t xml:space="preserve">&gt; </w:t>
      </w:r>
      <w:r w:rsidR="00063337" w:rsidRPr="00E750DB">
        <w:t>0 to ≤4 health state was 0.418 (0.92</w:t>
      </w:r>
      <w:r w:rsidR="00E072B9">
        <w:noBreakHyphen/>
      </w:r>
      <w:r w:rsidR="00063337" w:rsidRPr="00E750DB">
        <w:t xml:space="preserve">0.502). The chronic symptom utility decrement for AAR </w:t>
      </w:r>
      <w:r w:rsidR="00BD03FD">
        <w:t xml:space="preserve">&gt; </w:t>
      </w:r>
      <w:r w:rsidR="00063337" w:rsidRPr="00E750DB">
        <w:t xml:space="preserve">0 to ≤4 changed to 0.343, which will give a utility of 0.577, based on baseline utility of 0.92. AAR </w:t>
      </w:r>
      <w:r w:rsidR="00BD03FD">
        <w:t xml:space="preserve">&gt; </w:t>
      </w:r>
      <w:r w:rsidR="00063337" w:rsidRPr="00E750DB">
        <w:t xml:space="preserve">4 to ≤24 (and AAR </w:t>
      </w:r>
      <w:r w:rsidR="00BD03FD">
        <w:t xml:space="preserve">&gt; </w:t>
      </w:r>
      <w:r w:rsidR="00063337" w:rsidRPr="00E750DB">
        <w:t xml:space="preserve">24) assumed to have utility decrement of 0.458 (based on 0.343+0.115, with 0.115 being the difference in the utility decrement between AAR </w:t>
      </w:r>
      <w:r w:rsidR="00BD03FD">
        <w:t xml:space="preserve">&gt; </w:t>
      </w:r>
      <w:r w:rsidR="00063337" w:rsidRPr="00E750DB">
        <w:t xml:space="preserve">4 to ≤24 and AAR </w:t>
      </w:r>
      <w:r w:rsidR="00BD03FD">
        <w:t xml:space="preserve">&gt; </w:t>
      </w:r>
      <w:r w:rsidR="00063337" w:rsidRPr="00E750DB">
        <w:t xml:space="preserve">0 to ≤4 in the base case). </w:t>
      </w:r>
    </w:p>
    <w:p w14:paraId="14A998C7" w14:textId="02A735AF" w:rsidR="00063337" w:rsidRPr="00E750DB" w:rsidRDefault="00063337" w:rsidP="00E072B9">
      <w:pPr>
        <w:pStyle w:val="FooterTableFigure"/>
      </w:pPr>
      <w:r w:rsidRPr="00E750DB">
        <w:t>b Three changes made: 1)‘Settings’ sheet E20 clicked to “Others, please include number of years” and H20 to 40; 2)‘HRQoL’ sheet D34:36</w:t>
      </w:r>
      <w:r w:rsidR="00A550BD">
        <w:t xml:space="preserve"> </w:t>
      </w:r>
      <w:r w:rsidRPr="00E750DB">
        <w:t>values set to equal that of D33 and 3)‘ToT’ sheet AI17:AI209 values set to 0.</w:t>
      </w:r>
    </w:p>
    <w:p w14:paraId="73E55D1A" w14:textId="12F41544" w:rsidR="00063337" w:rsidRPr="00915DBD" w:rsidRDefault="00063337" w:rsidP="00E072B9">
      <w:pPr>
        <w:pStyle w:val="FooterTableFigure"/>
        <w:rPr>
          <w:iCs/>
        </w:rPr>
      </w:pPr>
      <w:r w:rsidRPr="00915DBD">
        <w:rPr>
          <w:iCs/>
        </w:rPr>
        <w:t>c Transitions in BSC after discontinuation changed. In sheet ‘Markov Givosiran’, values in AG213:AG412 set to 0; formula in AH213 changed to “=U213*(1</w:t>
      </w:r>
      <w:r w:rsidR="00E072B9">
        <w:rPr>
          <w:iCs/>
        </w:rPr>
        <w:noBreakHyphen/>
      </w:r>
      <w:r w:rsidRPr="00915DBD">
        <w:rPr>
          <w:iCs/>
        </w:rPr>
        <w:t>L213</w:t>
      </w:r>
      <w:r w:rsidR="00E072B9">
        <w:rPr>
          <w:iCs/>
        </w:rPr>
        <w:noBreakHyphen/>
      </w:r>
      <w:r w:rsidRPr="00915DBD">
        <w:rPr>
          <w:iCs/>
        </w:rPr>
        <w:t>Q213)+U7*$S7” and dragged down to AH412; formula in AI213 changed to “==V213*(1</w:t>
      </w:r>
      <w:r w:rsidR="00E072B9">
        <w:rPr>
          <w:iCs/>
        </w:rPr>
        <w:noBreakHyphen/>
      </w:r>
      <w:r w:rsidRPr="00915DBD">
        <w:rPr>
          <w:iCs/>
        </w:rPr>
        <w:t>M213)+V7*$S7” and dragged down to AI412; and formula in AJ213 changed to =(W213*(1</w:t>
      </w:r>
      <w:r w:rsidR="00E072B9">
        <w:rPr>
          <w:iCs/>
        </w:rPr>
        <w:noBreakHyphen/>
      </w:r>
      <w:r w:rsidRPr="00915DBD">
        <w:rPr>
          <w:iCs/>
        </w:rPr>
        <w:t>N213)+W7*$S7)+(X213*(1</w:t>
      </w:r>
      <w:r w:rsidR="00E072B9">
        <w:rPr>
          <w:iCs/>
        </w:rPr>
        <w:noBreakHyphen/>
      </w:r>
      <w:r w:rsidRPr="00915DBD">
        <w:rPr>
          <w:iCs/>
        </w:rPr>
        <w:t>O213)+X7*$S7)” and dragged down to AJ412</w:t>
      </w:r>
    </w:p>
    <w:p w14:paraId="60459A41" w14:textId="26619799" w:rsidR="00063337" w:rsidRPr="00915DBD" w:rsidRDefault="00063337" w:rsidP="00E072B9">
      <w:pPr>
        <w:pStyle w:val="FooterTableFigure"/>
        <w:rPr>
          <w:iCs/>
        </w:rPr>
      </w:pPr>
      <w:r w:rsidRPr="00915DBD">
        <w:rPr>
          <w:iCs/>
        </w:rPr>
        <w:t>d All patients who start in AAR</w:t>
      </w:r>
      <w:r w:rsidR="00BD03FD">
        <w:rPr>
          <w:iCs/>
        </w:rPr>
        <w:t xml:space="preserve">&gt; </w:t>
      </w:r>
      <w:r w:rsidRPr="00915DBD">
        <w:rPr>
          <w:iCs/>
        </w:rPr>
        <w:t>24 health state (sheet ‘Clinical data’ D8) moved to recurrent (sheet ‘Clinical data’ D7). Transition probabilities associated with AAR</w:t>
      </w:r>
      <w:r w:rsidR="00BD03FD">
        <w:rPr>
          <w:iCs/>
        </w:rPr>
        <w:t xml:space="preserve">&gt; </w:t>
      </w:r>
      <w:r w:rsidRPr="00915DBD">
        <w:rPr>
          <w:iCs/>
        </w:rPr>
        <w:t xml:space="preserve">24 health state combined with AAR </w:t>
      </w:r>
      <w:r w:rsidR="00BD03FD">
        <w:rPr>
          <w:iCs/>
        </w:rPr>
        <w:t xml:space="preserve">&gt; </w:t>
      </w:r>
      <w:r w:rsidRPr="00915DBD">
        <w:rPr>
          <w:iCs/>
        </w:rPr>
        <w:t>4 to ≤24 health state</w:t>
      </w:r>
    </w:p>
    <w:p w14:paraId="77805D77" w14:textId="539C2572" w:rsidR="00063337" w:rsidRPr="00915DBD" w:rsidRDefault="00063337" w:rsidP="00E072B9">
      <w:pPr>
        <w:pStyle w:val="FooterTableFigure"/>
        <w:rPr>
          <w:iCs/>
        </w:rPr>
      </w:pPr>
      <w:r w:rsidRPr="00915DBD">
        <w:rPr>
          <w:iCs/>
        </w:rPr>
        <w:t xml:space="preserve">e As noted in the PSCR response, the sensitivity analysis presented in the commentary was mislabelled. The sensitivity analysis presented in the commentary only assumed that 95% of females who were in the AAR =0, AAR </w:t>
      </w:r>
      <w:r w:rsidR="00BD03FD">
        <w:rPr>
          <w:iCs/>
        </w:rPr>
        <w:t xml:space="preserve">&gt; </w:t>
      </w:r>
      <w:r w:rsidRPr="00915DBD">
        <w:rPr>
          <w:iCs/>
        </w:rPr>
        <w:t>0 to ≤4</w:t>
      </w:r>
      <w:r w:rsidR="00A550BD">
        <w:rPr>
          <w:iCs/>
        </w:rPr>
        <w:t xml:space="preserve"> </w:t>
      </w:r>
      <w:r w:rsidRPr="00915DBD">
        <w:rPr>
          <w:iCs/>
        </w:rPr>
        <w:t xml:space="preserve">and AAR </w:t>
      </w:r>
      <w:r w:rsidR="00BD03FD">
        <w:rPr>
          <w:iCs/>
        </w:rPr>
        <w:t xml:space="preserve">&gt; </w:t>
      </w:r>
      <w:r w:rsidRPr="00915DBD">
        <w:rPr>
          <w:iCs/>
        </w:rPr>
        <w:t>4 to ≤24 health states become asymptomatic post menopause, which was consistent with CADTH’s approach. However, it was not acknowledged that as CADTH’s respecified base case did not include an AAR</w:t>
      </w:r>
      <w:r w:rsidR="00BD03FD">
        <w:rPr>
          <w:iCs/>
        </w:rPr>
        <w:t xml:space="preserve">&gt; </w:t>
      </w:r>
      <w:r w:rsidRPr="00915DBD">
        <w:rPr>
          <w:iCs/>
        </w:rPr>
        <w:t>24 health state, then effectively, all female patients, irrespective of AAR, could become asymptomatic post menopause.</w:t>
      </w:r>
    </w:p>
    <w:p w14:paraId="2F54E605" w14:textId="77777777" w:rsidR="00135363" w:rsidRDefault="00135363" w:rsidP="00135363">
      <w:pPr>
        <w:pStyle w:val="FooterTableFigure"/>
        <w:rPr>
          <w:i/>
          <w:iCs/>
        </w:rPr>
      </w:pPr>
      <w:r w:rsidRPr="00135363">
        <w:rPr>
          <w:i/>
          <w:iCs/>
        </w:rPr>
        <w:t xml:space="preserve">The redacted values correspond to the following ranges: </w:t>
      </w:r>
    </w:p>
    <w:p w14:paraId="30E8E0A8" w14:textId="77777777" w:rsidR="00C757DF" w:rsidRPr="003362B3" w:rsidRDefault="00661B05" w:rsidP="00C757DF">
      <w:pPr>
        <w:pStyle w:val="FooterTableFigure"/>
        <w:rPr>
          <w:i/>
          <w:iCs/>
        </w:rPr>
      </w:pPr>
      <w:r w:rsidRPr="003362B3">
        <w:rPr>
          <w:i/>
          <w:iCs/>
          <w:vertAlign w:val="superscript"/>
        </w:rPr>
        <w:t>1</w:t>
      </w:r>
      <w:r w:rsidRPr="003362B3">
        <w:rPr>
          <w:i/>
          <w:iCs/>
        </w:rPr>
        <w:t xml:space="preserve"> </w:t>
      </w:r>
      <w:r w:rsidR="00C757DF" w:rsidRPr="003362B3">
        <w:rPr>
          <w:i/>
          <w:iCs/>
        </w:rPr>
        <w:t>$155,000 to &lt; $255,000</w:t>
      </w:r>
    </w:p>
    <w:p w14:paraId="38C3D882" w14:textId="77777777" w:rsidR="0002147D" w:rsidRPr="003362B3" w:rsidRDefault="0002147D" w:rsidP="0002147D">
      <w:pPr>
        <w:pStyle w:val="FooterTableFigure"/>
        <w:rPr>
          <w:i/>
          <w:iCs/>
        </w:rPr>
      </w:pPr>
      <w:r w:rsidRPr="003362B3">
        <w:rPr>
          <w:i/>
          <w:iCs/>
          <w:vertAlign w:val="superscript"/>
        </w:rPr>
        <w:t>2</w:t>
      </w:r>
      <w:r w:rsidRPr="003362B3">
        <w:rPr>
          <w:i/>
          <w:iCs/>
        </w:rPr>
        <w:t xml:space="preserve"> $75,000 to &lt; $95,000</w:t>
      </w:r>
    </w:p>
    <w:p w14:paraId="6B09F5DD" w14:textId="77777777" w:rsidR="002F0111" w:rsidRPr="003362B3" w:rsidRDefault="002F0111" w:rsidP="002F0111">
      <w:pPr>
        <w:pStyle w:val="FooterTableFigure"/>
        <w:rPr>
          <w:i/>
          <w:iCs/>
        </w:rPr>
      </w:pPr>
      <w:r w:rsidRPr="003362B3">
        <w:rPr>
          <w:i/>
          <w:iCs/>
          <w:vertAlign w:val="superscript"/>
        </w:rPr>
        <w:t>3</w:t>
      </w:r>
      <w:r w:rsidRPr="003362B3">
        <w:rPr>
          <w:i/>
          <w:iCs/>
        </w:rPr>
        <w:t xml:space="preserve"> $255,000 to &lt; $355,000</w:t>
      </w:r>
    </w:p>
    <w:p w14:paraId="73FCFD8B" w14:textId="77777777" w:rsidR="003362B3" w:rsidRDefault="003362B3" w:rsidP="003362B3">
      <w:pPr>
        <w:pStyle w:val="FooterTableFigure"/>
        <w:rPr>
          <w:i/>
          <w:iCs/>
        </w:rPr>
      </w:pPr>
      <w:r w:rsidRPr="003362B3">
        <w:rPr>
          <w:i/>
          <w:iCs/>
          <w:vertAlign w:val="superscript"/>
        </w:rPr>
        <w:t xml:space="preserve">4 </w:t>
      </w:r>
      <w:r w:rsidRPr="003362B3">
        <w:rPr>
          <w:i/>
          <w:iCs/>
        </w:rPr>
        <w:t>$135,000 to &lt; $155,000</w:t>
      </w:r>
    </w:p>
    <w:p w14:paraId="71C6F147" w14:textId="6F6B82FF" w:rsidR="004D7B63" w:rsidRDefault="004D7B63" w:rsidP="003362B3">
      <w:pPr>
        <w:pStyle w:val="FooterTableFigure"/>
        <w:rPr>
          <w:i/>
          <w:iCs/>
        </w:rPr>
      </w:pPr>
      <w:r>
        <w:rPr>
          <w:i/>
          <w:iCs/>
          <w:vertAlign w:val="superscript"/>
        </w:rPr>
        <w:t>5</w:t>
      </w:r>
      <w:r>
        <w:rPr>
          <w:i/>
          <w:iCs/>
        </w:rPr>
        <w:t xml:space="preserve"> </w:t>
      </w:r>
      <w:r w:rsidR="00BD03FD">
        <w:rPr>
          <w:i/>
          <w:iCs/>
        </w:rPr>
        <w:t>&gt;</w:t>
      </w:r>
      <w:r w:rsidR="00A550BD">
        <w:rPr>
          <w:i/>
          <w:iCs/>
        </w:rPr>
        <w:t xml:space="preserve"> </w:t>
      </w:r>
      <w:r w:rsidRPr="004D7B63">
        <w:rPr>
          <w:i/>
          <w:iCs/>
        </w:rPr>
        <w:t>$1,055,000</w:t>
      </w:r>
    </w:p>
    <w:p w14:paraId="75B6DFE2" w14:textId="77777777" w:rsidR="00977AD0" w:rsidRDefault="00977AD0" w:rsidP="00977AD0">
      <w:pPr>
        <w:pStyle w:val="FooterTableFigure"/>
        <w:rPr>
          <w:i/>
          <w:iCs/>
        </w:rPr>
      </w:pPr>
      <w:r>
        <w:rPr>
          <w:i/>
          <w:iCs/>
          <w:vertAlign w:val="superscript"/>
        </w:rPr>
        <w:t>6</w:t>
      </w:r>
      <w:r>
        <w:rPr>
          <w:i/>
          <w:iCs/>
        </w:rPr>
        <w:t xml:space="preserve"> </w:t>
      </w:r>
      <w:r w:rsidRPr="00977AD0">
        <w:rPr>
          <w:i/>
          <w:iCs/>
        </w:rPr>
        <w:t>$355,000 to &lt; $455,000</w:t>
      </w:r>
    </w:p>
    <w:p w14:paraId="17AFDF32" w14:textId="77777777" w:rsidR="003A6A69" w:rsidRDefault="003A6A69" w:rsidP="003A6A69">
      <w:pPr>
        <w:pStyle w:val="FooterTableFigure"/>
        <w:rPr>
          <w:i/>
          <w:iCs/>
        </w:rPr>
      </w:pPr>
      <w:r>
        <w:rPr>
          <w:i/>
          <w:iCs/>
          <w:vertAlign w:val="superscript"/>
        </w:rPr>
        <w:t>7</w:t>
      </w:r>
      <w:r>
        <w:rPr>
          <w:i/>
          <w:iCs/>
        </w:rPr>
        <w:t xml:space="preserve"> </w:t>
      </w:r>
      <w:r w:rsidRPr="003A6A69">
        <w:rPr>
          <w:i/>
          <w:iCs/>
        </w:rPr>
        <w:t>$555,000 to &lt; $655,000</w:t>
      </w:r>
    </w:p>
    <w:p w14:paraId="7A079217" w14:textId="76054312" w:rsidR="00063337" w:rsidRDefault="00E977F5" w:rsidP="00E072B9">
      <w:pPr>
        <w:pStyle w:val="FooterTableFigure"/>
        <w:rPr>
          <w:iCs/>
        </w:rPr>
      </w:pPr>
      <w:r>
        <w:rPr>
          <w:i/>
          <w:iCs/>
          <w:vertAlign w:val="superscript"/>
        </w:rPr>
        <w:t>8</w:t>
      </w:r>
      <w:r>
        <w:rPr>
          <w:i/>
          <w:iCs/>
        </w:rPr>
        <w:t xml:space="preserve"> </w:t>
      </w:r>
      <w:r w:rsidRPr="00E977F5">
        <w:rPr>
          <w:i/>
          <w:iCs/>
        </w:rPr>
        <w:t>$755,000 to &lt; $855,000</w:t>
      </w:r>
    </w:p>
    <w:p w14:paraId="2783C69E" w14:textId="77777777" w:rsidR="00E977F5" w:rsidRPr="00915DBD" w:rsidRDefault="00E977F5" w:rsidP="00E072B9">
      <w:pPr>
        <w:pStyle w:val="FooterTableFigure"/>
        <w:rPr>
          <w:iCs/>
        </w:rPr>
      </w:pPr>
    </w:p>
    <w:p w14:paraId="5DCA4676" w14:textId="10523505" w:rsidR="005B634B" w:rsidRPr="00E750DB" w:rsidRDefault="00DD08FB" w:rsidP="00E072B9">
      <w:pPr>
        <w:pStyle w:val="3-BodyText"/>
      </w:pPr>
      <w:r w:rsidRPr="00915DBD">
        <w:rPr>
          <w:iCs/>
        </w:rPr>
        <w:t xml:space="preserve">The PSCR referred to a </w:t>
      </w:r>
      <w:r w:rsidR="007E0AC9" w:rsidRPr="00915DBD">
        <w:rPr>
          <w:iCs/>
        </w:rPr>
        <w:t>publication not included in the submission (Andersson et al 2003)</w:t>
      </w:r>
      <w:r w:rsidR="007E0AC9" w:rsidRPr="00915DBD">
        <w:rPr>
          <w:iCs/>
          <w:vertAlign w:val="superscript"/>
        </w:rPr>
        <w:footnoteReference w:id="7"/>
      </w:r>
      <w:r w:rsidR="00674A83" w:rsidRPr="00915DBD">
        <w:rPr>
          <w:iCs/>
        </w:rPr>
        <w:t>, a</w:t>
      </w:r>
      <w:r w:rsidR="003340B6" w:rsidRPr="00915DBD">
        <w:rPr>
          <w:iCs/>
        </w:rPr>
        <w:t xml:space="preserve"> large Swedish population</w:t>
      </w:r>
      <w:r w:rsidR="00E072B9">
        <w:rPr>
          <w:iCs/>
        </w:rPr>
        <w:noBreakHyphen/>
      </w:r>
      <w:r w:rsidR="003340B6" w:rsidRPr="00915DBD">
        <w:rPr>
          <w:iCs/>
        </w:rPr>
        <w:t xml:space="preserve">based study found that </w:t>
      </w:r>
      <w:r w:rsidR="00125BB9" w:rsidRPr="00915DBD">
        <w:rPr>
          <w:iCs/>
        </w:rPr>
        <w:t xml:space="preserve">reported </w:t>
      </w:r>
      <w:r w:rsidR="003340B6" w:rsidRPr="00915DBD">
        <w:rPr>
          <w:iCs/>
        </w:rPr>
        <w:t>half of female patients reported a reduction in porphyria symptoms after menopause, with the remainder reporting no change.</w:t>
      </w:r>
      <w:r w:rsidR="00125BB9" w:rsidRPr="00915DBD">
        <w:rPr>
          <w:iCs/>
        </w:rPr>
        <w:t xml:space="preserve"> </w:t>
      </w:r>
      <w:r w:rsidR="003C6479" w:rsidRPr="00915DBD">
        <w:rPr>
          <w:iCs/>
        </w:rPr>
        <w:t xml:space="preserve">The PSCR </w:t>
      </w:r>
      <w:r w:rsidR="00515F00" w:rsidRPr="00915DBD">
        <w:rPr>
          <w:iCs/>
        </w:rPr>
        <w:t xml:space="preserve">argued </w:t>
      </w:r>
      <w:r w:rsidR="00215922" w:rsidRPr="00915DBD">
        <w:rPr>
          <w:iCs/>
        </w:rPr>
        <w:t xml:space="preserve">that the approach taken in the submission was </w:t>
      </w:r>
      <w:r w:rsidR="008A19ED" w:rsidRPr="00915DBD">
        <w:rPr>
          <w:iCs/>
        </w:rPr>
        <w:t xml:space="preserve">consistent with expert clinical input </w:t>
      </w:r>
      <w:r w:rsidR="00E6790D">
        <w:rPr>
          <w:iCs/>
        </w:rPr>
        <w:t xml:space="preserve">and </w:t>
      </w:r>
      <w:r w:rsidR="00515F00" w:rsidRPr="00915DBD">
        <w:rPr>
          <w:iCs/>
        </w:rPr>
        <w:t xml:space="preserve">that </w:t>
      </w:r>
      <w:r w:rsidR="00E531EB" w:rsidRPr="00915DBD">
        <w:rPr>
          <w:iCs/>
        </w:rPr>
        <w:t xml:space="preserve">the </w:t>
      </w:r>
      <w:r w:rsidR="00215922" w:rsidRPr="00915DBD">
        <w:rPr>
          <w:iCs/>
        </w:rPr>
        <w:t>s</w:t>
      </w:r>
      <w:r w:rsidR="00A71BBE" w:rsidRPr="00915DBD">
        <w:rPr>
          <w:iCs/>
        </w:rPr>
        <w:t xml:space="preserve">ensitivity analysis modelling 95% of all female patients in the AAR </w:t>
      </w:r>
      <w:r w:rsidR="00BD03FD">
        <w:rPr>
          <w:iCs/>
        </w:rPr>
        <w:t xml:space="preserve">&gt; </w:t>
      </w:r>
      <w:r w:rsidR="00A71BBE" w:rsidRPr="00915DBD">
        <w:rPr>
          <w:iCs/>
        </w:rPr>
        <w:t xml:space="preserve">0 to ≤4 and </w:t>
      </w:r>
      <w:r w:rsidR="00BD03FD">
        <w:rPr>
          <w:iCs/>
        </w:rPr>
        <w:t xml:space="preserve">&gt; </w:t>
      </w:r>
      <w:r w:rsidR="00A71BBE" w:rsidRPr="00915DBD">
        <w:rPr>
          <w:iCs/>
        </w:rPr>
        <w:t>4 to ≤24 health states becoming asymptomatic post menopause is clinically unrealistic because not all women with AHP experience a positive effect of menopause on their disease.</w:t>
      </w:r>
      <w:r w:rsidR="00E531EB" w:rsidRPr="00915DBD">
        <w:rPr>
          <w:iCs/>
        </w:rPr>
        <w:t xml:space="preserve"> </w:t>
      </w:r>
      <w:r w:rsidR="00824331" w:rsidRPr="00915DBD">
        <w:rPr>
          <w:iCs/>
        </w:rPr>
        <w:t>The Sub</w:t>
      </w:r>
      <w:r w:rsidR="00E072B9">
        <w:rPr>
          <w:iCs/>
        </w:rPr>
        <w:noBreakHyphen/>
      </w:r>
      <w:r w:rsidR="00824331" w:rsidRPr="00915DBD">
        <w:rPr>
          <w:iCs/>
        </w:rPr>
        <w:t xml:space="preserve">Committees </w:t>
      </w:r>
      <w:r w:rsidR="00F50A8F" w:rsidRPr="00915DBD">
        <w:rPr>
          <w:iCs/>
        </w:rPr>
        <w:t>considered</w:t>
      </w:r>
      <w:r w:rsidR="00E54929" w:rsidRPr="00915DBD">
        <w:rPr>
          <w:iCs/>
        </w:rPr>
        <w:t xml:space="preserve"> that </w:t>
      </w:r>
      <w:proofErr w:type="gramStart"/>
      <w:r w:rsidR="00E54929" w:rsidRPr="00915DBD">
        <w:rPr>
          <w:iCs/>
        </w:rPr>
        <w:t>the majority of</w:t>
      </w:r>
      <w:proofErr w:type="gramEnd"/>
      <w:r w:rsidR="00E54929" w:rsidRPr="00915DBD">
        <w:rPr>
          <w:iCs/>
        </w:rPr>
        <w:t xml:space="preserve"> patients </w:t>
      </w:r>
      <w:r w:rsidR="005B0256" w:rsidRPr="00915DBD">
        <w:rPr>
          <w:iCs/>
        </w:rPr>
        <w:t>who are not attack free</w:t>
      </w:r>
      <w:r w:rsidR="00E54929" w:rsidRPr="00915DBD">
        <w:rPr>
          <w:iCs/>
        </w:rPr>
        <w:t xml:space="preserve"> prior to menopause </w:t>
      </w:r>
      <w:r w:rsidR="005B0256" w:rsidRPr="00915DBD">
        <w:rPr>
          <w:iCs/>
        </w:rPr>
        <w:t xml:space="preserve">would be likely to have less severe </w:t>
      </w:r>
      <w:r w:rsidR="007A78DD" w:rsidRPr="00915DBD">
        <w:rPr>
          <w:iCs/>
        </w:rPr>
        <w:t>and less frequent</w:t>
      </w:r>
      <w:r w:rsidR="005B0256" w:rsidRPr="00915DBD">
        <w:rPr>
          <w:iCs/>
        </w:rPr>
        <w:t xml:space="preserve"> attacks following menopause</w:t>
      </w:r>
      <w:r w:rsidR="003A5E89" w:rsidRPr="00915DBD">
        <w:rPr>
          <w:iCs/>
        </w:rPr>
        <w:t>, and likely not requ</w:t>
      </w:r>
      <w:r w:rsidR="000816E4" w:rsidRPr="00915DBD">
        <w:rPr>
          <w:iCs/>
        </w:rPr>
        <w:t>ire hospitalisation</w:t>
      </w:r>
      <w:r w:rsidR="00F9519B" w:rsidRPr="00915DBD">
        <w:rPr>
          <w:iCs/>
        </w:rPr>
        <w:t>, and</w:t>
      </w:r>
      <w:r w:rsidR="00E6790D">
        <w:rPr>
          <w:iCs/>
        </w:rPr>
        <w:t xml:space="preserve"> noted</w:t>
      </w:r>
      <w:r w:rsidR="00F9519B" w:rsidRPr="00915DBD">
        <w:rPr>
          <w:iCs/>
        </w:rPr>
        <w:t xml:space="preserve"> the submission’s approach favoured givosiran. </w:t>
      </w:r>
      <w:r w:rsidR="000D2852" w:rsidRPr="00915DBD">
        <w:rPr>
          <w:iCs/>
        </w:rPr>
        <w:t>The Sub</w:t>
      </w:r>
      <w:r w:rsidR="00E072B9">
        <w:rPr>
          <w:iCs/>
        </w:rPr>
        <w:noBreakHyphen/>
      </w:r>
      <w:r w:rsidR="000D2852" w:rsidRPr="00915DBD">
        <w:rPr>
          <w:iCs/>
        </w:rPr>
        <w:t>Committees also noted that the financial estimates assumed that 5% of post</w:t>
      </w:r>
      <w:r w:rsidR="00E072B9">
        <w:rPr>
          <w:iCs/>
        </w:rPr>
        <w:noBreakHyphen/>
      </w:r>
      <w:r w:rsidR="000D2852" w:rsidRPr="00915DBD">
        <w:rPr>
          <w:iCs/>
        </w:rPr>
        <w:t>menopausal women would remain eligible for active treatment</w:t>
      </w:r>
      <w:r w:rsidR="007E2D47" w:rsidRPr="00915DBD">
        <w:rPr>
          <w:iCs/>
        </w:rPr>
        <w:t>.</w:t>
      </w:r>
      <w:r w:rsidR="000816E4" w:rsidRPr="00915DBD">
        <w:rPr>
          <w:iCs/>
        </w:rPr>
        <w:t xml:space="preserve"> </w:t>
      </w:r>
    </w:p>
    <w:p w14:paraId="718BC1A1" w14:textId="291C7497" w:rsidR="007A07C8" w:rsidRPr="000436C5" w:rsidRDefault="007A07C8" w:rsidP="00E072B9">
      <w:pPr>
        <w:pStyle w:val="3-BodyText"/>
      </w:pPr>
      <w:r w:rsidRPr="00915DBD">
        <w:rPr>
          <w:iCs/>
        </w:rPr>
        <w:t>The Sub</w:t>
      </w:r>
      <w:r w:rsidR="00E072B9">
        <w:rPr>
          <w:iCs/>
        </w:rPr>
        <w:noBreakHyphen/>
      </w:r>
      <w:r w:rsidRPr="00915DBD">
        <w:rPr>
          <w:iCs/>
        </w:rPr>
        <w:t>Committees considered a respecified base case ICER should include a</w:t>
      </w:r>
      <w:r w:rsidRPr="00E750DB">
        <w:t xml:space="preserve"> </w:t>
      </w:r>
      <w:r w:rsidR="00E072B9" w:rsidRPr="00915DBD">
        <w:rPr>
          <w:iCs/>
        </w:rPr>
        <w:t>40</w:t>
      </w:r>
      <w:r w:rsidR="00E072B9">
        <w:rPr>
          <w:iCs/>
        </w:rPr>
        <w:noBreakHyphen/>
      </w:r>
      <w:r w:rsidR="00E072B9" w:rsidRPr="00915DBD">
        <w:rPr>
          <w:iCs/>
        </w:rPr>
        <w:t>year</w:t>
      </w:r>
      <w:r w:rsidRPr="00915DBD">
        <w:rPr>
          <w:iCs/>
        </w:rPr>
        <w:t xml:space="preserve"> time horizon, no discontinuation of givosiran after cycle 8, and that the utility decrement for asymptomatic patients should apply to patients in all health states (i.e. </w:t>
      </w:r>
      <w:r w:rsidR="00E072B9">
        <w:rPr>
          <w:iCs/>
        </w:rPr>
        <w:noBreakHyphen/>
      </w:r>
      <w:r w:rsidRPr="00915DBD">
        <w:rPr>
          <w:iCs/>
        </w:rPr>
        <w:t>0.198). The Sub</w:t>
      </w:r>
      <w:r w:rsidR="00E072B9">
        <w:rPr>
          <w:iCs/>
        </w:rPr>
        <w:noBreakHyphen/>
      </w:r>
      <w:r w:rsidRPr="00915DBD">
        <w:rPr>
          <w:iCs/>
        </w:rPr>
        <w:t xml:space="preserve">Committees noted that the resulting ICER was </w:t>
      </w:r>
      <w:r w:rsidR="00BD03FD">
        <w:rPr>
          <w:iCs/>
        </w:rPr>
        <w:br/>
      </w:r>
      <w:r w:rsidRPr="00915DBD">
        <w:rPr>
          <w:iCs/>
        </w:rPr>
        <w:t>$</w:t>
      </w:r>
      <w:r w:rsidR="00BD03FD">
        <w:rPr>
          <w:iCs/>
        </w:rPr>
        <w:t xml:space="preserve"> &gt; </w:t>
      </w:r>
      <w:r w:rsidR="006A1A98" w:rsidRPr="006A1A98">
        <w:rPr>
          <w:iCs/>
        </w:rPr>
        <w:t>$1,055,000</w:t>
      </w:r>
      <w:r w:rsidRPr="00915DBD">
        <w:rPr>
          <w:iCs/>
        </w:rPr>
        <w:t>/QALY. The Sub</w:t>
      </w:r>
      <w:r w:rsidR="00E072B9">
        <w:rPr>
          <w:iCs/>
        </w:rPr>
        <w:noBreakHyphen/>
      </w:r>
      <w:r w:rsidRPr="00915DBD">
        <w:rPr>
          <w:iCs/>
        </w:rPr>
        <w:t>Committees noted that multivariate sensitivity analyses further increased the ICER to up to $</w:t>
      </w:r>
      <w:r w:rsidR="00BD03FD">
        <w:rPr>
          <w:iCs/>
        </w:rPr>
        <w:t xml:space="preserve"> &gt;</w:t>
      </w:r>
      <w:r w:rsidR="00A550BD">
        <w:rPr>
          <w:iCs/>
        </w:rPr>
        <w:t xml:space="preserve"> </w:t>
      </w:r>
      <w:r w:rsidR="006A1A98" w:rsidRPr="006A1A98">
        <w:rPr>
          <w:iCs/>
        </w:rPr>
        <w:t>$1,055,000</w:t>
      </w:r>
      <w:r w:rsidRPr="00915DBD">
        <w:rPr>
          <w:iCs/>
        </w:rPr>
        <w:t>/QALY.</w:t>
      </w:r>
      <w:r w:rsidR="006A1A98">
        <w:rPr>
          <w:iCs/>
        </w:rPr>
        <w:t xml:space="preserve"> </w:t>
      </w:r>
    </w:p>
    <w:p w14:paraId="1F56B36E" w14:textId="59F84430" w:rsidR="000436C5" w:rsidRPr="00E750DB" w:rsidRDefault="000436C5" w:rsidP="00E072B9">
      <w:pPr>
        <w:pStyle w:val="3-BodyText"/>
      </w:pPr>
      <w:r>
        <w:rPr>
          <w:iCs/>
        </w:rPr>
        <w:t>The pre</w:t>
      </w:r>
      <w:r w:rsidR="00E072B9">
        <w:rPr>
          <w:iCs/>
        </w:rPr>
        <w:noBreakHyphen/>
      </w:r>
      <w:r>
        <w:rPr>
          <w:iCs/>
        </w:rPr>
        <w:t xml:space="preserve">PBAC response provided an alternative </w:t>
      </w:r>
      <w:r w:rsidR="003D1377">
        <w:rPr>
          <w:iCs/>
        </w:rPr>
        <w:t xml:space="preserve">sensitivity analysis </w:t>
      </w:r>
      <w:r w:rsidR="00C62276">
        <w:rPr>
          <w:iCs/>
        </w:rPr>
        <w:t>which the pre</w:t>
      </w:r>
      <w:r w:rsidR="00E072B9">
        <w:rPr>
          <w:iCs/>
        </w:rPr>
        <w:noBreakHyphen/>
      </w:r>
      <w:r w:rsidR="00C62276">
        <w:rPr>
          <w:iCs/>
        </w:rPr>
        <w:t xml:space="preserve">PBAC </w:t>
      </w:r>
      <w:r w:rsidR="00155D07">
        <w:rPr>
          <w:iCs/>
        </w:rPr>
        <w:t xml:space="preserve">response </w:t>
      </w:r>
      <w:r w:rsidR="00C62276">
        <w:rPr>
          <w:iCs/>
        </w:rPr>
        <w:t xml:space="preserve">described as being more realistic than the ESC respecified base case. The scenario presented </w:t>
      </w:r>
      <w:r w:rsidR="003D1377">
        <w:rPr>
          <w:iCs/>
        </w:rPr>
        <w:t>includ</w:t>
      </w:r>
      <w:r w:rsidR="00C62276">
        <w:rPr>
          <w:iCs/>
        </w:rPr>
        <w:t>ed</w:t>
      </w:r>
      <w:r w:rsidR="003D1377">
        <w:rPr>
          <w:iCs/>
        </w:rPr>
        <w:t xml:space="preserve"> a </w:t>
      </w:r>
      <w:r w:rsidR="00E072B9">
        <w:rPr>
          <w:iCs/>
        </w:rPr>
        <w:t>40</w:t>
      </w:r>
      <w:r w:rsidR="00E072B9">
        <w:rPr>
          <w:iCs/>
        </w:rPr>
        <w:noBreakHyphen/>
        <w:t>year</w:t>
      </w:r>
      <w:r w:rsidR="003D1377">
        <w:rPr>
          <w:iCs/>
        </w:rPr>
        <w:t xml:space="preserve"> time horizon, </w:t>
      </w:r>
      <w:r w:rsidR="007B4B24">
        <w:rPr>
          <w:iCs/>
        </w:rPr>
        <w:t xml:space="preserve">utilities from the PBAC’s consideration of ofatumumab in RRM and reduced continuation of treatment by 50% after year 4 of the model. This resulted in an ICER of </w:t>
      </w:r>
      <w:r w:rsidR="0000776E" w:rsidRPr="0000776E">
        <w:rPr>
          <w:iCs/>
        </w:rPr>
        <w:t>$355,000 to &lt; $455,000</w:t>
      </w:r>
      <w:r w:rsidR="008975A6">
        <w:rPr>
          <w:iCs/>
        </w:rPr>
        <w:t xml:space="preserve">. </w:t>
      </w:r>
    </w:p>
    <w:p w14:paraId="382336DD" w14:textId="0D05A82A" w:rsidR="00A77034" w:rsidRPr="00E750DB" w:rsidRDefault="00A77034" w:rsidP="00E072B9">
      <w:pPr>
        <w:pStyle w:val="3-BodyText"/>
      </w:pPr>
      <w:r w:rsidRPr="00E750DB">
        <w:t xml:space="preserve">Overall, </w:t>
      </w:r>
      <w:r w:rsidR="00E6790D">
        <w:t xml:space="preserve">the Commentary noted that the </w:t>
      </w:r>
      <w:r w:rsidRPr="00E750DB">
        <w:t xml:space="preserve">results from the economic model presented in the submission were uncertain, likely underestimated and favoured </w:t>
      </w:r>
      <w:r w:rsidR="0032320F" w:rsidRPr="00E750DB">
        <w:t>g</w:t>
      </w:r>
      <w:r w:rsidRPr="00E750DB">
        <w:t xml:space="preserve">ivosiran. </w:t>
      </w:r>
      <w:r w:rsidR="00201A36" w:rsidRPr="00E750DB">
        <w:t>G</w:t>
      </w:r>
      <w:r w:rsidRPr="00E750DB">
        <w:t xml:space="preserve">iven the large number of issues and the potentially high impact of these assumptions (e.g. assumptions around the time horizon, transition to asymptomatic post menopause, discontinuation, utilities, type of treatment </w:t>
      </w:r>
      <w:r w:rsidR="00201A36" w:rsidRPr="00E750DB">
        <w:t xml:space="preserve">setting </w:t>
      </w:r>
      <w:r w:rsidRPr="00E750DB">
        <w:t xml:space="preserve">for acute attacks and treatment benefit while off treatment could all change the ICER by more than </w:t>
      </w:r>
      <w:r w:rsidR="00B35ACC" w:rsidRPr="00A550BD">
        <w:rPr>
          <w:color w:val="000000"/>
          <w:spacing w:val="6"/>
          <w:w w:val="59"/>
          <w:shd w:val="solid" w:color="000000" w:fill="000000"/>
          <w:fitText w:val="460" w:id="-625249788"/>
          <w14:textFill>
            <w14:solidFill>
              <w14:srgbClr w14:val="000000">
                <w14:alpha w14:val="100000"/>
              </w14:srgbClr>
            </w14:solidFill>
          </w14:textFill>
        </w:rPr>
        <w:t>|||</w:t>
      </w:r>
      <w:r w:rsidR="00A550BD" w:rsidRPr="00A550BD">
        <w:rPr>
          <w:color w:val="000000"/>
          <w:spacing w:val="6"/>
          <w:w w:val="59"/>
          <w:shd w:val="solid" w:color="000000" w:fill="000000"/>
          <w:fitText w:val="460" w:id="-625249788"/>
          <w14:textFill>
            <w14:solidFill>
              <w14:srgbClr w14:val="000000">
                <w14:alpha w14:val="100000"/>
              </w14:srgbClr>
            </w14:solidFill>
          </w14:textFill>
        </w:rPr>
        <w:t xml:space="preserve"> </w:t>
      </w:r>
      <w:r w:rsidR="00B35ACC" w:rsidRPr="00A550BD">
        <w:rPr>
          <w:color w:val="000000"/>
          <w:spacing w:val="6"/>
          <w:w w:val="59"/>
          <w:shd w:val="solid" w:color="000000" w:fill="000000"/>
          <w:fitText w:val="460" w:id="-625249788"/>
          <w14:textFill>
            <w14:solidFill>
              <w14:srgbClr w14:val="000000">
                <w14:alpha w14:val="100000"/>
              </w14:srgbClr>
            </w14:solidFill>
          </w14:textFill>
        </w:rPr>
        <w:t>||</w:t>
      </w:r>
      <w:r w:rsidR="00B35ACC" w:rsidRPr="00A550BD">
        <w:rPr>
          <w:color w:val="000000"/>
          <w:spacing w:val="2"/>
          <w:w w:val="59"/>
          <w:shd w:val="solid" w:color="000000" w:fill="000000"/>
          <w:fitText w:val="460" w:id="-625249788"/>
          <w14:textFill>
            <w14:solidFill>
              <w14:srgbClr w14:val="000000">
                <w14:alpha w14:val="100000"/>
              </w14:srgbClr>
            </w14:solidFill>
          </w14:textFill>
        </w:rPr>
        <w:t>|</w:t>
      </w:r>
      <w:r w:rsidRPr="00E750DB">
        <w:t>% individually)</w:t>
      </w:r>
      <w:r w:rsidR="00C3700F" w:rsidRPr="00E750DB">
        <w:t xml:space="preserve"> </w:t>
      </w:r>
      <w:r w:rsidR="00C3700F" w:rsidRPr="00915DBD">
        <w:rPr>
          <w:iCs/>
        </w:rPr>
        <w:t xml:space="preserve">and </w:t>
      </w:r>
      <w:r w:rsidR="008E344F" w:rsidRPr="00915DBD">
        <w:rPr>
          <w:iCs/>
        </w:rPr>
        <w:t xml:space="preserve">given </w:t>
      </w:r>
      <w:r w:rsidR="00C3700F" w:rsidRPr="00915DBD">
        <w:rPr>
          <w:iCs/>
        </w:rPr>
        <w:t>the interacti</w:t>
      </w:r>
      <w:r w:rsidR="00BA3549" w:rsidRPr="00915DBD">
        <w:rPr>
          <w:iCs/>
        </w:rPr>
        <w:t xml:space="preserve">ng effects of multiple sensitive </w:t>
      </w:r>
      <w:r w:rsidR="00BA3549" w:rsidRPr="00F207D7">
        <w:t>variables</w:t>
      </w:r>
      <w:r w:rsidRPr="00E750DB">
        <w:t xml:space="preserve">, the true ICER was likely to be substantially higher than the submission’s base case ICER. </w:t>
      </w:r>
      <w:r w:rsidR="007A07C8" w:rsidRPr="00F207D7">
        <w:t>The Sub</w:t>
      </w:r>
      <w:r w:rsidR="00E072B9">
        <w:noBreakHyphen/>
      </w:r>
      <w:r w:rsidR="007A07C8" w:rsidRPr="00F207D7">
        <w:t>Committees advised the model structure was not reliable for decision</w:t>
      </w:r>
      <w:r w:rsidR="00E072B9">
        <w:noBreakHyphen/>
      </w:r>
      <w:r w:rsidR="007A07C8" w:rsidRPr="00F207D7">
        <w:t>making.</w:t>
      </w:r>
    </w:p>
    <w:p w14:paraId="0E7385B4" w14:textId="77777777" w:rsidR="00045779" w:rsidRPr="00E750DB" w:rsidRDefault="00045779" w:rsidP="00E072B9">
      <w:pPr>
        <w:pStyle w:val="3-BodyText"/>
        <w:numPr>
          <w:ilvl w:val="0"/>
          <w:numId w:val="0"/>
        </w:numPr>
        <w:ind w:left="720"/>
      </w:pPr>
    </w:p>
    <w:p w14:paraId="472842D7" w14:textId="18643F02" w:rsidR="00C25D9C" w:rsidRPr="00E750DB" w:rsidRDefault="00C25D9C" w:rsidP="00E072B9">
      <w:pPr>
        <w:pStyle w:val="4-SubsectionHeading"/>
      </w:pPr>
      <w:bookmarkStart w:id="62" w:name="_Toc22897646"/>
      <w:bookmarkStart w:id="63" w:name="_Toc198715363"/>
      <w:bookmarkEnd w:id="43"/>
      <w:r w:rsidRPr="00E750DB">
        <w:t>Drug cost/patient/year</w:t>
      </w:r>
      <w:bookmarkEnd w:id="62"/>
      <w:bookmarkEnd w:id="63"/>
    </w:p>
    <w:p w14:paraId="0A942869" w14:textId="5AE5C061" w:rsidR="00B642D1" w:rsidRDefault="00F66640" w:rsidP="00E072B9">
      <w:pPr>
        <w:pStyle w:val="3-BodyText"/>
        <w:spacing w:before="0" w:after="120"/>
        <w:rPr>
          <w:lang w:eastAsia="en-US"/>
        </w:rPr>
      </w:pPr>
      <w:bookmarkStart w:id="64" w:name="_Ref104805102"/>
      <w:r w:rsidRPr="00E750DB">
        <w:rPr>
          <w:lang w:eastAsia="en-US"/>
        </w:rPr>
        <w:t xml:space="preserve">The drug cost per patient for givosiran and BSC in the trial, model and financial estimates are presented in </w:t>
      </w:r>
      <w:r w:rsidR="00AE19E4" w:rsidRPr="00E750DB">
        <w:rPr>
          <w:lang w:eastAsia="en-US"/>
        </w:rPr>
        <w:fldChar w:fldCharType="begin" w:fldLock="1"/>
      </w:r>
      <w:r w:rsidR="00AE19E4" w:rsidRPr="00E750DB">
        <w:rPr>
          <w:lang w:eastAsia="en-US"/>
        </w:rPr>
        <w:instrText xml:space="preserve"> REF _Ref197976667 \h </w:instrText>
      </w:r>
      <w:r w:rsidR="00AE19E4" w:rsidRPr="00E750DB">
        <w:rPr>
          <w:lang w:eastAsia="en-US"/>
        </w:rPr>
      </w:r>
      <w:r w:rsidR="00AE19E4" w:rsidRPr="00E750DB">
        <w:rPr>
          <w:lang w:eastAsia="en-US"/>
        </w:rPr>
        <w:fldChar w:fldCharType="separate"/>
      </w:r>
      <w:r w:rsidR="00E750DB" w:rsidRPr="00E750DB">
        <w:t>Table 14</w:t>
      </w:r>
      <w:r w:rsidR="00AE19E4" w:rsidRPr="00E750DB">
        <w:rPr>
          <w:lang w:eastAsia="en-US"/>
        </w:rPr>
        <w:fldChar w:fldCharType="end"/>
      </w:r>
      <w:r w:rsidRPr="00E750DB">
        <w:rPr>
          <w:lang w:eastAsia="en-US"/>
        </w:rPr>
        <w:t>.</w:t>
      </w:r>
    </w:p>
    <w:p w14:paraId="3B122314" w14:textId="77777777" w:rsidR="00B642D1" w:rsidRDefault="00B642D1">
      <w:pPr>
        <w:jc w:val="left"/>
        <w:rPr>
          <w:rFonts w:asciiTheme="minorHAnsi" w:eastAsiaTheme="minorHAnsi" w:hAnsiTheme="minorHAnsi" w:cstheme="minorBidi"/>
          <w:szCs w:val="22"/>
          <w:lang w:eastAsia="en-US"/>
        </w:rPr>
      </w:pPr>
      <w:r>
        <w:rPr>
          <w:lang w:eastAsia="en-US"/>
        </w:rPr>
        <w:br w:type="page"/>
      </w:r>
    </w:p>
    <w:p w14:paraId="5B1E796C" w14:textId="613E6377" w:rsidR="00634702" w:rsidRPr="00E750DB" w:rsidRDefault="00AE19E4" w:rsidP="00E072B9">
      <w:pPr>
        <w:pStyle w:val="Caption"/>
        <w:rPr>
          <w:rStyle w:val="CommentReference"/>
          <w:b/>
          <w:szCs w:val="24"/>
        </w:rPr>
      </w:pPr>
      <w:bookmarkStart w:id="65" w:name="_Ref197976667"/>
      <w:bookmarkEnd w:id="64"/>
      <w:r w:rsidRPr="00E750DB">
        <w:t xml:space="preserve">Table </w:t>
      </w:r>
      <w:r w:rsidR="00E750DB">
        <w:fldChar w:fldCharType="begin" w:fldLock="1"/>
      </w:r>
      <w:r w:rsidR="00E750DB">
        <w:instrText xml:space="preserve"> SEQ Table \* ARABIC </w:instrText>
      </w:r>
      <w:r w:rsidR="00E750DB">
        <w:fldChar w:fldCharType="separate"/>
      </w:r>
      <w:r w:rsidR="00E750DB" w:rsidRPr="00E750DB">
        <w:t>14</w:t>
      </w:r>
      <w:r w:rsidR="00E750DB">
        <w:fldChar w:fldCharType="end"/>
      </w:r>
      <w:bookmarkEnd w:id="65"/>
      <w:r w:rsidRPr="00E750DB">
        <w:t xml:space="preserve">: </w:t>
      </w:r>
      <w:r w:rsidR="00634702" w:rsidRPr="00E750DB">
        <w:rPr>
          <w:rStyle w:val="CommentReference"/>
          <w:b/>
          <w:szCs w:val="24"/>
        </w:rPr>
        <w:t xml:space="preserve">Cost per patient for </w:t>
      </w:r>
      <w:r w:rsidR="0032320F" w:rsidRPr="00E750DB">
        <w:rPr>
          <w:rStyle w:val="CommentReference"/>
          <w:b/>
          <w:szCs w:val="24"/>
        </w:rPr>
        <w:t>g</w:t>
      </w:r>
      <w:r w:rsidR="00634702" w:rsidRPr="00E750DB">
        <w:rPr>
          <w:rStyle w:val="CommentReference"/>
          <w:b/>
          <w:szCs w:val="24"/>
        </w:rPr>
        <w:t>ivosiran</w:t>
      </w:r>
      <w:r w:rsidR="007E7A8E" w:rsidRPr="00E750DB">
        <w:rPr>
          <w:rStyle w:val="CommentReference"/>
          <w:b/>
          <w:szCs w:val="24"/>
        </w:rPr>
        <w:t xml:space="preserve"> and </w:t>
      </w:r>
      <w:r w:rsidR="0032320F" w:rsidRPr="00E750DB">
        <w:rPr>
          <w:rStyle w:val="CommentReference"/>
          <w:b/>
          <w:szCs w:val="24"/>
        </w:rPr>
        <w:t>BSC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Cost per patient for givosiran and BSC"/>
      </w:tblPr>
      <w:tblGrid>
        <w:gridCol w:w="1793"/>
        <w:gridCol w:w="2043"/>
        <w:gridCol w:w="2591"/>
        <w:gridCol w:w="2590"/>
      </w:tblGrid>
      <w:tr w:rsidR="008E344F" w:rsidRPr="00E750DB" w14:paraId="17F7346B" w14:textId="77777777" w:rsidTr="008E344F">
        <w:trPr>
          <w:cantSplit/>
          <w:tblHeader/>
          <w:jc w:val="center"/>
        </w:trPr>
        <w:tc>
          <w:tcPr>
            <w:tcW w:w="994" w:type="pct"/>
            <w:vAlign w:val="center"/>
          </w:tcPr>
          <w:p w14:paraId="00515B9F" w14:textId="77777777" w:rsidR="008E344F" w:rsidRPr="00E750DB" w:rsidRDefault="008E344F" w:rsidP="00E072B9">
            <w:pPr>
              <w:pStyle w:val="Tabletext"/>
            </w:pPr>
          </w:p>
        </w:tc>
        <w:tc>
          <w:tcPr>
            <w:tcW w:w="1133" w:type="pct"/>
            <w:vAlign w:val="center"/>
          </w:tcPr>
          <w:p w14:paraId="4C349B68" w14:textId="77777777" w:rsidR="008E344F" w:rsidRPr="00E750DB" w:rsidRDefault="008E344F" w:rsidP="00E072B9">
            <w:pPr>
              <w:pStyle w:val="Tabletext"/>
            </w:pPr>
            <w:r w:rsidRPr="00E750DB">
              <w:t>Trial dose and duration</w:t>
            </w:r>
          </w:p>
        </w:tc>
        <w:tc>
          <w:tcPr>
            <w:tcW w:w="1437" w:type="pct"/>
            <w:vAlign w:val="center"/>
          </w:tcPr>
          <w:p w14:paraId="193ACAEA" w14:textId="77777777" w:rsidR="008E344F" w:rsidRPr="00E750DB" w:rsidRDefault="008E344F" w:rsidP="00E072B9">
            <w:pPr>
              <w:pStyle w:val="Tabletext"/>
            </w:pPr>
            <w:r w:rsidRPr="00E750DB">
              <w:t>Givosiran</w:t>
            </w:r>
          </w:p>
          <w:p w14:paraId="7F87249B" w14:textId="77777777" w:rsidR="008E344F" w:rsidRPr="00E750DB" w:rsidRDefault="008E344F" w:rsidP="00E072B9">
            <w:pPr>
              <w:pStyle w:val="Tabletext"/>
            </w:pPr>
            <w:r w:rsidRPr="00E750DB">
              <w:t>Model</w:t>
            </w:r>
          </w:p>
        </w:tc>
        <w:tc>
          <w:tcPr>
            <w:tcW w:w="1437" w:type="pct"/>
            <w:vAlign w:val="center"/>
          </w:tcPr>
          <w:p w14:paraId="7E9457F3" w14:textId="77777777" w:rsidR="008E344F" w:rsidRPr="00E750DB" w:rsidRDefault="008E344F" w:rsidP="00E072B9">
            <w:pPr>
              <w:pStyle w:val="Tabletext"/>
            </w:pPr>
            <w:r w:rsidRPr="00E750DB">
              <w:t>Givosiran</w:t>
            </w:r>
          </w:p>
          <w:p w14:paraId="1BFEF90B" w14:textId="77777777" w:rsidR="008E344F" w:rsidRPr="00E750DB" w:rsidRDefault="008E344F" w:rsidP="00E072B9">
            <w:pPr>
              <w:pStyle w:val="Tabletext"/>
            </w:pPr>
            <w:r w:rsidRPr="00E750DB">
              <w:t>Financial estimates</w:t>
            </w:r>
          </w:p>
        </w:tc>
      </w:tr>
      <w:tr w:rsidR="008E344F" w:rsidRPr="00E750DB" w14:paraId="3EBC91F0" w14:textId="77777777" w:rsidTr="008E344F">
        <w:trPr>
          <w:cantSplit/>
          <w:jc w:val="center"/>
        </w:trPr>
        <w:tc>
          <w:tcPr>
            <w:tcW w:w="994" w:type="pct"/>
            <w:vAlign w:val="center"/>
          </w:tcPr>
          <w:p w14:paraId="01A2A958" w14:textId="77777777" w:rsidR="008E344F" w:rsidRPr="00E750DB" w:rsidRDefault="008E344F" w:rsidP="00E072B9">
            <w:pPr>
              <w:pStyle w:val="Tabletext"/>
            </w:pPr>
            <w:r w:rsidRPr="00E750DB">
              <w:t>Mean dose</w:t>
            </w:r>
          </w:p>
        </w:tc>
        <w:tc>
          <w:tcPr>
            <w:tcW w:w="1133" w:type="pct"/>
            <w:vAlign w:val="center"/>
          </w:tcPr>
          <w:p w14:paraId="5847387C" w14:textId="77777777" w:rsidR="008E344F" w:rsidRPr="00E750DB" w:rsidRDefault="008E344F" w:rsidP="00E072B9">
            <w:pPr>
              <w:pStyle w:val="Tabletext"/>
            </w:pPr>
            <w:r w:rsidRPr="00E750DB">
              <w:t>2.5 mg/kg SC monthly</w:t>
            </w:r>
          </w:p>
        </w:tc>
        <w:tc>
          <w:tcPr>
            <w:tcW w:w="1437" w:type="pct"/>
            <w:vAlign w:val="center"/>
          </w:tcPr>
          <w:p w14:paraId="3F4ECAA2" w14:textId="77777777" w:rsidR="008E344F" w:rsidRPr="000A2D99" w:rsidRDefault="008E344F" w:rsidP="00E072B9">
            <w:pPr>
              <w:pStyle w:val="Tabletext"/>
            </w:pPr>
            <w:r w:rsidRPr="000A2D99">
              <w:t>2.5 mg/kg SC monthly (1.2 vials per administration at 99% RDI and 12 doses a year)</w:t>
            </w:r>
          </w:p>
        </w:tc>
        <w:tc>
          <w:tcPr>
            <w:tcW w:w="1437" w:type="pct"/>
            <w:vAlign w:val="center"/>
          </w:tcPr>
          <w:p w14:paraId="4CC08922" w14:textId="60A6AEEA" w:rsidR="008E344F" w:rsidRPr="000A2D99" w:rsidRDefault="008E344F" w:rsidP="00E072B9">
            <w:pPr>
              <w:pStyle w:val="Tabletext"/>
            </w:pPr>
            <w:r w:rsidRPr="000A2D99">
              <w:t>2.5 mg/kg SC monthly (1.2 vials per administration at 100% compliance and 12 doses a year)</w:t>
            </w:r>
          </w:p>
        </w:tc>
      </w:tr>
      <w:tr w:rsidR="008E344F" w:rsidRPr="00E750DB" w14:paraId="48D9D3F2" w14:textId="77777777" w:rsidTr="008E344F">
        <w:trPr>
          <w:cantSplit/>
          <w:jc w:val="center"/>
        </w:trPr>
        <w:tc>
          <w:tcPr>
            <w:tcW w:w="994" w:type="pct"/>
            <w:vAlign w:val="center"/>
          </w:tcPr>
          <w:p w14:paraId="633768D2" w14:textId="77777777" w:rsidR="008E344F" w:rsidRPr="00E750DB" w:rsidRDefault="008E344F" w:rsidP="00E072B9">
            <w:pPr>
              <w:pStyle w:val="Tabletext"/>
            </w:pPr>
            <w:r w:rsidRPr="00E750DB">
              <w:t>Mean duration</w:t>
            </w:r>
          </w:p>
        </w:tc>
        <w:tc>
          <w:tcPr>
            <w:tcW w:w="1133" w:type="pct"/>
            <w:vAlign w:val="center"/>
          </w:tcPr>
          <w:p w14:paraId="5FBD28D0" w14:textId="77777777" w:rsidR="008E344F" w:rsidRPr="00E750DB" w:rsidRDefault="008E344F" w:rsidP="00E072B9">
            <w:pPr>
              <w:pStyle w:val="Tabletext"/>
            </w:pPr>
            <w:r w:rsidRPr="00E750DB">
              <w:t>Lifetime</w:t>
            </w:r>
          </w:p>
        </w:tc>
        <w:tc>
          <w:tcPr>
            <w:tcW w:w="1437" w:type="pct"/>
            <w:vAlign w:val="center"/>
          </w:tcPr>
          <w:p w14:paraId="76D39C4F" w14:textId="77777777" w:rsidR="008E344F" w:rsidRPr="00E750DB" w:rsidRDefault="008E344F" w:rsidP="00E072B9">
            <w:pPr>
              <w:pStyle w:val="Tabletext"/>
              <w:rPr>
                <w:vertAlign w:val="superscript"/>
              </w:rPr>
            </w:pPr>
            <w:r w:rsidRPr="00E750DB">
              <w:t>118.71 months</w:t>
            </w:r>
          </w:p>
        </w:tc>
        <w:tc>
          <w:tcPr>
            <w:tcW w:w="1437" w:type="pct"/>
            <w:vAlign w:val="center"/>
          </w:tcPr>
          <w:p w14:paraId="2F20805B" w14:textId="77777777" w:rsidR="008E344F" w:rsidRPr="00E750DB" w:rsidRDefault="008E344F" w:rsidP="00E072B9">
            <w:pPr>
              <w:pStyle w:val="Tabletext"/>
            </w:pPr>
            <w:r w:rsidRPr="00E750DB">
              <w:t>Lifetime</w:t>
            </w:r>
          </w:p>
        </w:tc>
      </w:tr>
      <w:tr w:rsidR="008E344F" w:rsidRPr="00E750DB" w14:paraId="40ABADC6" w14:textId="77777777" w:rsidTr="008E344F">
        <w:trPr>
          <w:cantSplit/>
          <w:jc w:val="center"/>
        </w:trPr>
        <w:tc>
          <w:tcPr>
            <w:tcW w:w="994" w:type="pct"/>
            <w:vAlign w:val="center"/>
          </w:tcPr>
          <w:p w14:paraId="67A4BD68" w14:textId="1E4DFE40" w:rsidR="008E344F" w:rsidRPr="00E750DB" w:rsidRDefault="008E344F" w:rsidP="00E072B9">
            <w:pPr>
              <w:pStyle w:val="Tabletext"/>
              <w:rPr>
                <w:vertAlign w:val="superscript"/>
              </w:rPr>
            </w:pPr>
            <w:r w:rsidRPr="00E750DB">
              <w:t>Cost/patient/month</w:t>
            </w:r>
            <w:r w:rsidR="00A550BD">
              <w:t xml:space="preserve"> </w:t>
            </w:r>
          </w:p>
        </w:tc>
        <w:tc>
          <w:tcPr>
            <w:tcW w:w="1133" w:type="pct"/>
            <w:vAlign w:val="center"/>
          </w:tcPr>
          <w:p w14:paraId="36033E76" w14:textId="241C9471" w:rsidR="008E344F" w:rsidRPr="00E750DB" w:rsidRDefault="008E344F" w:rsidP="00E072B9">
            <w:pPr>
              <w:pStyle w:val="Tabletext"/>
              <w:rPr>
                <w:vertAlign w:val="superscript"/>
              </w:rPr>
            </w:pPr>
            <w:r w:rsidRPr="00E750DB">
              <w:t>$</w:t>
            </w:r>
            <w:r w:rsidR="00B35ACC" w:rsidRPr="00A550BD">
              <w:rPr>
                <w:color w:val="000000"/>
                <w:spacing w:val="53"/>
                <w:shd w:val="solid" w:color="000000" w:fill="000000"/>
                <w:fitText w:val="330" w:id="-625249787"/>
                <w14:textFill>
                  <w14:solidFill>
                    <w14:srgbClr w14:val="000000">
                      <w14:alpha w14:val="100000"/>
                    </w14:srgbClr>
                  </w14:solidFill>
                </w14:textFill>
              </w:rPr>
              <w:t>|||</w:t>
            </w:r>
            <w:r w:rsidR="00B35ACC" w:rsidRPr="00A550BD">
              <w:rPr>
                <w:color w:val="000000"/>
                <w:spacing w:val="1"/>
                <w:shd w:val="solid" w:color="000000" w:fill="000000"/>
                <w:fitText w:val="330" w:id="-625249787"/>
                <w14:textFill>
                  <w14:solidFill>
                    <w14:srgbClr w14:val="000000">
                      <w14:alpha w14:val="100000"/>
                    </w14:srgbClr>
                  </w14:solidFill>
                </w14:textFill>
              </w:rPr>
              <w:t>|</w:t>
            </w:r>
            <w:r w:rsidR="00A550BD">
              <w:t xml:space="preserve"> </w:t>
            </w:r>
            <w:r w:rsidRPr="00E750DB">
              <w:rPr>
                <w:vertAlign w:val="superscript"/>
              </w:rPr>
              <w:t>a</w:t>
            </w:r>
          </w:p>
        </w:tc>
        <w:tc>
          <w:tcPr>
            <w:tcW w:w="1437" w:type="pct"/>
            <w:vAlign w:val="center"/>
          </w:tcPr>
          <w:p w14:paraId="357FFC20" w14:textId="6A506FAD" w:rsidR="008E344F" w:rsidRPr="00E750DB" w:rsidRDefault="008E344F" w:rsidP="00E072B9">
            <w:pPr>
              <w:pStyle w:val="Tabletext"/>
              <w:rPr>
                <w:vertAlign w:val="superscript"/>
              </w:rPr>
            </w:pPr>
            <w:r w:rsidRPr="00E750DB">
              <w:t>$</w:t>
            </w:r>
            <w:r w:rsidR="00B35ACC" w:rsidRPr="009742C5">
              <w:rPr>
                <w:color w:val="000000"/>
                <w:spacing w:val="53"/>
                <w:shd w:val="solid" w:color="000000" w:fill="000000"/>
                <w:fitText w:val="330" w:id="-625249786"/>
                <w14:textFill>
                  <w14:solidFill>
                    <w14:srgbClr w14:val="000000">
                      <w14:alpha w14:val="100000"/>
                    </w14:srgbClr>
                  </w14:solidFill>
                </w14:textFill>
              </w:rPr>
              <w:t>|||</w:t>
            </w:r>
            <w:r w:rsidR="00B35ACC" w:rsidRPr="009742C5">
              <w:rPr>
                <w:color w:val="000000"/>
                <w:spacing w:val="1"/>
                <w:shd w:val="solid" w:color="000000" w:fill="000000"/>
                <w:fitText w:val="330" w:id="-625249786"/>
                <w14:textFill>
                  <w14:solidFill>
                    <w14:srgbClr w14:val="000000">
                      <w14:alpha w14:val="100000"/>
                    </w14:srgbClr>
                  </w14:solidFill>
                </w14:textFill>
              </w:rPr>
              <w:t>|</w:t>
            </w:r>
            <w:r w:rsidRPr="00E750DB">
              <w:t xml:space="preserve"> </w:t>
            </w:r>
            <w:r w:rsidRPr="00E750DB">
              <w:rPr>
                <w:vertAlign w:val="superscript"/>
              </w:rPr>
              <w:t>b</w:t>
            </w:r>
          </w:p>
        </w:tc>
        <w:tc>
          <w:tcPr>
            <w:tcW w:w="1437" w:type="pct"/>
            <w:vAlign w:val="center"/>
          </w:tcPr>
          <w:p w14:paraId="09F82781" w14:textId="53D4FB93" w:rsidR="008E344F" w:rsidRPr="00E750DB" w:rsidRDefault="008E344F" w:rsidP="00E072B9">
            <w:pPr>
              <w:pStyle w:val="Tabletext"/>
              <w:rPr>
                <w:vertAlign w:val="superscript"/>
              </w:rPr>
            </w:pPr>
            <w:r w:rsidRPr="00E750DB">
              <w:t>$</w:t>
            </w:r>
            <w:r w:rsidR="00B35ACC" w:rsidRPr="009742C5">
              <w:rPr>
                <w:color w:val="000000"/>
                <w:spacing w:val="53"/>
                <w:shd w:val="solid" w:color="000000" w:fill="000000"/>
                <w:fitText w:val="330" w:id="-625249785"/>
                <w14:textFill>
                  <w14:solidFill>
                    <w14:srgbClr w14:val="000000">
                      <w14:alpha w14:val="100000"/>
                    </w14:srgbClr>
                  </w14:solidFill>
                </w14:textFill>
              </w:rPr>
              <w:t>|||</w:t>
            </w:r>
            <w:r w:rsidR="00B35ACC" w:rsidRPr="009742C5">
              <w:rPr>
                <w:color w:val="000000"/>
                <w:spacing w:val="1"/>
                <w:shd w:val="solid" w:color="000000" w:fill="000000"/>
                <w:fitText w:val="330" w:id="-625249785"/>
                <w14:textFill>
                  <w14:solidFill>
                    <w14:srgbClr w14:val="000000">
                      <w14:alpha w14:val="100000"/>
                    </w14:srgbClr>
                  </w14:solidFill>
                </w14:textFill>
              </w:rPr>
              <w:t>|</w:t>
            </w:r>
            <w:r w:rsidRPr="00E750DB">
              <w:t xml:space="preserve"> </w:t>
            </w:r>
            <w:r w:rsidRPr="00E750DB">
              <w:rPr>
                <w:vertAlign w:val="superscript"/>
              </w:rPr>
              <w:t>a</w:t>
            </w:r>
          </w:p>
        </w:tc>
      </w:tr>
      <w:tr w:rsidR="008E344F" w:rsidRPr="00E750DB" w14:paraId="72787525" w14:textId="77777777" w:rsidTr="008E344F">
        <w:trPr>
          <w:cantSplit/>
          <w:jc w:val="center"/>
        </w:trPr>
        <w:tc>
          <w:tcPr>
            <w:tcW w:w="994" w:type="pct"/>
            <w:vAlign w:val="center"/>
          </w:tcPr>
          <w:p w14:paraId="1536619E" w14:textId="77777777" w:rsidR="008E344F" w:rsidRPr="00E750DB" w:rsidRDefault="008E344F" w:rsidP="00E072B9">
            <w:pPr>
              <w:pStyle w:val="Tabletext"/>
              <w:rPr>
                <w:vertAlign w:val="superscript"/>
              </w:rPr>
            </w:pPr>
            <w:r w:rsidRPr="00E750DB">
              <w:t xml:space="preserve">Cost/patient/year </w:t>
            </w:r>
          </w:p>
        </w:tc>
        <w:tc>
          <w:tcPr>
            <w:tcW w:w="1133" w:type="pct"/>
            <w:vAlign w:val="center"/>
          </w:tcPr>
          <w:p w14:paraId="624BB852" w14:textId="5EB5A424" w:rsidR="008E344F" w:rsidRPr="00E750DB" w:rsidRDefault="008E344F" w:rsidP="00E072B9">
            <w:pPr>
              <w:pStyle w:val="Tabletext"/>
              <w:rPr>
                <w:vertAlign w:val="superscript"/>
              </w:rPr>
            </w:pPr>
            <w:r w:rsidRPr="00E750DB">
              <w:t>$</w:t>
            </w:r>
            <w:r w:rsidR="00B35ACC" w:rsidRPr="009742C5">
              <w:rPr>
                <w:color w:val="000000"/>
                <w:spacing w:val="53"/>
                <w:shd w:val="solid" w:color="000000" w:fill="000000"/>
                <w:fitText w:val="330" w:id="-625249784"/>
                <w14:textFill>
                  <w14:solidFill>
                    <w14:srgbClr w14:val="000000">
                      <w14:alpha w14:val="100000"/>
                    </w14:srgbClr>
                  </w14:solidFill>
                </w14:textFill>
              </w:rPr>
              <w:t>|||</w:t>
            </w:r>
            <w:r w:rsidR="00B35ACC" w:rsidRPr="009742C5">
              <w:rPr>
                <w:color w:val="000000"/>
                <w:spacing w:val="1"/>
                <w:shd w:val="solid" w:color="000000" w:fill="000000"/>
                <w:fitText w:val="330" w:id="-625249784"/>
                <w14:textFill>
                  <w14:solidFill>
                    <w14:srgbClr w14:val="000000">
                      <w14:alpha w14:val="100000"/>
                    </w14:srgbClr>
                  </w14:solidFill>
                </w14:textFill>
              </w:rPr>
              <w:t>|</w:t>
            </w:r>
            <w:r w:rsidRPr="00E750DB">
              <w:t xml:space="preserve"> </w:t>
            </w:r>
            <w:r w:rsidRPr="00E750DB">
              <w:rPr>
                <w:vertAlign w:val="superscript"/>
              </w:rPr>
              <w:t>c</w:t>
            </w:r>
          </w:p>
        </w:tc>
        <w:tc>
          <w:tcPr>
            <w:tcW w:w="1437" w:type="pct"/>
            <w:vAlign w:val="center"/>
          </w:tcPr>
          <w:p w14:paraId="0DEB1E66" w14:textId="2CF5A5C1" w:rsidR="008E344F" w:rsidRPr="00E750DB" w:rsidRDefault="008E344F" w:rsidP="00E072B9">
            <w:pPr>
              <w:pStyle w:val="Tabletext"/>
              <w:rPr>
                <w:vertAlign w:val="superscript"/>
              </w:rPr>
            </w:pPr>
            <w:r w:rsidRPr="00E750DB">
              <w:t>$</w:t>
            </w:r>
            <w:r w:rsidR="00B35ACC" w:rsidRPr="009742C5">
              <w:rPr>
                <w:color w:val="000000"/>
                <w:spacing w:val="53"/>
                <w:shd w:val="solid" w:color="000000" w:fill="000000"/>
                <w:fitText w:val="330" w:id="-625249783"/>
                <w14:textFill>
                  <w14:solidFill>
                    <w14:srgbClr w14:val="000000">
                      <w14:alpha w14:val="100000"/>
                    </w14:srgbClr>
                  </w14:solidFill>
                </w14:textFill>
              </w:rPr>
              <w:t>|||</w:t>
            </w:r>
            <w:r w:rsidR="00B35ACC" w:rsidRPr="009742C5">
              <w:rPr>
                <w:color w:val="000000"/>
                <w:spacing w:val="1"/>
                <w:shd w:val="solid" w:color="000000" w:fill="000000"/>
                <w:fitText w:val="330" w:id="-625249783"/>
                <w14:textFill>
                  <w14:solidFill>
                    <w14:srgbClr w14:val="000000">
                      <w14:alpha w14:val="100000"/>
                    </w14:srgbClr>
                  </w14:solidFill>
                </w14:textFill>
              </w:rPr>
              <w:t>|</w:t>
            </w:r>
            <w:r w:rsidRPr="00E750DB">
              <w:t xml:space="preserve"> </w:t>
            </w:r>
            <w:r w:rsidRPr="00E750DB">
              <w:rPr>
                <w:vertAlign w:val="superscript"/>
              </w:rPr>
              <w:t>c</w:t>
            </w:r>
          </w:p>
        </w:tc>
        <w:tc>
          <w:tcPr>
            <w:tcW w:w="1437" w:type="pct"/>
            <w:vAlign w:val="center"/>
          </w:tcPr>
          <w:p w14:paraId="0FF9E528" w14:textId="551E278F" w:rsidR="008E344F" w:rsidRPr="00E750DB" w:rsidRDefault="008E344F" w:rsidP="00E072B9">
            <w:pPr>
              <w:pStyle w:val="Tabletext"/>
              <w:rPr>
                <w:vertAlign w:val="superscript"/>
              </w:rPr>
            </w:pPr>
            <w:r w:rsidRPr="00E750DB">
              <w:t>$</w:t>
            </w:r>
            <w:r w:rsidR="00B35ACC" w:rsidRPr="009742C5">
              <w:rPr>
                <w:color w:val="000000"/>
                <w:spacing w:val="53"/>
                <w:shd w:val="solid" w:color="000000" w:fill="000000"/>
                <w:fitText w:val="330" w:id="-625249782"/>
                <w14:textFill>
                  <w14:solidFill>
                    <w14:srgbClr w14:val="000000">
                      <w14:alpha w14:val="100000"/>
                    </w14:srgbClr>
                  </w14:solidFill>
                </w14:textFill>
              </w:rPr>
              <w:t>|||</w:t>
            </w:r>
            <w:r w:rsidR="00B35ACC" w:rsidRPr="009742C5">
              <w:rPr>
                <w:color w:val="000000"/>
                <w:spacing w:val="1"/>
                <w:shd w:val="solid" w:color="000000" w:fill="000000"/>
                <w:fitText w:val="330" w:id="-625249782"/>
                <w14:textFill>
                  <w14:solidFill>
                    <w14:srgbClr w14:val="000000">
                      <w14:alpha w14:val="100000"/>
                    </w14:srgbClr>
                  </w14:solidFill>
                </w14:textFill>
              </w:rPr>
              <w:t>|</w:t>
            </w:r>
            <w:r w:rsidRPr="00E750DB">
              <w:t xml:space="preserve"> </w:t>
            </w:r>
            <w:r w:rsidRPr="00E750DB">
              <w:rPr>
                <w:vertAlign w:val="superscript"/>
              </w:rPr>
              <w:t>d</w:t>
            </w:r>
          </w:p>
        </w:tc>
      </w:tr>
    </w:tbl>
    <w:p w14:paraId="1232EEC0" w14:textId="77777777" w:rsidR="004D1C9E" w:rsidRPr="00E750DB" w:rsidRDefault="004D1C9E" w:rsidP="00E072B9">
      <w:pPr>
        <w:pStyle w:val="FooterTableFigure"/>
      </w:pPr>
      <w:r w:rsidRPr="00E750DB">
        <w:t>Source: Constructed during evaluation</w:t>
      </w:r>
    </w:p>
    <w:p w14:paraId="46FDFB37" w14:textId="112CE1B2" w:rsidR="004D1C9E" w:rsidRPr="00E750DB" w:rsidRDefault="004D1C9E" w:rsidP="00E072B9">
      <w:pPr>
        <w:pStyle w:val="FooterTableFigure"/>
      </w:pPr>
      <w:r w:rsidRPr="00E750DB">
        <w:t xml:space="preserve">a </w:t>
      </w:r>
      <w:r w:rsidR="00D140EC" w:rsidRPr="00E750DB">
        <w:t xml:space="preserve">DPMQ per script estimated as 1.2 vials at effective AEMP </w:t>
      </w:r>
      <w:r w:rsidR="00D140EC" w:rsidRPr="00076E49">
        <w:t>plus $162.60 (Total</w:t>
      </w:r>
      <w:r w:rsidR="00D140EC" w:rsidRPr="00E750DB">
        <w:t xml:space="preserve"> mark</w:t>
      </w:r>
      <w:r w:rsidR="00E072B9">
        <w:noBreakHyphen/>
      </w:r>
      <w:r w:rsidR="00D140EC" w:rsidRPr="00E750DB">
        <w:t>ups/fee per script including wholesaler mark</w:t>
      </w:r>
      <w:r w:rsidR="00E072B9">
        <w:noBreakHyphen/>
      </w:r>
      <w:r w:rsidR="00D140EC" w:rsidRPr="00E750DB">
        <w:t>up</w:t>
      </w:r>
      <w:r w:rsidR="00084202" w:rsidRPr="00E750DB">
        <w:t xml:space="preserve"> of $54.14</w:t>
      </w:r>
      <w:r w:rsidR="00D140EC" w:rsidRPr="00E750DB">
        <w:t>, pharmacy mark</w:t>
      </w:r>
      <w:r w:rsidR="00E072B9">
        <w:noBreakHyphen/>
      </w:r>
      <w:r w:rsidR="00D140EC" w:rsidRPr="00E750DB">
        <w:t>up</w:t>
      </w:r>
      <w:r w:rsidR="00084202" w:rsidRPr="00E750DB">
        <w:t xml:space="preserve"> of $99.79</w:t>
      </w:r>
      <w:r w:rsidR="00D140EC" w:rsidRPr="00E750DB">
        <w:t>, and dispensing fee</w:t>
      </w:r>
      <w:r w:rsidR="00084202" w:rsidRPr="00E750DB">
        <w:t xml:space="preserve"> of $8.67</w:t>
      </w:r>
      <w:r w:rsidR="00D140EC" w:rsidRPr="00E750DB">
        <w:t>)</w:t>
      </w:r>
    </w:p>
    <w:p w14:paraId="189B410E" w14:textId="5063C3F2" w:rsidR="004D1C9E" w:rsidRPr="00E750DB" w:rsidRDefault="004D1C9E" w:rsidP="00E072B9">
      <w:pPr>
        <w:pStyle w:val="FooterTableFigure"/>
      </w:pPr>
      <w:r w:rsidRPr="00E750DB">
        <w:t>b Estimated by dividing undiscounted costs associated with givosiran by mean duration of treatment in months</w:t>
      </w:r>
      <w:r w:rsidR="00D42A86" w:rsidRPr="00E750DB">
        <w:t>, accounts for 99% relative dosage intensity</w:t>
      </w:r>
      <w:r w:rsidR="00FE1B26" w:rsidRPr="00E750DB">
        <w:t xml:space="preserve">; as discussed in paragraph </w:t>
      </w:r>
      <w:r w:rsidR="00FE1B26" w:rsidRPr="00E750DB">
        <w:fldChar w:fldCharType="begin" w:fldLock="1"/>
      </w:r>
      <w:r w:rsidR="00FE1B26" w:rsidRPr="00E750DB">
        <w:instrText xml:space="preserve"> REF _Ref198657131 \r \h </w:instrText>
      </w:r>
      <w:r w:rsidR="0029679A" w:rsidRPr="00E750DB">
        <w:instrText xml:space="preserve"> \* MERGEFORMAT </w:instrText>
      </w:r>
      <w:r w:rsidR="00FE1B26" w:rsidRPr="00E750DB">
        <w:fldChar w:fldCharType="separate"/>
      </w:r>
      <w:r w:rsidR="00E750DB" w:rsidRPr="00E750DB">
        <w:t>6.69</w:t>
      </w:r>
      <w:r w:rsidR="00FE1B26" w:rsidRPr="00E750DB">
        <w:fldChar w:fldCharType="end"/>
      </w:r>
      <w:r w:rsidR="00FE1B26" w:rsidRPr="00E750DB">
        <w:t>, the cost of givosiran did not include mark</w:t>
      </w:r>
      <w:r w:rsidR="00E072B9">
        <w:noBreakHyphen/>
      </w:r>
      <w:r w:rsidR="00FE1B26" w:rsidRPr="00E750DB">
        <w:t xml:space="preserve">ups in the model. </w:t>
      </w:r>
    </w:p>
    <w:p w14:paraId="171B61EC" w14:textId="46BD2F7D" w:rsidR="004D1C9E" w:rsidRPr="00E750DB" w:rsidRDefault="001822CE" w:rsidP="00E072B9">
      <w:pPr>
        <w:pStyle w:val="FooterTableFigure"/>
      </w:pPr>
      <w:r w:rsidRPr="00E750DB">
        <w:t xml:space="preserve">c </w:t>
      </w:r>
      <w:r w:rsidR="004D1C9E" w:rsidRPr="00E750DB">
        <w:t>Cost per patient per month multiplied by 12</w:t>
      </w:r>
    </w:p>
    <w:p w14:paraId="244E47FF" w14:textId="1DD848D0" w:rsidR="00D140EC" w:rsidRPr="00E750DB" w:rsidRDefault="004D1C9E" w:rsidP="00E072B9">
      <w:pPr>
        <w:pStyle w:val="FooterTableFigure"/>
      </w:pPr>
      <w:r w:rsidRPr="00E750DB">
        <w:t xml:space="preserve">d Calculated by </w:t>
      </w:r>
      <w:r w:rsidR="0082085B" w:rsidRPr="00E750DB">
        <w:t xml:space="preserve">multiplying </w:t>
      </w:r>
      <w:r w:rsidR="00C61B1B" w:rsidRPr="000A2D99">
        <w:t>cost for 1.2 vials of givosiran</w:t>
      </w:r>
      <w:r w:rsidR="00C61B1B" w:rsidRPr="00E750DB">
        <w:t xml:space="preserve"> (DPMQ $</w:t>
      </w:r>
      <w:r w:rsidR="00B35ACC" w:rsidRPr="00A550BD">
        <w:rPr>
          <w:color w:val="000000"/>
          <w:spacing w:val="84"/>
          <w:w w:val="94"/>
          <w:shd w:val="solid" w:color="000000" w:fill="000000"/>
          <w:fitText w:val="280" w:id="-625249781"/>
          <w14:textFill>
            <w14:solidFill>
              <w14:srgbClr w14:val="000000">
                <w14:alpha w14:val="100000"/>
              </w14:srgbClr>
            </w14:solidFill>
          </w14:textFill>
        </w:rPr>
        <w:t>|</w:t>
      </w:r>
      <w:r w:rsidR="00A550BD" w:rsidRPr="00A550BD">
        <w:rPr>
          <w:color w:val="000000"/>
          <w:spacing w:val="84"/>
          <w:w w:val="94"/>
          <w:shd w:val="solid" w:color="000000" w:fill="000000"/>
          <w:fitText w:val="280" w:id="-625249781"/>
          <w14:textFill>
            <w14:solidFill>
              <w14:srgbClr w14:val="000000">
                <w14:alpha w14:val="100000"/>
              </w14:srgbClr>
            </w14:solidFill>
          </w14:textFill>
        </w:rPr>
        <w:t xml:space="preserve"> </w:t>
      </w:r>
      <w:r w:rsidR="00B35ACC" w:rsidRPr="00A550BD">
        <w:rPr>
          <w:color w:val="000000"/>
          <w:spacing w:val="2"/>
          <w:w w:val="94"/>
          <w:shd w:val="solid" w:color="000000" w:fill="000000"/>
          <w:fitText w:val="280" w:id="-625249781"/>
          <w14:textFill>
            <w14:solidFill>
              <w14:srgbClr w14:val="000000">
                <w14:alpha w14:val="100000"/>
              </w14:srgbClr>
            </w14:solidFill>
          </w14:textFill>
        </w:rPr>
        <w:t>|</w:t>
      </w:r>
      <w:r w:rsidR="007E0242" w:rsidRPr="00E750DB">
        <w:t>, Cell C65, ‘Medison BIM’ sheet of financial estimates’</w:t>
      </w:r>
      <w:r w:rsidR="00E73047" w:rsidRPr="00E750DB">
        <w:t>)</w:t>
      </w:r>
      <w:r w:rsidR="007E0242" w:rsidRPr="00E750DB">
        <w:t xml:space="preserve"> by 12</w:t>
      </w:r>
      <w:r w:rsidR="00DD5BEB" w:rsidRPr="00E750DB">
        <w:t>.</w:t>
      </w:r>
      <w:r w:rsidR="00A550BD">
        <w:t xml:space="preserve"> </w:t>
      </w:r>
    </w:p>
    <w:p w14:paraId="59AB8E16" w14:textId="62D3AD7E" w:rsidR="004D1C9E" w:rsidRPr="00E750DB" w:rsidRDefault="00D140EC" w:rsidP="00E072B9">
      <w:pPr>
        <w:pStyle w:val="FooterTableFigure"/>
      </w:pPr>
      <w:r w:rsidRPr="00E750DB">
        <w:t>e</w:t>
      </w:r>
      <w:r w:rsidR="004D1C9E" w:rsidRPr="00E750DB">
        <w:t xml:space="preserve"> Did not include cost offsets in the financial model.</w:t>
      </w:r>
    </w:p>
    <w:p w14:paraId="31276C75" w14:textId="0B593B32" w:rsidR="004D1C9E" w:rsidRPr="00E750DB" w:rsidRDefault="004D1C9E" w:rsidP="00E072B9">
      <w:pPr>
        <w:pStyle w:val="FooterTableFigure"/>
      </w:pPr>
      <w:r w:rsidRPr="00E750DB">
        <w:t>BSC = best supportive care, NA = not applicable</w:t>
      </w:r>
    </w:p>
    <w:p w14:paraId="268768EF" w14:textId="3626F292" w:rsidR="00B60939" w:rsidRPr="00E750DB" w:rsidRDefault="00B60939" w:rsidP="00E072B9">
      <w:pPr>
        <w:pStyle w:val="4-SubsectionHeading"/>
      </w:pPr>
      <w:bookmarkStart w:id="66" w:name="_Toc22897647"/>
      <w:bookmarkStart w:id="67" w:name="_Toc198715364"/>
      <w:r w:rsidRPr="00E750DB">
        <w:t>Estimated PBS usage &amp; financial implications</w:t>
      </w:r>
      <w:bookmarkEnd w:id="66"/>
      <w:bookmarkEnd w:id="67"/>
    </w:p>
    <w:p w14:paraId="0C1257F6" w14:textId="30E39D6C" w:rsidR="00A25428" w:rsidRPr="00E750DB" w:rsidRDefault="00C25D9C" w:rsidP="00E072B9">
      <w:pPr>
        <w:pStyle w:val="3-BodyText"/>
        <w:rPr>
          <w:color w:val="000000" w:themeColor="text1"/>
        </w:rPr>
      </w:pPr>
      <w:r w:rsidRPr="00E750DB">
        <w:t xml:space="preserve">This </w:t>
      </w:r>
      <w:r w:rsidRPr="00E750DB">
        <w:rPr>
          <w:color w:val="000000" w:themeColor="text1"/>
        </w:rPr>
        <w:t xml:space="preserve">submission </w:t>
      </w:r>
      <w:r w:rsidR="0029679A" w:rsidRPr="00E750DB">
        <w:rPr>
          <w:color w:val="000000" w:themeColor="text1"/>
        </w:rPr>
        <w:t>was</w:t>
      </w:r>
      <w:r w:rsidR="00D23D11" w:rsidRPr="00E750DB">
        <w:rPr>
          <w:color w:val="000000" w:themeColor="text1"/>
        </w:rPr>
        <w:t xml:space="preserve"> </w:t>
      </w:r>
      <w:r w:rsidRPr="00E750DB">
        <w:rPr>
          <w:color w:val="000000" w:themeColor="text1"/>
        </w:rPr>
        <w:t xml:space="preserve">considered by </w:t>
      </w:r>
      <w:r w:rsidR="00ED1B56" w:rsidRPr="00E750DB">
        <w:rPr>
          <w:color w:val="000000" w:themeColor="text1"/>
        </w:rPr>
        <w:t>DUSC at a joint meeting of ESC and DUSC</w:t>
      </w:r>
      <w:r w:rsidRPr="00E750DB">
        <w:rPr>
          <w:color w:val="000000" w:themeColor="text1"/>
        </w:rPr>
        <w:t>.</w:t>
      </w:r>
      <w:r w:rsidR="00BC591F" w:rsidRPr="00E750DB">
        <w:rPr>
          <w:color w:val="000000" w:themeColor="text1"/>
        </w:rPr>
        <w:t xml:space="preserve"> </w:t>
      </w:r>
    </w:p>
    <w:p w14:paraId="451409A3" w14:textId="33BF1528" w:rsidR="0036193B" w:rsidRPr="00E750DB" w:rsidRDefault="00AE19E4" w:rsidP="00E072B9">
      <w:pPr>
        <w:pStyle w:val="3-BodyText"/>
      </w:pPr>
      <w:r w:rsidRPr="00E750DB">
        <w:rPr>
          <w:color w:val="0066FF"/>
        </w:rPr>
        <w:fldChar w:fldCharType="begin" w:fldLock="1"/>
      </w:r>
      <w:r w:rsidRPr="00E750DB">
        <w:rPr>
          <w:color w:val="0066FF"/>
        </w:rPr>
        <w:instrText xml:space="preserve"> REF _Ref197976715 \h </w:instrText>
      </w:r>
      <w:r w:rsidRPr="00E750DB">
        <w:rPr>
          <w:color w:val="0066FF"/>
        </w:rPr>
      </w:r>
      <w:r w:rsidRPr="00E750DB">
        <w:rPr>
          <w:color w:val="0066FF"/>
        </w:rPr>
        <w:fldChar w:fldCharType="separate"/>
      </w:r>
      <w:r w:rsidR="00E750DB" w:rsidRPr="00E750DB">
        <w:t>Table 15</w:t>
      </w:r>
      <w:r w:rsidRPr="00E750DB">
        <w:rPr>
          <w:color w:val="0066FF"/>
        </w:rPr>
        <w:fldChar w:fldCharType="end"/>
      </w:r>
      <w:r w:rsidRPr="00E750DB">
        <w:rPr>
          <w:color w:val="0066FF"/>
        </w:rPr>
        <w:t xml:space="preserve"> </w:t>
      </w:r>
      <w:r w:rsidR="0036193B" w:rsidRPr="00E750DB">
        <w:t>presents the key inputs relied on in the financial estimates. The submission took an epidemiological approach to derive the financial estimates.</w:t>
      </w:r>
    </w:p>
    <w:p w14:paraId="194964CF" w14:textId="6A82896A" w:rsidR="00715BD8" w:rsidRPr="00E750DB" w:rsidRDefault="00AE19E4" w:rsidP="00E072B9">
      <w:pPr>
        <w:pStyle w:val="Caption"/>
        <w:jc w:val="left"/>
        <w:rPr>
          <w:rFonts w:eastAsiaTheme="majorEastAsia" w:cstheme="majorBidi"/>
        </w:rPr>
      </w:pPr>
      <w:bookmarkStart w:id="68" w:name="_Ref197976715"/>
      <w:r w:rsidRPr="00E750DB">
        <w:t xml:space="preserve">Table </w:t>
      </w:r>
      <w:r w:rsidR="00E750DB">
        <w:fldChar w:fldCharType="begin" w:fldLock="1"/>
      </w:r>
      <w:r w:rsidR="00E750DB">
        <w:instrText xml:space="preserve"> SEQ Table \* ARABIC </w:instrText>
      </w:r>
      <w:r w:rsidR="00E750DB">
        <w:fldChar w:fldCharType="separate"/>
      </w:r>
      <w:r w:rsidR="00E750DB" w:rsidRPr="00E750DB">
        <w:t>15</w:t>
      </w:r>
      <w:r w:rsidR="00E750DB">
        <w:fldChar w:fldCharType="end"/>
      </w:r>
      <w:bookmarkEnd w:id="68"/>
      <w:r w:rsidR="00715BD8" w:rsidRPr="00E750DB">
        <w:rPr>
          <w:rFonts w:eastAsiaTheme="majorEastAsia" w:cstheme="majorBidi"/>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Caption w:val="Table 15: Data sources and parameter values applied in the utilisation and financial estimates"/>
      </w:tblPr>
      <w:tblGrid>
        <w:gridCol w:w="1648"/>
        <w:gridCol w:w="1467"/>
        <w:gridCol w:w="2280"/>
        <w:gridCol w:w="3622"/>
      </w:tblGrid>
      <w:tr w:rsidR="006860B2" w:rsidRPr="00E750DB" w14:paraId="369ADF8B" w14:textId="08196E69" w:rsidTr="006860B2">
        <w:trPr>
          <w:cantSplit/>
          <w:tblHeader/>
        </w:trPr>
        <w:tc>
          <w:tcPr>
            <w:tcW w:w="1648" w:type="dxa"/>
            <w:vAlign w:val="center"/>
          </w:tcPr>
          <w:p w14:paraId="60B48957" w14:textId="77777777"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Data</w:t>
            </w:r>
          </w:p>
        </w:tc>
        <w:tc>
          <w:tcPr>
            <w:tcW w:w="1467" w:type="dxa"/>
            <w:vAlign w:val="center"/>
          </w:tcPr>
          <w:p w14:paraId="0905A620" w14:textId="77777777"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Value</w:t>
            </w:r>
          </w:p>
        </w:tc>
        <w:tc>
          <w:tcPr>
            <w:tcW w:w="2280" w:type="dxa"/>
            <w:vAlign w:val="center"/>
          </w:tcPr>
          <w:p w14:paraId="38C2D319" w14:textId="77777777"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Source</w:t>
            </w:r>
          </w:p>
        </w:tc>
        <w:tc>
          <w:tcPr>
            <w:tcW w:w="3622" w:type="dxa"/>
            <w:vAlign w:val="center"/>
          </w:tcPr>
          <w:p w14:paraId="252925C6" w14:textId="2E7A98B6"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Comment</w:t>
            </w:r>
            <w:r>
              <w:rPr>
                <w:rFonts w:ascii="Arial Narrow" w:eastAsiaTheme="majorEastAsia" w:hAnsi="Arial Narrow" w:cs="Times New Roman"/>
                <w:b/>
                <w:sz w:val="20"/>
              </w:rPr>
              <w:t>s</w:t>
            </w:r>
          </w:p>
        </w:tc>
      </w:tr>
      <w:tr w:rsidR="006860B2" w:rsidRPr="00E750DB" w14:paraId="054965BC" w14:textId="1831B641" w:rsidTr="006860B2">
        <w:trPr>
          <w:cantSplit/>
        </w:trPr>
        <w:tc>
          <w:tcPr>
            <w:tcW w:w="1648" w:type="dxa"/>
            <w:vAlign w:val="center"/>
          </w:tcPr>
          <w:p w14:paraId="6E7E9D5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Total Australian Population</w:t>
            </w:r>
          </w:p>
        </w:tc>
        <w:tc>
          <w:tcPr>
            <w:tcW w:w="1467" w:type="dxa"/>
            <w:vAlign w:val="center"/>
          </w:tcPr>
          <w:p w14:paraId="0A66847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26,152,276</w:t>
            </w:r>
          </w:p>
          <w:p w14:paraId="19F3D6A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26,432,595</w:t>
            </w:r>
          </w:p>
          <w:p w14:paraId="3A7F1C0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26,832,733</w:t>
            </w:r>
          </w:p>
          <w:p w14:paraId="39627A4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27,231,553</w:t>
            </w:r>
          </w:p>
          <w:p w14:paraId="11F9D1C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27,622,493</w:t>
            </w:r>
          </w:p>
          <w:p w14:paraId="37F2A7C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28,004,790</w:t>
            </w:r>
          </w:p>
        </w:tc>
        <w:tc>
          <w:tcPr>
            <w:tcW w:w="2280" w:type="dxa"/>
            <w:vAlign w:val="center"/>
          </w:tcPr>
          <w:p w14:paraId="731B2BE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w:t>
            </w:r>
          </w:p>
        </w:tc>
        <w:tc>
          <w:tcPr>
            <w:tcW w:w="3622" w:type="dxa"/>
            <w:vAlign w:val="center"/>
          </w:tcPr>
          <w:p w14:paraId="746FEFA4" w14:textId="07FC5FE8"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Pr>
                <w:rFonts w:ascii="Arial Narrow" w:eastAsiaTheme="majorEastAsia" w:hAnsi="Arial Narrow" w:cstheme="majorBidi"/>
                <w:bCs/>
                <w:sz w:val="20"/>
              </w:rPr>
              <w:t xml:space="preserve">Committees agreed with the Commentary that </w:t>
            </w:r>
            <w:r w:rsidRPr="00E750DB">
              <w:rPr>
                <w:rFonts w:ascii="Arial Narrow" w:eastAsiaTheme="majorEastAsia" w:hAnsi="Arial Narrow" w:cstheme="majorBidi"/>
                <w:bCs/>
                <w:sz w:val="20"/>
              </w:rPr>
              <w:t xml:space="preserve">this should be the population that the prevalence be applied to. </w:t>
            </w:r>
          </w:p>
        </w:tc>
      </w:tr>
      <w:tr w:rsidR="006860B2" w:rsidRPr="00E750DB" w14:paraId="321B3942" w14:textId="4A7E48C3" w:rsidTr="006860B2">
        <w:trPr>
          <w:cantSplit/>
        </w:trPr>
        <w:tc>
          <w:tcPr>
            <w:tcW w:w="1648" w:type="dxa"/>
            <w:vAlign w:val="center"/>
          </w:tcPr>
          <w:p w14:paraId="6BD09A3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Total Australian population aged </w:t>
            </w:r>
            <w:r w:rsidRPr="00E750DB">
              <w:rPr>
                <w:rFonts w:asciiTheme="minorHAnsi" w:eastAsiaTheme="majorEastAsia" w:hAnsiTheme="minorHAnsi" w:cstheme="minorHAnsi"/>
                <w:bCs/>
                <w:sz w:val="20"/>
              </w:rPr>
              <w:t>≥</w:t>
            </w:r>
            <w:r w:rsidRPr="00E750DB">
              <w:rPr>
                <w:rFonts w:asciiTheme="minorHAnsi" w:eastAsiaTheme="majorEastAsia" w:hAnsiTheme="minorHAnsi" w:cstheme="majorBidi"/>
                <w:bCs/>
                <w:sz w:val="20"/>
              </w:rPr>
              <w:t>12</w:t>
            </w:r>
          </w:p>
        </w:tc>
        <w:tc>
          <w:tcPr>
            <w:tcW w:w="1467" w:type="dxa"/>
            <w:vAlign w:val="center"/>
          </w:tcPr>
          <w:p w14:paraId="3CB8FD4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22,357,918</w:t>
            </w:r>
          </w:p>
          <w:p w14:paraId="1FDA849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22,616,601</w:t>
            </w:r>
          </w:p>
          <w:p w14:paraId="1D1C390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22,987,425</w:t>
            </w:r>
          </w:p>
          <w:p w14:paraId="5EC42AD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23,357,001</w:t>
            </w:r>
          </w:p>
          <w:p w14:paraId="26AC528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23,716,600</w:t>
            </w:r>
          </w:p>
          <w:p w14:paraId="3BE69F0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24,066,169</w:t>
            </w:r>
          </w:p>
        </w:tc>
        <w:tc>
          <w:tcPr>
            <w:tcW w:w="2280" w:type="dxa"/>
            <w:vAlign w:val="center"/>
          </w:tcPr>
          <w:p w14:paraId="197043F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 The submission excluded patients aged below 12 years from the analysis to align with the TGA indication of givosiran.</w:t>
            </w:r>
          </w:p>
        </w:tc>
        <w:tc>
          <w:tcPr>
            <w:tcW w:w="3622" w:type="dxa"/>
            <w:vAlign w:val="center"/>
          </w:tcPr>
          <w:p w14:paraId="02EBFB7A" w14:textId="7D678CA6"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Sub</w:t>
            </w:r>
            <w:r w:rsidR="00E072B9">
              <w:rPr>
                <w:rFonts w:ascii="Arial Narrow" w:eastAsiaTheme="majorEastAsia" w:hAnsi="Arial Narrow" w:cstheme="majorBidi"/>
                <w:bCs/>
                <w:sz w:val="20"/>
              </w:rPr>
              <w:noBreakHyphen/>
            </w:r>
            <w:r>
              <w:rPr>
                <w:rFonts w:ascii="Arial Narrow" w:eastAsiaTheme="majorEastAsia" w:hAnsi="Arial Narrow" w:cstheme="majorBidi"/>
                <w:bCs/>
                <w:sz w:val="20"/>
              </w:rPr>
              <w:t>Committees agreed with the Commentary th</w:t>
            </w:r>
            <w:r w:rsidRPr="00E750DB">
              <w:rPr>
                <w:rFonts w:ascii="Arial Narrow" w:eastAsiaTheme="majorEastAsia" w:hAnsi="Arial Narrow" w:cstheme="majorBidi"/>
                <w:bCs/>
                <w:sz w:val="20"/>
              </w:rPr>
              <w:t xml:space="preserve">e application of prevalence to this population only underestimated the number of AHP patients as prevalence estimates were based on whole country populations. </w:t>
            </w:r>
          </w:p>
        </w:tc>
      </w:tr>
      <w:tr w:rsidR="006860B2" w:rsidRPr="00E750DB" w14:paraId="2035030F" w14:textId="156762E2" w:rsidTr="006860B2">
        <w:trPr>
          <w:cantSplit/>
        </w:trPr>
        <w:tc>
          <w:tcPr>
            <w:tcW w:w="1648" w:type="dxa"/>
            <w:vAlign w:val="center"/>
          </w:tcPr>
          <w:p w14:paraId="59706CD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Average age of menopause</w:t>
            </w:r>
          </w:p>
        </w:tc>
        <w:tc>
          <w:tcPr>
            <w:tcW w:w="1467" w:type="dxa"/>
            <w:vAlign w:val="center"/>
          </w:tcPr>
          <w:p w14:paraId="490BAEF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51 years</w:t>
            </w:r>
          </w:p>
        </w:tc>
        <w:tc>
          <w:tcPr>
            <w:tcW w:w="2280" w:type="dxa"/>
            <w:vAlign w:val="center"/>
          </w:tcPr>
          <w:p w14:paraId="6043610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Gold 2011; Xu 2020</w:t>
            </w:r>
          </w:p>
        </w:tc>
        <w:tc>
          <w:tcPr>
            <w:tcW w:w="3622" w:type="dxa"/>
            <w:vAlign w:val="center"/>
          </w:tcPr>
          <w:p w14:paraId="13EDADE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assumed average age of menopause at 51 years aligns with data from Gold 2011 and Xu 2020, which report an average range of 50–52 years. Age of onset of menopause is consistent with the submission’s economic model.</w:t>
            </w:r>
          </w:p>
        </w:tc>
      </w:tr>
      <w:tr w:rsidR="006860B2" w:rsidRPr="00E750DB" w14:paraId="045A050B" w14:textId="5AFB7B2B" w:rsidTr="006860B2">
        <w:trPr>
          <w:cantSplit/>
        </w:trPr>
        <w:tc>
          <w:tcPr>
            <w:tcW w:w="1648" w:type="dxa"/>
            <w:vAlign w:val="center"/>
          </w:tcPr>
          <w:p w14:paraId="2CC31A43" w14:textId="71F42E2E"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Estimated population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(i.e. 51 years and above).</w:t>
            </w:r>
          </w:p>
        </w:tc>
        <w:tc>
          <w:tcPr>
            <w:tcW w:w="1467" w:type="dxa"/>
            <w:vAlign w:val="center"/>
          </w:tcPr>
          <w:p w14:paraId="53D33E9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5,021,462</w:t>
            </w:r>
          </w:p>
          <w:p w14:paraId="6A147D1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5,119,250</w:t>
            </w:r>
          </w:p>
          <w:p w14:paraId="2F10E16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5,215,296</w:t>
            </w:r>
          </w:p>
          <w:p w14:paraId="35A52AA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5,309,932</w:t>
            </w:r>
          </w:p>
          <w:p w14:paraId="1C612B0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5,406,019</w:t>
            </w:r>
          </w:p>
          <w:p w14:paraId="56BC321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5,502,436</w:t>
            </w:r>
          </w:p>
        </w:tc>
        <w:tc>
          <w:tcPr>
            <w:tcW w:w="2280" w:type="dxa"/>
            <w:vAlign w:val="center"/>
          </w:tcPr>
          <w:p w14:paraId="0CD96216" w14:textId="74B682EC"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 The submission applied a different uptake rate to this sub</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population group compared to those ≥ 12 to 50.</w:t>
            </w:r>
          </w:p>
        </w:tc>
        <w:tc>
          <w:tcPr>
            <w:tcW w:w="3622" w:type="dxa"/>
            <w:vMerge w:val="restart"/>
            <w:vAlign w:val="center"/>
          </w:tcPr>
          <w:p w14:paraId="7D259418" w14:textId="6255A707" w:rsidR="006860B2" w:rsidRPr="00AA6335" w:rsidRDefault="006860B2" w:rsidP="00E072B9">
            <w:pPr>
              <w:jc w:val="left"/>
              <w:rPr>
                <w:rFonts w:ascii="Arial Narrow" w:eastAsiaTheme="majorEastAsia" w:hAnsi="Arial Narrow" w:cstheme="majorBidi"/>
                <w:bCs/>
                <w:sz w:val="20"/>
              </w:rPr>
            </w:pPr>
            <w:r w:rsidRPr="00AA6335">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AA6335">
              <w:rPr>
                <w:rFonts w:ascii="Arial Narrow" w:eastAsiaTheme="majorEastAsia" w:hAnsi="Arial Narrow" w:cstheme="majorBidi"/>
                <w:bCs/>
                <w:sz w:val="20"/>
              </w:rPr>
              <w:t>Committees considered that it was not appropriate to split the eligible population into pre</w:t>
            </w:r>
            <w:r w:rsidR="00E072B9">
              <w:rPr>
                <w:rFonts w:ascii="Arial Narrow" w:eastAsiaTheme="majorEastAsia" w:hAnsi="Arial Narrow" w:cstheme="majorBidi"/>
                <w:bCs/>
                <w:sz w:val="20"/>
              </w:rPr>
              <w:noBreakHyphen/>
            </w:r>
            <w:r w:rsidRPr="00AA6335">
              <w:rPr>
                <w:rFonts w:ascii="Arial Narrow" w:eastAsiaTheme="majorEastAsia" w:hAnsi="Arial Narrow" w:cstheme="majorBidi"/>
                <w:bCs/>
                <w:sz w:val="20"/>
              </w:rPr>
              <w:t xml:space="preserve"> and post</w:t>
            </w:r>
            <w:r w:rsidR="00E072B9">
              <w:rPr>
                <w:rFonts w:ascii="Arial Narrow" w:eastAsiaTheme="majorEastAsia" w:hAnsi="Arial Narrow" w:cstheme="majorBidi"/>
                <w:bCs/>
                <w:sz w:val="20"/>
              </w:rPr>
              <w:noBreakHyphen/>
            </w:r>
            <w:r w:rsidRPr="00AA6335">
              <w:rPr>
                <w:rFonts w:ascii="Arial Narrow" w:eastAsiaTheme="majorEastAsia" w:hAnsi="Arial Narrow" w:cstheme="majorBidi"/>
                <w:bCs/>
                <w:sz w:val="20"/>
              </w:rPr>
              <w:t>menopausal. This split as applied to the estimates will result in an underestimate of patient numbers.</w:t>
            </w:r>
          </w:p>
          <w:p w14:paraId="0A94AA68" w14:textId="63B12745" w:rsidR="006860B2" w:rsidRPr="00E750DB" w:rsidRDefault="006860B2" w:rsidP="00E072B9">
            <w:pPr>
              <w:jc w:val="left"/>
              <w:rPr>
                <w:rFonts w:ascii="Arial Narrow" w:eastAsiaTheme="majorEastAsia" w:hAnsi="Arial Narrow" w:cstheme="majorBidi"/>
                <w:bCs/>
                <w:sz w:val="20"/>
              </w:rPr>
            </w:pPr>
          </w:p>
        </w:tc>
      </w:tr>
      <w:tr w:rsidR="006860B2" w:rsidRPr="00E750DB" w14:paraId="4FB8DAF8" w14:textId="6A201622" w:rsidTr="006860B2">
        <w:trPr>
          <w:cantSplit/>
        </w:trPr>
        <w:tc>
          <w:tcPr>
            <w:tcW w:w="1648" w:type="dxa"/>
            <w:vAlign w:val="center"/>
          </w:tcPr>
          <w:p w14:paraId="0C801F63" w14:textId="0D6C2506"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Total population 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2A40C8C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17,336,456</w:t>
            </w:r>
          </w:p>
          <w:p w14:paraId="1263031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17,497,351</w:t>
            </w:r>
          </w:p>
          <w:p w14:paraId="7B7939F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17,772,129</w:t>
            </w:r>
          </w:p>
          <w:p w14:paraId="74B127D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18,047,069</w:t>
            </w:r>
          </w:p>
          <w:p w14:paraId="4B5374F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18,310,581</w:t>
            </w:r>
          </w:p>
          <w:p w14:paraId="5BBA472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18,563,733</w:t>
            </w:r>
          </w:p>
        </w:tc>
        <w:tc>
          <w:tcPr>
            <w:tcW w:w="2280" w:type="dxa"/>
            <w:vAlign w:val="center"/>
          </w:tcPr>
          <w:p w14:paraId="1448517A" w14:textId="6E6B933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 (calculated by subtracting the estimated number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menopausal women (aged ≥ 51 years) from the total population. </w:t>
            </w:r>
          </w:p>
        </w:tc>
        <w:tc>
          <w:tcPr>
            <w:tcW w:w="3622" w:type="dxa"/>
            <w:vMerge/>
            <w:vAlign w:val="center"/>
          </w:tcPr>
          <w:p w14:paraId="356A728A" w14:textId="0C11613F" w:rsidR="006860B2" w:rsidRPr="00E750DB" w:rsidRDefault="006860B2" w:rsidP="00E072B9">
            <w:pPr>
              <w:jc w:val="left"/>
              <w:rPr>
                <w:rFonts w:ascii="Arial Narrow" w:eastAsiaTheme="majorEastAsia" w:hAnsi="Arial Narrow" w:cstheme="majorBidi"/>
                <w:bCs/>
                <w:sz w:val="20"/>
              </w:rPr>
            </w:pPr>
          </w:p>
        </w:tc>
      </w:tr>
      <w:tr w:rsidR="006860B2" w:rsidRPr="00E750DB" w14:paraId="0E9767F9" w14:textId="45814670" w:rsidTr="006860B2">
        <w:trPr>
          <w:cantSplit/>
        </w:trPr>
        <w:tc>
          <w:tcPr>
            <w:tcW w:w="1648" w:type="dxa"/>
            <w:vAlign w:val="center"/>
          </w:tcPr>
          <w:p w14:paraId="01B536D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Prevalence rate of symptomatic/ diagnosed AHP (all types)</w:t>
            </w:r>
          </w:p>
        </w:tc>
        <w:tc>
          <w:tcPr>
            <w:tcW w:w="1467" w:type="dxa"/>
            <w:vAlign w:val="center"/>
          </w:tcPr>
          <w:p w14:paraId="200561F2" w14:textId="74D1446C"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10.6/million (0.001006%) </w:t>
            </w:r>
          </w:p>
          <w:p w14:paraId="098B4F38" w14:textId="1B3ADDE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AIP: 5.9/million</w:t>
            </w:r>
          </w:p>
          <w:p w14:paraId="406ADAB4" w14:textId="3C5F5B01"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VP: 3.2/ million</w:t>
            </w:r>
          </w:p>
          <w:p w14:paraId="5E55108B" w14:textId="313313C6"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HCP: 0.8 /million</w:t>
            </w:r>
          </w:p>
          <w:p w14:paraId="00688695" w14:textId="0F8A67AD"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Other (e.g. ADP and homozygous VP): 0.16/ million.</w:t>
            </w:r>
          </w:p>
        </w:tc>
        <w:tc>
          <w:tcPr>
            <w:tcW w:w="2280" w:type="dxa"/>
            <w:vAlign w:val="center"/>
          </w:tcPr>
          <w:p w14:paraId="44FFACB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Elder 2013; The estimated prevalence of 10.6 per million was derived by summing the prevalence of each AHP subtype reported in the study. These subtype prevalences were calculated using reported incidence rates and assumed mean disease duration. </w:t>
            </w:r>
          </w:p>
        </w:tc>
        <w:tc>
          <w:tcPr>
            <w:tcW w:w="3622" w:type="dxa"/>
            <w:vAlign w:val="center"/>
          </w:tcPr>
          <w:p w14:paraId="1F90BC60" w14:textId="5007A6B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Elder 2013 reported the incidence (n=335) of AHP from 11 European countries over a three</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year period. Elder 2013 focused on symptomatic cases and excludes asymptomatic gene carriers or undiagnosed individuals. The estimates were not based on direct observation but calculated by multiplying incidence rates by assumed disease durations (e.g. 40–60 years depending on AHP subtype) to the total population of each country. These durations are not aligned with the lifetime treatment horizon assumed in the PBS listing, which may limit the applicability of these figures to the Australian </w:t>
            </w:r>
            <w:r w:rsidRPr="0049611D">
              <w:rPr>
                <w:rFonts w:ascii="Arial Narrow" w:eastAsiaTheme="majorEastAsia" w:hAnsi="Arial Narrow" w:cstheme="majorBidi"/>
                <w:bCs/>
                <w:sz w:val="20"/>
              </w:rPr>
              <w:t>context. The Sub</w:t>
            </w:r>
            <w:r w:rsidR="00E072B9">
              <w:rPr>
                <w:rFonts w:ascii="Arial Narrow" w:eastAsiaTheme="majorEastAsia" w:hAnsi="Arial Narrow" w:cstheme="majorBidi"/>
                <w:bCs/>
                <w:sz w:val="20"/>
              </w:rPr>
              <w:noBreakHyphen/>
            </w:r>
            <w:r w:rsidRPr="0049611D">
              <w:rPr>
                <w:rFonts w:ascii="Arial Narrow" w:eastAsiaTheme="majorEastAsia" w:hAnsi="Arial Narrow" w:cstheme="majorBidi"/>
                <w:bCs/>
                <w:sz w:val="20"/>
              </w:rPr>
              <w:t>Committees noted that the prevalence is in alignment with other studies presented in submission.</w:t>
            </w:r>
          </w:p>
        </w:tc>
      </w:tr>
      <w:tr w:rsidR="006860B2" w:rsidRPr="00E750DB" w14:paraId="3023BE7B" w14:textId="25742B83" w:rsidTr="006860B2">
        <w:trPr>
          <w:cantSplit/>
        </w:trPr>
        <w:tc>
          <w:tcPr>
            <w:tcW w:w="1648" w:type="dxa"/>
            <w:vAlign w:val="center"/>
          </w:tcPr>
          <w:p w14:paraId="617C7EAA" w14:textId="2D33FBEC" w:rsidR="006860B2" w:rsidRPr="00E750DB" w:rsidRDefault="006860B2" w:rsidP="00E072B9">
            <w:pPr>
              <w:jc w:val="left"/>
              <w:rPr>
                <w:rFonts w:ascii="Arial Narrow" w:eastAsiaTheme="majorEastAsia" w:hAnsi="Arial Narrow" w:cstheme="majorBidi"/>
                <w:bCs/>
                <w:sz w:val="20"/>
                <w:szCs w:val="18"/>
              </w:rPr>
            </w:pPr>
            <w:r w:rsidRPr="00E750DB">
              <w:rPr>
                <w:rFonts w:ascii="Arial Narrow" w:eastAsiaTheme="majorEastAsia" w:hAnsi="Arial Narrow" w:cstheme="majorBidi"/>
                <w:bCs/>
                <w:sz w:val="20"/>
                <w:szCs w:val="18"/>
              </w:rPr>
              <w:t xml:space="preserve">Prevalence of AHP in </w:t>
            </w:r>
            <w:r w:rsidRPr="00E750DB">
              <w:rPr>
                <w:rFonts w:ascii="Arial Narrow" w:eastAsiaTheme="majorEastAsia" w:hAnsi="Arial Narrow" w:cstheme="majorBidi"/>
                <w:bCs/>
                <w:sz w:val="20"/>
              </w:rPr>
              <w:t xml:space="preserve">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00143D58"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174.4</w:t>
            </w:r>
          </w:p>
          <w:p w14:paraId="2381F69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176.02</w:t>
            </w:r>
          </w:p>
          <w:p w14:paraId="4BDCE8D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178.79</w:t>
            </w:r>
          </w:p>
          <w:p w14:paraId="74DDC1F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181.55</w:t>
            </w:r>
          </w:p>
          <w:p w14:paraId="7A66371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184.20</w:t>
            </w:r>
          </w:p>
          <w:p w14:paraId="3E5BF64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186.75</w:t>
            </w:r>
          </w:p>
        </w:tc>
        <w:tc>
          <w:tcPr>
            <w:tcW w:w="2280" w:type="dxa"/>
            <w:vAlign w:val="center"/>
          </w:tcPr>
          <w:p w14:paraId="6903A695" w14:textId="46129108"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Calculated by applying the prevalence rate to the total population 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3622" w:type="dxa"/>
            <w:vAlign w:val="center"/>
          </w:tcPr>
          <w:p w14:paraId="4C1A8316" w14:textId="1E3C6C6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It was unreasonable to expect that the incidence of AHP in patients aged &lt;12 would be the same as those aged ≥12</w:t>
            </w:r>
            <w:r>
              <w:rPr>
                <w:rFonts w:ascii="Arial Narrow" w:eastAsiaTheme="majorEastAsia" w:hAnsi="Arial Narrow" w:cstheme="majorBidi"/>
                <w:bCs/>
                <w:sz w:val="20"/>
              </w:rPr>
              <w:t xml:space="preserve"> and these calculations therefore underestimate the population</w:t>
            </w:r>
            <w:r w:rsidRPr="00E750DB">
              <w:rPr>
                <w:rFonts w:ascii="Arial Narrow" w:eastAsiaTheme="majorEastAsia" w:hAnsi="Arial Narrow" w:cstheme="majorBidi"/>
                <w:bCs/>
                <w:sz w:val="20"/>
              </w:rPr>
              <w:t>. Financial estimates using the whole Australian population were calculated during the evaluation as sensitivity analysis.</w:t>
            </w:r>
          </w:p>
        </w:tc>
      </w:tr>
      <w:tr w:rsidR="006860B2" w:rsidRPr="00E750DB" w14:paraId="476B9356" w14:textId="59FAC17B" w:rsidTr="006860B2">
        <w:trPr>
          <w:cantSplit/>
        </w:trPr>
        <w:tc>
          <w:tcPr>
            <w:tcW w:w="1648" w:type="dxa"/>
            <w:vAlign w:val="center"/>
          </w:tcPr>
          <w:p w14:paraId="664F4634" w14:textId="6F2AF4DB"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Prevalence of AHP in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0A452AB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50.52</w:t>
            </w:r>
          </w:p>
          <w:p w14:paraId="1A843839"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51.50</w:t>
            </w:r>
          </w:p>
          <w:p w14:paraId="5D6DADB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52.47</w:t>
            </w:r>
          </w:p>
          <w:p w14:paraId="53ADF22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53.42</w:t>
            </w:r>
          </w:p>
          <w:p w14:paraId="532F0C7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54.38</w:t>
            </w:r>
          </w:p>
          <w:p w14:paraId="4EFD423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55.35</w:t>
            </w:r>
          </w:p>
        </w:tc>
        <w:tc>
          <w:tcPr>
            <w:tcW w:w="2280" w:type="dxa"/>
            <w:vAlign w:val="center"/>
          </w:tcPr>
          <w:p w14:paraId="64E0FDEE" w14:textId="50FABF73"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Calculated by applying the prevalence rate to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(i.e. 51 years and above).</w:t>
            </w:r>
          </w:p>
        </w:tc>
        <w:tc>
          <w:tcPr>
            <w:tcW w:w="3622" w:type="dxa"/>
            <w:vAlign w:val="center"/>
          </w:tcPr>
          <w:p w14:paraId="267A9324" w14:textId="207BC55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w:t>
            </w:r>
            <w:r>
              <w:rPr>
                <w:rFonts w:ascii="Arial Narrow" w:eastAsiaTheme="majorEastAsia" w:hAnsi="Arial Narrow" w:cstheme="majorBidi"/>
                <w:bCs/>
                <w:sz w:val="20"/>
              </w:rPr>
              <w:t xml:space="preserve">Commentary considered </w:t>
            </w:r>
            <w:r w:rsidRPr="00E750DB">
              <w:rPr>
                <w:rFonts w:ascii="Arial Narrow" w:eastAsiaTheme="majorEastAsia" w:hAnsi="Arial Narrow" w:cstheme="majorBidi"/>
                <w:bCs/>
                <w:sz w:val="20"/>
              </w:rPr>
              <w:t>calculation of these patient numbers seems reasonable.</w:t>
            </w:r>
          </w:p>
        </w:tc>
      </w:tr>
      <w:tr w:rsidR="006860B2" w:rsidRPr="00E750DB" w14:paraId="5D122FB3" w14:textId="04D68A8D" w:rsidTr="006860B2">
        <w:trPr>
          <w:cantSplit/>
        </w:trPr>
        <w:tc>
          <w:tcPr>
            <w:tcW w:w="1648" w:type="dxa"/>
            <w:vAlign w:val="center"/>
          </w:tcPr>
          <w:p w14:paraId="05001A1F" w14:textId="1FD9C52B"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Total eligible population with AHP (aged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including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6FF6BC8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225</w:t>
            </w:r>
          </w:p>
          <w:p w14:paraId="67AA5EE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228</w:t>
            </w:r>
          </w:p>
          <w:p w14:paraId="0E07AD0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231</w:t>
            </w:r>
          </w:p>
          <w:p w14:paraId="578652C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235</w:t>
            </w:r>
          </w:p>
          <w:p w14:paraId="572205E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239</w:t>
            </w:r>
          </w:p>
          <w:p w14:paraId="4F48C9C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242</w:t>
            </w:r>
          </w:p>
        </w:tc>
        <w:tc>
          <w:tcPr>
            <w:tcW w:w="2280" w:type="dxa"/>
            <w:vAlign w:val="center"/>
          </w:tcPr>
          <w:p w14:paraId="3670C75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Adding the above two population subgroups.</w:t>
            </w:r>
          </w:p>
        </w:tc>
        <w:tc>
          <w:tcPr>
            <w:tcW w:w="3622" w:type="dxa"/>
            <w:vAlign w:val="center"/>
          </w:tcPr>
          <w:p w14:paraId="1F9CCA86" w14:textId="533BB3B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Given issues with calculation of prevalence of AHP (not using whole Australian population), likely underestimated</w:t>
            </w:r>
            <w:r>
              <w:rPr>
                <w:rFonts w:ascii="Arial Narrow" w:eastAsiaTheme="majorEastAsia" w:hAnsi="Arial Narrow" w:cstheme="majorBidi"/>
                <w:bCs/>
                <w:sz w:val="20"/>
              </w:rPr>
              <w:t>.</w:t>
            </w:r>
            <w:r w:rsidRPr="00E750DB">
              <w:rPr>
                <w:rFonts w:ascii="Arial Narrow" w:eastAsiaTheme="majorEastAsia" w:hAnsi="Arial Narrow" w:cstheme="majorBidi"/>
                <w:bCs/>
                <w:sz w:val="20"/>
              </w:rPr>
              <w:t xml:space="preserve"> </w:t>
            </w:r>
          </w:p>
        </w:tc>
      </w:tr>
      <w:tr w:rsidR="006860B2" w:rsidRPr="00E750DB" w14:paraId="1AE772EE" w14:textId="48654234" w:rsidTr="006860B2">
        <w:trPr>
          <w:cantSplit/>
        </w:trPr>
        <w:tc>
          <w:tcPr>
            <w:tcW w:w="1648" w:type="dxa"/>
            <w:vAlign w:val="center"/>
          </w:tcPr>
          <w:p w14:paraId="1DBCC8A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Estimated proportion presenting with acute attack </w:t>
            </w:r>
          </w:p>
        </w:tc>
        <w:tc>
          <w:tcPr>
            <w:tcW w:w="1467" w:type="dxa"/>
            <w:vAlign w:val="center"/>
          </w:tcPr>
          <w:p w14:paraId="6E69CA3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73.7% (weighted average)</w:t>
            </w:r>
          </w:p>
        </w:tc>
        <w:tc>
          <w:tcPr>
            <w:tcW w:w="2280" w:type="dxa"/>
            <w:vAlign w:val="center"/>
          </w:tcPr>
          <w:p w14:paraId="6B7E7D62" w14:textId="056B3479"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Elder 2013. The study presented data across different types of AHP patients, categorised by mode of presentation—those experiencing acute attacks (with or without hospital admission) and </w:t>
            </w:r>
            <w:r>
              <w:rPr>
                <w:rFonts w:ascii="Arial Narrow" w:eastAsiaTheme="majorEastAsia" w:hAnsi="Arial Narrow" w:cstheme="majorBidi"/>
                <w:bCs/>
                <w:sz w:val="20"/>
              </w:rPr>
              <w:t>p</w:t>
            </w:r>
            <w:r w:rsidRPr="00E750DB">
              <w:rPr>
                <w:rFonts w:ascii="Arial Narrow" w:eastAsiaTheme="majorEastAsia" w:hAnsi="Arial Narrow" w:cstheme="majorBidi"/>
                <w:bCs/>
                <w:sz w:val="20"/>
              </w:rPr>
              <w:t>atients presenting with cutaneous symptoms w</w:t>
            </w:r>
            <w:r>
              <w:rPr>
                <w:rFonts w:ascii="Arial Narrow" w:eastAsiaTheme="majorEastAsia" w:hAnsi="Arial Narrow" w:cstheme="majorBidi"/>
                <w:bCs/>
                <w:sz w:val="20"/>
              </w:rPr>
              <w:t>ere</w:t>
            </w:r>
            <w:r w:rsidRPr="00E750DB">
              <w:rPr>
                <w:rFonts w:ascii="Arial Narrow" w:eastAsiaTheme="majorEastAsia" w:hAnsi="Arial Narrow" w:cstheme="majorBidi"/>
                <w:bCs/>
                <w:sz w:val="20"/>
              </w:rPr>
              <w:t xml:space="preserve"> excluded. </w:t>
            </w:r>
          </w:p>
        </w:tc>
        <w:tc>
          <w:tcPr>
            <w:tcW w:w="3622" w:type="dxa"/>
            <w:vAlign w:val="center"/>
          </w:tcPr>
          <w:p w14:paraId="6E9D12CF" w14:textId="0FF1E096"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definitions of attacks used in Elder 2013 was broad and not standardised, not necessarily requiring hospitalisation or urgent medical care as opposed to the stricter criteria proposed for PBS listing. While this may lead to an overestimation, given the limited data on the condition these inputs may be reasonable. </w:t>
            </w:r>
            <w:r w:rsidRPr="002D4E1B">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2D4E1B">
              <w:rPr>
                <w:rFonts w:ascii="Arial Narrow" w:eastAsiaTheme="majorEastAsia" w:hAnsi="Arial Narrow" w:cstheme="majorBidi"/>
                <w:bCs/>
                <w:sz w:val="20"/>
              </w:rPr>
              <w:t>Committees considered that this estimate was uncertain given variability in prevalence estimates.</w:t>
            </w:r>
          </w:p>
        </w:tc>
      </w:tr>
      <w:tr w:rsidR="006860B2" w:rsidRPr="00E750DB" w14:paraId="00E2E249" w14:textId="79DAFB42" w:rsidTr="006860B2">
        <w:trPr>
          <w:cantSplit/>
        </w:trPr>
        <w:tc>
          <w:tcPr>
            <w:tcW w:w="1648" w:type="dxa"/>
            <w:vAlign w:val="center"/>
          </w:tcPr>
          <w:p w14:paraId="3C30E54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Estimated proportion meeting the definition of “recurrent attacks”</w:t>
            </w:r>
          </w:p>
        </w:tc>
        <w:tc>
          <w:tcPr>
            <w:tcW w:w="1467" w:type="dxa"/>
            <w:vAlign w:val="center"/>
          </w:tcPr>
          <w:p w14:paraId="3AD9E12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31.4%</w:t>
            </w:r>
          </w:p>
        </w:tc>
        <w:tc>
          <w:tcPr>
            <w:tcW w:w="2280" w:type="dxa"/>
            <w:vAlign w:val="center"/>
          </w:tcPr>
          <w:p w14:paraId="539FDD73" w14:textId="087B21E8"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Neeleman 2018 </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 11 out of 35 total symptomatic (defined as having had one or more confirmed acute attack in their life) patients were “recurrent” (defined as having had four attacks in any 12</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month period or are on prophylactic haem therapy).</w:t>
            </w:r>
          </w:p>
        </w:tc>
        <w:tc>
          <w:tcPr>
            <w:tcW w:w="3622" w:type="dxa"/>
            <w:vAlign w:val="center"/>
          </w:tcPr>
          <w:p w14:paraId="36FF72C6" w14:textId="714D75A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definition of attacks in Neeleman 2018 differed to ENVISION and the requested restriction and </w:t>
            </w:r>
            <w:r w:rsidR="00371FA4">
              <w:rPr>
                <w:rFonts w:ascii="Arial Narrow" w:eastAsiaTheme="majorEastAsia" w:hAnsi="Arial Narrow" w:cstheme="majorBidi"/>
                <w:bCs/>
                <w:sz w:val="20"/>
              </w:rPr>
              <w:t xml:space="preserve">this </w:t>
            </w:r>
            <w:r w:rsidRPr="00E750DB">
              <w:rPr>
                <w:rFonts w:ascii="Arial Narrow" w:eastAsiaTheme="majorEastAsia" w:hAnsi="Arial Narrow" w:cstheme="majorBidi"/>
                <w:bCs/>
                <w:sz w:val="20"/>
              </w:rPr>
              <w:t>has potential applicability issues. This difference in definitions may introduce some uncertainty in the number of ‘recurrent’ patients who would be eligible for givosiran</w:t>
            </w:r>
            <w:r w:rsidRPr="005B7BB9">
              <w:rPr>
                <w:rFonts w:ascii="Arial Narrow" w:eastAsiaTheme="majorEastAsia" w:hAnsi="Arial Narrow" w:cstheme="majorBidi"/>
                <w:bCs/>
                <w:sz w:val="20"/>
              </w:rPr>
              <w:t>. The Sub</w:t>
            </w:r>
            <w:r w:rsidR="00E072B9">
              <w:rPr>
                <w:rFonts w:ascii="Arial Narrow" w:eastAsiaTheme="majorEastAsia" w:hAnsi="Arial Narrow" w:cstheme="majorBidi"/>
                <w:bCs/>
                <w:sz w:val="20"/>
              </w:rPr>
              <w:noBreakHyphen/>
            </w:r>
            <w:r w:rsidRPr="005B7BB9">
              <w:rPr>
                <w:rFonts w:ascii="Arial Narrow" w:eastAsiaTheme="majorEastAsia" w:hAnsi="Arial Narrow" w:cstheme="majorBidi"/>
                <w:bCs/>
                <w:sz w:val="20"/>
              </w:rPr>
              <w:t>Committees noted that as Neeleman 2018 provided lifetime estimates, and not annualised rates of recurrent attack in any six</w:t>
            </w:r>
            <w:r w:rsidR="00E072B9">
              <w:rPr>
                <w:rFonts w:ascii="Arial Narrow" w:eastAsiaTheme="majorEastAsia" w:hAnsi="Arial Narrow" w:cstheme="majorBidi"/>
                <w:bCs/>
                <w:sz w:val="20"/>
              </w:rPr>
              <w:noBreakHyphen/>
            </w:r>
            <w:r w:rsidRPr="005B7BB9">
              <w:rPr>
                <w:rFonts w:ascii="Arial Narrow" w:eastAsiaTheme="majorEastAsia" w:hAnsi="Arial Narrow" w:cstheme="majorBidi"/>
                <w:bCs/>
                <w:sz w:val="20"/>
              </w:rPr>
              <w:t xml:space="preserve">month period, the lifetime estimate will be an overestimate if applied as an annual estimate (as undertaken in the submission). </w:t>
            </w:r>
            <w:r w:rsidR="00E072B9" w:rsidRPr="005B7BB9">
              <w:rPr>
                <w:rFonts w:ascii="Arial Narrow" w:eastAsiaTheme="majorEastAsia" w:hAnsi="Arial Narrow" w:cstheme="majorBidi"/>
                <w:bCs/>
                <w:sz w:val="20"/>
              </w:rPr>
              <w:t>However,</w:t>
            </w:r>
            <w:r w:rsidRPr="005B7BB9">
              <w:rPr>
                <w:rFonts w:ascii="Arial Narrow" w:eastAsiaTheme="majorEastAsia" w:hAnsi="Arial Narrow" w:cstheme="majorBidi"/>
                <w:bCs/>
                <w:sz w:val="20"/>
              </w:rPr>
              <w:t xml:space="preserve"> it is apparent from individual patient data in the study that more people are eligible than the 31%, suggesting that this is an underestimate of the proportion of patients who would meet this definition at some point in their life.</w:t>
            </w:r>
          </w:p>
        </w:tc>
      </w:tr>
      <w:tr w:rsidR="006860B2" w:rsidRPr="00E750DB" w14:paraId="0BBE9D82" w14:textId="6AC8C662" w:rsidTr="006860B2">
        <w:trPr>
          <w:cantSplit/>
        </w:trPr>
        <w:tc>
          <w:tcPr>
            <w:tcW w:w="1648" w:type="dxa"/>
            <w:vAlign w:val="center"/>
          </w:tcPr>
          <w:p w14:paraId="1B0FC185" w14:textId="06DEC22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Proportion meeting the proposed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criterion</w:t>
            </w:r>
          </w:p>
        </w:tc>
        <w:tc>
          <w:tcPr>
            <w:tcW w:w="1467" w:type="dxa"/>
            <w:vAlign w:val="center"/>
          </w:tcPr>
          <w:p w14:paraId="467FCB3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23.2% </w:t>
            </w:r>
          </w:p>
        </w:tc>
        <w:tc>
          <w:tcPr>
            <w:tcW w:w="2280" w:type="dxa"/>
            <w:vAlign w:val="center"/>
          </w:tcPr>
          <w:p w14:paraId="2FA4797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Neeleman 2018 and Elder 2013. The submission combined the estimated proportion presenting with acute attack of 73.7% with the estimated proportion meeting the definition of “recurrent attacks” i.e. 31.4%. (73.7%*31.4%)</w:t>
            </w:r>
          </w:p>
        </w:tc>
        <w:tc>
          <w:tcPr>
            <w:tcW w:w="3622" w:type="dxa"/>
            <w:vAlign w:val="center"/>
          </w:tcPr>
          <w:p w14:paraId="53D41F39" w14:textId="2046B90D"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While Neeleman 2018 and Elder 2013 had applicability issues, if accepted, the proportion is arithmetically accurate. However, there are other published sources (e.g. Stölzel 2024) which were tested in sensitivity </w:t>
            </w:r>
            <w:r w:rsidRPr="009546D1">
              <w:rPr>
                <w:rFonts w:ascii="Arial Narrow" w:eastAsiaTheme="majorEastAsia" w:hAnsi="Arial Narrow" w:cstheme="majorBidi"/>
                <w:bCs/>
                <w:sz w:val="20"/>
              </w:rPr>
              <w:t>analyses. The Sub</w:t>
            </w:r>
            <w:r w:rsidR="00E072B9">
              <w:rPr>
                <w:rFonts w:ascii="Arial Narrow" w:eastAsiaTheme="majorEastAsia" w:hAnsi="Arial Narrow" w:cstheme="majorBidi"/>
                <w:bCs/>
                <w:sz w:val="20"/>
              </w:rPr>
              <w:noBreakHyphen/>
            </w:r>
            <w:r w:rsidRPr="009546D1">
              <w:rPr>
                <w:rFonts w:ascii="Arial Narrow" w:eastAsiaTheme="majorEastAsia" w:hAnsi="Arial Narrow" w:cstheme="majorBidi"/>
                <w:bCs/>
                <w:sz w:val="20"/>
              </w:rPr>
              <w:t>Committees considered that this was uncertain given the uncertainties in the related inputs.</w:t>
            </w:r>
          </w:p>
        </w:tc>
      </w:tr>
      <w:tr w:rsidR="006860B2" w:rsidRPr="00E750DB" w14:paraId="798B5314" w14:textId="66D489CE" w:rsidTr="006860B2">
        <w:trPr>
          <w:cantSplit/>
        </w:trPr>
        <w:tc>
          <w:tcPr>
            <w:tcW w:w="1648" w:type="dxa"/>
            <w:vAlign w:val="center"/>
          </w:tcPr>
          <w:p w14:paraId="2AAD48DD" w14:textId="355A14D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Subgroup: estimated patients aged ≥12 years,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54D1087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40</w:t>
            </w:r>
          </w:p>
          <w:p w14:paraId="723DE629"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41</w:t>
            </w:r>
          </w:p>
          <w:p w14:paraId="4BB3B08D"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41</w:t>
            </w:r>
          </w:p>
          <w:p w14:paraId="4788DC3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42</w:t>
            </w:r>
          </w:p>
          <w:p w14:paraId="6875701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43</w:t>
            </w:r>
          </w:p>
          <w:p w14:paraId="7C5A061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43</w:t>
            </w:r>
          </w:p>
        </w:tc>
        <w:tc>
          <w:tcPr>
            <w:tcW w:w="2280" w:type="dxa"/>
            <w:vAlign w:val="center"/>
          </w:tcPr>
          <w:p w14:paraId="24A84AC4" w14:textId="6F00876E"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is calculated by applying the above proportion of meeting the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criteria.</w:t>
            </w:r>
          </w:p>
        </w:tc>
        <w:tc>
          <w:tcPr>
            <w:tcW w:w="3622" w:type="dxa"/>
            <w:vAlign w:val="center"/>
          </w:tcPr>
          <w:p w14:paraId="674913D9" w14:textId="0169D68E"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A</w:t>
            </w:r>
            <w:r w:rsidRPr="00E750DB">
              <w:rPr>
                <w:rFonts w:ascii="Arial Narrow" w:eastAsiaTheme="majorEastAsia" w:hAnsi="Arial Narrow" w:cstheme="majorBidi"/>
                <w:bCs/>
                <w:sz w:val="20"/>
              </w:rPr>
              <w:t xml:space="preserve">s </w:t>
            </w:r>
            <w:r w:rsidR="005F2E0B">
              <w:rPr>
                <w:rFonts w:ascii="Arial Narrow" w:eastAsiaTheme="majorEastAsia" w:hAnsi="Arial Narrow" w:cstheme="majorBidi"/>
                <w:bCs/>
                <w:sz w:val="20"/>
              </w:rPr>
              <w:t>above</w:t>
            </w:r>
            <w:r w:rsidRPr="00E750DB">
              <w:rPr>
                <w:rFonts w:ascii="Arial Narrow" w:eastAsiaTheme="majorEastAsia" w:hAnsi="Arial Narrow" w:cstheme="majorBidi"/>
                <w:bCs/>
                <w:sz w:val="20"/>
              </w:rPr>
              <w:t>, the estimates are likely underestimated</w:t>
            </w:r>
            <w:r w:rsidR="0077448D">
              <w:rPr>
                <w:rFonts w:ascii="Arial Narrow" w:eastAsiaTheme="majorEastAsia" w:hAnsi="Arial Narrow" w:cstheme="majorBidi"/>
                <w:bCs/>
                <w:sz w:val="20"/>
              </w:rPr>
              <w:t>.</w:t>
            </w:r>
          </w:p>
        </w:tc>
      </w:tr>
      <w:tr w:rsidR="006860B2" w:rsidRPr="00E750DB" w14:paraId="0858F135" w14:textId="224211D7" w:rsidTr="006860B2">
        <w:trPr>
          <w:cantSplit/>
        </w:trPr>
        <w:tc>
          <w:tcPr>
            <w:tcW w:w="1648" w:type="dxa"/>
            <w:vAlign w:val="center"/>
          </w:tcPr>
          <w:p w14:paraId="70FF3201" w14:textId="1541164E"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Subgroup: estimated number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092E476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11.69</w:t>
            </w:r>
          </w:p>
          <w:p w14:paraId="4F76EC3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11.92</w:t>
            </w:r>
          </w:p>
          <w:p w14:paraId="205044E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12.14</w:t>
            </w:r>
          </w:p>
          <w:p w14:paraId="4271479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12.36</w:t>
            </w:r>
          </w:p>
          <w:p w14:paraId="0ED4194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12.59</w:t>
            </w:r>
          </w:p>
          <w:p w14:paraId="79D9FC0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12.81</w:t>
            </w:r>
          </w:p>
        </w:tc>
        <w:tc>
          <w:tcPr>
            <w:tcW w:w="2280" w:type="dxa"/>
            <w:vAlign w:val="center"/>
          </w:tcPr>
          <w:p w14:paraId="3AA66678" w14:textId="3CAD07B9"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is calculated by applying the above proportion of meeting the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criteria.</w:t>
            </w:r>
          </w:p>
        </w:tc>
        <w:tc>
          <w:tcPr>
            <w:tcW w:w="3622" w:type="dxa"/>
            <w:vAlign w:val="center"/>
          </w:tcPr>
          <w:p w14:paraId="1CB5DFD7" w14:textId="09932D0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It was unclear whether using the same proportion of meeting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criteria for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was reasonable as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menopausal women are expected to experience fewer attacks. May be overestimated. </w:t>
            </w:r>
          </w:p>
        </w:tc>
      </w:tr>
      <w:tr w:rsidR="006860B2" w:rsidRPr="00E750DB" w14:paraId="65805EEF" w14:textId="3CEECCAF" w:rsidTr="006860B2">
        <w:trPr>
          <w:cantSplit/>
        </w:trPr>
        <w:tc>
          <w:tcPr>
            <w:tcW w:w="1648" w:type="dxa"/>
            <w:vAlign w:val="center"/>
          </w:tcPr>
          <w:p w14:paraId="0E8C439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Compliance</w:t>
            </w:r>
          </w:p>
        </w:tc>
        <w:tc>
          <w:tcPr>
            <w:tcW w:w="1467" w:type="dxa"/>
            <w:vAlign w:val="center"/>
          </w:tcPr>
          <w:p w14:paraId="360A7B4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100%</w:t>
            </w:r>
          </w:p>
        </w:tc>
        <w:tc>
          <w:tcPr>
            <w:tcW w:w="2280" w:type="dxa"/>
            <w:vAlign w:val="center"/>
          </w:tcPr>
          <w:p w14:paraId="4B2766A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Assumed by the submission</w:t>
            </w:r>
          </w:p>
        </w:tc>
        <w:tc>
          <w:tcPr>
            <w:tcW w:w="3622" w:type="dxa"/>
            <w:vAlign w:val="center"/>
          </w:tcPr>
          <w:p w14:paraId="419AAA34" w14:textId="2DF0E9A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assumption of 100% compliance in the financial model may overestimate medicine usage. Inconsistent with the economic model which used a 99% RDI. </w:t>
            </w:r>
            <w:r w:rsidRPr="00151855">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151855">
              <w:rPr>
                <w:rFonts w:ascii="Arial Narrow" w:eastAsiaTheme="majorEastAsia" w:hAnsi="Arial Narrow" w:cstheme="majorBidi"/>
                <w:bCs/>
                <w:sz w:val="20"/>
              </w:rPr>
              <w:t xml:space="preserve">Committees agreed with the </w:t>
            </w:r>
            <w:r>
              <w:rPr>
                <w:rFonts w:ascii="Arial Narrow" w:eastAsiaTheme="majorEastAsia" w:hAnsi="Arial Narrow" w:cstheme="majorBidi"/>
                <w:bCs/>
                <w:sz w:val="20"/>
              </w:rPr>
              <w:t>C</w:t>
            </w:r>
            <w:r w:rsidRPr="00151855">
              <w:rPr>
                <w:rFonts w:ascii="Arial Narrow" w:eastAsiaTheme="majorEastAsia" w:hAnsi="Arial Narrow" w:cstheme="majorBidi"/>
                <w:bCs/>
                <w:sz w:val="20"/>
              </w:rPr>
              <w:t>ommentary but considered that it’s likely to be very high.</w:t>
            </w:r>
          </w:p>
        </w:tc>
      </w:tr>
      <w:tr w:rsidR="006860B2" w:rsidRPr="00E750DB" w14:paraId="053B35DC" w14:textId="6727A3A3" w:rsidTr="006860B2">
        <w:trPr>
          <w:cantSplit/>
        </w:trPr>
        <w:tc>
          <w:tcPr>
            <w:tcW w:w="1648" w:type="dxa"/>
            <w:vAlign w:val="center"/>
          </w:tcPr>
          <w:p w14:paraId="08C6F30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Discontinuation and treatment duration</w:t>
            </w:r>
          </w:p>
        </w:tc>
        <w:tc>
          <w:tcPr>
            <w:tcW w:w="1467" w:type="dxa"/>
            <w:vAlign w:val="center"/>
          </w:tcPr>
          <w:p w14:paraId="5367401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Implicitly 0% discontinuation</w:t>
            </w:r>
          </w:p>
        </w:tc>
        <w:tc>
          <w:tcPr>
            <w:tcW w:w="2280" w:type="dxa"/>
            <w:vAlign w:val="center"/>
          </w:tcPr>
          <w:p w14:paraId="3B11C02A" w14:textId="3391F318" w:rsidR="006860B2" w:rsidRPr="00E750DB" w:rsidRDefault="00E072B9" w:rsidP="00E072B9">
            <w:pPr>
              <w:jc w:val="left"/>
              <w:rPr>
                <w:rFonts w:ascii="Arial Narrow" w:eastAsiaTheme="majorEastAsia" w:hAnsi="Arial Narrow" w:cstheme="majorBidi"/>
                <w:bCs/>
                <w:sz w:val="20"/>
              </w:rPr>
            </w:pPr>
            <w:r>
              <w:rPr>
                <w:rFonts w:ascii="Arial Narrow" w:eastAsiaTheme="majorEastAsia" w:hAnsi="Arial Narrow" w:cstheme="majorBidi"/>
                <w:bCs/>
                <w:sz w:val="20"/>
              </w:rPr>
              <w:noBreakHyphen/>
            </w:r>
          </w:p>
        </w:tc>
        <w:tc>
          <w:tcPr>
            <w:tcW w:w="3622" w:type="dxa"/>
            <w:vAlign w:val="center"/>
          </w:tcPr>
          <w:p w14:paraId="3305EBFE" w14:textId="6A62C780" w:rsidR="006860B2" w:rsidRPr="005A7E3C" w:rsidDel="00E91D3E" w:rsidRDefault="006860B2" w:rsidP="00E072B9">
            <w:pPr>
              <w:jc w:val="left"/>
              <w:rPr>
                <w:rFonts w:ascii="Arial Narrow" w:eastAsiaTheme="majorEastAsia" w:hAnsi="Arial Narrow" w:cstheme="majorBidi"/>
                <w:bCs/>
                <w:sz w:val="20"/>
              </w:rPr>
            </w:pPr>
            <w:r w:rsidRPr="005A7E3C">
              <w:rPr>
                <w:rFonts w:ascii="Arial Narrow" w:eastAsiaTheme="majorEastAsia" w:hAnsi="Arial Narrow" w:cstheme="majorBidi"/>
                <w:bCs/>
                <w:sz w:val="20"/>
              </w:rPr>
              <w:t>Not consistent with economic evaluation which assumed a discontinuation rate based on ENVISION. Omission will lead to overestimation of utilisation. The Sub</w:t>
            </w:r>
            <w:r w:rsidR="00E072B9">
              <w:rPr>
                <w:rFonts w:ascii="Arial Narrow" w:eastAsiaTheme="majorEastAsia" w:hAnsi="Arial Narrow" w:cstheme="majorBidi"/>
                <w:bCs/>
                <w:sz w:val="20"/>
              </w:rPr>
              <w:noBreakHyphen/>
            </w:r>
            <w:r w:rsidRPr="005A7E3C">
              <w:rPr>
                <w:rFonts w:ascii="Arial Narrow" w:eastAsiaTheme="majorEastAsia" w:hAnsi="Arial Narrow" w:cstheme="majorBidi"/>
                <w:bCs/>
                <w:sz w:val="20"/>
              </w:rPr>
              <w:t>Committees considered that this was not necessary because a prevalent approach has been used</w:t>
            </w:r>
            <w:r w:rsidRPr="005A7E3C">
              <w:rPr>
                <w:rFonts w:ascii="Arial Narrow" w:eastAsiaTheme="majorEastAsia" w:hAnsi="Arial Narrow" w:cstheme="majorBidi"/>
                <w:bCs/>
                <w:i/>
                <w:iCs/>
                <w:sz w:val="20"/>
              </w:rPr>
              <w:t>.</w:t>
            </w:r>
          </w:p>
        </w:tc>
      </w:tr>
      <w:tr w:rsidR="006860B2" w:rsidRPr="00E750DB" w14:paraId="045A63B6" w14:textId="3F11ADC6" w:rsidTr="006860B2">
        <w:trPr>
          <w:cantSplit/>
        </w:trPr>
        <w:tc>
          <w:tcPr>
            <w:tcW w:w="1648" w:type="dxa"/>
            <w:vAlign w:val="center"/>
          </w:tcPr>
          <w:p w14:paraId="10BECD0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Uptake rate</w:t>
            </w:r>
          </w:p>
        </w:tc>
        <w:tc>
          <w:tcPr>
            <w:tcW w:w="1467" w:type="dxa"/>
            <w:vAlign w:val="center"/>
          </w:tcPr>
          <w:p w14:paraId="02CD748C" w14:textId="345CC80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8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0"/>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EFCC5E6" w14:textId="593F57F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7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9"/>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6240D462" w14:textId="4DB3228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7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8"/>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6C209D8C" w14:textId="225C1DD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7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7"/>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3A48FDEB" w14:textId="275A8FD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7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6"/>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D41F62B" w14:textId="6EE7248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79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2"/>
                <w14:textFill>
                  <w14:solidFill>
                    <w14:srgbClr w14:val="000000">
                      <w14:alpha w14:val="100000"/>
                    </w14:srgbClr>
                  </w14:solidFill>
                </w14:textFill>
              </w:rPr>
              <w:t>|</w:t>
            </w:r>
            <w:r w:rsidRPr="00E750DB">
              <w:rPr>
                <w:rFonts w:ascii="Arial Narrow" w:eastAsiaTheme="majorEastAsia" w:hAnsi="Arial Narrow" w:cstheme="majorBidi"/>
                <w:bCs/>
                <w:sz w:val="20"/>
              </w:rPr>
              <w:t>%</w:t>
            </w:r>
          </w:p>
        </w:tc>
        <w:tc>
          <w:tcPr>
            <w:tcW w:w="2280" w:type="dxa"/>
            <w:vAlign w:val="center"/>
          </w:tcPr>
          <w:p w14:paraId="068D8247" w14:textId="2842E141"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Sponsor assumption: These uptake rates are taken as the proportion of prevalent patients receiving the treatment each year (full 12</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month treatment), hence pro rata adjustments may be necessary in interpreting the presented estimates. </w:t>
            </w:r>
          </w:p>
        </w:tc>
        <w:tc>
          <w:tcPr>
            <w:tcW w:w="3622" w:type="dxa"/>
            <w:vAlign w:val="center"/>
          </w:tcPr>
          <w:p w14:paraId="7DCB892C" w14:textId="0A259FD3"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submission estimates that 50% of eligible pre</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patients will receive treatment in Year 1, which may be too low given the high unmet clinical need for an effective treatment.</w:t>
            </w:r>
            <w:r w:rsidRPr="00A04B1B">
              <w:rPr>
                <w:rFonts w:ascii="Arial Narrow" w:eastAsiaTheme="majorEastAsia" w:hAnsi="Arial Narrow" w:cstheme="majorBidi"/>
                <w:bCs/>
                <w:sz w:val="20"/>
              </w:rPr>
              <w:t xml:space="preserve"> The Sub</w:t>
            </w:r>
            <w:r w:rsidR="00E072B9">
              <w:rPr>
                <w:rFonts w:ascii="Arial Narrow" w:eastAsiaTheme="majorEastAsia" w:hAnsi="Arial Narrow" w:cstheme="majorBidi"/>
                <w:bCs/>
                <w:sz w:val="20"/>
              </w:rPr>
              <w:noBreakHyphen/>
            </w:r>
            <w:r w:rsidRPr="00A04B1B">
              <w:rPr>
                <w:rFonts w:ascii="Arial Narrow" w:eastAsiaTheme="majorEastAsia" w:hAnsi="Arial Narrow" w:cstheme="majorBidi"/>
                <w:bCs/>
                <w:sz w:val="20"/>
              </w:rPr>
              <w:t>Committees considered that as this was a small patient group being treated by a specialist, with the requirement to have had two attacks requiring intervention, the uptake is likely to be higher in those with attacks. However, lifetime eligibility is not equivalent to annualised eligibility and as such not all eligible patients will be having attacks in same year which will affect the uptake initially.</w:t>
            </w:r>
          </w:p>
        </w:tc>
      </w:tr>
      <w:tr w:rsidR="006860B2" w:rsidRPr="00E750DB" w14:paraId="316B8C7E" w14:textId="76C02FC5" w:rsidTr="006860B2">
        <w:trPr>
          <w:cantSplit/>
        </w:trPr>
        <w:tc>
          <w:tcPr>
            <w:tcW w:w="1648" w:type="dxa"/>
            <w:vAlign w:val="center"/>
          </w:tcPr>
          <w:p w14:paraId="1AAFE10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Number treated</w:t>
            </w:r>
          </w:p>
        </w:tc>
        <w:tc>
          <w:tcPr>
            <w:tcW w:w="1467" w:type="dxa"/>
            <w:vAlign w:val="center"/>
          </w:tcPr>
          <w:p w14:paraId="6857E3CA" w14:textId="1D7FA8BA"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9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1"/>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ECAA2F7" w14:textId="6719E861"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9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EDA8466" w14:textId="4A45BF99"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8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7015E60A" w14:textId="2DFB83B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8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8"/>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1326F530" w14:textId="0A485ACD"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8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7"/>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5898E71C" w14:textId="2DB93CFD"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78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7CE7119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This is calculated by applying the above uptake rate each year. </w:t>
            </w:r>
          </w:p>
        </w:tc>
        <w:tc>
          <w:tcPr>
            <w:tcW w:w="3622" w:type="dxa"/>
            <w:vAlign w:val="center"/>
          </w:tcPr>
          <w:p w14:paraId="479B71D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Arithmetically accurate based on inputs but likely underestimated as AHP patient number and uptake rate in earlier years may be underestimated.</w:t>
            </w:r>
          </w:p>
        </w:tc>
      </w:tr>
      <w:tr w:rsidR="006860B2" w:rsidRPr="00E750DB" w14:paraId="3C8D6AC2" w14:textId="2F200039" w:rsidTr="006860B2">
        <w:trPr>
          <w:cantSplit/>
        </w:trPr>
        <w:tc>
          <w:tcPr>
            <w:tcW w:w="1648" w:type="dxa"/>
            <w:vAlign w:val="center"/>
          </w:tcPr>
          <w:p w14:paraId="2CB9EEC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Uptake rate</w:t>
            </w:r>
          </w:p>
        </w:tc>
        <w:tc>
          <w:tcPr>
            <w:tcW w:w="1467" w:type="dxa"/>
            <w:vAlign w:val="center"/>
          </w:tcPr>
          <w:p w14:paraId="7409E5BD" w14:textId="6EB3BA5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8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5"/>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3ABF6C43" w14:textId="6CB05A7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8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4"/>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5CA90FB1" w14:textId="011B115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8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3"/>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5CCBF2D5" w14:textId="34B5E1A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8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2"/>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72FC70C" w14:textId="670B71E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8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1"/>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EF3DFE4" w14:textId="4D5E316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78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0"/>
                <w14:textFill>
                  <w14:solidFill>
                    <w14:srgbClr w14:val="000000">
                      <w14:alpha w14:val="100000"/>
                    </w14:srgbClr>
                  </w14:solidFill>
                </w14:textFill>
              </w:rPr>
              <w:t>|</w:t>
            </w:r>
            <w:r w:rsidRPr="00E750DB">
              <w:rPr>
                <w:rFonts w:ascii="Arial Narrow" w:eastAsiaTheme="majorEastAsia" w:hAnsi="Arial Narrow" w:cstheme="majorBidi"/>
                <w:bCs/>
                <w:sz w:val="20"/>
              </w:rPr>
              <w:t xml:space="preserve">% </w:t>
            </w:r>
          </w:p>
        </w:tc>
        <w:tc>
          <w:tcPr>
            <w:tcW w:w="2280" w:type="dxa"/>
            <w:vAlign w:val="center"/>
          </w:tcPr>
          <w:p w14:paraId="0CE10114" w14:textId="26344193"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Assumed only 5% of patients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menopause will be treated, with same uptake rate for patients aged ≥12 years applied (</w:t>
            </w:r>
            <w:r w:rsidR="00B35ACC" w:rsidRPr="009742C5">
              <w:rPr>
                <w:rFonts w:ascii="Arial Narrow" w:eastAsiaTheme="majorEastAsia" w:hAnsi="Arial Narrow" w:cstheme="majorBidi"/>
                <w:color w:val="000000"/>
                <w:spacing w:val="53"/>
                <w:sz w:val="20"/>
                <w:shd w:val="solid" w:color="000000" w:fill="000000"/>
                <w:fitText w:val="330" w:id="-62524977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9"/>
                <w14:textFill>
                  <w14:solidFill>
                    <w14:srgbClr w14:val="000000">
                      <w14:alpha w14:val="100000"/>
                    </w14:srgbClr>
                  </w14:solidFill>
                </w14:textFill>
              </w:rPr>
              <w:t>|</w:t>
            </w:r>
            <w:r w:rsidRPr="00E750DB">
              <w:rPr>
                <w:rFonts w:ascii="Arial Narrow" w:eastAsiaTheme="majorEastAsia" w:hAnsi="Arial Narrow" w:cstheme="majorBidi"/>
                <w:bCs/>
                <w:sz w:val="20"/>
              </w:rPr>
              <w:t xml:space="preserve">% in year 1 increasing to </w:t>
            </w:r>
            <w:r w:rsidR="00B35ACC" w:rsidRPr="009742C5">
              <w:rPr>
                <w:rFonts w:ascii="Arial Narrow" w:eastAsiaTheme="majorEastAsia" w:hAnsi="Arial Narrow" w:cstheme="majorBidi"/>
                <w:color w:val="000000"/>
                <w:spacing w:val="53"/>
                <w:sz w:val="20"/>
                <w:shd w:val="solid" w:color="000000" w:fill="000000"/>
                <w:fitText w:val="330" w:id="-62524977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8"/>
                <w14:textFill>
                  <w14:solidFill>
                    <w14:srgbClr w14:val="000000">
                      <w14:alpha w14:val="100000"/>
                    </w14:srgbClr>
                  </w14:solidFill>
                </w14:textFill>
              </w:rPr>
              <w:t>|</w:t>
            </w:r>
            <w:r w:rsidRPr="00E750DB">
              <w:rPr>
                <w:rFonts w:ascii="Arial Narrow" w:eastAsiaTheme="majorEastAsia" w:hAnsi="Arial Narrow" w:cstheme="majorBidi"/>
                <w:bCs/>
                <w:sz w:val="20"/>
              </w:rPr>
              <w:t>% in year 6)</w:t>
            </w:r>
          </w:p>
        </w:tc>
        <w:tc>
          <w:tcPr>
            <w:tcW w:w="3622" w:type="dxa"/>
            <w:vAlign w:val="center"/>
          </w:tcPr>
          <w:p w14:paraId="2EF3082D" w14:textId="39FBC8C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assumption that 5%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will be treated already includes an uptake rate and as such, this may be double counting and further reduction in uptake in this subgroup may lead to an underestimation of potential treatment costs.</w:t>
            </w:r>
          </w:p>
        </w:tc>
      </w:tr>
      <w:tr w:rsidR="006860B2" w:rsidRPr="00E750DB" w14:paraId="247CFEC5" w14:textId="20AE96A6" w:rsidTr="006860B2">
        <w:trPr>
          <w:cantSplit/>
        </w:trPr>
        <w:tc>
          <w:tcPr>
            <w:tcW w:w="1648" w:type="dxa"/>
            <w:vAlign w:val="center"/>
          </w:tcPr>
          <w:p w14:paraId="18456819" w14:textId="77777777"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Number treated</w:t>
            </w:r>
          </w:p>
        </w:tc>
        <w:tc>
          <w:tcPr>
            <w:tcW w:w="1467" w:type="dxa"/>
            <w:vAlign w:val="center"/>
          </w:tcPr>
          <w:p w14:paraId="39B755D5" w14:textId="2BC517D1"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7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7"/>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4964A28C" w14:textId="63E0692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7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34BCAA5B" w14:textId="0A3D3DF7"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9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2"/>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44E02233" w14:textId="30E82C5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9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1"/>
                <w14:textFill>
                  <w14:solidFill>
                    <w14:srgbClr w14:val="000000">
                      <w14:alpha w14:val="100000"/>
                    </w14:srgbClr>
                  </w14:solidFill>
                </w14:textFill>
              </w:rPr>
              <w:t>|</w:t>
            </w:r>
            <w:r w:rsidR="009E3CC9" w:rsidRPr="009E3CC9">
              <w:rPr>
                <w:rFonts w:ascii="Arial Narrow" w:eastAsiaTheme="majorEastAsia" w:hAnsi="Arial Narrow" w:cstheme="majorBidi"/>
                <w:bCs/>
                <w:sz w:val="20"/>
                <w:vertAlign w:val="superscript"/>
              </w:rPr>
              <w:t>1</w:t>
            </w:r>
          </w:p>
          <w:p w14:paraId="658CE0C2" w14:textId="012876AE"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9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8975155" w14:textId="05D4D98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78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1018287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is calculated by applying the above uptake rate</w:t>
            </w:r>
          </w:p>
        </w:tc>
        <w:tc>
          <w:tcPr>
            <w:tcW w:w="3622" w:type="dxa"/>
            <w:vAlign w:val="center"/>
          </w:tcPr>
          <w:p w14:paraId="09D3FC2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Arithmetically accurate if uptake rate accepted.</w:t>
            </w:r>
          </w:p>
        </w:tc>
      </w:tr>
      <w:tr w:rsidR="006860B2" w:rsidRPr="00E750DB" w14:paraId="37C42E79" w14:textId="52325F9D" w:rsidTr="006860B2">
        <w:trPr>
          <w:cantSplit/>
        </w:trPr>
        <w:tc>
          <w:tcPr>
            <w:tcW w:w="1648" w:type="dxa"/>
            <w:vAlign w:val="center"/>
          </w:tcPr>
          <w:p w14:paraId="6A46918C" w14:textId="77777777" w:rsidR="006860B2" w:rsidRPr="00E750DB"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Total estimated patients treated each year</w:t>
            </w:r>
          </w:p>
        </w:tc>
        <w:tc>
          <w:tcPr>
            <w:tcW w:w="1467" w:type="dxa"/>
            <w:vAlign w:val="center"/>
          </w:tcPr>
          <w:p w14:paraId="304A9ABA" w14:textId="0DDCAA9D"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8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8"/>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391E9681" w14:textId="0FA14162"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8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7"/>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580B0E5" w14:textId="5C24F71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8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150F3FD3" w14:textId="091A7D1B"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8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5"/>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5103415" w14:textId="1E64B9BF"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8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4"/>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59AAC678" w14:textId="68399A0A"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78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3"/>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078CD65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Calculated by including both population subgroups. </w:t>
            </w:r>
          </w:p>
        </w:tc>
        <w:tc>
          <w:tcPr>
            <w:tcW w:w="3622" w:type="dxa"/>
            <w:vAlign w:val="center"/>
          </w:tcPr>
          <w:p w14:paraId="4106AA68" w14:textId="5708626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Likely underestimated as AHP patients underestimated, and uptake rate</w:t>
            </w:r>
            <w:r>
              <w:rPr>
                <w:rFonts w:ascii="Arial Narrow" w:eastAsiaTheme="majorEastAsia" w:hAnsi="Arial Narrow" w:cstheme="majorBidi"/>
                <w:bCs/>
                <w:sz w:val="20"/>
              </w:rPr>
              <w:t>s</w:t>
            </w:r>
            <w:r w:rsidRPr="00E750DB">
              <w:rPr>
                <w:rFonts w:ascii="Arial Narrow" w:eastAsiaTheme="majorEastAsia" w:hAnsi="Arial Narrow" w:cstheme="majorBidi"/>
                <w:bCs/>
                <w:sz w:val="20"/>
              </w:rPr>
              <w:t xml:space="preserve"> may be underestimated.</w:t>
            </w:r>
          </w:p>
        </w:tc>
      </w:tr>
      <w:tr w:rsidR="006860B2" w:rsidRPr="00E750DB" w14:paraId="6CFFE841" w14:textId="78A3C056" w:rsidTr="006860B2">
        <w:trPr>
          <w:cantSplit/>
        </w:trPr>
        <w:tc>
          <w:tcPr>
            <w:tcW w:w="1648" w:type="dxa"/>
            <w:vAlign w:val="center"/>
          </w:tcPr>
          <w:p w14:paraId="7C37B7DD"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Total vial usage</w:t>
            </w:r>
          </w:p>
        </w:tc>
        <w:tc>
          <w:tcPr>
            <w:tcW w:w="1467" w:type="dxa"/>
            <w:vAlign w:val="center"/>
          </w:tcPr>
          <w:p w14:paraId="0095864F" w14:textId="7ACF7531"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8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2"/>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34E4345" w14:textId="726C7F9E"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8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1"/>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C7754E1" w14:textId="0F3BEE5E"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8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39002486" w14:textId="461952E3"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7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5585FFAC" w14:textId="7332D93F" w:rsidR="006860B2" w:rsidRPr="00F22AA5"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7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8"/>
                <w14:textFill>
                  <w14:solidFill>
                    <w14:srgbClr w14:val="000000">
                      <w14:alpha w14:val="100000"/>
                    </w14:srgbClr>
                  </w14:solidFill>
                </w14:textFill>
              </w:rPr>
              <w:t>|</w:t>
            </w:r>
            <w:r w:rsidR="00F22AA5">
              <w:rPr>
                <w:rFonts w:ascii="Arial Narrow" w:eastAsiaTheme="majorEastAsia" w:hAnsi="Arial Narrow" w:cstheme="majorBidi"/>
                <w:bCs/>
                <w:sz w:val="20"/>
                <w:vertAlign w:val="superscript"/>
              </w:rPr>
              <w:t>2</w:t>
            </w:r>
          </w:p>
          <w:p w14:paraId="10AE3EE8" w14:textId="3730B08E" w:rsidR="006860B2" w:rsidRPr="00F22AA5"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77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7"/>
                <w14:textFill>
                  <w14:solidFill>
                    <w14:srgbClr w14:val="000000">
                      <w14:alpha w14:val="100000"/>
                    </w14:srgbClr>
                  </w14:solidFill>
                </w14:textFill>
              </w:rPr>
              <w:t>|</w:t>
            </w:r>
            <w:r w:rsidR="00F22AA5">
              <w:rPr>
                <w:rFonts w:ascii="Arial Narrow" w:eastAsiaTheme="majorEastAsia" w:hAnsi="Arial Narrow" w:cstheme="majorBidi"/>
                <w:bCs/>
                <w:sz w:val="20"/>
                <w:vertAlign w:val="superscript"/>
              </w:rPr>
              <w:t>2</w:t>
            </w:r>
          </w:p>
        </w:tc>
        <w:tc>
          <w:tcPr>
            <w:tcW w:w="2280" w:type="dxa"/>
            <w:vAlign w:val="center"/>
          </w:tcPr>
          <w:p w14:paraId="07B00075" w14:textId="05E49361" w:rsidR="006860B2" w:rsidRPr="000A2D99" w:rsidRDefault="006860B2" w:rsidP="00E072B9">
            <w:pPr>
              <w:jc w:val="left"/>
              <w:rPr>
                <w:rFonts w:ascii="Arial Narrow" w:eastAsiaTheme="majorEastAsia" w:hAnsi="Arial Narrow" w:cstheme="majorBidi"/>
                <w:bCs/>
                <w:sz w:val="20"/>
              </w:rPr>
            </w:pPr>
            <w:r w:rsidRPr="000A2D99">
              <w:rPr>
                <w:rFonts w:ascii="Arial Narrow" w:eastAsiaTheme="majorEastAsia" w:hAnsi="Arial Narrow" w:cstheme="majorBidi"/>
                <w:bCs/>
                <w:sz w:val="20"/>
              </w:rPr>
              <w:t xml:space="preserve">Calculated by multiplying the total number of treated patients by the total vials per patient per year (14.4 vials, based on 1.2 vials/month which </w:t>
            </w:r>
            <w:proofErr w:type="gramStart"/>
            <w:r w:rsidRPr="000A2D99">
              <w:rPr>
                <w:rFonts w:ascii="Arial Narrow" w:eastAsiaTheme="majorEastAsia" w:hAnsi="Arial Narrow" w:cstheme="majorBidi"/>
                <w:bCs/>
                <w:sz w:val="20"/>
              </w:rPr>
              <w:t>was based on an assumption</w:t>
            </w:r>
            <w:proofErr w:type="gramEnd"/>
            <w:r w:rsidRPr="000A2D99">
              <w:rPr>
                <w:rFonts w:ascii="Arial Narrow" w:eastAsiaTheme="majorEastAsia" w:hAnsi="Arial Narrow" w:cstheme="majorBidi"/>
                <w:bCs/>
                <w:sz w:val="20"/>
              </w:rPr>
              <w:t xml:space="preserve"> of 23.4% of patients being </w:t>
            </w:r>
            <w:r w:rsidR="00BD03FD">
              <w:rPr>
                <w:rFonts w:ascii="Arial Narrow" w:eastAsiaTheme="majorEastAsia" w:hAnsi="Arial Narrow" w:cstheme="majorBidi"/>
                <w:bCs/>
                <w:sz w:val="20"/>
              </w:rPr>
              <w:t xml:space="preserve">&gt; </w:t>
            </w:r>
            <w:r w:rsidRPr="000A2D99">
              <w:rPr>
                <w:rFonts w:ascii="Arial Narrow" w:eastAsiaTheme="majorEastAsia" w:hAnsi="Arial Narrow" w:cstheme="majorBidi"/>
                <w:bCs/>
                <w:sz w:val="20"/>
              </w:rPr>
              <w:t>75.6kg)</w:t>
            </w:r>
          </w:p>
        </w:tc>
        <w:tc>
          <w:tcPr>
            <w:tcW w:w="3622" w:type="dxa"/>
            <w:vAlign w:val="center"/>
          </w:tcPr>
          <w:p w14:paraId="060E487F" w14:textId="0D38720D"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Consistent with estimated patient number</w:t>
            </w:r>
            <w:r>
              <w:rPr>
                <w:rFonts w:ascii="Arial Narrow" w:eastAsiaTheme="majorEastAsia" w:hAnsi="Arial Narrow" w:cstheme="majorBidi"/>
                <w:bCs/>
                <w:sz w:val="20"/>
              </w:rPr>
              <w:t>s</w:t>
            </w:r>
            <w:r w:rsidRPr="00E750DB">
              <w:rPr>
                <w:rFonts w:ascii="Arial Narrow" w:eastAsiaTheme="majorEastAsia" w:hAnsi="Arial Narrow" w:cstheme="majorBidi"/>
                <w:bCs/>
                <w:sz w:val="20"/>
              </w:rPr>
              <w:t>. As dosing is weight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based, actual vial usage may vary across individuals, which could impact the accuracy of the projected vial estimates, and the proportion weighing </w:t>
            </w:r>
            <w:r w:rsidR="00BD03FD">
              <w:rPr>
                <w:rFonts w:ascii="Arial Narrow" w:eastAsiaTheme="majorEastAsia" w:hAnsi="Arial Narrow" w:cstheme="majorBidi"/>
                <w:bCs/>
                <w:sz w:val="20"/>
              </w:rPr>
              <w:t xml:space="preserve">&gt; </w:t>
            </w:r>
            <w:r w:rsidRPr="00E750DB">
              <w:rPr>
                <w:rFonts w:ascii="Arial Narrow" w:eastAsiaTheme="majorEastAsia" w:hAnsi="Arial Narrow" w:cstheme="majorBidi"/>
                <w:bCs/>
                <w:sz w:val="20"/>
              </w:rPr>
              <w:t xml:space="preserve">75.6kg in the Australian population was uncertain. </w:t>
            </w:r>
          </w:p>
        </w:tc>
      </w:tr>
      <w:tr w:rsidR="006860B2" w:rsidRPr="00E750DB" w14:paraId="279DCC48" w14:textId="47657B4C" w:rsidTr="006860B2">
        <w:trPr>
          <w:cantSplit/>
        </w:trPr>
        <w:tc>
          <w:tcPr>
            <w:tcW w:w="1648" w:type="dxa"/>
            <w:vAlign w:val="center"/>
          </w:tcPr>
          <w:p w14:paraId="41E42FEF" w14:textId="77777777" w:rsidR="006860B2" w:rsidRPr="00E750DB"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Scripts dispensed</w:t>
            </w:r>
            <w:r w:rsidRPr="00E750DB">
              <w:rPr>
                <w:rFonts w:ascii="Arial Narrow" w:eastAsiaTheme="majorEastAsia" w:hAnsi="Arial Narrow" w:cstheme="majorBidi"/>
                <w:bCs/>
                <w:sz w:val="20"/>
                <w:vertAlign w:val="superscript"/>
              </w:rPr>
              <w:t xml:space="preserve"> *</w:t>
            </w:r>
          </w:p>
        </w:tc>
        <w:tc>
          <w:tcPr>
            <w:tcW w:w="1467" w:type="dxa"/>
            <w:vAlign w:val="center"/>
          </w:tcPr>
          <w:p w14:paraId="6A0FCDEC" w14:textId="5BEC5444"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9742C5">
              <w:rPr>
                <w:rFonts w:ascii="Arial Narrow" w:eastAsiaTheme="majorEastAsia" w:hAnsi="Arial Narrow" w:cstheme="majorBidi"/>
                <w:color w:val="000000"/>
                <w:spacing w:val="53"/>
                <w:sz w:val="20"/>
                <w:shd w:val="solid" w:color="000000" w:fill="000000"/>
                <w:fitText w:val="330" w:id="-62524977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7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7B5BB85D" w14:textId="2F36C27B"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9742C5">
              <w:rPr>
                <w:rFonts w:ascii="Arial Narrow" w:eastAsiaTheme="majorEastAsia" w:hAnsi="Arial Narrow" w:cstheme="majorBidi"/>
                <w:color w:val="000000"/>
                <w:spacing w:val="53"/>
                <w:sz w:val="20"/>
                <w:shd w:val="solid" w:color="000000" w:fill="000000"/>
                <w:fitText w:val="330" w:id="-62524979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2"/>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8BCBBA1" w14:textId="0100A81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9742C5">
              <w:rPr>
                <w:rFonts w:ascii="Arial Narrow" w:eastAsiaTheme="majorEastAsia" w:hAnsi="Arial Narrow" w:cstheme="majorBidi"/>
                <w:color w:val="000000"/>
                <w:spacing w:val="53"/>
                <w:sz w:val="20"/>
                <w:shd w:val="solid" w:color="000000" w:fill="000000"/>
                <w:fitText w:val="330" w:id="-62524979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1"/>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4B76BC12" w14:textId="676AC5F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9742C5">
              <w:rPr>
                <w:rFonts w:ascii="Arial Narrow" w:eastAsiaTheme="majorEastAsia" w:hAnsi="Arial Narrow" w:cstheme="majorBidi"/>
                <w:color w:val="000000"/>
                <w:spacing w:val="53"/>
                <w:sz w:val="20"/>
                <w:shd w:val="solid" w:color="000000" w:fill="000000"/>
                <w:fitText w:val="330" w:id="-62524979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9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2519DB4D" w14:textId="18638E5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9742C5">
              <w:rPr>
                <w:rFonts w:ascii="Arial Narrow" w:eastAsiaTheme="majorEastAsia" w:hAnsi="Arial Narrow" w:cstheme="majorBidi"/>
                <w:color w:val="000000"/>
                <w:spacing w:val="53"/>
                <w:sz w:val="20"/>
                <w:shd w:val="solid" w:color="000000" w:fill="000000"/>
                <w:fitText w:val="330" w:id="-62524978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78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BFEEDDD" w14:textId="50D74F7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9742C5">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2DF82FC5" w14:textId="77777777" w:rsidR="006860B2" w:rsidRPr="000A2D99" w:rsidRDefault="006860B2" w:rsidP="00E072B9">
            <w:pPr>
              <w:jc w:val="left"/>
              <w:rPr>
                <w:rFonts w:ascii="Arial Narrow" w:eastAsiaTheme="majorEastAsia" w:hAnsi="Arial Narrow" w:cstheme="majorBidi"/>
                <w:b/>
                <w:bCs/>
                <w:sz w:val="20"/>
              </w:rPr>
            </w:pPr>
            <w:r w:rsidRPr="000A2D99">
              <w:rPr>
                <w:rFonts w:ascii="Arial Narrow" w:eastAsiaTheme="majorEastAsia" w:hAnsi="Arial Narrow" w:cstheme="majorBidi"/>
                <w:bCs/>
                <w:sz w:val="20"/>
              </w:rPr>
              <w:t>These were calculated by applying the assumed split of 10% initiation and 90% continuation to total treatment usage.</w:t>
            </w:r>
          </w:p>
        </w:tc>
        <w:tc>
          <w:tcPr>
            <w:tcW w:w="3622" w:type="dxa"/>
            <w:vAlign w:val="center"/>
          </w:tcPr>
          <w:p w14:paraId="254D7568"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calculation of the estimated scripts dispensed based on vial usage and assumption of initiation/continuation was accurate. </w:t>
            </w:r>
          </w:p>
        </w:tc>
      </w:tr>
      <w:tr w:rsidR="006860B2" w:rsidRPr="00E750DB" w14:paraId="5BACE479" w14:textId="3FE94AEB" w:rsidTr="006860B2">
        <w:trPr>
          <w:cantSplit/>
        </w:trPr>
        <w:tc>
          <w:tcPr>
            <w:tcW w:w="1648" w:type="dxa"/>
            <w:vAlign w:val="center"/>
          </w:tcPr>
          <w:p w14:paraId="07B8345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Givosiran</w:t>
            </w:r>
          </w:p>
        </w:tc>
        <w:tc>
          <w:tcPr>
            <w:tcW w:w="1467" w:type="dxa"/>
            <w:vAlign w:val="center"/>
          </w:tcPr>
          <w:p w14:paraId="40BDB38B" w14:textId="6C34AF49"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Average per script: AEMP = $</w:t>
            </w:r>
            <w:r w:rsidR="00B35ACC" w:rsidRPr="009742C5">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p>
          <w:p w14:paraId="489DBA94" w14:textId="071D6F5C"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DPMQ = $</w:t>
            </w:r>
            <w:r w:rsidR="00B35ACC" w:rsidRPr="009742C5">
              <w:rPr>
                <w:rFonts w:ascii="Arial Narrow" w:eastAsiaTheme="majorEastAsia" w:hAnsi="Arial Narrow" w:cstheme="majorBidi"/>
                <w:color w:val="000000"/>
                <w:spacing w:val="53"/>
                <w:sz w:val="20"/>
                <w:shd w:val="solid" w:color="000000" w:fill="000000"/>
                <w:fitText w:val="330" w:id="-62524953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4"/>
                <w14:textFill>
                  <w14:solidFill>
                    <w14:srgbClr w14:val="000000">
                      <w14:alpha w14:val="100000"/>
                    </w14:srgbClr>
                  </w14:solidFill>
                </w14:textFill>
              </w:rPr>
              <w:t>|</w:t>
            </w:r>
          </w:p>
        </w:tc>
        <w:tc>
          <w:tcPr>
            <w:tcW w:w="2280" w:type="dxa"/>
            <w:vAlign w:val="center"/>
          </w:tcPr>
          <w:p w14:paraId="660BACDC" w14:textId="41A99C00" w:rsidR="006860B2" w:rsidRPr="000A2D99" w:rsidRDefault="006860B2" w:rsidP="00E072B9">
            <w:pPr>
              <w:jc w:val="left"/>
              <w:rPr>
                <w:rFonts w:ascii="Arial Narrow" w:eastAsiaTheme="majorEastAsia" w:hAnsi="Arial Narrow" w:cstheme="majorBidi"/>
                <w:bCs/>
                <w:sz w:val="20"/>
              </w:rPr>
            </w:pPr>
            <w:r w:rsidRPr="000A2D99">
              <w:rPr>
                <w:rFonts w:ascii="Arial Narrow" w:eastAsiaTheme="majorEastAsia" w:hAnsi="Arial Narrow" w:cstheme="majorBidi"/>
                <w:bCs/>
                <w:sz w:val="20"/>
              </w:rPr>
              <w:t>DPMQ per script estimated as 1.2 vials at effective AEMP plus $162.60 (Total mark</w:t>
            </w:r>
            <w:r w:rsidR="00E072B9" w:rsidRPr="000A2D99">
              <w:rPr>
                <w:rFonts w:ascii="Arial Narrow" w:eastAsiaTheme="majorEastAsia" w:hAnsi="Arial Narrow" w:cstheme="majorBidi"/>
                <w:bCs/>
                <w:sz w:val="20"/>
              </w:rPr>
              <w:noBreakHyphen/>
            </w:r>
            <w:r w:rsidRPr="000A2D99">
              <w:rPr>
                <w:rFonts w:ascii="Arial Narrow" w:eastAsiaTheme="majorEastAsia" w:hAnsi="Arial Narrow" w:cstheme="majorBidi"/>
                <w:bCs/>
                <w:sz w:val="20"/>
              </w:rPr>
              <w:t>ups/fee per script including wholesaler mark</w:t>
            </w:r>
            <w:r w:rsidR="00E072B9" w:rsidRPr="000A2D99">
              <w:rPr>
                <w:rFonts w:ascii="Arial Narrow" w:eastAsiaTheme="majorEastAsia" w:hAnsi="Arial Narrow" w:cstheme="majorBidi"/>
                <w:bCs/>
                <w:sz w:val="20"/>
              </w:rPr>
              <w:noBreakHyphen/>
            </w:r>
            <w:r w:rsidRPr="000A2D99">
              <w:rPr>
                <w:rFonts w:ascii="Arial Narrow" w:eastAsiaTheme="majorEastAsia" w:hAnsi="Arial Narrow" w:cstheme="majorBidi"/>
                <w:bCs/>
                <w:sz w:val="20"/>
              </w:rPr>
              <w:t>up, pharmacy mark</w:t>
            </w:r>
            <w:r w:rsidR="00E072B9" w:rsidRPr="000A2D99">
              <w:rPr>
                <w:rFonts w:ascii="Arial Narrow" w:eastAsiaTheme="majorEastAsia" w:hAnsi="Arial Narrow" w:cstheme="majorBidi"/>
                <w:bCs/>
                <w:sz w:val="20"/>
              </w:rPr>
              <w:noBreakHyphen/>
            </w:r>
            <w:r w:rsidRPr="000A2D99">
              <w:rPr>
                <w:rFonts w:ascii="Arial Narrow" w:eastAsiaTheme="majorEastAsia" w:hAnsi="Arial Narrow" w:cstheme="majorBidi"/>
                <w:bCs/>
                <w:sz w:val="20"/>
              </w:rPr>
              <w:t>up, and dispensing fee)</w:t>
            </w:r>
          </w:p>
        </w:tc>
        <w:tc>
          <w:tcPr>
            <w:tcW w:w="3622" w:type="dxa"/>
            <w:vAlign w:val="center"/>
          </w:tcPr>
          <w:p w14:paraId="68F35FB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AEMP was consistent with the submission’s requested price per vial and calculations appear reasonable.</w:t>
            </w:r>
          </w:p>
        </w:tc>
      </w:tr>
      <w:tr w:rsidR="006860B2" w:rsidRPr="00E750DB" w14:paraId="0616D907" w14:textId="07B56D06" w:rsidTr="006860B2">
        <w:trPr>
          <w:cantSplit/>
        </w:trPr>
        <w:tc>
          <w:tcPr>
            <w:tcW w:w="1648" w:type="dxa"/>
            <w:vAlign w:val="center"/>
          </w:tcPr>
          <w:p w14:paraId="12C5D7BE" w14:textId="003A683B"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Total mark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ups/fee per script</w:t>
            </w:r>
          </w:p>
        </w:tc>
        <w:tc>
          <w:tcPr>
            <w:tcW w:w="1467" w:type="dxa"/>
            <w:vAlign w:val="center"/>
          </w:tcPr>
          <w:p w14:paraId="4AF2491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$162.60</w:t>
            </w:r>
          </w:p>
        </w:tc>
        <w:tc>
          <w:tcPr>
            <w:tcW w:w="2280" w:type="dxa"/>
            <w:vAlign w:val="center"/>
          </w:tcPr>
          <w:p w14:paraId="4BEA2875" w14:textId="0A0E3BB7" w:rsidR="006860B2" w:rsidRPr="006860B2" w:rsidRDefault="006860B2" w:rsidP="00E072B9">
            <w:pPr>
              <w:pStyle w:val="In-tableHeading"/>
              <w:rPr>
                <w:b/>
              </w:rPr>
            </w:pPr>
            <w:r w:rsidRPr="006860B2">
              <w:t>Including wholesaler mark</w:t>
            </w:r>
            <w:r w:rsidR="00E072B9">
              <w:noBreakHyphen/>
            </w:r>
            <w:r w:rsidRPr="006860B2">
              <w:t xml:space="preserve">up of $54.14, AHI fee of $99.79 and dispensing fee $8.67. </w:t>
            </w:r>
          </w:p>
          <w:p w14:paraId="711EE013" w14:textId="77777777" w:rsidR="006860B2" w:rsidRPr="00E750DB" w:rsidRDefault="006860B2" w:rsidP="00E072B9">
            <w:pPr>
              <w:jc w:val="left"/>
              <w:rPr>
                <w:rFonts w:ascii="Arial Narrow" w:eastAsiaTheme="majorEastAsia" w:hAnsi="Arial Narrow" w:cstheme="majorBidi"/>
                <w:bCs/>
                <w:sz w:val="20"/>
              </w:rPr>
            </w:pPr>
          </w:p>
        </w:tc>
        <w:tc>
          <w:tcPr>
            <w:tcW w:w="3622" w:type="dxa"/>
            <w:vAlign w:val="center"/>
          </w:tcPr>
          <w:p w14:paraId="4887355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was consistent with the submission’s economic model.</w:t>
            </w:r>
          </w:p>
        </w:tc>
      </w:tr>
      <w:tr w:rsidR="006860B2" w:rsidRPr="00E750DB" w14:paraId="3A2C2B9F" w14:textId="0749D348" w:rsidTr="006860B2">
        <w:trPr>
          <w:cantSplit/>
        </w:trPr>
        <w:tc>
          <w:tcPr>
            <w:tcW w:w="1648" w:type="dxa"/>
            <w:vAlign w:val="center"/>
          </w:tcPr>
          <w:p w14:paraId="35908369"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Patient copayment</w:t>
            </w:r>
          </w:p>
        </w:tc>
        <w:tc>
          <w:tcPr>
            <w:tcW w:w="1467" w:type="dxa"/>
            <w:vAlign w:val="center"/>
          </w:tcPr>
          <w:p w14:paraId="040E30E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PBS: $23.24</w:t>
            </w:r>
          </w:p>
          <w:p w14:paraId="2F760A7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RPBS: $3.85 (not considered)</w:t>
            </w:r>
          </w:p>
        </w:tc>
        <w:tc>
          <w:tcPr>
            <w:tcW w:w="2280" w:type="dxa"/>
            <w:vAlign w:val="center"/>
          </w:tcPr>
          <w:p w14:paraId="5E7D6D0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Based on trientine (250 mg capsule, PBS items 13124R)</w:t>
            </w:r>
          </w:p>
        </w:tc>
        <w:tc>
          <w:tcPr>
            <w:tcW w:w="3622" w:type="dxa"/>
            <w:vAlign w:val="center"/>
          </w:tcPr>
          <w:p w14:paraId="0CCD4712" w14:textId="01E067FA"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T</w:t>
            </w:r>
            <w:r w:rsidRPr="00E750DB">
              <w:rPr>
                <w:rFonts w:ascii="Arial Narrow" w:eastAsiaTheme="majorEastAsia" w:hAnsi="Arial Narrow" w:cstheme="majorBidi"/>
                <w:bCs/>
                <w:sz w:val="20"/>
              </w:rPr>
              <w:t>he impact the copayment is likely minimal given the relatively low value of the co</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payment compared to the drug cost</w:t>
            </w:r>
            <w:r>
              <w:rPr>
                <w:rFonts w:ascii="Arial Narrow" w:eastAsiaTheme="majorEastAsia" w:hAnsi="Arial Narrow" w:cstheme="majorBidi"/>
                <w:bCs/>
                <w:sz w:val="20"/>
              </w:rPr>
              <w:t>.</w:t>
            </w:r>
            <w:r w:rsidRPr="00E750DB">
              <w:rPr>
                <w:rFonts w:ascii="Arial Narrow" w:eastAsiaTheme="majorEastAsia" w:hAnsi="Arial Narrow" w:cstheme="majorBidi"/>
                <w:bCs/>
                <w:sz w:val="20"/>
              </w:rPr>
              <w:t xml:space="preserve"> </w:t>
            </w:r>
            <w:r w:rsidRPr="006860B2">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6860B2">
              <w:rPr>
                <w:rFonts w:ascii="Arial Narrow" w:eastAsiaTheme="majorEastAsia" w:hAnsi="Arial Narrow" w:cstheme="majorBidi"/>
                <w:bCs/>
                <w:sz w:val="20"/>
              </w:rPr>
              <w:t>Committees considered this reasonable.</w:t>
            </w:r>
          </w:p>
        </w:tc>
      </w:tr>
      <w:tr w:rsidR="006860B2" w:rsidRPr="00E750DB" w14:paraId="24397472" w14:textId="25448E28" w:rsidTr="006860B2">
        <w:trPr>
          <w:cantSplit/>
        </w:trPr>
        <w:tc>
          <w:tcPr>
            <w:tcW w:w="1648" w:type="dxa"/>
            <w:vAlign w:val="center"/>
          </w:tcPr>
          <w:p w14:paraId="4B92417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MBS costs</w:t>
            </w:r>
          </w:p>
        </w:tc>
        <w:tc>
          <w:tcPr>
            <w:tcW w:w="1467" w:type="dxa"/>
            <w:vAlign w:val="center"/>
          </w:tcPr>
          <w:p w14:paraId="44E534E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$49.75 per administration of Givosiran</w:t>
            </w:r>
          </w:p>
        </w:tc>
        <w:tc>
          <w:tcPr>
            <w:tcW w:w="2280" w:type="dxa"/>
            <w:vAlign w:val="center"/>
          </w:tcPr>
          <w:p w14:paraId="282AC21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MBS item 105, with 80% rebate assumed in the base case.</w:t>
            </w:r>
          </w:p>
        </w:tc>
        <w:tc>
          <w:tcPr>
            <w:tcW w:w="3622" w:type="dxa"/>
            <w:vAlign w:val="center"/>
          </w:tcPr>
          <w:p w14:paraId="0B645C6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Applied to each givosiran script </w:t>
            </w:r>
          </w:p>
        </w:tc>
      </w:tr>
    </w:tbl>
    <w:p w14:paraId="06F2590F" w14:textId="0319BBCA" w:rsidR="00715BD8" w:rsidRPr="00E750DB" w:rsidRDefault="00715BD8"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Source: Excel workbook ‘Budget Impact Model</w:t>
      </w:r>
      <w:r w:rsidR="00EB34C6" w:rsidRPr="00E750DB">
        <w:rPr>
          <w:rFonts w:ascii="Arial Narrow" w:hAnsi="Arial Narrow"/>
          <w:snapToGrid w:val="0"/>
          <w:sz w:val="18"/>
          <w:szCs w:val="22"/>
        </w:rPr>
        <w:t>’ Table</w:t>
      </w:r>
      <w:r w:rsidRPr="00E750DB">
        <w:rPr>
          <w:rFonts w:ascii="Arial Narrow" w:hAnsi="Arial Narrow"/>
          <w:snapToGrid w:val="0"/>
          <w:sz w:val="18"/>
          <w:szCs w:val="22"/>
        </w:rPr>
        <w:t xml:space="preserve"> 4.1, p116, Table 4.3, p118, Table 4.4, p119, Table 4.6, p120, Table 4.7, p122, Table 4.8, p123, Table 4.9, p124, Table 4.13, p127 of the submission</w:t>
      </w:r>
    </w:p>
    <w:p w14:paraId="1A4F399E" w14:textId="6A457340" w:rsidR="00715BD8" w:rsidRPr="00E750DB" w:rsidRDefault="00715BD8"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 xml:space="preserve">ABS, Australian Bureau of Statistics; </w:t>
      </w:r>
      <w:r w:rsidR="00477090" w:rsidRPr="00E750DB">
        <w:rPr>
          <w:rFonts w:ascii="Arial Narrow" w:hAnsi="Arial Narrow"/>
          <w:snapToGrid w:val="0"/>
          <w:sz w:val="18"/>
          <w:szCs w:val="22"/>
        </w:rPr>
        <w:t>AEMP = approved ex</w:t>
      </w:r>
      <w:r w:rsidR="00E072B9">
        <w:rPr>
          <w:rFonts w:ascii="Arial Narrow" w:hAnsi="Arial Narrow"/>
          <w:snapToGrid w:val="0"/>
          <w:sz w:val="18"/>
          <w:szCs w:val="22"/>
        </w:rPr>
        <w:noBreakHyphen/>
      </w:r>
      <w:r w:rsidR="00477090" w:rsidRPr="00E750DB">
        <w:rPr>
          <w:rFonts w:ascii="Arial Narrow" w:hAnsi="Arial Narrow"/>
          <w:snapToGrid w:val="0"/>
          <w:sz w:val="18"/>
          <w:szCs w:val="22"/>
        </w:rPr>
        <w:t xml:space="preserve">manufacturer price; </w:t>
      </w:r>
      <w:r w:rsidRPr="00E750DB">
        <w:rPr>
          <w:rFonts w:ascii="Arial Narrow" w:hAnsi="Arial Narrow"/>
          <w:snapToGrid w:val="0"/>
          <w:sz w:val="18"/>
          <w:szCs w:val="22"/>
        </w:rPr>
        <w:t>AHP, Acute Hepatic Porphyria; AIP, Acute Intermittent Porphyria; ; DPMQ, Dispensed Price for Maximum Quantity; HCP, Hereditary Coproporphyria; PBG, Porphobilinogen; MBS, Medicare Benefits Schedule; PBS, Pharmaceutical Benefits Scheme; RDI, Relative Dose Intensity; RPBS, Repatriation Pharmaceutical Benefits Scheme TGA, Therapeutic Goods Administration; VP, Variegate Porphyria;</w:t>
      </w:r>
    </w:p>
    <w:p w14:paraId="6C621978" w14:textId="4E28D0F6" w:rsidR="00715BD8" w:rsidRDefault="00715BD8"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 xml:space="preserve">*Scripts dispensed: </w:t>
      </w:r>
      <w:r w:rsidR="007834D4">
        <w:rPr>
          <w:rFonts w:ascii="Arial Narrow" w:hAnsi="Arial Narrow"/>
          <w:snapToGrid w:val="0"/>
          <w:sz w:val="18"/>
          <w:szCs w:val="22"/>
        </w:rPr>
        <w:t>t</w:t>
      </w:r>
      <w:r w:rsidRPr="00E750DB">
        <w:rPr>
          <w:rFonts w:ascii="Arial Narrow" w:hAnsi="Arial Narrow"/>
          <w:snapToGrid w:val="0"/>
          <w:sz w:val="18"/>
          <w:szCs w:val="22"/>
        </w:rPr>
        <w:t>welve</w:t>
      </w:r>
      <w:r w:rsidR="00E072B9">
        <w:rPr>
          <w:rFonts w:ascii="Arial Narrow" w:hAnsi="Arial Narrow"/>
          <w:snapToGrid w:val="0"/>
          <w:sz w:val="18"/>
          <w:szCs w:val="22"/>
        </w:rPr>
        <w:noBreakHyphen/>
      </w:r>
      <w:r w:rsidRPr="00E750DB">
        <w:rPr>
          <w:rFonts w:ascii="Arial Narrow" w:hAnsi="Arial Narrow"/>
          <w:snapToGrid w:val="0"/>
          <w:sz w:val="18"/>
          <w:szCs w:val="22"/>
        </w:rPr>
        <w:t>month totals are presented; pro rata adjustments may be necessary in interpreting the presented estimates. No rounding is applied in translating to the usage / cost estimates.</w:t>
      </w:r>
    </w:p>
    <w:p w14:paraId="1C060C9F" w14:textId="77777777" w:rsidR="006A2459" w:rsidRPr="006A2459" w:rsidRDefault="006A2459" w:rsidP="006A2459">
      <w:pPr>
        <w:spacing w:after="120"/>
        <w:contextualSpacing/>
        <w:rPr>
          <w:rFonts w:ascii="Arial Narrow" w:hAnsi="Arial Narrow"/>
          <w:i/>
          <w:iCs/>
          <w:snapToGrid w:val="0"/>
          <w:sz w:val="18"/>
          <w:szCs w:val="22"/>
        </w:rPr>
      </w:pPr>
      <w:r w:rsidRPr="006A2459">
        <w:rPr>
          <w:rFonts w:ascii="Arial Narrow" w:hAnsi="Arial Narrow"/>
          <w:i/>
          <w:iCs/>
          <w:snapToGrid w:val="0"/>
          <w:sz w:val="18"/>
          <w:szCs w:val="22"/>
        </w:rPr>
        <w:t xml:space="preserve">The redacted values correspond to the following ranges: </w:t>
      </w:r>
    </w:p>
    <w:p w14:paraId="2F1EF6CC" w14:textId="332FB466" w:rsidR="006A2459" w:rsidRPr="00F22AA5" w:rsidRDefault="006A2459" w:rsidP="006A2459">
      <w:pPr>
        <w:spacing w:after="120"/>
        <w:contextualSpacing/>
        <w:rPr>
          <w:rFonts w:ascii="Arial Narrow" w:hAnsi="Arial Narrow"/>
          <w:i/>
          <w:iCs/>
          <w:snapToGrid w:val="0"/>
          <w:sz w:val="18"/>
          <w:szCs w:val="22"/>
        </w:rPr>
      </w:pPr>
      <w:r w:rsidRPr="006A2459">
        <w:rPr>
          <w:rFonts w:ascii="Arial Narrow" w:hAnsi="Arial Narrow"/>
          <w:i/>
          <w:iCs/>
          <w:snapToGrid w:val="0"/>
          <w:sz w:val="18"/>
          <w:szCs w:val="22"/>
          <w:vertAlign w:val="superscript"/>
        </w:rPr>
        <w:t xml:space="preserve">1 </w:t>
      </w:r>
      <w:r w:rsidR="00F22AA5" w:rsidRPr="00F22AA5">
        <w:rPr>
          <w:rFonts w:ascii="Arial Narrow" w:hAnsi="Arial Narrow"/>
          <w:i/>
          <w:iCs/>
          <w:snapToGrid w:val="0"/>
          <w:sz w:val="18"/>
          <w:szCs w:val="22"/>
        </w:rPr>
        <w:t>&lt; 500</w:t>
      </w:r>
    </w:p>
    <w:p w14:paraId="28D48E66" w14:textId="77777777" w:rsidR="009A00ED" w:rsidRPr="009A00ED" w:rsidRDefault="006A2459" w:rsidP="009A00ED">
      <w:pPr>
        <w:spacing w:after="120"/>
        <w:contextualSpacing/>
        <w:rPr>
          <w:rFonts w:ascii="Arial Narrow" w:hAnsi="Arial Narrow"/>
          <w:i/>
          <w:iCs/>
          <w:snapToGrid w:val="0"/>
          <w:sz w:val="18"/>
          <w:szCs w:val="22"/>
          <w:vertAlign w:val="superscript"/>
        </w:rPr>
      </w:pPr>
      <w:r w:rsidRPr="006A2459">
        <w:rPr>
          <w:rFonts w:ascii="Arial Narrow" w:hAnsi="Arial Narrow"/>
          <w:i/>
          <w:iCs/>
          <w:snapToGrid w:val="0"/>
          <w:sz w:val="18"/>
          <w:szCs w:val="22"/>
          <w:vertAlign w:val="superscript"/>
        </w:rPr>
        <w:t>2</w:t>
      </w:r>
      <w:r w:rsidR="009A00ED">
        <w:rPr>
          <w:rFonts w:ascii="Arial Narrow" w:hAnsi="Arial Narrow"/>
          <w:i/>
          <w:iCs/>
          <w:snapToGrid w:val="0"/>
          <w:sz w:val="18"/>
          <w:szCs w:val="22"/>
          <w:vertAlign w:val="superscript"/>
        </w:rPr>
        <w:t xml:space="preserve"> </w:t>
      </w:r>
      <w:r w:rsidR="009A00ED" w:rsidRPr="009A00ED">
        <w:rPr>
          <w:rFonts w:ascii="Arial Narrow" w:hAnsi="Arial Narrow"/>
          <w:i/>
          <w:iCs/>
          <w:snapToGrid w:val="0"/>
          <w:sz w:val="18"/>
          <w:szCs w:val="22"/>
        </w:rPr>
        <w:t>500 to &lt; 5,000</w:t>
      </w:r>
    </w:p>
    <w:p w14:paraId="101A49E8" w14:textId="2B2EE64F" w:rsidR="00B642D1" w:rsidRDefault="00B642D1">
      <w:pPr>
        <w:jc w:val="left"/>
        <w:rPr>
          <w:rFonts w:ascii="Arial Narrow" w:hAnsi="Arial Narrow"/>
          <w:i/>
          <w:iCs/>
          <w:snapToGrid w:val="0"/>
          <w:sz w:val="18"/>
          <w:szCs w:val="22"/>
          <w:vertAlign w:val="superscript"/>
        </w:rPr>
      </w:pPr>
      <w:r>
        <w:rPr>
          <w:rFonts w:ascii="Arial Narrow" w:hAnsi="Arial Narrow"/>
          <w:i/>
          <w:iCs/>
          <w:snapToGrid w:val="0"/>
          <w:sz w:val="18"/>
          <w:szCs w:val="22"/>
          <w:vertAlign w:val="superscript"/>
        </w:rPr>
        <w:br w:type="page"/>
      </w:r>
    </w:p>
    <w:p w14:paraId="26FB6670" w14:textId="731D4558" w:rsidR="00B505C8" w:rsidRPr="00E750DB" w:rsidRDefault="006544DF" w:rsidP="00E072B9">
      <w:pPr>
        <w:pStyle w:val="3-BodyText"/>
      </w:pPr>
      <w:r w:rsidRPr="00E750DB">
        <w:t xml:space="preserve">The estimated net financial impact of </w:t>
      </w:r>
      <w:r w:rsidR="00622B09" w:rsidRPr="00E750DB">
        <w:t xml:space="preserve">givosiran </w:t>
      </w:r>
      <w:r w:rsidRPr="00E750DB">
        <w:t xml:space="preserve">is presented in </w:t>
      </w:r>
      <w:r w:rsidR="00622B09" w:rsidRPr="00E750DB">
        <w:fldChar w:fldCharType="begin" w:fldLock="1"/>
      </w:r>
      <w:r w:rsidR="00622B09" w:rsidRPr="00E750DB">
        <w:instrText xml:space="preserve"> REF _Ref104805295 \h </w:instrText>
      </w:r>
      <w:r w:rsidR="00622B09" w:rsidRPr="00E750DB">
        <w:fldChar w:fldCharType="separate"/>
      </w:r>
      <w:r w:rsidR="00E750DB" w:rsidRPr="00E750DB">
        <w:t>Table 16</w:t>
      </w:r>
      <w:r w:rsidR="00622B09" w:rsidRPr="00E750DB">
        <w:fldChar w:fldCharType="end"/>
      </w:r>
      <w:r w:rsidR="0032320F" w:rsidRPr="00E750DB">
        <w:t>.</w:t>
      </w:r>
    </w:p>
    <w:p w14:paraId="38EC053C" w14:textId="72EBD371" w:rsidR="00C25D9C" w:rsidRPr="00E750DB" w:rsidRDefault="00E16AD8" w:rsidP="00E072B9">
      <w:pPr>
        <w:pStyle w:val="Caption"/>
      </w:pPr>
      <w:bookmarkStart w:id="69" w:name="_Ref104805295"/>
      <w:r w:rsidRPr="00E750DB">
        <w:t xml:space="preserve">Table </w:t>
      </w:r>
      <w:r w:rsidR="00E750DB">
        <w:fldChar w:fldCharType="begin" w:fldLock="1"/>
      </w:r>
      <w:r w:rsidR="00E750DB">
        <w:instrText xml:space="preserve"> SEQ Table \* ARABIC </w:instrText>
      </w:r>
      <w:r w:rsidR="00E750DB">
        <w:fldChar w:fldCharType="separate"/>
      </w:r>
      <w:r w:rsidR="00E750DB" w:rsidRPr="00E750DB">
        <w:t>16</w:t>
      </w:r>
      <w:r w:rsidR="00E750DB">
        <w:fldChar w:fldCharType="end"/>
      </w:r>
      <w:bookmarkEnd w:id="69"/>
      <w:r w:rsidRPr="00E750DB">
        <w:t>:</w:t>
      </w:r>
      <w:r w:rsidR="002A2F50" w:rsidRPr="00E750DB">
        <w:rPr>
          <w:rStyle w:val="CommentReference"/>
          <w:b/>
          <w:szCs w:val="24"/>
        </w:rPr>
        <w:t xml:space="preserve"> Estimated use and financial implications</w:t>
      </w:r>
      <w:r w:rsidR="00E870FE">
        <w:rPr>
          <w:rStyle w:val="CommentReference"/>
          <w:b/>
          <w:szCs w:val="24"/>
        </w:rPr>
        <w:t xml:space="preserv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submission)"/>
      </w:tblPr>
      <w:tblGrid>
        <w:gridCol w:w="2405"/>
        <w:gridCol w:w="1102"/>
        <w:gridCol w:w="1102"/>
        <w:gridCol w:w="1102"/>
        <w:gridCol w:w="1102"/>
        <w:gridCol w:w="1102"/>
        <w:gridCol w:w="1102"/>
      </w:tblGrid>
      <w:tr w:rsidR="00385A9D" w:rsidRPr="00E750DB" w14:paraId="43A2A3A1" w14:textId="77777777" w:rsidTr="00622B09">
        <w:trPr>
          <w:tblHeader/>
        </w:trPr>
        <w:tc>
          <w:tcPr>
            <w:tcW w:w="1334" w:type="pct"/>
            <w:vAlign w:val="center"/>
          </w:tcPr>
          <w:p w14:paraId="0A4E41E1" w14:textId="77777777" w:rsidR="00385A9D" w:rsidRPr="00E750DB" w:rsidRDefault="00385A9D" w:rsidP="00E072B9">
            <w:pPr>
              <w:pStyle w:val="TableText0"/>
              <w:widowControl/>
            </w:pPr>
          </w:p>
        </w:tc>
        <w:tc>
          <w:tcPr>
            <w:tcW w:w="611" w:type="pct"/>
            <w:vAlign w:val="center"/>
          </w:tcPr>
          <w:p w14:paraId="77420B6F" w14:textId="77777777" w:rsidR="00385A9D" w:rsidRPr="00E750DB" w:rsidRDefault="00385A9D" w:rsidP="00E072B9">
            <w:pPr>
              <w:pStyle w:val="TableText0"/>
              <w:widowControl/>
            </w:pPr>
            <w:r w:rsidRPr="00E750DB">
              <w:t>Year 1</w:t>
            </w:r>
          </w:p>
        </w:tc>
        <w:tc>
          <w:tcPr>
            <w:tcW w:w="611" w:type="pct"/>
            <w:vAlign w:val="center"/>
          </w:tcPr>
          <w:p w14:paraId="3BBD9218" w14:textId="77777777" w:rsidR="00385A9D" w:rsidRPr="00E750DB" w:rsidRDefault="00385A9D" w:rsidP="00E072B9">
            <w:pPr>
              <w:pStyle w:val="TableText0"/>
              <w:widowControl/>
            </w:pPr>
            <w:r w:rsidRPr="00E750DB">
              <w:t>Year 2</w:t>
            </w:r>
          </w:p>
        </w:tc>
        <w:tc>
          <w:tcPr>
            <w:tcW w:w="611" w:type="pct"/>
            <w:vAlign w:val="center"/>
          </w:tcPr>
          <w:p w14:paraId="729A646E" w14:textId="77777777" w:rsidR="00385A9D" w:rsidRPr="00E750DB" w:rsidRDefault="00385A9D" w:rsidP="00E072B9">
            <w:pPr>
              <w:pStyle w:val="TableText0"/>
              <w:widowControl/>
            </w:pPr>
            <w:r w:rsidRPr="00E750DB">
              <w:t>Year 3</w:t>
            </w:r>
          </w:p>
        </w:tc>
        <w:tc>
          <w:tcPr>
            <w:tcW w:w="611" w:type="pct"/>
            <w:vAlign w:val="center"/>
          </w:tcPr>
          <w:p w14:paraId="280BB544" w14:textId="77777777" w:rsidR="00385A9D" w:rsidRPr="00E750DB" w:rsidRDefault="00385A9D" w:rsidP="00E072B9">
            <w:pPr>
              <w:pStyle w:val="TableText0"/>
              <w:widowControl/>
            </w:pPr>
            <w:r w:rsidRPr="00E750DB">
              <w:t>Year 4</w:t>
            </w:r>
          </w:p>
        </w:tc>
        <w:tc>
          <w:tcPr>
            <w:tcW w:w="611" w:type="pct"/>
            <w:vAlign w:val="center"/>
          </w:tcPr>
          <w:p w14:paraId="6435BB5B" w14:textId="77777777" w:rsidR="00385A9D" w:rsidRPr="00E750DB" w:rsidRDefault="00385A9D" w:rsidP="00E072B9">
            <w:pPr>
              <w:pStyle w:val="TableText0"/>
              <w:widowControl/>
            </w:pPr>
            <w:r w:rsidRPr="00E750DB">
              <w:t>Year 5</w:t>
            </w:r>
          </w:p>
        </w:tc>
        <w:tc>
          <w:tcPr>
            <w:tcW w:w="611" w:type="pct"/>
            <w:vAlign w:val="center"/>
          </w:tcPr>
          <w:p w14:paraId="7C618119" w14:textId="77777777" w:rsidR="00385A9D" w:rsidRPr="00E750DB" w:rsidRDefault="00385A9D" w:rsidP="00E072B9">
            <w:pPr>
              <w:pStyle w:val="TableText0"/>
              <w:widowControl/>
            </w:pPr>
            <w:r w:rsidRPr="00E750DB">
              <w:t>Year 6</w:t>
            </w:r>
          </w:p>
        </w:tc>
      </w:tr>
      <w:tr w:rsidR="00385A9D" w:rsidRPr="00F4169B" w14:paraId="3C519059" w14:textId="77777777" w:rsidTr="009C3A3A">
        <w:tc>
          <w:tcPr>
            <w:tcW w:w="5000" w:type="pct"/>
            <w:gridSpan w:val="7"/>
            <w:vAlign w:val="center"/>
          </w:tcPr>
          <w:p w14:paraId="516C2197" w14:textId="77777777" w:rsidR="00385A9D" w:rsidRPr="00F4169B" w:rsidRDefault="00385A9D" w:rsidP="00E072B9">
            <w:pPr>
              <w:pStyle w:val="In-tableHeading"/>
              <w:rPr>
                <w:b/>
                <w:bCs w:val="0"/>
              </w:rPr>
            </w:pPr>
            <w:r w:rsidRPr="00F4169B">
              <w:rPr>
                <w:b/>
                <w:bCs w:val="0"/>
              </w:rPr>
              <w:t>Estimated extent of use</w:t>
            </w:r>
          </w:p>
        </w:tc>
      </w:tr>
      <w:tr w:rsidR="00385A9D" w:rsidRPr="00E750DB" w14:paraId="148A8EEF" w14:textId="77777777" w:rsidTr="003454AF">
        <w:tc>
          <w:tcPr>
            <w:tcW w:w="1334" w:type="pct"/>
            <w:vAlign w:val="center"/>
          </w:tcPr>
          <w:p w14:paraId="201B6ECA" w14:textId="77777777" w:rsidR="00385A9D" w:rsidRPr="00E750DB" w:rsidRDefault="00385A9D" w:rsidP="00E072B9">
            <w:pPr>
              <w:pStyle w:val="Tabletext"/>
              <w:rPr>
                <w:rFonts w:ascii="Times" w:hAnsi="Times"/>
              </w:rPr>
            </w:pPr>
            <w:r w:rsidRPr="00E750DB">
              <w:t>Number of patients treated</w:t>
            </w:r>
          </w:p>
        </w:tc>
        <w:tc>
          <w:tcPr>
            <w:tcW w:w="611" w:type="pct"/>
            <w:vAlign w:val="center"/>
          </w:tcPr>
          <w:p w14:paraId="577607A9" w14:textId="4A4F5935" w:rsidR="00385A9D" w:rsidRPr="003A73C7" w:rsidRDefault="00B35ACC" w:rsidP="00E072B9">
            <w:pPr>
              <w:pStyle w:val="Tabletext"/>
              <w:rPr>
                <w:highlight w:val="darkGray"/>
                <w:vertAlign w:val="superscript"/>
              </w:rPr>
            </w:pPr>
            <w:r w:rsidRPr="009742C5">
              <w:rPr>
                <w:color w:val="000000"/>
                <w:spacing w:val="53"/>
                <w:shd w:val="solid" w:color="000000" w:fill="000000"/>
                <w:fitText w:val="330" w:id="-625249533"/>
                <w14:textFill>
                  <w14:solidFill>
                    <w14:srgbClr w14:val="000000">
                      <w14:alpha w14:val="100000"/>
                    </w14:srgbClr>
                  </w14:solidFill>
                </w14:textFill>
              </w:rPr>
              <w:t>|||</w:t>
            </w:r>
            <w:r w:rsidRPr="009742C5">
              <w:rPr>
                <w:color w:val="000000"/>
                <w:spacing w:val="1"/>
                <w:shd w:val="solid" w:color="000000" w:fill="000000"/>
                <w:fitText w:val="330" w:id="-625249533"/>
                <w14:textFill>
                  <w14:solidFill>
                    <w14:srgbClr w14:val="000000">
                      <w14:alpha w14:val="100000"/>
                    </w14:srgbClr>
                  </w14:solidFill>
                </w14:textFill>
              </w:rPr>
              <w:t>|</w:t>
            </w:r>
            <w:r w:rsidR="003A73C7" w:rsidRPr="003A73C7">
              <w:rPr>
                <w:vertAlign w:val="superscript"/>
              </w:rPr>
              <w:t>1</w:t>
            </w:r>
          </w:p>
        </w:tc>
        <w:tc>
          <w:tcPr>
            <w:tcW w:w="611" w:type="pct"/>
            <w:vAlign w:val="center"/>
          </w:tcPr>
          <w:p w14:paraId="6610B4C9" w14:textId="4CF14860" w:rsidR="00385A9D" w:rsidRPr="003A73C7" w:rsidRDefault="00B35ACC" w:rsidP="00E072B9">
            <w:pPr>
              <w:pStyle w:val="Tabletext"/>
              <w:rPr>
                <w:highlight w:val="darkGray"/>
                <w:vertAlign w:val="superscript"/>
              </w:rPr>
            </w:pPr>
            <w:r w:rsidRPr="009742C5">
              <w:rPr>
                <w:color w:val="000000"/>
                <w:spacing w:val="53"/>
                <w:shd w:val="solid" w:color="000000" w:fill="000000"/>
                <w:fitText w:val="330" w:id="-625249532"/>
                <w14:textFill>
                  <w14:solidFill>
                    <w14:srgbClr w14:val="000000">
                      <w14:alpha w14:val="100000"/>
                    </w14:srgbClr>
                  </w14:solidFill>
                </w14:textFill>
              </w:rPr>
              <w:t>|||</w:t>
            </w:r>
            <w:r w:rsidRPr="009742C5">
              <w:rPr>
                <w:color w:val="000000"/>
                <w:spacing w:val="1"/>
                <w:shd w:val="solid" w:color="000000" w:fill="000000"/>
                <w:fitText w:val="330" w:id="-625249532"/>
                <w14:textFill>
                  <w14:solidFill>
                    <w14:srgbClr w14:val="000000">
                      <w14:alpha w14:val="100000"/>
                    </w14:srgbClr>
                  </w14:solidFill>
                </w14:textFill>
              </w:rPr>
              <w:t>|</w:t>
            </w:r>
            <w:r w:rsidR="003A73C7" w:rsidRPr="003A73C7">
              <w:rPr>
                <w:vertAlign w:val="superscript"/>
              </w:rPr>
              <w:t>1</w:t>
            </w:r>
          </w:p>
        </w:tc>
        <w:tc>
          <w:tcPr>
            <w:tcW w:w="611" w:type="pct"/>
            <w:vAlign w:val="center"/>
          </w:tcPr>
          <w:p w14:paraId="29F46D6B" w14:textId="6BFDB085" w:rsidR="00385A9D" w:rsidRPr="009A00ED" w:rsidRDefault="00B35ACC" w:rsidP="00E072B9">
            <w:pPr>
              <w:pStyle w:val="Tabletext"/>
              <w:rPr>
                <w:highlight w:val="darkGray"/>
              </w:rPr>
            </w:pPr>
            <w:r w:rsidRPr="009742C5">
              <w:rPr>
                <w:color w:val="000000"/>
                <w:spacing w:val="53"/>
                <w:shd w:val="solid" w:color="000000" w:fill="000000"/>
                <w:fitText w:val="330" w:id="-625249531"/>
                <w14:textFill>
                  <w14:solidFill>
                    <w14:srgbClr w14:val="000000">
                      <w14:alpha w14:val="100000"/>
                    </w14:srgbClr>
                  </w14:solidFill>
                </w14:textFill>
              </w:rPr>
              <w:t>|||</w:t>
            </w:r>
            <w:r w:rsidRPr="009742C5">
              <w:rPr>
                <w:color w:val="000000"/>
                <w:spacing w:val="1"/>
                <w:shd w:val="solid" w:color="000000" w:fill="000000"/>
                <w:fitText w:val="330" w:id="-625249531"/>
                <w14:textFill>
                  <w14:solidFill>
                    <w14:srgbClr w14:val="000000">
                      <w14:alpha w14:val="100000"/>
                    </w14:srgbClr>
                  </w14:solidFill>
                </w14:textFill>
              </w:rPr>
              <w:t>|</w:t>
            </w:r>
            <w:r w:rsidR="00E96EAE" w:rsidRPr="003A73C7">
              <w:rPr>
                <w:vertAlign w:val="superscript"/>
              </w:rPr>
              <w:t>1</w:t>
            </w:r>
          </w:p>
        </w:tc>
        <w:tc>
          <w:tcPr>
            <w:tcW w:w="611" w:type="pct"/>
            <w:vAlign w:val="center"/>
          </w:tcPr>
          <w:p w14:paraId="21167904" w14:textId="24978A1E" w:rsidR="00385A9D" w:rsidRPr="009A00ED" w:rsidRDefault="00B35ACC" w:rsidP="00E072B9">
            <w:pPr>
              <w:pStyle w:val="Tabletext"/>
              <w:rPr>
                <w:highlight w:val="darkGray"/>
              </w:rPr>
            </w:pPr>
            <w:r w:rsidRPr="009742C5">
              <w:rPr>
                <w:color w:val="000000"/>
                <w:spacing w:val="53"/>
                <w:shd w:val="solid" w:color="000000" w:fill="000000"/>
                <w:fitText w:val="330" w:id="-625249530"/>
                <w14:textFill>
                  <w14:solidFill>
                    <w14:srgbClr w14:val="000000">
                      <w14:alpha w14:val="100000"/>
                    </w14:srgbClr>
                  </w14:solidFill>
                </w14:textFill>
              </w:rPr>
              <w:t>|||</w:t>
            </w:r>
            <w:r w:rsidRPr="009742C5">
              <w:rPr>
                <w:color w:val="000000"/>
                <w:spacing w:val="1"/>
                <w:shd w:val="solid" w:color="000000" w:fill="000000"/>
                <w:fitText w:val="330" w:id="-625249530"/>
                <w14:textFill>
                  <w14:solidFill>
                    <w14:srgbClr w14:val="000000">
                      <w14:alpha w14:val="100000"/>
                    </w14:srgbClr>
                  </w14:solidFill>
                </w14:textFill>
              </w:rPr>
              <w:t>|</w:t>
            </w:r>
            <w:r w:rsidR="00E96EAE" w:rsidRPr="003A73C7">
              <w:rPr>
                <w:vertAlign w:val="superscript"/>
              </w:rPr>
              <w:t>1</w:t>
            </w:r>
          </w:p>
        </w:tc>
        <w:tc>
          <w:tcPr>
            <w:tcW w:w="611" w:type="pct"/>
            <w:vAlign w:val="center"/>
          </w:tcPr>
          <w:p w14:paraId="762D4B71" w14:textId="376FCC02" w:rsidR="00385A9D" w:rsidRPr="009A00ED" w:rsidRDefault="00B35ACC" w:rsidP="00E072B9">
            <w:pPr>
              <w:pStyle w:val="Tabletext"/>
              <w:rPr>
                <w:highlight w:val="darkGray"/>
              </w:rPr>
            </w:pPr>
            <w:r w:rsidRPr="009742C5">
              <w:rPr>
                <w:color w:val="000000"/>
                <w:spacing w:val="53"/>
                <w:shd w:val="solid" w:color="000000" w:fill="000000"/>
                <w:fitText w:val="330" w:id="-625249529"/>
                <w14:textFill>
                  <w14:solidFill>
                    <w14:srgbClr w14:val="000000">
                      <w14:alpha w14:val="100000"/>
                    </w14:srgbClr>
                  </w14:solidFill>
                </w14:textFill>
              </w:rPr>
              <w:t>|||</w:t>
            </w:r>
            <w:r w:rsidRPr="009742C5">
              <w:rPr>
                <w:color w:val="000000"/>
                <w:spacing w:val="1"/>
                <w:shd w:val="solid" w:color="000000" w:fill="000000"/>
                <w:fitText w:val="330" w:id="-625249529"/>
                <w14:textFill>
                  <w14:solidFill>
                    <w14:srgbClr w14:val="000000">
                      <w14:alpha w14:val="100000"/>
                    </w14:srgbClr>
                  </w14:solidFill>
                </w14:textFill>
              </w:rPr>
              <w:t>|</w:t>
            </w:r>
            <w:r w:rsidR="00E96EAE" w:rsidRPr="003A73C7">
              <w:rPr>
                <w:vertAlign w:val="superscript"/>
              </w:rPr>
              <w:t>1</w:t>
            </w:r>
          </w:p>
        </w:tc>
        <w:tc>
          <w:tcPr>
            <w:tcW w:w="611" w:type="pct"/>
            <w:vAlign w:val="center"/>
          </w:tcPr>
          <w:p w14:paraId="42B428B5" w14:textId="04D57F93" w:rsidR="00385A9D" w:rsidRPr="009A00ED" w:rsidRDefault="00B35ACC" w:rsidP="00E072B9">
            <w:pPr>
              <w:pStyle w:val="Tabletext"/>
              <w:rPr>
                <w:highlight w:val="darkGray"/>
              </w:rPr>
            </w:pPr>
            <w:r w:rsidRPr="009742C5">
              <w:rPr>
                <w:color w:val="000000"/>
                <w:spacing w:val="53"/>
                <w:shd w:val="solid" w:color="000000" w:fill="000000"/>
                <w:fitText w:val="330" w:id="-625249528"/>
                <w14:textFill>
                  <w14:solidFill>
                    <w14:srgbClr w14:val="000000">
                      <w14:alpha w14:val="100000"/>
                    </w14:srgbClr>
                  </w14:solidFill>
                </w14:textFill>
              </w:rPr>
              <w:t>|||</w:t>
            </w:r>
            <w:r w:rsidRPr="009742C5">
              <w:rPr>
                <w:color w:val="000000"/>
                <w:spacing w:val="1"/>
                <w:shd w:val="solid" w:color="000000" w:fill="000000"/>
                <w:fitText w:val="330" w:id="-625249528"/>
                <w14:textFill>
                  <w14:solidFill>
                    <w14:srgbClr w14:val="000000">
                      <w14:alpha w14:val="100000"/>
                    </w14:srgbClr>
                  </w14:solidFill>
                </w14:textFill>
              </w:rPr>
              <w:t>|</w:t>
            </w:r>
            <w:r w:rsidR="00E96EAE" w:rsidRPr="003A73C7">
              <w:rPr>
                <w:vertAlign w:val="superscript"/>
              </w:rPr>
              <w:t>1</w:t>
            </w:r>
          </w:p>
        </w:tc>
      </w:tr>
      <w:tr w:rsidR="00B73AD8" w:rsidRPr="00E750DB" w14:paraId="1CEE4D09" w14:textId="77777777" w:rsidTr="003454AF">
        <w:tc>
          <w:tcPr>
            <w:tcW w:w="1334" w:type="pct"/>
            <w:vAlign w:val="center"/>
          </w:tcPr>
          <w:p w14:paraId="229A1EDF" w14:textId="703F79C4" w:rsidR="00B73AD8" w:rsidRPr="00E750DB" w:rsidRDefault="00B73AD8" w:rsidP="00E072B9">
            <w:pPr>
              <w:pStyle w:val="Tabletext"/>
              <w:rPr>
                <w:rFonts w:ascii="Times" w:hAnsi="Times"/>
              </w:rPr>
            </w:pPr>
            <w:r w:rsidRPr="00E750DB">
              <w:t>Number of scripts dispensed</w:t>
            </w:r>
            <w:r w:rsidR="00622B09" w:rsidRPr="00E750DB">
              <w:t xml:space="preserve"> </w:t>
            </w:r>
            <w:r w:rsidRPr="00E750DB">
              <w:rPr>
                <w:vertAlign w:val="superscript"/>
              </w:rPr>
              <w:t>a</w:t>
            </w:r>
          </w:p>
        </w:tc>
        <w:tc>
          <w:tcPr>
            <w:tcW w:w="611" w:type="pct"/>
            <w:vAlign w:val="center"/>
          </w:tcPr>
          <w:p w14:paraId="0D9F25C2" w14:textId="3510B153" w:rsidR="00B73AD8" w:rsidRPr="009A00ED" w:rsidRDefault="00B35ACC" w:rsidP="00E072B9">
            <w:pPr>
              <w:pStyle w:val="Tabletext"/>
              <w:rPr>
                <w:highlight w:val="darkGray"/>
              </w:rPr>
            </w:pPr>
            <w:r w:rsidRPr="009742C5">
              <w:rPr>
                <w:color w:val="000000"/>
                <w:spacing w:val="53"/>
                <w:shd w:val="solid" w:color="000000" w:fill="000000"/>
                <w:fitText w:val="330" w:id="-625249527"/>
                <w14:textFill>
                  <w14:solidFill>
                    <w14:srgbClr w14:val="000000">
                      <w14:alpha w14:val="100000"/>
                    </w14:srgbClr>
                  </w14:solidFill>
                </w14:textFill>
              </w:rPr>
              <w:t>|||</w:t>
            </w:r>
            <w:r w:rsidRPr="009742C5">
              <w:rPr>
                <w:color w:val="000000"/>
                <w:spacing w:val="1"/>
                <w:shd w:val="solid" w:color="000000" w:fill="000000"/>
                <w:fitText w:val="330" w:id="-625249527"/>
                <w14:textFill>
                  <w14:solidFill>
                    <w14:srgbClr w14:val="000000">
                      <w14:alpha w14:val="100000"/>
                    </w14:srgbClr>
                  </w14:solidFill>
                </w14:textFill>
              </w:rPr>
              <w:t>|</w:t>
            </w:r>
            <w:r w:rsidR="00E96EAE" w:rsidRPr="003A73C7">
              <w:rPr>
                <w:vertAlign w:val="superscript"/>
              </w:rPr>
              <w:t>1</w:t>
            </w:r>
          </w:p>
        </w:tc>
        <w:tc>
          <w:tcPr>
            <w:tcW w:w="611" w:type="pct"/>
            <w:vAlign w:val="center"/>
          </w:tcPr>
          <w:p w14:paraId="2D7847AA" w14:textId="57D9C611" w:rsidR="00B73AD8" w:rsidRPr="009A00ED" w:rsidRDefault="00B35ACC" w:rsidP="00E072B9">
            <w:pPr>
              <w:pStyle w:val="Tabletext"/>
              <w:rPr>
                <w:highlight w:val="darkGray"/>
              </w:rPr>
            </w:pPr>
            <w:r w:rsidRPr="009742C5">
              <w:rPr>
                <w:color w:val="000000"/>
                <w:spacing w:val="53"/>
                <w:shd w:val="solid" w:color="000000" w:fill="000000"/>
                <w:fitText w:val="330" w:id="-625249526"/>
                <w14:textFill>
                  <w14:solidFill>
                    <w14:srgbClr w14:val="000000">
                      <w14:alpha w14:val="100000"/>
                    </w14:srgbClr>
                  </w14:solidFill>
                </w14:textFill>
              </w:rPr>
              <w:t>|||</w:t>
            </w:r>
            <w:r w:rsidRPr="009742C5">
              <w:rPr>
                <w:color w:val="000000"/>
                <w:spacing w:val="1"/>
                <w:shd w:val="solid" w:color="000000" w:fill="000000"/>
                <w:fitText w:val="330" w:id="-625249526"/>
                <w14:textFill>
                  <w14:solidFill>
                    <w14:srgbClr w14:val="000000">
                      <w14:alpha w14:val="100000"/>
                    </w14:srgbClr>
                  </w14:solidFill>
                </w14:textFill>
              </w:rPr>
              <w:t>|</w:t>
            </w:r>
            <w:r w:rsidR="00E96EAE" w:rsidRPr="003A73C7">
              <w:rPr>
                <w:vertAlign w:val="superscript"/>
              </w:rPr>
              <w:t>1</w:t>
            </w:r>
          </w:p>
        </w:tc>
        <w:tc>
          <w:tcPr>
            <w:tcW w:w="611" w:type="pct"/>
            <w:vAlign w:val="center"/>
          </w:tcPr>
          <w:p w14:paraId="7A620378" w14:textId="10C908C9" w:rsidR="00B73AD8" w:rsidRPr="009A00ED" w:rsidRDefault="00B35ACC" w:rsidP="00E072B9">
            <w:pPr>
              <w:pStyle w:val="Tabletext"/>
              <w:rPr>
                <w:highlight w:val="darkGray"/>
              </w:rPr>
            </w:pPr>
            <w:r w:rsidRPr="009742C5">
              <w:rPr>
                <w:color w:val="000000"/>
                <w:spacing w:val="53"/>
                <w:shd w:val="solid" w:color="000000" w:fill="000000"/>
                <w:fitText w:val="330" w:id="-625249525"/>
                <w14:textFill>
                  <w14:solidFill>
                    <w14:srgbClr w14:val="000000">
                      <w14:alpha w14:val="100000"/>
                    </w14:srgbClr>
                  </w14:solidFill>
                </w14:textFill>
              </w:rPr>
              <w:t>|||</w:t>
            </w:r>
            <w:r w:rsidRPr="009742C5">
              <w:rPr>
                <w:color w:val="000000"/>
                <w:spacing w:val="1"/>
                <w:shd w:val="solid" w:color="000000" w:fill="000000"/>
                <w:fitText w:val="330" w:id="-625249525"/>
                <w14:textFill>
                  <w14:solidFill>
                    <w14:srgbClr w14:val="000000">
                      <w14:alpha w14:val="100000"/>
                    </w14:srgbClr>
                  </w14:solidFill>
                </w14:textFill>
              </w:rPr>
              <w:t>|</w:t>
            </w:r>
            <w:r w:rsidR="00E96EAE" w:rsidRPr="003A73C7">
              <w:rPr>
                <w:vertAlign w:val="superscript"/>
              </w:rPr>
              <w:t>1</w:t>
            </w:r>
          </w:p>
        </w:tc>
        <w:tc>
          <w:tcPr>
            <w:tcW w:w="611" w:type="pct"/>
            <w:vAlign w:val="center"/>
          </w:tcPr>
          <w:p w14:paraId="1D2C1413" w14:textId="4C74FDD6" w:rsidR="00B73AD8" w:rsidRPr="009A00ED" w:rsidRDefault="00B35ACC" w:rsidP="00E072B9">
            <w:pPr>
              <w:pStyle w:val="Tabletext"/>
              <w:rPr>
                <w:highlight w:val="darkGray"/>
              </w:rPr>
            </w:pPr>
            <w:r w:rsidRPr="009742C5">
              <w:rPr>
                <w:color w:val="000000"/>
                <w:spacing w:val="53"/>
                <w:shd w:val="solid" w:color="000000" w:fill="000000"/>
                <w:fitText w:val="330" w:id="-625249524"/>
                <w14:textFill>
                  <w14:solidFill>
                    <w14:srgbClr w14:val="000000">
                      <w14:alpha w14:val="100000"/>
                    </w14:srgbClr>
                  </w14:solidFill>
                </w14:textFill>
              </w:rPr>
              <w:t>|||</w:t>
            </w:r>
            <w:r w:rsidRPr="009742C5">
              <w:rPr>
                <w:color w:val="000000"/>
                <w:spacing w:val="1"/>
                <w:shd w:val="solid" w:color="000000" w:fill="000000"/>
                <w:fitText w:val="330" w:id="-625249524"/>
                <w14:textFill>
                  <w14:solidFill>
                    <w14:srgbClr w14:val="000000">
                      <w14:alpha w14:val="100000"/>
                    </w14:srgbClr>
                  </w14:solidFill>
                </w14:textFill>
              </w:rPr>
              <w:t>|</w:t>
            </w:r>
            <w:r w:rsidR="00E96EAE" w:rsidRPr="003A73C7">
              <w:rPr>
                <w:vertAlign w:val="superscript"/>
              </w:rPr>
              <w:t>1</w:t>
            </w:r>
          </w:p>
        </w:tc>
        <w:tc>
          <w:tcPr>
            <w:tcW w:w="611" w:type="pct"/>
            <w:vAlign w:val="center"/>
          </w:tcPr>
          <w:p w14:paraId="3F0ACB95" w14:textId="38E4B813" w:rsidR="00B73AD8" w:rsidRPr="009A00ED" w:rsidRDefault="00B35ACC" w:rsidP="00E072B9">
            <w:pPr>
              <w:pStyle w:val="Tabletext"/>
              <w:rPr>
                <w:highlight w:val="darkGray"/>
              </w:rPr>
            </w:pPr>
            <w:r w:rsidRPr="009742C5">
              <w:rPr>
                <w:color w:val="000000"/>
                <w:spacing w:val="53"/>
                <w:shd w:val="solid" w:color="000000" w:fill="000000"/>
                <w:fitText w:val="330" w:id="-625249523"/>
                <w14:textFill>
                  <w14:solidFill>
                    <w14:srgbClr w14:val="000000">
                      <w14:alpha w14:val="100000"/>
                    </w14:srgbClr>
                  </w14:solidFill>
                </w14:textFill>
              </w:rPr>
              <w:t>|||</w:t>
            </w:r>
            <w:r w:rsidRPr="009742C5">
              <w:rPr>
                <w:color w:val="000000"/>
                <w:spacing w:val="1"/>
                <w:shd w:val="solid" w:color="000000" w:fill="000000"/>
                <w:fitText w:val="330" w:id="-625249523"/>
                <w14:textFill>
                  <w14:solidFill>
                    <w14:srgbClr w14:val="000000">
                      <w14:alpha w14:val="100000"/>
                    </w14:srgbClr>
                  </w14:solidFill>
                </w14:textFill>
              </w:rPr>
              <w:t>|</w:t>
            </w:r>
            <w:r w:rsidR="00E96EAE" w:rsidRPr="003A73C7">
              <w:rPr>
                <w:vertAlign w:val="superscript"/>
              </w:rPr>
              <w:t>1</w:t>
            </w:r>
          </w:p>
        </w:tc>
        <w:tc>
          <w:tcPr>
            <w:tcW w:w="611" w:type="pct"/>
            <w:vAlign w:val="center"/>
          </w:tcPr>
          <w:p w14:paraId="1C30F331" w14:textId="3A6294FB" w:rsidR="00B73AD8" w:rsidRPr="009A00ED" w:rsidRDefault="00B35ACC" w:rsidP="00E072B9">
            <w:pPr>
              <w:pStyle w:val="Tabletext"/>
              <w:rPr>
                <w:highlight w:val="darkGray"/>
              </w:rPr>
            </w:pPr>
            <w:r w:rsidRPr="009742C5">
              <w:rPr>
                <w:color w:val="000000"/>
                <w:spacing w:val="53"/>
                <w:shd w:val="solid" w:color="000000" w:fill="000000"/>
                <w:fitText w:val="330" w:id="-625249522"/>
                <w14:textFill>
                  <w14:solidFill>
                    <w14:srgbClr w14:val="000000">
                      <w14:alpha w14:val="100000"/>
                    </w14:srgbClr>
                  </w14:solidFill>
                </w14:textFill>
              </w:rPr>
              <w:t>|||</w:t>
            </w:r>
            <w:r w:rsidRPr="009742C5">
              <w:rPr>
                <w:color w:val="000000"/>
                <w:spacing w:val="1"/>
                <w:shd w:val="solid" w:color="000000" w:fill="000000"/>
                <w:fitText w:val="330" w:id="-625249522"/>
                <w14:textFill>
                  <w14:solidFill>
                    <w14:srgbClr w14:val="000000">
                      <w14:alpha w14:val="100000"/>
                    </w14:srgbClr>
                  </w14:solidFill>
                </w14:textFill>
              </w:rPr>
              <w:t>|</w:t>
            </w:r>
            <w:r w:rsidR="00E96EAE" w:rsidRPr="003A73C7">
              <w:rPr>
                <w:vertAlign w:val="superscript"/>
              </w:rPr>
              <w:t>1</w:t>
            </w:r>
          </w:p>
        </w:tc>
      </w:tr>
      <w:tr w:rsidR="00385A9D" w:rsidRPr="00D16122" w14:paraId="1E699D47" w14:textId="77777777" w:rsidTr="009C3A3A">
        <w:tc>
          <w:tcPr>
            <w:tcW w:w="5000" w:type="pct"/>
            <w:gridSpan w:val="7"/>
            <w:vAlign w:val="center"/>
          </w:tcPr>
          <w:p w14:paraId="7D0E0884" w14:textId="64642918" w:rsidR="00385A9D" w:rsidRPr="00D16122" w:rsidRDefault="00385A9D" w:rsidP="00E072B9">
            <w:pPr>
              <w:pStyle w:val="Tabletext"/>
              <w:rPr>
                <w:b/>
                <w:bCs/>
              </w:rPr>
            </w:pPr>
            <w:r w:rsidRPr="00D16122">
              <w:rPr>
                <w:b/>
                <w:bCs/>
              </w:rPr>
              <w:t xml:space="preserve">Estimated financial implications of </w:t>
            </w:r>
            <w:r w:rsidR="00356884" w:rsidRPr="00D16122">
              <w:rPr>
                <w:b/>
                <w:bCs/>
              </w:rPr>
              <w:t>givosiran</w:t>
            </w:r>
          </w:p>
        </w:tc>
      </w:tr>
      <w:tr w:rsidR="00351159" w:rsidRPr="00E750DB" w14:paraId="4B4ACF1A" w14:textId="77777777" w:rsidTr="003454AF">
        <w:tc>
          <w:tcPr>
            <w:tcW w:w="1334" w:type="pct"/>
            <w:vAlign w:val="center"/>
          </w:tcPr>
          <w:p w14:paraId="467993BD" w14:textId="71896411" w:rsidR="00351159" w:rsidRPr="00E750DB" w:rsidRDefault="00351159" w:rsidP="00E072B9">
            <w:pPr>
              <w:pStyle w:val="Tabletext"/>
            </w:pPr>
            <w:r w:rsidRPr="00E750DB">
              <w:t>Cost to PB</w:t>
            </w:r>
            <w:r w:rsidR="00356884" w:rsidRPr="00E750DB">
              <w:t>S</w:t>
            </w:r>
            <w:r w:rsidRPr="00E750DB">
              <w:t xml:space="preserve"> less copayments (effective)</w:t>
            </w:r>
          </w:p>
        </w:tc>
        <w:tc>
          <w:tcPr>
            <w:tcW w:w="611" w:type="pct"/>
            <w:vAlign w:val="center"/>
          </w:tcPr>
          <w:p w14:paraId="4125A2B6" w14:textId="326A976D" w:rsidR="00351159" w:rsidRPr="005337A5" w:rsidRDefault="00351159" w:rsidP="00E072B9">
            <w:pPr>
              <w:pStyle w:val="Tabletext"/>
              <w:rPr>
                <w:vertAlign w:val="superscript"/>
              </w:rPr>
            </w:pPr>
            <w:r w:rsidRPr="00E750DB">
              <w:t>$</w:t>
            </w:r>
            <w:r w:rsidR="00B35ACC" w:rsidRPr="009742C5">
              <w:rPr>
                <w:color w:val="000000"/>
                <w:spacing w:val="53"/>
                <w:shd w:val="solid" w:color="000000" w:fill="000000"/>
                <w:fitText w:val="330" w:id="-625249521"/>
                <w14:textFill>
                  <w14:solidFill>
                    <w14:srgbClr w14:val="000000">
                      <w14:alpha w14:val="100000"/>
                    </w14:srgbClr>
                  </w14:solidFill>
                </w14:textFill>
              </w:rPr>
              <w:t>|||</w:t>
            </w:r>
            <w:r w:rsidR="00B35ACC" w:rsidRPr="009742C5">
              <w:rPr>
                <w:color w:val="000000"/>
                <w:spacing w:val="1"/>
                <w:shd w:val="solid" w:color="000000" w:fill="000000"/>
                <w:fitText w:val="330" w:id="-625249521"/>
                <w14:textFill>
                  <w14:solidFill>
                    <w14:srgbClr w14:val="000000">
                      <w14:alpha w14:val="100000"/>
                    </w14:srgbClr>
                  </w14:solidFill>
                </w14:textFill>
              </w:rPr>
              <w:t>|</w:t>
            </w:r>
            <w:r w:rsidR="005337A5">
              <w:rPr>
                <w:vertAlign w:val="superscript"/>
              </w:rPr>
              <w:t>2</w:t>
            </w:r>
          </w:p>
        </w:tc>
        <w:tc>
          <w:tcPr>
            <w:tcW w:w="611" w:type="pct"/>
            <w:vAlign w:val="center"/>
          </w:tcPr>
          <w:p w14:paraId="5BDFECEB" w14:textId="74DF24AD" w:rsidR="00351159" w:rsidRPr="005337A5" w:rsidRDefault="00351159" w:rsidP="00E072B9">
            <w:pPr>
              <w:pStyle w:val="Tabletext"/>
              <w:rPr>
                <w:vertAlign w:val="superscript"/>
              </w:rPr>
            </w:pPr>
            <w:r w:rsidRPr="00E750DB">
              <w:t>$</w:t>
            </w:r>
            <w:r w:rsidR="00B35ACC" w:rsidRPr="009742C5">
              <w:rPr>
                <w:color w:val="000000"/>
                <w:spacing w:val="53"/>
                <w:shd w:val="solid" w:color="000000" w:fill="000000"/>
                <w:fitText w:val="330" w:id="-625249520"/>
                <w14:textFill>
                  <w14:solidFill>
                    <w14:srgbClr w14:val="000000">
                      <w14:alpha w14:val="100000"/>
                    </w14:srgbClr>
                  </w14:solidFill>
                </w14:textFill>
              </w:rPr>
              <w:t>|||</w:t>
            </w:r>
            <w:r w:rsidR="00B35ACC" w:rsidRPr="009742C5">
              <w:rPr>
                <w:color w:val="000000"/>
                <w:spacing w:val="1"/>
                <w:shd w:val="solid" w:color="000000" w:fill="000000"/>
                <w:fitText w:val="330" w:id="-625249520"/>
                <w14:textFill>
                  <w14:solidFill>
                    <w14:srgbClr w14:val="000000">
                      <w14:alpha w14:val="100000"/>
                    </w14:srgbClr>
                  </w14:solidFill>
                </w14:textFill>
              </w:rPr>
              <w:t>|</w:t>
            </w:r>
            <w:r w:rsidR="005337A5">
              <w:rPr>
                <w:vertAlign w:val="superscript"/>
              </w:rPr>
              <w:t>2</w:t>
            </w:r>
          </w:p>
        </w:tc>
        <w:tc>
          <w:tcPr>
            <w:tcW w:w="611" w:type="pct"/>
            <w:vAlign w:val="center"/>
          </w:tcPr>
          <w:p w14:paraId="3890D42E" w14:textId="6FF82899" w:rsidR="00351159" w:rsidRPr="005337A5" w:rsidRDefault="00351159" w:rsidP="00E072B9">
            <w:pPr>
              <w:pStyle w:val="Tabletext"/>
              <w:rPr>
                <w:vertAlign w:val="superscript"/>
              </w:rPr>
            </w:pPr>
            <w:r w:rsidRPr="00E750DB">
              <w:t>$</w:t>
            </w:r>
            <w:r w:rsidR="00B35ACC" w:rsidRPr="009742C5">
              <w:rPr>
                <w:color w:val="000000"/>
                <w:spacing w:val="53"/>
                <w:shd w:val="solid" w:color="000000" w:fill="000000"/>
                <w:fitText w:val="330" w:id="-625249536"/>
                <w14:textFill>
                  <w14:solidFill>
                    <w14:srgbClr w14:val="000000">
                      <w14:alpha w14:val="100000"/>
                    </w14:srgbClr>
                  </w14:solidFill>
                </w14:textFill>
              </w:rPr>
              <w:t>|||</w:t>
            </w:r>
            <w:r w:rsidR="00B35ACC" w:rsidRPr="009742C5">
              <w:rPr>
                <w:color w:val="000000"/>
                <w:spacing w:val="1"/>
                <w:shd w:val="solid" w:color="000000" w:fill="000000"/>
                <w:fitText w:val="330" w:id="-625249536"/>
                <w14:textFill>
                  <w14:solidFill>
                    <w14:srgbClr w14:val="000000">
                      <w14:alpha w14:val="100000"/>
                    </w14:srgbClr>
                  </w14:solidFill>
                </w14:textFill>
              </w:rPr>
              <w:t>|</w:t>
            </w:r>
            <w:r w:rsidR="005337A5">
              <w:rPr>
                <w:vertAlign w:val="superscript"/>
              </w:rPr>
              <w:t>2</w:t>
            </w:r>
          </w:p>
        </w:tc>
        <w:tc>
          <w:tcPr>
            <w:tcW w:w="611" w:type="pct"/>
            <w:vAlign w:val="center"/>
          </w:tcPr>
          <w:p w14:paraId="2728B643" w14:textId="7E5D81C0" w:rsidR="00351159" w:rsidRPr="005337A5" w:rsidRDefault="00351159" w:rsidP="00E072B9">
            <w:pPr>
              <w:pStyle w:val="Tabletext"/>
              <w:rPr>
                <w:vertAlign w:val="superscript"/>
              </w:rPr>
            </w:pPr>
            <w:r w:rsidRPr="00E750DB">
              <w:t>$</w:t>
            </w:r>
            <w:r w:rsidR="00B35ACC" w:rsidRPr="009742C5">
              <w:rPr>
                <w:color w:val="000000"/>
                <w:spacing w:val="53"/>
                <w:shd w:val="solid" w:color="000000" w:fill="000000"/>
                <w:fitText w:val="330" w:id="-625249535"/>
                <w14:textFill>
                  <w14:solidFill>
                    <w14:srgbClr w14:val="000000">
                      <w14:alpha w14:val="100000"/>
                    </w14:srgbClr>
                  </w14:solidFill>
                </w14:textFill>
              </w:rPr>
              <w:t>|||</w:t>
            </w:r>
            <w:r w:rsidR="00B35ACC" w:rsidRPr="009742C5">
              <w:rPr>
                <w:color w:val="000000"/>
                <w:spacing w:val="1"/>
                <w:shd w:val="solid" w:color="000000" w:fill="000000"/>
                <w:fitText w:val="330" w:id="-625249535"/>
                <w14:textFill>
                  <w14:solidFill>
                    <w14:srgbClr w14:val="000000">
                      <w14:alpha w14:val="100000"/>
                    </w14:srgbClr>
                  </w14:solidFill>
                </w14:textFill>
              </w:rPr>
              <w:t>|</w:t>
            </w:r>
            <w:r w:rsidR="005337A5">
              <w:rPr>
                <w:vertAlign w:val="superscript"/>
              </w:rPr>
              <w:t>2</w:t>
            </w:r>
          </w:p>
        </w:tc>
        <w:tc>
          <w:tcPr>
            <w:tcW w:w="611" w:type="pct"/>
            <w:vAlign w:val="center"/>
          </w:tcPr>
          <w:p w14:paraId="5FE5021A" w14:textId="43AB1E18" w:rsidR="00351159" w:rsidRPr="005337A5" w:rsidRDefault="00351159" w:rsidP="00E072B9">
            <w:pPr>
              <w:pStyle w:val="Tabletext"/>
              <w:rPr>
                <w:vertAlign w:val="superscript"/>
              </w:rPr>
            </w:pPr>
            <w:r w:rsidRPr="00E750DB">
              <w:t>$</w:t>
            </w:r>
            <w:r w:rsidR="00B35ACC" w:rsidRPr="009742C5">
              <w:rPr>
                <w:color w:val="000000"/>
                <w:spacing w:val="53"/>
                <w:shd w:val="solid" w:color="000000" w:fill="000000"/>
                <w:fitText w:val="330" w:id="-625249534"/>
                <w14:textFill>
                  <w14:solidFill>
                    <w14:srgbClr w14:val="000000">
                      <w14:alpha w14:val="100000"/>
                    </w14:srgbClr>
                  </w14:solidFill>
                </w14:textFill>
              </w:rPr>
              <w:t>|||</w:t>
            </w:r>
            <w:r w:rsidR="00B35ACC" w:rsidRPr="009742C5">
              <w:rPr>
                <w:color w:val="000000"/>
                <w:spacing w:val="1"/>
                <w:shd w:val="solid" w:color="000000" w:fill="000000"/>
                <w:fitText w:val="330" w:id="-625249534"/>
                <w14:textFill>
                  <w14:solidFill>
                    <w14:srgbClr w14:val="000000">
                      <w14:alpha w14:val="100000"/>
                    </w14:srgbClr>
                  </w14:solidFill>
                </w14:textFill>
              </w:rPr>
              <w:t>|</w:t>
            </w:r>
            <w:r w:rsidR="005337A5">
              <w:rPr>
                <w:vertAlign w:val="superscript"/>
              </w:rPr>
              <w:t>2</w:t>
            </w:r>
          </w:p>
        </w:tc>
        <w:tc>
          <w:tcPr>
            <w:tcW w:w="611" w:type="pct"/>
            <w:vAlign w:val="center"/>
          </w:tcPr>
          <w:p w14:paraId="6F8E9082" w14:textId="4925F528" w:rsidR="00351159" w:rsidRPr="00303787" w:rsidRDefault="00351159" w:rsidP="00E072B9">
            <w:pPr>
              <w:pStyle w:val="Tabletext"/>
              <w:rPr>
                <w:vertAlign w:val="superscript"/>
              </w:rPr>
            </w:pPr>
            <w:r w:rsidRPr="00E750DB">
              <w:t>$</w:t>
            </w:r>
            <w:r w:rsidR="00B35ACC" w:rsidRPr="009742C5">
              <w:rPr>
                <w:color w:val="000000"/>
                <w:spacing w:val="53"/>
                <w:shd w:val="solid" w:color="000000" w:fill="000000"/>
                <w:fitText w:val="330" w:id="-625249533"/>
                <w14:textFill>
                  <w14:solidFill>
                    <w14:srgbClr w14:val="000000">
                      <w14:alpha w14:val="100000"/>
                    </w14:srgbClr>
                  </w14:solidFill>
                </w14:textFill>
              </w:rPr>
              <w:t>|||</w:t>
            </w:r>
            <w:r w:rsidR="00B35ACC" w:rsidRPr="009742C5">
              <w:rPr>
                <w:color w:val="000000"/>
                <w:spacing w:val="1"/>
                <w:shd w:val="solid" w:color="000000" w:fill="000000"/>
                <w:fitText w:val="330" w:id="-625249533"/>
                <w14:textFill>
                  <w14:solidFill>
                    <w14:srgbClr w14:val="000000">
                      <w14:alpha w14:val="100000"/>
                    </w14:srgbClr>
                  </w14:solidFill>
                </w14:textFill>
              </w:rPr>
              <w:t>|</w:t>
            </w:r>
            <w:r w:rsidR="00303787">
              <w:rPr>
                <w:vertAlign w:val="superscript"/>
              </w:rPr>
              <w:t>3</w:t>
            </w:r>
          </w:p>
        </w:tc>
      </w:tr>
      <w:tr w:rsidR="00385A9D" w:rsidRPr="00D16122" w14:paraId="344AC0E2" w14:textId="77777777" w:rsidTr="009C3A3A">
        <w:tc>
          <w:tcPr>
            <w:tcW w:w="5000" w:type="pct"/>
            <w:gridSpan w:val="7"/>
            <w:vAlign w:val="center"/>
          </w:tcPr>
          <w:p w14:paraId="0FF7E64D" w14:textId="6EEEF2F7" w:rsidR="00385A9D" w:rsidRPr="00D16122" w:rsidRDefault="00385A9D" w:rsidP="00E072B9">
            <w:pPr>
              <w:pStyle w:val="Tabletext"/>
              <w:rPr>
                <w:b/>
                <w:bCs/>
              </w:rPr>
            </w:pPr>
            <w:r w:rsidRPr="00D16122">
              <w:rPr>
                <w:b/>
                <w:bCs/>
              </w:rPr>
              <w:t>Estimated financial implications for other medicines</w:t>
            </w:r>
          </w:p>
        </w:tc>
      </w:tr>
      <w:tr w:rsidR="00385A9D" w:rsidRPr="00E750DB" w14:paraId="0CE077D9" w14:textId="77777777" w:rsidTr="003454AF">
        <w:tc>
          <w:tcPr>
            <w:tcW w:w="1334" w:type="pct"/>
            <w:vAlign w:val="center"/>
          </w:tcPr>
          <w:p w14:paraId="40F6A2C5" w14:textId="5FEBDB20" w:rsidR="00385A9D" w:rsidRPr="00E750DB" w:rsidRDefault="00385A9D" w:rsidP="00E072B9">
            <w:pPr>
              <w:pStyle w:val="Tabletext"/>
              <w:rPr>
                <w:vertAlign w:val="superscript"/>
              </w:rPr>
            </w:pPr>
            <w:r w:rsidRPr="00E750DB">
              <w:t>Cost to PBS less copayments</w:t>
            </w:r>
            <w:r w:rsidR="00622B09" w:rsidRPr="00E750DB">
              <w:t xml:space="preserve"> </w:t>
            </w:r>
            <w:r w:rsidR="00622B09" w:rsidRPr="00E750DB">
              <w:rPr>
                <w:vertAlign w:val="superscript"/>
              </w:rPr>
              <w:t>b</w:t>
            </w:r>
          </w:p>
        </w:tc>
        <w:tc>
          <w:tcPr>
            <w:tcW w:w="611" w:type="pct"/>
            <w:vAlign w:val="center"/>
          </w:tcPr>
          <w:p w14:paraId="50CF2446" w14:textId="1D0713F2" w:rsidR="00385A9D" w:rsidRPr="00E750DB" w:rsidRDefault="00930749" w:rsidP="00E072B9">
            <w:pPr>
              <w:pStyle w:val="Tabletext"/>
            </w:pPr>
            <w:r w:rsidRPr="00E750DB">
              <w:t>NA</w:t>
            </w:r>
          </w:p>
        </w:tc>
        <w:tc>
          <w:tcPr>
            <w:tcW w:w="611" w:type="pct"/>
            <w:vAlign w:val="center"/>
          </w:tcPr>
          <w:p w14:paraId="35AF80ED" w14:textId="71DC6BB8" w:rsidR="00385A9D" w:rsidRPr="00E750DB" w:rsidRDefault="00930749" w:rsidP="00E072B9">
            <w:pPr>
              <w:pStyle w:val="Tabletext"/>
            </w:pPr>
            <w:r w:rsidRPr="00E750DB">
              <w:t>NA</w:t>
            </w:r>
          </w:p>
        </w:tc>
        <w:tc>
          <w:tcPr>
            <w:tcW w:w="611" w:type="pct"/>
            <w:vAlign w:val="center"/>
          </w:tcPr>
          <w:p w14:paraId="28F1C25D" w14:textId="7553C09A" w:rsidR="00385A9D" w:rsidRPr="00E750DB" w:rsidRDefault="00930749" w:rsidP="00E072B9">
            <w:pPr>
              <w:pStyle w:val="Tabletext"/>
            </w:pPr>
            <w:r w:rsidRPr="00E750DB">
              <w:t>NA</w:t>
            </w:r>
          </w:p>
        </w:tc>
        <w:tc>
          <w:tcPr>
            <w:tcW w:w="611" w:type="pct"/>
            <w:vAlign w:val="center"/>
          </w:tcPr>
          <w:p w14:paraId="5DBA4173" w14:textId="512E2A15" w:rsidR="00385A9D" w:rsidRPr="00E750DB" w:rsidRDefault="00930749" w:rsidP="00E072B9">
            <w:pPr>
              <w:pStyle w:val="Tabletext"/>
            </w:pPr>
            <w:r w:rsidRPr="00E750DB">
              <w:t>NA</w:t>
            </w:r>
          </w:p>
        </w:tc>
        <w:tc>
          <w:tcPr>
            <w:tcW w:w="611" w:type="pct"/>
            <w:vAlign w:val="center"/>
          </w:tcPr>
          <w:p w14:paraId="4D6DC68C" w14:textId="7BE35DE7" w:rsidR="00385A9D" w:rsidRPr="00E750DB" w:rsidRDefault="00930749" w:rsidP="00E072B9">
            <w:pPr>
              <w:pStyle w:val="Tabletext"/>
            </w:pPr>
            <w:r w:rsidRPr="00E750DB">
              <w:t>NA</w:t>
            </w:r>
          </w:p>
        </w:tc>
        <w:tc>
          <w:tcPr>
            <w:tcW w:w="611" w:type="pct"/>
            <w:vAlign w:val="center"/>
          </w:tcPr>
          <w:p w14:paraId="0766C6AC" w14:textId="11D39871" w:rsidR="00385A9D" w:rsidRPr="00E750DB" w:rsidRDefault="00930749" w:rsidP="00E072B9">
            <w:pPr>
              <w:pStyle w:val="Tabletext"/>
            </w:pPr>
            <w:r w:rsidRPr="00E750DB">
              <w:t>NA</w:t>
            </w:r>
          </w:p>
        </w:tc>
      </w:tr>
      <w:tr w:rsidR="00385A9D" w:rsidRPr="00D16122" w14:paraId="4FA07BD8" w14:textId="77777777" w:rsidTr="009C3A3A">
        <w:tc>
          <w:tcPr>
            <w:tcW w:w="5000" w:type="pct"/>
            <w:gridSpan w:val="7"/>
            <w:vAlign w:val="center"/>
          </w:tcPr>
          <w:p w14:paraId="1A627EA0" w14:textId="353DF988" w:rsidR="00385A9D" w:rsidRPr="00D16122" w:rsidRDefault="00385A9D" w:rsidP="00E072B9">
            <w:pPr>
              <w:pStyle w:val="Tabletext"/>
              <w:rPr>
                <w:b/>
                <w:bCs/>
              </w:rPr>
            </w:pPr>
            <w:r w:rsidRPr="00D16122">
              <w:rPr>
                <w:b/>
                <w:bCs/>
              </w:rPr>
              <w:t>Net financial implications</w:t>
            </w:r>
            <w:r w:rsidRPr="00D16122">
              <w:rPr>
                <w:b/>
                <w:bCs/>
                <w:color w:val="4BACC6" w:themeColor="accent5"/>
              </w:rPr>
              <w:t xml:space="preserve"> </w:t>
            </w:r>
          </w:p>
        </w:tc>
      </w:tr>
      <w:tr w:rsidR="001619EF" w:rsidRPr="00E750DB" w14:paraId="3F33D4C6" w14:textId="77777777" w:rsidTr="003454AF">
        <w:tc>
          <w:tcPr>
            <w:tcW w:w="1334" w:type="pct"/>
            <w:vAlign w:val="center"/>
          </w:tcPr>
          <w:p w14:paraId="5ABBDE64" w14:textId="259AAE4D" w:rsidR="001619EF" w:rsidRPr="00E750DB" w:rsidRDefault="001619EF" w:rsidP="00E072B9">
            <w:pPr>
              <w:pStyle w:val="Tabletext"/>
            </w:pPr>
            <w:r w:rsidRPr="00E750DB">
              <w:t>Net cost to PBS</w:t>
            </w:r>
          </w:p>
        </w:tc>
        <w:tc>
          <w:tcPr>
            <w:tcW w:w="611" w:type="pct"/>
            <w:vAlign w:val="center"/>
          </w:tcPr>
          <w:p w14:paraId="744F82C2" w14:textId="3995AAD4" w:rsidR="001619EF" w:rsidRPr="005337A5" w:rsidRDefault="001619EF" w:rsidP="00E072B9">
            <w:pPr>
              <w:pStyle w:val="Tabletext"/>
              <w:rPr>
                <w:vertAlign w:val="superscript"/>
              </w:rPr>
            </w:pPr>
            <w:r w:rsidRPr="00E750DB">
              <w:t>$</w:t>
            </w:r>
            <w:r w:rsidR="00B35ACC" w:rsidRPr="009742C5">
              <w:rPr>
                <w:color w:val="000000"/>
                <w:spacing w:val="53"/>
                <w:shd w:val="solid" w:color="000000" w:fill="000000"/>
                <w:fitText w:val="330" w:id="-625249532"/>
                <w14:textFill>
                  <w14:solidFill>
                    <w14:srgbClr w14:val="000000">
                      <w14:alpha w14:val="100000"/>
                    </w14:srgbClr>
                  </w14:solidFill>
                </w14:textFill>
              </w:rPr>
              <w:t>|||</w:t>
            </w:r>
            <w:r w:rsidR="00B35ACC" w:rsidRPr="009742C5">
              <w:rPr>
                <w:color w:val="000000"/>
                <w:spacing w:val="1"/>
                <w:shd w:val="solid" w:color="000000" w:fill="000000"/>
                <w:fitText w:val="330" w:id="-625249532"/>
                <w14:textFill>
                  <w14:solidFill>
                    <w14:srgbClr w14:val="000000">
                      <w14:alpha w14:val="100000"/>
                    </w14:srgbClr>
                  </w14:solidFill>
                </w14:textFill>
              </w:rPr>
              <w:t>|</w:t>
            </w:r>
            <w:r w:rsidR="005337A5">
              <w:rPr>
                <w:vertAlign w:val="superscript"/>
              </w:rPr>
              <w:t>2</w:t>
            </w:r>
          </w:p>
        </w:tc>
        <w:tc>
          <w:tcPr>
            <w:tcW w:w="611" w:type="pct"/>
            <w:vAlign w:val="center"/>
          </w:tcPr>
          <w:p w14:paraId="295843EA" w14:textId="644327D5" w:rsidR="001619EF" w:rsidRPr="005337A5" w:rsidRDefault="001619EF" w:rsidP="00E072B9">
            <w:pPr>
              <w:pStyle w:val="Tabletext"/>
              <w:rPr>
                <w:vertAlign w:val="superscript"/>
              </w:rPr>
            </w:pPr>
            <w:r w:rsidRPr="00E750DB">
              <w:t>$</w:t>
            </w:r>
            <w:r w:rsidR="00B35ACC" w:rsidRPr="009742C5">
              <w:rPr>
                <w:color w:val="000000"/>
                <w:spacing w:val="53"/>
                <w:shd w:val="solid" w:color="000000" w:fill="000000"/>
                <w:fitText w:val="330" w:id="-625249531"/>
                <w14:textFill>
                  <w14:solidFill>
                    <w14:srgbClr w14:val="000000">
                      <w14:alpha w14:val="100000"/>
                    </w14:srgbClr>
                  </w14:solidFill>
                </w14:textFill>
              </w:rPr>
              <w:t>|||</w:t>
            </w:r>
            <w:r w:rsidR="00B35ACC" w:rsidRPr="009742C5">
              <w:rPr>
                <w:color w:val="000000"/>
                <w:spacing w:val="1"/>
                <w:shd w:val="solid" w:color="000000" w:fill="000000"/>
                <w:fitText w:val="330" w:id="-625249531"/>
                <w14:textFill>
                  <w14:solidFill>
                    <w14:srgbClr w14:val="000000">
                      <w14:alpha w14:val="100000"/>
                    </w14:srgbClr>
                  </w14:solidFill>
                </w14:textFill>
              </w:rPr>
              <w:t>|</w:t>
            </w:r>
            <w:r w:rsidR="005337A5">
              <w:rPr>
                <w:vertAlign w:val="superscript"/>
              </w:rPr>
              <w:t>2</w:t>
            </w:r>
          </w:p>
        </w:tc>
        <w:tc>
          <w:tcPr>
            <w:tcW w:w="611" w:type="pct"/>
            <w:vAlign w:val="center"/>
          </w:tcPr>
          <w:p w14:paraId="3A32302A" w14:textId="580B300A" w:rsidR="001619EF" w:rsidRPr="005337A5" w:rsidRDefault="001619EF" w:rsidP="00E072B9">
            <w:pPr>
              <w:pStyle w:val="Tabletext"/>
              <w:rPr>
                <w:vertAlign w:val="superscript"/>
              </w:rPr>
            </w:pPr>
            <w:r w:rsidRPr="00E750DB">
              <w:t>$</w:t>
            </w:r>
            <w:r w:rsidR="00B35ACC" w:rsidRPr="009742C5">
              <w:rPr>
                <w:color w:val="000000"/>
                <w:spacing w:val="53"/>
                <w:shd w:val="solid" w:color="000000" w:fill="000000"/>
                <w:fitText w:val="330" w:id="-625249530"/>
                <w14:textFill>
                  <w14:solidFill>
                    <w14:srgbClr w14:val="000000">
                      <w14:alpha w14:val="100000"/>
                    </w14:srgbClr>
                  </w14:solidFill>
                </w14:textFill>
              </w:rPr>
              <w:t>|||</w:t>
            </w:r>
            <w:r w:rsidR="00B35ACC" w:rsidRPr="009742C5">
              <w:rPr>
                <w:color w:val="000000"/>
                <w:spacing w:val="1"/>
                <w:shd w:val="solid" w:color="000000" w:fill="000000"/>
                <w:fitText w:val="330" w:id="-625249530"/>
                <w14:textFill>
                  <w14:solidFill>
                    <w14:srgbClr w14:val="000000">
                      <w14:alpha w14:val="100000"/>
                    </w14:srgbClr>
                  </w14:solidFill>
                </w14:textFill>
              </w:rPr>
              <w:t>|</w:t>
            </w:r>
            <w:r w:rsidR="005337A5">
              <w:rPr>
                <w:vertAlign w:val="superscript"/>
              </w:rPr>
              <w:t>2</w:t>
            </w:r>
          </w:p>
        </w:tc>
        <w:tc>
          <w:tcPr>
            <w:tcW w:w="611" w:type="pct"/>
            <w:vAlign w:val="center"/>
          </w:tcPr>
          <w:p w14:paraId="326E9207" w14:textId="597D3EC5" w:rsidR="001619EF" w:rsidRPr="005337A5" w:rsidRDefault="001619EF" w:rsidP="00E072B9">
            <w:pPr>
              <w:pStyle w:val="Tabletext"/>
              <w:rPr>
                <w:vertAlign w:val="superscript"/>
              </w:rPr>
            </w:pPr>
            <w:r w:rsidRPr="00E750DB">
              <w:t>$</w:t>
            </w:r>
            <w:r w:rsidR="00B35ACC" w:rsidRPr="009742C5">
              <w:rPr>
                <w:color w:val="000000"/>
                <w:spacing w:val="53"/>
                <w:shd w:val="solid" w:color="000000" w:fill="000000"/>
                <w:fitText w:val="330" w:id="-625249529"/>
                <w14:textFill>
                  <w14:solidFill>
                    <w14:srgbClr w14:val="000000">
                      <w14:alpha w14:val="100000"/>
                    </w14:srgbClr>
                  </w14:solidFill>
                </w14:textFill>
              </w:rPr>
              <w:t>|||</w:t>
            </w:r>
            <w:r w:rsidR="00B35ACC" w:rsidRPr="009742C5">
              <w:rPr>
                <w:color w:val="000000"/>
                <w:spacing w:val="1"/>
                <w:shd w:val="solid" w:color="000000" w:fill="000000"/>
                <w:fitText w:val="330" w:id="-625249529"/>
                <w14:textFill>
                  <w14:solidFill>
                    <w14:srgbClr w14:val="000000">
                      <w14:alpha w14:val="100000"/>
                    </w14:srgbClr>
                  </w14:solidFill>
                </w14:textFill>
              </w:rPr>
              <w:t>|</w:t>
            </w:r>
            <w:r w:rsidR="005337A5">
              <w:rPr>
                <w:vertAlign w:val="superscript"/>
              </w:rPr>
              <w:t>2</w:t>
            </w:r>
          </w:p>
        </w:tc>
        <w:tc>
          <w:tcPr>
            <w:tcW w:w="611" w:type="pct"/>
            <w:vAlign w:val="center"/>
          </w:tcPr>
          <w:p w14:paraId="56E4D70E" w14:textId="6A1FD24C" w:rsidR="001619EF" w:rsidRPr="005337A5" w:rsidRDefault="001619EF" w:rsidP="00E072B9">
            <w:pPr>
              <w:pStyle w:val="Tabletext"/>
              <w:rPr>
                <w:vertAlign w:val="superscript"/>
              </w:rPr>
            </w:pPr>
            <w:r w:rsidRPr="00E750DB">
              <w:t>$</w:t>
            </w:r>
            <w:r w:rsidR="00B35ACC" w:rsidRPr="009742C5">
              <w:rPr>
                <w:color w:val="000000"/>
                <w:spacing w:val="53"/>
                <w:shd w:val="solid" w:color="000000" w:fill="000000"/>
                <w:fitText w:val="330" w:id="-625249528"/>
                <w14:textFill>
                  <w14:solidFill>
                    <w14:srgbClr w14:val="000000">
                      <w14:alpha w14:val="100000"/>
                    </w14:srgbClr>
                  </w14:solidFill>
                </w14:textFill>
              </w:rPr>
              <w:t>|||</w:t>
            </w:r>
            <w:r w:rsidR="00B35ACC" w:rsidRPr="009742C5">
              <w:rPr>
                <w:color w:val="000000"/>
                <w:spacing w:val="1"/>
                <w:shd w:val="solid" w:color="000000" w:fill="000000"/>
                <w:fitText w:val="330" w:id="-625249528"/>
                <w14:textFill>
                  <w14:solidFill>
                    <w14:srgbClr w14:val="000000">
                      <w14:alpha w14:val="100000"/>
                    </w14:srgbClr>
                  </w14:solidFill>
                </w14:textFill>
              </w:rPr>
              <w:t>|</w:t>
            </w:r>
            <w:r w:rsidR="005337A5">
              <w:rPr>
                <w:vertAlign w:val="superscript"/>
              </w:rPr>
              <w:t>2</w:t>
            </w:r>
          </w:p>
        </w:tc>
        <w:tc>
          <w:tcPr>
            <w:tcW w:w="611" w:type="pct"/>
            <w:vAlign w:val="center"/>
          </w:tcPr>
          <w:p w14:paraId="241B1CFD" w14:textId="76F1AA31" w:rsidR="001619EF" w:rsidRPr="00303787" w:rsidRDefault="001619EF" w:rsidP="00E072B9">
            <w:pPr>
              <w:pStyle w:val="Tabletext"/>
              <w:rPr>
                <w:vertAlign w:val="superscript"/>
              </w:rPr>
            </w:pPr>
            <w:r w:rsidRPr="00E750DB">
              <w:t>$</w:t>
            </w:r>
            <w:r w:rsidR="00B35ACC" w:rsidRPr="009742C5">
              <w:rPr>
                <w:color w:val="000000"/>
                <w:spacing w:val="53"/>
                <w:shd w:val="solid" w:color="000000" w:fill="000000"/>
                <w:fitText w:val="330" w:id="-625249527"/>
                <w14:textFill>
                  <w14:solidFill>
                    <w14:srgbClr w14:val="000000">
                      <w14:alpha w14:val="100000"/>
                    </w14:srgbClr>
                  </w14:solidFill>
                </w14:textFill>
              </w:rPr>
              <w:t>|||</w:t>
            </w:r>
            <w:r w:rsidR="00B35ACC" w:rsidRPr="009742C5">
              <w:rPr>
                <w:color w:val="000000"/>
                <w:spacing w:val="1"/>
                <w:shd w:val="solid" w:color="000000" w:fill="000000"/>
                <w:fitText w:val="330" w:id="-625249527"/>
                <w14:textFill>
                  <w14:solidFill>
                    <w14:srgbClr w14:val="000000">
                      <w14:alpha w14:val="100000"/>
                    </w14:srgbClr>
                  </w14:solidFill>
                </w14:textFill>
              </w:rPr>
              <w:t>|</w:t>
            </w:r>
            <w:r w:rsidR="00303787">
              <w:rPr>
                <w:vertAlign w:val="superscript"/>
              </w:rPr>
              <w:t>3</w:t>
            </w:r>
          </w:p>
        </w:tc>
      </w:tr>
      <w:tr w:rsidR="00900239" w:rsidRPr="00E750DB" w14:paraId="571B64F4" w14:textId="77777777" w:rsidTr="003454AF">
        <w:tc>
          <w:tcPr>
            <w:tcW w:w="1334" w:type="pct"/>
            <w:vAlign w:val="center"/>
          </w:tcPr>
          <w:p w14:paraId="427698FB" w14:textId="1741B02F" w:rsidR="00900239" w:rsidRPr="00E750DB" w:rsidRDefault="00900239" w:rsidP="00E072B9">
            <w:pPr>
              <w:pStyle w:val="Tabletext"/>
              <w:rPr>
                <w:rFonts w:ascii="Times" w:hAnsi="Times"/>
              </w:rPr>
            </w:pPr>
            <w:r w:rsidRPr="00E750DB">
              <w:t>Net cost to MBS</w:t>
            </w:r>
            <w:r w:rsidR="00A3062D" w:rsidRPr="00E750DB">
              <w:t xml:space="preserve"> </w:t>
            </w:r>
            <w:r w:rsidR="00A3062D" w:rsidRPr="00E750DB">
              <w:rPr>
                <w:vertAlign w:val="superscript"/>
              </w:rPr>
              <w:t>c</w:t>
            </w:r>
          </w:p>
        </w:tc>
        <w:tc>
          <w:tcPr>
            <w:tcW w:w="611" w:type="pct"/>
            <w:vAlign w:val="center"/>
          </w:tcPr>
          <w:p w14:paraId="5AD7A1FC" w14:textId="52D37F0D" w:rsidR="00900239" w:rsidRPr="000B2D7F" w:rsidRDefault="00900239" w:rsidP="00E072B9">
            <w:pPr>
              <w:pStyle w:val="Tabletext"/>
              <w:rPr>
                <w:vertAlign w:val="superscript"/>
              </w:rPr>
            </w:pPr>
            <w:r w:rsidRPr="00E750DB">
              <w:t>$</w:t>
            </w:r>
            <w:r w:rsidR="00B35ACC" w:rsidRPr="009742C5">
              <w:rPr>
                <w:color w:val="000000"/>
                <w:spacing w:val="53"/>
                <w:shd w:val="solid" w:color="000000" w:fill="000000"/>
                <w:fitText w:val="330" w:id="-625249526"/>
                <w14:textFill>
                  <w14:solidFill>
                    <w14:srgbClr w14:val="000000">
                      <w14:alpha w14:val="100000"/>
                    </w14:srgbClr>
                  </w14:solidFill>
                </w14:textFill>
              </w:rPr>
              <w:t>|||</w:t>
            </w:r>
            <w:r w:rsidR="00B35ACC" w:rsidRPr="009742C5">
              <w:rPr>
                <w:color w:val="000000"/>
                <w:spacing w:val="1"/>
                <w:shd w:val="solid" w:color="000000" w:fill="000000"/>
                <w:fitText w:val="330" w:id="-625249526"/>
                <w14:textFill>
                  <w14:solidFill>
                    <w14:srgbClr w14:val="000000">
                      <w14:alpha w14:val="100000"/>
                    </w14:srgbClr>
                  </w14:solidFill>
                </w14:textFill>
              </w:rPr>
              <w:t>|</w:t>
            </w:r>
            <w:r w:rsidR="000B2D7F">
              <w:rPr>
                <w:vertAlign w:val="superscript"/>
              </w:rPr>
              <w:t>4</w:t>
            </w:r>
          </w:p>
        </w:tc>
        <w:tc>
          <w:tcPr>
            <w:tcW w:w="611" w:type="pct"/>
            <w:vAlign w:val="center"/>
          </w:tcPr>
          <w:p w14:paraId="1D6E215B" w14:textId="53C4B184" w:rsidR="00900239" w:rsidRPr="000B2D7F" w:rsidRDefault="00900239" w:rsidP="00E072B9">
            <w:pPr>
              <w:pStyle w:val="Tabletext"/>
              <w:rPr>
                <w:vertAlign w:val="superscript"/>
              </w:rPr>
            </w:pPr>
            <w:r w:rsidRPr="00E750DB">
              <w:t>$</w:t>
            </w:r>
            <w:r w:rsidR="00B35ACC" w:rsidRPr="009742C5">
              <w:rPr>
                <w:color w:val="000000"/>
                <w:spacing w:val="53"/>
                <w:shd w:val="solid" w:color="000000" w:fill="000000"/>
                <w:fitText w:val="330" w:id="-625249525"/>
                <w14:textFill>
                  <w14:solidFill>
                    <w14:srgbClr w14:val="000000">
                      <w14:alpha w14:val="100000"/>
                    </w14:srgbClr>
                  </w14:solidFill>
                </w14:textFill>
              </w:rPr>
              <w:t>|||</w:t>
            </w:r>
            <w:r w:rsidR="00B35ACC" w:rsidRPr="009742C5">
              <w:rPr>
                <w:color w:val="000000"/>
                <w:spacing w:val="1"/>
                <w:shd w:val="solid" w:color="000000" w:fill="000000"/>
                <w:fitText w:val="330" w:id="-625249525"/>
                <w14:textFill>
                  <w14:solidFill>
                    <w14:srgbClr w14:val="000000">
                      <w14:alpha w14:val="100000"/>
                    </w14:srgbClr>
                  </w14:solidFill>
                </w14:textFill>
              </w:rPr>
              <w:t>|</w:t>
            </w:r>
            <w:r w:rsidR="000B2D7F">
              <w:rPr>
                <w:vertAlign w:val="superscript"/>
              </w:rPr>
              <w:t>4</w:t>
            </w:r>
          </w:p>
        </w:tc>
        <w:tc>
          <w:tcPr>
            <w:tcW w:w="611" w:type="pct"/>
            <w:vAlign w:val="center"/>
          </w:tcPr>
          <w:p w14:paraId="25026D9D" w14:textId="728654D5" w:rsidR="00900239" w:rsidRPr="000B2D7F" w:rsidRDefault="00900239" w:rsidP="00E072B9">
            <w:pPr>
              <w:pStyle w:val="Tabletext"/>
              <w:rPr>
                <w:vertAlign w:val="superscript"/>
              </w:rPr>
            </w:pPr>
            <w:r w:rsidRPr="00E750DB">
              <w:t>$</w:t>
            </w:r>
            <w:r w:rsidR="00B35ACC" w:rsidRPr="009742C5">
              <w:rPr>
                <w:color w:val="000000"/>
                <w:spacing w:val="53"/>
                <w:shd w:val="solid" w:color="000000" w:fill="000000"/>
                <w:fitText w:val="330" w:id="-625249524"/>
                <w14:textFill>
                  <w14:solidFill>
                    <w14:srgbClr w14:val="000000">
                      <w14:alpha w14:val="100000"/>
                    </w14:srgbClr>
                  </w14:solidFill>
                </w14:textFill>
              </w:rPr>
              <w:t>|||</w:t>
            </w:r>
            <w:r w:rsidR="00B35ACC" w:rsidRPr="009742C5">
              <w:rPr>
                <w:color w:val="000000"/>
                <w:spacing w:val="1"/>
                <w:shd w:val="solid" w:color="000000" w:fill="000000"/>
                <w:fitText w:val="330" w:id="-625249524"/>
                <w14:textFill>
                  <w14:solidFill>
                    <w14:srgbClr w14:val="000000">
                      <w14:alpha w14:val="100000"/>
                    </w14:srgbClr>
                  </w14:solidFill>
                </w14:textFill>
              </w:rPr>
              <w:t>|</w:t>
            </w:r>
            <w:r w:rsidR="000B2D7F">
              <w:rPr>
                <w:vertAlign w:val="superscript"/>
              </w:rPr>
              <w:t>4</w:t>
            </w:r>
          </w:p>
        </w:tc>
        <w:tc>
          <w:tcPr>
            <w:tcW w:w="611" w:type="pct"/>
            <w:vAlign w:val="center"/>
          </w:tcPr>
          <w:p w14:paraId="6933D36F" w14:textId="562BDD53" w:rsidR="00900239" w:rsidRPr="000B2D7F" w:rsidRDefault="00900239" w:rsidP="00E072B9">
            <w:pPr>
              <w:pStyle w:val="Tabletext"/>
              <w:rPr>
                <w:vertAlign w:val="superscript"/>
              </w:rPr>
            </w:pPr>
            <w:r w:rsidRPr="00E750DB">
              <w:t>$</w:t>
            </w:r>
            <w:r w:rsidR="00B35ACC" w:rsidRPr="009742C5">
              <w:rPr>
                <w:color w:val="000000"/>
                <w:spacing w:val="53"/>
                <w:shd w:val="solid" w:color="000000" w:fill="000000"/>
                <w:fitText w:val="330" w:id="-625249523"/>
                <w14:textFill>
                  <w14:solidFill>
                    <w14:srgbClr w14:val="000000">
                      <w14:alpha w14:val="100000"/>
                    </w14:srgbClr>
                  </w14:solidFill>
                </w14:textFill>
              </w:rPr>
              <w:t>|||</w:t>
            </w:r>
            <w:r w:rsidR="00B35ACC" w:rsidRPr="009742C5">
              <w:rPr>
                <w:color w:val="000000"/>
                <w:spacing w:val="1"/>
                <w:shd w:val="solid" w:color="000000" w:fill="000000"/>
                <w:fitText w:val="330" w:id="-625249523"/>
                <w14:textFill>
                  <w14:solidFill>
                    <w14:srgbClr w14:val="000000">
                      <w14:alpha w14:val="100000"/>
                    </w14:srgbClr>
                  </w14:solidFill>
                </w14:textFill>
              </w:rPr>
              <w:t>|</w:t>
            </w:r>
            <w:r w:rsidR="000B2D7F">
              <w:rPr>
                <w:vertAlign w:val="superscript"/>
              </w:rPr>
              <w:t>4</w:t>
            </w:r>
          </w:p>
        </w:tc>
        <w:tc>
          <w:tcPr>
            <w:tcW w:w="611" w:type="pct"/>
            <w:vAlign w:val="center"/>
          </w:tcPr>
          <w:p w14:paraId="04433A65" w14:textId="7D9B1A5F" w:rsidR="00900239" w:rsidRPr="000B2D7F" w:rsidRDefault="00900239" w:rsidP="00E072B9">
            <w:pPr>
              <w:pStyle w:val="Tabletext"/>
              <w:rPr>
                <w:vertAlign w:val="superscript"/>
              </w:rPr>
            </w:pPr>
            <w:r w:rsidRPr="00E750DB">
              <w:t>$</w:t>
            </w:r>
            <w:r w:rsidR="00B35ACC" w:rsidRPr="009742C5">
              <w:rPr>
                <w:color w:val="000000"/>
                <w:spacing w:val="53"/>
                <w:shd w:val="solid" w:color="000000" w:fill="000000"/>
                <w:fitText w:val="330" w:id="-625249522"/>
                <w14:textFill>
                  <w14:solidFill>
                    <w14:srgbClr w14:val="000000">
                      <w14:alpha w14:val="100000"/>
                    </w14:srgbClr>
                  </w14:solidFill>
                </w14:textFill>
              </w:rPr>
              <w:t>|||</w:t>
            </w:r>
            <w:r w:rsidR="00B35ACC" w:rsidRPr="009742C5">
              <w:rPr>
                <w:color w:val="000000"/>
                <w:spacing w:val="1"/>
                <w:shd w:val="solid" w:color="000000" w:fill="000000"/>
                <w:fitText w:val="330" w:id="-625249522"/>
                <w14:textFill>
                  <w14:solidFill>
                    <w14:srgbClr w14:val="000000">
                      <w14:alpha w14:val="100000"/>
                    </w14:srgbClr>
                  </w14:solidFill>
                </w14:textFill>
              </w:rPr>
              <w:t>|</w:t>
            </w:r>
            <w:r w:rsidR="000B2D7F">
              <w:rPr>
                <w:vertAlign w:val="superscript"/>
              </w:rPr>
              <w:t>4</w:t>
            </w:r>
          </w:p>
        </w:tc>
        <w:tc>
          <w:tcPr>
            <w:tcW w:w="611" w:type="pct"/>
            <w:vAlign w:val="center"/>
          </w:tcPr>
          <w:p w14:paraId="2223EBD7" w14:textId="19E6C186" w:rsidR="00900239" w:rsidRPr="000B2D7F" w:rsidRDefault="00900239" w:rsidP="00E072B9">
            <w:pPr>
              <w:pStyle w:val="Tabletext"/>
              <w:rPr>
                <w:vertAlign w:val="superscript"/>
              </w:rPr>
            </w:pPr>
            <w:r w:rsidRPr="00E750DB">
              <w:t>$</w:t>
            </w:r>
            <w:r w:rsidR="00B35ACC" w:rsidRPr="009742C5">
              <w:rPr>
                <w:color w:val="000000"/>
                <w:spacing w:val="53"/>
                <w:shd w:val="solid" w:color="000000" w:fill="000000"/>
                <w:fitText w:val="330" w:id="-625249521"/>
                <w14:textFill>
                  <w14:solidFill>
                    <w14:srgbClr w14:val="000000">
                      <w14:alpha w14:val="100000"/>
                    </w14:srgbClr>
                  </w14:solidFill>
                </w14:textFill>
              </w:rPr>
              <w:t>|||</w:t>
            </w:r>
            <w:r w:rsidR="00B35ACC" w:rsidRPr="009742C5">
              <w:rPr>
                <w:color w:val="000000"/>
                <w:spacing w:val="1"/>
                <w:shd w:val="solid" w:color="000000" w:fill="000000"/>
                <w:fitText w:val="330" w:id="-625249521"/>
                <w14:textFill>
                  <w14:solidFill>
                    <w14:srgbClr w14:val="000000">
                      <w14:alpha w14:val="100000"/>
                    </w14:srgbClr>
                  </w14:solidFill>
                </w14:textFill>
              </w:rPr>
              <w:t>|</w:t>
            </w:r>
            <w:r w:rsidR="000B2D7F">
              <w:rPr>
                <w:vertAlign w:val="superscript"/>
              </w:rPr>
              <w:t>4</w:t>
            </w:r>
          </w:p>
        </w:tc>
      </w:tr>
      <w:tr w:rsidR="007B7652" w:rsidRPr="00E750DB" w14:paraId="123830C0" w14:textId="77777777" w:rsidTr="003454AF">
        <w:tc>
          <w:tcPr>
            <w:tcW w:w="1334" w:type="pct"/>
            <w:vAlign w:val="center"/>
          </w:tcPr>
          <w:p w14:paraId="50FCDA47" w14:textId="3108045A" w:rsidR="007B7652" w:rsidRPr="00E750DB" w:rsidRDefault="007B7652" w:rsidP="00E072B9">
            <w:pPr>
              <w:pStyle w:val="Tabletext"/>
            </w:pPr>
            <w:r w:rsidRPr="00E750DB">
              <w:t xml:space="preserve">Net cost to </w:t>
            </w:r>
            <w:r w:rsidR="00EB34C6" w:rsidRPr="00E750DB">
              <w:t>PBS and</w:t>
            </w:r>
            <w:r w:rsidR="00356884" w:rsidRPr="00E750DB">
              <w:t xml:space="preserve"> </w:t>
            </w:r>
            <w:r w:rsidRPr="00E750DB">
              <w:t>MBS</w:t>
            </w:r>
          </w:p>
        </w:tc>
        <w:tc>
          <w:tcPr>
            <w:tcW w:w="611" w:type="pct"/>
            <w:vAlign w:val="center"/>
          </w:tcPr>
          <w:p w14:paraId="0F4EB661" w14:textId="1EDFCBB8" w:rsidR="007B7652" w:rsidRPr="005337A5" w:rsidRDefault="007B7652" w:rsidP="00E072B9">
            <w:pPr>
              <w:pStyle w:val="Tabletext"/>
              <w:rPr>
                <w:vertAlign w:val="superscript"/>
              </w:rPr>
            </w:pPr>
            <w:r w:rsidRPr="00E750DB">
              <w:t>$</w:t>
            </w:r>
            <w:r w:rsidR="00B35ACC" w:rsidRPr="009742C5">
              <w:rPr>
                <w:color w:val="000000"/>
                <w:spacing w:val="53"/>
                <w:shd w:val="solid" w:color="000000" w:fill="000000"/>
                <w:fitText w:val="330" w:id="-625249520"/>
                <w14:textFill>
                  <w14:solidFill>
                    <w14:srgbClr w14:val="000000">
                      <w14:alpha w14:val="100000"/>
                    </w14:srgbClr>
                  </w14:solidFill>
                </w14:textFill>
              </w:rPr>
              <w:t>|||</w:t>
            </w:r>
            <w:r w:rsidR="00B35ACC" w:rsidRPr="009742C5">
              <w:rPr>
                <w:color w:val="000000"/>
                <w:spacing w:val="1"/>
                <w:shd w:val="solid" w:color="000000" w:fill="000000"/>
                <w:fitText w:val="330" w:id="-625249520"/>
                <w14:textFill>
                  <w14:solidFill>
                    <w14:srgbClr w14:val="000000">
                      <w14:alpha w14:val="100000"/>
                    </w14:srgbClr>
                  </w14:solidFill>
                </w14:textFill>
              </w:rPr>
              <w:t>|</w:t>
            </w:r>
            <w:r w:rsidR="005337A5">
              <w:rPr>
                <w:vertAlign w:val="superscript"/>
              </w:rPr>
              <w:t>2</w:t>
            </w:r>
          </w:p>
        </w:tc>
        <w:tc>
          <w:tcPr>
            <w:tcW w:w="611" w:type="pct"/>
            <w:vAlign w:val="center"/>
          </w:tcPr>
          <w:p w14:paraId="59B75FE2" w14:textId="7DE3B095" w:rsidR="007B7652" w:rsidRPr="005337A5" w:rsidRDefault="007B7652" w:rsidP="00E072B9">
            <w:pPr>
              <w:pStyle w:val="Tabletext"/>
              <w:rPr>
                <w:vertAlign w:val="superscript"/>
              </w:rPr>
            </w:pPr>
            <w:r w:rsidRPr="00E750DB">
              <w:t>$</w:t>
            </w:r>
            <w:r w:rsidR="00B35ACC" w:rsidRPr="009742C5">
              <w:rPr>
                <w:color w:val="000000"/>
                <w:spacing w:val="53"/>
                <w:shd w:val="solid" w:color="000000" w:fill="000000"/>
                <w:fitText w:val="330" w:id="-625249536"/>
                <w14:textFill>
                  <w14:solidFill>
                    <w14:srgbClr w14:val="000000">
                      <w14:alpha w14:val="100000"/>
                    </w14:srgbClr>
                  </w14:solidFill>
                </w14:textFill>
              </w:rPr>
              <w:t>|||</w:t>
            </w:r>
            <w:r w:rsidR="00B35ACC" w:rsidRPr="009742C5">
              <w:rPr>
                <w:color w:val="000000"/>
                <w:spacing w:val="1"/>
                <w:shd w:val="solid" w:color="000000" w:fill="000000"/>
                <w:fitText w:val="330" w:id="-625249536"/>
                <w14:textFill>
                  <w14:solidFill>
                    <w14:srgbClr w14:val="000000">
                      <w14:alpha w14:val="100000"/>
                    </w14:srgbClr>
                  </w14:solidFill>
                </w14:textFill>
              </w:rPr>
              <w:t>|</w:t>
            </w:r>
            <w:r w:rsidR="005337A5">
              <w:rPr>
                <w:vertAlign w:val="superscript"/>
              </w:rPr>
              <w:t>2</w:t>
            </w:r>
          </w:p>
        </w:tc>
        <w:tc>
          <w:tcPr>
            <w:tcW w:w="611" w:type="pct"/>
            <w:vAlign w:val="center"/>
          </w:tcPr>
          <w:p w14:paraId="6AE6473A" w14:textId="54B22B80" w:rsidR="007B7652" w:rsidRPr="005337A5" w:rsidRDefault="007B7652" w:rsidP="00E072B9">
            <w:pPr>
              <w:pStyle w:val="Tabletext"/>
              <w:rPr>
                <w:vertAlign w:val="superscript"/>
              </w:rPr>
            </w:pPr>
            <w:r w:rsidRPr="00E750DB">
              <w:t>$</w:t>
            </w:r>
            <w:r w:rsidR="00B35ACC" w:rsidRPr="009742C5">
              <w:rPr>
                <w:color w:val="000000"/>
                <w:spacing w:val="53"/>
                <w:shd w:val="solid" w:color="000000" w:fill="000000"/>
                <w:fitText w:val="330" w:id="-625249535"/>
                <w14:textFill>
                  <w14:solidFill>
                    <w14:srgbClr w14:val="000000">
                      <w14:alpha w14:val="100000"/>
                    </w14:srgbClr>
                  </w14:solidFill>
                </w14:textFill>
              </w:rPr>
              <w:t>|||</w:t>
            </w:r>
            <w:r w:rsidR="00B35ACC" w:rsidRPr="009742C5">
              <w:rPr>
                <w:color w:val="000000"/>
                <w:spacing w:val="1"/>
                <w:shd w:val="solid" w:color="000000" w:fill="000000"/>
                <w:fitText w:val="330" w:id="-625249535"/>
                <w14:textFill>
                  <w14:solidFill>
                    <w14:srgbClr w14:val="000000">
                      <w14:alpha w14:val="100000"/>
                    </w14:srgbClr>
                  </w14:solidFill>
                </w14:textFill>
              </w:rPr>
              <w:t>|</w:t>
            </w:r>
            <w:r w:rsidR="005337A5">
              <w:rPr>
                <w:vertAlign w:val="superscript"/>
              </w:rPr>
              <w:t>2</w:t>
            </w:r>
          </w:p>
        </w:tc>
        <w:tc>
          <w:tcPr>
            <w:tcW w:w="611" w:type="pct"/>
            <w:vAlign w:val="center"/>
          </w:tcPr>
          <w:p w14:paraId="1F476C04" w14:textId="336BEF45" w:rsidR="007B7652" w:rsidRPr="005337A5" w:rsidRDefault="007B7652" w:rsidP="00E072B9">
            <w:pPr>
              <w:pStyle w:val="Tabletext"/>
              <w:rPr>
                <w:vertAlign w:val="superscript"/>
              </w:rPr>
            </w:pPr>
            <w:r w:rsidRPr="00E750DB">
              <w:t>$</w:t>
            </w:r>
            <w:r w:rsidR="00B35ACC" w:rsidRPr="009742C5">
              <w:rPr>
                <w:color w:val="000000"/>
                <w:spacing w:val="53"/>
                <w:shd w:val="solid" w:color="000000" w:fill="000000"/>
                <w:fitText w:val="330" w:id="-625249534"/>
                <w14:textFill>
                  <w14:solidFill>
                    <w14:srgbClr w14:val="000000">
                      <w14:alpha w14:val="100000"/>
                    </w14:srgbClr>
                  </w14:solidFill>
                </w14:textFill>
              </w:rPr>
              <w:t>|||</w:t>
            </w:r>
            <w:r w:rsidR="00B35ACC" w:rsidRPr="009742C5">
              <w:rPr>
                <w:color w:val="000000"/>
                <w:spacing w:val="1"/>
                <w:shd w:val="solid" w:color="000000" w:fill="000000"/>
                <w:fitText w:val="330" w:id="-625249534"/>
                <w14:textFill>
                  <w14:solidFill>
                    <w14:srgbClr w14:val="000000">
                      <w14:alpha w14:val="100000"/>
                    </w14:srgbClr>
                  </w14:solidFill>
                </w14:textFill>
              </w:rPr>
              <w:t>|</w:t>
            </w:r>
            <w:r w:rsidR="005337A5">
              <w:rPr>
                <w:vertAlign w:val="superscript"/>
              </w:rPr>
              <w:t>2</w:t>
            </w:r>
          </w:p>
        </w:tc>
        <w:tc>
          <w:tcPr>
            <w:tcW w:w="611" w:type="pct"/>
            <w:vAlign w:val="center"/>
          </w:tcPr>
          <w:p w14:paraId="12079751" w14:textId="088D214B" w:rsidR="007B7652" w:rsidRPr="005337A5" w:rsidRDefault="007B7652" w:rsidP="00E072B9">
            <w:pPr>
              <w:pStyle w:val="Tabletext"/>
              <w:rPr>
                <w:vertAlign w:val="superscript"/>
              </w:rPr>
            </w:pPr>
            <w:r w:rsidRPr="00E750DB">
              <w:t>$</w:t>
            </w:r>
            <w:r w:rsidR="00B35ACC" w:rsidRPr="009742C5">
              <w:rPr>
                <w:color w:val="000000"/>
                <w:spacing w:val="53"/>
                <w:shd w:val="solid" w:color="000000" w:fill="000000"/>
                <w:fitText w:val="330" w:id="-625249533"/>
                <w14:textFill>
                  <w14:solidFill>
                    <w14:srgbClr w14:val="000000">
                      <w14:alpha w14:val="100000"/>
                    </w14:srgbClr>
                  </w14:solidFill>
                </w14:textFill>
              </w:rPr>
              <w:t>|||</w:t>
            </w:r>
            <w:r w:rsidR="00B35ACC" w:rsidRPr="009742C5">
              <w:rPr>
                <w:color w:val="000000"/>
                <w:spacing w:val="1"/>
                <w:shd w:val="solid" w:color="000000" w:fill="000000"/>
                <w:fitText w:val="330" w:id="-625249533"/>
                <w14:textFill>
                  <w14:solidFill>
                    <w14:srgbClr w14:val="000000">
                      <w14:alpha w14:val="100000"/>
                    </w14:srgbClr>
                  </w14:solidFill>
                </w14:textFill>
              </w:rPr>
              <w:t>|</w:t>
            </w:r>
            <w:r w:rsidR="005337A5">
              <w:rPr>
                <w:vertAlign w:val="superscript"/>
              </w:rPr>
              <w:t>2</w:t>
            </w:r>
          </w:p>
        </w:tc>
        <w:tc>
          <w:tcPr>
            <w:tcW w:w="611" w:type="pct"/>
            <w:vAlign w:val="center"/>
          </w:tcPr>
          <w:p w14:paraId="4844CB4D" w14:textId="2C7330F6" w:rsidR="007B7652" w:rsidRPr="002E0C64" w:rsidRDefault="007B7652" w:rsidP="00E072B9">
            <w:pPr>
              <w:pStyle w:val="Tabletext"/>
              <w:rPr>
                <w:vertAlign w:val="superscript"/>
              </w:rPr>
            </w:pPr>
            <w:r w:rsidRPr="00E750DB">
              <w:t>$</w:t>
            </w:r>
            <w:r w:rsidR="00B35ACC" w:rsidRPr="009742C5">
              <w:rPr>
                <w:color w:val="000000"/>
                <w:spacing w:val="53"/>
                <w:shd w:val="solid" w:color="000000" w:fill="000000"/>
                <w:fitText w:val="330" w:id="-625249532"/>
                <w14:textFill>
                  <w14:solidFill>
                    <w14:srgbClr w14:val="000000">
                      <w14:alpha w14:val="100000"/>
                    </w14:srgbClr>
                  </w14:solidFill>
                </w14:textFill>
              </w:rPr>
              <w:t>|||</w:t>
            </w:r>
            <w:r w:rsidR="00B35ACC" w:rsidRPr="009742C5">
              <w:rPr>
                <w:color w:val="000000"/>
                <w:spacing w:val="1"/>
                <w:shd w:val="solid" w:color="000000" w:fill="000000"/>
                <w:fitText w:val="330" w:id="-625249532"/>
                <w14:textFill>
                  <w14:solidFill>
                    <w14:srgbClr w14:val="000000">
                      <w14:alpha w14:val="100000"/>
                    </w14:srgbClr>
                  </w14:solidFill>
                </w14:textFill>
              </w:rPr>
              <w:t>|</w:t>
            </w:r>
            <w:r w:rsidR="002E0C64">
              <w:rPr>
                <w:vertAlign w:val="superscript"/>
              </w:rPr>
              <w:t>3</w:t>
            </w:r>
          </w:p>
        </w:tc>
      </w:tr>
    </w:tbl>
    <w:p w14:paraId="22565FE1" w14:textId="77777777" w:rsidR="004B0276" w:rsidRPr="00E750DB" w:rsidRDefault="004B0276" w:rsidP="00E072B9">
      <w:pPr>
        <w:keepNext/>
        <w:keepLines/>
        <w:rPr>
          <w:rFonts w:ascii="Arial Narrow" w:hAnsi="Arial Narrow"/>
          <w:sz w:val="18"/>
          <w:szCs w:val="18"/>
        </w:rPr>
      </w:pPr>
      <w:r w:rsidRPr="00E750DB">
        <w:rPr>
          <w:rFonts w:ascii="Arial Narrow" w:hAnsi="Arial Narrow"/>
          <w:sz w:val="18"/>
          <w:szCs w:val="18"/>
        </w:rPr>
        <w:t>Source: Table 4.10 and Table 4.11, p 124; Table 4.13, p 127 of the givosiran submission</w:t>
      </w:r>
    </w:p>
    <w:p w14:paraId="65E99FBE" w14:textId="42EC8393" w:rsidR="00E466F3" w:rsidRPr="00E750DB" w:rsidRDefault="00E466F3" w:rsidP="00E072B9">
      <w:pPr>
        <w:pStyle w:val="FooterTableFigure"/>
        <w:keepNext/>
        <w:keepLines/>
      </w:pPr>
      <w:r w:rsidRPr="00E750DB">
        <w:rPr>
          <w:vertAlign w:val="superscript"/>
        </w:rPr>
        <w:t>a</w:t>
      </w:r>
      <w:r w:rsidR="00606FBA" w:rsidRPr="00E750DB">
        <w:t xml:space="preserve"> </w:t>
      </w:r>
      <w:r w:rsidRPr="00E750DB">
        <w:t xml:space="preserve">Assuming </w:t>
      </w:r>
      <w:r w:rsidR="00CB286F" w:rsidRPr="00E750DB">
        <w:t xml:space="preserve">12 </w:t>
      </w:r>
      <w:r w:rsidRPr="00E750DB">
        <w:t>scripts</w:t>
      </w:r>
      <w:r w:rsidR="00CB286F" w:rsidRPr="00E750DB">
        <w:t xml:space="preserve"> (each script </w:t>
      </w:r>
      <w:r w:rsidR="00F20736" w:rsidRPr="00E750DB">
        <w:t xml:space="preserve">an average </w:t>
      </w:r>
      <w:r w:rsidR="00F20736" w:rsidRPr="000A2D99">
        <w:t>of 1.2 vials)</w:t>
      </w:r>
      <w:r w:rsidRPr="00E750DB">
        <w:t xml:space="preserve"> per year as estimated by the submission.</w:t>
      </w:r>
    </w:p>
    <w:p w14:paraId="2C3934F3" w14:textId="13D6F7B6" w:rsidR="00622B09" w:rsidRPr="00E750DB" w:rsidRDefault="00622B09" w:rsidP="00E072B9">
      <w:pPr>
        <w:pStyle w:val="FooterTableFigure"/>
        <w:keepNext/>
        <w:keepLines/>
      </w:pPr>
      <w:r w:rsidRPr="00E750DB">
        <w:rPr>
          <w:vertAlign w:val="superscript"/>
        </w:rPr>
        <w:t>b</w:t>
      </w:r>
      <w:r w:rsidRPr="00E750DB">
        <w:t xml:space="preserve"> no cost offsets from potential reduction in acute or chronic treatments considered in financial</w:t>
      </w:r>
      <w:r w:rsidR="00F20736" w:rsidRPr="00E750DB">
        <w:t xml:space="preserve"> estimates</w:t>
      </w:r>
    </w:p>
    <w:p w14:paraId="01B8B8A9" w14:textId="77777777" w:rsidR="00A90056" w:rsidRDefault="00A3062D" w:rsidP="00E072B9">
      <w:pPr>
        <w:pStyle w:val="FooterTableFigure"/>
        <w:keepNext/>
        <w:keepLines/>
      </w:pPr>
      <w:r w:rsidRPr="00E750DB">
        <w:rPr>
          <w:vertAlign w:val="superscript"/>
        </w:rPr>
        <w:t>c</w:t>
      </w:r>
      <w:r w:rsidRPr="00E750DB">
        <w:t xml:space="preserve"> </w:t>
      </w:r>
      <w:r w:rsidR="00F20736" w:rsidRPr="00E750DB">
        <w:t xml:space="preserve">Assuming 80% rebate from MBS item 105 (80% of $49.75) </w:t>
      </w:r>
      <w:r w:rsidR="0061798C" w:rsidRPr="00E750DB">
        <w:t xml:space="preserve">per MBS service </w:t>
      </w:r>
      <w:r w:rsidR="003454AF" w:rsidRPr="00E750DB">
        <w:t xml:space="preserve">applied to each </w:t>
      </w:r>
      <w:r w:rsidR="00F20736" w:rsidRPr="00E750DB">
        <w:t>script. Does not include any cost offsets from potential reduction in acute or chronic treatments as assumed in economic evaluation.</w:t>
      </w:r>
    </w:p>
    <w:p w14:paraId="4B727BC3" w14:textId="77777777" w:rsidR="00A90056" w:rsidRPr="00A90056" w:rsidRDefault="00F20736" w:rsidP="00A90056">
      <w:pPr>
        <w:pStyle w:val="FooterTableFigure"/>
        <w:keepNext/>
        <w:keepLines/>
        <w:rPr>
          <w:i/>
          <w:iCs/>
        </w:rPr>
      </w:pPr>
      <w:r w:rsidRPr="00E750DB">
        <w:t xml:space="preserve"> </w:t>
      </w:r>
      <w:r w:rsidR="00A90056" w:rsidRPr="00A90056">
        <w:rPr>
          <w:i/>
          <w:iCs/>
        </w:rPr>
        <w:t xml:space="preserve">The redacted values correspond to the following ranges: </w:t>
      </w:r>
    </w:p>
    <w:p w14:paraId="0202BEE9" w14:textId="77777777" w:rsidR="00A90056" w:rsidRPr="00A90056" w:rsidRDefault="00A90056" w:rsidP="00A90056">
      <w:pPr>
        <w:pStyle w:val="FooterTableFigure"/>
        <w:keepNext/>
        <w:keepLines/>
        <w:rPr>
          <w:i/>
          <w:iCs/>
        </w:rPr>
      </w:pPr>
      <w:r w:rsidRPr="00A90056">
        <w:rPr>
          <w:i/>
          <w:iCs/>
          <w:vertAlign w:val="superscript"/>
        </w:rPr>
        <w:t xml:space="preserve">1 </w:t>
      </w:r>
      <w:r w:rsidRPr="00A90056">
        <w:rPr>
          <w:i/>
          <w:iCs/>
        </w:rPr>
        <w:t>&lt; 500</w:t>
      </w:r>
    </w:p>
    <w:p w14:paraId="7E6A5B89" w14:textId="7E9C003D" w:rsidR="00A3062D" w:rsidRDefault="00A90056" w:rsidP="00E072B9">
      <w:pPr>
        <w:pStyle w:val="FooterTableFigure"/>
        <w:keepNext/>
        <w:keepLines/>
        <w:rPr>
          <w:i/>
          <w:iCs/>
        </w:rPr>
      </w:pPr>
      <w:r w:rsidRPr="00A90056">
        <w:rPr>
          <w:i/>
          <w:iCs/>
          <w:vertAlign w:val="superscript"/>
        </w:rPr>
        <w:t xml:space="preserve">2 </w:t>
      </w:r>
      <w:r w:rsidR="005337A5" w:rsidRPr="005337A5">
        <w:rPr>
          <w:i/>
          <w:iCs/>
        </w:rPr>
        <w:t>$10 million to &lt; $20 million</w:t>
      </w:r>
    </w:p>
    <w:p w14:paraId="63B89618" w14:textId="77777777" w:rsidR="009253CC" w:rsidRDefault="002E0C64" w:rsidP="009253CC">
      <w:pPr>
        <w:pStyle w:val="FooterTableFigure"/>
        <w:keepNext/>
        <w:keepLines/>
        <w:rPr>
          <w:i/>
          <w:iCs/>
        </w:rPr>
      </w:pPr>
      <w:r>
        <w:rPr>
          <w:i/>
          <w:iCs/>
          <w:vertAlign w:val="superscript"/>
        </w:rPr>
        <w:t xml:space="preserve">3 </w:t>
      </w:r>
      <w:r w:rsidR="009253CC" w:rsidRPr="009253CC">
        <w:rPr>
          <w:i/>
          <w:iCs/>
        </w:rPr>
        <w:t>$20 million to &lt; $30 million</w:t>
      </w:r>
    </w:p>
    <w:p w14:paraId="01A5A068" w14:textId="77777777" w:rsidR="000B2D7F" w:rsidRPr="000B2D7F" w:rsidRDefault="000B2D7F" w:rsidP="000B2D7F">
      <w:pPr>
        <w:pStyle w:val="FooterTableFigure"/>
        <w:keepNext/>
        <w:keepLines/>
        <w:rPr>
          <w:i/>
          <w:iCs/>
          <w:vertAlign w:val="superscript"/>
        </w:rPr>
      </w:pPr>
      <w:r>
        <w:rPr>
          <w:i/>
          <w:iCs/>
          <w:vertAlign w:val="superscript"/>
        </w:rPr>
        <w:t xml:space="preserve">4 </w:t>
      </w:r>
      <w:r w:rsidRPr="000B2D7F">
        <w:rPr>
          <w:i/>
          <w:iCs/>
        </w:rPr>
        <w:t>$0 to &lt; $10 million</w:t>
      </w:r>
    </w:p>
    <w:p w14:paraId="410376B1" w14:textId="4A07788B" w:rsidR="000B2D7F" w:rsidRPr="000B2D7F" w:rsidRDefault="000B2D7F" w:rsidP="009253CC">
      <w:pPr>
        <w:pStyle w:val="FooterTableFigure"/>
        <w:keepNext/>
        <w:keepLines/>
        <w:rPr>
          <w:i/>
          <w:iCs/>
          <w:vertAlign w:val="superscript"/>
        </w:rPr>
      </w:pPr>
    </w:p>
    <w:p w14:paraId="2028CC32" w14:textId="3B62F894" w:rsidR="002E0C64" w:rsidRPr="002E0C64" w:rsidRDefault="002E0C64" w:rsidP="00E072B9">
      <w:pPr>
        <w:pStyle w:val="FooterTableFigure"/>
        <w:keepNext/>
        <w:keepLines/>
        <w:rPr>
          <w:i/>
          <w:iCs/>
        </w:rPr>
      </w:pPr>
    </w:p>
    <w:p w14:paraId="35530124" w14:textId="508CA241" w:rsidR="00196A7B" w:rsidRPr="00E750DB" w:rsidRDefault="000902D9" w:rsidP="00E072B9">
      <w:pPr>
        <w:pStyle w:val="3-BodyText"/>
      </w:pPr>
      <w:r w:rsidRPr="00E750DB">
        <w:t>The total cost to the PBS</w:t>
      </w:r>
      <w:r w:rsidR="00B6696C" w:rsidRPr="00E750DB">
        <w:t xml:space="preserve"> </w:t>
      </w:r>
      <w:r w:rsidRPr="00E750DB">
        <w:t xml:space="preserve">of listing </w:t>
      </w:r>
      <w:r w:rsidR="00B6696C" w:rsidRPr="00E750DB">
        <w:t>givosiran</w:t>
      </w:r>
      <w:r w:rsidRPr="00E750DB">
        <w:t xml:space="preserve"> was estimated </w:t>
      </w:r>
      <w:r w:rsidR="00E870FE">
        <w:t xml:space="preserve">in the submission </w:t>
      </w:r>
      <w:r w:rsidR="00A05C32" w:rsidRPr="00E750DB">
        <w:t>to be</w:t>
      </w:r>
      <w:r w:rsidRPr="00E750DB">
        <w:t xml:space="preserve"> </w:t>
      </w:r>
      <w:r w:rsidR="0012369C" w:rsidRPr="0012369C">
        <w:t>$20 million to &lt; $30 million</w:t>
      </w:r>
      <w:r w:rsidR="0012369C">
        <w:t xml:space="preserve"> </w:t>
      </w:r>
      <w:r w:rsidRPr="00E750DB">
        <w:t>in Year 6, and a total of $</w:t>
      </w:r>
      <w:r w:rsidR="00EB1F72" w:rsidRPr="00EB1F72">
        <w:t>90 million to &lt; $100</w:t>
      </w:r>
      <w:r w:rsidR="00A550BD">
        <w:t xml:space="preserve"> </w:t>
      </w:r>
      <w:r w:rsidR="00DF6A1E">
        <w:t>million</w:t>
      </w:r>
      <w:r w:rsidRPr="00E750DB">
        <w:t xml:space="preserve"> in the first </w:t>
      </w:r>
      <w:r w:rsidR="00196A7B" w:rsidRPr="00E750DB">
        <w:t>six</w:t>
      </w:r>
      <w:r w:rsidRPr="00E750DB">
        <w:t xml:space="preserve"> years of listing. </w:t>
      </w:r>
    </w:p>
    <w:p w14:paraId="5DBCA4D1" w14:textId="66AE5167" w:rsidR="00800A06" w:rsidRPr="00E750DB" w:rsidRDefault="00F20736" w:rsidP="00E072B9">
      <w:pPr>
        <w:pStyle w:val="3-BodyText"/>
      </w:pPr>
      <w:r w:rsidRPr="00E750DB">
        <w:t xml:space="preserve">The total number of patients with AHP was likely underestimated </w:t>
      </w:r>
      <w:r w:rsidR="00E44EA7" w:rsidRPr="00E750DB">
        <w:t xml:space="preserve">as the prevalence from Elder 2013 was applied only to the population aged ≥12 and above, despite the prevalence from Elder 2013 being calculated based on the whole populations of 11 European countries. </w:t>
      </w:r>
      <w:r w:rsidR="00B91BC5">
        <w:t>G</w:t>
      </w:r>
      <w:r w:rsidR="00E44EA7" w:rsidRPr="00E750DB">
        <w:t xml:space="preserve">iven that symptoms are rare before onset of menses and the majority of AHP patients are female, the proportion of symptomatic AHP under 12 years is likely to be substantially lower than the ≥12 years population. </w:t>
      </w:r>
      <w:r w:rsidR="00C615C1">
        <w:t>In addition, the prevalence rate in Australia is uncertain.</w:t>
      </w:r>
      <w:r w:rsidR="00531E54">
        <w:t xml:space="preserve"> The Pre</w:t>
      </w:r>
      <w:r w:rsidR="00E072B9">
        <w:noBreakHyphen/>
      </w:r>
      <w:r w:rsidR="00531E54">
        <w:t xml:space="preserve">PBAC response noted that </w:t>
      </w:r>
      <w:r w:rsidR="00065E9C">
        <w:t xml:space="preserve">estimates provided by Australian clinicians suggested </w:t>
      </w:r>
      <w:r w:rsidR="006E2A67" w:rsidRPr="006E2A67">
        <w:t>approximately 20 pa</w:t>
      </w:r>
      <w:r w:rsidR="006E2A67">
        <w:rPr>
          <w:rFonts w:ascii="Calibri" w:eastAsia="Calibri" w:hAnsi="Calibri" w:cs="Calibri"/>
        </w:rPr>
        <w:t>ti</w:t>
      </w:r>
      <w:r w:rsidR="006E2A67" w:rsidRPr="006E2A67">
        <w:t>ents would be eligible in Year 1, increasing by around 5 pa</w:t>
      </w:r>
      <w:r w:rsidR="006E2A67">
        <w:rPr>
          <w:rFonts w:ascii="Calibri" w:eastAsia="Calibri" w:hAnsi="Calibri" w:cs="Calibri"/>
        </w:rPr>
        <w:t>ti</w:t>
      </w:r>
      <w:r w:rsidR="006E2A67" w:rsidRPr="006E2A67">
        <w:t>ents annually. The Year 1 es</w:t>
      </w:r>
      <w:r w:rsidR="006E2A67">
        <w:rPr>
          <w:rFonts w:ascii="Calibri" w:eastAsia="Calibri" w:hAnsi="Calibri" w:cs="Calibri"/>
        </w:rPr>
        <w:t>ti</w:t>
      </w:r>
      <w:r w:rsidR="006E2A67" w:rsidRPr="006E2A67">
        <w:t>mate was a sum of current pa</w:t>
      </w:r>
      <w:r w:rsidR="006E2A67">
        <w:rPr>
          <w:rFonts w:ascii="Calibri" w:eastAsia="Calibri" w:hAnsi="Calibri" w:cs="Calibri"/>
        </w:rPr>
        <w:t>ti</w:t>
      </w:r>
      <w:r w:rsidR="006E2A67" w:rsidRPr="006E2A67">
        <w:t>ents from specialist clinicians and comprises 5</w:t>
      </w:r>
      <w:r w:rsidR="00E072B9">
        <w:noBreakHyphen/>
      </w:r>
      <w:r w:rsidR="006E2A67" w:rsidRPr="006E2A67">
        <w:t>10 prevalent pa</w:t>
      </w:r>
      <w:r w:rsidR="006E2A67">
        <w:rPr>
          <w:rFonts w:ascii="Calibri" w:eastAsia="Calibri" w:hAnsi="Calibri" w:cs="Calibri"/>
        </w:rPr>
        <w:t>ti</w:t>
      </w:r>
      <w:r w:rsidR="006E2A67" w:rsidRPr="006E2A67">
        <w:t>ents each in NSW and Victoria, 3</w:t>
      </w:r>
      <w:r w:rsidR="00E072B9">
        <w:noBreakHyphen/>
      </w:r>
      <w:r w:rsidR="006E2A67" w:rsidRPr="006E2A67">
        <w:t>5 in Queensland and 0.5</w:t>
      </w:r>
      <w:r w:rsidR="00E072B9">
        <w:noBreakHyphen/>
      </w:r>
      <w:r w:rsidR="006E2A67" w:rsidRPr="006E2A67">
        <w:t>1 in the remaining states and territories. The annual increase of 4</w:t>
      </w:r>
      <w:r w:rsidR="00E072B9">
        <w:noBreakHyphen/>
      </w:r>
      <w:r w:rsidR="006E2A67" w:rsidRPr="006E2A67">
        <w:t>6 pa</w:t>
      </w:r>
      <w:r w:rsidR="006E2A67">
        <w:rPr>
          <w:rFonts w:ascii="Calibri" w:eastAsia="Calibri" w:hAnsi="Calibri" w:cs="Calibri"/>
        </w:rPr>
        <w:t>ti</w:t>
      </w:r>
      <w:r w:rsidR="006E2A67" w:rsidRPr="006E2A67">
        <w:t>ents per year is based on the clinicians’ experience and their review of epidemiology publica</w:t>
      </w:r>
      <w:r w:rsidR="006E2A67">
        <w:rPr>
          <w:rFonts w:ascii="Calibri" w:eastAsia="Calibri" w:hAnsi="Calibri" w:cs="Calibri"/>
        </w:rPr>
        <w:t>ti</w:t>
      </w:r>
      <w:r w:rsidR="006E2A67" w:rsidRPr="006E2A67">
        <w:t>ons.</w:t>
      </w:r>
    </w:p>
    <w:p w14:paraId="1C3FB7AE" w14:textId="4B459A63" w:rsidR="000777A4" w:rsidRPr="00E750DB" w:rsidRDefault="00D57C7A" w:rsidP="00E072B9">
      <w:pPr>
        <w:pStyle w:val="3-BodyText"/>
      </w:pPr>
      <w:r w:rsidRPr="00E750DB">
        <w:t xml:space="preserve">No </w:t>
      </w:r>
      <w:r w:rsidR="000777A4" w:rsidRPr="00E750DB">
        <w:t xml:space="preserve">cost offsets </w:t>
      </w:r>
      <w:r w:rsidR="00F45D69" w:rsidRPr="00E750DB">
        <w:t>were</w:t>
      </w:r>
      <w:r w:rsidR="000777A4" w:rsidRPr="00E750DB">
        <w:t xml:space="preserve"> </w:t>
      </w:r>
      <w:r w:rsidRPr="00E750DB">
        <w:t xml:space="preserve">included in the </w:t>
      </w:r>
      <w:r w:rsidR="000777A4" w:rsidRPr="00E750DB">
        <w:t xml:space="preserve">financial estimates. </w:t>
      </w:r>
      <w:r w:rsidR="008127D4">
        <w:t>While this was appropriate for the financial estimates</w:t>
      </w:r>
      <w:r w:rsidR="00F203C0">
        <w:t>,</w:t>
      </w:r>
      <w:r w:rsidR="008127D4">
        <w:t xml:space="preserve"> there may be</w:t>
      </w:r>
      <w:r w:rsidR="008127D4" w:rsidRPr="00E750DB">
        <w:t xml:space="preserve"> </w:t>
      </w:r>
      <w:r w:rsidR="000777A4" w:rsidRPr="00E750DB">
        <w:t>significant cost offsets</w:t>
      </w:r>
      <w:r w:rsidR="008127D4">
        <w:t xml:space="preserve"> to the </w:t>
      </w:r>
      <w:r w:rsidR="00F203C0">
        <w:t>health system</w:t>
      </w:r>
      <w:r w:rsidR="000777A4" w:rsidRPr="00E750DB">
        <w:t>, such as those from reduced hospitalisations and emergency presentations</w:t>
      </w:r>
      <w:r w:rsidR="00EB34C6" w:rsidRPr="00E750DB">
        <w:t>.</w:t>
      </w:r>
    </w:p>
    <w:p w14:paraId="7A715787" w14:textId="22FAE7E4" w:rsidR="008E185D" w:rsidRPr="008E1F24" w:rsidRDefault="008E185D" w:rsidP="00E072B9">
      <w:pPr>
        <w:pStyle w:val="3-BodyText"/>
      </w:pPr>
      <w:r w:rsidRPr="008E1F24">
        <w:t>The Commentary noted that the comparability of the study population from Neeleman 2018 (AIP only and from Netherland patients) to the Australian AHP population is uncertain</w:t>
      </w:r>
      <w:r w:rsidR="002931A0" w:rsidRPr="008E1F24">
        <w:t xml:space="preserve"> (see paragraph </w:t>
      </w:r>
      <w:r w:rsidR="001526A0" w:rsidRPr="008E1F24">
        <w:fldChar w:fldCharType="begin" w:fldLock="1"/>
      </w:r>
      <w:r w:rsidR="001526A0" w:rsidRPr="008E1F24">
        <w:instrText xml:space="preserve"> REF _Ref197976985 \r \h </w:instrText>
      </w:r>
      <w:r w:rsidR="008E1F24" w:rsidRPr="008E1F24">
        <w:instrText xml:space="preserve"> \* MERGEFORMAT </w:instrText>
      </w:r>
      <w:r w:rsidR="001526A0" w:rsidRPr="008E1F24">
        <w:fldChar w:fldCharType="separate"/>
      </w:r>
      <w:r w:rsidR="001526A0" w:rsidRPr="008E1F24">
        <w:t>6.39</w:t>
      </w:r>
      <w:r w:rsidR="001526A0" w:rsidRPr="008E1F24">
        <w:fldChar w:fldCharType="end"/>
      </w:r>
      <w:r w:rsidR="001526A0" w:rsidRPr="008E1F24">
        <w:t>)</w:t>
      </w:r>
      <w:r w:rsidR="00567649" w:rsidRPr="008E1F24">
        <w:t>.</w:t>
      </w:r>
      <w:r w:rsidRPr="008E1F24">
        <w:t xml:space="preserve"> The Sub</w:t>
      </w:r>
      <w:r w:rsidR="00E072B9">
        <w:noBreakHyphen/>
      </w:r>
      <w:r w:rsidRPr="008E1F24">
        <w:t xml:space="preserve">Committees considered that the estimates drawn from the literature are likely to provide an underestimate </w:t>
      </w:r>
      <w:r w:rsidR="00B175FA" w:rsidRPr="008E1F24">
        <w:t>because</w:t>
      </w:r>
      <w:r w:rsidR="008C0F9C" w:rsidRPr="008E1F24">
        <w:t xml:space="preserve"> 1)</w:t>
      </w:r>
      <w:r w:rsidRPr="008E1F24">
        <w:t xml:space="preserve"> the </w:t>
      </w:r>
      <w:r w:rsidR="0041101D" w:rsidRPr="008E1F24">
        <w:t xml:space="preserve">definition of attack used in Neeleman 2018 reflects more stringent criteria than the proposed indication, </w:t>
      </w:r>
      <w:r w:rsidR="008C0F9C" w:rsidRPr="008E1F24">
        <w:t xml:space="preserve">2) </w:t>
      </w:r>
      <w:r w:rsidRPr="008E1F24">
        <w:t xml:space="preserve">attacks are likely to be irregular, and </w:t>
      </w:r>
      <w:r w:rsidR="008C0F9C" w:rsidRPr="008E1F24">
        <w:t xml:space="preserve">3) </w:t>
      </w:r>
      <w:r w:rsidRPr="008E1F24">
        <w:t>the severity of attacks can vary. The Sub</w:t>
      </w:r>
      <w:r w:rsidR="00E072B9">
        <w:noBreakHyphen/>
      </w:r>
      <w:r w:rsidRPr="008E1F24">
        <w:t>Committees considered that the method used to estimate the number of patients meeting the clinical criterion in relation to the number of attacks of appropriate severity in the relevant period (2 attacks within 6 months) was flawed as it utilised a lifetime rate of attack</w:t>
      </w:r>
      <w:r w:rsidR="00A15F93" w:rsidRPr="008E1F24">
        <w:t>,</w:t>
      </w:r>
      <w:r w:rsidRPr="008E1F24">
        <w:t xml:space="preserve"> where it is possible to have 4 attacks in any year while not having 2 attacks (of the appropriate severity) within </w:t>
      </w:r>
      <w:r w:rsidR="006C5824">
        <w:t xml:space="preserve">the previous </w:t>
      </w:r>
      <w:r w:rsidRPr="008E1F24">
        <w:t xml:space="preserve">6 months. The estimates derived from Neeleman 2018 may be inappropriate as some ‘recurrent’ cases which were included in the estimates maybe excluded under the proposed restriction while some ‘symptomatic’ cases which were excluded from the estimates maybe eligible under the proposed restriction. </w:t>
      </w:r>
      <w:r w:rsidR="00D25D32">
        <w:t xml:space="preserve">In addition, </w:t>
      </w:r>
      <w:r w:rsidR="00D25D32" w:rsidRPr="003638CD">
        <w:t>Neeleman 2018 reported a substantially lower rate of patients experiencing acute attacks than the assumptions made in the submission (39.7% compared to 73.7% in the submission)</w:t>
      </w:r>
      <w:r w:rsidR="00D25D32">
        <w:t xml:space="preserve">. </w:t>
      </w:r>
      <w:r w:rsidRPr="008E1F24">
        <w:t>The Sub</w:t>
      </w:r>
      <w:r w:rsidR="00E072B9">
        <w:noBreakHyphen/>
      </w:r>
      <w:r w:rsidRPr="008E1F24">
        <w:t xml:space="preserve">Committees </w:t>
      </w:r>
      <w:r w:rsidR="008E1F24" w:rsidRPr="008E1F24">
        <w:t xml:space="preserve">also </w:t>
      </w:r>
      <w:r w:rsidRPr="008E1F24">
        <w:t xml:space="preserve">noted the age of the data in Neeleman 2018 and considered that more up to date data would be beneficial. </w:t>
      </w:r>
      <w:r w:rsidR="00482183">
        <w:t>Overall, t</w:t>
      </w:r>
      <w:r w:rsidR="00482183" w:rsidRPr="00663979">
        <w:t xml:space="preserve">he proportion </w:t>
      </w:r>
      <w:r w:rsidR="000864A8">
        <w:t xml:space="preserve">of </w:t>
      </w:r>
      <w:r w:rsidR="00BC1223">
        <w:t xml:space="preserve">AHP patients </w:t>
      </w:r>
      <w:r w:rsidR="00482183" w:rsidRPr="00663979">
        <w:t xml:space="preserve">eligible </w:t>
      </w:r>
      <w:r w:rsidR="00BC1223">
        <w:t xml:space="preserve">for treatment </w:t>
      </w:r>
      <w:r w:rsidR="00482183" w:rsidRPr="00663979">
        <w:t>was uncertain and may be overestimated, as Stölzel 2024 reported a substantially lower rate of patients with at least two attacks in the previous six months</w:t>
      </w:r>
      <w:r w:rsidR="00DD7224">
        <w:t xml:space="preserve"> </w:t>
      </w:r>
      <w:r w:rsidR="00DD7224" w:rsidRPr="00DD7224">
        <w:t>(7.4% compared to the 23.2% assumed in the submission)</w:t>
      </w:r>
      <w:r w:rsidR="00BC1223">
        <w:t>.</w:t>
      </w:r>
    </w:p>
    <w:p w14:paraId="6937C4A3" w14:textId="77E0DA3C" w:rsidR="008E185D" w:rsidRPr="00441643" w:rsidRDefault="008E185D" w:rsidP="00E072B9">
      <w:pPr>
        <w:pStyle w:val="3-BodyText"/>
      </w:pPr>
      <w:r w:rsidRPr="00441643">
        <w:t>The submission estimated that 40</w:t>
      </w:r>
      <w:r w:rsidR="00E072B9">
        <w:noBreakHyphen/>
      </w:r>
      <w:r w:rsidRPr="00441643">
        <w:t xml:space="preserve">43 patients </w:t>
      </w:r>
      <w:r w:rsidR="00D04737" w:rsidRPr="00441643">
        <w:t>annually (</w:t>
      </w:r>
      <w:r w:rsidRPr="00441643">
        <w:t>who were not post</w:t>
      </w:r>
      <w:r w:rsidR="00E072B9">
        <w:noBreakHyphen/>
      </w:r>
      <w:r w:rsidRPr="00441643">
        <w:t>menopausal women</w:t>
      </w:r>
      <w:r w:rsidR="00D04737" w:rsidRPr="00441643">
        <w:t>)</w:t>
      </w:r>
      <w:r w:rsidRPr="00441643">
        <w:t xml:space="preserve"> would meet the proposed eligibility for PBS</w:t>
      </w:r>
      <w:r w:rsidR="00E072B9">
        <w:noBreakHyphen/>
      </w:r>
      <w:r w:rsidRPr="00441643">
        <w:t>subsidised givosiran. In the post</w:t>
      </w:r>
      <w:r w:rsidR="00E072B9">
        <w:noBreakHyphen/>
      </w:r>
      <w:r w:rsidRPr="00441643">
        <w:t>menopausal population, it is estimated that 12</w:t>
      </w:r>
      <w:r w:rsidR="00E072B9">
        <w:noBreakHyphen/>
      </w:r>
      <w:r w:rsidRPr="00441643">
        <w:t>13 patients currently meet or previously met the eligibility criteria. The submission noted that the requested eligibility criteria do not impose a specific exclusion criterion (or a discontinuation requirement) once patients reach menopause; some patients remain at risk of AHP attacks/symptomatic relapse post</w:t>
      </w:r>
      <w:r w:rsidR="00E072B9">
        <w:noBreakHyphen/>
      </w:r>
      <w:r w:rsidRPr="00441643">
        <w:t>menopause, and there exists a clear clinical need for givosiran among these patients. The submission assume</w:t>
      </w:r>
      <w:r w:rsidR="0085741A" w:rsidRPr="00441643">
        <w:t>d</w:t>
      </w:r>
      <w:r w:rsidRPr="00441643">
        <w:t xml:space="preserve"> that 5% of post</w:t>
      </w:r>
      <w:r w:rsidR="00E072B9">
        <w:noBreakHyphen/>
      </w:r>
      <w:r w:rsidRPr="00441643">
        <w:t xml:space="preserve">menopausal women would remain eligible for active treatment. The submission expected that givosiran usage in this subgroup would mostly be among patients who commenced treatment prior to menopause (i.e., patients </w:t>
      </w:r>
      <w:proofErr w:type="gramStart"/>
      <w:r w:rsidRPr="00441643">
        <w:t>continuing on</w:t>
      </w:r>
      <w:proofErr w:type="gramEnd"/>
      <w:r w:rsidRPr="00441643">
        <w:t xml:space="preserve"> the treatment into post</w:t>
      </w:r>
      <w:r w:rsidR="00E072B9">
        <w:noBreakHyphen/>
      </w:r>
      <w:r w:rsidRPr="00441643">
        <w:t>menopausal years). No distinction is made between patients initiating treatment post</w:t>
      </w:r>
      <w:r w:rsidR="00E072B9">
        <w:noBreakHyphen/>
      </w:r>
      <w:r w:rsidRPr="00441643">
        <w:t>menopause and prior to menopause in terms of usage in the current prevalence model. The Sub</w:t>
      </w:r>
      <w:r w:rsidR="00E072B9">
        <w:noBreakHyphen/>
      </w:r>
      <w:r w:rsidRPr="00441643">
        <w:t xml:space="preserve">Committees considered that the inclusion of </w:t>
      </w:r>
      <w:r w:rsidR="003626E1" w:rsidRPr="00441643">
        <w:t xml:space="preserve">separate </w:t>
      </w:r>
      <w:r w:rsidRPr="00441643">
        <w:t>estimates for the post</w:t>
      </w:r>
      <w:r w:rsidR="00E072B9">
        <w:noBreakHyphen/>
      </w:r>
      <w:r w:rsidRPr="00441643">
        <w:t>menopausal sub</w:t>
      </w:r>
      <w:r w:rsidR="00E072B9">
        <w:noBreakHyphen/>
      </w:r>
      <w:r w:rsidRPr="00441643">
        <w:t xml:space="preserve">population to be unnecessary and could lead to the prevalence estimates being underestimated. </w:t>
      </w:r>
    </w:p>
    <w:p w14:paraId="59FDDC0A" w14:textId="39E1EB0B" w:rsidR="00663979" w:rsidRPr="00663979" w:rsidRDefault="001772E8" w:rsidP="00E072B9">
      <w:pPr>
        <w:pStyle w:val="3-BodyText"/>
      </w:pPr>
      <w:r>
        <w:t xml:space="preserve">The </w:t>
      </w:r>
      <w:r w:rsidR="00663979" w:rsidRPr="00663979">
        <w:t xml:space="preserve">proportion of patients who weigh </w:t>
      </w:r>
      <w:r w:rsidR="00BD03FD">
        <w:t xml:space="preserve">&gt; </w:t>
      </w:r>
      <w:r w:rsidR="00663979" w:rsidRPr="00663979">
        <w:t>75.6kg</w:t>
      </w:r>
      <w:r>
        <w:t xml:space="preserve"> was uncertain</w:t>
      </w:r>
      <w:r w:rsidR="009342B2">
        <w:t xml:space="preserve"> and had a substantial impact on the financial estimates.</w:t>
      </w:r>
    </w:p>
    <w:p w14:paraId="04385DE1" w14:textId="22A5472E" w:rsidR="000A500D" w:rsidRPr="00E750DB" w:rsidRDefault="000A500D" w:rsidP="00E072B9">
      <w:pPr>
        <w:pStyle w:val="3-BodyText"/>
      </w:pPr>
      <w:r w:rsidRPr="00E750DB">
        <w:t>Sensitivity analyses around the financial estimates were conducted during the evaluation (</w:t>
      </w:r>
      <w:r w:rsidRPr="00E750DB">
        <w:fldChar w:fldCharType="begin" w:fldLock="1"/>
      </w:r>
      <w:r w:rsidRPr="00E750DB">
        <w:instrText xml:space="preserve"> REF _Ref197978115 \h  \* MERGEFORMAT </w:instrText>
      </w:r>
      <w:r w:rsidRPr="00E750DB">
        <w:fldChar w:fldCharType="separate"/>
      </w:r>
      <w:r w:rsidR="00E750DB" w:rsidRPr="00E750DB">
        <w:t>Table 17</w:t>
      </w:r>
      <w:r w:rsidRPr="00E750DB">
        <w:fldChar w:fldCharType="end"/>
      </w:r>
      <w:r w:rsidRPr="00E750DB">
        <w:t>).</w:t>
      </w:r>
      <w:r w:rsidR="00E647A3" w:rsidRPr="00E750DB">
        <w:t xml:space="preserve"> </w:t>
      </w:r>
    </w:p>
    <w:p w14:paraId="0F38AB0A" w14:textId="7A44384D" w:rsidR="000A500D" w:rsidRPr="00E750DB" w:rsidRDefault="000A500D" w:rsidP="00E072B9">
      <w:pPr>
        <w:pStyle w:val="Caption"/>
        <w:rPr>
          <w:rFonts w:eastAsiaTheme="majorEastAsia" w:cstheme="majorBidi"/>
          <w:b w:val="0"/>
          <w:bCs w:val="0"/>
        </w:rPr>
      </w:pPr>
      <w:bookmarkStart w:id="70" w:name="_Ref197978115"/>
      <w:r w:rsidRPr="00E750DB">
        <w:t xml:space="preserve">Table </w:t>
      </w:r>
      <w:r w:rsidR="00E750DB">
        <w:fldChar w:fldCharType="begin" w:fldLock="1"/>
      </w:r>
      <w:r w:rsidR="00E750DB">
        <w:instrText xml:space="preserve"> SEQ Table \* ARABIC </w:instrText>
      </w:r>
      <w:r w:rsidR="00E750DB">
        <w:fldChar w:fldCharType="separate"/>
      </w:r>
      <w:r w:rsidR="00E750DB" w:rsidRPr="00E750DB">
        <w:t>17</w:t>
      </w:r>
      <w:r w:rsidR="00E750DB">
        <w:fldChar w:fldCharType="end"/>
      </w:r>
      <w:bookmarkEnd w:id="70"/>
      <w:r w:rsidRPr="00E750DB">
        <w:t>:</w:t>
      </w:r>
      <w:r w:rsidRPr="00E750DB">
        <w:rPr>
          <w:rFonts w:eastAsiaTheme="majorEastAsia" w:cstheme="majorBidi"/>
        </w:rPr>
        <w:t xml:space="preserve"> Results of one</w:t>
      </w:r>
      <w:r w:rsidR="00E072B9">
        <w:rPr>
          <w:rFonts w:eastAsiaTheme="majorEastAsia" w:cstheme="majorBidi"/>
        </w:rPr>
        <w:noBreakHyphen/>
      </w:r>
      <w:r w:rsidRPr="00E750DB">
        <w:rPr>
          <w:rFonts w:eastAsiaTheme="majorEastAsia" w:cstheme="majorBidi"/>
        </w:rPr>
        <w:t>way sensitivity analyses (Net cost to PBS and MBS)</w:t>
      </w:r>
    </w:p>
    <w:tbl>
      <w:tblPr>
        <w:tblStyle w:val="TableGrid"/>
        <w:tblW w:w="0" w:type="auto"/>
        <w:tblCellMar>
          <w:left w:w="57" w:type="dxa"/>
          <w:right w:w="57" w:type="dxa"/>
        </w:tblCellMar>
        <w:tblLook w:val="04A0" w:firstRow="1" w:lastRow="0" w:firstColumn="1" w:lastColumn="0" w:noHBand="0" w:noVBand="1"/>
        <w:tblCaption w:val="Table 17: Results of one way sensitivity analyses (Net cost to PBS and MBS)"/>
      </w:tblPr>
      <w:tblGrid>
        <w:gridCol w:w="1527"/>
        <w:gridCol w:w="1115"/>
        <w:gridCol w:w="1115"/>
        <w:gridCol w:w="1115"/>
        <w:gridCol w:w="1115"/>
        <w:gridCol w:w="1115"/>
        <w:gridCol w:w="1115"/>
        <w:gridCol w:w="709"/>
      </w:tblGrid>
      <w:tr w:rsidR="000A500D" w:rsidRPr="00E750DB" w14:paraId="27B3CE47" w14:textId="77777777" w:rsidTr="00580D86">
        <w:tc>
          <w:tcPr>
            <w:tcW w:w="0" w:type="auto"/>
            <w:vAlign w:val="center"/>
          </w:tcPr>
          <w:p w14:paraId="0C065B41" w14:textId="77777777" w:rsidR="000A500D" w:rsidRPr="00E750DB" w:rsidRDefault="000A500D" w:rsidP="00E072B9">
            <w:pPr>
              <w:keepNext/>
              <w:keepLines/>
              <w:jc w:val="left"/>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Scenario Analysis</w:t>
            </w:r>
          </w:p>
        </w:tc>
        <w:tc>
          <w:tcPr>
            <w:tcW w:w="1115" w:type="dxa"/>
            <w:vAlign w:val="center"/>
          </w:tcPr>
          <w:p w14:paraId="6AE77E10"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2026</w:t>
            </w:r>
          </w:p>
        </w:tc>
        <w:tc>
          <w:tcPr>
            <w:tcW w:w="1115" w:type="dxa"/>
            <w:vAlign w:val="center"/>
          </w:tcPr>
          <w:p w14:paraId="4DDC2785"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2027</w:t>
            </w:r>
          </w:p>
        </w:tc>
        <w:tc>
          <w:tcPr>
            <w:tcW w:w="1115" w:type="dxa"/>
            <w:vAlign w:val="center"/>
          </w:tcPr>
          <w:p w14:paraId="11E4EEF6"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2028</w:t>
            </w:r>
          </w:p>
        </w:tc>
        <w:tc>
          <w:tcPr>
            <w:tcW w:w="1115" w:type="dxa"/>
            <w:vAlign w:val="center"/>
          </w:tcPr>
          <w:p w14:paraId="16B01E73"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2029</w:t>
            </w:r>
          </w:p>
        </w:tc>
        <w:tc>
          <w:tcPr>
            <w:tcW w:w="1115" w:type="dxa"/>
            <w:vAlign w:val="center"/>
          </w:tcPr>
          <w:p w14:paraId="7D8CD566"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2030</w:t>
            </w:r>
          </w:p>
        </w:tc>
        <w:tc>
          <w:tcPr>
            <w:tcW w:w="1115" w:type="dxa"/>
            <w:vAlign w:val="center"/>
          </w:tcPr>
          <w:p w14:paraId="1EE3B007"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2031</w:t>
            </w:r>
          </w:p>
        </w:tc>
        <w:tc>
          <w:tcPr>
            <w:tcW w:w="709" w:type="dxa"/>
            <w:vAlign w:val="center"/>
          </w:tcPr>
          <w:p w14:paraId="1FE4CDB1" w14:textId="77777777" w:rsidR="000A500D" w:rsidRPr="00E750DB" w:rsidRDefault="000A500D" w:rsidP="00E072B9">
            <w:pPr>
              <w:keepNext/>
              <w:keepLines/>
              <w:jc w:val="center"/>
              <w:rPr>
                <w:rFonts w:ascii="Arial Narrow" w:eastAsiaTheme="majorEastAsia" w:hAnsi="Arial Narrow" w:cs="Times New Roman"/>
                <w:b/>
                <w:bCs/>
                <w:color w:val="000000"/>
                <w:sz w:val="20"/>
                <w:szCs w:val="20"/>
              </w:rPr>
            </w:pPr>
            <w:r w:rsidRPr="00E750DB">
              <w:rPr>
                <w:rFonts w:ascii="Arial Narrow" w:eastAsiaTheme="majorEastAsia" w:hAnsi="Arial Narrow" w:cs="Times New Roman"/>
                <w:b/>
                <w:bCs/>
                <w:color w:val="000000"/>
                <w:sz w:val="20"/>
                <w:szCs w:val="20"/>
              </w:rPr>
              <w:t>%∆</w:t>
            </w:r>
          </w:p>
        </w:tc>
      </w:tr>
      <w:tr w:rsidR="000A500D" w:rsidRPr="00E750DB" w14:paraId="0953A3FF" w14:textId="77777777" w:rsidTr="00580D86">
        <w:tc>
          <w:tcPr>
            <w:tcW w:w="8926" w:type="dxa"/>
            <w:gridSpan w:val="8"/>
            <w:vAlign w:val="center"/>
          </w:tcPr>
          <w:p w14:paraId="37FD3E81" w14:textId="5CC85D9D" w:rsidR="000A500D" w:rsidRPr="00E750DB" w:rsidRDefault="000A500D" w:rsidP="00E072B9">
            <w:pPr>
              <w:keepNext/>
              <w:keepLines/>
              <w:jc w:val="left"/>
              <w:rPr>
                <w:rFonts w:ascii="Arial Narrow" w:eastAsiaTheme="majorEastAsia" w:hAnsi="Arial Narrow" w:cs="Times New Roman"/>
                <w:b/>
                <w:bCs/>
                <w:color w:val="000000"/>
                <w:sz w:val="20"/>
                <w:szCs w:val="20"/>
              </w:rPr>
            </w:pPr>
            <w:r w:rsidRPr="00E750DB">
              <w:rPr>
                <w:rFonts w:ascii="Arial Narrow" w:eastAsiaTheme="majorEastAsia" w:hAnsi="Arial Narrow" w:cs="Times New Roman"/>
                <w:b/>
                <w:bCs/>
                <w:color w:val="000000"/>
                <w:sz w:val="20"/>
                <w:szCs w:val="20"/>
              </w:rPr>
              <w:t>Base Case</w:t>
            </w:r>
          </w:p>
        </w:tc>
      </w:tr>
      <w:tr w:rsidR="000A500D" w:rsidRPr="00E750DB" w14:paraId="03200CA6" w14:textId="77777777" w:rsidTr="00580D86">
        <w:tc>
          <w:tcPr>
            <w:tcW w:w="0" w:type="auto"/>
            <w:vAlign w:val="center"/>
          </w:tcPr>
          <w:p w14:paraId="68C72BE6" w14:textId="77777777" w:rsidR="000A500D" w:rsidRPr="00E750DB" w:rsidRDefault="000A500D" w:rsidP="00E072B9">
            <w:pPr>
              <w:keepNext/>
              <w:keepLines/>
              <w:jc w:val="left"/>
              <w:rPr>
                <w:rFonts w:ascii="Arial Narrow" w:eastAsiaTheme="majorEastAsia" w:hAnsi="Arial Narrow" w:cs="Times New Roman"/>
                <w:color w:val="000000"/>
                <w:sz w:val="20"/>
                <w:szCs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3BEC1496" w14:textId="37FE2261"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9742C5">
              <w:rPr>
                <w:rFonts w:ascii="Arial Narrow" w:eastAsiaTheme="majorEastAsia" w:hAnsi="Arial Narrow" w:cstheme="majorBidi"/>
                <w:b/>
                <w:color w:val="000000"/>
                <w:spacing w:val="53"/>
                <w:sz w:val="20"/>
                <w:shd w:val="solid" w:color="000000" w:fill="000000"/>
                <w:fitText w:val="345" w:id="-625249531"/>
                <w14:textFill>
                  <w14:solidFill>
                    <w14:srgbClr w14:val="000000">
                      <w14:alpha w14:val="100000"/>
                    </w14:srgbClr>
                  </w14:solidFill>
                </w14:textFill>
              </w:rPr>
              <w:t>|||</w:t>
            </w:r>
            <w:r w:rsidR="00B35ACC" w:rsidRPr="009742C5">
              <w:rPr>
                <w:rFonts w:ascii="Arial Narrow" w:eastAsiaTheme="majorEastAsia" w:hAnsi="Arial Narrow" w:cstheme="majorBidi"/>
                <w:b/>
                <w:color w:val="000000"/>
                <w:spacing w:val="3"/>
                <w:sz w:val="20"/>
                <w:shd w:val="solid" w:color="000000" w:fill="000000"/>
                <w:fitText w:val="345" w:id="-625249531"/>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6ADE85E6" w14:textId="41D6F7C4"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9742C5">
              <w:rPr>
                <w:rFonts w:ascii="Arial Narrow" w:eastAsiaTheme="majorEastAsia" w:hAnsi="Arial Narrow" w:cstheme="majorBidi"/>
                <w:b/>
                <w:color w:val="000000"/>
                <w:spacing w:val="53"/>
                <w:sz w:val="20"/>
                <w:shd w:val="solid" w:color="000000" w:fill="000000"/>
                <w:fitText w:val="345" w:id="-625249530"/>
                <w14:textFill>
                  <w14:solidFill>
                    <w14:srgbClr w14:val="000000">
                      <w14:alpha w14:val="100000"/>
                    </w14:srgbClr>
                  </w14:solidFill>
                </w14:textFill>
              </w:rPr>
              <w:t>|||</w:t>
            </w:r>
            <w:r w:rsidR="00B35ACC" w:rsidRPr="009742C5">
              <w:rPr>
                <w:rFonts w:ascii="Arial Narrow" w:eastAsiaTheme="majorEastAsia" w:hAnsi="Arial Narrow" w:cstheme="majorBidi"/>
                <w:b/>
                <w:color w:val="000000"/>
                <w:spacing w:val="3"/>
                <w:sz w:val="20"/>
                <w:shd w:val="solid" w:color="000000" w:fill="000000"/>
                <w:fitText w:val="345" w:id="-625249530"/>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75C3A65D" w14:textId="68953F67"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9742C5">
              <w:rPr>
                <w:rFonts w:ascii="Arial Narrow" w:eastAsiaTheme="majorEastAsia" w:hAnsi="Arial Narrow" w:cstheme="majorBidi"/>
                <w:b/>
                <w:color w:val="000000"/>
                <w:spacing w:val="53"/>
                <w:sz w:val="20"/>
                <w:shd w:val="solid" w:color="000000" w:fill="000000"/>
                <w:fitText w:val="345" w:id="-625249529"/>
                <w14:textFill>
                  <w14:solidFill>
                    <w14:srgbClr w14:val="000000">
                      <w14:alpha w14:val="100000"/>
                    </w14:srgbClr>
                  </w14:solidFill>
                </w14:textFill>
              </w:rPr>
              <w:t>|||</w:t>
            </w:r>
            <w:r w:rsidR="00B35ACC" w:rsidRPr="009742C5">
              <w:rPr>
                <w:rFonts w:ascii="Arial Narrow" w:eastAsiaTheme="majorEastAsia" w:hAnsi="Arial Narrow" w:cstheme="majorBidi"/>
                <w:b/>
                <w:color w:val="000000"/>
                <w:spacing w:val="3"/>
                <w:sz w:val="20"/>
                <w:shd w:val="solid" w:color="000000" w:fill="000000"/>
                <w:fitText w:val="345" w:id="-625249529"/>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6DD22782" w14:textId="46ED2DCF" w:rsidR="000A500D" w:rsidRPr="007B4BC9" w:rsidRDefault="000A500D" w:rsidP="00E072B9">
            <w:pPr>
              <w:keepNext/>
              <w:keepLines/>
              <w:jc w:val="center"/>
              <w:rPr>
                <w:rFonts w:ascii="Arial Narrow" w:eastAsiaTheme="majorEastAsia" w:hAnsi="Arial Narrow" w:cstheme="majorBidi"/>
                <w:b/>
                <w:bCs/>
                <w:color w:val="000000"/>
                <w:sz w:val="20"/>
                <w:szCs w:val="20"/>
                <w:vertAlign w:val="superscript"/>
              </w:rPr>
            </w:pPr>
            <w:r w:rsidRPr="00E750DB">
              <w:rPr>
                <w:rFonts w:ascii="Arial Narrow" w:eastAsiaTheme="majorEastAsia" w:hAnsi="Arial Narrow" w:cstheme="majorBidi"/>
                <w:b/>
                <w:bCs/>
                <w:sz w:val="20"/>
              </w:rPr>
              <w:t>$</w:t>
            </w:r>
            <w:r w:rsidR="00B35ACC" w:rsidRPr="009742C5">
              <w:rPr>
                <w:rFonts w:ascii="Arial Narrow" w:eastAsiaTheme="majorEastAsia" w:hAnsi="Arial Narrow" w:cstheme="majorBidi"/>
                <w:b/>
                <w:color w:val="000000"/>
                <w:spacing w:val="53"/>
                <w:sz w:val="20"/>
                <w:shd w:val="solid" w:color="000000" w:fill="000000"/>
                <w:fitText w:val="345" w:id="-625249528"/>
                <w14:textFill>
                  <w14:solidFill>
                    <w14:srgbClr w14:val="000000">
                      <w14:alpha w14:val="100000"/>
                    </w14:srgbClr>
                  </w14:solidFill>
                </w14:textFill>
              </w:rPr>
              <w:t>|||</w:t>
            </w:r>
            <w:r w:rsidR="00B35ACC" w:rsidRPr="009742C5">
              <w:rPr>
                <w:rFonts w:ascii="Arial Narrow" w:eastAsiaTheme="majorEastAsia" w:hAnsi="Arial Narrow" w:cstheme="majorBidi"/>
                <w:b/>
                <w:color w:val="000000"/>
                <w:spacing w:val="3"/>
                <w:sz w:val="20"/>
                <w:shd w:val="solid" w:color="000000" w:fill="000000"/>
                <w:fitText w:val="345" w:id="-625249528"/>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32428B75" w14:textId="1EA3F6C0"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9742C5">
              <w:rPr>
                <w:rFonts w:ascii="Arial Narrow" w:eastAsiaTheme="majorEastAsia" w:hAnsi="Arial Narrow" w:cstheme="majorBidi"/>
                <w:b/>
                <w:color w:val="000000"/>
                <w:spacing w:val="53"/>
                <w:sz w:val="20"/>
                <w:shd w:val="solid" w:color="000000" w:fill="000000"/>
                <w:fitText w:val="345" w:id="-625249527"/>
                <w14:textFill>
                  <w14:solidFill>
                    <w14:srgbClr w14:val="000000">
                      <w14:alpha w14:val="100000"/>
                    </w14:srgbClr>
                  </w14:solidFill>
                </w14:textFill>
              </w:rPr>
              <w:t>|||</w:t>
            </w:r>
            <w:r w:rsidR="00B35ACC" w:rsidRPr="009742C5">
              <w:rPr>
                <w:rFonts w:ascii="Arial Narrow" w:eastAsiaTheme="majorEastAsia" w:hAnsi="Arial Narrow" w:cstheme="majorBidi"/>
                <w:b/>
                <w:color w:val="000000"/>
                <w:spacing w:val="3"/>
                <w:sz w:val="20"/>
                <w:shd w:val="solid" w:color="000000" w:fill="000000"/>
                <w:fitText w:val="345" w:id="-625249527"/>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3DECCA44" w14:textId="6350B2AA" w:rsidR="000A500D" w:rsidRPr="000A72BD"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9742C5">
              <w:rPr>
                <w:rFonts w:ascii="Arial Narrow" w:eastAsiaTheme="majorEastAsia" w:hAnsi="Arial Narrow" w:cstheme="majorBidi"/>
                <w:b/>
                <w:color w:val="000000"/>
                <w:spacing w:val="53"/>
                <w:sz w:val="20"/>
                <w:shd w:val="solid" w:color="000000" w:fill="000000"/>
                <w:fitText w:val="345" w:id="-625249526"/>
                <w14:textFill>
                  <w14:solidFill>
                    <w14:srgbClr w14:val="000000">
                      <w14:alpha w14:val="100000"/>
                    </w14:srgbClr>
                  </w14:solidFill>
                </w14:textFill>
              </w:rPr>
              <w:t>|||</w:t>
            </w:r>
            <w:r w:rsidR="00B35ACC" w:rsidRPr="009742C5">
              <w:rPr>
                <w:rFonts w:ascii="Arial Narrow" w:eastAsiaTheme="majorEastAsia" w:hAnsi="Arial Narrow" w:cstheme="majorBidi"/>
                <w:b/>
                <w:color w:val="000000"/>
                <w:spacing w:val="3"/>
                <w:sz w:val="20"/>
                <w:shd w:val="solid" w:color="000000" w:fill="000000"/>
                <w:fitText w:val="345" w:id="-625249526"/>
                <w14:textFill>
                  <w14:solidFill>
                    <w14:srgbClr w14:val="000000">
                      <w14:alpha w14:val="100000"/>
                    </w14:srgbClr>
                  </w14:solidFill>
                </w14:textFill>
              </w:rPr>
              <w:t>|</w:t>
            </w:r>
            <w:r w:rsidR="000A72BD">
              <w:rPr>
                <w:rFonts w:ascii="Arial Narrow" w:eastAsiaTheme="majorEastAsia" w:hAnsi="Arial Narrow" w:cstheme="majorBidi"/>
                <w:b/>
                <w:bCs/>
                <w:sz w:val="20"/>
                <w:vertAlign w:val="superscript"/>
              </w:rPr>
              <w:t>3</w:t>
            </w:r>
          </w:p>
        </w:tc>
        <w:tc>
          <w:tcPr>
            <w:tcW w:w="709" w:type="dxa"/>
          </w:tcPr>
          <w:p w14:paraId="40186679" w14:textId="77777777" w:rsidR="000A500D" w:rsidRPr="00E750DB" w:rsidRDefault="000A500D" w:rsidP="00E072B9">
            <w:pPr>
              <w:keepNext/>
              <w:keepLines/>
              <w:jc w:val="center"/>
              <w:rPr>
                <w:rFonts w:ascii="Arial Narrow" w:eastAsiaTheme="majorEastAsia" w:hAnsi="Arial Narrow" w:cstheme="majorBidi"/>
                <w:b/>
                <w:bCs/>
                <w:sz w:val="20"/>
              </w:rPr>
            </w:pPr>
          </w:p>
        </w:tc>
      </w:tr>
      <w:tr w:rsidR="000A500D" w:rsidRPr="00E750DB" w14:paraId="6B5FA7B1" w14:textId="77777777" w:rsidTr="00580D86">
        <w:tc>
          <w:tcPr>
            <w:tcW w:w="8926" w:type="dxa"/>
            <w:gridSpan w:val="8"/>
            <w:vAlign w:val="center"/>
          </w:tcPr>
          <w:p w14:paraId="089F8937" w14:textId="568CA2F6"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Total AHP population by applying 10.6% to the whole population instead of ≥12 years and above</w:t>
            </w:r>
          </w:p>
        </w:tc>
      </w:tr>
      <w:tr w:rsidR="000A500D" w:rsidRPr="00E750DB" w14:paraId="5EE23712" w14:textId="77777777" w:rsidTr="00580D86">
        <w:tc>
          <w:tcPr>
            <w:tcW w:w="0" w:type="auto"/>
            <w:vAlign w:val="center"/>
          </w:tcPr>
          <w:p w14:paraId="4FB131A7"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5BCAB35A" w14:textId="7D7E167B"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5"/>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0A4F5BD1" w14:textId="2416E06F"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4"/>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2182056B" w14:textId="6BCD123A"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3"/>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14169EF5" w14:textId="4557F448" w:rsidR="000A500D" w:rsidRPr="0074560F"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2"/>
                <w14:textFill>
                  <w14:solidFill>
                    <w14:srgbClr w14:val="000000">
                      <w14:alpha w14:val="100000"/>
                    </w14:srgbClr>
                  </w14:solidFill>
                </w14:textFill>
              </w:rPr>
              <w:t>|</w:t>
            </w:r>
            <w:r w:rsidR="0074560F">
              <w:rPr>
                <w:rFonts w:ascii="Arial Narrow" w:eastAsiaTheme="majorEastAsia" w:hAnsi="Arial Narrow" w:cstheme="majorBidi"/>
                <w:sz w:val="20"/>
                <w:vertAlign w:val="superscript"/>
              </w:rPr>
              <w:t>4</w:t>
            </w:r>
          </w:p>
        </w:tc>
        <w:tc>
          <w:tcPr>
            <w:tcW w:w="1115" w:type="dxa"/>
            <w:vAlign w:val="center"/>
          </w:tcPr>
          <w:p w14:paraId="42DCE29D" w14:textId="165F487B" w:rsidR="000A500D" w:rsidRPr="0074560F"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1"/>
                <w14:textFill>
                  <w14:solidFill>
                    <w14:srgbClr w14:val="000000">
                      <w14:alpha w14:val="100000"/>
                    </w14:srgbClr>
                  </w14:solidFill>
                </w14:textFill>
              </w:rPr>
              <w:t>|</w:t>
            </w:r>
            <w:r w:rsidR="0074560F">
              <w:rPr>
                <w:rFonts w:ascii="Arial Narrow" w:eastAsiaTheme="majorEastAsia" w:hAnsi="Arial Narrow" w:cstheme="majorBidi"/>
                <w:sz w:val="20"/>
                <w:vertAlign w:val="superscript"/>
              </w:rPr>
              <w:t>4</w:t>
            </w:r>
          </w:p>
        </w:tc>
        <w:tc>
          <w:tcPr>
            <w:tcW w:w="1115" w:type="dxa"/>
            <w:vAlign w:val="center"/>
          </w:tcPr>
          <w:p w14:paraId="2EEE710F" w14:textId="31779697"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0"/>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tcPr>
          <w:p w14:paraId="0C7425FE"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17%</w:t>
            </w:r>
          </w:p>
        </w:tc>
      </w:tr>
      <w:tr w:rsidR="000A500D" w:rsidRPr="00E750DB" w14:paraId="491F5766" w14:textId="77777777" w:rsidTr="00580D86">
        <w:tc>
          <w:tcPr>
            <w:tcW w:w="8926" w:type="dxa"/>
            <w:gridSpan w:val="8"/>
            <w:vAlign w:val="center"/>
          </w:tcPr>
          <w:p w14:paraId="50B4F4C7" w14:textId="1D36836A"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Eligibility Criteria Based on Attack Frequency – Reduced the proportion from 23.16% to 7.4% in Stölzel 2024</w:t>
            </w:r>
          </w:p>
        </w:tc>
      </w:tr>
      <w:tr w:rsidR="000A500D" w:rsidRPr="00E750DB" w14:paraId="2D3B1F65" w14:textId="77777777" w:rsidTr="00580D86">
        <w:tc>
          <w:tcPr>
            <w:tcW w:w="0" w:type="auto"/>
            <w:vAlign w:val="center"/>
          </w:tcPr>
          <w:p w14:paraId="5268CD7A"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199FB0F7" w14:textId="0B753F31"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1E54BFEF" w14:textId="1A83B776"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34540340" w14:textId="0AAD9F82"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4"/>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160D7669" w14:textId="15A29A95"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3"/>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1D844A8D" w14:textId="076F1FF2"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2"/>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772CC3BC" w14:textId="7BD330E8"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1"/>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709" w:type="dxa"/>
          </w:tcPr>
          <w:p w14:paraId="0B5DEC33" w14:textId="3B285844" w:rsidR="000A500D" w:rsidRPr="00E750DB" w:rsidRDefault="00E072B9" w:rsidP="00E072B9">
            <w:pPr>
              <w:keepNext/>
              <w:keepLines/>
              <w:jc w:val="center"/>
              <w:rPr>
                <w:rFonts w:ascii="Arial Narrow" w:eastAsiaTheme="majorEastAsia" w:hAnsi="Arial Narrow" w:cstheme="majorBidi"/>
                <w:sz w:val="20"/>
              </w:rPr>
            </w:pPr>
            <w:r>
              <w:rPr>
                <w:rFonts w:ascii="Arial Narrow" w:eastAsiaTheme="majorEastAsia" w:hAnsi="Arial Narrow" w:cstheme="majorBidi"/>
                <w:sz w:val="20"/>
              </w:rPr>
              <w:noBreakHyphen/>
            </w:r>
            <w:r w:rsidR="000A500D" w:rsidRPr="00E750DB">
              <w:rPr>
                <w:rFonts w:ascii="Arial Narrow" w:eastAsiaTheme="majorEastAsia" w:hAnsi="Arial Narrow" w:cstheme="majorBidi"/>
                <w:sz w:val="20"/>
              </w:rPr>
              <w:t>68%</w:t>
            </w:r>
          </w:p>
        </w:tc>
      </w:tr>
      <w:tr w:rsidR="000A500D" w:rsidRPr="00E750DB" w14:paraId="3321DA17" w14:textId="77777777" w:rsidTr="00580D86">
        <w:tc>
          <w:tcPr>
            <w:tcW w:w="8926" w:type="dxa"/>
            <w:gridSpan w:val="8"/>
            <w:vAlign w:val="center"/>
          </w:tcPr>
          <w:p w14:paraId="5F3C9B62" w14:textId="41FA7C29"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Post</w:t>
            </w:r>
            <w:r w:rsidR="00E072B9">
              <w:rPr>
                <w:rFonts w:ascii="Arial Narrow" w:eastAsiaTheme="majorEastAsia" w:hAnsi="Arial Narrow" w:cstheme="majorBidi"/>
                <w:sz w:val="20"/>
              </w:rPr>
              <w:noBreakHyphen/>
            </w:r>
            <w:r w:rsidRPr="00E750DB">
              <w:rPr>
                <w:rFonts w:ascii="Arial Narrow" w:eastAsiaTheme="majorEastAsia" w:hAnsi="Arial Narrow" w:cstheme="majorBidi"/>
                <w:sz w:val="20"/>
              </w:rPr>
              <w:t xml:space="preserve">Menopausal Women Uptake Rate – Increased to 5% </w:t>
            </w:r>
          </w:p>
        </w:tc>
      </w:tr>
      <w:tr w:rsidR="000A500D" w:rsidRPr="00E750DB" w14:paraId="1DA6AE50" w14:textId="77777777" w:rsidTr="00580D86">
        <w:tc>
          <w:tcPr>
            <w:tcW w:w="0" w:type="auto"/>
            <w:vAlign w:val="center"/>
          </w:tcPr>
          <w:p w14:paraId="34B875E1"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238F0431" w14:textId="4DEC3AD8"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0"/>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40A0A245" w14:textId="35E69CC6"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9"/>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6D7DFC11" w14:textId="46AA76C1"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8"/>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153C1190" w14:textId="6320E1C9"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7"/>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3C7A7EAE" w14:textId="7578380D"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6"/>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425AA9FC" w14:textId="4EAD5DDA"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tcPr>
          <w:p w14:paraId="2B37FB0B"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w:t>
            </w:r>
          </w:p>
        </w:tc>
      </w:tr>
      <w:tr w:rsidR="000A500D" w:rsidRPr="00E750DB" w14:paraId="0AA7F157" w14:textId="77777777" w:rsidTr="00580D86">
        <w:tc>
          <w:tcPr>
            <w:tcW w:w="8926" w:type="dxa"/>
            <w:gridSpan w:val="8"/>
            <w:vAlign w:val="center"/>
          </w:tcPr>
          <w:p w14:paraId="62E51D75" w14:textId="5F173F44" w:rsidR="000A500D" w:rsidRPr="00E750DB" w:rsidDel="00427A10"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 xml:space="preserve">Proportion of AHP patients with acute attacks– Adjusted from 73.7% to 39.7% </w:t>
            </w:r>
            <w:r w:rsidR="0072359D" w:rsidRPr="00E750DB">
              <w:rPr>
                <w:rFonts w:ascii="Arial Narrow" w:eastAsiaTheme="majorEastAsia" w:hAnsi="Arial Narrow" w:cstheme="majorBidi"/>
                <w:sz w:val="20"/>
              </w:rPr>
              <w:t>based on Neeleman 2018</w:t>
            </w:r>
            <w:r w:rsidRPr="00E750DB">
              <w:rPr>
                <w:rFonts w:ascii="Arial Narrow" w:eastAsiaTheme="majorEastAsia" w:hAnsi="Arial Narrow" w:cstheme="majorBidi"/>
                <w:sz w:val="20"/>
              </w:rPr>
              <w:t xml:space="preserve"> </w:t>
            </w:r>
          </w:p>
        </w:tc>
      </w:tr>
      <w:tr w:rsidR="000A500D" w:rsidRPr="00E750DB" w14:paraId="6F96DA08" w14:textId="77777777" w:rsidTr="00580D86">
        <w:tc>
          <w:tcPr>
            <w:tcW w:w="0" w:type="auto"/>
            <w:vAlign w:val="center"/>
          </w:tcPr>
          <w:p w14:paraId="67E2564B"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71156438" w14:textId="73BE912E"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4"/>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5CB2A48A" w14:textId="4195DC2C"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3"/>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4C5F2710" w14:textId="217FD0BD"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2"/>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796A5DFC" w14:textId="289A7EEE"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1"/>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00A49033" w14:textId="04AF3CFC"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0"/>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443CAD8C" w14:textId="2E526051"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709" w:type="dxa"/>
          </w:tcPr>
          <w:p w14:paraId="66DAB677" w14:textId="0003969B" w:rsidR="000A500D" w:rsidRPr="00E750DB" w:rsidRDefault="00E072B9" w:rsidP="00E072B9">
            <w:pPr>
              <w:keepNext/>
              <w:keepLines/>
              <w:jc w:val="center"/>
              <w:rPr>
                <w:rFonts w:ascii="Arial Narrow" w:eastAsiaTheme="majorEastAsia" w:hAnsi="Arial Narrow" w:cstheme="majorBidi"/>
                <w:sz w:val="20"/>
              </w:rPr>
            </w:pPr>
            <w:r>
              <w:rPr>
                <w:rFonts w:ascii="Arial Narrow" w:eastAsiaTheme="majorEastAsia" w:hAnsi="Arial Narrow" w:cstheme="majorBidi"/>
                <w:sz w:val="20"/>
              </w:rPr>
              <w:noBreakHyphen/>
            </w:r>
            <w:r w:rsidR="000A500D" w:rsidRPr="00E750DB">
              <w:rPr>
                <w:rFonts w:ascii="Arial Narrow" w:eastAsiaTheme="majorEastAsia" w:hAnsi="Arial Narrow" w:cstheme="majorBidi"/>
                <w:sz w:val="20"/>
              </w:rPr>
              <w:t>46%</w:t>
            </w:r>
          </w:p>
        </w:tc>
      </w:tr>
      <w:tr w:rsidR="000A500D" w:rsidRPr="00E750DB" w14:paraId="07DD6D79" w14:textId="77777777" w:rsidTr="00580D86">
        <w:tc>
          <w:tcPr>
            <w:tcW w:w="8926" w:type="dxa"/>
            <w:gridSpan w:val="8"/>
            <w:vAlign w:val="center"/>
          </w:tcPr>
          <w:p w14:paraId="454BCBFC" w14:textId="2B18FA58"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 xml:space="preserve">Overall Uptake Rate – Increased from 50% in year 1 to 75% </w:t>
            </w:r>
          </w:p>
        </w:tc>
      </w:tr>
      <w:tr w:rsidR="000A500D" w:rsidRPr="00E750DB" w14:paraId="31525569" w14:textId="77777777" w:rsidTr="00580D86">
        <w:tc>
          <w:tcPr>
            <w:tcW w:w="0" w:type="auto"/>
            <w:vAlign w:val="center"/>
          </w:tcPr>
          <w:p w14:paraId="54BD7626"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036A7CAE" w14:textId="0C1AF2E3"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273DCFC4" w14:textId="5012B20B"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4"/>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095860A8" w14:textId="05AF1B0F"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3"/>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1E80C754" w14:textId="101CB7EC"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2"/>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4D6BA121" w14:textId="2338830C"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1"/>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351150FF" w14:textId="5A9B5B23"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0"/>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tcPr>
          <w:p w14:paraId="745D1097"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17%</w:t>
            </w:r>
          </w:p>
        </w:tc>
      </w:tr>
      <w:tr w:rsidR="000A500D" w:rsidRPr="00E750DB" w14:paraId="440FD130" w14:textId="77777777" w:rsidTr="00580D86">
        <w:tc>
          <w:tcPr>
            <w:tcW w:w="8926" w:type="dxa"/>
            <w:gridSpan w:val="8"/>
            <w:vAlign w:val="center"/>
          </w:tcPr>
          <w:p w14:paraId="1675E646" w14:textId="24E42F2E"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 xml:space="preserve">Assume 58.3% patients weighted </w:t>
            </w:r>
            <w:r w:rsidR="00BD03FD">
              <w:rPr>
                <w:rFonts w:ascii="Arial Narrow" w:eastAsiaTheme="majorEastAsia" w:hAnsi="Arial Narrow" w:cstheme="majorBidi"/>
                <w:sz w:val="20"/>
              </w:rPr>
              <w:t xml:space="preserve">&gt; </w:t>
            </w:r>
            <w:r w:rsidRPr="00E750DB">
              <w:rPr>
                <w:rFonts w:ascii="Arial Narrow" w:eastAsiaTheme="majorEastAsia" w:hAnsi="Arial Narrow" w:cstheme="majorBidi"/>
                <w:sz w:val="20"/>
              </w:rPr>
              <w:t>75.6 kg</w:t>
            </w:r>
          </w:p>
        </w:tc>
      </w:tr>
      <w:tr w:rsidR="000A500D" w:rsidRPr="00E750DB" w14:paraId="7A9F3007" w14:textId="77777777" w:rsidTr="00580D86">
        <w:tc>
          <w:tcPr>
            <w:tcW w:w="0" w:type="auto"/>
            <w:vAlign w:val="center"/>
          </w:tcPr>
          <w:p w14:paraId="2DD8FC66"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7857A659" w14:textId="10DEAF59"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9"/>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9"/>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5595A79B" w14:textId="0CAA15F0"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8"/>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8"/>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694BC823" w14:textId="0F1D6E03"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7"/>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7"/>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1B49D6F6" w14:textId="6BFB0B95"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6"/>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7AC85296" w14:textId="0B413EDF"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72153FAC" w14:textId="150E13E4"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4"/>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4"/>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vAlign w:val="center"/>
          </w:tcPr>
          <w:p w14:paraId="34389B00"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33%</w:t>
            </w:r>
          </w:p>
        </w:tc>
      </w:tr>
      <w:tr w:rsidR="000A500D" w:rsidRPr="00E750DB" w14:paraId="404256D5" w14:textId="77777777" w:rsidTr="00580D86">
        <w:tc>
          <w:tcPr>
            <w:tcW w:w="8926" w:type="dxa"/>
            <w:gridSpan w:val="8"/>
            <w:vAlign w:val="center"/>
          </w:tcPr>
          <w:p w14:paraId="10524C35"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Assume 11.8 % prevalence rate from Horie 2023</w:t>
            </w:r>
          </w:p>
        </w:tc>
      </w:tr>
      <w:tr w:rsidR="000A500D" w:rsidRPr="00E750DB" w14:paraId="2E78983B" w14:textId="77777777" w:rsidTr="00580D86">
        <w:tc>
          <w:tcPr>
            <w:tcW w:w="0" w:type="auto"/>
            <w:vAlign w:val="center"/>
          </w:tcPr>
          <w:p w14:paraId="4C0A1174"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394C7472" w14:textId="413D3D87"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3"/>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3"/>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451C0312" w14:textId="45364F2F"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2"/>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2"/>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5EAE9238" w14:textId="28B619CC"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1"/>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1"/>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6A2C4F86" w14:textId="25607B04"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20"/>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20"/>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40F3B813" w14:textId="72855A8B"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60E9760F" w14:textId="0D5E44C9"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9742C5">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9742C5">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vAlign w:val="center"/>
          </w:tcPr>
          <w:p w14:paraId="77631063"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17%</w:t>
            </w:r>
          </w:p>
        </w:tc>
      </w:tr>
    </w:tbl>
    <w:p w14:paraId="73D1AB16" w14:textId="5DBB7DCA" w:rsidR="000A500D" w:rsidRDefault="000A500D" w:rsidP="00E072B9">
      <w:pPr>
        <w:keepNext/>
        <w:keepLines/>
        <w:rPr>
          <w:rFonts w:ascii="Arial Narrow" w:hAnsi="Arial Narrow"/>
          <w:sz w:val="18"/>
        </w:rPr>
      </w:pPr>
      <w:r w:rsidRPr="00E750DB">
        <w:rPr>
          <w:rFonts w:ascii="Arial Narrow" w:hAnsi="Arial Narrow"/>
          <w:sz w:val="18"/>
        </w:rPr>
        <w:t>Source: Compiled during evaluation using ‘Attachment 4.1</w:t>
      </w:r>
      <w:r w:rsidR="00E072B9">
        <w:rPr>
          <w:rFonts w:ascii="Arial Narrow" w:hAnsi="Arial Narrow"/>
          <w:sz w:val="18"/>
        </w:rPr>
        <w:noBreakHyphen/>
      </w:r>
      <w:r w:rsidRPr="00E750DB">
        <w:rPr>
          <w:rFonts w:ascii="Arial Narrow" w:hAnsi="Arial Narrow"/>
          <w:sz w:val="18"/>
        </w:rPr>
        <w:t xml:space="preserve"> budget impact model’ excel workbook</w:t>
      </w:r>
    </w:p>
    <w:p w14:paraId="170172C0" w14:textId="77777777" w:rsidR="007B4BC9" w:rsidRPr="007B4BC9" w:rsidRDefault="007B4BC9" w:rsidP="007B4BC9">
      <w:pPr>
        <w:keepNext/>
        <w:keepLines/>
        <w:rPr>
          <w:rFonts w:ascii="Arial Narrow" w:hAnsi="Arial Narrow"/>
          <w:i/>
          <w:iCs/>
          <w:sz w:val="18"/>
        </w:rPr>
      </w:pPr>
      <w:r w:rsidRPr="007B4BC9">
        <w:rPr>
          <w:rFonts w:ascii="Arial Narrow" w:hAnsi="Arial Narrow"/>
          <w:i/>
          <w:iCs/>
          <w:sz w:val="18"/>
        </w:rPr>
        <w:t xml:space="preserve">The redacted values correspond to the following ranges: </w:t>
      </w:r>
    </w:p>
    <w:p w14:paraId="2D9BDD4F" w14:textId="72DBE19E" w:rsidR="007B4BC9" w:rsidRPr="007B4BC9" w:rsidRDefault="007B4BC9" w:rsidP="007B4BC9">
      <w:pPr>
        <w:keepNext/>
        <w:keepLines/>
        <w:rPr>
          <w:rFonts w:ascii="Arial Narrow" w:hAnsi="Arial Narrow"/>
          <w:i/>
          <w:iCs/>
          <w:sz w:val="18"/>
        </w:rPr>
      </w:pPr>
      <w:r w:rsidRPr="007B4BC9">
        <w:rPr>
          <w:rFonts w:ascii="Arial Narrow" w:hAnsi="Arial Narrow"/>
          <w:i/>
          <w:iCs/>
          <w:sz w:val="18"/>
          <w:vertAlign w:val="superscript"/>
        </w:rPr>
        <w:t xml:space="preserve">1 </w:t>
      </w:r>
      <w:r w:rsidRPr="007B4BC9">
        <w:rPr>
          <w:rFonts w:ascii="Arial Narrow" w:hAnsi="Arial Narrow"/>
          <w:i/>
          <w:iCs/>
          <w:sz w:val="18"/>
        </w:rPr>
        <w:t>$10 million to &lt; $20 million</w:t>
      </w:r>
    </w:p>
    <w:p w14:paraId="4F85E3F5" w14:textId="18FE0BAB" w:rsidR="007B4BC9" w:rsidRPr="007B4BC9" w:rsidRDefault="007B4BC9" w:rsidP="007B4BC9">
      <w:pPr>
        <w:keepNext/>
        <w:keepLines/>
        <w:rPr>
          <w:rFonts w:ascii="Arial Narrow" w:hAnsi="Arial Narrow"/>
          <w:i/>
          <w:iCs/>
          <w:sz w:val="18"/>
        </w:rPr>
      </w:pPr>
      <w:r w:rsidRPr="007B4BC9">
        <w:rPr>
          <w:rFonts w:ascii="Arial Narrow" w:hAnsi="Arial Narrow"/>
          <w:i/>
          <w:iCs/>
          <w:sz w:val="18"/>
          <w:vertAlign w:val="superscript"/>
        </w:rPr>
        <w:t xml:space="preserve">2 </w:t>
      </w:r>
      <w:r w:rsidR="000A72BD" w:rsidRPr="007B4BC9">
        <w:rPr>
          <w:rFonts w:ascii="Arial Narrow" w:hAnsi="Arial Narrow"/>
          <w:i/>
          <w:iCs/>
          <w:sz w:val="18"/>
        </w:rPr>
        <w:t>$20 million to &lt; $30 million</w:t>
      </w:r>
    </w:p>
    <w:p w14:paraId="7FFF3BB6" w14:textId="14CC080C" w:rsidR="007B4BC9" w:rsidRPr="007B4BC9" w:rsidRDefault="007B4BC9" w:rsidP="007B4BC9">
      <w:pPr>
        <w:keepNext/>
        <w:keepLines/>
        <w:rPr>
          <w:rFonts w:ascii="Arial Narrow" w:hAnsi="Arial Narrow"/>
          <w:i/>
          <w:iCs/>
          <w:sz w:val="18"/>
          <w:vertAlign w:val="superscript"/>
        </w:rPr>
      </w:pPr>
      <w:r w:rsidRPr="007B4BC9">
        <w:rPr>
          <w:rFonts w:ascii="Arial Narrow" w:hAnsi="Arial Narrow"/>
          <w:i/>
          <w:iCs/>
          <w:sz w:val="18"/>
          <w:vertAlign w:val="superscript"/>
        </w:rPr>
        <w:t xml:space="preserve">3 </w:t>
      </w:r>
      <w:r w:rsidR="000A72BD" w:rsidRPr="007B4BC9">
        <w:rPr>
          <w:rFonts w:ascii="Arial Narrow" w:hAnsi="Arial Narrow"/>
          <w:i/>
          <w:iCs/>
          <w:sz w:val="18"/>
        </w:rPr>
        <w:t>$0 to &lt; $10 million</w:t>
      </w:r>
    </w:p>
    <w:p w14:paraId="0B494431" w14:textId="77777777" w:rsidR="007B4BC9" w:rsidRPr="00E750DB" w:rsidRDefault="007B4BC9" w:rsidP="00E072B9">
      <w:pPr>
        <w:keepNext/>
        <w:keepLines/>
        <w:rPr>
          <w:rFonts w:ascii="Arial Narrow" w:hAnsi="Arial Narrow"/>
          <w:sz w:val="18"/>
        </w:rPr>
      </w:pPr>
    </w:p>
    <w:p w14:paraId="00C21C48" w14:textId="1865D608" w:rsidR="007A08C5" w:rsidRPr="008A7A32" w:rsidRDefault="007A08C5" w:rsidP="00E072B9">
      <w:pPr>
        <w:pStyle w:val="3-BodyText"/>
        <w:spacing w:after="240"/>
      </w:pPr>
      <w:r w:rsidRPr="008A7A32">
        <w:t>In the PSCR the sponsor</w:t>
      </w:r>
      <w:r w:rsidR="00137DE0" w:rsidRPr="008A7A32">
        <w:t xml:space="preserve"> provided a sensitivity analysis for increased uptake in Years 1–3 </w:t>
      </w:r>
      <w:r w:rsidR="00000196" w:rsidRPr="008A7A32">
        <w:t>(</w:t>
      </w:r>
      <w:r w:rsidR="00083509" w:rsidRPr="008A7A32">
        <w:fldChar w:fldCharType="begin" w:fldLock="1"/>
      </w:r>
      <w:r w:rsidR="00083509" w:rsidRPr="008A7A32">
        <w:instrText xml:space="preserve"> REF _Ref204955954 \h </w:instrText>
      </w:r>
      <w:r w:rsidR="008A7A32" w:rsidRPr="008A7A32">
        <w:instrText xml:space="preserve"> \* MERGEFORMAT </w:instrText>
      </w:r>
      <w:r w:rsidR="00083509" w:rsidRPr="008A7A32">
        <w:fldChar w:fldCharType="separate"/>
      </w:r>
      <w:r w:rsidR="00083509" w:rsidRPr="008A7A32">
        <w:t xml:space="preserve">Table </w:t>
      </w:r>
      <w:r w:rsidR="00083509" w:rsidRPr="008A7A32">
        <w:rPr>
          <w:noProof/>
        </w:rPr>
        <w:t>18</w:t>
      </w:r>
      <w:r w:rsidR="00083509" w:rsidRPr="008A7A32">
        <w:fldChar w:fldCharType="end"/>
      </w:r>
      <w:r w:rsidR="00000196" w:rsidRPr="008A7A32">
        <w:t>)</w:t>
      </w:r>
      <w:r w:rsidR="00137DE0" w:rsidRPr="008A7A32">
        <w:t xml:space="preserve">. </w:t>
      </w:r>
      <w:r w:rsidRPr="008A7A32">
        <w:t>The Sub</w:t>
      </w:r>
      <w:r w:rsidR="00E072B9">
        <w:noBreakHyphen/>
      </w:r>
      <w:r w:rsidRPr="008A7A32">
        <w:t>Committees undertook a sensitivity analysis (</w:t>
      </w:r>
      <w:r w:rsidR="008A7A32" w:rsidRPr="008A7A32">
        <w:fldChar w:fldCharType="begin" w:fldLock="1"/>
      </w:r>
      <w:r w:rsidR="008A7A32" w:rsidRPr="008A7A32">
        <w:instrText xml:space="preserve"> REF _Ref204956106 \h  \* MERGEFORMAT </w:instrText>
      </w:r>
      <w:r w:rsidR="008A7A32" w:rsidRPr="008A7A32">
        <w:fldChar w:fldCharType="separate"/>
      </w:r>
      <w:r w:rsidR="008A7A32" w:rsidRPr="008A7A32">
        <w:t xml:space="preserve">Table </w:t>
      </w:r>
      <w:r w:rsidR="008A7A32" w:rsidRPr="008A7A32">
        <w:rPr>
          <w:noProof/>
        </w:rPr>
        <w:t>19</w:t>
      </w:r>
      <w:r w:rsidR="008A7A32" w:rsidRPr="008A7A32">
        <w:fldChar w:fldCharType="end"/>
      </w:r>
      <w:r w:rsidRPr="008A7A32">
        <w:t xml:space="preserve">) removing the subpopulations </w:t>
      </w:r>
      <w:r w:rsidR="00E1506C">
        <w:t>(&lt;</w:t>
      </w:r>
      <w:r w:rsidR="002E1FD5">
        <w:t xml:space="preserve"> </w:t>
      </w:r>
      <w:r w:rsidR="00E1506C">
        <w:t>12 years and post</w:t>
      </w:r>
      <w:r w:rsidR="00E072B9">
        <w:noBreakHyphen/>
      </w:r>
      <w:r w:rsidR="00E1506C">
        <w:t xml:space="preserve">menopausal) </w:t>
      </w:r>
      <w:r w:rsidRPr="008A7A32">
        <w:t xml:space="preserve">and applying the prevalence </w:t>
      </w:r>
      <w:r w:rsidR="00DB5197">
        <w:t xml:space="preserve">and uptake </w:t>
      </w:r>
      <w:r w:rsidRPr="008A7A32">
        <w:t>rate</w:t>
      </w:r>
      <w:r w:rsidR="00DB5197">
        <w:t>s</w:t>
      </w:r>
      <w:r w:rsidRPr="008A7A32">
        <w:t xml:space="preserve"> to the entire Australian population.</w:t>
      </w:r>
      <w:r w:rsidR="001B71E6" w:rsidRPr="008A7A32">
        <w:t xml:space="preserve"> </w:t>
      </w:r>
    </w:p>
    <w:p w14:paraId="59EFE506" w14:textId="308A6F59" w:rsidR="00233C49" w:rsidRPr="00E750DB" w:rsidRDefault="00083509" w:rsidP="00E072B9">
      <w:pPr>
        <w:pStyle w:val="TableFigureHeading"/>
        <w:rPr>
          <w:rFonts w:ascii="Segoe UI" w:hAnsi="Segoe UI"/>
          <w:sz w:val="18"/>
          <w:szCs w:val="18"/>
        </w:rPr>
      </w:pPr>
      <w:bookmarkStart w:id="71" w:name="_Ref204955954"/>
      <w:r w:rsidRPr="00E750DB">
        <w:t xml:space="preserve">Table </w:t>
      </w:r>
      <w:r>
        <w:fldChar w:fldCharType="begin" w:fldLock="1"/>
      </w:r>
      <w:r>
        <w:instrText xml:space="preserve"> SEQ Table \* ARABIC </w:instrText>
      </w:r>
      <w:r>
        <w:fldChar w:fldCharType="separate"/>
      </w:r>
      <w:r>
        <w:rPr>
          <w:noProof/>
        </w:rPr>
        <w:t>18</w:t>
      </w:r>
      <w:r>
        <w:rPr>
          <w:noProof/>
        </w:rPr>
        <w:fldChar w:fldCharType="end"/>
      </w:r>
      <w:bookmarkEnd w:id="71"/>
      <w:r w:rsidRPr="00E750DB">
        <w:t xml:space="preserve">: </w:t>
      </w:r>
      <w:r w:rsidR="00170517">
        <w:t>PSCR</w:t>
      </w:r>
      <w:r w:rsidR="00233C49" w:rsidRPr="00E750DB">
        <w:t xml:space="preserve"> sensitivity analysis with increased uptake rate in Years 1</w:t>
      </w:r>
      <w:r w:rsidR="00E072B9">
        <w:noBreakHyphen/>
      </w:r>
      <w:r w:rsidR="00233C49" w:rsidRPr="00E750DB">
        <w:t>3 </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8: PSCR sensitivity analysis with increased uptake rate in Years 1 3 "/>
      </w:tblPr>
      <w:tblGrid>
        <w:gridCol w:w="1552"/>
        <w:gridCol w:w="1243"/>
        <w:gridCol w:w="1243"/>
        <w:gridCol w:w="1243"/>
        <w:gridCol w:w="1243"/>
        <w:gridCol w:w="1243"/>
        <w:gridCol w:w="1244"/>
      </w:tblGrid>
      <w:tr w:rsidR="00233C49" w:rsidRPr="00E750DB" w14:paraId="452B8055" w14:textId="77777777" w:rsidTr="00AD2831">
        <w:tc>
          <w:tcPr>
            <w:tcW w:w="1552" w:type="dxa"/>
            <w:tcBorders>
              <w:top w:val="single" w:sz="6" w:space="0" w:color="auto"/>
              <w:left w:val="single" w:sz="6" w:space="0" w:color="auto"/>
              <w:bottom w:val="single" w:sz="6" w:space="0" w:color="auto"/>
              <w:right w:val="single" w:sz="6" w:space="0" w:color="auto"/>
            </w:tcBorders>
            <w:hideMark/>
          </w:tcPr>
          <w:p w14:paraId="63320F96" w14:textId="2124FC39" w:rsidR="00233C49" w:rsidRPr="00E750DB" w:rsidRDefault="00233C49" w:rsidP="00E072B9">
            <w:pPr>
              <w:pStyle w:val="Tabletext"/>
            </w:pPr>
          </w:p>
        </w:tc>
        <w:tc>
          <w:tcPr>
            <w:tcW w:w="1243" w:type="dxa"/>
            <w:tcBorders>
              <w:top w:val="single" w:sz="6" w:space="0" w:color="auto"/>
              <w:left w:val="single" w:sz="6" w:space="0" w:color="auto"/>
              <w:bottom w:val="single" w:sz="6" w:space="0" w:color="auto"/>
              <w:right w:val="single" w:sz="6" w:space="0" w:color="auto"/>
            </w:tcBorders>
            <w:hideMark/>
          </w:tcPr>
          <w:p w14:paraId="128CE9BA" w14:textId="22ECCCA8" w:rsidR="00233C49" w:rsidRPr="00E750DB" w:rsidRDefault="00233C49" w:rsidP="00E072B9">
            <w:pPr>
              <w:pStyle w:val="Tabletext"/>
              <w:jc w:val="center"/>
              <w:rPr>
                <w:szCs w:val="20"/>
              </w:rPr>
            </w:pPr>
            <w:r w:rsidRPr="00E750DB">
              <w:rPr>
                <w:b/>
                <w:bCs/>
                <w:szCs w:val="20"/>
              </w:rPr>
              <w:t>Year 1</w:t>
            </w:r>
          </w:p>
        </w:tc>
        <w:tc>
          <w:tcPr>
            <w:tcW w:w="1243" w:type="dxa"/>
            <w:tcBorders>
              <w:top w:val="single" w:sz="6" w:space="0" w:color="auto"/>
              <w:left w:val="single" w:sz="6" w:space="0" w:color="auto"/>
              <w:bottom w:val="single" w:sz="6" w:space="0" w:color="auto"/>
              <w:right w:val="single" w:sz="6" w:space="0" w:color="auto"/>
            </w:tcBorders>
            <w:hideMark/>
          </w:tcPr>
          <w:p w14:paraId="42EF3E31" w14:textId="71741A7A" w:rsidR="00233C49" w:rsidRPr="00E750DB" w:rsidRDefault="00233C49" w:rsidP="00E072B9">
            <w:pPr>
              <w:pStyle w:val="Tabletext"/>
              <w:jc w:val="center"/>
              <w:rPr>
                <w:szCs w:val="20"/>
              </w:rPr>
            </w:pPr>
            <w:r w:rsidRPr="00E750DB">
              <w:rPr>
                <w:b/>
                <w:bCs/>
                <w:szCs w:val="20"/>
              </w:rPr>
              <w:t>Year 2</w:t>
            </w:r>
          </w:p>
        </w:tc>
        <w:tc>
          <w:tcPr>
            <w:tcW w:w="1243" w:type="dxa"/>
            <w:tcBorders>
              <w:top w:val="single" w:sz="6" w:space="0" w:color="auto"/>
              <w:left w:val="single" w:sz="6" w:space="0" w:color="auto"/>
              <w:bottom w:val="single" w:sz="6" w:space="0" w:color="auto"/>
              <w:right w:val="single" w:sz="6" w:space="0" w:color="auto"/>
            </w:tcBorders>
            <w:hideMark/>
          </w:tcPr>
          <w:p w14:paraId="6F31AB6D" w14:textId="0E28A52C" w:rsidR="00233C49" w:rsidRPr="00E750DB" w:rsidRDefault="00233C49" w:rsidP="00E072B9">
            <w:pPr>
              <w:pStyle w:val="Tabletext"/>
              <w:jc w:val="center"/>
              <w:rPr>
                <w:szCs w:val="20"/>
              </w:rPr>
            </w:pPr>
            <w:r w:rsidRPr="00E750DB">
              <w:rPr>
                <w:b/>
                <w:bCs/>
                <w:szCs w:val="20"/>
              </w:rPr>
              <w:t>Year 3</w:t>
            </w:r>
          </w:p>
        </w:tc>
        <w:tc>
          <w:tcPr>
            <w:tcW w:w="1243" w:type="dxa"/>
            <w:tcBorders>
              <w:top w:val="single" w:sz="6" w:space="0" w:color="auto"/>
              <w:left w:val="single" w:sz="6" w:space="0" w:color="auto"/>
              <w:bottom w:val="single" w:sz="6" w:space="0" w:color="auto"/>
              <w:right w:val="single" w:sz="6" w:space="0" w:color="auto"/>
            </w:tcBorders>
            <w:hideMark/>
          </w:tcPr>
          <w:p w14:paraId="5F8A5554" w14:textId="48553D5C" w:rsidR="00233C49" w:rsidRPr="00E750DB" w:rsidRDefault="00233C49" w:rsidP="00E072B9">
            <w:pPr>
              <w:pStyle w:val="Tabletext"/>
              <w:jc w:val="center"/>
              <w:rPr>
                <w:szCs w:val="20"/>
              </w:rPr>
            </w:pPr>
            <w:r w:rsidRPr="00E750DB">
              <w:rPr>
                <w:b/>
                <w:bCs/>
                <w:szCs w:val="20"/>
              </w:rPr>
              <w:t>Year 4</w:t>
            </w:r>
          </w:p>
        </w:tc>
        <w:tc>
          <w:tcPr>
            <w:tcW w:w="1243" w:type="dxa"/>
            <w:tcBorders>
              <w:top w:val="single" w:sz="6" w:space="0" w:color="auto"/>
              <w:left w:val="single" w:sz="6" w:space="0" w:color="auto"/>
              <w:bottom w:val="single" w:sz="6" w:space="0" w:color="auto"/>
              <w:right w:val="single" w:sz="6" w:space="0" w:color="auto"/>
            </w:tcBorders>
            <w:hideMark/>
          </w:tcPr>
          <w:p w14:paraId="58F86489" w14:textId="091FCAFE" w:rsidR="00233C49" w:rsidRPr="00E750DB" w:rsidRDefault="00233C49" w:rsidP="00E072B9">
            <w:pPr>
              <w:pStyle w:val="Tabletext"/>
              <w:jc w:val="center"/>
              <w:rPr>
                <w:szCs w:val="20"/>
              </w:rPr>
            </w:pPr>
            <w:r w:rsidRPr="00E750DB">
              <w:rPr>
                <w:b/>
                <w:bCs/>
                <w:szCs w:val="20"/>
              </w:rPr>
              <w:t>Year 5</w:t>
            </w:r>
          </w:p>
        </w:tc>
        <w:tc>
          <w:tcPr>
            <w:tcW w:w="1244" w:type="dxa"/>
            <w:tcBorders>
              <w:top w:val="single" w:sz="6" w:space="0" w:color="auto"/>
              <w:left w:val="single" w:sz="6" w:space="0" w:color="auto"/>
              <w:bottom w:val="single" w:sz="6" w:space="0" w:color="auto"/>
              <w:right w:val="single" w:sz="6" w:space="0" w:color="auto"/>
            </w:tcBorders>
            <w:hideMark/>
          </w:tcPr>
          <w:p w14:paraId="4C35C09F" w14:textId="23BB1A36" w:rsidR="00233C49" w:rsidRPr="00E750DB" w:rsidRDefault="00233C49" w:rsidP="00E072B9">
            <w:pPr>
              <w:pStyle w:val="Tabletext"/>
              <w:jc w:val="center"/>
              <w:rPr>
                <w:szCs w:val="20"/>
              </w:rPr>
            </w:pPr>
            <w:r w:rsidRPr="00E750DB">
              <w:rPr>
                <w:b/>
                <w:bCs/>
                <w:szCs w:val="20"/>
              </w:rPr>
              <w:t>Year 6</w:t>
            </w:r>
          </w:p>
        </w:tc>
      </w:tr>
      <w:tr w:rsidR="00233C49" w:rsidRPr="00E750DB" w14:paraId="5EC324E4" w14:textId="77777777" w:rsidTr="00B35ACC">
        <w:tc>
          <w:tcPr>
            <w:tcW w:w="1552" w:type="dxa"/>
            <w:tcBorders>
              <w:top w:val="single" w:sz="6" w:space="0" w:color="auto"/>
              <w:left w:val="single" w:sz="6" w:space="0" w:color="auto"/>
              <w:bottom w:val="single" w:sz="6" w:space="0" w:color="auto"/>
              <w:right w:val="single" w:sz="6" w:space="0" w:color="auto"/>
            </w:tcBorders>
            <w:hideMark/>
          </w:tcPr>
          <w:p w14:paraId="2545F560" w14:textId="0491B3A9" w:rsidR="00233C49" w:rsidRPr="00E750DB" w:rsidRDefault="00233C49" w:rsidP="00E072B9">
            <w:pPr>
              <w:pStyle w:val="Tabletext"/>
            </w:pPr>
            <w:r w:rsidRPr="00E750DB">
              <w:rPr>
                <w:szCs w:val="20"/>
              </w:rPr>
              <w:t>Uptake</w:t>
            </w:r>
          </w:p>
        </w:tc>
        <w:tc>
          <w:tcPr>
            <w:tcW w:w="1243" w:type="dxa"/>
            <w:tcBorders>
              <w:top w:val="single" w:sz="6" w:space="0" w:color="auto"/>
              <w:left w:val="single" w:sz="6" w:space="0" w:color="auto"/>
              <w:bottom w:val="single" w:sz="6" w:space="0" w:color="auto"/>
              <w:right w:val="single" w:sz="6" w:space="0" w:color="auto"/>
            </w:tcBorders>
            <w:hideMark/>
          </w:tcPr>
          <w:p w14:paraId="07E31CAD" w14:textId="518BA2D0" w:rsidR="00233C49" w:rsidRPr="00E750DB" w:rsidRDefault="00B35ACC" w:rsidP="00E072B9">
            <w:pPr>
              <w:pStyle w:val="Tabletext"/>
              <w:jc w:val="center"/>
            </w:pPr>
            <w:r w:rsidRPr="009742C5">
              <w:rPr>
                <w:color w:val="000000"/>
                <w:spacing w:val="53"/>
                <w:szCs w:val="20"/>
                <w:shd w:val="solid" w:color="000000" w:fill="000000"/>
                <w:fitText w:val="330" w:id="-625249534"/>
                <w14:textFill>
                  <w14:solidFill>
                    <w14:srgbClr w14:val="000000">
                      <w14:alpha w14:val="100000"/>
                    </w14:srgbClr>
                  </w14:solidFill>
                </w14:textFill>
              </w:rPr>
              <w:t>|||</w:t>
            </w:r>
            <w:r w:rsidRPr="009742C5">
              <w:rPr>
                <w:color w:val="000000"/>
                <w:spacing w:val="1"/>
                <w:szCs w:val="20"/>
                <w:shd w:val="solid" w:color="000000" w:fill="000000"/>
                <w:fitText w:val="330" w:id="-625249534"/>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2ECFC030" w14:textId="761AF0CC" w:rsidR="00233C49" w:rsidRPr="00E750DB" w:rsidRDefault="00B35ACC" w:rsidP="00E072B9">
            <w:pPr>
              <w:pStyle w:val="Tabletext"/>
              <w:jc w:val="center"/>
            </w:pPr>
            <w:r w:rsidRPr="009742C5">
              <w:rPr>
                <w:color w:val="000000"/>
                <w:spacing w:val="53"/>
                <w:szCs w:val="20"/>
                <w:shd w:val="solid" w:color="000000" w:fill="000000"/>
                <w:fitText w:val="330" w:id="-625249533"/>
                <w14:textFill>
                  <w14:solidFill>
                    <w14:srgbClr w14:val="000000">
                      <w14:alpha w14:val="100000"/>
                    </w14:srgbClr>
                  </w14:solidFill>
                </w14:textFill>
              </w:rPr>
              <w:t>|||</w:t>
            </w:r>
            <w:r w:rsidRPr="009742C5">
              <w:rPr>
                <w:color w:val="000000"/>
                <w:spacing w:val="1"/>
                <w:szCs w:val="20"/>
                <w:shd w:val="solid" w:color="000000" w:fill="000000"/>
                <w:fitText w:val="330" w:id="-625249533"/>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730CB2C6" w14:textId="7903622C" w:rsidR="00233C49" w:rsidRPr="00E750DB" w:rsidRDefault="00B35ACC" w:rsidP="00E072B9">
            <w:pPr>
              <w:pStyle w:val="Tabletext"/>
              <w:jc w:val="center"/>
            </w:pPr>
            <w:r w:rsidRPr="009742C5">
              <w:rPr>
                <w:color w:val="000000"/>
                <w:spacing w:val="53"/>
                <w:szCs w:val="20"/>
                <w:shd w:val="solid" w:color="000000" w:fill="000000"/>
                <w:fitText w:val="330" w:id="-625249532"/>
                <w14:textFill>
                  <w14:solidFill>
                    <w14:srgbClr w14:val="000000">
                      <w14:alpha w14:val="100000"/>
                    </w14:srgbClr>
                  </w14:solidFill>
                </w14:textFill>
              </w:rPr>
              <w:t>|||</w:t>
            </w:r>
            <w:r w:rsidRPr="009742C5">
              <w:rPr>
                <w:color w:val="000000"/>
                <w:spacing w:val="1"/>
                <w:szCs w:val="20"/>
                <w:shd w:val="solid" w:color="000000" w:fill="000000"/>
                <w:fitText w:val="330" w:id="-625249532"/>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49333EC1" w14:textId="59FF886C" w:rsidR="00233C49" w:rsidRPr="00E750DB" w:rsidRDefault="00B35ACC" w:rsidP="00E072B9">
            <w:pPr>
              <w:pStyle w:val="Tabletext"/>
              <w:jc w:val="center"/>
            </w:pPr>
            <w:r w:rsidRPr="009742C5">
              <w:rPr>
                <w:color w:val="000000"/>
                <w:spacing w:val="53"/>
                <w:szCs w:val="20"/>
                <w:shd w:val="solid" w:color="000000" w:fill="000000"/>
                <w:fitText w:val="330" w:id="-625249531"/>
                <w14:textFill>
                  <w14:solidFill>
                    <w14:srgbClr w14:val="000000">
                      <w14:alpha w14:val="100000"/>
                    </w14:srgbClr>
                  </w14:solidFill>
                </w14:textFill>
              </w:rPr>
              <w:t>|||</w:t>
            </w:r>
            <w:r w:rsidRPr="009742C5">
              <w:rPr>
                <w:color w:val="000000"/>
                <w:spacing w:val="1"/>
                <w:szCs w:val="20"/>
                <w:shd w:val="solid" w:color="000000" w:fill="000000"/>
                <w:fitText w:val="330" w:id="-625249531"/>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4DFB5073" w14:textId="61518E1E" w:rsidR="00233C49" w:rsidRPr="00E750DB" w:rsidRDefault="00B35ACC" w:rsidP="00E072B9">
            <w:pPr>
              <w:pStyle w:val="Tabletext"/>
              <w:jc w:val="center"/>
            </w:pPr>
            <w:r w:rsidRPr="009742C5">
              <w:rPr>
                <w:color w:val="000000"/>
                <w:spacing w:val="53"/>
                <w:szCs w:val="20"/>
                <w:shd w:val="solid" w:color="000000" w:fill="000000"/>
                <w:fitText w:val="330" w:id="-625249530"/>
                <w14:textFill>
                  <w14:solidFill>
                    <w14:srgbClr w14:val="000000">
                      <w14:alpha w14:val="100000"/>
                    </w14:srgbClr>
                  </w14:solidFill>
                </w14:textFill>
              </w:rPr>
              <w:t>|||</w:t>
            </w:r>
            <w:r w:rsidRPr="009742C5">
              <w:rPr>
                <w:color w:val="000000"/>
                <w:spacing w:val="1"/>
                <w:szCs w:val="20"/>
                <w:shd w:val="solid" w:color="000000" w:fill="000000"/>
                <w:fitText w:val="330" w:id="-625249530"/>
                <w14:textFill>
                  <w14:solidFill>
                    <w14:srgbClr w14:val="000000">
                      <w14:alpha w14:val="100000"/>
                    </w14:srgbClr>
                  </w14:solidFill>
                </w14:textFill>
              </w:rPr>
              <w:t>|</w:t>
            </w:r>
            <w:r w:rsidR="00233C49" w:rsidRPr="00E750DB">
              <w:rPr>
                <w:szCs w:val="20"/>
              </w:rPr>
              <w:t>%</w:t>
            </w:r>
          </w:p>
        </w:tc>
        <w:tc>
          <w:tcPr>
            <w:tcW w:w="1244" w:type="dxa"/>
            <w:tcBorders>
              <w:top w:val="single" w:sz="6" w:space="0" w:color="auto"/>
              <w:left w:val="single" w:sz="6" w:space="0" w:color="auto"/>
              <w:bottom w:val="single" w:sz="6" w:space="0" w:color="auto"/>
              <w:right w:val="single" w:sz="6" w:space="0" w:color="auto"/>
            </w:tcBorders>
            <w:hideMark/>
          </w:tcPr>
          <w:p w14:paraId="3D4A198E" w14:textId="49C908E2" w:rsidR="00233C49" w:rsidRPr="00E750DB" w:rsidRDefault="00B35ACC" w:rsidP="00E072B9">
            <w:pPr>
              <w:pStyle w:val="Tabletext"/>
              <w:jc w:val="center"/>
            </w:pPr>
            <w:r w:rsidRPr="009742C5">
              <w:rPr>
                <w:color w:val="000000"/>
                <w:spacing w:val="53"/>
                <w:szCs w:val="20"/>
                <w:shd w:val="solid" w:color="000000" w:fill="000000"/>
                <w:fitText w:val="330" w:id="-625249529"/>
                <w14:textFill>
                  <w14:solidFill>
                    <w14:srgbClr w14:val="000000">
                      <w14:alpha w14:val="100000"/>
                    </w14:srgbClr>
                  </w14:solidFill>
                </w14:textFill>
              </w:rPr>
              <w:t>|||</w:t>
            </w:r>
            <w:r w:rsidRPr="009742C5">
              <w:rPr>
                <w:color w:val="000000"/>
                <w:spacing w:val="1"/>
                <w:szCs w:val="20"/>
                <w:shd w:val="solid" w:color="000000" w:fill="000000"/>
                <w:fitText w:val="330" w:id="-625249529"/>
                <w14:textFill>
                  <w14:solidFill>
                    <w14:srgbClr w14:val="000000">
                      <w14:alpha w14:val="100000"/>
                    </w14:srgbClr>
                  </w14:solidFill>
                </w14:textFill>
              </w:rPr>
              <w:t>|</w:t>
            </w:r>
            <w:r w:rsidR="00233C49" w:rsidRPr="00E750DB">
              <w:rPr>
                <w:szCs w:val="20"/>
              </w:rPr>
              <w:t>%</w:t>
            </w:r>
          </w:p>
        </w:tc>
      </w:tr>
      <w:tr w:rsidR="00233C49" w:rsidRPr="00E750DB" w14:paraId="5F1D2D30" w14:textId="77777777" w:rsidTr="00B35ACC">
        <w:tc>
          <w:tcPr>
            <w:tcW w:w="1552" w:type="dxa"/>
            <w:tcBorders>
              <w:top w:val="single" w:sz="6" w:space="0" w:color="auto"/>
              <w:left w:val="single" w:sz="6" w:space="0" w:color="auto"/>
              <w:bottom w:val="single" w:sz="6" w:space="0" w:color="auto"/>
              <w:right w:val="single" w:sz="6" w:space="0" w:color="auto"/>
            </w:tcBorders>
            <w:hideMark/>
          </w:tcPr>
          <w:p w14:paraId="7F6B2387" w14:textId="5B02B671" w:rsidR="00233C49" w:rsidRPr="00664EE1" w:rsidRDefault="00233C49" w:rsidP="00E072B9">
            <w:pPr>
              <w:pStyle w:val="Tabletext"/>
              <w:rPr>
                <w:vertAlign w:val="superscript"/>
              </w:rPr>
            </w:pPr>
            <w:r w:rsidRPr="00E750DB">
              <w:rPr>
                <w:szCs w:val="20"/>
              </w:rPr>
              <w:t>Pa</w:t>
            </w:r>
            <w:r w:rsidRPr="00E750DB">
              <w:rPr>
                <w:rFonts w:eastAsia="Arial Narrow" w:cs="Arial Narrow"/>
                <w:szCs w:val="20"/>
              </w:rPr>
              <w:t>􀆟</w:t>
            </w:r>
            <w:r w:rsidRPr="00E750DB">
              <w:rPr>
                <w:szCs w:val="20"/>
              </w:rPr>
              <w:t>ents treated</w:t>
            </w:r>
            <w:r w:rsidR="00664EE1">
              <w:rPr>
                <w:szCs w:val="20"/>
                <w:vertAlign w:val="superscript"/>
              </w:rPr>
              <w:t>1</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4C3EF70A" w14:textId="682CFCEE" w:rsidR="00233C49" w:rsidRPr="003133DF" w:rsidRDefault="00B35ACC" w:rsidP="00E072B9">
            <w:pPr>
              <w:pStyle w:val="Tabletext"/>
              <w:jc w:val="center"/>
              <w:rPr>
                <w:highlight w:val="darkGray"/>
              </w:rPr>
            </w:pPr>
            <w:r w:rsidRPr="009742C5">
              <w:rPr>
                <w:color w:val="000000"/>
                <w:spacing w:val="53"/>
                <w:szCs w:val="20"/>
                <w:fitText w:val="330" w:id="-625249528"/>
                <w14:textFill>
                  <w14:solidFill>
                    <w14:srgbClr w14:val="000000">
                      <w14:alpha w14:val="100000"/>
                    </w14:srgbClr>
                  </w14:solidFill>
                </w14:textFill>
              </w:rPr>
              <w:t>|||</w:t>
            </w:r>
            <w:r w:rsidRPr="009742C5">
              <w:rPr>
                <w:color w:val="000000"/>
                <w:spacing w:val="1"/>
                <w:szCs w:val="20"/>
                <w:fitText w:val="330" w:id="-625249528"/>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2698245C" w14:textId="2EE4BE04" w:rsidR="00233C49" w:rsidRPr="003133DF" w:rsidRDefault="00B35ACC" w:rsidP="00E072B9">
            <w:pPr>
              <w:pStyle w:val="Tabletext"/>
              <w:jc w:val="center"/>
              <w:rPr>
                <w:highlight w:val="darkGray"/>
              </w:rPr>
            </w:pPr>
            <w:r w:rsidRPr="009742C5">
              <w:rPr>
                <w:color w:val="000000"/>
                <w:spacing w:val="53"/>
                <w:szCs w:val="20"/>
                <w:fitText w:val="330" w:id="-625249527"/>
                <w14:textFill>
                  <w14:solidFill>
                    <w14:srgbClr w14:val="000000">
                      <w14:alpha w14:val="100000"/>
                    </w14:srgbClr>
                  </w14:solidFill>
                </w14:textFill>
              </w:rPr>
              <w:t>|||</w:t>
            </w:r>
            <w:r w:rsidRPr="009742C5">
              <w:rPr>
                <w:color w:val="000000"/>
                <w:spacing w:val="1"/>
                <w:szCs w:val="20"/>
                <w:fitText w:val="330" w:id="-625249527"/>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35B79C36" w14:textId="109EF63C" w:rsidR="00233C49" w:rsidRPr="003133DF" w:rsidRDefault="00B35ACC" w:rsidP="00E072B9">
            <w:pPr>
              <w:pStyle w:val="Tabletext"/>
              <w:jc w:val="center"/>
              <w:rPr>
                <w:highlight w:val="darkGray"/>
              </w:rPr>
            </w:pPr>
            <w:r w:rsidRPr="009742C5">
              <w:rPr>
                <w:color w:val="000000"/>
                <w:spacing w:val="53"/>
                <w:szCs w:val="20"/>
                <w:fitText w:val="330" w:id="-625249526"/>
                <w14:textFill>
                  <w14:solidFill>
                    <w14:srgbClr w14:val="000000">
                      <w14:alpha w14:val="100000"/>
                    </w14:srgbClr>
                  </w14:solidFill>
                </w14:textFill>
              </w:rPr>
              <w:t>|||</w:t>
            </w:r>
            <w:r w:rsidRPr="009742C5">
              <w:rPr>
                <w:color w:val="000000"/>
                <w:spacing w:val="1"/>
                <w:szCs w:val="20"/>
                <w:fitText w:val="330" w:id="-625249526"/>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5FF0A5B2" w14:textId="4B82EEE7" w:rsidR="00233C49" w:rsidRPr="003133DF" w:rsidRDefault="00B35ACC" w:rsidP="00E072B9">
            <w:pPr>
              <w:pStyle w:val="Tabletext"/>
              <w:jc w:val="center"/>
              <w:rPr>
                <w:highlight w:val="darkGray"/>
              </w:rPr>
            </w:pPr>
            <w:r w:rsidRPr="009742C5">
              <w:rPr>
                <w:color w:val="000000"/>
                <w:spacing w:val="53"/>
                <w:szCs w:val="20"/>
                <w:fitText w:val="330" w:id="-625249525"/>
                <w14:textFill>
                  <w14:solidFill>
                    <w14:srgbClr w14:val="000000">
                      <w14:alpha w14:val="100000"/>
                    </w14:srgbClr>
                  </w14:solidFill>
                </w14:textFill>
              </w:rPr>
              <w:t>|||</w:t>
            </w:r>
            <w:r w:rsidRPr="009742C5">
              <w:rPr>
                <w:color w:val="000000"/>
                <w:spacing w:val="1"/>
                <w:szCs w:val="20"/>
                <w:fitText w:val="330" w:id="-625249525"/>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2E1194F4" w14:textId="1CEEFAD0" w:rsidR="00233C49" w:rsidRPr="003133DF" w:rsidRDefault="00B35ACC" w:rsidP="00E072B9">
            <w:pPr>
              <w:pStyle w:val="Tabletext"/>
              <w:jc w:val="center"/>
              <w:rPr>
                <w:highlight w:val="darkGray"/>
              </w:rPr>
            </w:pPr>
            <w:r w:rsidRPr="009742C5">
              <w:rPr>
                <w:color w:val="000000"/>
                <w:spacing w:val="53"/>
                <w:szCs w:val="20"/>
                <w:fitText w:val="330" w:id="-625249524"/>
                <w14:textFill>
                  <w14:solidFill>
                    <w14:srgbClr w14:val="000000">
                      <w14:alpha w14:val="100000"/>
                    </w14:srgbClr>
                  </w14:solidFill>
                </w14:textFill>
              </w:rPr>
              <w:t>|||</w:t>
            </w:r>
            <w:r w:rsidRPr="009742C5">
              <w:rPr>
                <w:color w:val="000000"/>
                <w:spacing w:val="1"/>
                <w:szCs w:val="20"/>
                <w:fitText w:val="330" w:id="-625249524"/>
                <w14:textFill>
                  <w14:solidFill>
                    <w14:srgbClr w14:val="000000">
                      <w14:alpha w14:val="100000"/>
                    </w14:srgbClr>
                  </w14:solidFill>
                </w14:textFill>
              </w:rPr>
              <w:t>|</w:t>
            </w:r>
          </w:p>
        </w:tc>
        <w:tc>
          <w:tcPr>
            <w:tcW w:w="1244" w:type="dxa"/>
            <w:tcBorders>
              <w:top w:val="single" w:sz="6" w:space="0" w:color="auto"/>
              <w:left w:val="single" w:sz="6" w:space="0" w:color="auto"/>
              <w:bottom w:val="single" w:sz="6" w:space="0" w:color="auto"/>
              <w:right w:val="single" w:sz="6" w:space="0" w:color="auto"/>
            </w:tcBorders>
            <w:shd w:val="solid" w:color="000000" w:fill="000000"/>
            <w:hideMark/>
          </w:tcPr>
          <w:p w14:paraId="738C0EB5" w14:textId="1665D607" w:rsidR="00233C49" w:rsidRPr="003133DF" w:rsidRDefault="00B35ACC" w:rsidP="00E072B9">
            <w:pPr>
              <w:pStyle w:val="Tabletext"/>
              <w:jc w:val="center"/>
              <w:rPr>
                <w:highlight w:val="darkGray"/>
              </w:rPr>
            </w:pPr>
            <w:r w:rsidRPr="009742C5">
              <w:rPr>
                <w:color w:val="000000"/>
                <w:spacing w:val="53"/>
                <w:szCs w:val="20"/>
                <w:fitText w:val="330" w:id="-625249523"/>
                <w14:textFill>
                  <w14:solidFill>
                    <w14:srgbClr w14:val="000000">
                      <w14:alpha w14:val="100000"/>
                    </w14:srgbClr>
                  </w14:solidFill>
                </w14:textFill>
              </w:rPr>
              <w:t>|||</w:t>
            </w:r>
            <w:r w:rsidRPr="009742C5">
              <w:rPr>
                <w:color w:val="000000"/>
                <w:spacing w:val="1"/>
                <w:szCs w:val="20"/>
                <w:fitText w:val="330" w:id="-625249523"/>
                <w14:textFill>
                  <w14:solidFill>
                    <w14:srgbClr w14:val="000000">
                      <w14:alpha w14:val="100000"/>
                    </w14:srgbClr>
                  </w14:solidFill>
                </w14:textFill>
              </w:rPr>
              <w:t>|</w:t>
            </w:r>
          </w:p>
        </w:tc>
      </w:tr>
      <w:tr w:rsidR="00233C49" w:rsidRPr="00E750DB" w14:paraId="569444D2" w14:textId="77777777" w:rsidTr="00B35ACC">
        <w:tc>
          <w:tcPr>
            <w:tcW w:w="1552" w:type="dxa"/>
            <w:tcBorders>
              <w:top w:val="single" w:sz="6" w:space="0" w:color="auto"/>
              <w:left w:val="single" w:sz="6" w:space="0" w:color="auto"/>
              <w:bottom w:val="single" w:sz="6" w:space="0" w:color="auto"/>
              <w:right w:val="single" w:sz="6" w:space="0" w:color="auto"/>
            </w:tcBorders>
            <w:hideMark/>
          </w:tcPr>
          <w:p w14:paraId="7D5B78F4" w14:textId="5C179CB2" w:rsidR="00233C49" w:rsidRPr="00664EE1" w:rsidRDefault="00233C49" w:rsidP="00E072B9">
            <w:pPr>
              <w:pStyle w:val="Tabletext"/>
              <w:rPr>
                <w:vertAlign w:val="superscript"/>
              </w:rPr>
            </w:pPr>
            <w:r w:rsidRPr="00E750DB">
              <w:rPr>
                <w:szCs w:val="20"/>
              </w:rPr>
              <w:t>Scripts dispensed</w:t>
            </w:r>
            <w:r w:rsidR="00664EE1">
              <w:rPr>
                <w:szCs w:val="20"/>
                <w:vertAlign w:val="superscript"/>
              </w:rPr>
              <w:t>1</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393C25C6" w14:textId="1657D761" w:rsidR="00233C49" w:rsidRPr="003133DF" w:rsidRDefault="00B35ACC" w:rsidP="00E072B9">
            <w:pPr>
              <w:pStyle w:val="Tabletext"/>
              <w:jc w:val="center"/>
              <w:rPr>
                <w:highlight w:val="darkGray"/>
              </w:rPr>
            </w:pPr>
            <w:r w:rsidRPr="009742C5">
              <w:rPr>
                <w:color w:val="000000"/>
                <w:spacing w:val="53"/>
                <w:szCs w:val="20"/>
                <w:fitText w:val="330" w:id="-625249522"/>
                <w14:textFill>
                  <w14:solidFill>
                    <w14:srgbClr w14:val="000000">
                      <w14:alpha w14:val="100000"/>
                    </w14:srgbClr>
                  </w14:solidFill>
                </w14:textFill>
              </w:rPr>
              <w:t>|||</w:t>
            </w:r>
            <w:r w:rsidRPr="009742C5">
              <w:rPr>
                <w:color w:val="000000"/>
                <w:spacing w:val="1"/>
                <w:szCs w:val="20"/>
                <w:fitText w:val="330" w:id="-625249522"/>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5381DD98" w14:textId="50F26462" w:rsidR="00233C49" w:rsidRPr="003133DF" w:rsidRDefault="00B35ACC" w:rsidP="00E072B9">
            <w:pPr>
              <w:pStyle w:val="Tabletext"/>
              <w:jc w:val="center"/>
              <w:rPr>
                <w:highlight w:val="darkGray"/>
              </w:rPr>
            </w:pPr>
            <w:r w:rsidRPr="009742C5">
              <w:rPr>
                <w:color w:val="000000"/>
                <w:spacing w:val="53"/>
                <w:szCs w:val="20"/>
                <w:fitText w:val="330" w:id="-625249521"/>
                <w14:textFill>
                  <w14:solidFill>
                    <w14:srgbClr w14:val="000000">
                      <w14:alpha w14:val="100000"/>
                    </w14:srgbClr>
                  </w14:solidFill>
                </w14:textFill>
              </w:rPr>
              <w:t>|||</w:t>
            </w:r>
            <w:r w:rsidRPr="009742C5">
              <w:rPr>
                <w:color w:val="000000"/>
                <w:spacing w:val="1"/>
                <w:szCs w:val="20"/>
                <w:fitText w:val="330" w:id="-625249521"/>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381EE0B1" w14:textId="32EC58A6" w:rsidR="00233C49" w:rsidRPr="003133DF" w:rsidRDefault="00B35ACC" w:rsidP="00E072B9">
            <w:pPr>
              <w:pStyle w:val="Tabletext"/>
              <w:jc w:val="center"/>
              <w:rPr>
                <w:highlight w:val="darkGray"/>
              </w:rPr>
            </w:pPr>
            <w:r w:rsidRPr="009742C5">
              <w:rPr>
                <w:color w:val="000000"/>
                <w:spacing w:val="53"/>
                <w:szCs w:val="20"/>
                <w:fitText w:val="330" w:id="-625249520"/>
                <w14:textFill>
                  <w14:solidFill>
                    <w14:srgbClr w14:val="000000">
                      <w14:alpha w14:val="100000"/>
                    </w14:srgbClr>
                  </w14:solidFill>
                </w14:textFill>
              </w:rPr>
              <w:t>|||</w:t>
            </w:r>
            <w:r w:rsidRPr="009742C5">
              <w:rPr>
                <w:color w:val="000000"/>
                <w:spacing w:val="1"/>
                <w:szCs w:val="20"/>
                <w:fitText w:val="330" w:id="-625249520"/>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139EC34A" w14:textId="73484B2A" w:rsidR="00233C49" w:rsidRPr="003133DF" w:rsidRDefault="00B35ACC" w:rsidP="00E072B9">
            <w:pPr>
              <w:pStyle w:val="Tabletext"/>
              <w:jc w:val="center"/>
              <w:rPr>
                <w:highlight w:val="darkGray"/>
              </w:rPr>
            </w:pPr>
            <w:r w:rsidRPr="009742C5">
              <w:rPr>
                <w:color w:val="000000"/>
                <w:spacing w:val="53"/>
                <w:szCs w:val="20"/>
                <w:fitText w:val="330" w:id="-625249536"/>
                <w14:textFill>
                  <w14:solidFill>
                    <w14:srgbClr w14:val="000000">
                      <w14:alpha w14:val="100000"/>
                    </w14:srgbClr>
                  </w14:solidFill>
                </w14:textFill>
              </w:rPr>
              <w:t>|||</w:t>
            </w:r>
            <w:r w:rsidRPr="009742C5">
              <w:rPr>
                <w:color w:val="000000"/>
                <w:spacing w:val="1"/>
                <w:szCs w:val="20"/>
                <w:fitText w:val="330" w:id="-625249536"/>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4CB6B151" w14:textId="2B699AAA" w:rsidR="00233C49" w:rsidRPr="003133DF" w:rsidRDefault="00B35ACC" w:rsidP="00E072B9">
            <w:pPr>
              <w:pStyle w:val="Tabletext"/>
              <w:jc w:val="center"/>
              <w:rPr>
                <w:highlight w:val="darkGray"/>
              </w:rPr>
            </w:pPr>
            <w:r w:rsidRPr="009742C5">
              <w:rPr>
                <w:color w:val="000000"/>
                <w:spacing w:val="53"/>
                <w:szCs w:val="20"/>
                <w:fitText w:val="330" w:id="-625249535"/>
                <w14:textFill>
                  <w14:solidFill>
                    <w14:srgbClr w14:val="000000">
                      <w14:alpha w14:val="100000"/>
                    </w14:srgbClr>
                  </w14:solidFill>
                </w14:textFill>
              </w:rPr>
              <w:t>|||</w:t>
            </w:r>
            <w:r w:rsidRPr="009742C5">
              <w:rPr>
                <w:color w:val="000000"/>
                <w:spacing w:val="1"/>
                <w:szCs w:val="20"/>
                <w:fitText w:val="330" w:id="-625249535"/>
                <w14:textFill>
                  <w14:solidFill>
                    <w14:srgbClr w14:val="000000">
                      <w14:alpha w14:val="100000"/>
                    </w14:srgbClr>
                  </w14:solidFill>
                </w14:textFill>
              </w:rPr>
              <w:t>|</w:t>
            </w:r>
          </w:p>
        </w:tc>
        <w:tc>
          <w:tcPr>
            <w:tcW w:w="1244" w:type="dxa"/>
            <w:tcBorders>
              <w:top w:val="single" w:sz="6" w:space="0" w:color="auto"/>
              <w:left w:val="single" w:sz="6" w:space="0" w:color="auto"/>
              <w:bottom w:val="single" w:sz="6" w:space="0" w:color="auto"/>
              <w:right w:val="single" w:sz="6" w:space="0" w:color="auto"/>
            </w:tcBorders>
            <w:shd w:val="solid" w:color="000000" w:fill="000000"/>
            <w:hideMark/>
          </w:tcPr>
          <w:p w14:paraId="17BD5C8D" w14:textId="7DFB08F3" w:rsidR="00233C49" w:rsidRPr="003133DF" w:rsidRDefault="00B35ACC" w:rsidP="00E072B9">
            <w:pPr>
              <w:pStyle w:val="Tabletext"/>
              <w:jc w:val="center"/>
              <w:rPr>
                <w:highlight w:val="darkGray"/>
              </w:rPr>
            </w:pPr>
            <w:r w:rsidRPr="009742C5">
              <w:rPr>
                <w:color w:val="000000"/>
                <w:spacing w:val="53"/>
                <w:szCs w:val="20"/>
                <w:fitText w:val="330" w:id="-625249534"/>
                <w14:textFill>
                  <w14:solidFill>
                    <w14:srgbClr w14:val="000000">
                      <w14:alpha w14:val="100000"/>
                    </w14:srgbClr>
                  </w14:solidFill>
                </w14:textFill>
              </w:rPr>
              <w:t>|||</w:t>
            </w:r>
            <w:r w:rsidRPr="009742C5">
              <w:rPr>
                <w:color w:val="000000"/>
                <w:spacing w:val="1"/>
                <w:szCs w:val="20"/>
                <w:fitText w:val="330" w:id="-625249534"/>
                <w14:textFill>
                  <w14:solidFill>
                    <w14:srgbClr w14:val="000000">
                      <w14:alpha w14:val="100000"/>
                    </w14:srgbClr>
                  </w14:solidFill>
                </w14:textFill>
              </w:rPr>
              <w:t>|</w:t>
            </w:r>
          </w:p>
        </w:tc>
      </w:tr>
      <w:tr w:rsidR="00233C49" w:rsidRPr="00E750DB" w14:paraId="17985E4B" w14:textId="77777777" w:rsidTr="00AD2831">
        <w:tc>
          <w:tcPr>
            <w:tcW w:w="1552" w:type="dxa"/>
            <w:tcBorders>
              <w:top w:val="single" w:sz="6" w:space="0" w:color="auto"/>
              <w:left w:val="single" w:sz="6" w:space="0" w:color="auto"/>
              <w:bottom w:val="single" w:sz="6" w:space="0" w:color="auto"/>
              <w:right w:val="single" w:sz="6" w:space="0" w:color="auto"/>
            </w:tcBorders>
            <w:hideMark/>
          </w:tcPr>
          <w:p w14:paraId="58162239" w14:textId="77777777" w:rsidR="00233C49" w:rsidRPr="00E750DB" w:rsidRDefault="00233C49" w:rsidP="00E072B9">
            <w:pPr>
              <w:pStyle w:val="Tabletext"/>
            </w:pPr>
            <w:r w:rsidRPr="00E750DB">
              <w:rPr>
                <w:szCs w:val="20"/>
              </w:rPr>
              <w:t>Net cost to (R)PBS </w:t>
            </w:r>
          </w:p>
        </w:tc>
        <w:tc>
          <w:tcPr>
            <w:tcW w:w="1243" w:type="dxa"/>
            <w:tcBorders>
              <w:top w:val="single" w:sz="6" w:space="0" w:color="auto"/>
              <w:left w:val="single" w:sz="6" w:space="0" w:color="auto"/>
              <w:bottom w:val="single" w:sz="6" w:space="0" w:color="auto"/>
              <w:right w:val="single" w:sz="6" w:space="0" w:color="auto"/>
            </w:tcBorders>
            <w:hideMark/>
          </w:tcPr>
          <w:p w14:paraId="642BDC97" w14:textId="2EA27F9E" w:rsidR="00233C49" w:rsidRPr="00633B13" w:rsidRDefault="00233C49" w:rsidP="00E072B9">
            <w:pPr>
              <w:pStyle w:val="Tabletext"/>
              <w:jc w:val="center"/>
              <w:rPr>
                <w:b/>
                <w:vertAlign w:val="superscript"/>
              </w:rPr>
            </w:pPr>
            <w:r w:rsidRPr="00E750DB">
              <w:rPr>
                <w:b/>
                <w:szCs w:val="20"/>
              </w:rPr>
              <w:t>$</w:t>
            </w:r>
            <w:r w:rsidR="00B35ACC" w:rsidRPr="009742C5">
              <w:rPr>
                <w:b/>
                <w:color w:val="000000"/>
                <w:spacing w:val="58"/>
                <w:szCs w:val="20"/>
                <w:shd w:val="solid" w:color="000000" w:fill="000000"/>
                <w:fitText w:val="360" w:id="-625249533"/>
                <w14:textFill>
                  <w14:solidFill>
                    <w14:srgbClr w14:val="000000">
                      <w14:alpha w14:val="100000"/>
                    </w14:srgbClr>
                  </w14:solidFill>
                </w14:textFill>
              </w:rPr>
              <w:t>|||</w:t>
            </w:r>
            <w:r w:rsidR="00B35ACC" w:rsidRPr="009742C5">
              <w:rPr>
                <w:b/>
                <w:color w:val="000000"/>
                <w:spacing w:val="3"/>
                <w:szCs w:val="20"/>
                <w:shd w:val="solid" w:color="000000" w:fill="000000"/>
                <w:fitText w:val="360" w:id="-625249533"/>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01BA7EAD" w14:textId="09A74A0F" w:rsidR="00233C49" w:rsidRPr="00633B13" w:rsidRDefault="00233C49" w:rsidP="00E072B9">
            <w:pPr>
              <w:pStyle w:val="Tabletext"/>
              <w:jc w:val="center"/>
              <w:rPr>
                <w:b/>
                <w:vertAlign w:val="superscript"/>
              </w:rPr>
            </w:pPr>
            <w:r w:rsidRPr="00E750DB">
              <w:rPr>
                <w:b/>
                <w:szCs w:val="20"/>
              </w:rPr>
              <w:t>$</w:t>
            </w:r>
            <w:r w:rsidR="00B35ACC" w:rsidRPr="009742C5">
              <w:rPr>
                <w:b/>
                <w:color w:val="000000"/>
                <w:spacing w:val="58"/>
                <w:szCs w:val="20"/>
                <w:shd w:val="solid" w:color="000000" w:fill="000000"/>
                <w:fitText w:val="360" w:id="-625249532"/>
                <w14:textFill>
                  <w14:solidFill>
                    <w14:srgbClr w14:val="000000">
                      <w14:alpha w14:val="100000"/>
                    </w14:srgbClr>
                  </w14:solidFill>
                </w14:textFill>
              </w:rPr>
              <w:t>|||</w:t>
            </w:r>
            <w:r w:rsidR="00B35ACC" w:rsidRPr="009742C5">
              <w:rPr>
                <w:b/>
                <w:color w:val="000000"/>
                <w:spacing w:val="3"/>
                <w:szCs w:val="20"/>
                <w:shd w:val="solid" w:color="000000" w:fill="000000"/>
                <w:fitText w:val="360" w:id="-625249532"/>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6A9A62F3" w14:textId="27C9C1FF" w:rsidR="00233C49" w:rsidRPr="00633B13" w:rsidRDefault="00233C49" w:rsidP="00E072B9">
            <w:pPr>
              <w:pStyle w:val="Tabletext"/>
              <w:jc w:val="center"/>
              <w:rPr>
                <w:b/>
                <w:vertAlign w:val="superscript"/>
              </w:rPr>
            </w:pPr>
            <w:r w:rsidRPr="00E750DB">
              <w:rPr>
                <w:b/>
                <w:szCs w:val="20"/>
              </w:rPr>
              <w:t>$</w:t>
            </w:r>
            <w:r w:rsidR="00B35ACC" w:rsidRPr="009742C5">
              <w:rPr>
                <w:b/>
                <w:color w:val="000000"/>
                <w:spacing w:val="58"/>
                <w:szCs w:val="20"/>
                <w:shd w:val="solid" w:color="000000" w:fill="000000"/>
                <w:fitText w:val="360" w:id="-625249531"/>
                <w14:textFill>
                  <w14:solidFill>
                    <w14:srgbClr w14:val="000000">
                      <w14:alpha w14:val="100000"/>
                    </w14:srgbClr>
                  </w14:solidFill>
                </w14:textFill>
              </w:rPr>
              <w:t>|||</w:t>
            </w:r>
            <w:r w:rsidR="00B35ACC" w:rsidRPr="009742C5">
              <w:rPr>
                <w:b/>
                <w:color w:val="000000"/>
                <w:spacing w:val="3"/>
                <w:szCs w:val="20"/>
                <w:shd w:val="solid" w:color="000000" w:fill="000000"/>
                <w:fitText w:val="360" w:id="-625249531"/>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3FD2F5A6" w14:textId="51A2E098" w:rsidR="00233C49" w:rsidRPr="00633B13" w:rsidRDefault="00233C49" w:rsidP="00E072B9">
            <w:pPr>
              <w:pStyle w:val="Tabletext"/>
              <w:jc w:val="center"/>
              <w:rPr>
                <w:b/>
                <w:vertAlign w:val="superscript"/>
              </w:rPr>
            </w:pPr>
            <w:r w:rsidRPr="00E750DB">
              <w:rPr>
                <w:b/>
                <w:szCs w:val="20"/>
              </w:rPr>
              <w:t>$</w:t>
            </w:r>
            <w:r w:rsidR="00B35ACC" w:rsidRPr="009742C5">
              <w:rPr>
                <w:b/>
                <w:color w:val="000000"/>
                <w:spacing w:val="58"/>
                <w:szCs w:val="20"/>
                <w:shd w:val="solid" w:color="000000" w:fill="000000"/>
                <w:fitText w:val="360" w:id="-625249530"/>
                <w14:textFill>
                  <w14:solidFill>
                    <w14:srgbClr w14:val="000000">
                      <w14:alpha w14:val="100000"/>
                    </w14:srgbClr>
                  </w14:solidFill>
                </w14:textFill>
              </w:rPr>
              <w:t>|||</w:t>
            </w:r>
            <w:r w:rsidR="00B35ACC" w:rsidRPr="009742C5">
              <w:rPr>
                <w:b/>
                <w:color w:val="000000"/>
                <w:spacing w:val="3"/>
                <w:szCs w:val="20"/>
                <w:shd w:val="solid" w:color="000000" w:fill="000000"/>
                <w:fitText w:val="360" w:id="-625249530"/>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1B26A4F8" w14:textId="61253CC9" w:rsidR="00233C49" w:rsidRPr="00633B13" w:rsidRDefault="00233C49" w:rsidP="00E072B9">
            <w:pPr>
              <w:pStyle w:val="Tabletext"/>
              <w:jc w:val="center"/>
              <w:rPr>
                <w:b/>
                <w:vertAlign w:val="superscript"/>
              </w:rPr>
            </w:pPr>
            <w:r w:rsidRPr="00E750DB">
              <w:rPr>
                <w:b/>
                <w:szCs w:val="20"/>
              </w:rPr>
              <w:t>$</w:t>
            </w:r>
            <w:r w:rsidR="00B35ACC" w:rsidRPr="009742C5">
              <w:rPr>
                <w:b/>
                <w:color w:val="000000"/>
                <w:spacing w:val="58"/>
                <w:szCs w:val="20"/>
                <w:shd w:val="solid" w:color="000000" w:fill="000000"/>
                <w:fitText w:val="360" w:id="-625249529"/>
                <w14:textFill>
                  <w14:solidFill>
                    <w14:srgbClr w14:val="000000">
                      <w14:alpha w14:val="100000"/>
                    </w14:srgbClr>
                  </w14:solidFill>
                </w14:textFill>
              </w:rPr>
              <w:t>|||</w:t>
            </w:r>
            <w:r w:rsidR="00B35ACC" w:rsidRPr="009742C5">
              <w:rPr>
                <w:b/>
                <w:color w:val="000000"/>
                <w:spacing w:val="3"/>
                <w:szCs w:val="20"/>
                <w:shd w:val="solid" w:color="000000" w:fill="000000"/>
                <w:fitText w:val="360" w:id="-625249529"/>
                <w14:textFill>
                  <w14:solidFill>
                    <w14:srgbClr w14:val="000000">
                      <w14:alpha w14:val="100000"/>
                    </w14:srgbClr>
                  </w14:solidFill>
                </w14:textFill>
              </w:rPr>
              <w:t>|</w:t>
            </w:r>
            <w:r w:rsidR="00633B13">
              <w:rPr>
                <w:b/>
                <w:szCs w:val="20"/>
                <w:vertAlign w:val="superscript"/>
              </w:rPr>
              <w:t>3</w:t>
            </w:r>
          </w:p>
        </w:tc>
        <w:tc>
          <w:tcPr>
            <w:tcW w:w="1244" w:type="dxa"/>
            <w:tcBorders>
              <w:top w:val="single" w:sz="6" w:space="0" w:color="auto"/>
              <w:left w:val="single" w:sz="6" w:space="0" w:color="auto"/>
              <w:bottom w:val="single" w:sz="6" w:space="0" w:color="auto"/>
              <w:right w:val="single" w:sz="6" w:space="0" w:color="auto"/>
            </w:tcBorders>
            <w:hideMark/>
          </w:tcPr>
          <w:p w14:paraId="34937265" w14:textId="1E818FC8" w:rsidR="00233C49" w:rsidRPr="00633B13" w:rsidRDefault="00233C49" w:rsidP="00E072B9">
            <w:pPr>
              <w:pStyle w:val="Tabletext"/>
              <w:jc w:val="center"/>
              <w:rPr>
                <w:b/>
                <w:vertAlign w:val="superscript"/>
              </w:rPr>
            </w:pPr>
            <w:r w:rsidRPr="00E750DB">
              <w:rPr>
                <w:b/>
                <w:szCs w:val="20"/>
              </w:rPr>
              <w:t>$</w:t>
            </w:r>
            <w:r w:rsidR="00B35ACC" w:rsidRPr="009742C5">
              <w:rPr>
                <w:b/>
                <w:color w:val="000000"/>
                <w:spacing w:val="58"/>
                <w:szCs w:val="20"/>
                <w:shd w:val="solid" w:color="000000" w:fill="000000"/>
                <w:fitText w:val="360" w:id="-625249528"/>
                <w14:textFill>
                  <w14:solidFill>
                    <w14:srgbClr w14:val="000000">
                      <w14:alpha w14:val="100000"/>
                    </w14:srgbClr>
                  </w14:solidFill>
                </w14:textFill>
              </w:rPr>
              <w:t>|||</w:t>
            </w:r>
            <w:r w:rsidR="00B35ACC" w:rsidRPr="009742C5">
              <w:rPr>
                <w:b/>
                <w:color w:val="000000"/>
                <w:spacing w:val="3"/>
                <w:szCs w:val="20"/>
                <w:shd w:val="solid" w:color="000000" w:fill="000000"/>
                <w:fitText w:val="360" w:id="-625249528"/>
                <w14:textFill>
                  <w14:solidFill>
                    <w14:srgbClr w14:val="000000">
                      <w14:alpha w14:val="100000"/>
                    </w14:srgbClr>
                  </w14:solidFill>
                </w14:textFill>
              </w:rPr>
              <w:t>|</w:t>
            </w:r>
            <w:r w:rsidR="00633B13">
              <w:rPr>
                <w:b/>
                <w:szCs w:val="20"/>
                <w:vertAlign w:val="superscript"/>
              </w:rPr>
              <w:t>3</w:t>
            </w:r>
          </w:p>
        </w:tc>
      </w:tr>
    </w:tbl>
    <w:p w14:paraId="4B660F4E" w14:textId="77777777" w:rsidR="00233C49" w:rsidRDefault="00233C49" w:rsidP="003133DF">
      <w:pPr>
        <w:jc w:val="left"/>
        <w:textAlignment w:val="baseline"/>
        <w:rPr>
          <w:rFonts w:ascii="Arial Narrow" w:hAnsi="Arial Narrow" w:cs="Segoe UI"/>
          <w:sz w:val="18"/>
          <w:szCs w:val="18"/>
        </w:rPr>
      </w:pPr>
      <w:r w:rsidRPr="00E750DB">
        <w:rPr>
          <w:rFonts w:ascii="Arial Narrow" w:hAnsi="Arial Narrow" w:cs="Segoe UI"/>
          <w:sz w:val="18"/>
          <w:szCs w:val="18"/>
        </w:rPr>
        <w:t>Source: Table 2, p6 of the PSCR.</w:t>
      </w:r>
    </w:p>
    <w:p w14:paraId="361E4AA1" w14:textId="77777777" w:rsidR="003133DF" w:rsidRPr="007B4BC9" w:rsidRDefault="003133DF" w:rsidP="00633B13">
      <w:pPr>
        <w:keepNext/>
        <w:keepLines/>
        <w:rPr>
          <w:rFonts w:ascii="Arial Narrow" w:hAnsi="Arial Narrow"/>
          <w:i/>
          <w:iCs/>
          <w:sz w:val="18"/>
        </w:rPr>
      </w:pPr>
      <w:r w:rsidRPr="007B4BC9">
        <w:rPr>
          <w:rFonts w:ascii="Arial Narrow" w:hAnsi="Arial Narrow"/>
          <w:i/>
          <w:iCs/>
          <w:sz w:val="18"/>
        </w:rPr>
        <w:t xml:space="preserve">The redacted values correspond to the following ranges: </w:t>
      </w:r>
    </w:p>
    <w:p w14:paraId="51BDD7E9" w14:textId="01E4A92C" w:rsidR="003133DF" w:rsidRDefault="003133DF" w:rsidP="00633B13">
      <w:pPr>
        <w:jc w:val="left"/>
        <w:textAlignment w:val="baseline"/>
        <w:rPr>
          <w:rFonts w:ascii="Arial Narrow" w:hAnsi="Arial Narrow"/>
          <w:i/>
          <w:iCs/>
          <w:sz w:val="18"/>
        </w:rPr>
      </w:pPr>
      <w:r w:rsidRPr="007B4BC9">
        <w:rPr>
          <w:rFonts w:ascii="Arial Narrow" w:hAnsi="Arial Narrow"/>
          <w:i/>
          <w:iCs/>
          <w:sz w:val="18"/>
          <w:vertAlign w:val="superscript"/>
        </w:rPr>
        <w:t xml:space="preserve">1 </w:t>
      </w:r>
      <w:r w:rsidR="00664EE1" w:rsidRPr="00664EE1">
        <w:rPr>
          <w:rFonts w:ascii="Arial Narrow" w:hAnsi="Arial Narrow"/>
          <w:i/>
          <w:iCs/>
          <w:sz w:val="18"/>
        </w:rPr>
        <w:t>&lt; 500</w:t>
      </w:r>
    </w:p>
    <w:p w14:paraId="67F54784" w14:textId="7C61D6F8" w:rsidR="00633B13" w:rsidRPr="00633B13" w:rsidRDefault="00633B13" w:rsidP="00633B13">
      <w:pPr>
        <w:keepNext/>
        <w:keepLines/>
        <w:rPr>
          <w:rFonts w:ascii="Arial Narrow" w:hAnsi="Arial Narrow"/>
          <w:i/>
          <w:iCs/>
          <w:sz w:val="18"/>
        </w:rPr>
      </w:pPr>
      <w:r>
        <w:rPr>
          <w:rFonts w:ascii="Arial Narrow" w:hAnsi="Arial Narrow"/>
          <w:i/>
          <w:iCs/>
          <w:sz w:val="18"/>
          <w:vertAlign w:val="superscript"/>
        </w:rPr>
        <w:t xml:space="preserve">2 </w:t>
      </w:r>
      <w:r w:rsidRPr="007B4BC9">
        <w:rPr>
          <w:rFonts w:ascii="Arial Narrow" w:hAnsi="Arial Narrow"/>
          <w:i/>
          <w:iCs/>
          <w:sz w:val="18"/>
        </w:rPr>
        <w:t>$</w:t>
      </w:r>
      <w:r>
        <w:rPr>
          <w:rFonts w:ascii="Arial Narrow" w:hAnsi="Arial Narrow"/>
          <w:i/>
          <w:iCs/>
          <w:sz w:val="18"/>
        </w:rPr>
        <w:t>10</w:t>
      </w:r>
      <w:r w:rsidRPr="007B4BC9">
        <w:rPr>
          <w:rFonts w:ascii="Arial Narrow" w:hAnsi="Arial Narrow"/>
          <w:i/>
          <w:iCs/>
          <w:sz w:val="18"/>
        </w:rPr>
        <w:t> million to &lt; $</w:t>
      </w:r>
      <w:r>
        <w:rPr>
          <w:rFonts w:ascii="Arial Narrow" w:hAnsi="Arial Narrow"/>
          <w:i/>
          <w:iCs/>
          <w:sz w:val="18"/>
        </w:rPr>
        <w:t>2</w:t>
      </w:r>
      <w:r w:rsidRPr="007B4BC9">
        <w:rPr>
          <w:rFonts w:ascii="Arial Narrow" w:hAnsi="Arial Narrow"/>
          <w:i/>
          <w:iCs/>
          <w:sz w:val="18"/>
        </w:rPr>
        <w:t>0 million</w:t>
      </w:r>
    </w:p>
    <w:p w14:paraId="185F91FF" w14:textId="5BFA1449" w:rsidR="00633B13" w:rsidRPr="007B4BC9" w:rsidRDefault="00633B13" w:rsidP="00633B13">
      <w:pPr>
        <w:keepNext/>
        <w:keepLines/>
        <w:rPr>
          <w:rFonts w:ascii="Arial Narrow" w:hAnsi="Arial Narrow"/>
          <w:i/>
          <w:iCs/>
          <w:sz w:val="18"/>
        </w:rPr>
      </w:pPr>
      <w:r>
        <w:rPr>
          <w:rFonts w:ascii="Arial Narrow" w:hAnsi="Arial Narrow"/>
          <w:i/>
          <w:iCs/>
          <w:sz w:val="18"/>
          <w:vertAlign w:val="superscript"/>
        </w:rPr>
        <w:t xml:space="preserve">3 </w:t>
      </w:r>
      <w:r w:rsidRPr="007B4BC9">
        <w:rPr>
          <w:rFonts w:ascii="Arial Narrow" w:hAnsi="Arial Narrow"/>
          <w:i/>
          <w:iCs/>
          <w:sz w:val="18"/>
        </w:rPr>
        <w:t>$20 million to &lt; $30 million</w:t>
      </w:r>
    </w:p>
    <w:p w14:paraId="7197F817" w14:textId="23FB0D46" w:rsidR="00B642D1" w:rsidRDefault="00B642D1">
      <w:pPr>
        <w:jc w:val="left"/>
        <w:rPr>
          <w:rFonts w:ascii="Segoe UI" w:hAnsi="Segoe UI" w:cs="Segoe UI"/>
          <w:sz w:val="18"/>
          <w:szCs w:val="18"/>
        </w:rPr>
      </w:pPr>
      <w:r>
        <w:rPr>
          <w:rFonts w:ascii="Segoe UI" w:hAnsi="Segoe UI" w:cs="Segoe UI"/>
          <w:sz w:val="18"/>
          <w:szCs w:val="18"/>
        </w:rPr>
        <w:br w:type="page"/>
      </w:r>
    </w:p>
    <w:p w14:paraId="6D3A878A" w14:textId="2376C2C0" w:rsidR="007A08C5" w:rsidRPr="00E750DB" w:rsidRDefault="008A7A32" w:rsidP="00E072B9">
      <w:pPr>
        <w:pStyle w:val="TableFigureHeading"/>
      </w:pPr>
      <w:bookmarkStart w:id="72" w:name="_Ref204956106"/>
      <w:r w:rsidRPr="00E750DB">
        <w:t xml:space="preserve">Table </w:t>
      </w:r>
      <w:r>
        <w:fldChar w:fldCharType="begin" w:fldLock="1"/>
      </w:r>
      <w:r>
        <w:instrText xml:space="preserve"> SEQ Table \* ARABIC </w:instrText>
      </w:r>
      <w:r>
        <w:fldChar w:fldCharType="separate"/>
      </w:r>
      <w:r>
        <w:rPr>
          <w:noProof/>
        </w:rPr>
        <w:t>19</w:t>
      </w:r>
      <w:r>
        <w:rPr>
          <w:noProof/>
        </w:rPr>
        <w:fldChar w:fldCharType="end"/>
      </w:r>
      <w:bookmarkEnd w:id="72"/>
      <w:r w:rsidRPr="00E750DB">
        <w:t xml:space="preserve">: </w:t>
      </w:r>
      <w:r w:rsidR="00842C7E">
        <w:t>DUSC sensitivity analysis a</w:t>
      </w:r>
      <w:r w:rsidR="007A08C5" w:rsidRPr="00E750DB">
        <w:t xml:space="preserve">pplying </w:t>
      </w:r>
      <w:r w:rsidR="00842C7E">
        <w:t>p</w:t>
      </w:r>
      <w:r w:rsidR="007A08C5" w:rsidRPr="00E750DB">
        <w:t xml:space="preserve">revalence to </w:t>
      </w:r>
      <w:r w:rsidR="00842C7E">
        <w:t>t</w:t>
      </w:r>
      <w:r w:rsidR="007A08C5" w:rsidRPr="00E750DB">
        <w:t xml:space="preserve">otal </w:t>
      </w:r>
      <w:r w:rsidR="00F17962">
        <w:t>A</w:t>
      </w:r>
      <w:r w:rsidR="007A08C5" w:rsidRPr="00E750DB">
        <w:t xml:space="preserve">ustralian </w:t>
      </w:r>
      <w:r w:rsidR="00842C7E">
        <w:t>p</w:t>
      </w:r>
      <w:r w:rsidR="007A08C5" w:rsidRPr="00E750DB">
        <w:t>opulation</w:t>
      </w:r>
    </w:p>
    <w:tbl>
      <w:tblPr>
        <w:tblStyle w:val="TableGrid"/>
        <w:tblW w:w="0" w:type="auto"/>
        <w:tblLayout w:type="fixed"/>
        <w:tblLook w:val="04A0" w:firstRow="1" w:lastRow="0" w:firstColumn="1" w:lastColumn="0" w:noHBand="0" w:noVBand="1"/>
        <w:tblCaption w:val="Table 19: DUSC sensitivity analysis applying prevalence to total Australian population"/>
      </w:tblPr>
      <w:tblGrid>
        <w:gridCol w:w="1631"/>
        <w:gridCol w:w="1230"/>
        <w:gridCol w:w="1231"/>
        <w:gridCol w:w="1231"/>
        <w:gridCol w:w="1231"/>
        <w:gridCol w:w="1231"/>
        <w:gridCol w:w="1231"/>
      </w:tblGrid>
      <w:tr w:rsidR="00E1506C" w:rsidRPr="00E750DB" w14:paraId="7729421E" w14:textId="77777777" w:rsidTr="00B42334">
        <w:tc>
          <w:tcPr>
            <w:tcW w:w="1631" w:type="dxa"/>
            <w:noWrap/>
            <w:hideMark/>
          </w:tcPr>
          <w:p w14:paraId="3BFAEAD5" w14:textId="77777777" w:rsidR="00E1506C" w:rsidRPr="00E750DB" w:rsidRDefault="00E1506C" w:rsidP="00E072B9">
            <w:pPr>
              <w:pStyle w:val="Tabletext"/>
              <w:rPr>
                <w:lang w:eastAsia="en-US"/>
              </w:rPr>
            </w:pPr>
          </w:p>
        </w:tc>
        <w:tc>
          <w:tcPr>
            <w:tcW w:w="1230" w:type="dxa"/>
            <w:noWrap/>
            <w:hideMark/>
          </w:tcPr>
          <w:p w14:paraId="240FC9D8" w14:textId="1E19FBD8" w:rsidR="00E1506C" w:rsidRPr="00E750DB" w:rsidRDefault="00E1506C" w:rsidP="00E072B9">
            <w:pPr>
              <w:pStyle w:val="Tabletext"/>
              <w:rPr>
                <w:b/>
                <w:bCs/>
                <w:lang w:eastAsia="en-US"/>
              </w:rPr>
            </w:pPr>
            <w:r w:rsidRPr="00E750DB">
              <w:rPr>
                <w:b/>
                <w:bCs/>
                <w:szCs w:val="20"/>
              </w:rPr>
              <w:t>Year 1</w:t>
            </w:r>
          </w:p>
        </w:tc>
        <w:tc>
          <w:tcPr>
            <w:tcW w:w="1231" w:type="dxa"/>
            <w:noWrap/>
            <w:hideMark/>
          </w:tcPr>
          <w:p w14:paraId="0CBF1C7E" w14:textId="65DF5ADE" w:rsidR="00E1506C" w:rsidRPr="00E750DB" w:rsidRDefault="00E1506C" w:rsidP="00E072B9">
            <w:pPr>
              <w:pStyle w:val="Tabletext"/>
              <w:rPr>
                <w:b/>
                <w:bCs/>
                <w:lang w:eastAsia="en-US"/>
              </w:rPr>
            </w:pPr>
            <w:r w:rsidRPr="00E750DB">
              <w:rPr>
                <w:b/>
                <w:bCs/>
                <w:szCs w:val="20"/>
              </w:rPr>
              <w:t>Year 2</w:t>
            </w:r>
          </w:p>
        </w:tc>
        <w:tc>
          <w:tcPr>
            <w:tcW w:w="1231" w:type="dxa"/>
            <w:noWrap/>
            <w:hideMark/>
          </w:tcPr>
          <w:p w14:paraId="1AB4CA05" w14:textId="587B40D0" w:rsidR="00E1506C" w:rsidRPr="00E750DB" w:rsidRDefault="00E1506C" w:rsidP="00E072B9">
            <w:pPr>
              <w:pStyle w:val="Tabletext"/>
              <w:rPr>
                <w:b/>
                <w:bCs/>
                <w:lang w:eastAsia="en-US"/>
              </w:rPr>
            </w:pPr>
            <w:r w:rsidRPr="00E750DB">
              <w:rPr>
                <w:b/>
                <w:bCs/>
                <w:szCs w:val="20"/>
              </w:rPr>
              <w:t>Year 3</w:t>
            </w:r>
          </w:p>
        </w:tc>
        <w:tc>
          <w:tcPr>
            <w:tcW w:w="1231" w:type="dxa"/>
            <w:noWrap/>
            <w:hideMark/>
          </w:tcPr>
          <w:p w14:paraId="24B6D6CB" w14:textId="0B72639A" w:rsidR="00E1506C" w:rsidRPr="00E750DB" w:rsidRDefault="00E1506C" w:rsidP="00E072B9">
            <w:pPr>
              <w:pStyle w:val="Tabletext"/>
              <w:rPr>
                <w:b/>
                <w:bCs/>
                <w:lang w:eastAsia="en-US"/>
              </w:rPr>
            </w:pPr>
            <w:r w:rsidRPr="00E750DB">
              <w:rPr>
                <w:b/>
                <w:bCs/>
                <w:szCs w:val="20"/>
              </w:rPr>
              <w:t>Year 4</w:t>
            </w:r>
          </w:p>
        </w:tc>
        <w:tc>
          <w:tcPr>
            <w:tcW w:w="1231" w:type="dxa"/>
            <w:noWrap/>
            <w:hideMark/>
          </w:tcPr>
          <w:p w14:paraId="155AED56" w14:textId="3E63BDF9" w:rsidR="00E1506C" w:rsidRPr="00E750DB" w:rsidRDefault="00E1506C" w:rsidP="00E072B9">
            <w:pPr>
              <w:pStyle w:val="Tabletext"/>
              <w:rPr>
                <w:b/>
                <w:bCs/>
                <w:lang w:eastAsia="en-US"/>
              </w:rPr>
            </w:pPr>
            <w:r w:rsidRPr="00E750DB">
              <w:rPr>
                <w:b/>
                <w:bCs/>
                <w:szCs w:val="20"/>
              </w:rPr>
              <w:t>Year 5</w:t>
            </w:r>
          </w:p>
        </w:tc>
        <w:tc>
          <w:tcPr>
            <w:tcW w:w="1231" w:type="dxa"/>
            <w:noWrap/>
            <w:hideMark/>
          </w:tcPr>
          <w:p w14:paraId="5C4FA993" w14:textId="137BC7AF" w:rsidR="00E1506C" w:rsidRPr="00E750DB" w:rsidRDefault="00E1506C" w:rsidP="00E072B9">
            <w:pPr>
              <w:pStyle w:val="Tabletext"/>
              <w:rPr>
                <w:b/>
                <w:bCs/>
                <w:lang w:eastAsia="en-US"/>
              </w:rPr>
            </w:pPr>
            <w:r w:rsidRPr="00E750DB">
              <w:rPr>
                <w:b/>
                <w:bCs/>
                <w:szCs w:val="20"/>
              </w:rPr>
              <w:t>Year 6</w:t>
            </w:r>
          </w:p>
        </w:tc>
      </w:tr>
      <w:tr w:rsidR="007A08C5" w:rsidRPr="00E750DB" w14:paraId="4706EBF6" w14:textId="77777777" w:rsidTr="00B42334">
        <w:tc>
          <w:tcPr>
            <w:tcW w:w="1631" w:type="dxa"/>
            <w:hideMark/>
          </w:tcPr>
          <w:p w14:paraId="04DA7150" w14:textId="77777777" w:rsidR="007A08C5" w:rsidRPr="00E750DB" w:rsidRDefault="007A08C5" w:rsidP="00E072B9">
            <w:pPr>
              <w:pStyle w:val="Tabletext"/>
              <w:rPr>
                <w:lang w:eastAsia="en-US"/>
              </w:rPr>
            </w:pPr>
            <w:r w:rsidRPr="00E750DB">
              <w:rPr>
                <w:lang w:eastAsia="en-US"/>
              </w:rPr>
              <w:t xml:space="preserve">Total population </w:t>
            </w:r>
          </w:p>
        </w:tc>
        <w:tc>
          <w:tcPr>
            <w:tcW w:w="1230" w:type="dxa"/>
            <w:noWrap/>
            <w:hideMark/>
          </w:tcPr>
          <w:p w14:paraId="4B39B9A4" w14:textId="77777777" w:rsidR="007A08C5" w:rsidRPr="00E750DB" w:rsidRDefault="007A08C5" w:rsidP="00E072B9">
            <w:pPr>
              <w:pStyle w:val="Tabletext"/>
              <w:rPr>
                <w:lang w:eastAsia="en-US"/>
              </w:rPr>
            </w:pPr>
            <w:r w:rsidRPr="00E750DB">
              <w:rPr>
                <w:lang w:eastAsia="en-US"/>
              </w:rPr>
              <w:t>26,152,276</w:t>
            </w:r>
          </w:p>
        </w:tc>
        <w:tc>
          <w:tcPr>
            <w:tcW w:w="1231" w:type="dxa"/>
            <w:noWrap/>
            <w:hideMark/>
          </w:tcPr>
          <w:p w14:paraId="0093AF89" w14:textId="77777777" w:rsidR="007A08C5" w:rsidRPr="00E750DB" w:rsidRDefault="007A08C5" w:rsidP="00E072B9">
            <w:pPr>
              <w:pStyle w:val="Tabletext"/>
              <w:rPr>
                <w:lang w:eastAsia="en-US"/>
              </w:rPr>
            </w:pPr>
            <w:r w:rsidRPr="00E750DB">
              <w:rPr>
                <w:lang w:eastAsia="en-US"/>
              </w:rPr>
              <w:t>26,432,595</w:t>
            </w:r>
          </w:p>
        </w:tc>
        <w:tc>
          <w:tcPr>
            <w:tcW w:w="1231" w:type="dxa"/>
            <w:noWrap/>
            <w:hideMark/>
          </w:tcPr>
          <w:p w14:paraId="3CC1BDE9" w14:textId="77777777" w:rsidR="007A08C5" w:rsidRPr="00E750DB" w:rsidRDefault="007A08C5" w:rsidP="00E072B9">
            <w:pPr>
              <w:pStyle w:val="Tabletext"/>
              <w:rPr>
                <w:lang w:eastAsia="en-US"/>
              </w:rPr>
            </w:pPr>
            <w:r w:rsidRPr="00E750DB">
              <w:rPr>
                <w:lang w:eastAsia="en-US"/>
              </w:rPr>
              <w:t>26,832,733</w:t>
            </w:r>
          </w:p>
        </w:tc>
        <w:tc>
          <w:tcPr>
            <w:tcW w:w="1231" w:type="dxa"/>
            <w:noWrap/>
            <w:hideMark/>
          </w:tcPr>
          <w:p w14:paraId="6F9F74C0" w14:textId="77777777" w:rsidR="007A08C5" w:rsidRPr="00E750DB" w:rsidRDefault="007A08C5" w:rsidP="00E072B9">
            <w:pPr>
              <w:pStyle w:val="Tabletext"/>
              <w:rPr>
                <w:lang w:eastAsia="en-US"/>
              </w:rPr>
            </w:pPr>
            <w:r w:rsidRPr="00E750DB">
              <w:rPr>
                <w:lang w:eastAsia="en-US"/>
              </w:rPr>
              <w:t>27,231,553</w:t>
            </w:r>
          </w:p>
        </w:tc>
        <w:tc>
          <w:tcPr>
            <w:tcW w:w="1231" w:type="dxa"/>
            <w:noWrap/>
            <w:hideMark/>
          </w:tcPr>
          <w:p w14:paraId="534EDEA3" w14:textId="77777777" w:rsidR="007A08C5" w:rsidRPr="00E750DB" w:rsidRDefault="007A08C5" w:rsidP="00E072B9">
            <w:pPr>
              <w:pStyle w:val="Tabletext"/>
              <w:rPr>
                <w:lang w:eastAsia="en-US"/>
              </w:rPr>
            </w:pPr>
            <w:r w:rsidRPr="00E750DB">
              <w:rPr>
                <w:lang w:eastAsia="en-US"/>
              </w:rPr>
              <w:t>27,622,493</w:t>
            </w:r>
          </w:p>
        </w:tc>
        <w:tc>
          <w:tcPr>
            <w:tcW w:w="1231" w:type="dxa"/>
            <w:noWrap/>
            <w:hideMark/>
          </w:tcPr>
          <w:p w14:paraId="13BFFAD8" w14:textId="77777777" w:rsidR="007A08C5" w:rsidRPr="00E750DB" w:rsidRDefault="007A08C5" w:rsidP="00E072B9">
            <w:pPr>
              <w:pStyle w:val="Tabletext"/>
              <w:rPr>
                <w:lang w:eastAsia="en-US"/>
              </w:rPr>
            </w:pPr>
            <w:r w:rsidRPr="00E750DB">
              <w:rPr>
                <w:lang w:eastAsia="en-US"/>
              </w:rPr>
              <w:t>28,004,790</w:t>
            </w:r>
          </w:p>
        </w:tc>
      </w:tr>
      <w:tr w:rsidR="007A08C5" w:rsidRPr="00E750DB" w14:paraId="34C04506" w14:textId="77777777" w:rsidTr="00B42334">
        <w:tc>
          <w:tcPr>
            <w:tcW w:w="1631" w:type="dxa"/>
            <w:hideMark/>
          </w:tcPr>
          <w:p w14:paraId="6F971EBF" w14:textId="77777777" w:rsidR="007A08C5" w:rsidRPr="00E750DB" w:rsidRDefault="007A08C5" w:rsidP="00E072B9">
            <w:pPr>
              <w:pStyle w:val="Tabletext"/>
              <w:rPr>
                <w:lang w:eastAsia="en-US"/>
              </w:rPr>
            </w:pPr>
            <w:r w:rsidRPr="00E750DB">
              <w:rPr>
                <w:lang w:eastAsia="en-US"/>
              </w:rPr>
              <w:t xml:space="preserve">Prevalence </w:t>
            </w:r>
          </w:p>
        </w:tc>
        <w:tc>
          <w:tcPr>
            <w:tcW w:w="7385" w:type="dxa"/>
            <w:gridSpan w:val="6"/>
            <w:noWrap/>
            <w:hideMark/>
          </w:tcPr>
          <w:p w14:paraId="13837230" w14:textId="77777777" w:rsidR="007A08C5" w:rsidRPr="00E750DB" w:rsidRDefault="007A08C5" w:rsidP="00E072B9">
            <w:pPr>
              <w:pStyle w:val="Tabletext"/>
              <w:rPr>
                <w:lang w:eastAsia="en-US"/>
              </w:rPr>
            </w:pPr>
            <w:r w:rsidRPr="00E750DB">
              <w:rPr>
                <w:lang w:eastAsia="en-US"/>
              </w:rPr>
              <w:t>0.001006%</w:t>
            </w:r>
          </w:p>
        </w:tc>
      </w:tr>
      <w:tr w:rsidR="007A08C5" w:rsidRPr="00E750DB" w14:paraId="1651A87B" w14:textId="77777777" w:rsidTr="00431945">
        <w:tc>
          <w:tcPr>
            <w:tcW w:w="1631" w:type="dxa"/>
            <w:hideMark/>
          </w:tcPr>
          <w:p w14:paraId="4F24C9C0" w14:textId="667493B1" w:rsidR="007A08C5" w:rsidRPr="00E750DB" w:rsidRDefault="007A08C5" w:rsidP="00E072B9">
            <w:pPr>
              <w:pStyle w:val="Tabletext"/>
              <w:rPr>
                <w:lang w:eastAsia="en-US"/>
              </w:rPr>
            </w:pPr>
            <w:r w:rsidRPr="00E750DB">
              <w:rPr>
                <w:lang w:eastAsia="en-US"/>
              </w:rPr>
              <w:t>Proportion of AHP total population</w:t>
            </w:r>
            <w:r w:rsidR="00D063A6" w:rsidRPr="00D063A6">
              <w:rPr>
                <w:vertAlign w:val="superscript"/>
                <w:lang w:eastAsia="en-US"/>
              </w:rPr>
              <w:t>b</w:t>
            </w:r>
          </w:p>
        </w:tc>
        <w:tc>
          <w:tcPr>
            <w:tcW w:w="1230" w:type="dxa"/>
            <w:tcBorders>
              <w:bottom w:val="single" w:sz="4" w:space="0" w:color="auto"/>
            </w:tcBorders>
            <w:noWrap/>
            <w:hideMark/>
          </w:tcPr>
          <w:p w14:paraId="515CAB08" w14:textId="77777777" w:rsidR="007A08C5" w:rsidRPr="00E750DB" w:rsidRDefault="007A08C5" w:rsidP="00E072B9">
            <w:pPr>
              <w:pStyle w:val="Tabletext"/>
              <w:rPr>
                <w:lang w:eastAsia="en-US"/>
              </w:rPr>
            </w:pPr>
            <w:r w:rsidRPr="00E750DB">
              <w:rPr>
                <w:lang w:eastAsia="en-US"/>
              </w:rPr>
              <w:t>263</w:t>
            </w:r>
          </w:p>
        </w:tc>
        <w:tc>
          <w:tcPr>
            <w:tcW w:w="1231" w:type="dxa"/>
            <w:tcBorders>
              <w:bottom w:val="single" w:sz="4" w:space="0" w:color="auto"/>
            </w:tcBorders>
            <w:noWrap/>
            <w:hideMark/>
          </w:tcPr>
          <w:p w14:paraId="6B1A3B67" w14:textId="77777777" w:rsidR="007A08C5" w:rsidRPr="00E750DB" w:rsidRDefault="007A08C5" w:rsidP="00E072B9">
            <w:pPr>
              <w:pStyle w:val="Tabletext"/>
              <w:rPr>
                <w:lang w:eastAsia="en-US"/>
              </w:rPr>
            </w:pPr>
            <w:r w:rsidRPr="00E750DB">
              <w:rPr>
                <w:lang w:eastAsia="en-US"/>
              </w:rPr>
              <w:t>266</w:t>
            </w:r>
          </w:p>
        </w:tc>
        <w:tc>
          <w:tcPr>
            <w:tcW w:w="1231" w:type="dxa"/>
            <w:tcBorders>
              <w:bottom w:val="single" w:sz="4" w:space="0" w:color="auto"/>
            </w:tcBorders>
            <w:noWrap/>
            <w:hideMark/>
          </w:tcPr>
          <w:p w14:paraId="6865D507" w14:textId="77777777" w:rsidR="007A08C5" w:rsidRPr="00E750DB" w:rsidRDefault="007A08C5" w:rsidP="00E072B9">
            <w:pPr>
              <w:pStyle w:val="Tabletext"/>
              <w:rPr>
                <w:lang w:eastAsia="en-US"/>
              </w:rPr>
            </w:pPr>
            <w:r w:rsidRPr="00E750DB">
              <w:rPr>
                <w:lang w:eastAsia="en-US"/>
              </w:rPr>
              <w:t>270</w:t>
            </w:r>
          </w:p>
        </w:tc>
        <w:tc>
          <w:tcPr>
            <w:tcW w:w="1231" w:type="dxa"/>
            <w:tcBorders>
              <w:bottom w:val="single" w:sz="4" w:space="0" w:color="auto"/>
            </w:tcBorders>
            <w:noWrap/>
            <w:hideMark/>
          </w:tcPr>
          <w:p w14:paraId="25AA5C10" w14:textId="77777777" w:rsidR="007A08C5" w:rsidRPr="00E750DB" w:rsidRDefault="007A08C5" w:rsidP="00E072B9">
            <w:pPr>
              <w:pStyle w:val="Tabletext"/>
              <w:rPr>
                <w:lang w:eastAsia="en-US"/>
              </w:rPr>
            </w:pPr>
            <w:r w:rsidRPr="00E750DB">
              <w:rPr>
                <w:lang w:eastAsia="en-US"/>
              </w:rPr>
              <w:t>274</w:t>
            </w:r>
          </w:p>
        </w:tc>
        <w:tc>
          <w:tcPr>
            <w:tcW w:w="1231" w:type="dxa"/>
            <w:tcBorders>
              <w:bottom w:val="single" w:sz="4" w:space="0" w:color="auto"/>
            </w:tcBorders>
            <w:noWrap/>
            <w:hideMark/>
          </w:tcPr>
          <w:p w14:paraId="139AA895" w14:textId="77777777" w:rsidR="007A08C5" w:rsidRPr="00E750DB" w:rsidRDefault="007A08C5" w:rsidP="00E072B9">
            <w:pPr>
              <w:pStyle w:val="Tabletext"/>
              <w:rPr>
                <w:lang w:eastAsia="en-US"/>
              </w:rPr>
            </w:pPr>
            <w:r w:rsidRPr="00E750DB">
              <w:rPr>
                <w:lang w:eastAsia="en-US"/>
              </w:rPr>
              <w:t>278</w:t>
            </w:r>
          </w:p>
        </w:tc>
        <w:tc>
          <w:tcPr>
            <w:tcW w:w="1231" w:type="dxa"/>
            <w:tcBorders>
              <w:bottom w:val="single" w:sz="4" w:space="0" w:color="auto"/>
            </w:tcBorders>
            <w:noWrap/>
            <w:hideMark/>
          </w:tcPr>
          <w:p w14:paraId="2F421CA5" w14:textId="77777777" w:rsidR="007A08C5" w:rsidRPr="00E750DB" w:rsidRDefault="007A08C5" w:rsidP="00E072B9">
            <w:pPr>
              <w:pStyle w:val="Tabletext"/>
              <w:rPr>
                <w:lang w:eastAsia="en-US"/>
              </w:rPr>
            </w:pPr>
            <w:r w:rsidRPr="00E750DB">
              <w:rPr>
                <w:lang w:eastAsia="en-US"/>
              </w:rPr>
              <w:t>282</w:t>
            </w:r>
          </w:p>
        </w:tc>
      </w:tr>
      <w:tr w:rsidR="007A08C5" w:rsidRPr="00E750DB" w14:paraId="0E05CC8E" w14:textId="77777777" w:rsidTr="00B42334">
        <w:tc>
          <w:tcPr>
            <w:tcW w:w="1631" w:type="dxa"/>
            <w:hideMark/>
          </w:tcPr>
          <w:p w14:paraId="297A517B" w14:textId="77777777" w:rsidR="007A08C5" w:rsidRPr="00E750DB" w:rsidRDefault="007A08C5" w:rsidP="00E072B9">
            <w:pPr>
              <w:pStyle w:val="Tabletext"/>
              <w:rPr>
                <w:lang w:eastAsia="en-US"/>
              </w:rPr>
            </w:pPr>
            <w:r w:rsidRPr="00E750DB">
              <w:rPr>
                <w:lang w:eastAsia="en-US"/>
              </w:rPr>
              <w:t>Eligible (total population)</w:t>
            </w:r>
          </w:p>
        </w:tc>
        <w:tc>
          <w:tcPr>
            <w:tcW w:w="1230" w:type="dxa"/>
            <w:noWrap/>
            <w:hideMark/>
          </w:tcPr>
          <w:p w14:paraId="5494AAF5" w14:textId="77777777" w:rsidR="007A08C5" w:rsidRPr="00E750DB" w:rsidRDefault="007A08C5" w:rsidP="00E072B9">
            <w:pPr>
              <w:pStyle w:val="Tabletext"/>
              <w:rPr>
                <w:lang w:eastAsia="en-US"/>
              </w:rPr>
            </w:pPr>
            <w:r w:rsidRPr="00E750DB">
              <w:rPr>
                <w:lang w:eastAsia="en-US"/>
              </w:rPr>
              <w:t>61</w:t>
            </w:r>
          </w:p>
        </w:tc>
        <w:tc>
          <w:tcPr>
            <w:tcW w:w="1231" w:type="dxa"/>
            <w:noWrap/>
            <w:hideMark/>
          </w:tcPr>
          <w:p w14:paraId="666F5996" w14:textId="77777777" w:rsidR="007A08C5" w:rsidRPr="00E750DB" w:rsidRDefault="007A08C5" w:rsidP="00E072B9">
            <w:pPr>
              <w:pStyle w:val="Tabletext"/>
              <w:rPr>
                <w:lang w:eastAsia="en-US"/>
              </w:rPr>
            </w:pPr>
            <w:r w:rsidRPr="00E750DB">
              <w:rPr>
                <w:lang w:eastAsia="en-US"/>
              </w:rPr>
              <w:t>61</w:t>
            </w:r>
          </w:p>
        </w:tc>
        <w:tc>
          <w:tcPr>
            <w:tcW w:w="1231" w:type="dxa"/>
            <w:noWrap/>
            <w:hideMark/>
          </w:tcPr>
          <w:p w14:paraId="58CCAE80" w14:textId="77777777" w:rsidR="007A08C5" w:rsidRPr="00E750DB" w:rsidRDefault="007A08C5" w:rsidP="00E072B9">
            <w:pPr>
              <w:pStyle w:val="Tabletext"/>
              <w:rPr>
                <w:lang w:eastAsia="en-US"/>
              </w:rPr>
            </w:pPr>
            <w:r w:rsidRPr="00E750DB">
              <w:rPr>
                <w:lang w:eastAsia="en-US"/>
              </w:rPr>
              <w:t>62</w:t>
            </w:r>
          </w:p>
        </w:tc>
        <w:tc>
          <w:tcPr>
            <w:tcW w:w="1231" w:type="dxa"/>
            <w:noWrap/>
            <w:hideMark/>
          </w:tcPr>
          <w:p w14:paraId="3F4F4AA1" w14:textId="77777777" w:rsidR="007A08C5" w:rsidRPr="00E750DB" w:rsidRDefault="007A08C5" w:rsidP="00E072B9">
            <w:pPr>
              <w:pStyle w:val="Tabletext"/>
              <w:rPr>
                <w:lang w:eastAsia="en-US"/>
              </w:rPr>
            </w:pPr>
            <w:r w:rsidRPr="00E750DB">
              <w:rPr>
                <w:lang w:eastAsia="en-US"/>
              </w:rPr>
              <w:t>63</w:t>
            </w:r>
          </w:p>
        </w:tc>
        <w:tc>
          <w:tcPr>
            <w:tcW w:w="1231" w:type="dxa"/>
            <w:noWrap/>
            <w:hideMark/>
          </w:tcPr>
          <w:p w14:paraId="5FEECC11" w14:textId="77777777" w:rsidR="007A08C5" w:rsidRPr="00E750DB" w:rsidRDefault="007A08C5" w:rsidP="00E072B9">
            <w:pPr>
              <w:pStyle w:val="Tabletext"/>
              <w:rPr>
                <w:lang w:eastAsia="en-US"/>
              </w:rPr>
            </w:pPr>
            <w:r w:rsidRPr="00E750DB">
              <w:rPr>
                <w:lang w:eastAsia="en-US"/>
              </w:rPr>
              <w:t>64</w:t>
            </w:r>
          </w:p>
        </w:tc>
        <w:tc>
          <w:tcPr>
            <w:tcW w:w="1231" w:type="dxa"/>
            <w:noWrap/>
            <w:hideMark/>
          </w:tcPr>
          <w:p w14:paraId="67179040" w14:textId="77777777" w:rsidR="007A08C5" w:rsidRPr="00E750DB" w:rsidRDefault="007A08C5" w:rsidP="00E072B9">
            <w:pPr>
              <w:pStyle w:val="Tabletext"/>
              <w:rPr>
                <w:lang w:eastAsia="en-US"/>
              </w:rPr>
            </w:pPr>
            <w:r w:rsidRPr="00E750DB">
              <w:rPr>
                <w:lang w:eastAsia="en-US"/>
              </w:rPr>
              <w:t>65</w:t>
            </w:r>
          </w:p>
        </w:tc>
      </w:tr>
      <w:tr w:rsidR="007A08C5" w:rsidRPr="00E750DB" w14:paraId="67ED5402" w14:textId="77777777" w:rsidTr="00B42334">
        <w:tc>
          <w:tcPr>
            <w:tcW w:w="1631" w:type="dxa"/>
            <w:hideMark/>
          </w:tcPr>
          <w:p w14:paraId="7D5909AF" w14:textId="3951DA8C" w:rsidR="007A08C5" w:rsidRPr="00E750DB" w:rsidRDefault="007A08C5" w:rsidP="00E072B9">
            <w:pPr>
              <w:pStyle w:val="Tabletext"/>
              <w:rPr>
                <w:lang w:eastAsia="en-US"/>
              </w:rPr>
            </w:pPr>
            <w:r w:rsidRPr="00E750DB">
              <w:rPr>
                <w:lang w:eastAsia="en-US"/>
              </w:rPr>
              <w:t xml:space="preserve">Uptake </w:t>
            </w:r>
          </w:p>
        </w:tc>
        <w:tc>
          <w:tcPr>
            <w:tcW w:w="1230" w:type="dxa"/>
            <w:noWrap/>
            <w:hideMark/>
          </w:tcPr>
          <w:p w14:paraId="5BD57A94" w14:textId="556825A4" w:rsidR="007A08C5" w:rsidRPr="00A92171" w:rsidRDefault="00B35ACC" w:rsidP="00E072B9">
            <w:pPr>
              <w:pStyle w:val="Tabletext"/>
              <w:rPr>
                <w:highlight w:val="darkGray"/>
                <w:vertAlign w:val="superscript"/>
                <w:lang w:eastAsia="en-US"/>
              </w:rPr>
            </w:pPr>
            <w:r w:rsidRPr="009742C5">
              <w:rPr>
                <w:color w:val="000000"/>
                <w:spacing w:val="53"/>
                <w:shd w:val="solid" w:color="000000" w:fill="000000"/>
                <w:fitText w:val="330" w:id="-625249527"/>
                <w:lang w:eastAsia="en-US"/>
                <w14:textFill>
                  <w14:solidFill>
                    <w14:srgbClr w14:val="000000">
                      <w14:alpha w14:val="100000"/>
                    </w14:srgbClr>
                  </w14:solidFill>
                </w14:textFill>
              </w:rPr>
              <w:t>|||</w:t>
            </w:r>
            <w:r w:rsidRPr="009742C5">
              <w:rPr>
                <w:color w:val="000000"/>
                <w:spacing w:val="1"/>
                <w:shd w:val="solid" w:color="000000" w:fill="000000"/>
                <w:fitText w:val="330" w:id="-625249527"/>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27CC7149" w14:textId="167971D5" w:rsidR="007A08C5" w:rsidRPr="00633B13" w:rsidRDefault="00B35ACC" w:rsidP="00E072B9">
            <w:pPr>
              <w:pStyle w:val="Tabletext"/>
              <w:rPr>
                <w:highlight w:val="darkGray"/>
                <w:lang w:eastAsia="en-US"/>
              </w:rPr>
            </w:pPr>
            <w:r w:rsidRPr="009742C5">
              <w:rPr>
                <w:color w:val="000000"/>
                <w:spacing w:val="53"/>
                <w:shd w:val="solid" w:color="000000" w:fill="000000"/>
                <w:fitText w:val="330" w:id="-625249526"/>
                <w:lang w:eastAsia="en-US"/>
                <w14:textFill>
                  <w14:solidFill>
                    <w14:srgbClr w14:val="000000">
                      <w14:alpha w14:val="100000"/>
                    </w14:srgbClr>
                  </w14:solidFill>
                </w14:textFill>
              </w:rPr>
              <w:t>|||</w:t>
            </w:r>
            <w:r w:rsidRPr="009742C5">
              <w:rPr>
                <w:color w:val="000000"/>
                <w:spacing w:val="1"/>
                <w:shd w:val="solid" w:color="000000" w:fill="000000"/>
                <w:fitText w:val="330" w:id="-625249526"/>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6922B81C" w14:textId="031E2DD0" w:rsidR="007A08C5" w:rsidRPr="00633B13" w:rsidRDefault="00B35ACC" w:rsidP="00E072B9">
            <w:pPr>
              <w:pStyle w:val="Tabletext"/>
              <w:rPr>
                <w:highlight w:val="darkGray"/>
                <w:lang w:eastAsia="en-US"/>
              </w:rPr>
            </w:pPr>
            <w:r w:rsidRPr="009742C5">
              <w:rPr>
                <w:color w:val="000000"/>
                <w:spacing w:val="53"/>
                <w:shd w:val="solid" w:color="000000" w:fill="000000"/>
                <w:fitText w:val="330" w:id="-625249525"/>
                <w:lang w:eastAsia="en-US"/>
                <w14:textFill>
                  <w14:solidFill>
                    <w14:srgbClr w14:val="000000">
                      <w14:alpha w14:val="100000"/>
                    </w14:srgbClr>
                  </w14:solidFill>
                </w14:textFill>
              </w:rPr>
              <w:t>|||</w:t>
            </w:r>
            <w:r w:rsidRPr="009742C5">
              <w:rPr>
                <w:color w:val="000000"/>
                <w:spacing w:val="1"/>
                <w:shd w:val="solid" w:color="000000" w:fill="000000"/>
                <w:fitText w:val="330" w:id="-625249525"/>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73FE0C05" w14:textId="1CAFCD75" w:rsidR="007A08C5" w:rsidRPr="00633B13" w:rsidRDefault="00B35ACC" w:rsidP="00E072B9">
            <w:pPr>
              <w:pStyle w:val="Tabletext"/>
              <w:rPr>
                <w:highlight w:val="darkGray"/>
                <w:lang w:eastAsia="en-US"/>
              </w:rPr>
            </w:pPr>
            <w:r w:rsidRPr="009742C5">
              <w:rPr>
                <w:color w:val="000000"/>
                <w:spacing w:val="53"/>
                <w:shd w:val="solid" w:color="000000" w:fill="000000"/>
                <w:fitText w:val="330" w:id="-625249524"/>
                <w:lang w:eastAsia="en-US"/>
                <w14:textFill>
                  <w14:solidFill>
                    <w14:srgbClr w14:val="000000">
                      <w14:alpha w14:val="100000"/>
                    </w14:srgbClr>
                  </w14:solidFill>
                </w14:textFill>
              </w:rPr>
              <w:t>|||</w:t>
            </w:r>
            <w:r w:rsidRPr="009742C5">
              <w:rPr>
                <w:color w:val="000000"/>
                <w:spacing w:val="1"/>
                <w:shd w:val="solid" w:color="000000" w:fill="000000"/>
                <w:fitText w:val="330" w:id="-625249524"/>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742013B3" w14:textId="77CFCEFA" w:rsidR="007A08C5" w:rsidRPr="00633B13" w:rsidRDefault="00B35ACC" w:rsidP="00E072B9">
            <w:pPr>
              <w:pStyle w:val="Tabletext"/>
              <w:rPr>
                <w:highlight w:val="darkGray"/>
                <w:lang w:eastAsia="en-US"/>
              </w:rPr>
            </w:pPr>
            <w:r w:rsidRPr="009742C5">
              <w:rPr>
                <w:color w:val="000000"/>
                <w:spacing w:val="53"/>
                <w:shd w:val="solid" w:color="000000" w:fill="000000"/>
                <w:fitText w:val="330" w:id="-625249523"/>
                <w:lang w:eastAsia="en-US"/>
                <w14:textFill>
                  <w14:solidFill>
                    <w14:srgbClr w14:val="000000">
                      <w14:alpha w14:val="100000"/>
                    </w14:srgbClr>
                  </w14:solidFill>
                </w14:textFill>
              </w:rPr>
              <w:t>|||</w:t>
            </w:r>
            <w:r w:rsidRPr="009742C5">
              <w:rPr>
                <w:color w:val="000000"/>
                <w:spacing w:val="1"/>
                <w:shd w:val="solid" w:color="000000" w:fill="000000"/>
                <w:fitText w:val="330" w:id="-625249523"/>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0DA0ABD9" w14:textId="3E07931B" w:rsidR="007A08C5" w:rsidRPr="00633B13" w:rsidRDefault="00B35ACC" w:rsidP="00E072B9">
            <w:pPr>
              <w:pStyle w:val="Tabletext"/>
              <w:rPr>
                <w:highlight w:val="darkGray"/>
                <w:lang w:eastAsia="en-US"/>
              </w:rPr>
            </w:pPr>
            <w:r w:rsidRPr="009742C5">
              <w:rPr>
                <w:color w:val="000000"/>
                <w:spacing w:val="53"/>
                <w:shd w:val="solid" w:color="000000" w:fill="000000"/>
                <w:fitText w:val="330" w:id="-625249522"/>
                <w:lang w:eastAsia="en-US"/>
                <w14:textFill>
                  <w14:solidFill>
                    <w14:srgbClr w14:val="000000">
                      <w14:alpha w14:val="100000"/>
                    </w14:srgbClr>
                  </w14:solidFill>
                </w14:textFill>
              </w:rPr>
              <w:t>|||</w:t>
            </w:r>
            <w:r w:rsidRPr="009742C5">
              <w:rPr>
                <w:color w:val="000000"/>
                <w:spacing w:val="1"/>
                <w:shd w:val="solid" w:color="000000" w:fill="000000"/>
                <w:fitText w:val="330" w:id="-625249522"/>
                <w:lang w:eastAsia="en-US"/>
                <w14:textFill>
                  <w14:solidFill>
                    <w14:srgbClr w14:val="000000">
                      <w14:alpha w14:val="100000"/>
                    </w14:srgbClr>
                  </w14:solidFill>
                </w14:textFill>
              </w:rPr>
              <w:t>|</w:t>
            </w:r>
            <w:r w:rsidR="00A92171" w:rsidRPr="00A92171">
              <w:rPr>
                <w:vertAlign w:val="superscript"/>
                <w:lang w:eastAsia="en-US"/>
              </w:rPr>
              <w:t>1</w:t>
            </w:r>
          </w:p>
        </w:tc>
      </w:tr>
      <w:tr w:rsidR="007A08C5" w:rsidRPr="00E750DB" w14:paraId="0C8A2595" w14:textId="77777777" w:rsidTr="00B42334">
        <w:tc>
          <w:tcPr>
            <w:tcW w:w="1631" w:type="dxa"/>
            <w:hideMark/>
          </w:tcPr>
          <w:p w14:paraId="000AE2BA" w14:textId="44961904" w:rsidR="007A08C5" w:rsidRPr="00E750DB" w:rsidRDefault="007A08C5" w:rsidP="00E072B9">
            <w:pPr>
              <w:pStyle w:val="Tabletext"/>
              <w:rPr>
                <w:lang w:eastAsia="en-US"/>
              </w:rPr>
            </w:pPr>
            <w:r w:rsidRPr="00E750DB">
              <w:rPr>
                <w:lang w:eastAsia="en-US"/>
              </w:rPr>
              <w:t>Number of scripts dispensed</w:t>
            </w:r>
            <w:r w:rsidRPr="00E750DB">
              <w:rPr>
                <w:vertAlign w:val="superscript"/>
                <w:lang w:eastAsia="en-US"/>
              </w:rPr>
              <w:t>a</w:t>
            </w:r>
          </w:p>
        </w:tc>
        <w:tc>
          <w:tcPr>
            <w:tcW w:w="1230" w:type="dxa"/>
            <w:noWrap/>
            <w:hideMark/>
          </w:tcPr>
          <w:p w14:paraId="3CA89A9D" w14:textId="4DB7FCAB" w:rsidR="007A08C5" w:rsidRPr="00A04C95" w:rsidRDefault="00B35ACC" w:rsidP="00E072B9">
            <w:pPr>
              <w:pStyle w:val="Tabletext"/>
              <w:rPr>
                <w:highlight w:val="darkGray"/>
                <w:lang w:eastAsia="en-US"/>
              </w:rPr>
            </w:pPr>
            <w:r w:rsidRPr="009742C5">
              <w:rPr>
                <w:color w:val="000000"/>
                <w:spacing w:val="53"/>
                <w:shd w:val="solid" w:color="000000" w:fill="000000"/>
                <w:fitText w:val="330" w:id="-625249521"/>
                <w:lang w:eastAsia="en-US"/>
                <w14:textFill>
                  <w14:solidFill>
                    <w14:srgbClr w14:val="000000">
                      <w14:alpha w14:val="100000"/>
                    </w14:srgbClr>
                  </w14:solidFill>
                </w14:textFill>
              </w:rPr>
              <w:t>|||</w:t>
            </w:r>
            <w:r w:rsidRPr="009742C5">
              <w:rPr>
                <w:color w:val="000000"/>
                <w:spacing w:val="1"/>
                <w:shd w:val="solid" w:color="000000" w:fill="000000"/>
                <w:fitText w:val="330" w:id="-625249521"/>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2B4056D9" w14:textId="28F7BC6E" w:rsidR="007A08C5" w:rsidRPr="00A04C95" w:rsidRDefault="00B35ACC" w:rsidP="00E072B9">
            <w:pPr>
              <w:pStyle w:val="Tabletext"/>
              <w:rPr>
                <w:highlight w:val="darkGray"/>
                <w:lang w:eastAsia="en-US"/>
              </w:rPr>
            </w:pPr>
            <w:r w:rsidRPr="009742C5">
              <w:rPr>
                <w:color w:val="000000"/>
                <w:spacing w:val="53"/>
                <w:shd w:val="solid" w:color="000000" w:fill="000000"/>
                <w:fitText w:val="330" w:id="-625249520"/>
                <w:lang w:eastAsia="en-US"/>
                <w14:textFill>
                  <w14:solidFill>
                    <w14:srgbClr w14:val="000000">
                      <w14:alpha w14:val="100000"/>
                    </w14:srgbClr>
                  </w14:solidFill>
                </w14:textFill>
              </w:rPr>
              <w:t>|||</w:t>
            </w:r>
            <w:r w:rsidRPr="009742C5">
              <w:rPr>
                <w:color w:val="000000"/>
                <w:spacing w:val="1"/>
                <w:shd w:val="solid" w:color="000000" w:fill="000000"/>
                <w:fitText w:val="330" w:id="-625249520"/>
                <w:lang w:eastAsia="en-US"/>
                <w14:textFill>
                  <w14:solidFill>
                    <w14:srgbClr w14:val="000000">
                      <w14:alpha w14:val="100000"/>
                    </w14:srgbClr>
                  </w14:solidFill>
                </w14:textFill>
              </w:rPr>
              <w:t>|</w:t>
            </w:r>
            <w:r w:rsidR="00F41195" w:rsidRPr="00A92171">
              <w:rPr>
                <w:vertAlign w:val="superscript"/>
                <w:lang w:eastAsia="en-US"/>
              </w:rPr>
              <w:t>1</w:t>
            </w:r>
          </w:p>
        </w:tc>
        <w:tc>
          <w:tcPr>
            <w:tcW w:w="1231" w:type="dxa"/>
            <w:noWrap/>
            <w:hideMark/>
          </w:tcPr>
          <w:p w14:paraId="5E5093D4" w14:textId="47808F39" w:rsidR="007A08C5" w:rsidRPr="00A04C95" w:rsidRDefault="00B35ACC" w:rsidP="00E072B9">
            <w:pPr>
              <w:pStyle w:val="Tabletext"/>
              <w:rPr>
                <w:highlight w:val="darkGray"/>
                <w:lang w:eastAsia="en-US"/>
              </w:rPr>
            </w:pPr>
            <w:r w:rsidRPr="009742C5">
              <w:rPr>
                <w:color w:val="000000"/>
                <w:spacing w:val="53"/>
                <w:shd w:val="solid" w:color="000000" w:fill="000000"/>
                <w:fitText w:val="330" w:id="-625249536"/>
                <w:lang w:eastAsia="en-US"/>
                <w14:textFill>
                  <w14:solidFill>
                    <w14:srgbClr w14:val="000000">
                      <w14:alpha w14:val="100000"/>
                    </w14:srgbClr>
                  </w14:solidFill>
                </w14:textFill>
              </w:rPr>
              <w:t>|||</w:t>
            </w:r>
            <w:r w:rsidRPr="009742C5">
              <w:rPr>
                <w:color w:val="000000"/>
                <w:spacing w:val="1"/>
                <w:shd w:val="solid" w:color="000000" w:fill="000000"/>
                <w:fitText w:val="330" w:id="-625249536"/>
                <w:lang w:eastAsia="en-US"/>
                <w14:textFill>
                  <w14:solidFill>
                    <w14:srgbClr w14:val="000000">
                      <w14:alpha w14:val="100000"/>
                    </w14:srgbClr>
                  </w14:solidFill>
                </w14:textFill>
              </w:rPr>
              <w:t>|</w:t>
            </w:r>
            <w:r w:rsidR="00F41195" w:rsidRPr="00A92171">
              <w:rPr>
                <w:vertAlign w:val="superscript"/>
                <w:lang w:eastAsia="en-US"/>
              </w:rPr>
              <w:t>1</w:t>
            </w:r>
          </w:p>
        </w:tc>
        <w:tc>
          <w:tcPr>
            <w:tcW w:w="1231" w:type="dxa"/>
            <w:noWrap/>
            <w:hideMark/>
          </w:tcPr>
          <w:p w14:paraId="5444136A" w14:textId="16414B92" w:rsidR="007A08C5" w:rsidRPr="00F41195" w:rsidRDefault="00B35ACC" w:rsidP="00E072B9">
            <w:pPr>
              <w:pStyle w:val="Tabletext"/>
              <w:rPr>
                <w:highlight w:val="darkGray"/>
                <w:vertAlign w:val="superscript"/>
                <w:lang w:eastAsia="en-US"/>
              </w:rPr>
            </w:pPr>
            <w:r w:rsidRPr="009742C5">
              <w:rPr>
                <w:color w:val="000000"/>
                <w:spacing w:val="53"/>
                <w:shd w:val="solid" w:color="000000" w:fill="000000"/>
                <w:fitText w:val="330" w:id="-625249535"/>
                <w:lang w:eastAsia="en-US"/>
                <w14:textFill>
                  <w14:solidFill>
                    <w14:srgbClr w14:val="000000">
                      <w14:alpha w14:val="100000"/>
                    </w14:srgbClr>
                  </w14:solidFill>
                </w14:textFill>
              </w:rPr>
              <w:t>|||</w:t>
            </w:r>
            <w:r w:rsidRPr="009742C5">
              <w:rPr>
                <w:color w:val="000000"/>
                <w:spacing w:val="1"/>
                <w:shd w:val="solid" w:color="000000" w:fill="000000"/>
                <w:fitText w:val="330" w:id="-625249535"/>
                <w:lang w:eastAsia="en-US"/>
                <w14:textFill>
                  <w14:solidFill>
                    <w14:srgbClr w14:val="000000">
                      <w14:alpha w14:val="100000"/>
                    </w14:srgbClr>
                  </w14:solidFill>
                </w14:textFill>
              </w:rPr>
              <w:t>|</w:t>
            </w:r>
            <w:r w:rsidR="00F41195" w:rsidRPr="00F41195">
              <w:rPr>
                <w:vertAlign w:val="superscript"/>
                <w:lang w:eastAsia="en-US"/>
              </w:rPr>
              <w:t>2</w:t>
            </w:r>
          </w:p>
        </w:tc>
        <w:tc>
          <w:tcPr>
            <w:tcW w:w="1231" w:type="dxa"/>
            <w:noWrap/>
            <w:hideMark/>
          </w:tcPr>
          <w:p w14:paraId="52A9BCD2" w14:textId="75C3EFDE" w:rsidR="007A08C5" w:rsidRPr="00A04C95" w:rsidRDefault="00B35ACC" w:rsidP="00E072B9">
            <w:pPr>
              <w:pStyle w:val="Tabletext"/>
              <w:rPr>
                <w:highlight w:val="darkGray"/>
                <w:lang w:eastAsia="en-US"/>
              </w:rPr>
            </w:pPr>
            <w:r w:rsidRPr="009742C5">
              <w:rPr>
                <w:color w:val="000000"/>
                <w:spacing w:val="53"/>
                <w:shd w:val="solid" w:color="000000" w:fill="000000"/>
                <w:fitText w:val="330" w:id="-625249534"/>
                <w:lang w:eastAsia="en-US"/>
                <w14:textFill>
                  <w14:solidFill>
                    <w14:srgbClr w14:val="000000">
                      <w14:alpha w14:val="100000"/>
                    </w14:srgbClr>
                  </w14:solidFill>
                </w14:textFill>
              </w:rPr>
              <w:t>|||</w:t>
            </w:r>
            <w:r w:rsidRPr="009742C5">
              <w:rPr>
                <w:color w:val="000000"/>
                <w:spacing w:val="1"/>
                <w:shd w:val="solid" w:color="000000" w:fill="000000"/>
                <w:fitText w:val="330" w:id="-625249534"/>
                <w:lang w:eastAsia="en-US"/>
                <w14:textFill>
                  <w14:solidFill>
                    <w14:srgbClr w14:val="000000">
                      <w14:alpha w14:val="100000"/>
                    </w14:srgbClr>
                  </w14:solidFill>
                </w14:textFill>
              </w:rPr>
              <w:t>|</w:t>
            </w:r>
            <w:r w:rsidR="00F41195" w:rsidRPr="00F41195">
              <w:rPr>
                <w:vertAlign w:val="superscript"/>
                <w:lang w:eastAsia="en-US"/>
              </w:rPr>
              <w:t>2</w:t>
            </w:r>
          </w:p>
        </w:tc>
        <w:tc>
          <w:tcPr>
            <w:tcW w:w="1231" w:type="dxa"/>
            <w:noWrap/>
            <w:hideMark/>
          </w:tcPr>
          <w:p w14:paraId="54BDB308" w14:textId="7DA4E0FF" w:rsidR="007A08C5" w:rsidRPr="00A04C95" w:rsidRDefault="00B35ACC" w:rsidP="00E072B9">
            <w:pPr>
              <w:pStyle w:val="Tabletext"/>
              <w:rPr>
                <w:highlight w:val="darkGray"/>
                <w:lang w:eastAsia="en-US"/>
              </w:rPr>
            </w:pPr>
            <w:r w:rsidRPr="009742C5">
              <w:rPr>
                <w:color w:val="000000"/>
                <w:spacing w:val="53"/>
                <w:shd w:val="solid" w:color="000000" w:fill="000000"/>
                <w:fitText w:val="330" w:id="-625249533"/>
                <w:lang w:eastAsia="en-US"/>
                <w14:textFill>
                  <w14:solidFill>
                    <w14:srgbClr w14:val="000000">
                      <w14:alpha w14:val="100000"/>
                    </w14:srgbClr>
                  </w14:solidFill>
                </w14:textFill>
              </w:rPr>
              <w:t>|||</w:t>
            </w:r>
            <w:r w:rsidRPr="009742C5">
              <w:rPr>
                <w:color w:val="000000"/>
                <w:spacing w:val="1"/>
                <w:shd w:val="solid" w:color="000000" w:fill="000000"/>
                <w:fitText w:val="330" w:id="-625249533"/>
                <w:lang w:eastAsia="en-US"/>
                <w14:textFill>
                  <w14:solidFill>
                    <w14:srgbClr w14:val="000000">
                      <w14:alpha w14:val="100000"/>
                    </w14:srgbClr>
                  </w14:solidFill>
                </w14:textFill>
              </w:rPr>
              <w:t>|</w:t>
            </w:r>
            <w:r w:rsidR="00F41195" w:rsidRPr="00F41195">
              <w:rPr>
                <w:vertAlign w:val="superscript"/>
                <w:lang w:eastAsia="en-US"/>
              </w:rPr>
              <w:t>2</w:t>
            </w:r>
          </w:p>
        </w:tc>
      </w:tr>
      <w:tr w:rsidR="007A08C5" w:rsidRPr="00E750DB" w14:paraId="63EAE8FE" w14:textId="77777777" w:rsidTr="00B42334">
        <w:tc>
          <w:tcPr>
            <w:tcW w:w="1631" w:type="dxa"/>
            <w:hideMark/>
          </w:tcPr>
          <w:p w14:paraId="4F1639D3" w14:textId="4B8340C5" w:rsidR="007A08C5" w:rsidRPr="00E750DB" w:rsidRDefault="007A08C5" w:rsidP="00E072B9">
            <w:pPr>
              <w:pStyle w:val="Tabletext"/>
              <w:rPr>
                <w:lang w:eastAsia="en-US"/>
              </w:rPr>
            </w:pPr>
            <w:r w:rsidRPr="00E750DB">
              <w:rPr>
                <w:lang w:eastAsia="en-US"/>
              </w:rPr>
              <w:t>Cost to the PBS</w:t>
            </w:r>
          </w:p>
        </w:tc>
        <w:tc>
          <w:tcPr>
            <w:tcW w:w="1230" w:type="dxa"/>
            <w:noWrap/>
          </w:tcPr>
          <w:p w14:paraId="22B54492" w14:textId="40A56D5E" w:rsidR="007A08C5" w:rsidRPr="009D61C1" w:rsidRDefault="007A08C5" w:rsidP="00E072B9">
            <w:pPr>
              <w:pStyle w:val="Tabletext"/>
              <w:rPr>
                <w:vertAlign w:val="superscript"/>
                <w:lang w:eastAsia="en-US"/>
              </w:rPr>
            </w:pPr>
            <w:r w:rsidRPr="00E750DB">
              <w:rPr>
                <w:color w:val="000000"/>
                <w:lang w:eastAsia="en-US"/>
              </w:rPr>
              <w:t>$</w:t>
            </w:r>
            <w:r w:rsidR="00B35ACC" w:rsidRPr="009742C5">
              <w:rPr>
                <w:color w:val="000000"/>
                <w:spacing w:val="53"/>
                <w:shd w:val="solid" w:color="000000" w:fill="000000"/>
                <w:fitText w:val="330" w:id="-625249532"/>
                <w:lang w:eastAsia="en-US"/>
                <w14:textFill>
                  <w14:solidFill>
                    <w14:srgbClr w14:val="000000">
                      <w14:alpha w14:val="100000"/>
                    </w14:srgbClr>
                  </w14:solidFill>
                </w14:textFill>
              </w:rPr>
              <w:t>|||</w:t>
            </w:r>
            <w:r w:rsidR="00B35ACC" w:rsidRPr="009742C5">
              <w:rPr>
                <w:color w:val="000000"/>
                <w:spacing w:val="1"/>
                <w:shd w:val="solid" w:color="000000" w:fill="000000"/>
                <w:fitText w:val="330" w:id="-625249532"/>
                <w:lang w:eastAsia="en-US"/>
                <w14:textFill>
                  <w14:solidFill>
                    <w14:srgbClr w14:val="000000">
                      <w14:alpha w14:val="100000"/>
                    </w14:srgbClr>
                  </w14:solidFill>
                </w14:textFill>
              </w:rPr>
              <w:t>|</w:t>
            </w:r>
            <w:r w:rsidR="009D61C1">
              <w:rPr>
                <w:color w:val="000000"/>
                <w:vertAlign w:val="superscript"/>
                <w:lang w:eastAsia="en-US"/>
              </w:rPr>
              <w:t>3</w:t>
            </w:r>
          </w:p>
        </w:tc>
        <w:tc>
          <w:tcPr>
            <w:tcW w:w="1231" w:type="dxa"/>
            <w:noWrap/>
          </w:tcPr>
          <w:p w14:paraId="1F14649E" w14:textId="282D2D5D" w:rsidR="007A08C5" w:rsidRPr="009D61C1" w:rsidRDefault="007A08C5" w:rsidP="00E072B9">
            <w:pPr>
              <w:pStyle w:val="Tabletext"/>
              <w:rPr>
                <w:vertAlign w:val="superscript"/>
                <w:lang w:eastAsia="en-US"/>
              </w:rPr>
            </w:pPr>
            <w:r w:rsidRPr="00E750DB">
              <w:rPr>
                <w:color w:val="000000"/>
                <w:lang w:eastAsia="en-US"/>
              </w:rPr>
              <w:t>$</w:t>
            </w:r>
            <w:r w:rsidR="00B35ACC" w:rsidRPr="009742C5">
              <w:rPr>
                <w:color w:val="000000"/>
                <w:spacing w:val="53"/>
                <w:shd w:val="solid" w:color="000000" w:fill="000000"/>
                <w:fitText w:val="330" w:id="-625249531"/>
                <w:lang w:eastAsia="en-US"/>
                <w14:textFill>
                  <w14:solidFill>
                    <w14:srgbClr w14:val="000000">
                      <w14:alpha w14:val="100000"/>
                    </w14:srgbClr>
                  </w14:solidFill>
                </w14:textFill>
              </w:rPr>
              <w:t>|||</w:t>
            </w:r>
            <w:r w:rsidR="00B35ACC" w:rsidRPr="009742C5">
              <w:rPr>
                <w:color w:val="000000"/>
                <w:spacing w:val="1"/>
                <w:shd w:val="solid" w:color="000000" w:fill="000000"/>
                <w:fitText w:val="330" w:id="-625249531"/>
                <w:lang w:eastAsia="en-US"/>
                <w14:textFill>
                  <w14:solidFill>
                    <w14:srgbClr w14:val="000000">
                      <w14:alpha w14:val="100000"/>
                    </w14:srgbClr>
                  </w14:solidFill>
                </w14:textFill>
              </w:rPr>
              <w:t>|</w:t>
            </w:r>
            <w:r w:rsidR="009D61C1">
              <w:rPr>
                <w:color w:val="000000"/>
                <w:vertAlign w:val="superscript"/>
                <w:lang w:eastAsia="en-US"/>
              </w:rPr>
              <w:t>3</w:t>
            </w:r>
          </w:p>
        </w:tc>
        <w:tc>
          <w:tcPr>
            <w:tcW w:w="1231" w:type="dxa"/>
            <w:noWrap/>
          </w:tcPr>
          <w:p w14:paraId="6C64B120" w14:textId="442BAA05" w:rsidR="007A08C5" w:rsidRPr="00415056" w:rsidRDefault="007A08C5" w:rsidP="00E072B9">
            <w:pPr>
              <w:pStyle w:val="Tabletext"/>
              <w:rPr>
                <w:vertAlign w:val="superscript"/>
                <w:lang w:eastAsia="en-US"/>
              </w:rPr>
            </w:pPr>
            <w:r w:rsidRPr="00E750DB">
              <w:rPr>
                <w:color w:val="000000"/>
                <w:lang w:eastAsia="en-US"/>
              </w:rPr>
              <w:t>$</w:t>
            </w:r>
            <w:r w:rsidR="00B35ACC" w:rsidRPr="009742C5">
              <w:rPr>
                <w:color w:val="000000"/>
                <w:spacing w:val="53"/>
                <w:shd w:val="solid" w:color="000000" w:fill="000000"/>
                <w:fitText w:val="330" w:id="-625249530"/>
                <w:lang w:eastAsia="en-US"/>
                <w14:textFill>
                  <w14:solidFill>
                    <w14:srgbClr w14:val="000000">
                      <w14:alpha w14:val="100000"/>
                    </w14:srgbClr>
                  </w14:solidFill>
                </w14:textFill>
              </w:rPr>
              <w:t>|||</w:t>
            </w:r>
            <w:r w:rsidR="00B35ACC" w:rsidRPr="009742C5">
              <w:rPr>
                <w:color w:val="000000"/>
                <w:spacing w:val="1"/>
                <w:shd w:val="solid" w:color="000000" w:fill="000000"/>
                <w:fitText w:val="330" w:id="-625249530"/>
                <w:lang w:eastAsia="en-US"/>
                <w14:textFill>
                  <w14:solidFill>
                    <w14:srgbClr w14:val="000000">
                      <w14:alpha w14:val="100000"/>
                    </w14:srgbClr>
                  </w14:solidFill>
                </w14:textFill>
              </w:rPr>
              <w:t>|</w:t>
            </w:r>
            <w:r w:rsidR="00415056">
              <w:rPr>
                <w:color w:val="000000"/>
                <w:vertAlign w:val="superscript"/>
                <w:lang w:eastAsia="en-US"/>
              </w:rPr>
              <w:t>4</w:t>
            </w:r>
          </w:p>
        </w:tc>
        <w:tc>
          <w:tcPr>
            <w:tcW w:w="1231" w:type="dxa"/>
            <w:noWrap/>
          </w:tcPr>
          <w:p w14:paraId="6DEC0D83" w14:textId="0DDACEFC" w:rsidR="007A08C5" w:rsidRPr="00415056" w:rsidRDefault="007A08C5" w:rsidP="00E072B9">
            <w:pPr>
              <w:pStyle w:val="Tabletext"/>
              <w:rPr>
                <w:vertAlign w:val="superscript"/>
                <w:lang w:eastAsia="en-US"/>
              </w:rPr>
            </w:pPr>
            <w:r w:rsidRPr="00E750DB">
              <w:rPr>
                <w:color w:val="000000"/>
                <w:lang w:eastAsia="en-US"/>
              </w:rPr>
              <w:t>$</w:t>
            </w:r>
            <w:r w:rsidR="00B35ACC" w:rsidRPr="009742C5">
              <w:rPr>
                <w:color w:val="000000"/>
                <w:spacing w:val="53"/>
                <w:shd w:val="solid" w:color="000000" w:fill="000000"/>
                <w:fitText w:val="330" w:id="-625249529"/>
                <w:lang w:eastAsia="en-US"/>
                <w14:textFill>
                  <w14:solidFill>
                    <w14:srgbClr w14:val="000000">
                      <w14:alpha w14:val="100000"/>
                    </w14:srgbClr>
                  </w14:solidFill>
                </w14:textFill>
              </w:rPr>
              <w:t>|||</w:t>
            </w:r>
            <w:r w:rsidR="00B35ACC" w:rsidRPr="009742C5">
              <w:rPr>
                <w:color w:val="000000"/>
                <w:spacing w:val="1"/>
                <w:shd w:val="solid" w:color="000000" w:fill="000000"/>
                <w:fitText w:val="330" w:id="-625249529"/>
                <w:lang w:eastAsia="en-US"/>
                <w14:textFill>
                  <w14:solidFill>
                    <w14:srgbClr w14:val="000000">
                      <w14:alpha w14:val="100000"/>
                    </w14:srgbClr>
                  </w14:solidFill>
                </w14:textFill>
              </w:rPr>
              <w:t>|</w:t>
            </w:r>
            <w:r w:rsidR="00415056">
              <w:rPr>
                <w:color w:val="000000"/>
                <w:vertAlign w:val="superscript"/>
                <w:lang w:eastAsia="en-US"/>
              </w:rPr>
              <w:t>4</w:t>
            </w:r>
          </w:p>
        </w:tc>
        <w:tc>
          <w:tcPr>
            <w:tcW w:w="1231" w:type="dxa"/>
            <w:noWrap/>
          </w:tcPr>
          <w:p w14:paraId="13CF4238" w14:textId="75CCADF0" w:rsidR="007A08C5" w:rsidRPr="00415056" w:rsidRDefault="007A08C5" w:rsidP="00E072B9">
            <w:pPr>
              <w:pStyle w:val="Tabletext"/>
              <w:rPr>
                <w:vertAlign w:val="superscript"/>
                <w:lang w:eastAsia="en-US"/>
              </w:rPr>
            </w:pPr>
            <w:r w:rsidRPr="00E750DB">
              <w:rPr>
                <w:color w:val="000000"/>
                <w:lang w:eastAsia="en-US"/>
              </w:rPr>
              <w:t>$</w:t>
            </w:r>
            <w:r w:rsidR="00B35ACC" w:rsidRPr="009742C5">
              <w:rPr>
                <w:color w:val="000000"/>
                <w:spacing w:val="53"/>
                <w:shd w:val="solid" w:color="000000" w:fill="000000"/>
                <w:fitText w:val="330" w:id="-625249528"/>
                <w:lang w:eastAsia="en-US"/>
                <w14:textFill>
                  <w14:solidFill>
                    <w14:srgbClr w14:val="000000">
                      <w14:alpha w14:val="100000"/>
                    </w14:srgbClr>
                  </w14:solidFill>
                </w14:textFill>
              </w:rPr>
              <w:t>|||</w:t>
            </w:r>
            <w:r w:rsidR="00B35ACC" w:rsidRPr="009742C5">
              <w:rPr>
                <w:color w:val="000000"/>
                <w:spacing w:val="1"/>
                <w:shd w:val="solid" w:color="000000" w:fill="000000"/>
                <w:fitText w:val="330" w:id="-625249528"/>
                <w:lang w:eastAsia="en-US"/>
                <w14:textFill>
                  <w14:solidFill>
                    <w14:srgbClr w14:val="000000">
                      <w14:alpha w14:val="100000"/>
                    </w14:srgbClr>
                  </w14:solidFill>
                </w14:textFill>
              </w:rPr>
              <w:t>|</w:t>
            </w:r>
            <w:r w:rsidR="00415056">
              <w:rPr>
                <w:color w:val="000000"/>
                <w:vertAlign w:val="superscript"/>
                <w:lang w:eastAsia="en-US"/>
              </w:rPr>
              <w:t>4</w:t>
            </w:r>
          </w:p>
        </w:tc>
        <w:tc>
          <w:tcPr>
            <w:tcW w:w="1231" w:type="dxa"/>
            <w:noWrap/>
          </w:tcPr>
          <w:p w14:paraId="112C19EA" w14:textId="2810D123" w:rsidR="007A08C5" w:rsidRPr="00B74B8C" w:rsidRDefault="007A08C5" w:rsidP="00E072B9">
            <w:pPr>
              <w:pStyle w:val="Tabletext"/>
              <w:rPr>
                <w:vertAlign w:val="superscript"/>
                <w:lang w:eastAsia="en-US"/>
              </w:rPr>
            </w:pPr>
            <w:r w:rsidRPr="00E750DB">
              <w:rPr>
                <w:color w:val="000000"/>
                <w:lang w:eastAsia="en-US"/>
              </w:rPr>
              <w:t>$</w:t>
            </w:r>
            <w:r w:rsidR="00B35ACC" w:rsidRPr="009742C5">
              <w:rPr>
                <w:color w:val="000000"/>
                <w:spacing w:val="53"/>
                <w:shd w:val="solid" w:color="000000" w:fill="000000"/>
                <w:fitText w:val="330" w:id="-625249527"/>
                <w:lang w:eastAsia="en-US"/>
                <w14:textFill>
                  <w14:solidFill>
                    <w14:srgbClr w14:val="000000">
                      <w14:alpha w14:val="100000"/>
                    </w14:srgbClr>
                  </w14:solidFill>
                </w14:textFill>
              </w:rPr>
              <w:t>|||</w:t>
            </w:r>
            <w:r w:rsidR="00B35ACC" w:rsidRPr="009742C5">
              <w:rPr>
                <w:color w:val="000000"/>
                <w:spacing w:val="1"/>
                <w:shd w:val="solid" w:color="000000" w:fill="000000"/>
                <w:fitText w:val="330" w:id="-625249527"/>
                <w:lang w:eastAsia="en-US"/>
                <w14:textFill>
                  <w14:solidFill>
                    <w14:srgbClr w14:val="000000">
                      <w14:alpha w14:val="100000"/>
                    </w14:srgbClr>
                  </w14:solidFill>
                </w14:textFill>
              </w:rPr>
              <w:t>|</w:t>
            </w:r>
            <w:r w:rsidR="00B74B8C">
              <w:rPr>
                <w:color w:val="000000"/>
                <w:vertAlign w:val="superscript"/>
                <w:lang w:eastAsia="en-US"/>
              </w:rPr>
              <w:t>5</w:t>
            </w:r>
          </w:p>
        </w:tc>
      </w:tr>
      <w:tr w:rsidR="007A08C5" w:rsidRPr="00E750DB" w14:paraId="55019B35" w14:textId="77777777" w:rsidTr="00B42334">
        <w:tc>
          <w:tcPr>
            <w:tcW w:w="1631" w:type="dxa"/>
            <w:hideMark/>
          </w:tcPr>
          <w:p w14:paraId="46719F7B" w14:textId="6545B691" w:rsidR="007A08C5" w:rsidRPr="00E750DB" w:rsidRDefault="007A08C5" w:rsidP="00E072B9">
            <w:pPr>
              <w:pStyle w:val="Tabletext"/>
              <w:rPr>
                <w:b/>
                <w:bCs/>
                <w:lang w:eastAsia="en-US"/>
              </w:rPr>
            </w:pPr>
            <w:r w:rsidRPr="00E750DB">
              <w:rPr>
                <w:b/>
                <w:bCs/>
                <w:lang w:eastAsia="en-US"/>
              </w:rPr>
              <w:t>Total costs to the PBS</w:t>
            </w:r>
            <w:r w:rsidR="00E154CB">
              <w:rPr>
                <w:b/>
                <w:bCs/>
                <w:lang w:eastAsia="en-US"/>
              </w:rPr>
              <w:t xml:space="preserve"> (less copayments)</w:t>
            </w:r>
          </w:p>
        </w:tc>
        <w:tc>
          <w:tcPr>
            <w:tcW w:w="1230" w:type="dxa"/>
            <w:noWrap/>
            <w:hideMark/>
          </w:tcPr>
          <w:p w14:paraId="1000005D" w14:textId="67F1C9FF" w:rsidR="007A08C5" w:rsidRPr="00415056" w:rsidRDefault="007A08C5" w:rsidP="00E072B9">
            <w:pPr>
              <w:pStyle w:val="Tabletext"/>
              <w:rPr>
                <w:b/>
                <w:bCs/>
                <w:vertAlign w:val="superscript"/>
                <w:lang w:eastAsia="en-US"/>
              </w:rPr>
            </w:pPr>
            <w:r w:rsidRPr="00E750DB">
              <w:rPr>
                <w:b/>
                <w:bCs/>
                <w:lang w:eastAsia="en-US"/>
              </w:rPr>
              <w:t>$</w:t>
            </w:r>
            <w:r w:rsidR="00B35ACC" w:rsidRPr="009742C5">
              <w:rPr>
                <w:b/>
                <w:color w:val="000000"/>
                <w:spacing w:val="58"/>
                <w:shd w:val="solid" w:color="000000" w:fill="000000"/>
                <w:fitText w:val="360" w:id="-625249526"/>
                <w:lang w:eastAsia="en-US"/>
                <w14:textFill>
                  <w14:solidFill>
                    <w14:srgbClr w14:val="000000">
                      <w14:alpha w14:val="100000"/>
                    </w14:srgbClr>
                  </w14:solidFill>
                </w14:textFill>
              </w:rPr>
              <w:t>|||</w:t>
            </w:r>
            <w:r w:rsidR="00B35ACC" w:rsidRPr="009742C5">
              <w:rPr>
                <w:b/>
                <w:color w:val="000000"/>
                <w:spacing w:val="3"/>
                <w:shd w:val="solid" w:color="000000" w:fill="000000"/>
                <w:fitText w:val="360" w:id="-625249526"/>
                <w:lang w:eastAsia="en-US"/>
                <w14:textFill>
                  <w14:solidFill>
                    <w14:srgbClr w14:val="000000">
                      <w14:alpha w14:val="100000"/>
                    </w14:srgbClr>
                  </w14:solidFill>
                </w14:textFill>
              </w:rPr>
              <w:t>|</w:t>
            </w:r>
            <w:r w:rsidR="00415056">
              <w:rPr>
                <w:b/>
                <w:bCs/>
                <w:vertAlign w:val="superscript"/>
                <w:lang w:eastAsia="en-US"/>
              </w:rPr>
              <w:t>3</w:t>
            </w:r>
          </w:p>
        </w:tc>
        <w:tc>
          <w:tcPr>
            <w:tcW w:w="1231" w:type="dxa"/>
            <w:noWrap/>
            <w:hideMark/>
          </w:tcPr>
          <w:p w14:paraId="6B1A989E" w14:textId="394BA4D5" w:rsidR="007A08C5" w:rsidRPr="00415056" w:rsidRDefault="007A08C5" w:rsidP="00E072B9">
            <w:pPr>
              <w:pStyle w:val="Tabletext"/>
              <w:rPr>
                <w:b/>
                <w:bCs/>
                <w:vertAlign w:val="superscript"/>
                <w:lang w:eastAsia="en-US"/>
              </w:rPr>
            </w:pPr>
            <w:r w:rsidRPr="00E750DB">
              <w:rPr>
                <w:b/>
                <w:bCs/>
                <w:lang w:eastAsia="en-US"/>
              </w:rPr>
              <w:t>$</w:t>
            </w:r>
            <w:r w:rsidR="00B35ACC" w:rsidRPr="009742C5">
              <w:rPr>
                <w:b/>
                <w:color w:val="000000"/>
                <w:spacing w:val="58"/>
                <w:shd w:val="solid" w:color="000000" w:fill="000000"/>
                <w:fitText w:val="360" w:id="-625249525"/>
                <w:lang w:eastAsia="en-US"/>
                <w14:textFill>
                  <w14:solidFill>
                    <w14:srgbClr w14:val="000000">
                      <w14:alpha w14:val="100000"/>
                    </w14:srgbClr>
                  </w14:solidFill>
                </w14:textFill>
              </w:rPr>
              <w:t>|||</w:t>
            </w:r>
            <w:r w:rsidR="00B35ACC" w:rsidRPr="009742C5">
              <w:rPr>
                <w:b/>
                <w:color w:val="000000"/>
                <w:spacing w:val="3"/>
                <w:shd w:val="solid" w:color="000000" w:fill="000000"/>
                <w:fitText w:val="360" w:id="-625249525"/>
                <w:lang w:eastAsia="en-US"/>
                <w14:textFill>
                  <w14:solidFill>
                    <w14:srgbClr w14:val="000000">
                      <w14:alpha w14:val="100000"/>
                    </w14:srgbClr>
                  </w14:solidFill>
                </w14:textFill>
              </w:rPr>
              <w:t>|</w:t>
            </w:r>
            <w:r w:rsidR="00415056">
              <w:rPr>
                <w:b/>
                <w:bCs/>
                <w:vertAlign w:val="superscript"/>
                <w:lang w:eastAsia="en-US"/>
              </w:rPr>
              <w:t>3</w:t>
            </w:r>
          </w:p>
        </w:tc>
        <w:tc>
          <w:tcPr>
            <w:tcW w:w="1231" w:type="dxa"/>
            <w:noWrap/>
            <w:hideMark/>
          </w:tcPr>
          <w:p w14:paraId="765DE55F" w14:textId="1F305F8D" w:rsidR="007A08C5" w:rsidRPr="00415056" w:rsidRDefault="007A08C5" w:rsidP="00E072B9">
            <w:pPr>
              <w:pStyle w:val="Tabletext"/>
              <w:rPr>
                <w:b/>
                <w:bCs/>
                <w:vertAlign w:val="superscript"/>
                <w:lang w:eastAsia="en-US"/>
              </w:rPr>
            </w:pPr>
            <w:r w:rsidRPr="00E750DB">
              <w:rPr>
                <w:b/>
                <w:bCs/>
                <w:lang w:eastAsia="en-US"/>
              </w:rPr>
              <w:t>$</w:t>
            </w:r>
            <w:r w:rsidR="00B35ACC" w:rsidRPr="009742C5">
              <w:rPr>
                <w:b/>
                <w:color w:val="000000"/>
                <w:spacing w:val="58"/>
                <w:shd w:val="solid" w:color="000000" w:fill="000000"/>
                <w:fitText w:val="360" w:id="-625249524"/>
                <w:lang w:eastAsia="en-US"/>
                <w14:textFill>
                  <w14:solidFill>
                    <w14:srgbClr w14:val="000000">
                      <w14:alpha w14:val="100000"/>
                    </w14:srgbClr>
                  </w14:solidFill>
                </w14:textFill>
              </w:rPr>
              <w:t>|||</w:t>
            </w:r>
            <w:r w:rsidR="00B35ACC" w:rsidRPr="009742C5">
              <w:rPr>
                <w:b/>
                <w:color w:val="000000"/>
                <w:spacing w:val="3"/>
                <w:shd w:val="solid" w:color="000000" w:fill="000000"/>
                <w:fitText w:val="360" w:id="-625249524"/>
                <w:lang w:eastAsia="en-US"/>
                <w14:textFill>
                  <w14:solidFill>
                    <w14:srgbClr w14:val="000000">
                      <w14:alpha w14:val="100000"/>
                    </w14:srgbClr>
                  </w14:solidFill>
                </w14:textFill>
              </w:rPr>
              <w:t>|</w:t>
            </w:r>
            <w:r w:rsidR="002A0E8C">
              <w:rPr>
                <w:b/>
                <w:bCs/>
                <w:vertAlign w:val="superscript"/>
                <w:lang w:eastAsia="en-US"/>
              </w:rPr>
              <w:t>4</w:t>
            </w:r>
          </w:p>
        </w:tc>
        <w:tc>
          <w:tcPr>
            <w:tcW w:w="1231" w:type="dxa"/>
            <w:noWrap/>
            <w:hideMark/>
          </w:tcPr>
          <w:p w14:paraId="0B357702" w14:textId="6046D8D8" w:rsidR="007A08C5" w:rsidRPr="00415056" w:rsidRDefault="007A08C5" w:rsidP="00E072B9">
            <w:pPr>
              <w:pStyle w:val="Tabletext"/>
              <w:rPr>
                <w:b/>
                <w:bCs/>
                <w:vertAlign w:val="superscript"/>
                <w:lang w:eastAsia="en-US"/>
              </w:rPr>
            </w:pPr>
            <w:r w:rsidRPr="00E750DB">
              <w:rPr>
                <w:b/>
                <w:bCs/>
                <w:lang w:eastAsia="en-US"/>
              </w:rPr>
              <w:t>$</w:t>
            </w:r>
            <w:r w:rsidR="00B35ACC" w:rsidRPr="009742C5">
              <w:rPr>
                <w:b/>
                <w:color w:val="000000"/>
                <w:spacing w:val="58"/>
                <w:shd w:val="solid" w:color="000000" w:fill="000000"/>
                <w:fitText w:val="360" w:id="-625249523"/>
                <w:lang w:eastAsia="en-US"/>
                <w14:textFill>
                  <w14:solidFill>
                    <w14:srgbClr w14:val="000000">
                      <w14:alpha w14:val="100000"/>
                    </w14:srgbClr>
                  </w14:solidFill>
                </w14:textFill>
              </w:rPr>
              <w:t>|||</w:t>
            </w:r>
            <w:r w:rsidR="00B35ACC" w:rsidRPr="009742C5">
              <w:rPr>
                <w:b/>
                <w:color w:val="000000"/>
                <w:spacing w:val="3"/>
                <w:shd w:val="solid" w:color="000000" w:fill="000000"/>
                <w:fitText w:val="360" w:id="-625249523"/>
                <w:lang w:eastAsia="en-US"/>
                <w14:textFill>
                  <w14:solidFill>
                    <w14:srgbClr w14:val="000000">
                      <w14:alpha w14:val="100000"/>
                    </w14:srgbClr>
                  </w14:solidFill>
                </w14:textFill>
              </w:rPr>
              <w:t>|</w:t>
            </w:r>
            <w:r w:rsidR="002A0E8C">
              <w:rPr>
                <w:b/>
                <w:bCs/>
                <w:vertAlign w:val="superscript"/>
                <w:lang w:eastAsia="en-US"/>
              </w:rPr>
              <w:t>4</w:t>
            </w:r>
          </w:p>
        </w:tc>
        <w:tc>
          <w:tcPr>
            <w:tcW w:w="1231" w:type="dxa"/>
            <w:noWrap/>
            <w:hideMark/>
          </w:tcPr>
          <w:p w14:paraId="1D234731" w14:textId="3B67EBEC" w:rsidR="007A08C5" w:rsidRPr="00415056" w:rsidRDefault="007A08C5" w:rsidP="00E072B9">
            <w:pPr>
              <w:pStyle w:val="Tabletext"/>
              <w:rPr>
                <w:b/>
                <w:bCs/>
                <w:vertAlign w:val="superscript"/>
                <w:lang w:eastAsia="en-US"/>
              </w:rPr>
            </w:pPr>
            <w:r w:rsidRPr="00E750DB">
              <w:rPr>
                <w:b/>
                <w:bCs/>
                <w:lang w:eastAsia="en-US"/>
              </w:rPr>
              <w:t>$</w:t>
            </w:r>
            <w:r w:rsidR="00B35ACC" w:rsidRPr="009742C5">
              <w:rPr>
                <w:b/>
                <w:color w:val="000000"/>
                <w:spacing w:val="58"/>
                <w:shd w:val="solid" w:color="000000" w:fill="000000"/>
                <w:fitText w:val="360" w:id="-625249522"/>
                <w:lang w:eastAsia="en-US"/>
                <w14:textFill>
                  <w14:solidFill>
                    <w14:srgbClr w14:val="000000">
                      <w14:alpha w14:val="100000"/>
                    </w14:srgbClr>
                  </w14:solidFill>
                </w14:textFill>
              </w:rPr>
              <w:t>|||</w:t>
            </w:r>
            <w:r w:rsidR="00B35ACC" w:rsidRPr="009742C5">
              <w:rPr>
                <w:b/>
                <w:color w:val="000000"/>
                <w:spacing w:val="3"/>
                <w:shd w:val="solid" w:color="000000" w:fill="000000"/>
                <w:fitText w:val="360" w:id="-625249522"/>
                <w:lang w:eastAsia="en-US"/>
                <w14:textFill>
                  <w14:solidFill>
                    <w14:srgbClr w14:val="000000">
                      <w14:alpha w14:val="100000"/>
                    </w14:srgbClr>
                  </w14:solidFill>
                </w14:textFill>
              </w:rPr>
              <w:t>|</w:t>
            </w:r>
            <w:r w:rsidR="002A0E8C">
              <w:rPr>
                <w:b/>
                <w:bCs/>
                <w:vertAlign w:val="superscript"/>
                <w:lang w:eastAsia="en-US"/>
              </w:rPr>
              <w:t>4</w:t>
            </w:r>
          </w:p>
        </w:tc>
        <w:tc>
          <w:tcPr>
            <w:tcW w:w="1231" w:type="dxa"/>
            <w:noWrap/>
            <w:hideMark/>
          </w:tcPr>
          <w:p w14:paraId="6D6EF6DE" w14:textId="3000CA47" w:rsidR="007A08C5" w:rsidRPr="00B74B8C" w:rsidRDefault="007A08C5" w:rsidP="00E072B9">
            <w:pPr>
              <w:pStyle w:val="Tabletext"/>
              <w:rPr>
                <w:b/>
                <w:bCs/>
                <w:vertAlign w:val="superscript"/>
                <w:lang w:eastAsia="en-US"/>
              </w:rPr>
            </w:pPr>
            <w:r w:rsidRPr="00E750DB">
              <w:rPr>
                <w:b/>
                <w:bCs/>
                <w:lang w:eastAsia="en-US"/>
              </w:rPr>
              <w:t>$</w:t>
            </w:r>
            <w:r w:rsidR="00B35ACC" w:rsidRPr="009742C5">
              <w:rPr>
                <w:b/>
                <w:color w:val="000000"/>
                <w:spacing w:val="58"/>
                <w:shd w:val="solid" w:color="000000" w:fill="000000"/>
                <w:fitText w:val="360" w:id="-625249521"/>
                <w:lang w:eastAsia="en-US"/>
                <w14:textFill>
                  <w14:solidFill>
                    <w14:srgbClr w14:val="000000">
                      <w14:alpha w14:val="100000"/>
                    </w14:srgbClr>
                  </w14:solidFill>
                </w14:textFill>
              </w:rPr>
              <w:t>|||</w:t>
            </w:r>
            <w:r w:rsidR="00B35ACC" w:rsidRPr="009742C5">
              <w:rPr>
                <w:b/>
                <w:color w:val="000000"/>
                <w:spacing w:val="3"/>
                <w:shd w:val="solid" w:color="000000" w:fill="000000"/>
                <w:fitText w:val="360" w:id="-625249521"/>
                <w:lang w:eastAsia="en-US"/>
                <w14:textFill>
                  <w14:solidFill>
                    <w14:srgbClr w14:val="000000">
                      <w14:alpha w14:val="100000"/>
                    </w14:srgbClr>
                  </w14:solidFill>
                </w14:textFill>
              </w:rPr>
              <w:t>|</w:t>
            </w:r>
            <w:r w:rsidR="00B74B8C">
              <w:rPr>
                <w:b/>
                <w:bCs/>
                <w:vertAlign w:val="superscript"/>
                <w:lang w:eastAsia="en-US"/>
              </w:rPr>
              <w:t>5</w:t>
            </w:r>
          </w:p>
        </w:tc>
      </w:tr>
    </w:tbl>
    <w:p w14:paraId="3B2CD391" w14:textId="706DBE00" w:rsidR="007A08C5" w:rsidRPr="00C421BA" w:rsidRDefault="007A08C5" w:rsidP="00117002">
      <w:pPr>
        <w:pStyle w:val="TableFigureFooter"/>
      </w:pPr>
      <w:r w:rsidRPr="00C421BA">
        <w:rPr>
          <w:vertAlign w:val="superscript"/>
        </w:rPr>
        <w:t>a</w:t>
      </w:r>
      <w:r w:rsidRPr="00C421BA">
        <w:t xml:space="preserve">Assuming 12 scripts (each script an average </w:t>
      </w:r>
      <w:r w:rsidRPr="000A2D99">
        <w:t>of 1.2 vials</w:t>
      </w:r>
      <w:r w:rsidRPr="00C421BA">
        <w:t>) per year as estimated by the submission.</w:t>
      </w:r>
    </w:p>
    <w:p w14:paraId="011B75CD" w14:textId="4D92C501" w:rsidR="003E3EC1" w:rsidRDefault="000401EF" w:rsidP="00117002">
      <w:pPr>
        <w:pStyle w:val="TableFigureFooter"/>
      </w:pPr>
      <w:r w:rsidRPr="00C421BA">
        <w:rPr>
          <w:vertAlign w:val="superscript"/>
        </w:rPr>
        <w:t>b</w:t>
      </w:r>
      <w:r w:rsidRPr="00C421BA">
        <w:t xml:space="preserve">Applying estimates to the </w:t>
      </w:r>
      <w:proofErr w:type="gramStart"/>
      <w:r w:rsidRPr="00C421BA">
        <w:t>population as a whole</w:t>
      </w:r>
      <w:proofErr w:type="gramEnd"/>
      <w:r w:rsidRPr="00C421BA">
        <w:t>.</w:t>
      </w:r>
    </w:p>
    <w:p w14:paraId="2A500EE5" w14:textId="77777777" w:rsidR="00A92171" w:rsidRPr="007B4BC9" w:rsidRDefault="00A92171" w:rsidP="00A92171">
      <w:pPr>
        <w:keepNext/>
        <w:keepLines/>
        <w:rPr>
          <w:rFonts w:ascii="Arial Narrow" w:hAnsi="Arial Narrow"/>
          <w:i/>
          <w:iCs/>
          <w:sz w:val="18"/>
        </w:rPr>
      </w:pPr>
      <w:r w:rsidRPr="007B4BC9">
        <w:rPr>
          <w:rFonts w:ascii="Arial Narrow" w:hAnsi="Arial Narrow"/>
          <w:i/>
          <w:iCs/>
          <w:sz w:val="18"/>
        </w:rPr>
        <w:t xml:space="preserve">The redacted values correspond to the following ranges: </w:t>
      </w:r>
    </w:p>
    <w:p w14:paraId="5C583617" w14:textId="77777777" w:rsidR="00A92171" w:rsidRDefault="00A92171" w:rsidP="00A92171">
      <w:pPr>
        <w:jc w:val="left"/>
        <w:textAlignment w:val="baseline"/>
        <w:rPr>
          <w:rFonts w:ascii="Arial Narrow" w:hAnsi="Arial Narrow"/>
          <w:i/>
          <w:iCs/>
          <w:sz w:val="18"/>
        </w:rPr>
      </w:pPr>
      <w:r w:rsidRPr="007B4BC9">
        <w:rPr>
          <w:rFonts w:ascii="Arial Narrow" w:hAnsi="Arial Narrow"/>
          <w:i/>
          <w:iCs/>
          <w:sz w:val="18"/>
          <w:vertAlign w:val="superscript"/>
        </w:rPr>
        <w:t xml:space="preserve">1 </w:t>
      </w:r>
      <w:r w:rsidRPr="00664EE1">
        <w:rPr>
          <w:rFonts w:ascii="Arial Narrow" w:hAnsi="Arial Narrow"/>
          <w:i/>
          <w:iCs/>
          <w:sz w:val="18"/>
        </w:rPr>
        <w:t>&lt; 500</w:t>
      </w:r>
    </w:p>
    <w:p w14:paraId="3F1FF476" w14:textId="1C693327" w:rsidR="00A92171" w:rsidRPr="00633B13" w:rsidRDefault="00A92171" w:rsidP="00A92171">
      <w:pPr>
        <w:keepNext/>
        <w:keepLines/>
        <w:rPr>
          <w:rFonts w:ascii="Arial Narrow" w:hAnsi="Arial Narrow"/>
          <w:i/>
          <w:iCs/>
          <w:sz w:val="18"/>
        </w:rPr>
      </w:pPr>
      <w:r>
        <w:rPr>
          <w:rFonts w:ascii="Arial Narrow" w:hAnsi="Arial Narrow"/>
          <w:i/>
          <w:iCs/>
          <w:sz w:val="18"/>
          <w:vertAlign w:val="superscript"/>
        </w:rPr>
        <w:t xml:space="preserve">2 </w:t>
      </w:r>
      <w:r w:rsidR="00AC1784" w:rsidRPr="00AC1784">
        <w:rPr>
          <w:rFonts w:ascii="Arial Narrow" w:hAnsi="Arial Narrow"/>
          <w:i/>
          <w:iCs/>
          <w:sz w:val="18"/>
        </w:rPr>
        <w:t>500 to &lt; 5,000</w:t>
      </w:r>
    </w:p>
    <w:p w14:paraId="47F2201E" w14:textId="6EE877D7" w:rsidR="00A92171" w:rsidRDefault="00A92171" w:rsidP="00A92171">
      <w:pPr>
        <w:keepNext/>
        <w:keepLines/>
        <w:rPr>
          <w:rFonts w:ascii="Arial Narrow" w:hAnsi="Arial Narrow"/>
          <w:i/>
          <w:iCs/>
          <w:sz w:val="18"/>
        </w:rPr>
      </w:pPr>
      <w:r>
        <w:rPr>
          <w:rFonts w:ascii="Arial Narrow" w:hAnsi="Arial Narrow"/>
          <w:i/>
          <w:iCs/>
          <w:sz w:val="18"/>
          <w:vertAlign w:val="superscript"/>
        </w:rPr>
        <w:t xml:space="preserve">3 </w:t>
      </w:r>
      <w:r w:rsidR="0056503E" w:rsidRPr="0056503E">
        <w:rPr>
          <w:rFonts w:ascii="Arial Narrow" w:hAnsi="Arial Narrow"/>
          <w:i/>
          <w:iCs/>
          <w:sz w:val="18"/>
        </w:rPr>
        <w:t>$10 million to &lt; $20 million</w:t>
      </w:r>
    </w:p>
    <w:p w14:paraId="3645C467" w14:textId="77777777" w:rsidR="00415056" w:rsidRDefault="009D61C1" w:rsidP="00415056">
      <w:pPr>
        <w:keepNext/>
        <w:keepLines/>
        <w:rPr>
          <w:rFonts w:ascii="Arial Narrow" w:hAnsi="Arial Narrow"/>
          <w:i/>
          <w:iCs/>
          <w:sz w:val="18"/>
        </w:rPr>
      </w:pPr>
      <w:r>
        <w:rPr>
          <w:rFonts w:ascii="Arial Narrow" w:hAnsi="Arial Narrow"/>
          <w:i/>
          <w:iCs/>
          <w:sz w:val="18"/>
          <w:vertAlign w:val="superscript"/>
        </w:rPr>
        <w:t xml:space="preserve">4 </w:t>
      </w:r>
      <w:r w:rsidR="00415056" w:rsidRPr="00415056">
        <w:rPr>
          <w:rFonts w:ascii="Arial Narrow" w:hAnsi="Arial Narrow"/>
          <w:i/>
          <w:iCs/>
          <w:sz w:val="18"/>
        </w:rPr>
        <w:t>$20 million to &lt; $30 million</w:t>
      </w:r>
    </w:p>
    <w:p w14:paraId="1C48A7D8" w14:textId="6EF3A724" w:rsidR="00117002" w:rsidRPr="00B642D1" w:rsidRDefault="002A0E8C" w:rsidP="00B642D1">
      <w:pPr>
        <w:keepNext/>
        <w:keepLines/>
        <w:rPr>
          <w:rFonts w:ascii="Arial Narrow" w:hAnsi="Arial Narrow"/>
          <w:i/>
          <w:iCs/>
          <w:sz w:val="18"/>
        </w:rPr>
      </w:pPr>
      <w:r>
        <w:rPr>
          <w:rFonts w:ascii="Arial Narrow" w:hAnsi="Arial Narrow"/>
          <w:i/>
          <w:iCs/>
          <w:sz w:val="18"/>
          <w:vertAlign w:val="superscript"/>
        </w:rPr>
        <w:t>5</w:t>
      </w:r>
      <w:r>
        <w:rPr>
          <w:rFonts w:ascii="Arial Narrow" w:hAnsi="Arial Narrow"/>
          <w:i/>
          <w:iCs/>
          <w:sz w:val="18"/>
        </w:rPr>
        <w:t xml:space="preserve"> </w:t>
      </w:r>
      <w:r w:rsidR="00B74B8C">
        <w:rPr>
          <w:rFonts w:ascii="Arial Narrow" w:hAnsi="Arial Narrow"/>
          <w:i/>
          <w:iCs/>
          <w:sz w:val="18"/>
        </w:rPr>
        <w:t>$30 million to &lt; $40 million</w:t>
      </w:r>
    </w:p>
    <w:p w14:paraId="2238DEE9" w14:textId="3E6A228B" w:rsidR="00576972" w:rsidRPr="00E750DB" w:rsidRDefault="00576972" w:rsidP="00E072B9">
      <w:pPr>
        <w:pStyle w:val="4-SubsectionHeading"/>
      </w:pPr>
      <w:bookmarkStart w:id="73" w:name="_Toc22897648"/>
      <w:bookmarkStart w:id="74" w:name="_Toc198715365"/>
      <w:r w:rsidRPr="00E750DB">
        <w:t>Quality Use of Medicines</w:t>
      </w:r>
      <w:bookmarkEnd w:id="73"/>
      <w:bookmarkEnd w:id="74"/>
    </w:p>
    <w:p w14:paraId="22252C2F" w14:textId="3665132B" w:rsidR="00921289" w:rsidRPr="00930687" w:rsidRDefault="00921289" w:rsidP="00E072B9">
      <w:pPr>
        <w:pStyle w:val="3-BodyText"/>
      </w:pPr>
      <w:r w:rsidRPr="00930687">
        <w:t>The Sub</w:t>
      </w:r>
      <w:r w:rsidR="00E072B9">
        <w:noBreakHyphen/>
      </w:r>
      <w:r w:rsidRPr="00930687">
        <w:t>Committees noted that givosiran is a new type of medicine for which there is limited clinical experience</w:t>
      </w:r>
      <w:r w:rsidR="00D34C18" w:rsidRPr="00930687">
        <w:t xml:space="preserve"> and </w:t>
      </w:r>
      <w:r w:rsidRPr="00930687">
        <w:t xml:space="preserve">that givosiran has the potential to induce cytochrome P450 enzymes in the liver increasing the maximum serum concentration, and the clearance time of </w:t>
      </w:r>
      <w:proofErr w:type="gramStart"/>
      <w:r w:rsidRPr="00930687">
        <w:t>a number of</w:t>
      </w:r>
      <w:proofErr w:type="gramEnd"/>
      <w:r w:rsidRPr="00930687">
        <w:t xml:space="preserve"> other medications. Additionally, givosiran has a significant number of other drug and food interactions.</w:t>
      </w:r>
      <w:r w:rsidR="00930687" w:rsidRPr="00930687">
        <w:t xml:space="preserve"> The Pre</w:t>
      </w:r>
      <w:r w:rsidR="00E072B9">
        <w:noBreakHyphen/>
      </w:r>
      <w:r w:rsidR="00930687" w:rsidRPr="00930687">
        <w:t xml:space="preserve">PBAC response noted that </w:t>
      </w:r>
      <w:r w:rsidR="00E73B76">
        <w:t>t</w:t>
      </w:r>
      <w:r w:rsidR="00930687" w:rsidRPr="00930687">
        <w:t>he Product Informa</w:t>
      </w:r>
      <w:r w:rsidR="00930687">
        <w:rPr>
          <w:rFonts w:ascii="Calibri" w:eastAsia="Calibri" w:hAnsi="Calibri" w:cs="Calibri"/>
        </w:rPr>
        <w:t>ti</w:t>
      </w:r>
      <w:r w:rsidR="00930687" w:rsidRPr="00930687">
        <w:t>on specifies appropriate usage, poten</w:t>
      </w:r>
      <w:r w:rsidR="00930687">
        <w:rPr>
          <w:rFonts w:ascii="Calibri" w:eastAsia="Calibri" w:hAnsi="Calibri" w:cs="Calibri"/>
        </w:rPr>
        <w:t>ti</w:t>
      </w:r>
      <w:r w:rsidR="00930687" w:rsidRPr="00930687">
        <w:t>al drug and</w:t>
      </w:r>
      <w:r w:rsidR="00930687">
        <w:t xml:space="preserve"> </w:t>
      </w:r>
      <w:r w:rsidR="00930687" w:rsidRPr="00930687">
        <w:t>food interac</w:t>
      </w:r>
      <w:r w:rsidR="00930687">
        <w:rPr>
          <w:rFonts w:ascii="Calibri" w:eastAsia="Calibri" w:hAnsi="Calibri" w:cs="Calibri"/>
        </w:rPr>
        <w:t>ti</w:t>
      </w:r>
      <w:r w:rsidR="00930687" w:rsidRPr="00930687">
        <w:t>ons, and monitoring requirements. Educa</w:t>
      </w:r>
      <w:r w:rsidR="00930687">
        <w:rPr>
          <w:rFonts w:ascii="Calibri" w:eastAsia="Calibri" w:hAnsi="Calibri" w:cs="Calibri"/>
        </w:rPr>
        <w:t>ti</w:t>
      </w:r>
      <w:r w:rsidR="00930687" w:rsidRPr="00930687">
        <w:t>onal materials will also be prepared to highlight these</w:t>
      </w:r>
      <w:r w:rsidR="00930687">
        <w:t xml:space="preserve"> </w:t>
      </w:r>
      <w:r w:rsidR="00930687" w:rsidRPr="00930687">
        <w:t>considera</w:t>
      </w:r>
      <w:r w:rsidR="00930687">
        <w:rPr>
          <w:rFonts w:ascii="Calibri" w:eastAsia="Calibri" w:hAnsi="Calibri" w:cs="Calibri"/>
        </w:rPr>
        <w:t>ti</w:t>
      </w:r>
      <w:r w:rsidR="00930687" w:rsidRPr="00930687">
        <w:t>ons and support quality use of givosiran.</w:t>
      </w:r>
    </w:p>
    <w:p w14:paraId="5F0CBDC7" w14:textId="77777777" w:rsidR="004534DB" w:rsidRPr="00204D1F" w:rsidRDefault="004534DB" w:rsidP="00E072B9">
      <w:pPr>
        <w:pStyle w:val="4-SubsectionHeading"/>
      </w:pPr>
      <w:bookmarkStart w:id="75" w:name="_Toc22897649"/>
      <w:bookmarkStart w:id="76" w:name="_Toc198715366"/>
      <w:r w:rsidRPr="00204D1F">
        <w:t>Financial Management – Risk Sharing Arrangements</w:t>
      </w:r>
      <w:bookmarkEnd w:id="75"/>
      <w:bookmarkEnd w:id="76"/>
    </w:p>
    <w:p w14:paraId="2F77426A" w14:textId="0EEBCADA" w:rsidR="00CA14CA" w:rsidRPr="00B642D1" w:rsidRDefault="004534DB" w:rsidP="00B642D1">
      <w:pPr>
        <w:pStyle w:val="3-BodyText"/>
        <w:rPr>
          <w:color w:val="0066FF"/>
        </w:rPr>
      </w:pPr>
      <w:r w:rsidRPr="004534DB">
        <w:t>No risk sharing arrangement was proposed</w:t>
      </w:r>
      <w:r>
        <w:t xml:space="preserve"> by the submission</w:t>
      </w:r>
      <w:r w:rsidRPr="004534DB">
        <w:t xml:space="preserve">. </w:t>
      </w:r>
    </w:p>
    <w:p w14:paraId="1ABE9C70" w14:textId="3D73EEBA" w:rsidR="00DF4CBF" w:rsidRDefault="00CA14CA" w:rsidP="009B0BF8">
      <w:pPr>
        <w:ind w:firstLine="709"/>
      </w:pPr>
      <w:r w:rsidRPr="006208CF">
        <w:rPr>
          <w:rFonts w:asciiTheme="minorHAnsi" w:hAnsiTheme="minorHAnsi"/>
          <w:i/>
        </w:rPr>
        <w:t>For more detail on PBAC’s view, see section 7 PBAC outcome.</w:t>
      </w:r>
    </w:p>
    <w:p w14:paraId="0A2D937E" w14:textId="77777777" w:rsidR="00DF4CBF" w:rsidRPr="0090150D" w:rsidRDefault="00DF4CBF" w:rsidP="00E072B9">
      <w:pPr>
        <w:pStyle w:val="2-SectionHeading"/>
        <w:numPr>
          <w:ilvl w:val="0"/>
          <w:numId w:val="1"/>
        </w:numPr>
        <w:ind w:left="720"/>
      </w:pPr>
      <w:bookmarkStart w:id="77" w:name="_Hlk76381249"/>
      <w:r w:rsidRPr="0090150D">
        <w:t>PBAC Outcome</w:t>
      </w:r>
    </w:p>
    <w:p w14:paraId="29F3A57E" w14:textId="37EF3527" w:rsidR="00DF4CBF" w:rsidRPr="00CE42B4" w:rsidRDefault="00B23058" w:rsidP="00E072B9">
      <w:pPr>
        <w:numPr>
          <w:ilvl w:val="1"/>
          <w:numId w:val="1"/>
        </w:numPr>
        <w:spacing w:after="120"/>
        <w:rPr>
          <w:rFonts w:asciiTheme="minorHAnsi" w:hAnsiTheme="minorHAnsi"/>
          <w:snapToGrid w:val="0"/>
          <w:lang w:val="en-GB"/>
        </w:rPr>
      </w:pPr>
      <w:bookmarkStart w:id="78" w:name="_Hlk111543188"/>
      <w:r w:rsidRPr="00B23058">
        <w:rPr>
          <w:rFonts w:asciiTheme="minorHAnsi" w:hAnsiTheme="minorHAnsi"/>
          <w:snapToGrid w:val="0"/>
          <w:lang w:val="en-GB"/>
        </w:rPr>
        <w:t xml:space="preserve">The PBAC deferred making a recommendation for the listing of givosiran for treatment of acute hepatic porphyria (AHP). The PBAC acknowledged the high unmet clinical need for treatments for AHP, which results in chronic symptoms and acute attacks that can include intense and persistent pain, muscle weakness, gastrointestinal, </w:t>
      </w:r>
      <w:proofErr w:type="gramStart"/>
      <w:r w:rsidRPr="00B23058">
        <w:rPr>
          <w:rFonts w:asciiTheme="minorHAnsi" w:hAnsiTheme="minorHAnsi"/>
          <w:snapToGrid w:val="0"/>
          <w:lang w:val="en-GB"/>
        </w:rPr>
        <w:t>cardiovascular</w:t>
      </w:r>
      <w:proofErr w:type="gramEnd"/>
      <w:r w:rsidRPr="00B23058">
        <w:rPr>
          <w:rFonts w:asciiTheme="minorHAnsi" w:hAnsiTheme="minorHAnsi"/>
          <w:snapToGrid w:val="0"/>
          <w:lang w:val="en-GB"/>
        </w:rPr>
        <w:t xml:space="preserve"> and neurological symptoms. The PBAC accepted the clinical claim of superior efficacy compared with best supportive care in reducing acute porphyria attacks. The PBAC considered that the incremental cost</w:t>
      </w:r>
      <w:r w:rsidR="00E072B9">
        <w:rPr>
          <w:rFonts w:asciiTheme="minorHAnsi" w:hAnsiTheme="minorHAnsi"/>
          <w:snapToGrid w:val="0"/>
          <w:lang w:val="en-GB"/>
        </w:rPr>
        <w:noBreakHyphen/>
      </w:r>
      <w:r w:rsidRPr="00B23058">
        <w:rPr>
          <w:rFonts w:asciiTheme="minorHAnsi" w:hAnsiTheme="minorHAnsi"/>
          <w:snapToGrid w:val="0"/>
          <w:lang w:val="en-GB"/>
        </w:rPr>
        <w:t xml:space="preserve">effectiveness </w:t>
      </w:r>
      <w:r w:rsidR="00C17FF4">
        <w:rPr>
          <w:rFonts w:asciiTheme="minorHAnsi" w:hAnsiTheme="minorHAnsi"/>
          <w:snapToGrid w:val="0"/>
          <w:lang w:val="en-GB"/>
        </w:rPr>
        <w:t xml:space="preserve">(ICER) </w:t>
      </w:r>
      <w:r w:rsidRPr="00B23058">
        <w:rPr>
          <w:rFonts w:asciiTheme="minorHAnsi" w:hAnsiTheme="minorHAnsi"/>
          <w:snapToGrid w:val="0"/>
          <w:lang w:val="en-GB"/>
        </w:rPr>
        <w:t xml:space="preserve">was uncertain due to the limited data informing the model and </w:t>
      </w:r>
      <w:r w:rsidR="004209DA" w:rsidRPr="00CB575B">
        <w:t>range of disease severity for patients with AHP</w:t>
      </w:r>
      <w:r w:rsidRPr="00B23058">
        <w:rPr>
          <w:rFonts w:asciiTheme="minorHAnsi" w:hAnsiTheme="minorHAnsi"/>
          <w:snapToGrid w:val="0"/>
          <w:lang w:val="en-GB"/>
        </w:rPr>
        <w:t>, but that in the context of this rare disease with very substantial impacts on patient quality of life, givosiran would be considered acceptably cost</w:t>
      </w:r>
      <w:r w:rsidR="00E072B9">
        <w:rPr>
          <w:rFonts w:asciiTheme="minorHAnsi" w:hAnsiTheme="minorHAnsi"/>
          <w:snapToGrid w:val="0"/>
          <w:lang w:val="en-GB"/>
        </w:rPr>
        <w:noBreakHyphen/>
      </w:r>
      <w:r w:rsidRPr="00B23058">
        <w:rPr>
          <w:rFonts w:asciiTheme="minorHAnsi" w:hAnsiTheme="minorHAnsi"/>
          <w:snapToGrid w:val="0"/>
          <w:lang w:val="en-GB"/>
        </w:rPr>
        <w:t xml:space="preserve">effective with a price reduction that would result in an acceptable cost per patient per year, in line with other treatments for rare diseases funded on the PBS, accounting for clinical need, available evidence, nature of the benefits and size of the patient population. However, the PBAC considered that further clinical input </w:t>
      </w:r>
      <w:proofErr w:type="gramStart"/>
      <w:r w:rsidRPr="00B23058">
        <w:rPr>
          <w:rFonts w:asciiTheme="minorHAnsi" w:hAnsiTheme="minorHAnsi"/>
          <w:snapToGrid w:val="0"/>
          <w:lang w:val="en-GB"/>
        </w:rPr>
        <w:t>is needed</w:t>
      </w:r>
      <w:proofErr w:type="gramEnd"/>
      <w:r w:rsidRPr="00B23058">
        <w:rPr>
          <w:rFonts w:asciiTheme="minorHAnsi" w:hAnsiTheme="minorHAnsi"/>
          <w:snapToGrid w:val="0"/>
          <w:lang w:val="en-GB"/>
        </w:rPr>
        <w:t xml:space="preserve"> regarding the patient numbers, </w:t>
      </w:r>
      <w:proofErr w:type="gramStart"/>
      <w:r w:rsidRPr="00B23058">
        <w:rPr>
          <w:rFonts w:asciiTheme="minorHAnsi" w:hAnsiTheme="minorHAnsi"/>
          <w:snapToGrid w:val="0"/>
          <w:lang w:val="en-GB"/>
        </w:rPr>
        <w:t>likely circumstances</w:t>
      </w:r>
      <w:proofErr w:type="gramEnd"/>
      <w:r w:rsidRPr="00B23058">
        <w:rPr>
          <w:rFonts w:asciiTheme="minorHAnsi" w:hAnsiTheme="minorHAnsi"/>
          <w:snapToGrid w:val="0"/>
          <w:lang w:val="en-GB"/>
        </w:rPr>
        <w:t xml:space="preserve"> of use, and treatment continuation, which </w:t>
      </w:r>
      <w:proofErr w:type="gramStart"/>
      <w:r w:rsidRPr="00B23058">
        <w:rPr>
          <w:rFonts w:asciiTheme="minorHAnsi" w:hAnsiTheme="minorHAnsi"/>
          <w:snapToGrid w:val="0"/>
          <w:lang w:val="en-GB"/>
        </w:rPr>
        <w:t>are required</w:t>
      </w:r>
      <w:proofErr w:type="gramEnd"/>
      <w:r w:rsidRPr="00B23058">
        <w:rPr>
          <w:rFonts w:asciiTheme="minorHAnsi" w:hAnsiTheme="minorHAnsi"/>
          <w:snapToGrid w:val="0"/>
          <w:lang w:val="en-GB"/>
        </w:rPr>
        <w:t xml:space="preserve"> for establishing a risk</w:t>
      </w:r>
      <w:r w:rsidR="00E072B9">
        <w:rPr>
          <w:rFonts w:asciiTheme="minorHAnsi" w:hAnsiTheme="minorHAnsi"/>
          <w:snapToGrid w:val="0"/>
          <w:lang w:val="en-GB"/>
        </w:rPr>
        <w:noBreakHyphen/>
      </w:r>
      <w:r w:rsidRPr="00B23058">
        <w:rPr>
          <w:rFonts w:asciiTheme="minorHAnsi" w:hAnsiTheme="minorHAnsi"/>
          <w:snapToGrid w:val="0"/>
          <w:lang w:val="en-GB"/>
        </w:rPr>
        <w:t>sharing arrangement.</w:t>
      </w:r>
      <w:bookmarkEnd w:id="78"/>
    </w:p>
    <w:p w14:paraId="580CCEA3" w14:textId="75B480F1" w:rsidR="00DF4CBF" w:rsidRPr="00CE42B4" w:rsidRDefault="005A4EFF" w:rsidP="00E072B9">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there was a high unmet clinical need for treatments to prevent </w:t>
      </w:r>
      <w:r w:rsidR="00F17453">
        <w:rPr>
          <w:rFonts w:asciiTheme="minorHAnsi" w:hAnsiTheme="minorHAnsi"/>
          <w:snapToGrid w:val="0"/>
          <w:lang w:val="en-GB"/>
        </w:rPr>
        <w:t>attacks for patients with AHP</w:t>
      </w:r>
      <w:r w:rsidR="00AA6767">
        <w:rPr>
          <w:rFonts w:asciiTheme="minorHAnsi" w:hAnsiTheme="minorHAnsi"/>
          <w:snapToGrid w:val="0"/>
          <w:lang w:val="en-GB"/>
        </w:rPr>
        <w:t xml:space="preserve">, with </w:t>
      </w:r>
      <w:r w:rsidR="00AA6767">
        <w:rPr>
          <w:rFonts w:asciiTheme="minorHAnsi" w:hAnsiTheme="minorHAnsi"/>
          <w:bCs/>
          <w:snapToGrid w:val="0"/>
        </w:rPr>
        <w:t>current treatments for AHP described as ineffective, invasive, difficult to access and associated with serious side effects</w:t>
      </w:r>
      <w:r w:rsidR="00F17453">
        <w:rPr>
          <w:rFonts w:asciiTheme="minorHAnsi" w:hAnsiTheme="minorHAnsi"/>
          <w:snapToGrid w:val="0"/>
          <w:lang w:val="en-GB"/>
        </w:rPr>
        <w:t>. The PBAC noted the substantial impact</w:t>
      </w:r>
      <w:r w:rsidR="009245A5">
        <w:rPr>
          <w:rFonts w:asciiTheme="minorHAnsi" w:hAnsiTheme="minorHAnsi"/>
          <w:snapToGrid w:val="0"/>
          <w:lang w:val="en-GB"/>
        </w:rPr>
        <w:t xml:space="preserve"> on QoL</w:t>
      </w:r>
      <w:r w:rsidR="00F17453">
        <w:rPr>
          <w:rFonts w:asciiTheme="minorHAnsi" w:hAnsiTheme="minorHAnsi"/>
          <w:snapToGrid w:val="0"/>
          <w:lang w:val="en-GB"/>
        </w:rPr>
        <w:t xml:space="preserve"> </w:t>
      </w:r>
      <w:r w:rsidR="00327D81">
        <w:rPr>
          <w:rFonts w:asciiTheme="minorHAnsi" w:hAnsiTheme="minorHAnsi"/>
          <w:snapToGrid w:val="0"/>
          <w:lang w:val="en-GB"/>
        </w:rPr>
        <w:t xml:space="preserve">for patients and carers </w:t>
      </w:r>
      <w:r w:rsidR="00F17453">
        <w:rPr>
          <w:rFonts w:asciiTheme="minorHAnsi" w:hAnsiTheme="minorHAnsi"/>
          <w:snapToGrid w:val="0"/>
          <w:lang w:val="en-GB"/>
        </w:rPr>
        <w:t>from</w:t>
      </w:r>
      <w:r w:rsidR="009245A5">
        <w:rPr>
          <w:rFonts w:asciiTheme="minorHAnsi" w:hAnsiTheme="minorHAnsi"/>
          <w:snapToGrid w:val="0"/>
          <w:lang w:val="en-GB"/>
        </w:rPr>
        <w:t xml:space="preserve"> both</w:t>
      </w:r>
      <w:r w:rsidR="00F17453">
        <w:rPr>
          <w:rFonts w:asciiTheme="minorHAnsi" w:hAnsiTheme="minorHAnsi"/>
          <w:snapToGrid w:val="0"/>
          <w:lang w:val="en-GB"/>
        </w:rPr>
        <w:t xml:space="preserve"> acute </w:t>
      </w:r>
      <w:r w:rsidR="009245A5">
        <w:rPr>
          <w:rFonts w:asciiTheme="minorHAnsi" w:hAnsiTheme="minorHAnsi"/>
          <w:snapToGrid w:val="0"/>
          <w:lang w:val="en-GB"/>
        </w:rPr>
        <w:t>and chronic symptoms associated with AHP</w:t>
      </w:r>
      <w:r w:rsidR="00327D81">
        <w:rPr>
          <w:rFonts w:asciiTheme="minorHAnsi" w:hAnsiTheme="minorHAnsi"/>
          <w:snapToGrid w:val="0"/>
          <w:lang w:val="en-GB"/>
        </w:rPr>
        <w:t>, as expressed in the consumer comments</w:t>
      </w:r>
      <w:r w:rsidR="00186F7B">
        <w:rPr>
          <w:rFonts w:asciiTheme="minorHAnsi" w:hAnsiTheme="minorHAnsi"/>
          <w:snapToGrid w:val="0"/>
          <w:lang w:val="en-GB"/>
        </w:rPr>
        <w:t xml:space="preserve">. The PBAC also noted the </w:t>
      </w:r>
      <w:proofErr w:type="gramStart"/>
      <w:r w:rsidR="00186F7B">
        <w:rPr>
          <w:rFonts w:asciiTheme="minorHAnsi" w:hAnsiTheme="minorHAnsi"/>
          <w:snapToGrid w:val="0"/>
          <w:lang w:val="en-GB"/>
        </w:rPr>
        <w:t>high cost</w:t>
      </w:r>
      <w:proofErr w:type="gramEnd"/>
      <w:r w:rsidR="00186F7B">
        <w:rPr>
          <w:rFonts w:asciiTheme="minorHAnsi" w:hAnsiTheme="minorHAnsi"/>
          <w:snapToGrid w:val="0"/>
          <w:lang w:val="en-GB"/>
        </w:rPr>
        <w:t xml:space="preserve"> to the </w:t>
      </w:r>
      <w:r w:rsidR="00A6259B">
        <w:rPr>
          <w:rFonts w:asciiTheme="minorHAnsi" w:hAnsiTheme="minorHAnsi"/>
          <w:snapToGrid w:val="0"/>
          <w:lang w:val="en-GB"/>
        </w:rPr>
        <w:t xml:space="preserve">health system for hospitalisations associated with </w:t>
      </w:r>
      <w:r w:rsidR="0080641D">
        <w:rPr>
          <w:rFonts w:asciiTheme="minorHAnsi" w:hAnsiTheme="minorHAnsi"/>
          <w:snapToGrid w:val="0"/>
          <w:lang w:val="en-GB"/>
        </w:rPr>
        <w:t xml:space="preserve">severe and </w:t>
      </w:r>
      <w:r w:rsidR="00A6259B">
        <w:rPr>
          <w:rFonts w:asciiTheme="minorHAnsi" w:hAnsiTheme="minorHAnsi"/>
          <w:snapToGrid w:val="0"/>
          <w:lang w:val="en-GB"/>
        </w:rPr>
        <w:t>acute attacks</w:t>
      </w:r>
      <w:r w:rsidR="00FB6BD6">
        <w:rPr>
          <w:rFonts w:asciiTheme="minorHAnsi" w:hAnsiTheme="minorHAnsi"/>
          <w:snapToGrid w:val="0"/>
          <w:lang w:val="en-GB"/>
        </w:rPr>
        <w:t xml:space="preserve">. </w:t>
      </w:r>
    </w:p>
    <w:p w14:paraId="11A8F7D1" w14:textId="3C5AC578" w:rsidR="00D514D6" w:rsidRPr="00D514D6" w:rsidRDefault="00B16488" w:rsidP="00E072B9">
      <w:pPr>
        <w:numPr>
          <w:ilvl w:val="1"/>
          <w:numId w:val="1"/>
        </w:numPr>
        <w:spacing w:after="120"/>
        <w:rPr>
          <w:rFonts w:asciiTheme="minorHAnsi" w:hAnsiTheme="minorHAnsi"/>
          <w:snapToGrid w:val="0"/>
        </w:rPr>
      </w:pPr>
      <w:bookmarkStart w:id="79" w:name="_Ref205194684"/>
      <w:r>
        <w:rPr>
          <w:rFonts w:asciiTheme="minorHAnsi" w:hAnsiTheme="minorHAnsi"/>
          <w:snapToGrid w:val="0"/>
          <w:lang w:val="en-GB"/>
        </w:rPr>
        <w:t xml:space="preserve">The PBAC noted that the </w:t>
      </w:r>
      <w:r w:rsidR="005C2912">
        <w:rPr>
          <w:rFonts w:asciiTheme="minorHAnsi" w:hAnsiTheme="minorHAnsi"/>
          <w:snapToGrid w:val="0"/>
          <w:lang w:val="en-GB"/>
        </w:rPr>
        <w:t xml:space="preserve">proposed restrictions were </w:t>
      </w:r>
      <w:proofErr w:type="gramStart"/>
      <w:r w:rsidR="005C2912">
        <w:rPr>
          <w:rFonts w:asciiTheme="minorHAnsi" w:hAnsiTheme="minorHAnsi"/>
          <w:snapToGrid w:val="0"/>
          <w:lang w:val="en-GB"/>
        </w:rPr>
        <w:t>generally aligned</w:t>
      </w:r>
      <w:proofErr w:type="gramEnd"/>
      <w:r w:rsidR="005C2912">
        <w:rPr>
          <w:rFonts w:asciiTheme="minorHAnsi" w:hAnsiTheme="minorHAnsi"/>
          <w:snapToGrid w:val="0"/>
          <w:lang w:val="en-GB"/>
        </w:rPr>
        <w:t xml:space="preserve"> with the inclusion criteria for the </w:t>
      </w:r>
      <w:r w:rsidR="004777F3">
        <w:rPr>
          <w:rFonts w:asciiTheme="minorHAnsi" w:hAnsiTheme="minorHAnsi"/>
          <w:snapToGrid w:val="0"/>
          <w:lang w:val="en-GB"/>
        </w:rPr>
        <w:t>pivotal trial (ENVISION)</w:t>
      </w:r>
      <w:r w:rsidR="00D514D6">
        <w:rPr>
          <w:rFonts w:asciiTheme="minorHAnsi" w:hAnsiTheme="minorHAnsi"/>
          <w:snapToGrid w:val="0"/>
          <w:lang w:val="en-GB"/>
        </w:rPr>
        <w:t xml:space="preserve">. </w:t>
      </w:r>
      <w:r w:rsidR="00C70191">
        <w:rPr>
          <w:rFonts w:asciiTheme="minorHAnsi" w:hAnsiTheme="minorHAnsi"/>
          <w:snapToGrid w:val="0"/>
        </w:rPr>
        <w:t xml:space="preserve">The PBAC noted that the proposed restrictions did not require genetic confirmation of the diagnosis of AHP, but considered this was reasonable as </w:t>
      </w:r>
      <w:r w:rsidR="00D514D6" w:rsidRPr="00D514D6">
        <w:rPr>
          <w:rFonts w:asciiTheme="minorHAnsi" w:hAnsiTheme="minorHAnsi"/>
          <w:iCs/>
          <w:snapToGrid w:val="0"/>
        </w:rPr>
        <w:t xml:space="preserve">diagnosis </w:t>
      </w:r>
      <w:r w:rsidR="00C70191">
        <w:rPr>
          <w:rFonts w:asciiTheme="minorHAnsi" w:hAnsiTheme="minorHAnsi"/>
          <w:iCs/>
          <w:snapToGrid w:val="0"/>
        </w:rPr>
        <w:t xml:space="preserve">is </w:t>
      </w:r>
      <w:r w:rsidR="00D514D6" w:rsidRPr="00D514D6">
        <w:rPr>
          <w:rFonts w:asciiTheme="minorHAnsi" w:hAnsiTheme="minorHAnsi"/>
          <w:iCs/>
          <w:snapToGrid w:val="0"/>
        </w:rPr>
        <w:t xml:space="preserve">based on </w:t>
      </w:r>
      <w:r w:rsidR="002A5163">
        <w:rPr>
          <w:rFonts w:asciiTheme="minorHAnsi" w:hAnsiTheme="minorHAnsi"/>
          <w:iCs/>
          <w:snapToGrid w:val="0"/>
        </w:rPr>
        <w:t xml:space="preserve">a </w:t>
      </w:r>
      <w:r w:rsidR="00F63426">
        <w:rPr>
          <w:rFonts w:asciiTheme="minorHAnsi" w:hAnsiTheme="minorHAnsi"/>
          <w:iCs/>
          <w:snapToGrid w:val="0"/>
        </w:rPr>
        <w:t>well</w:t>
      </w:r>
      <w:r w:rsidR="00E072B9">
        <w:rPr>
          <w:rFonts w:asciiTheme="minorHAnsi" w:hAnsiTheme="minorHAnsi"/>
          <w:iCs/>
          <w:snapToGrid w:val="0"/>
        </w:rPr>
        <w:noBreakHyphen/>
      </w:r>
      <w:r w:rsidR="00F63426">
        <w:rPr>
          <w:rFonts w:asciiTheme="minorHAnsi" w:hAnsiTheme="minorHAnsi"/>
          <w:iCs/>
          <w:snapToGrid w:val="0"/>
        </w:rPr>
        <w:t xml:space="preserve">defined </w:t>
      </w:r>
      <w:r w:rsidR="002A5163">
        <w:rPr>
          <w:rFonts w:asciiTheme="minorHAnsi" w:hAnsiTheme="minorHAnsi"/>
          <w:iCs/>
          <w:snapToGrid w:val="0"/>
        </w:rPr>
        <w:t xml:space="preserve">combination of </w:t>
      </w:r>
      <w:r w:rsidR="00D514D6" w:rsidRPr="00D514D6">
        <w:rPr>
          <w:rFonts w:asciiTheme="minorHAnsi" w:hAnsiTheme="minorHAnsi"/>
          <w:iCs/>
          <w:snapToGrid w:val="0"/>
        </w:rPr>
        <w:t>clinical features and biochemical criteria (as proposed in the restrictions)</w:t>
      </w:r>
      <w:r w:rsidR="00882A98">
        <w:rPr>
          <w:rFonts w:asciiTheme="minorHAnsi" w:hAnsiTheme="minorHAnsi"/>
          <w:iCs/>
          <w:snapToGrid w:val="0"/>
        </w:rPr>
        <w:t xml:space="preserve">. </w:t>
      </w:r>
      <w:r w:rsidR="00B540D6" w:rsidRPr="00B540D6">
        <w:rPr>
          <w:rFonts w:asciiTheme="minorHAnsi" w:hAnsiTheme="minorHAnsi"/>
          <w:iCs/>
          <w:snapToGrid w:val="0"/>
        </w:rPr>
        <w:t xml:space="preserve">The </w:t>
      </w:r>
      <w:r w:rsidR="00B540D6">
        <w:rPr>
          <w:rFonts w:asciiTheme="minorHAnsi" w:hAnsiTheme="minorHAnsi"/>
          <w:iCs/>
          <w:snapToGrid w:val="0"/>
        </w:rPr>
        <w:t xml:space="preserve">PBAC noted the restrictions </w:t>
      </w:r>
      <w:r w:rsidR="00B540D6" w:rsidRPr="00B540D6">
        <w:rPr>
          <w:rFonts w:asciiTheme="minorHAnsi" w:hAnsiTheme="minorHAnsi"/>
          <w:iCs/>
          <w:snapToGrid w:val="0"/>
        </w:rPr>
        <w:t xml:space="preserve">required </w:t>
      </w:r>
      <w:r w:rsidR="00B540D6">
        <w:rPr>
          <w:rFonts w:asciiTheme="minorHAnsi" w:hAnsiTheme="minorHAnsi"/>
          <w:iCs/>
          <w:snapToGrid w:val="0"/>
        </w:rPr>
        <w:t xml:space="preserve">patients to have had </w:t>
      </w:r>
      <w:r w:rsidR="00B540D6" w:rsidRPr="00B540D6">
        <w:rPr>
          <w:rFonts w:asciiTheme="minorHAnsi" w:hAnsiTheme="minorHAnsi"/>
          <w:iCs/>
          <w:snapToGrid w:val="0"/>
        </w:rPr>
        <w:t>at least two attacks within the six months prior to treatment initiation</w:t>
      </w:r>
      <w:r w:rsidR="00894EF5">
        <w:rPr>
          <w:rFonts w:asciiTheme="minorHAnsi" w:hAnsiTheme="minorHAnsi"/>
          <w:iCs/>
          <w:snapToGrid w:val="0"/>
        </w:rPr>
        <w:t>, with attacks defined as</w:t>
      </w:r>
      <w:r w:rsidR="004F5B7C">
        <w:rPr>
          <w:rFonts w:asciiTheme="minorHAnsi" w:hAnsiTheme="minorHAnsi"/>
          <w:iCs/>
          <w:snapToGrid w:val="0"/>
        </w:rPr>
        <w:t xml:space="preserve"> </w:t>
      </w:r>
      <w:r w:rsidR="004F5B7C" w:rsidRPr="004F5B7C">
        <w:rPr>
          <w:rFonts w:asciiTheme="minorHAnsi" w:hAnsiTheme="minorHAnsi"/>
          <w:iCs/>
          <w:snapToGrid w:val="0"/>
        </w:rPr>
        <w:t>requiring hospitalisation, presentation at an emergency department or medical intervention via a porphyria clinic</w:t>
      </w:r>
      <w:r w:rsidR="00B540D6">
        <w:rPr>
          <w:rFonts w:asciiTheme="minorHAnsi" w:hAnsiTheme="minorHAnsi"/>
          <w:iCs/>
          <w:snapToGrid w:val="0"/>
        </w:rPr>
        <w:t xml:space="preserve">. While this was consistent with the </w:t>
      </w:r>
      <w:r w:rsidR="00B540D6" w:rsidRPr="00B540D6">
        <w:rPr>
          <w:rFonts w:asciiTheme="minorHAnsi" w:hAnsiTheme="minorHAnsi"/>
          <w:iCs/>
          <w:snapToGrid w:val="0"/>
        </w:rPr>
        <w:t>inclusion criteria in ENVISION</w:t>
      </w:r>
      <w:r w:rsidR="00132AE9">
        <w:rPr>
          <w:rFonts w:asciiTheme="minorHAnsi" w:hAnsiTheme="minorHAnsi"/>
          <w:iCs/>
          <w:snapToGrid w:val="0"/>
        </w:rPr>
        <w:t xml:space="preserve">, the PBAC noted that </w:t>
      </w:r>
      <w:r w:rsidR="00FE4127">
        <w:rPr>
          <w:rFonts w:asciiTheme="minorHAnsi" w:hAnsiTheme="minorHAnsi"/>
          <w:iCs/>
          <w:snapToGrid w:val="0"/>
        </w:rPr>
        <w:t xml:space="preserve">attacks can be sporadic </w:t>
      </w:r>
      <w:r w:rsidR="00CF3019">
        <w:rPr>
          <w:rFonts w:asciiTheme="minorHAnsi" w:hAnsiTheme="minorHAnsi"/>
          <w:iCs/>
          <w:snapToGrid w:val="0"/>
        </w:rPr>
        <w:t xml:space="preserve">and vary </w:t>
      </w:r>
      <w:r w:rsidR="00D92B32">
        <w:rPr>
          <w:rFonts w:asciiTheme="minorHAnsi" w:hAnsiTheme="minorHAnsi"/>
          <w:iCs/>
          <w:snapToGrid w:val="0"/>
        </w:rPr>
        <w:t xml:space="preserve">substantially </w:t>
      </w:r>
      <w:r w:rsidR="00CF3019">
        <w:rPr>
          <w:rFonts w:asciiTheme="minorHAnsi" w:hAnsiTheme="minorHAnsi"/>
          <w:iCs/>
          <w:snapToGrid w:val="0"/>
        </w:rPr>
        <w:t>in severity</w:t>
      </w:r>
      <w:r w:rsidR="00E34865">
        <w:rPr>
          <w:rFonts w:asciiTheme="minorHAnsi" w:hAnsiTheme="minorHAnsi"/>
          <w:iCs/>
          <w:snapToGrid w:val="0"/>
        </w:rPr>
        <w:t xml:space="preserve">. The PBAC considered that patients with </w:t>
      </w:r>
      <w:r w:rsidR="007617DB">
        <w:rPr>
          <w:rFonts w:asciiTheme="minorHAnsi" w:hAnsiTheme="minorHAnsi"/>
          <w:iCs/>
          <w:snapToGrid w:val="0"/>
        </w:rPr>
        <w:t>less frequent</w:t>
      </w:r>
      <w:r w:rsidR="00984916">
        <w:rPr>
          <w:rFonts w:asciiTheme="minorHAnsi" w:hAnsiTheme="minorHAnsi"/>
          <w:iCs/>
          <w:snapToGrid w:val="0"/>
        </w:rPr>
        <w:t xml:space="preserve"> but</w:t>
      </w:r>
      <w:r w:rsidR="000A6F09">
        <w:rPr>
          <w:rFonts w:asciiTheme="minorHAnsi" w:hAnsiTheme="minorHAnsi"/>
          <w:iCs/>
          <w:snapToGrid w:val="0"/>
        </w:rPr>
        <w:t xml:space="preserve"> </w:t>
      </w:r>
      <w:r w:rsidR="007617DB">
        <w:rPr>
          <w:rFonts w:asciiTheme="minorHAnsi" w:hAnsiTheme="minorHAnsi"/>
          <w:iCs/>
          <w:snapToGrid w:val="0"/>
        </w:rPr>
        <w:t xml:space="preserve">very severe attacks would </w:t>
      </w:r>
      <w:r w:rsidR="00132FF9">
        <w:rPr>
          <w:rFonts w:asciiTheme="minorHAnsi" w:hAnsiTheme="minorHAnsi"/>
          <w:iCs/>
          <w:snapToGrid w:val="0"/>
        </w:rPr>
        <w:t>want to access treatment</w:t>
      </w:r>
      <w:r w:rsidR="00984916">
        <w:rPr>
          <w:rFonts w:asciiTheme="minorHAnsi" w:hAnsiTheme="minorHAnsi"/>
          <w:iCs/>
          <w:snapToGrid w:val="0"/>
        </w:rPr>
        <w:t xml:space="preserve">, and patients with frequent but </w:t>
      </w:r>
      <w:r w:rsidR="00315A78">
        <w:rPr>
          <w:rFonts w:asciiTheme="minorHAnsi" w:hAnsiTheme="minorHAnsi"/>
          <w:iCs/>
          <w:snapToGrid w:val="0"/>
        </w:rPr>
        <w:t xml:space="preserve">much </w:t>
      </w:r>
      <w:r w:rsidR="00984916">
        <w:rPr>
          <w:rFonts w:asciiTheme="minorHAnsi" w:hAnsiTheme="minorHAnsi"/>
          <w:iCs/>
          <w:snapToGrid w:val="0"/>
        </w:rPr>
        <w:t xml:space="preserve">less severe attacks </w:t>
      </w:r>
      <w:r w:rsidR="00315A78">
        <w:rPr>
          <w:rFonts w:asciiTheme="minorHAnsi" w:hAnsiTheme="minorHAnsi"/>
          <w:iCs/>
          <w:snapToGrid w:val="0"/>
        </w:rPr>
        <w:t>could</w:t>
      </w:r>
      <w:r w:rsidR="00984916">
        <w:rPr>
          <w:rFonts w:asciiTheme="minorHAnsi" w:hAnsiTheme="minorHAnsi"/>
          <w:iCs/>
          <w:snapToGrid w:val="0"/>
        </w:rPr>
        <w:t xml:space="preserve"> </w:t>
      </w:r>
      <w:r w:rsidR="008537FD">
        <w:rPr>
          <w:rFonts w:asciiTheme="minorHAnsi" w:hAnsiTheme="minorHAnsi"/>
          <w:iCs/>
          <w:snapToGrid w:val="0"/>
        </w:rPr>
        <w:t xml:space="preserve">also </w:t>
      </w:r>
      <w:r w:rsidR="00984916">
        <w:rPr>
          <w:rFonts w:asciiTheme="minorHAnsi" w:hAnsiTheme="minorHAnsi"/>
          <w:iCs/>
          <w:snapToGrid w:val="0"/>
        </w:rPr>
        <w:t>access treatment</w:t>
      </w:r>
      <w:r w:rsidR="00315A78">
        <w:rPr>
          <w:rFonts w:asciiTheme="minorHAnsi" w:hAnsiTheme="minorHAnsi"/>
          <w:iCs/>
          <w:snapToGrid w:val="0"/>
        </w:rPr>
        <w:t xml:space="preserve"> </w:t>
      </w:r>
      <w:r w:rsidR="00B82131">
        <w:rPr>
          <w:rFonts w:asciiTheme="minorHAnsi" w:hAnsiTheme="minorHAnsi"/>
          <w:iCs/>
          <w:snapToGrid w:val="0"/>
        </w:rPr>
        <w:t>under the proposed restrictions</w:t>
      </w:r>
      <w:r w:rsidR="00B540D6" w:rsidRPr="00B540D6">
        <w:rPr>
          <w:rFonts w:asciiTheme="minorHAnsi" w:hAnsiTheme="minorHAnsi"/>
          <w:iCs/>
          <w:snapToGrid w:val="0"/>
        </w:rPr>
        <w:t>.</w:t>
      </w:r>
      <w:r w:rsidR="00B82131">
        <w:rPr>
          <w:rFonts w:asciiTheme="minorHAnsi" w:hAnsiTheme="minorHAnsi"/>
          <w:iCs/>
          <w:snapToGrid w:val="0"/>
        </w:rPr>
        <w:t xml:space="preserve"> The PBAC considered that the definition and frequency of attacks as proposed in the </w:t>
      </w:r>
      <w:r w:rsidR="008F4F05">
        <w:rPr>
          <w:rFonts w:asciiTheme="minorHAnsi" w:hAnsiTheme="minorHAnsi"/>
          <w:iCs/>
          <w:snapToGrid w:val="0"/>
        </w:rPr>
        <w:t xml:space="preserve">restrictions were appropriate and consistent with the ENVISION trial, but the nature of the condition means that it is unclear whether </w:t>
      </w:r>
      <w:r w:rsidR="00AB1A5F">
        <w:rPr>
          <w:rFonts w:asciiTheme="minorHAnsi" w:hAnsiTheme="minorHAnsi"/>
          <w:iCs/>
          <w:snapToGrid w:val="0"/>
        </w:rPr>
        <w:t>they are likely to capture patients most in need of treatment.</w:t>
      </w:r>
      <w:bookmarkEnd w:id="79"/>
      <w:r w:rsidR="00A550BD">
        <w:rPr>
          <w:rFonts w:asciiTheme="minorHAnsi" w:hAnsiTheme="minorHAnsi"/>
          <w:iCs/>
          <w:snapToGrid w:val="0"/>
        </w:rPr>
        <w:t xml:space="preserve"> </w:t>
      </w:r>
    </w:p>
    <w:p w14:paraId="30C76E84" w14:textId="76D7E9EC" w:rsidR="008839CA" w:rsidRPr="008839CA" w:rsidRDefault="00D7606B" w:rsidP="00E072B9">
      <w:pPr>
        <w:pStyle w:val="3-BodyText"/>
      </w:pPr>
      <w:r>
        <w:t xml:space="preserve">The </w:t>
      </w:r>
      <w:r w:rsidR="003C123E">
        <w:t>PBAC considered</w:t>
      </w:r>
      <w:r>
        <w:t xml:space="preserve"> it was appropriate for the restrictions to allow patients on prophylactic treatment, with a documented history of acute porphyria attacks (as per the initiation criteria), to receive treatment with givosiran without the need to demonstrate additional attacks and noted that the Secretariat revised restrictions addressed this concern. </w:t>
      </w:r>
      <w:r w:rsidR="008839CA" w:rsidRPr="008839CA">
        <w:t xml:space="preserve">The submission requested a grandfathering restriction which will apply to patients currently receiving treatment through the Expanded Access Program (EAP). It was noted that grandfathered patients must also have had a documented history of at least two porphyria attacks prior to initiation of givosiran. Providing they meet the criteria for diagnosis of AHP, these patients would </w:t>
      </w:r>
      <w:r w:rsidR="0063372A">
        <w:t xml:space="preserve">also </w:t>
      </w:r>
      <w:r w:rsidR="008839CA" w:rsidRPr="008839CA">
        <w:t>be eligible for treatment under the initial treatment restriction with revisions</w:t>
      </w:r>
      <w:r w:rsidR="005E60DC">
        <w:t xml:space="preserve"> proposed by the Secretariat</w:t>
      </w:r>
      <w:r w:rsidR="008839CA" w:rsidRPr="008839CA">
        <w:t>.</w:t>
      </w:r>
    </w:p>
    <w:p w14:paraId="2F57A4B9" w14:textId="149F1AB3" w:rsidR="00547C8B" w:rsidRDefault="00547C8B" w:rsidP="00E072B9">
      <w:pPr>
        <w:pStyle w:val="3-BodyText"/>
      </w:pPr>
      <w:r>
        <w:t xml:space="preserve">The proposed continuation criteria require patients to demonstrate improvement in the frequency or severity of AHP attacks while on treatment. </w:t>
      </w:r>
      <w:r w:rsidR="00265FC0">
        <w:t>As t</w:t>
      </w:r>
      <w:r w:rsidR="00CB67BB">
        <w:t xml:space="preserve">he proposed </w:t>
      </w:r>
      <w:r w:rsidR="007645AF">
        <w:t xml:space="preserve">continuation criteria were not specific or </w:t>
      </w:r>
      <w:r w:rsidR="00265FC0">
        <w:t xml:space="preserve">clearly </w:t>
      </w:r>
      <w:r w:rsidR="007645AF">
        <w:t>defined</w:t>
      </w:r>
      <w:r w:rsidR="00F91B29">
        <w:t xml:space="preserve"> in terms of outcomes, the</w:t>
      </w:r>
      <w:r w:rsidRPr="00B11CF6">
        <w:rPr>
          <w:iCs/>
        </w:rPr>
        <w:t xml:space="preserve"> assessment of response </w:t>
      </w:r>
      <w:r w:rsidR="00536037">
        <w:rPr>
          <w:iCs/>
        </w:rPr>
        <w:t xml:space="preserve">would </w:t>
      </w:r>
      <w:r w:rsidRPr="00B11CF6">
        <w:rPr>
          <w:iCs/>
        </w:rPr>
        <w:t>rel</w:t>
      </w:r>
      <w:r w:rsidR="00536037">
        <w:rPr>
          <w:iCs/>
        </w:rPr>
        <w:t>y</w:t>
      </w:r>
      <w:r w:rsidRPr="00B11CF6">
        <w:rPr>
          <w:iCs/>
        </w:rPr>
        <w:t xml:space="preserve"> on clinical judgement</w:t>
      </w:r>
      <w:r w:rsidR="00265FC0">
        <w:rPr>
          <w:iCs/>
        </w:rPr>
        <w:t>, which th</w:t>
      </w:r>
      <w:r w:rsidR="00F91B29">
        <w:t>e PBAC considered was reasonable</w:t>
      </w:r>
      <w:r w:rsidRPr="00B11CF6">
        <w:rPr>
          <w:iCs/>
        </w:rPr>
        <w:t>.</w:t>
      </w:r>
      <w:r w:rsidR="00B11CF6">
        <w:rPr>
          <w:iCs/>
        </w:rPr>
        <w:t xml:space="preserve"> </w:t>
      </w:r>
      <w:r w:rsidR="00F758E8">
        <w:rPr>
          <w:iCs/>
        </w:rPr>
        <w:t xml:space="preserve">The PBAC considered that it would be expected that patients would trial </w:t>
      </w:r>
      <w:r w:rsidR="003E0F0A">
        <w:rPr>
          <w:iCs/>
        </w:rPr>
        <w:t xml:space="preserve">discontinuation of treatment, but that </w:t>
      </w:r>
      <w:r w:rsidR="00EA3519">
        <w:rPr>
          <w:iCs/>
        </w:rPr>
        <w:t xml:space="preserve">the timing of </w:t>
      </w:r>
      <w:r w:rsidR="003E0F0A">
        <w:rPr>
          <w:iCs/>
        </w:rPr>
        <w:t>this would be highly individualised</w:t>
      </w:r>
      <w:r w:rsidR="006F788B">
        <w:rPr>
          <w:iCs/>
        </w:rPr>
        <w:t xml:space="preserve"> and therefore not appropriate for incorporation into the restrictions</w:t>
      </w:r>
      <w:r w:rsidR="003E0F0A">
        <w:rPr>
          <w:iCs/>
        </w:rPr>
        <w:t xml:space="preserve">. </w:t>
      </w:r>
    </w:p>
    <w:p w14:paraId="1C01C7F0" w14:textId="0D1E089C" w:rsidR="00DF4CBF" w:rsidRPr="00CE42B4" w:rsidRDefault="003E0F0A" w:rsidP="00E072B9">
      <w:pPr>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proposed c</w:t>
      </w:r>
      <w:r w:rsidR="00DF4CBF" w:rsidRPr="00CE42B4">
        <w:rPr>
          <w:rFonts w:asciiTheme="minorHAnsi" w:hAnsiTheme="minorHAnsi"/>
          <w:snapToGrid w:val="0"/>
          <w:lang w:val="en-GB"/>
        </w:rPr>
        <w:t xml:space="preserve">linical place for </w:t>
      </w:r>
      <w:r>
        <w:rPr>
          <w:rFonts w:asciiTheme="minorHAnsi" w:hAnsiTheme="minorHAnsi"/>
          <w:snapToGrid w:val="0"/>
          <w:lang w:val="en-GB"/>
        </w:rPr>
        <w:t xml:space="preserve">givosiran was appropriate </w:t>
      </w:r>
      <w:r w:rsidR="008F6BC9">
        <w:rPr>
          <w:rFonts w:asciiTheme="minorHAnsi" w:hAnsiTheme="minorHAnsi"/>
          <w:snapToGrid w:val="0"/>
          <w:lang w:val="en-GB"/>
        </w:rPr>
        <w:t xml:space="preserve">and </w:t>
      </w:r>
      <w:r w:rsidR="00241821">
        <w:rPr>
          <w:rFonts w:asciiTheme="minorHAnsi" w:hAnsiTheme="minorHAnsi"/>
          <w:snapToGrid w:val="0"/>
          <w:lang w:val="en-GB"/>
        </w:rPr>
        <w:t>the population</w:t>
      </w:r>
      <w:r w:rsidR="001A3F0A">
        <w:rPr>
          <w:rFonts w:asciiTheme="minorHAnsi" w:hAnsiTheme="minorHAnsi"/>
          <w:snapToGrid w:val="0"/>
          <w:lang w:val="en-GB"/>
        </w:rPr>
        <w:t xml:space="preserve">, although </w:t>
      </w:r>
      <w:r w:rsidR="008F6BC9">
        <w:rPr>
          <w:rFonts w:asciiTheme="minorHAnsi" w:hAnsiTheme="minorHAnsi"/>
          <w:snapToGrid w:val="0"/>
          <w:lang w:val="en-GB"/>
        </w:rPr>
        <w:t xml:space="preserve">adequately </w:t>
      </w:r>
      <w:r w:rsidR="00241821">
        <w:rPr>
          <w:rFonts w:asciiTheme="minorHAnsi" w:hAnsiTheme="minorHAnsi"/>
          <w:snapToGrid w:val="0"/>
          <w:lang w:val="en-GB"/>
        </w:rPr>
        <w:t>captured</w:t>
      </w:r>
      <w:r w:rsidR="008F6BC9">
        <w:rPr>
          <w:rFonts w:asciiTheme="minorHAnsi" w:hAnsiTheme="minorHAnsi"/>
          <w:snapToGrid w:val="0"/>
          <w:lang w:val="en-GB"/>
        </w:rPr>
        <w:t xml:space="preserve"> in the proposed restrictions, </w:t>
      </w:r>
      <w:r w:rsidR="00B906EF">
        <w:rPr>
          <w:rFonts w:asciiTheme="minorHAnsi" w:hAnsiTheme="minorHAnsi"/>
          <w:snapToGrid w:val="0"/>
          <w:lang w:val="en-GB"/>
        </w:rPr>
        <w:t xml:space="preserve">potentially </w:t>
      </w:r>
      <w:r w:rsidR="001A3F0A">
        <w:rPr>
          <w:rFonts w:asciiTheme="minorHAnsi" w:hAnsiTheme="minorHAnsi"/>
          <w:snapToGrid w:val="0"/>
          <w:lang w:val="en-GB"/>
        </w:rPr>
        <w:t xml:space="preserve">included patients with </w:t>
      </w:r>
      <w:r w:rsidR="00880B3D">
        <w:rPr>
          <w:rFonts w:asciiTheme="minorHAnsi" w:hAnsiTheme="minorHAnsi"/>
          <w:snapToGrid w:val="0"/>
          <w:lang w:val="en-GB"/>
        </w:rPr>
        <w:t xml:space="preserve">a range of </w:t>
      </w:r>
      <w:r w:rsidR="001A3F0A">
        <w:rPr>
          <w:rFonts w:asciiTheme="minorHAnsi" w:hAnsiTheme="minorHAnsi"/>
          <w:snapToGrid w:val="0"/>
          <w:lang w:val="en-GB"/>
        </w:rPr>
        <w:t xml:space="preserve">symptom severity. </w:t>
      </w:r>
    </w:p>
    <w:p w14:paraId="04A4F71D" w14:textId="064A2CEC" w:rsidR="00994E1F" w:rsidRPr="00E750DB" w:rsidRDefault="00994E1F" w:rsidP="00E072B9">
      <w:pPr>
        <w:pStyle w:val="3-BodyText"/>
      </w:pPr>
      <w:r w:rsidRPr="00E750DB">
        <w:t xml:space="preserve">The </w:t>
      </w:r>
      <w:r w:rsidR="00C42BB0">
        <w:t xml:space="preserve">PBAC considered the nominated comparator of </w:t>
      </w:r>
      <w:r w:rsidRPr="00E750DB">
        <w:t>BSC</w:t>
      </w:r>
      <w:r w:rsidR="00C42BB0">
        <w:t xml:space="preserve"> was appropriate. T</w:t>
      </w:r>
      <w:r w:rsidR="00413540">
        <w:t>h</w:t>
      </w:r>
      <w:r w:rsidR="00C42BB0">
        <w:t xml:space="preserve">e PBAC noted that </w:t>
      </w:r>
      <w:r w:rsidR="00413540">
        <w:t xml:space="preserve">symptomatic treatments for AHP </w:t>
      </w:r>
      <w:r w:rsidR="002B1C21">
        <w:t xml:space="preserve">would not be replaced by givosiran, though their use may decrease with reductions in the number and severity of attacks. </w:t>
      </w:r>
    </w:p>
    <w:p w14:paraId="481B1DD2" w14:textId="0542CAFF" w:rsidR="00AA2FA4" w:rsidRDefault="00912ACF" w:rsidP="00E072B9">
      <w:pPr>
        <w:pStyle w:val="3-BodyText"/>
      </w:pPr>
      <w:r>
        <w:t xml:space="preserve">The submission was based on one randomised, </w:t>
      </w:r>
      <w:r w:rsidR="001C522A">
        <w:t>6</w:t>
      </w:r>
      <w:r w:rsidR="00E072B9">
        <w:noBreakHyphen/>
      </w:r>
      <w:r w:rsidR="001C522A">
        <w:t xml:space="preserve">month, </w:t>
      </w:r>
      <w:r>
        <w:t>double</w:t>
      </w:r>
      <w:r w:rsidR="00E072B9">
        <w:noBreakHyphen/>
      </w:r>
      <w:r>
        <w:t>blind, head</w:t>
      </w:r>
      <w:r w:rsidR="00E072B9">
        <w:noBreakHyphen/>
      </w:r>
      <w:r>
        <w:t>to</w:t>
      </w:r>
      <w:r w:rsidR="00E072B9">
        <w:noBreakHyphen/>
      </w:r>
      <w:r>
        <w:t>head, phase 3 trial of givosiran (ENVISION)</w:t>
      </w:r>
      <w:r w:rsidR="00E5033A">
        <w:t>, supported by a</w:t>
      </w:r>
      <w:r w:rsidR="001C522A">
        <w:t xml:space="preserve"> 30</w:t>
      </w:r>
      <w:r w:rsidR="00E072B9">
        <w:noBreakHyphen/>
      </w:r>
      <w:r w:rsidR="001C522A">
        <w:t>month</w:t>
      </w:r>
      <w:r w:rsidR="00E5033A">
        <w:t xml:space="preserve"> open</w:t>
      </w:r>
      <w:r w:rsidR="00E072B9">
        <w:noBreakHyphen/>
      </w:r>
      <w:r w:rsidR="00E5033A">
        <w:t xml:space="preserve">label extension </w:t>
      </w:r>
      <w:r w:rsidR="00545870">
        <w:t>phase of</w:t>
      </w:r>
      <w:r w:rsidR="00E5033A">
        <w:t xml:space="preserve"> </w:t>
      </w:r>
      <w:r w:rsidR="001C522A">
        <w:t>ENVISION</w:t>
      </w:r>
      <w:r w:rsidR="0084588A">
        <w:t xml:space="preserve"> and other</w:t>
      </w:r>
      <w:r w:rsidR="006259D0">
        <w:t xml:space="preserve"> supplementary evidence from phase 1/2 trials.</w:t>
      </w:r>
      <w:r w:rsidR="00E667A1">
        <w:t xml:space="preserve"> The PBAC noted that the </w:t>
      </w:r>
      <w:r w:rsidR="00FA2603">
        <w:t xml:space="preserve">RCT phase of the </w:t>
      </w:r>
      <w:r w:rsidR="00E667A1">
        <w:t>ENVISION trial had a low risk of bias</w:t>
      </w:r>
      <w:r w:rsidR="00157FCA">
        <w:t xml:space="preserve">. </w:t>
      </w:r>
      <w:r w:rsidR="00F36CF8">
        <w:t xml:space="preserve">The PBAC noted that </w:t>
      </w:r>
      <w:r w:rsidR="00F523FB">
        <w:t xml:space="preserve">ENVISION included predominantly </w:t>
      </w:r>
      <w:r w:rsidR="00E850C8">
        <w:t>patients with the AIP subtype</w:t>
      </w:r>
      <w:r w:rsidR="00FF79B3">
        <w:t xml:space="preserve"> of AHP</w:t>
      </w:r>
      <w:r w:rsidR="00E850C8">
        <w:t xml:space="preserve"> (95% of patients)</w:t>
      </w:r>
      <w:r w:rsidR="0068766F">
        <w:t xml:space="preserve">, whereas </w:t>
      </w:r>
      <w:r w:rsidR="00E92BA5">
        <w:t xml:space="preserve">other </w:t>
      </w:r>
      <w:r w:rsidR="00AA2FA4" w:rsidRPr="00AA2FA4">
        <w:t>subtypes could make up 20</w:t>
      </w:r>
      <w:r w:rsidR="00E072B9">
        <w:noBreakHyphen/>
      </w:r>
      <w:r w:rsidR="00AA2FA4" w:rsidRPr="00AA2FA4">
        <w:t xml:space="preserve">40% of the likely PBS population. </w:t>
      </w:r>
      <w:r w:rsidR="001E55A9">
        <w:t xml:space="preserve">The PBAC </w:t>
      </w:r>
      <w:r w:rsidR="00A20C0C" w:rsidRPr="001E55A9">
        <w:t>considered that it is likely that treatment will be effective in all subtypes of AHP based on biological similarities and the mechanism of action of givosiran.</w:t>
      </w:r>
      <w:r w:rsidR="004E6E9C">
        <w:t xml:space="preserve"> </w:t>
      </w:r>
      <w:r w:rsidR="00D13798">
        <w:t>Overall,</w:t>
      </w:r>
      <w:r w:rsidR="004E6E9C">
        <w:t xml:space="preserve"> the PBAC considered the trial population and</w:t>
      </w:r>
      <w:r w:rsidR="004D65D6">
        <w:t xml:space="preserve"> supportive</w:t>
      </w:r>
      <w:r w:rsidR="004E6E9C">
        <w:t xml:space="preserve"> care received </w:t>
      </w:r>
      <w:r w:rsidR="005960E8">
        <w:t xml:space="preserve">in ENVISION </w:t>
      </w:r>
      <w:r w:rsidR="004E6E9C">
        <w:t xml:space="preserve">were </w:t>
      </w:r>
      <w:r w:rsidR="00A25DC1">
        <w:t xml:space="preserve">likely to be representative of AHP patients in Australian clinical practice. </w:t>
      </w:r>
    </w:p>
    <w:p w14:paraId="0E54EC59" w14:textId="7FC09AF6" w:rsidR="00913C74" w:rsidRPr="00913C74" w:rsidRDefault="001A32DE" w:rsidP="00E072B9">
      <w:pPr>
        <w:pStyle w:val="3-BodyText"/>
      </w:pPr>
      <w:r>
        <w:t xml:space="preserve">The PBAC noted that in the </w:t>
      </w:r>
      <w:r w:rsidR="00643457">
        <w:t>RCT phase of ENVISION g</w:t>
      </w:r>
      <w:r w:rsidRPr="001A32DE">
        <w:t xml:space="preserve">ivosiran demonstrated a statistically significant reduction of 74% in the </w:t>
      </w:r>
      <w:r w:rsidR="0087622F">
        <w:t xml:space="preserve">primary outcome of </w:t>
      </w:r>
      <w:r w:rsidRPr="001A32DE">
        <w:t>mean AAR porphyria attack composite endpoint compared to placebo in AIP patients (rate ratio=0.26, p</w:t>
      </w:r>
      <w:r w:rsidR="002E1FD5">
        <w:t xml:space="preserve"> </w:t>
      </w:r>
      <w:r w:rsidRPr="001A32DE">
        <w:t>&lt;</w:t>
      </w:r>
      <w:r w:rsidR="002E1FD5">
        <w:t xml:space="preserve"> </w:t>
      </w:r>
      <w:r w:rsidRPr="001A32DE">
        <w:t>0.0001)</w:t>
      </w:r>
      <w:r w:rsidR="00D525CB">
        <w:t>.</w:t>
      </w:r>
      <w:r w:rsidRPr="001A32DE">
        <w:t xml:space="preserve"> </w:t>
      </w:r>
      <w:r w:rsidR="00D7471D">
        <w:t>The PBAC noted that</w:t>
      </w:r>
      <w:r w:rsidR="00557D10">
        <w:t xml:space="preserve"> </w:t>
      </w:r>
      <w:r w:rsidR="00095690">
        <w:t xml:space="preserve">for </w:t>
      </w:r>
      <w:r w:rsidR="00553168">
        <w:t>most other secondary measures</w:t>
      </w:r>
      <w:r w:rsidR="00B85905">
        <w:t xml:space="preserve"> (</w:t>
      </w:r>
      <w:r w:rsidR="006A6231">
        <w:t>including biochemical markers</w:t>
      </w:r>
      <w:r w:rsidR="00B85905">
        <w:t xml:space="preserve">, annualised days of hemin use, </w:t>
      </w:r>
      <w:r w:rsidR="006A6231">
        <w:t xml:space="preserve">and </w:t>
      </w:r>
      <w:r w:rsidR="003A0775">
        <w:t xml:space="preserve">some </w:t>
      </w:r>
      <w:r w:rsidR="006A6231">
        <w:t>patient reported outcomes</w:t>
      </w:r>
      <w:r w:rsidR="00B85905">
        <w:t>)</w:t>
      </w:r>
      <w:r w:rsidR="00553168">
        <w:t xml:space="preserve"> </w:t>
      </w:r>
      <w:r w:rsidR="00095690">
        <w:t>givosiran also demonstrated superiority</w:t>
      </w:r>
      <w:r w:rsidR="00730E46">
        <w:t xml:space="preserve"> over placebo. </w:t>
      </w:r>
      <w:r w:rsidR="0052332C">
        <w:t>The PBAC</w:t>
      </w:r>
      <w:r w:rsidR="002F2710">
        <w:t xml:space="preserve"> </w:t>
      </w:r>
      <w:r w:rsidR="0052332C">
        <w:t>noted that</w:t>
      </w:r>
      <w:r w:rsidR="002F2710">
        <w:t>,</w:t>
      </w:r>
      <w:r w:rsidR="0052332C">
        <w:t xml:space="preserve"> although only 6 months of comparative dat</w:t>
      </w:r>
      <w:r w:rsidR="003A0775">
        <w:t>a</w:t>
      </w:r>
      <w:r w:rsidR="0052332C">
        <w:t xml:space="preserve"> were available, the extension phase indicated that the treatment effect was maintained over 36 months</w:t>
      </w:r>
      <w:r w:rsidR="002F2710">
        <w:t>.</w:t>
      </w:r>
      <w:r w:rsidR="000E7E81">
        <w:t xml:space="preserve"> The PBAC considered that the claim of superior comparative effectiveness was adequately supported by the data. </w:t>
      </w:r>
    </w:p>
    <w:p w14:paraId="1E63037E" w14:textId="245806A5" w:rsidR="00AD20CA" w:rsidRPr="00CB575B" w:rsidRDefault="00AD20CA" w:rsidP="00E072B9">
      <w:pPr>
        <w:pStyle w:val="3-BodyText"/>
      </w:pPr>
      <w:r>
        <w:rPr>
          <w:snapToGrid w:val="0"/>
          <w:lang w:val="en-GB"/>
        </w:rPr>
        <w:t xml:space="preserve">The PBAC noted that </w:t>
      </w:r>
      <w:r w:rsidR="00DA52F9">
        <w:t>p</w:t>
      </w:r>
      <w:r w:rsidR="00DA52F9" w:rsidRPr="00E750DB">
        <w:t xml:space="preserve">atients randomised to givosiran in the ENVISION trial reported statistically </w:t>
      </w:r>
      <w:r w:rsidR="00DA52F9" w:rsidRPr="00CB575B">
        <w:t>significantly increased incidences of injection</w:t>
      </w:r>
      <w:r w:rsidR="00E072B9">
        <w:noBreakHyphen/>
      </w:r>
      <w:r w:rsidR="00DA52F9" w:rsidRPr="00CB575B">
        <w:t>site reactions, nausea and chronic kidney disease</w:t>
      </w:r>
      <w:r w:rsidR="00826EB0" w:rsidRPr="00CB575B">
        <w:t xml:space="preserve"> and </w:t>
      </w:r>
      <w:r w:rsidR="004511EA">
        <w:t>noted</w:t>
      </w:r>
      <w:r w:rsidR="004511EA" w:rsidRPr="00CB575B">
        <w:t xml:space="preserve"> </w:t>
      </w:r>
      <w:r w:rsidR="00826EB0" w:rsidRPr="00CB575B">
        <w:t>that</w:t>
      </w:r>
      <w:r w:rsidR="00584F09">
        <w:t>,</w:t>
      </w:r>
      <w:r w:rsidR="00826EB0" w:rsidRPr="00CB575B">
        <w:t xml:space="preserve"> as</w:t>
      </w:r>
      <w:r w:rsidRPr="00CB575B">
        <w:t xml:space="preserve"> the duration of </w:t>
      </w:r>
      <w:r w:rsidR="00826EB0" w:rsidRPr="00CB575B">
        <w:t xml:space="preserve">RCT phase of </w:t>
      </w:r>
      <w:r w:rsidRPr="00CB575B">
        <w:t>ENVISION was only six months</w:t>
      </w:r>
      <w:r w:rsidR="00584F09">
        <w:t>,</w:t>
      </w:r>
      <w:r w:rsidRPr="00CB575B">
        <w:t xml:space="preserve"> long</w:t>
      </w:r>
      <w:r w:rsidR="00E072B9">
        <w:noBreakHyphen/>
      </w:r>
      <w:r w:rsidRPr="00CB575B">
        <w:t>term risks</w:t>
      </w:r>
      <w:r w:rsidR="00826EB0" w:rsidRPr="00CB575B">
        <w:t xml:space="preserve"> of treatment with givosiran are unknown.</w:t>
      </w:r>
      <w:r w:rsidR="00DA3163" w:rsidRPr="00CB575B">
        <w:t xml:space="preserve"> The PBAC considered that the claim of non</w:t>
      </w:r>
      <w:r w:rsidR="00E072B9">
        <w:noBreakHyphen/>
      </w:r>
      <w:r w:rsidR="00DA3163" w:rsidRPr="00CB575B">
        <w:t>inferior comparative safety was not adequately supported by the data</w:t>
      </w:r>
      <w:r w:rsidRPr="00CB575B">
        <w:rPr>
          <w:iCs/>
        </w:rPr>
        <w:t xml:space="preserve"> </w:t>
      </w:r>
      <w:r w:rsidR="00DA3163" w:rsidRPr="00CB575B">
        <w:rPr>
          <w:iCs/>
        </w:rPr>
        <w:t>and a claim of inferior safety would be appropriate.</w:t>
      </w:r>
    </w:p>
    <w:p w14:paraId="4F3FCC05" w14:textId="568A3FF6" w:rsidR="00DA3163" w:rsidRPr="00CB575B" w:rsidRDefault="006C7E77" w:rsidP="00E072B9">
      <w:pPr>
        <w:pStyle w:val="3-BodyText"/>
      </w:pPr>
      <w:r w:rsidRPr="00CB575B">
        <w:t>The</w:t>
      </w:r>
      <w:r w:rsidR="00A550BD">
        <w:t xml:space="preserve"> </w:t>
      </w:r>
      <w:r w:rsidRPr="00CB575B">
        <w:t xml:space="preserve">PBAC noted the submission presented a modelled </w:t>
      </w:r>
      <w:r w:rsidR="001230A3" w:rsidRPr="00CB575B">
        <w:t>cost</w:t>
      </w:r>
      <w:r w:rsidR="00E072B9">
        <w:noBreakHyphen/>
      </w:r>
      <w:r w:rsidR="001230A3" w:rsidRPr="00CB575B">
        <w:t xml:space="preserve">utility </w:t>
      </w:r>
      <w:r w:rsidRPr="00CB575B">
        <w:t xml:space="preserve">economic evaluation based on the clinical data from the ENVISION trial, supported by additional data from the ENVISION OLE study, literature, and inputs from Australian clinical experts. </w:t>
      </w:r>
      <w:r w:rsidR="00DA3163" w:rsidRPr="00CB575B">
        <w:rPr>
          <w:snapToGrid w:val="0"/>
        </w:rPr>
        <w:t xml:space="preserve">The </w:t>
      </w:r>
      <w:r w:rsidR="001230A3" w:rsidRPr="00CB575B">
        <w:rPr>
          <w:snapToGrid w:val="0"/>
        </w:rPr>
        <w:t>PBAC noted the</w:t>
      </w:r>
      <w:r w:rsidR="006203B6" w:rsidRPr="00CB575B">
        <w:rPr>
          <w:snapToGrid w:val="0"/>
        </w:rPr>
        <w:t>re was only</w:t>
      </w:r>
      <w:r w:rsidR="001230A3" w:rsidRPr="00CB575B">
        <w:rPr>
          <w:snapToGrid w:val="0"/>
        </w:rPr>
        <w:t xml:space="preserve"> </w:t>
      </w:r>
      <w:r w:rsidR="00CA4C68" w:rsidRPr="00CB575B">
        <w:rPr>
          <w:snapToGrid w:val="0"/>
        </w:rPr>
        <w:t>6 months of comparative data</w:t>
      </w:r>
      <w:r w:rsidR="006203B6" w:rsidRPr="00CB575B">
        <w:rPr>
          <w:snapToGrid w:val="0"/>
        </w:rPr>
        <w:t>,</w:t>
      </w:r>
      <w:r w:rsidR="00042999" w:rsidRPr="00CB575B">
        <w:rPr>
          <w:snapToGrid w:val="0"/>
        </w:rPr>
        <w:t xml:space="preserve"> in a limited number of patients</w:t>
      </w:r>
      <w:r w:rsidR="00052C33" w:rsidRPr="00CB575B">
        <w:rPr>
          <w:snapToGrid w:val="0"/>
        </w:rPr>
        <w:t xml:space="preserve"> </w:t>
      </w:r>
      <w:r w:rsidR="006203B6" w:rsidRPr="00CB575B">
        <w:rPr>
          <w:snapToGrid w:val="0"/>
        </w:rPr>
        <w:t>to inform the economic model</w:t>
      </w:r>
      <w:r w:rsidR="00CA4C68" w:rsidRPr="00CB575B">
        <w:rPr>
          <w:snapToGrid w:val="0"/>
        </w:rPr>
        <w:t xml:space="preserve">, </w:t>
      </w:r>
      <w:r w:rsidR="00052C33" w:rsidRPr="00CB575B">
        <w:rPr>
          <w:snapToGrid w:val="0"/>
        </w:rPr>
        <w:t xml:space="preserve">with outcomes </w:t>
      </w:r>
      <w:r w:rsidR="00CA4C68" w:rsidRPr="00CB575B">
        <w:rPr>
          <w:snapToGrid w:val="0"/>
        </w:rPr>
        <w:t xml:space="preserve">extrapolated to a </w:t>
      </w:r>
      <w:r w:rsidR="00D13798" w:rsidRPr="00CB575B">
        <w:rPr>
          <w:snapToGrid w:val="0"/>
        </w:rPr>
        <w:t>62</w:t>
      </w:r>
      <w:r w:rsidR="00E072B9">
        <w:rPr>
          <w:snapToGrid w:val="0"/>
        </w:rPr>
        <w:noBreakHyphen/>
      </w:r>
      <w:r w:rsidR="00D13798" w:rsidRPr="00CB575B">
        <w:rPr>
          <w:snapToGrid w:val="0"/>
        </w:rPr>
        <w:t>year</w:t>
      </w:r>
      <w:r w:rsidR="00CA4C68" w:rsidRPr="00CB575B">
        <w:rPr>
          <w:snapToGrid w:val="0"/>
        </w:rPr>
        <w:t xml:space="preserve"> time horizon</w:t>
      </w:r>
      <w:r w:rsidR="00042999" w:rsidRPr="00CB575B">
        <w:rPr>
          <w:snapToGrid w:val="0"/>
        </w:rPr>
        <w:t xml:space="preserve">, </w:t>
      </w:r>
      <w:r w:rsidR="00052C33" w:rsidRPr="00CB575B">
        <w:rPr>
          <w:snapToGrid w:val="0"/>
        </w:rPr>
        <w:t>and</w:t>
      </w:r>
      <w:r w:rsidR="00042999" w:rsidRPr="00CB575B">
        <w:rPr>
          <w:snapToGrid w:val="0"/>
        </w:rPr>
        <w:t xml:space="preserve"> many inputs </w:t>
      </w:r>
      <w:r w:rsidR="00EE6D51" w:rsidRPr="00CB575B">
        <w:rPr>
          <w:snapToGrid w:val="0"/>
        </w:rPr>
        <w:t xml:space="preserve">drawn from literature not necessarily representative of AHP patients. This </w:t>
      </w:r>
      <w:r w:rsidR="00042999" w:rsidRPr="00CB575B">
        <w:rPr>
          <w:snapToGrid w:val="0"/>
        </w:rPr>
        <w:t>resulted in a high level of uncertainty</w:t>
      </w:r>
      <w:r w:rsidR="00A43BAE" w:rsidRPr="00CB575B">
        <w:rPr>
          <w:snapToGrid w:val="0"/>
        </w:rPr>
        <w:t xml:space="preserve"> in the modelled outcomes</w:t>
      </w:r>
      <w:r w:rsidR="00042999" w:rsidRPr="00CB575B">
        <w:rPr>
          <w:snapToGrid w:val="0"/>
        </w:rPr>
        <w:t xml:space="preserve">. </w:t>
      </w:r>
      <w:r w:rsidR="00052C33" w:rsidRPr="00CB575B">
        <w:rPr>
          <w:snapToGrid w:val="0"/>
        </w:rPr>
        <w:t xml:space="preserve">The model also </w:t>
      </w:r>
      <w:r w:rsidR="00DA3163" w:rsidRPr="00CB575B">
        <w:rPr>
          <w:snapToGrid w:val="0"/>
        </w:rPr>
        <w:t xml:space="preserve">included </w:t>
      </w:r>
      <w:proofErr w:type="gramStart"/>
      <w:r w:rsidR="00DA3163" w:rsidRPr="00CB575B">
        <w:rPr>
          <w:snapToGrid w:val="0"/>
        </w:rPr>
        <w:t>a number of</w:t>
      </w:r>
      <w:proofErr w:type="gramEnd"/>
      <w:r w:rsidR="00DA3163" w:rsidRPr="00CB575B">
        <w:rPr>
          <w:snapToGrid w:val="0"/>
        </w:rPr>
        <w:t xml:space="preserve"> structural assumptions which favoured givosiran and are likely to underestimate the ICER</w:t>
      </w:r>
      <w:r w:rsidR="00E43580" w:rsidRPr="00CB575B">
        <w:rPr>
          <w:snapToGrid w:val="0"/>
        </w:rPr>
        <w:t xml:space="preserve"> (</w:t>
      </w:r>
      <w:r w:rsidR="00C21CD3" w:rsidRPr="00CB575B">
        <w:rPr>
          <w:snapToGrid w:val="0"/>
        </w:rPr>
        <w:t xml:space="preserve">inclusion of </w:t>
      </w:r>
      <w:r w:rsidR="00AF1B55">
        <w:rPr>
          <w:snapToGrid w:val="0"/>
        </w:rPr>
        <w:br/>
      </w:r>
      <w:r w:rsidR="00C21CD3" w:rsidRPr="00CB575B">
        <w:rPr>
          <w:snapToGrid w:val="0"/>
        </w:rPr>
        <w:t xml:space="preserve">AAR </w:t>
      </w:r>
      <w:r w:rsidR="00BD03FD">
        <w:rPr>
          <w:snapToGrid w:val="0"/>
        </w:rPr>
        <w:t>&gt;</w:t>
      </w:r>
      <w:r w:rsidR="00A550BD">
        <w:rPr>
          <w:snapToGrid w:val="0"/>
        </w:rPr>
        <w:t xml:space="preserve"> </w:t>
      </w:r>
      <w:r w:rsidR="00C21CD3" w:rsidRPr="00CB575B">
        <w:rPr>
          <w:snapToGrid w:val="0"/>
        </w:rPr>
        <w:t>24 health state</w:t>
      </w:r>
      <w:r w:rsidR="00604E51" w:rsidRPr="00CB575B">
        <w:rPr>
          <w:snapToGrid w:val="0"/>
        </w:rPr>
        <w:t xml:space="preserve">, assumptions regarding </w:t>
      </w:r>
      <w:r w:rsidR="00637E45" w:rsidRPr="00CB575B">
        <w:rPr>
          <w:snapToGrid w:val="0"/>
        </w:rPr>
        <w:t xml:space="preserve">treatment benefit after discontinuation, </w:t>
      </w:r>
      <w:r w:rsidR="003E6FD2" w:rsidRPr="00CB575B">
        <w:rPr>
          <w:snapToGrid w:val="0"/>
        </w:rPr>
        <w:t>transitions following menopause</w:t>
      </w:r>
      <w:r w:rsidR="00A9552E" w:rsidRPr="00CB575B">
        <w:rPr>
          <w:snapToGrid w:val="0"/>
        </w:rPr>
        <w:t>).</w:t>
      </w:r>
      <w:r w:rsidR="008F54E4" w:rsidRPr="00CB575B">
        <w:rPr>
          <w:snapToGrid w:val="0"/>
        </w:rPr>
        <w:t xml:space="preserve"> Additionally, several inputs </w:t>
      </w:r>
      <w:r w:rsidR="00CC7469" w:rsidRPr="00CB575B">
        <w:rPr>
          <w:snapToGrid w:val="0"/>
        </w:rPr>
        <w:t>were not well</w:t>
      </w:r>
      <w:r w:rsidR="00E072B9">
        <w:rPr>
          <w:snapToGrid w:val="0"/>
        </w:rPr>
        <w:noBreakHyphen/>
      </w:r>
      <w:r w:rsidR="00CC7469" w:rsidRPr="00CB575B">
        <w:rPr>
          <w:snapToGrid w:val="0"/>
        </w:rPr>
        <w:t>justified and had a substantial impact on the ICER</w:t>
      </w:r>
      <w:r w:rsidR="00A44685" w:rsidRPr="00CB575B">
        <w:rPr>
          <w:snapToGrid w:val="0"/>
        </w:rPr>
        <w:t>, favouring givosiran</w:t>
      </w:r>
      <w:r w:rsidR="00CC7469" w:rsidRPr="00CB575B">
        <w:rPr>
          <w:snapToGrid w:val="0"/>
        </w:rPr>
        <w:t xml:space="preserve"> (utility decrements for chronic </w:t>
      </w:r>
      <w:r w:rsidR="002815C4" w:rsidRPr="00CB575B">
        <w:rPr>
          <w:snapToGrid w:val="0"/>
        </w:rPr>
        <w:t xml:space="preserve">symptoms, </w:t>
      </w:r>
      <w:r w:rsidR="0016103D" w:rsidRPr="00CB575B">
        <w:rPr>
          <w:snapToGrid w:val="0"/>
        </w:rPr>
        <w:t>discontinuation rates</w:t>
      </w:r>
      <w:r w:rsidR="00CC6D77" w:rsidRPr="00CB575B">
        <w:rPr>
          <w:snapToGrid w:val="0"/>
        </w:rPr>
        <w:t xml:space="preserve">, </w:t>
      </w:r>
      <w:r w:rsidR="0005495C" w:rsidRPr="00CB575B">
        <w:rPr>
          <w:snapToGrid w:val="0"/>
        </w:rPr>
        <w:t>healthcare</w:t>
      </w:r>
      <w:r w:rsidR="00CC6D77" w:rsidRPr="00CB575B">
        <w:rPr>
          <w:snapToGrid w:val="0"/>
        </w:rPr>
        <w:t xml:space="preserve"> settings and costs </w:t>
      </w:r>
      <w:r w:rsidR="0005495C" w:rsidRPr="00CB575B">
        <w:rPr>
          <w:snapToGrid w:val="0"/>
        </w:rPr>
        <w:t>for treatment of acute attacks</w:t>
      </w:r>
      <w:r w:rsidR="00AF71F5" w:rsidRPr="00CB575B">
        <w:rPr>
          <w:snapToGrid w:val="0"/>
        </w:rPr>
        <w:t xml:space="preserve">). </w:t>
      </w:r>
      <w:r w:rsidR="009606ED" w:rsidRPr="00CB575B">
        <w:rPr>
          <w:snapToGrid w:val="0"/>
        </w:rPr>
        <w:t xml:space="preserve">Further, </w:t>
      </w:r>
      <w:r w:rsidR="00DB7432" w:rsidRPr="00CB575B">
        <w:rPr>
          <w:snapToGrid w:val="0"/>
        </w:rPr>
        <w:t xml:space="preserve">the ICER was sensitive other inputs </w:t>
      </w:r>
      <w:r w:rsidR="009F706E" w:rsidRPr="00CB575B">
        <w:rPr>
          <w:snapToGrid w:val="0"/>
        </w:rPr>
        <w:t xml:space="preserve">that were </w:t>
      </w:r>
      <w:r w:rsidR="00DB7432" w:rsidRPr="00CB575B">
        <w:rPr>
          <w:snapToGrid w:val="0"/>
        </w:rPr>
        <w:t xml:space="preserve">from the </w:t>
      </w:r>
      <w:r w:rsidR="009F706E" w:rsidRPr="00CB575B">
        <w:rPr>
          <w:snapToGrid w:val="0"/>
        </w:rPr>
        <w:t xml:space="preserve">ENVISION </w:t>
      </w:r>
      <w:r w:rsidR="00DB7432" w:rsidRPr="00CB575B">
        <w:rPr>
          <w:snapToGrid w:val="0"/>
        </w:rPr>
        <w:t xml:space="preserve">trial </w:t>
      </w:r>
      <w:r w:rsidR="009F706E" w:rsidRPr="00CB575B">
        <w:rPr>
          <w:snapToGrid w:val="0"/>
        </w:rPr>
        <w:t>but</w:t>
      </w:r>
      <w:r w:rsidR="00CB6ABB" w:rsidRPr="00CB575B">
        <w:rPr>
          <w:snapToGrid w:val="0"/>
        </w:rPr>
        <w:t xml:space="preserve"> may not </w:t>
      </w:r>
      <w:r w:rsidR="00970A88" w:rsidRPr="00CB575B">
        <w:rPr>
          <w:snapToGrid w:val="0"/>
        </w:rPr>
        <w:t>reflect</w:t>
      </w:r>
      <w:r w:rsidR="00CB6ABB" w:rsidRPr="00CB575B">
        <w:rPr>
          <w:snapToGrid w:val="0"/>
        </w:rPr>
        <w:t xml:space="preserve"> the PBS population</w:t>
      </w:r>
      <w:r w:rsidR="00970A88" w:rsidRPr="00CB575B">
        <w:rPr>
          <w:snapToGrid w:val="0"/>
        </w:rPr>
        <w:t xml:space="preserve"> (the proportion of patients </w:t>
      </w:r>
      <w:r w:rsidR="00AF1B55">
        <w:rPr>
          <w:snapToGrid w:val="0"/>
        </w:rPr>
        <w:br/>
      </w:r>
      <w:r w:rsidR="00BD03FD">
        <w:rPr>
          <w:snapToGrid w:val="0"/>
        </w:rPr>
        <w:t>&gt;</w:t>
      </w:r>
      <w:r w:rsidR="00A550BD">
        <w:rPr>
          <w:snapToGrid w:val="0"/>
        </w:rPr>
        <w:t xml:space="preserve"> </w:t>
      </w:r>
      <w:r w:rsidR="00970A88" w:rsidRPr="00CB575B">
        <w:rPr>
          <w:snapToGrid w:val="0"/>
        </w:rPr>
        <w:t>75.6kg</w:t>
      </w:r>
      <w:r w:rsidR="00634489" w:rsidRPr="00CB575B">
        <w:rPr>
          <w:snapToGrid w:val="0"/>
        </w:rPr>
        <w:t xml:space="preserve"> and</w:t>
      </w:r>
      <w:r w:rsidR="00970A88" w:rsidRPr="00CB575B">
        <w:rPr>
          <w:snapToGrid w:val="0"/>
        </w:rPr>
        <w:t xml:space="preserve"> </w:t>
      </w:r>
      <w:r w:rsidR="00354296" w:rsidRPr="00CB575B">
        <w:rPr>
          <w:snapToGrid w:val="0"/>
        </w:rPr>
        <w:t>age at diagnosis/treatment initiation</w:t>
      </w:r>
      <w:r w:rsidR="00634489" w:rsidRPr="00CB575B">
        <w:rPr>
          <w:snapToGrid w:val="0"/>
        </w:rPr>
        <w:t xml:space="preserve">). </w:t>
      </w:r>
      <w:r w:rsidR="000436C5" w:rsidRPr="00CB575B">
        <w:rPr>
          <w:snapToGrid w:val="0"/>
        </w:rPr>
        <w:t xml:space="preserve">The PBAC noted that </w:t>
      </w:r>
      <w:r w:rsidR="004E3195" w:rsidRPr="00CB575B">
        <w:rPr>
          <w:snapToGrid w:val="0"/>
        </w:rPr>
        <w:t>there was a high level of variation in the ICER</w:t>
      </w:r>
      <w:r w:rsidR="009F706E" w:rsidRPr="00CB575B">
        <w:rPr>
          <w:snapToGrid w:val="0"/>
        </w:rPr>
        <w:t>,</w:t>
      </w:r>
      <w:r w:rsidR="004E3195" w:rsidRPr="00CB575B">
        <w:rPr>
          <w:snapToGrid w:val="0"/>
        </w:rPr>
        <w:t xml:space="preserve"> </w:t>
      </w:r>
      <w:r w:rsidR="00F17900" w:rsidRPr="00CB575B">
        <w:rPr>
          <w:snapToGrid w:val="0"/>
        </w:rPr>
        <w:t xml:space="preserve">with </w:t>
      </w:r>
      <w:r w:rsidR="00F17900" w:rsidRPr="00CB575B">
        <w:rPr>
          <w:iCs/>
        </w:rPr>
        <w:t xml:space="preserve">interacting effects of multiple sensitive </w:t>
      </w:r>
      <w:r w:rsidR="00F17900" w:rsidRPr="00CB575B">
        <w:t xml:space="preserve">variables, and </w:t>
      </w:r>
      <w:r w:rsidR="008F1322" w:rsidRPr="00CB575B">
        <w:t xml:space="preserve">noted advice from the </w:t>
      </w:r>
      <w:r w:rsidR="008F1322" w:rsidRPr="00CB575B">
        <w:rPr>
          <w:snapToGrid w:val="0"/>
          <w:lang w:val="en-GB"/>
        </w:rPr>
        <w:t>Sub</w:t>
      </w:r>
      <w:r w:rsidR="00E072B9">
        <w:rPr>
          <w:snapToGrid w:val="0"/>
          <w:lang w:val="en-GB"/>
        </w:rPr>
        <w:noBreakHyphen/>
      </w:r>
      <w:r w:rsidR="008F1322" w:rsidRPr="00CB575B">
        <w:rPr>
          <w:snapToGrid w:val="0"/>
          <w:lang w:val="en-GB"/>
        </w:rPr>
        <w:t>Committees that the model structure was not reliable for decision</w:t>
      </w:r>
      <w:r w:rsidR="00E072B9">
        <w:rPr>
          <w:snapToGrid w:val="0"/>
          <w:lang w:val="en-GB"/>
        </w:rPr>
        <w:noBreakHyphen/>
      </w:r>
      <w:r w:rsidR="008F1322" w:rsidRPr="00CB575B">
        <w:rPr>
          <w:snapToGrid w:val="0"/>
          <w:lang w:val="en-GB"/>
        </w:rPr>
        <w:t>making.</w:t>
      </w:r>
      <w:r w:rsidR="002C5D89" w:rsidRPr="00CB575B">
        <w:rPr>
          <w:rFonts w:eastAsia="Times New Roman" w:cs="Arial"/>
          <w:snapToGrid w:val="0"/>
          <w:szCs w:val="24"/>
          <w:lang w:val="en-GB"/>
        </w:rPr>
        <w:t xml:space="preserve"> </w:t>
      </w:r>
      <w:r w:rsidR="002C5D89" w:rsidRPr="00CB575B">
        <w:rPr>
          <w:lang w:val="en-GB"/>
        </w:rPr>
        <w:t xml:space="preserve">However, </w:t>
      </w:r>
      <w:r w:rsidR="002C5D89" w:rsidRPr="00CB575B">
        <w:t>given the paucity of data available for this rare condition, the PBAC acknowledged that revising the model structure or inputs is unlikely to resolve the uncertainty associated with the modelled outcomes. The PBAC considered that the value proposition was difficult to assess with a traditional ICER due to the limited long</w:t>
      </w:r>
      <w:r w:rsidR="00E072B9">
        <w:noBreakHyphen/>
      </w:r>
      <w:r w:rsidR="002C5D89" w:rsidRPr="00CB575B">
        <w:t xml:space="preserve">term </w:t>
      </w:r>
      <w:r w:rsidR="00555C07" w:rsidRPr="00CB575B">
        <w:t xml:space="preserve">comparative </w:t>
      </w:r>
      <w:r w:rsidR="002C5D89" w:rsidRPr="00CB575B">
        <w:t xml:space="preserve">clinical data, the small number of patients included in the trial, and the </w:t>
      </w:r>
      <w:r w:rsidR="00B03B7B" w:rsidRPr="00CB575B">
        <w:t xml:space="preserve">range of </w:t>
      </w:r>
      <w:r w:rsidR="001D5557" w:rsidRPr="00CB575B">
        <w:t xml:space="preserve">disease severity for patients with AHP. </w:t>
      </w:r>
    </w:p>
    <w:p w14:paraId="4B3943C3" w14:textId="61BE7087" w:rsidR="004E233E" w:rsidRDefault="004E233E" w:rsidP="00E072B9">
      <w:pPr>
        <w:pStyle w:val="3-BodyText"/>
        <w:rPr>
          <w:rFonts w:cs="Arial"/>
          <w:snapToGrid w:val="0"/>
          <w:szCs w:val="24"/>
          <w:lang w:val="en-GB"/>
        </w:rPr>
      </w:pPr>
      <w:r w:rsidRPr="00CB575B">
        <w:t xml:space="preserve">The PBAC reflected on previous determinations made for other rare diseases where no effective alternative therapies were available. </w:t>
      </w:r>
      <w:r w:rsidRPr="00CB575B">
        <w:rPr>
          <w:color w:val="000000" w:themeColor="text1"/>
        </w:rPr>
        <w:t xml:space="preserve">The PBAC compared the available evidence, nature of the benefits, ICERs, numbers of patients expected to be treated, and the cost per patient per year for </w:t>
      </w:r>
      <w:r w:rsidR="00432950" w:rsidRPr="00CB575B">
        <w:rPr>
          <w:color w:val="000000" w:themeColor="text1"/>
        </w:rPr>
        <w:t>givosiran</w:t>
      </w:r>
      <w:r w:rsidRPr="00CB575B">
        <w:rPr>
          <w:color w:val="000000" w:themeColor="text1"/>
        </w:rPr>
        <w:t xml:space="preserve"> at the proposed price, with other high</w:t>
      </w:r>
      <w:r w:rsidRPr="00CB575B">
        <w:rPr>
          <w:color w:val="000000" w:themeColor="text1"/>
        </w:rPr>
        <w:softHyphen/>
      </w:r>
      <w:r w:rsidR="00E072B9">
        <w:rPr>
          <w:color w:val="000000" w:themeColor="text1"/>
        </w:rPr>
        <w:noBreakHyphen/>
      </w:r>
      <w:r w:rsidRPr="00CB575B">
        <w:rPr>
          <w:color w:val="000000" w:themeColor="text1"/>
        </w:rPr>
        <w:t xml:space="preserve">cost treatments </w:t>
      </w:r>
      <w:r w:rsidRPr="00CB575B">
        <w:t xml:space="preserve">for rare diseases funded on the PBS. </w:t>
      </w:r>
      <w:r w:rsidRPr="00CB575B">
        <w:rPr>
          <w:snapToGrid w:val="0"/>
          <w:lang w:val="en-GB"/>
        </w:rPr>
        <w:t>The PBAC considered that in the context of this rare disease</w:t>
      </w:r>
      <w:r w:rsidR="00F664DD">
        <w:rPr>
          <w:snapToGrid w:val="0"/>
          <w:lang w:val="en-GB"/>
        </w:rPr>
        <w:t xml:space="preserve"> </w:t>
      </w:r>
      <w:r w:rsidR="00F664DD" w:rsidRPr="00B23058">
        <w:rPr>
          <w:snapToGrid w:val="0"/>
          <w:lang w:val="en-GB"/>
        </w:rPr>
        <w:t>with very substantial impacts on patient quality of life</w:t>
      </w:r>
      <w:r w:rsidRPr="00CB575B">
        <w:rPr>
          <w:snapToGrid w:val="0"/>
          <w:lang w:val="en-GB"/>
        </w:rPr>
        <w:t xml:space="preserve">, </w:t>
      </w:r>
      <w:r w:rsidR="00432950" w:rsidRPr="00CB575B">
        <w:rPr>
          <w:snapToGrid w:val="0"/>
          <w:lang w:val="en-GB"/>
        </w:rPr>
        <w:t>givosiran</w:t>
      </w:r>
      <w:r w:rsidRPr="00CB575B">
        <w:rPr>
          <w:snapToGrid w:val="0"/>
          <w:lang w:val="en-GB"/>
        </w:rPr>
        <w:t xml:space="preserve"> would </w:t>
      </w:r>
      <w:proofErr w:type="gramStart"/>
      <w:r w:rsidRPr="00CB575B">
        <w:rPr>
          <w:snapToGrid w:val="0"/>
          <w:lang w:val="en-GB"/>
        </w:rPr>
        <w:t>be considered</w:t>
      </w:r>
      <w:proofErr w:type="gramEnd"/>
      <w:r w:rsidRPr="00CB575B">
        <w:rPr>
          <w:snapToGrid w:val="0"/>
          <w:lang w:val="en-GB"/>
        </w:rPr>
        <w:t xml:space="preserve"> acceptably cost</w:t>
      </w:r>
      <w:r w:rsidR="00E072B9">
        <w:rPr>
          <w:snapToGrid w:val="0"/>
          <w:lang w:val="en-GB"/>
        </w:rPr>
        <w:noBreakHyphen/>
      </w:r>
      <w:r>
        <w:rPr>
          <w:snapToGrid w:val="0"/>
          <w:lang w:val="en-GB"/>
        </w:rPr>
        <w:t xml:space="preserve">effective at a cost of not more than </w:t>
      </w:r>
      <w:r w:rsidRPr="00813EA7">
        <w:rPr>
          <w:snapToGrid w:val="0"/>
          <w:lang w:val="en-GB"/>
        </w:rPr>
        <w:t>$</w:t>
      </w:r>
      <w:r w:rsidR="00B35ACC" w:rsidRPr="00A550BD">
        <w:rPr>
          <w:snapToGrid w:val="0"/>
          <w:color w:val="000000"/>
          <w:spacing w:val="6"/>
          <w:w w:val="61"/>
          <w:shd w:val="solid" w:color="000000" w:fill="000000"/>
          <w:fitText w:val="475" w:id="-625249520"/>
          <w:lang w:val="en-GB"/>
          <w14:textFill>
            <w14:solidFill>
              <w14:srgbClr w14:val="000000">
                <w14:alpha w14:val="100000"/>
              </w14:srgbClr>
            </w14:solidFill>
          </w14:textFill>
        </w:rPr>
        <w:t>|||</w:t>
      </w:r>
      <w:r w:rsidR="00A550BD" w:rsidRPr="00A550BD">
        <w:rPr>
          <w:snapToGrid w:val="0"/>
          <w:color w:val="000000"/>
          <w:spacing w:val="6"/>
          <w:w w:val="61"/>
          <w:shd w:val="solid" w:color="000000" w:fill="000000"/>
          <w:fitText w:val="475" w:id="-625249520"/>
          <w:lang w:val="en-GB"/>
          <w14:textFill>
            <w14:solidFill>
              <w14:srgbClr w14:val="000000">
                <w14:alpha w14:val="100000"/>
              </w14:srgbClr>
            </w14:solidFill>
          </w14:textFill>
        </w:rPr>
        <w:t xml:space="preserve"> </w:t>
      </w:r>
      <w:r w:rsidR="00B35ACC" w:rsidRPr="00A550BD">
        <w:rPr>
          <w:snapToGrid w:val="0"/>
          <w:color w:val="000000"/>
          <w:spacing w:val="6"/>
          <w:w w:val="61"/>
          <w:shd w:val="solid" w:color="000000" w:fill="000000"/>
          <w:fitText w:val="475" w:id="-625249520"/>
          <w:lang w:val="en-GB"/>
          <w14:textFill>
            <w14:solidFill>
              <w14:srgbClr w14:val="000000">
                <w14:alpha w14:val="100000"/>
              </w14:srgbClr>
            </w14:solidFill>
          </w14:textFill>
        </w:rPr>
        <w:t>||</w:t>
      </w:r>
      <w:r w:rsidR="00B35ACC" w:rsidRPr="00A550BD">
        <w:rPr>
          <w:snapToGrid w:val="0"/>
          <w:color w:val="000000"/>
          <w:spacing w:val="3"/>
          <w:w w:val="61"/>
          <w:shd w:val="solid" w:color="000000" w:fill="000000"/>
          <w:fitText w:val="475" w:id="-625249520"/>
          <w:lang w:val="en-GB"/>
          <w14:textFill>
            <w14:solidFill>
              <w14:srgbClr w14:val="000000">
                <w14:alpha w14:val="100000"/>
              </w14:srgbClr>
            </w14:solidFill>
          </w14:textFill>
        </w:rPr>
        <w:t>|</w:t>
      </w:r>
      <w:r>
        <w:rPr>
          <w:snapToGrid w:val="0"/>
          <w:lang w:val="en-GB"/>
        </w:rPr>
        <w:t xml:space="preserve"> per patient per year. In providing this advice, the PBAC acknowledged</w:t>
      </w:r>
      <w:r w:rsidR="00C5136D">
        <w:rPr>
          <w:snapToGrid w:val="0"/>
          <w:lang w:val="en-GB"/>
        </w:rPr>
        <w:t xml:space="preserve"> treatment with givosiran is likely to provide </w:t>
      </w:r>
      <w:r w:rsidR="002A49A1">
        <w:rPr>
          <w:snapToGrid w:val="0"/>
          <w:lang w:val="en-GB"/>
        </w:rPr>
        <w:t xml:space="preserve">substantial reductions in cost </w:t>
      </w:r>
      <w:r w:rsidR="00D207F1">
        <w:rPr>
          <w:snapToGrid w:val="0"/>
          <w:lang w:val="en-GB"/>
        </w:rPr>
        <w:t xml:space="preserve">to the healthcare system </w:t>
      </w:r>
      <w:r w:rsidR="002A49A1">
        <w:rPr>
          <w:snapToGrid w:val="0"/>
          <w:lang w:val="en-GB"/>
        </w:rPr>
        <w:t xml:space="preserve">due to </w:t>
      </w:r>
      <w:r w:rsidR="001B62DD">
        <w:rPr>
          <w:snapToGrid w:val="0"/>
          <w:lang w:val="en-GB"/>
        </w:rPr>
        <w:t xml:space="preserve">reduced </w:t>
      </w:r>
      <w:r w:rsidR="002A49A1">
        <w:rPr>
          <w:snapToGrid w:val="0"/>
          <w:lang w:val="en-GB"/>
        </w:rPr>
        <w:t>hospitalisations</w:t>
      </w:r>
      <w:r w:rsidR="001B62DD">
        <w:rPr>
          <w:snapToGrid w:val="0"/>
          <w:lang w:val="en-GB"/>
        </w:rPr>
        <w:t xml:space="preserve"> and use of hemin. </w:t>
      </w:r>
    </w:p>
    <w:p w14:paraId="5CFCFC81" w14:textId="484F4D87" w:rsidR="00DF4CBF" w:rsidRPr="00CE42B4" w:rsidRDefault="004E06F0" w:rsidP="00E072B9">
      <w:pPr>
        <w:numPr>
          <w:ilvl w:val="1"/>
          <w:numId w:val="1"/>
        </w:numPr>
        <w:spacing w:after="120"/>
      </w:pPr>
      <w:r w:rsidRPr="00E750DB">
        <w:t>The submission took an epidemiological approach to derive the financial estimates</w:t>
      </w:r>
      <w:r>
        <w:t>. The PBAC noted that</w:t>
      </w:r>
      <w:r w:rsidR="00B07283">
        <w:t>,</w:t>
      </w:r>
      <w:r>
        <w:t xml:space="preserve"> </w:t>
      </w:r>
      <w:r w:rsidR="00DD420D">
        <w:t>although the submission estimated that a relatively small number of patients would be eligible for treatment with givosiran</w:t>
      </w:r>
      <w:r w:rsidR="00B07283">
        <w:t xml:space="preserve">, </w:t>
      </w:r>
      <w:r>
        <w:t xml:space="preserve">there </w:t>
      </w:r>
      <w:r w:rsidR="00DE0EA9">
        <w:t xml:space="preserve">were </w:t>
      </w:r>
      <w:r w:rsidR="00553BF2">
        <w:t>several important</w:t>
      </w:r>
      <w:r w:rsidR="00B07283">
        <w:t xml:space="preserve"> inputs </w:t>
      </w:r>
      <w:r w:rsidR="003B7981">
        <w:t>to</w:t>
      </w:r>
      <w:r w:rsidR="00B07283">
        <w:t xml:space="preserve"> the estimates that led to </w:t>
      </w:r>
      <w:r w:rsidR="0057531A">
        <w:t>uncertainty in patient and vial numbers</w:t>
      </w:r>
      <w:r w:rsidR="000276AB">
        <w:t>, which were compounded by the high cost per vial</w:t>
      </w:r>
      <w:r w:rsidR="003B7981">
        <w:t xml:space="preserve"> for givosiran</w:t>
      </w:r>
      <w:r w:rsidR="000276AB">
        <w:t>.</w:t>
      </w:r>
      <w:r w:rsidR="00EE7EED">
        <w:t xml:space="preserve"> The PBAC agreed with its Sub</w:t>
      </w:r>
      <w:r w:rsidR="00E072B9">
        <w:noBreakHyphen/>
      </w:r>
      <w:r w:rsidR="00EE7EED">
        <w:t xml:space="preserve">Committees that the prevalence should be applied to the </w:t>
      </w:r>
      <w:r w:rsidR="00655309">
        <w:t>whole population</w:t>
      </w:r>
      <w:r w:rsidR="002400F5">
        <w:t>, which would increase the total patient pool</w:t>
      </w:r>
      <w:r w:rsidR="008E5913">
        <w:t xml:space="preserve">. </w:t>
      </w:r>
      <w:r w:rsidR="003271D0">
        <w:t>The PBAC considered that it was unclear whether the data from</w:t>
      </w:r>
      <w:r w:rsidR="0025046C">
        <w:t xml:space="preserve"> </w:t>
      </w:r>
      <w:r w:rsidR="0025046C" w:rsidRPr="0025046C">
        <w:rPr>
          <w:bCs/>
        </w:rPr>
        <w:t>Elder 2013</w:t>
      </w:r>
      <w:r w:rsidR="0025046C">
        <w:rPr>
          <w:bCs/>
        </w:rPr>
        <w:t xml:space="preserve"> and </w:t>
      </w:r>
      <w:r w:rsidR="0025046C" w:rsidRPr="0025046C">
        <w:rPr>
          <w:bCs/>
        </w:rPr>
        <w:t xml:space="preserve">Neeleman 2018 </w:t>
      </w:r>
      <w:r w:rsidR="008D707E">
        <w:rPr>
          <w:bCs/>
        </w:rPr>
        <w:t xml:space="preserve">was </w:t>
      </w:r>
      <w:r w:rsidR="006627A9">
        <w:rPr>
          <w:bCs/>
        </w:rPr>
        <w:t xml:space="preserve">appropriately applied in </w:t>
      </w:r>
      <w:r w:rsidR="008D707E">
        <w:rPr>
          <w:bCs/>
        </w:rPr>
        <w:t>estimat</w:t>
      </w:r>
      <w:r w:rsidR="00B83A4C">
        <w:rPr>
          <w:bCs/>
        </w:rPr>
        <w:t>ing</w:t>
      </w:r>
      <w:r w:rsidR="008D707E">
        <w:rPr>
          <w:bCs/>
        </w:rPr>
        <w:t xml:space="preserve"> the proportion of patients meeting eligibility criteria in terms of </w:t>
      </w:r>
      <w:r w:rsidR="006627A9">
        <w:rPr>
          <w:bCs/>
        </w:rPr>
        <w:t>acute attack severity and frequency</w:t>
      </w:r>
      <w:r w:rsidR="00B83A4C">
        <w:rPr>
          <w:bCs/>
        </w:rPr>
        <w:t xml:space="preserve">. </w:t>
      </w:r>
      <w:r w:rsidR="0092322C">
        <w:rPr>
          <w:bCs/>
        </w:rPr>
        <w:t xml:space="preserve">The </w:t>
      </w:r>
      <w:r w:rsidR="00400472">
        <w:rPr>
          <w:bCs/>
        </w:rPr>
        <w:t xml:space="preserve">PBAC noted that the </w:t>
      </w:r>
      <w:r w:rsidR="0092322C">
        <w:rPr>
          <w:bCs/>
        </w:rPr>
        <w:t>submission’s estimate</w:t>
      </w:r>
      <w:r w:rsidR="00BF784A">
        <w:rPr>
          <w:bCs/>
        </w:rPr>
        <w:t xml:space="preserve">d proportion of AHP patients meeting eligibility criteria appeared overestimated compared to </w:t>
      </w:r>
      <w:r w:rsidR="00400472">
        <w:rPr>
          <w:bCs/>
        </w:rPr>
        <w:t xml:space="preserve">estimates in </w:t>
      </w:r>
      <w:r w:rsidR="00BC7835">
        <w:rPr>
          <w:bCs/>
        </w:rPr>
        <w:t>the literature (</w:t>
      </w:r>
      <w:r w:rsidR="00F968CC">
        <w:rPr>
          <w:bCs/>
        </w:rPr>
        <w:t xml:space="preserve">Neeleman 2018 and </w:t>
      </w:r>
      <w:r w:rsidR="00BC7835" w:rsidRPr="00F968CC">
        <w:rPr>
          <w:bCs/>
        </w:rPr>
        <w:t>Stölzel 2024</w:t>
      </w:r>
      <w:r w:rsidR="00F968CC" w:rsidRPr="00F968CC">
        <w:rPr>
          <w:bCs/>
        </w:rPr>
        <w:t xml:space="preserve">). </w:t>
      </w:r>
      <w:r w:rsidR="002967BE">
        <w:rPr>
          <w:bCs/>
        </w:rPr>
        <w:t xml:space="preserve">The PBAC also considered that uptake rates were uncertain. </w:t>
      </w:r>
      <w:r w:rsidR="00981B35">
        <w:rPr>
          <w:bCs/>
        </w:rPr>
        <w:t xml:space="preserve">As noted in paragraph </w:t>
      </w:r>
      <w:r w:rsidR="00981B35">
        <w:rPr>
          <w:bCs/>
        </w:rPr>
        <w:fldChar w:fldCharType="begin" w:fldLock="1"/>
      </w:r>
      <w:r w:rsidR="00981B35">
        <w:rPr>
          <w:bCs/>
        </w:rPr>
        <w:instrText xml:space="preserve"> REF _Ref205194684 \r \h </w:instrText>
      </w:r>
      <w:r w:rsidR="00981B35">
        <w:rPr>
          <w:bCs/>
        </w:rPr>
      </w:r>
      <w:r w:rsidR="00981B35">
        <w:rPr>
          <w:bCs/>
        </w:rPr>
        <w:fldChar w:fldCharType="separate"/>
      </w:r>
      <w:r w:rsidR="00981B35">
        <w:rPr>
          <w:bCs/>
        </w:rPr>
        <w:t>7.3</w:t>
      </w:r>
      <w:r w:rsidR="00981B35">
        <w:rPr>
          <w:bCs/>
        </w:rPr>
        <w:fldChar w:fldCharType="end"/>
      </w:r>
      <w:r w:rsidR="00561780">
        <w:rPr>
          <w:bCs/>
        </w:rPr>
        <w:t>,</w:t>
      </w:r>
      <w:r w:rsidR="00981B35">
        <w:rPr>
          <w:bCs/>
        </w:rPr>
        <w:t xml:space="preserve"> </w:t>
      </w:r>
      <w:r w:rsidR="00A9289B">
        <w:rPr>
          <w:rFonts w:asciiTheme="minorHAnsi" w:hAnsiTheme="minorHAnsi"/>
          <w:iCs/>
          <w:snapToGrid w:val="0"/>
        </w:rPr>
        <w:t>attacks can be sporadic and vary substantially in severity</w:t>
      </w:r>
      <w:r w:rsidR="00815406">
        <w:rPr>
          <w:rFonts w:asciiTheme="minorHAnsi" w:hAnsiTheme="minorHAnsi"/>
          <w:iCs/>
          <w:snapToGrid w:val="0"/>
        </w:rPr>
        <w:t xml:space="preserve"> and t</w:t>
      </w:r>
      <w:r w:rsidR="00A9289B">
        <w:rPr>
          <w:rFonts w:asciiTheme="minorHAnsi" w:hAnsiTheme="minorHAnsi"/>
          <w:iCs/>
          <w:snapToGrid w:val="0"/>
        </w:rPr>
        <w:t xml:space="preserve">he PBAC considered </w:t>
      </w:r>
      <w:r w:rsidR="00815406">
        <w:rPr>
          <w:rFonts w:asciiTheme="minorHAnsi" w:hAnsiTheme="minorHAnsi"/>
          <w:iCs/>
          <w:snapToGrid w:val="0"/>
        </w:rPr>
        <w:t xml:space="preserve">it was unclear to what extent </w:t>
      </w:r>
      <w:r w:rsidR="00A9289B">
        <w:rPr>
          <w:rFonts w:asciiTheme="minorHAnsi" w:hAnsiTheme="minorHAnsi"/>
          <w:iCs/>
          <w:snapToGrid w:val="0"/>
        </w:rPr>
        <w:t xml:space="preserve">patients with less frequent but very severe attacks would access </w:t>
      </w:r>
      <w:r w:rsidR="00815406">
        <w:rPr>
          <w:rFonts w:asciiTheme="minorHAnsi" w:hAnsiTheme="minorHAnsi"/>
          <w:iCs/>
          <w:snapToGrid w:val="0"/>
        </w:rPr>
        <w:t xml:space="preserve">ongoing </w:t>
      </w:r>
      <w:r w:rsidR="00A9289B">
        <w:rPr>
          <w:rFonts w:asciiTheme="minorHAnsi" w:hAnsiTheme="minorHAnsi"/>
          <w:iCs/>
          <w:snapToGrid w:val="0"/>
        </w:rPr>
        <w:t>treatment</w:t>
      </w:r>
      <w:r w:rsidR="00A9289B" w:rsidRPr="00B540D6">
        <w:rPr>
          <w:rFonts w:asciiTheme="minorHAnsi" w:hAnsiTheme="minorHAnsi"/>
          <w:iCs/>
          <w:snapToGrid w:val="0"/>
        </w:rPr>
        <w:t>.</w:t>
      </w:r>
      <w:r w:rsidR="00A9289B" w:rsidRPr="00A9289B">
        <w:rPr>
          <w:bCs/>
        </w:rPr>
        <w:t xml:space="preserve"> </w:t>
      </w:r>
      <w:r w:rsidR="00A9289B">
        <w:rPr>
          <w:bCs/>
        </w:rPr>
        <w:t xml:space="preserve">The PBAC also considered that the rate of discontinuation of treatment was unclear, especially </w:t>
      </w:r>
      <w:proofErr w:type="gramStart"/>
      <w:r w:rsidR="00A9289B">
        <w:rPr>
          <w:bCs/>
        </w:rPr>
        <w:t>with regard to</w:t>
      </w:r>
      <w:proofErr w:type="gramEnd"/>
      <w:r w:rsidR="00A9289B">
        <w:rPr>
          <w:bCs/>
        </w:rPr>
        <w:t xml:space="preserve"> the impact of menopause on the need for ongoing preventive treatment. </w:t>
      </w:r>
      <w:r w:rsidR="005818CB">
        <w:rPr>
          <w:bCs/>
        </w:rPr>
        <w:t xml:space="preserve">Further, the PBAC noted that the expected utilisation of givosiran was sensitive to the assumed </w:t>
      </w:r>
      <w:r w:rsidR="00F968CC">
        <w:rPr>
          <w:bCs/>
        </w:rPr>
        <w:t xml:space="preserve">proportion of patients weighing </w:t>
      </w:r>
      <w:r w:rsidR="00BD03FD">
        <w:rPr>
          <w:bCs/>
        </w:rPr>
        <w:t>&gt;</w:t>
      </w:r>
      <w:r w:rsidR="00A550BD">
        <w:rPr>
          <w:bCs/>
        </w:rPr>
        <w:t xml:space="preserve"> </w:t>
      </w:r>
      <w:r w:rsidR="00F968CC">
        <w:rPr>
          <w:bCs/>
        </w:rPr>
        <w:t xml:space="preserve">75.6kg, who would </w:t>
      </w:r>
      <w:r w:rsidR="000D67A7">
        <w:rPr>
          <w:bCs/>
        </w:rPr>
        <w:t>require 2 vials</w:t>
      </w:r>
      <w:r w:rsidR="00F968CC">
        <w:rPr>
          <w:bCs/>
        </w:rPr>
        <w:t xml:space="preserve"> of givosiran </w:t>
      </w:r>
      <w:r w:rsidR="00D16615">
        <w:rPr>
          <w:bCs/>
        </w:rPr>
        <w:t>monthly</w:t>
      </w:r>
      <w:r w:rsidR="000D67A7">
        <w:rPr>
          <w:bCs/>
        </w:rPr>
        <w:t>.</w:t>
      </w:r>
      <w:r w:rsidR="00D16615">
        <w:rPr>
          <w:bCs/>
        </w:rPr>
        <w:t xml:space="preserve"> </w:t>
      </w:r>
      <w:r w:rsidR="003B10F1">
        <w:rPr>
          <w:bCs/>
        </w:rPr>
        <w:t xml:space="preserve">The PBAC considered that additional clinical advice regarding the patient population </w:t>
      </w:r>
      <w:r w:rsidR="0082093A">
        <w:rPr>
          <w:bCs/>
        </w:rPr>
        <w:t xml:space="preserve">likely to be treated </w:t>
      </w:r>
      <w:r w:rsidR="006D753B">
        <w:rPr>
          <w:bCs/>
        </w:rPr>
        <w:t>w</w:t>
      </w:r>
      <w:r w:rsidR="0082093A">
        <w:rPr>
          <w:bCs/>
        </w:rPr>
        <w:t>as required to give greater confidence in the estimated financial impact of listing givosiran.</w:t>
      </w:r>
    </w:p>
    <w:p w14:paraId="4FAB1DF2" w14:textId="273886E4" w:rsidR="00DF4CBF" w:rsidRPr="00E74390" w:rsidRDefault="003E47F5" w:rsidP="00E072B9">
      <w:pPr>
        <w:pStyle w:val="ListParagraph"/>
        <w:numPr>
          <w:ilvl w:val="1"/>
          <w:numId w:val="1"/>
        </w:numPr>
        <w:spacing w:after="240"/>
        <w:contextualSpacing/>
        <w:jc w:val="both"/>
        <w:rPr>
          <w:rFonts w:ascii="Calibri" w:hAnsi="Calibri"/>
          <w:bCs/>
          <w:snapToGrid/>
        </w:rPr>
      </w:pPr>
      <w:r w:rsidRPr="008D1A60">
        <w:rPr>
          <w:rFonts w:ascii="Calibri" w:hAnsi="Calibri"/>
          <w:bCs/>
          <w:snapToGrid/>
        </w:rPr>
        <w:t xml:space="preserve">The PBAC considered that </w:t>
      </w:r>
      <w:r w:rsidR="00AD5CA9" w:rsidRPr="008D1A60">
        <w:rPr>
          <w:rFonts w:ascii="Calibri" w:hAnsi="Calibri"/>
          <w:bCs/>
          <w:snapToGrid/>
        </w:rPr>
        <w:t xml:space="preserve">an RSA would be required </w:t>
      </w:r>
      <w:r w:rsidRPr="008D1A60">
        <w:rPr>
          <w:rFonts w:ascii="Calibri" w:hAnsi="Calibri"/>
          <w:bCs/>
          <w:snapToGrid/>
        </w:rPr>
        <w:t xml:space="preserve">given the very high cost of </w:t>
      </w:r>
      <w:r w:rsidR="0082093A" w:rsidRPr="008D1A60">
        <w:rPr>
          <w:rFonts w:ascii="Calibri" w:hAnsi="Calibri"/>
          <w:bCs/>
          <w:snapToGrid/>
        </w:rPr>
        <w:t>givosiran</w:t>
      </w:r>
      <w:r w:rsidR="001A61B6" w:rsidRPr="008D1A60">
        <w:rPr>
          <w:rFonts w:ascii="Calibri" w:hAnsi="Calibri"/>
          <w:bCs/>
          <w:snapToGrid/>
        </w:rPr>
        <w:t xml:space="preserve">, the uncertain </w:t>
      </w:r>
      <w:r w:rsidR="00E81197">
        <w:rPr>
          <w:rFonts w:ascii="Calibri" w:hAnsi="Calibri"/>
          <w:bCs/>
          <w:snapToGrid/>
        </w:rPr>
        <w:t>cost</w:t>
      </w:r>
      <w:r w:rsidR="00E072B9">
        <w:rPr>
          <w:rFonts w:ascii="Calibri" w:hAnsi="Calibri"/>
          <w:bCs/>
          <w:snapToGrid/>
        </w:rPr>
        <w:noBreakHyphen/>
      </w:r>
      <w:r w:rsidR="00E81197">
        <w:rPr>
          <w:rFonts w:ascii="Calibri" w:hAnsi="Calibri"/>
          <w:bCs/>
          <w:snapToGrid/>
        </w:rPr>
        <w:t>effectiveness</w:t>
      </w:r>
      <w:r w:rsidR="00E81197" w:rsidRPr="008D1A60">
        <w:rPr>
          <w:rFonts w:ascii="Calibri" w:hAnsi="Calibri"/>
          <w:bCs/>
          <w:snapToGrid/>
        </w:rPr>
        <w:t xml:space="preserve"> </w:t>
      </w:r>
      <w:r w:rsidR="001A61B6" w:rsidRPr="008D1A60">
        <w:rPr>
          <w:rFonts w:ascii="Calibri" w:hAnsi="Calibri"/>
          <w:bCs/>
          <w:snapToGrid/>
        </w:rPr>
        <w:t>and the uncertainty in patient numbers</w:t>
      </w:r>
      <w:r w:rsidR="008D1A60">
        <w:rPr>
          <w:rFonts w:ascii="Calibri" w:hAnsi="Calibri"/>
          <w:bCs/>
          <w:snapToGrid/>
        </w:rPr>
        <w:t>, duration of treatment</w:t>
      </w:r>
      <w:r w:rsidR="00B60BE7">
        <w:rPr>
          <w:rFonts w:ascii="Calibri" w:hAnsi="Calibri"/>
          <w:bCs/>
          <w:snapToGrid/>
        </w:rPr>
        <w:t xml:space="preserve"> given the </w:t>
      </w:r>
      <w:r w:rsidR="00A62101">
        <w:rPr>
          <w:rFonts w:ascii="Calibri" w:hAnsi="Calibri"/>
          <w:bCs/>
          <w:snapToGrid/>
        </w:rPr>
        <w:t>broad continuation criteria</w:t>
      </w:r>
      <w:r w:rsidR="008D1A60">
        <w:rPr>
          <w:rFonts w:ascii="Calibri" w:hAnsi="Calibri"/>
          <w:bCs/>
          <w:snapToGrid/>
        </w:rPr>
        <w:t>,</w:t>
      </w:r>
      <w:r w:rsidR="001A61B6" w:rsidRPr="008D1A60">
        <w:rPr>
          <w:rFonts w:ascii="Calibri" w:hAnsi="Calibri"/>
          <w:bCs/>
          <w:snapToGrid/>
        </w:rPr>
        <w:t xml:space="preserve"> </w:t>
      </w:r>
      <w:r w:rsidR="00AD5CA9" w:rsidRPr="008D1A60">
        <w:rPr>
          <w:rFonts w:ascii="Calibri" w:hAnsi="Calibri"/>
          <w:bCs/>
          <w:snapToGrid/>
        </w:rPr>
        <w:t xml:space="preserve">and the </w:t>
      </w:r>
      <w:r w:rsidR="008008E4">
        <w:rPr>
          <w:rFonts w:ascii="Calibri" w:hAnsi="Calibri"/>
          <w:bCs/>
          <w:snapToGrid/>
        </w:rPr>
        <w:t xml:space="preserve">average </w:t>
      </w:r>
      <w:r w:rsidR="00AD5CA9" w:rsidRPr="008D1A60">
        <w:rPr>
          <w:rFonts w:ascii="Calibri" w:hAnsi="Calibri"/>
          <w:bCs/>
          <w:snapToGrid/>
        </w:rPr>
        <w:t>number of vials required per dose</w:t>
      </w:r>
      <w:r w:rsidR="008D1A60">
        <w:rPr>
          <w:rFonts w:ascii="Calibri" w:hAnsi="Calibri"/>
          <w:bCs/>
          <w:snapToGrid/>
        </w:rPr>
        <w:t>.</w:t>
      </w:r>
      <w:r w:rsidR="00AD5CA9" w:rsidRPr="008D1A60">
        <w:rPr>
          <w:rFonts w:ascii="Calibri" w:hAnsi="Calibri"/>
          <w:bCs/>
          <w:snapToGrid/>
        </w:rPr>
        <w:t xml:space="preserve"> </w:t>
      </w:r>
      <w:r w:rsidR="00CC62A9">
        <w:rPr>
          <w:rFonts w:ascii="Calibri" w:hAnsi="Calibri"/>
          <w:bCs/>
          <w:snapToGrid/>
        </w:rPr>
        <w:t xml:space="preserve">In addition, the PBAC considered there was a risk of use in patients </w:t>
      </w:r>
      <w:r w:rsidR="00A35DF0">
        <w:rPr>
          <w:rFonts w:ascii="Calibri" w:hAnsi="Calibri"/>
          <w:bCs/>
          <w:snapToGrid/>
        </w:rPr>
        <w:t>with less severe or less frequent attacks where use is likely</w:t>
      </w:r>
      <w:r w:rsidR="00A550BD">
        <w:rPr>
          <w:rFonts w:ascii="Calibri" w:hAnsi="Calibri"/>
          <w:bCs/>
          <w:snapToGrid/>
        </w:rPr>
        <w:t xml:space="preserve"> </w:t>
      </w:r>
      <w:r w:rsidR="00A35DF0">
        <w:rPr>
          <w:rFonts w:ascii="Calibri" w:hAnsi="Calibri"/>
          <w:bCs/>
          <w:snapToGrid/>
        </w:rPr>
        <w:t>to be less cost</w:t>
      </w:r>
      <w:r w:rsidR="00E072B9">
        <w:rPr>
          <w:rFonts w:ascii="Calibri" w:hAnsi="Calibri"/>
          <w:bCs/>
          <w:snapToGrid/>
        </w:rPr>
        <w:noBreakHyphen/>
      </w:r>
      <w:r w:rsidR="00A35DF0">
        <w:rPr>
          <w:rFonts w:ascii="Calibri" w:hAnsi="Calibri"/>
          <w:bCs/>
          <w:snapToGrid/>
        </w:rPr>
        <w:t xml:space="preserve">effective. </w:t>
      </w:r>
      <w:r w:rsidR="008D1A60">
        <w:rPr>
          <w:rFonts w:ascii="Calibri" w:hAnsi="Calibri"/>
          <w:bCs/>
          <w:snapToGrid/>
        </w:rPr>
        <w:t xml:space="preserve">The PBAC </w:t>
      </w:r>
      <w:r w:rsidR="00341FEF">
        <w:rPr>
          <w:rFonts w:ascii="Calibri" w:hAnsi="Calibri"/>
          <w:bCs/>
          <w:snapToGrid/>
        </w:rPr>
        <w:t xml:space="preserve">requested </w:t>
      </w:r>
      <w:r w:rsidR="008D1A60">
        <w:rPr>
          <w:rFonts w:ascii="Calibri" w:hAnsi="Calibri"/>
          <w:bCs/>
          <w:snapToGrid/>
        </w:rPr>
        <w:t xml:space="preserve">that </w:t>
      </w:r>
      <w:r w:rsidR="009D1266">
        <w:rPr>
          <w:rFonts w:ascii="Calibri" w:hAnsi="Calibri"/>
          <w:bCs/>
          <w:snapToGrid/>
        </w:rPr>
        <w:t xml:space="preserve">the sponsor provide an RSA proposal </w:t>
      </w:r>
      <w:r w:rsidR="00341FEF">
        <w:rPr>
          <w:rFonts w:ascii="Calibri" w:hAnsi="Calibri"/>
          <w:bCs/>
          <w:snapToGrid/>
        </w:rPr>
        <w:t xml:space="preserve">based on </w:t>
      </w:r>
      <w:r w:rsidR="00491A68">
        <w:rPr>
          <w:rFonts w:ascii="Calibri" w:hAnsi="Calibri"/>
          <w:bCs/>
          <w:snapToGrid/>
        </w:rPr>
        <w:t xml:space="preserve">revised </w:t>
      </w:r>
      <w:r w:rsidR="008A00ED">
        <w:rPr>
          <w:rFonts w:ascii="Calibri" w:hAnsi="Calibri"/>
          <w:bCs/>
          <w:snapToGrid/>
        </w:rPr>
        <w:t xml:space="preserve">utilisation </w:t>
      </w:r>
      <w:r w:rsidR="00491A68">
        <w:rPr>
          <w:rFonts w:ascii="Calibri" w:hAnsi="Calibri"/>
          <w:bCs/>
          <w:snapToGrid/>
        </w:rPr>
        <w:t>estimates</w:t>
      </w:r>
      <w:r w:rsidR="008A00ED">
        <w:rPr>
          <w:rFonts w:ascii="Calibri" w:hAnsi="Calibri"/>
          <w:bCs/>
          <w:snapToGrid/>
        </w:rPr>
        <w:t xml:space="preserve">. </w:t>
      </w:r>
    </w:p>
    <w:p w14:paraId="72A8BCEE" w14:textId="77777777" w:rsidR="00DF4CBF" w:rsidRPr="00525B39" w:rsidRDefault="00DF4CBF" w:rsidP="00E072B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FC56733" w14:textId="50F637DD" w:rsidR="00DF4CBF" w:rsidRDefault="00DF4CBF" w:rsidP="00E072B9">
      <w:pPr>
        <w:rPr>
          <w:rFonts w:asciiTheme="minorHAnsi" w:hAnsiTheme="minorHAnsi"/>
          <w:b/>
          <w:bCs/>
          <w:snapToGrid w:val="0"/>
        </w:rPr>
      </w:pPr>
      <w:r w:rsidRPr="00525B39">
        <w:rPr>
          <w:rFonts w:asciiTheme="minorHAnsi" w:hAnsiTheme="minorHAnsi"/>
          <w:bCs/>
          <w:snapToGrid w:val="0"/>
          <w:lang w:val="en-GB"/>
        </w:rPr>
        <w:t xml:space="preserve">Deferred </w:t>
      </w:r>
      <w:bookmarkEnd w:id="77"/>
    </w:p>
    <w:p w14:paraId="03AE0FE2" w14:textId="77777777" w:rsidR="00684EE3" w:rsidRPr="00684EE3" w:rsidRDefault="00684EE3" w:rsidP="00684EE3">
      <w:pPr>
        <w:keepNext/>
        <w:spacing w:before="240" w:after="120"/>
        <w:ind w:left="720" w:hanging="720"/>
        <w:jc w:val="left"/>
        <w:outlineLvl w:val="0"/>
        <w:rPr>
          <w:rFonts w:asciiTheme="minorHAnsi" w:hAnsiTheme="minorHAnsi"/>
          <w:b/>
          <w:bCs/>
          <w:snapToGrid w:val="0"/>
          <w:sz w:val="32"/>
          <w:szCs w:val="32"/>
          <w:lang w:val="en-GB"/>
        </w:rPr>
      </w:pPr>
      <w:r w:rsidRPr="00684EE3">
        <w:rPr>
          <w:rFonts w:asciiTheme="minorHAnsi" w:hAnsiTheme="minorHAnsi"/>
          <w:b/>
          <w:snapToGrid w:val="0"/>
          <w:sz w:val="32"/>
          <w:szCs w:val="32"/>
        </w:rPr>
        <w:t>9</w:t>
      </w:r>
      <w:r w:rsidRPr="00684EE3">
        <w:rPr>
          <w:rFonts w:asciiTheme="minorHAnsi" w:hAnsiTheme="minorHAnsi"/>
          <w:b/>
          <w:snapToGrid w:val="0"/>
          <w:sz w:val="32"/>
          <w:szCs w:val="32"/>
        </w:rPr>
        <w:tab/>
        <w:t>Context for Decision</w:t>
      </w:r>
    </w:p>
    <w:p w14:paraId="47A408B3" w14:textId="77777777" w:rsidR="00684EE3" w:rsidRPr="00684EE3" w:rsidRDefault="00684EE3" w:rsidP="00684EE3">
      <w:pPr>
        <w:spacing w:after="120"/>
        <w:ind w:left="720"/>
        <w:rPr>
          <w:rFonts w:asciiTheme="minorHAnsi" w:hAnsiTheme="minorHAnsi"/>
          <w:bCs/>
          <w:lang w:val="en-GB"/>
        </w:rPr>
      </w:pPr>
      <w:r w:rsidRPr="00684EE3">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684EE3">
        <w:rPr>
          <w:rFonts w:asciiTheme="minorHAnsi" w:hAnsiTheme="minorHAnsi"/>
          <w:bCs/>
          <w:lang w:val="en-GB"/>
        </w:rPr>
        <w:t>be made</w:t>
      </w:r>
      <w:proofErr w:type="gramEnd"/>
      <w:r w:rsidRPr="00684EE3">
        <w:rPr>
          <w:rFonts w:asciiTheme="minorHAnsi" w:hAnsiTheme="minorHAnsi"/>
          <w:bCs/>
          <w:lang w:val="en-GB"/>
        </w:rPr>
        <w:t xml:space="preserve"> available through the PBS. The PBAC welcomes applications containing </w:t>
      </w:r>
      <w:proofErr w:type="gramStart"/>
      <w:r w:rsidRPr="00684EE3">
        <w:rPr>
          <w:rFonts w:asciiTheme="minorHAnsi" w:hAnsiTheme="minorHAnsi"/>
          <w:bCs/>
          <w:lang w:val="en-GB"/>
        </w:rPr>
        <w:t>new information</w:t>
      </w:r>
      <w:proofErr w:type="gramEnd"/>
      <w:r w:rsidRPr="00684EE3">
        <w:rPr>
          <w:rFonts w:asciiTheme="minorHAnsi" w:hAnsiTheme="minorHAnsi"/>
          <w:bCs/>
          <w:lang w:val="en-GB"/>
        </w:rPr>
        <w:t xml:space="preserve"> at any time.</w:t>
      </w:r>
    </w:p>
    <w:p w14:paraId="3CA0FCAE" w14:textId="77777777" w:rsidR="00684EE3" w:rsidRDefault="00684EE3" w:rsidP="00E072B9">
      <w:pPr>
        <w:rPr>
          <w:rFonts w:asciiTheme="minorHAnsi" w:hAnsiTheme="minorHAnsi"/>
          <w:b/>
          <w:bCs/>
          <w:snapToGrid w:val="0"/>
        </w:rPr>
      </w:pPr>
    </w:p>
    <w:p w14:paraId="582D45CF" w14:textId="77777777" w:rsidR="00AD0F05" w:rsidRPr="00AD0F05" w:rsidRDefault="00AD0F05" w:rsidP="00AD0F05">
      <w:pPr>
        <w:pStyle w:val="2-SectionHeading"/>
        <w:numPr>
          <w:ilvl w:val="0"/>
          <w:numId w:val="1"/>
        </w:numPr>
        <w:ind w:left="720"/>
      </w:pPr>
      <w:r w:rsidRPr="00AD0F05">
        <w:t>Sponsor’s Comment</w:t>
      </w:r>
    </w:p>
    <w:p w14:paraId="4A2F4F0C" w14:textId="41EAE938" w:rsidR="00E04712" w:rsidRDefault="00E04712" w:rsidP="00684EE3">
      <w:pPr>
        <w:ind w:left="720"/>
        <w:rPr>
          <w:rFonts w:asciiTheme="minorHAnsi" w:eastAsiaTheme="minorHAnsi" w:hAnsiTheme="minorHAnsi"/>
          <w:bCs/>
          <w:lang w:eastAsia="en-US"/>
        </w:rPr>
      </w:pPr>
      <w:r>
        <w:rPr>
          <w:rFonts w:asciiTheme="minorHAnsi" w:eastAsiaTheme="minorHAnsi" w:hAnsiTheme="minorHAnsi"/>
          <w:bCs/>
          <w:lang w:eastAsia="en-US"/>
        </w:rPr>
        <w:t>The sponsor had no comment.</w:t>
      </w:r>
    </w:p>
    <w:p w14:paraId="63121795" w14:textId="481F9BED" w:rsidR="00CF33A1" w:rsidRDefault="00CF33A1">
      <w:pPr>
        <w:jc w:val="left"/>
        <w:rPr>
          <w:rFonts w:asciiTheme="minorHAnsi" w:eastAsiaTheme="minorHAnsi" w:hAnsiTheme="minorHAnsi"/>
          <w:bCs/>
          <w:lang w:eastAsia="en-US"/>
        </w:rPr>
      </w:pPr>
      <w:r>
        <w:rPr>
          <w:rFonts w:asciiTheme="minorHAnsi" w:eastAsiaTheme="minorHAnsi" w:hAnsiTheme="minorHAnsi"/>
          <w:bCs/>
          <w:lang w:eastAsia="en-US"/>
        </w:rPr>
        <w:br w:type="page"/>
      </w:r>
    </w:p>
    <w:p w14:paraId="59E20A82" w14:textId="14C738A6" w:rsidR="00CF33A1" w:rsidRDefault="00CF33A1" w:rsidP="00E317D7">
      <w:pPr>
        <w:keepNext/>
        <w:spacing w:before="240" w:after="120"/>
        <w:jc w:val="left"/>
        <w:outlineLvl w:val="0"/>
        <w:rPr>
          <w:b/>
          <w:snapToGrid w:val="0"/>
          <w:color w:val="FF0000"/>
          <w:sz w:val="32"/>
          <w:szCs w:val="32"/>
        </w:rPr>
      </w:pPr>
      <w:r w:rsidRPr="006F09F3">
        <w:rPr>
          <w:b/>
          <w:snapToGrid w:val="0"/>
          <w:color w:val="FF0000"/>
          <w:sz w:val="32"/>
          <w:szCs w:val="32"/>
        </w:rPr>
        <w:t>Addendum to the July</w:t>
      </w:r>
      <w:r w:rsidR="00E317D7">
        <w:rPr>
          <w:b/>
          <w:snapToGrid w:val="0"/>
          <w:color w:val="FF0000"/>
          <w:sz w:val="32"/>
          <w:szCs w:val="32"/>
        </w:rPr>
        <w:t xml:space="preserve"> PBAC</w:t>
      </w:r>
      <w:r w:rsidRPr="006F09F3">
        <w:rPr>
          <w:b/>
          <w:snapToGrid w:val="0"/>
          <w:color w:val="FF0000"/>
          <w:sz w:val="32"/>
          <w:szCs w:val="32"/>
        </w:rPr>
        <w:t xml:space="preserve"> 2025 </w:t>
      </w:r>
      <w:r w:rsidR="00960542">
        <w:rPr>
          <w:b/>
          <w:snapToGrid w:val="0"/>
          <w:color w:val="FF0000"/>
          <w:sz w:val="32"/>
          <w:szCs w:val="32"/>
        </w:rPr>
        <w:t>P</w:t>
      </w:r>
      <w:r w:rsidR="00E317D7">
        <w:rPr>
          <w:b/>
          <w:snapToGrid w:val="0"/>
          <w:color w:val="FF0000"/>
          <w:sz w:val="32"/>
          <w:szCs w:val="32"/>
        </w:rPr>
        <w:t>ublic Summary Document</w:t>
      </w:r>
      <w:r w:rsidRPr="006F09F3">
        <w:rPr>
          <w:b/>
          <w:snapToGrid w:val="0"/>
          <w:color w:val="FF0000"/>
          <w:sz w:val="32"/>
          <w:szCs w:val="32"/>
        </w:rPr>
        <w:t>:</w:t>
      </w:r>
    </w:p>
    <w:p w14:paraId="4FB9F0B2" w14:textId="77777777" w:rsidR="00CF33A1" w:rsidRPr="005A70D1" w:rsidRDefault="00CF33A1" w:rsidP="00E317D7">
      <w:pPr>
        <w:pStyle w:val="2-SectionHeading"/>
        <w:numPr>
          <w:ilvl w:val="0"/>
          <w:numId w:val="1"/>
        </w:numPr>
        <w:ind w:left="720"/>
      </w:pPr>
      <w:r w:rsidRPr="005A70D1">
        <w:t>Background</w:t>
      </w:r>
    </w:p>
    <w:p w14:paraId="2B53C3D8" w14:textId="77777777" w:rsidR="00CF33A1" w:rsidRPr="00C24BBB" w:rsidRDefault="00CF33A1" w:rsidP="00CF33A1">
      <w:pPr>
        <w:pStyle w:val="3-BodyText"/>
        <w:rPr>
          <w:rFonts w:cs="Arial"/>
          <w:bCs/>
        </w:rPr>
      </w:pPr>
      <w:r w:rsidRPr="005B10CC">
        <w:t xml:space="preserve">At its July 2025 meeting, the PBAC deferred making a recommendation for the PBS listing of givosiran for </w:t>
      </w:r>
      <w:r>
        <w:t xml:space="preserve">the </w:t>
      </w:r>
      <w:r w:rsidRPr="005B10CC">
        <w:t>treatment of acute hepatic porphyria (AHP).</w:t>
      </w:r>
      <w:r>
        <w:t xml:space="preserve"> </w:t>
      </w:r>
      <w:r w:rsidRPr="00B23058">
        <w:rPr>
          <w:snapToGrid w:val="0"/>
          <w:lang w:val="en-GB"/>
        </w:rPr>
        <w:t xml:space="preserve">The PBAC considered that the </w:t>
      </w:r>
      <w:r>
        <w:rPr>
          <w:snapToGrid w:val="0"/>
          <w:lang w:val="en-GB"/>
        </w:rPr>
        <w:t xml:space="preserve">ICER </w:t>
      </w:r>
      <w:r w:rsidRPr="00B23058">
        <w:rPr>
          <w:snapToGrid w:val="0"/>
          <w:lang w:val="en-GB"/>
        </w:rPr>
        <w:t xml:space="preserve">was uncertain due to the limited data informing the model and </w:t>
      </w:r>
      <w:r>
        <w:rPr>
          <w:snapToGrid w:val="0"/>
          <w:lang w:val="en-GB"/>
        </w:rPr>
        <w:t xml:space="preserve">the </w:t>
      </w:r>
      <w:r w:rsidRPr="00CB575B">
        <w:t>range of disease severity for patients with AHP</w:t>
      </w:r>
      <w:r w:rsidRPr="00B23058">
        <w:rPr>
          <w:snapToGrid w:val="0"/>
          <w:lang w:val="en-GB"/>
        </w:rPr>
        <w:t xml:space="preserve">, but that in the context of this rare disease with very substantial impacts on patient quality of life, </w:t>
      </w:r>
      <w:r>
        <w:rPr>
          <w:snapToGrid w:val="0"/>
          <w:lang w:val="en-GB"/>
        </w:rPr>
        <w:t xml:space="preserve">it was considered that </w:t>
      </w:r>
      <w:r w:rsidRPr="00B23058">
        <w:rPr>
          <w:snapToGrid w:val="0"/>
          <w:lang w:val="en-GB"/>
        </w:rPr>
        <w:t>givosiran would be considered acceptably cost</w:t>
      </w:r>
      <w:r>
        <w:rPr>
          <w:snapToGrid w:val="0"/>
          <w:lang w:val="en-GB"/>
        </w:rPr>
        <w:noBreakHyphen/>
      </w:r>
      <w:r w:rsidRPr="00B23058">
        <w:rPr>
          <w:snapToGrid w:val="0"/>
          <w:lang w:val="en-GB"/>
        </w:rPr>
        <w:t>effective with a price reduction that result</w:t>
      </w:r>
      <w:r>
        <w:rPr>
          <w:snapToGrid w:val="0"/>
          <w:lang w:val="en-GB"/>
        </w:rPr>
        <w:t>s</w:t>
      </w:r>
      <w:r w:rsidRPr="00B23058">
        <w:rPr>
          <w:snapToGrid w:val="0"/>
          <w:lang w:val="en-GB"/>
        </w:rPr>
        <w:t xml:space="preserve"> in an acceptable cost per patient per year. </w:t>
      </w:r>
      <w:r>
        <w:rPr>
          <w:snapToGrid w:val="0"/>
          <w:lang w:val="en-GB"/>
        </w:rPr>
        <w:t>In addition,</w:t>
      </w:r>
      <w:r w:rsidRPr="00B23058">
        <w:rPr>
          <w:snapToGrid w:val="0"/>
          <w:lang w:val="en-GB"/>
        </w:rPr>
        <w:t xml:space="preserve"> the PBAC </w:t>
      </w:r>
      <w:r>
        <w:rPr>
          <w:snapToGrid w:val="0"/>
          <w:lang w:val="en-GB"/>
        </w:rPr>
        <w:t xml:space="preserve">requested </w:t>
      </w:r>
      <w:r w:rsidRPr="00B23058">
        <w:rPr>
          <w:snapToGrid w:val="0"/>
          <w:lang w:val="en-GB"/>
        </w:rPr>
        <w:t xml:space="preserve">further clinical input regarding the patient numbers, </w:t>
      </w:r>
      <w:proofErr w:type="gramStart"/>
      <w:r w:rsidRPr="00B23058">
        <w:rPr>
          <w:snapToGrid w:val="0"/>
          <w:lang w:val="en-GB"/>
        </w:rPr>
        <w:t>likely circumstances</w:t>
      </w:r>
      <w:proofErr w:type="gramEnd"/>
      <w:r w:rsidRPr="00B23058">
        <w:rPr>
          <w:snapToGrid w:val="0"/>
          <w:lang w:val="en-GB"/>
        </w:rPr>
        <w:t xml:space="preserve"> of use, and</w:t>
      </w:r>
      <w:r>
        <w:rPr>
          <w:snapToGrid w:val="0"/>
          <w:lang w:val="en-GB"/>
        </w:rPr>
        <w:t xml:space="preserve"> proportion of patients discontinuing</w:t>
      </w:r>
      <w:r w:rsidRPr="00B23058">
        <w:rPr>
          <w:snapToGrid w:val="0"/>
          <w:lang w:val="en-GB"/>
        </w:rPr>
        <w:t xml:space="preserve"> treatment, which </w:t>
      </w:r>
      <w:proofErr w:type="gramStart"/>
      <w:r w:rsidRPr="00B23058">
        <w:rPr>
          <w:snapToGrid w:val="0"/>
          <w:lang w:val="en-GB"/>
        </w:rPr>
        <w:t>are required</w:t>
      </w:r>
      <w:proofErr w:type="gramEnd"/>
      <w:r w:rsidRPr="00B23058">
        <w:rPr>
          <w:snapToGrid w:val="0"/>
          <w:lang w:val="en-GB"/>
        </w:rPr>
        <w:t xml:space="preserve"> for establishing a risk</w:t>
      </w:r>
      <w:r>
        <w:rPr>
          <w:snapToGrid w:val="0"/>
          <w:lang w:val="en-GB"/>
        </w:rPr>
        <w:noBreakHyphen/>
      </w:r>
      <w:r w:rsidRPr="00B23058">
        <w:rPr>
          <w:snapToGrid w:val="0"/>
          <w:lang w:val="en-GB"/>
        </w:rPr>
        <w:t>sharing arrangement</w:t>
      </w:r>
      <w:r>
        <w:rPr>
          <w:snapToGrid w:val="0"/>
          <w:lang w:val="en-GB"/>
        </w:rPr>
        <w:t xml:space="preserve"> (RSA). </w:t>
      </w:r>
      <w:r>
        <w:rPr>
          <w:rFonts w:cs="Arial"/>
          <w:bCs/>
        </w:rPr>
        <w:t>Following the July consideration of givosiran the sponsor provided the following additional information</w:t>
      </w:r>
      <w:r w:rsidRPr="00C24BBB">
        <w:rPr>
          <w:rFonts w:cs="Arial"/>
          <w:bCs/>
        </w:rPr>
        <w:t>:</w:t>
      </w:r>
    </w:p>
    <w:p w14:paraId="478CED84" w14:textId="77777777" w:rsidR="00CF33A1" w:rsidRPr="009802C8" w:rsidRDefault="00CF33A1" w:rsidP="000869D3">
      <w:pPr>
        <w:pStyle w:val="ListParagraph"/>
        <w:numPr>
          <w:ilvl w:val="0"/>
          <w:numId w:val="17"/>
        </w:numPr>
        <w:spacing w:after="0" w:line="276" w:lineRule="auto"/>
        <w:jc w:val="both"/>
        <w:rPr>
          <w:bCs/>
        </w:rPr>
      </w:pPr>
      <w:r w:rsidRPr="009802C8">
        <w:rPr>
          <w:bCs/>
        </w:rPr>
        <w:t>A revised price</w:t>
      </w:r>
      <w:r>
        <w:rPr>
          <w:bCs/>
        </w:rPr>
        <w:t>.</w:t>
      </w:r>
    </w:p>
    <w:p w14:paraId="0480B5B3" w14:textId="77777777" w:rsidR="00CF33A1" w:rsidRDefault="00CF33A1" w:rsidP="000869D3">
      <w:pPr>
        <w:pStyle w:val="ListParagraph"/>
        <w:numPr>
          <w:ilvl w:val="0"/>
          <w:numId w:val="17"/>
        </w:numPr>
        <w:spacing w:after="0" w:line="276" w:lineRule="auto"/>
        <w:jc w:val="both"/>
        <w:rPr>
          <w:bCs/>
        </w:rPr>
      </w:pPr>
      <w:r>
        <w:rPr>
          <w:bCs/>
        </w:rPr>
        <w:t>A</w:t>
      </w:r>
      <w:r w:rsidRPr="006651C3">
        <w:rPr>
          <w:bCs/>
        </w:rPr>
        <w:t xml:space="preserve"> proposal for a</w:t>
      </w:r>
      <w:r>
        <w:rPr>
          <w:bCs/>
        </w:rPr>
        <w:t>n</w:t>
      </w:r>
      <w:r w:rsidRPr="006651C3">
        <w:rPr>
          <w:bCs/>
        </w:rPr>
        <w:t xml:space="preserve"> </w:t>
      </w:r>
      <w:r w:rsidRPr="0092161C">
        <w:rPr>
          <w:bCs/>
        </w:rPr>
        <w:t>RSA</w:t>
      </w:r>
      <w:r>
        <w:rPr>
          <w:bCs/>
        </w:rPr>
        <w:t>.</w:t>
      </w:r>
      <w:r w:rsidRPr="006651C3">
        <w:rPr>
          <w:bCs/>
        </w:rPr>
        <w:t xml:space="preserve"> </w:t>
      </w:r>
    </w:p>
    <w:p w14:paraId="58C75836" w14:textId="77777777" w:rsidR="00CF33A1" w:rsidRPr="009802C8" w:rsidRDefault="00CF33A1" w:rsidP="000869D3">
      <w:pPr>
        <w:pStyle w:val="ListParagraph"/>
        <w:numPr>
          <w:ilvl w:val="0"/>
          <w:numId w:val="17"/>
        </w:numPr>
        <w:spacing w:line="276" w:lineRule="auto"/>
        <w:ind w:left="1077" w:hanging="357"/>
        <w:jc w:val="both"/>
        <w:rPr>
          <w:bCs/>
        </w:rPr>
      </w:pPr>
      <w:r>
        <w:rPr>
          <w:bCs/>
        </w:rPr>
        <w:t>F</w:t>
      </w:r>
      <w:r w:rsidRPr="009802C8">
        <w:rPr>
          <w:bCs/>
        </w:rPr>
        <w:t xml:space="preserve">urther clinical input regarding patient numbers, likely circumstances of use, and treatment </w:t>
      </w:r>
      <w:r>
        <w:rPr>
          <w:bCs/>
        </w:rPr>
        <w:t>dis</w:t>
      </w:r>
      <w:r w:rsidRPr="009802C8">
        <w:rPr>
          <w:bCs/>
        </w:rPr>
        <w:t>continuation</w:t>
      </w:r>
      <w:r>
        <w:rPr>
          <w:bCs/>
        </w:rPr>
        <w:t>.</w:t>
      </w:r>
    </w:p>
    <w:p w14:paraId="728FF4B1" w14:textId="77777777" w:rsidR="00CF33A1" w:rsidRPr="000518F2" w:rsidRDefault="00CF33A1" w:rsidP="00CF33A1">
      <w:pPr>
        <w:rPr>
          <w:u w:val="single"/>
        </w:rPr>
      </w:pPr>
      <w:r w:rsidRPr="000518F2">
        <w:rPr>
          <w:u w:val="single"/>
        </w:rPr>
        <w:t xml:space="preserve">Revised price </w:t>
      </w:r>
      <w:r>
        <w:rPr>
          <w:u w:val="single"/>
        </w:rPr>
        <w:t>and RSA</w:t>
      </w:r>
      <w:r w:rsidRPr="000518F2">
        <w:rPr>
          <w:u w:val="single"/>
        </w:rPr>
        <w:t xml:space="preserve"> proposal</w:t>
      </w:r>
    </w:p>
    <w:p w14:paraId="17AB2BC8" w14:textId="3C2517F8" w:rsidR="00CF33A1" w:rsidRDefault="00CF33A1" w:rsidP="00CF33A1">
      <w:pPr>
        <w:pStyle w:val="3-BodyText"/>
      </w:pPr>
      <w:r w:rsidRPr="00355B19">
        <w:t xml:space="preserve">The PBAC </w:t>
      </w:r>
      <w:r>
        <w:t xml:space="preserve">previously </w:t>
      </w:r>
      <w:r w:rsidRPr="00355B19">
        <w:t>considered that givosiran would be acceptably cost</w:t>
      </w:r>
      <w:r w:rsidRPr="00355B19">
        <w:rPr>
          <w:snapToGrid w:val="0"/>
          <w:lang w:val="en-GB"/>
        </w:rPr>
        <w:noBreakHyphen/>
      </w:r>
      <w:r w:rsidRPr="00355B19">
        <w:t xml:space="preserve">effective </w:t>
      </w:r>
      <w:r>
        <w:t>with</w:t>
      </w:r>
      <w:r w:rsidRPr="00355B19">
        <w:t xml:space="preserve"> a cost of no more than $</w:t>
      </w:r>
      <w:r w:rsidR="001A3956" w:rsidRPr="001A3956">
        <w:rPr>
          <w:highlight w:val="black"/>
        </w:rPr>
        <w:t>@@@@</w:t>
      </w:r>
      <w:r w:rsidRPr="00355B19">
        <w:t xml:space="preserve"> per patient per year (</w:t>
      </w:r>
      <w:r>
        <w:t>paragraph</w:t>
      </w:r>
      <w:r w:rsidRPr="00355B19">
        <w:t xml:space="preserve"> </w:t>
      </w:r>
      <w:r>
        <w:fldChar w:fldCharType="begin" w:fldLock="1"/>
      </w:r>
      <w:r>
        <w:instrText xml:space="preserve"> REF _Ref213256146 \r \h </w:instrText>
      </w:r>
      <w:r>
        <w:fldChar w:fldCharType="separate"/>
      </w:r>
      <w:r>
        <w:t>7.12</w:t>
      </w:r>
      <w:r>
        <w:fldChar w:fldCharType="end"/>
      </w:r>
      <w:r w:rsidRPr="00355B19">
        <w:t xml:space="preserve">). </w:t>
      </w:r>
    </w:p>
    <w:p w14:paraId="1CBB4657" w14:textId="7B2C4029" w:rsidR="00CF33A1" w:rsidRPr="00F9018C" w:rsidRDefault="00CF33A1" w:rsidP="00CF33A1">
      <w:pPr>
        <w:pStyle w:val="3-BodyText"/>
      </w:pPr>
      <w:r w:rsidRPr="00EB17A4">
        <w:t xml:space="preserve">The sponsor proposed a </w:t>
      </w:r>
      <w:r w:rsidR="001A3956" w:rsidRPr="001A3956">
        <w:rPr>
          <w:highlight w:val="black"/>
        </w:rPr>
        <w:t>@@@@</w:t>
      </w:r>
      <w:r w:rsidRPr="00EB17A4">
        <w:t xml:space="preserve">% price reduction in the </w:t>
      </w:r>
      <w:r>
        <w:t>ex-manufacturer price (</w:t>
      </w:r>
      <w:r w:rsidRPr="00EB17A4">
        <w:t>EMP</w:t>
      </w:r>
      <w:r>
        <w:t>)</w:t>
      </w:r>
      <w:r w:rsidRPr="00EB17A4">
        <w:t xml:space="preserve"> from $</w:t>
      </w:r>
      <w:r w:rsidR="001A3956" w:rsidRPr="001A3956">
        <w:rPr>
          <w:highlight w:val="black"/>
        </w:rPr>
        <w:t>@@@@</w:t>
      </w:r>
      <w:r w:rsidRPr="00EB17A4">
        <w:t xml:space="preserve"> to $</w:t>
      </w:r>
      <w:r w:rsidR="001A3956" w:rsidRPr="001A3956">
        <w:rPr>
          <w:highlight w:val="black"/>
        </w:rPr>
        <w:t>@@@@</w:t>
      </w:r>
      <w:r w:rsidRPr="00EB17A4">
        <w:t xml:space="preserve"> per </w:t>
      </w:r>
      <w:r>
        <w:t xml:space="preserve">1 mL </w:t>
      </w:r>
      <w:r w:rsidRPr="00EB17A4">
        <w:t>vial. Th</w:t>
      </w:r>
      <w:r>
        <w:t>is resulted in</w:t>
      </w:r>
      <w:r w:rsidRPr="00EB17A4">
        <w:t xml:space="preserve"> the cost of givosiran </w:t>
      </w:r>
      <w:r>
        <w:t xml:space="preserve">reducing </w:t>
      </w:r>
      <w:r w:rsidRPr="00EB17A4">
        <w:t>from $</w:t>
      </w:r>
      <w:r w:rsidR="001A3956" w:rsidRPr="001A3956">
        <w:rPr>
          <w:highlight w:val="black"/>
        </w:rPr>
        <w:t>@@@@</w:t>
      </w:r>
      <w:r w:rsidRPr="00EB17A4">
        <w:t xml:space="preserve"> to $</w:t>
      </w:r>
      <w:r w:rsidR="001A3956" w:rsidRPr="001A3956">
        <w:rPr>
          <w:highlight w:val="black"/>
        </w:rPr>
        <w:t>@@@@</w:t>
      </w:r>
      <w:r w:rsidRPr="00EB17A4">
        <w:t xml:space="preserve"> per patient </w:t>
      </w:r>
      <w:r w:rsidRPr="00F9018C">
        <w:t xml:space="preserve">per year, based on 1.2 vials per month (14.4 vials per year). </w:t>
      </w:r>
    </w:p>
    <w:p w14:paraId="5786314D" w14:textId="7E6EF6D1" w:rsidR="00CF33A1" w:rsidRPr="008669F1" w:rsidRDefault="00CF33A1" w:rsidP="00CF33A1">
      <w:pPr>
        <w:pStyle w:val="3-BodyText"/>
      </w:pPr>
      <w:r>
        <w:t xml:space="preserve">The Sponsor proposed RSA expenditure caps based on the revised patient estimates, reduced vial price, and an average </w:t>
      </w:r>
      <w:r w:rsidRPr="00F9018C">
        <w:t xml:space="preserve">of </w:t>
      </w:r>
      <w:r w:rsidR="001A3956" w:rsidRPr="001A3956">
        <w:rPr>
          <w:highlight w:val="black"/>
        </w:rPr>
        <w:t>@@@@</w:t>
      </w:r>
      <w:r w:rsidRPr="00F9018C">
        <w:t xml:space="preserve"> vials</w:t>
      </w:r>
      <w:r>
        <w:t xml:space="preserve"> per patient per year to achieve a cost per patient per year of $</w:t>
      </w:r>
      <w:r w:rsidR="001A3956" w:rsidRPr="001A3956">
        <w:rPr>
          <w:highlight w:val="black"/>
        </w:rPr>
        <w:t>@@@@</w:t>
      </w:r>
      <w:r>
        <w:t>.</w:t>
      </w:r>
    </w:p>
    <w:p w14:paraId="521E2B91" w14:textId="77777777" w:rsidR="00CF33A1" w:rsidRPr="000518F2" w:rsidRDefault="00CF33A1" w:rsidP="00CF33A1">
      <w:pPr>
        <w:rPr>
          <w:u w:val="single"/>
        </w:rPr>
      </w:pPr>
      <w:r>
        <w:rPr>
          <w:u w:val="single"/>
        </w:rPr>
        <w:t>Estimated u</w:t>
      </w:r>
      <w:r w:rsidRPr="000518F2">
        <w:rPr>
          <w:u w:val="single"/>
        </w:rPr>
        <w:t>se</w:t>
      </w:r>
    </w:p>
    <w:p w14:paraId="6A7A3649" w14:textId="49487168" w:rsidR="00CF33A1" w:rsidRPr="00E53CBF" w:rsidRDefault="00CF33A1" w:rsidP="00CF33A1">
      <w:pPr>
        <w:pStyle w:val="3-BodyText"/>
        <w:rPr>
          <w:bCs/>
        </w:rPr>
      </w:pPr>
      <w:r>
        <w:t xml:space="preserve">The sponsor provided a summary of advice sought from </w:t>
      </w:r>
      <w:r w:rsidR="001A3956" w:rsidRPr="001A3956">
        <w:rPr>
          <w:highlight w:val="black"/>
        </w:rPr>
        <w:t>@@@@</w:t>
      </w:r>
      <w:r>
        <w:t xml:space="preserve"> clinicians across NSW, Victoria, Queensland and South Australia via a written survey (conducted from </w:t>
      </w:r>
      <w:r w:rsidRPr="00DC79DC">
        <w:t>29</w:t>
      </w:r>
      <w:r>
        <w:t> </w:t>
      </w:r>
      <w:r w:rsidRPr="00DC79DC">
        <w:t xml:space="preserve">August </w:t>
      </w:r>
      <w:r>
        <w:t>to</w:t>
      </w:r>
      <w:r w:rsidRPr="00DC79DC">
        <w:t xml:space="preserve"> 10 September</w:t>
      </w:r>
      <w:r>
        <w:t xml:space="preserve">) and a virtual focus group meeting (conducted on 16 September). </w:t>
      </w:r>
    </w:p>
    <w:p w14:paraId="6D817BD6" w14:textId="029C98CB" w:rsidR="00CF33A1" w:rsidRPr="00A93D38" w:rsidRDefault="00CF33A1" w:rsidP="00CF33A1">
      <w:pPr>
        <w:pStyle w:val="3-BodyText"/>
        <w:rPr>
          <w:bCs/>
        </w:rPr>
      </w:pPr>
      <w:r>
        <w:t xml:space="preserve">The survey indicated that there are currently </w:t>
      </w:r>
      <w:r w:rsidR="00A636F7">
        <w:t>&lt;</w:t>
      </w:r>
      <w:r w:rsidR="001946D0">
        <w:t xml:space="preserve"> </w:t>
      </w:r>
      <w:r w:rsidR="00A636F7">
        <w:t xml:space="preserve">500 </w:t>
      </w:r>
      <w:r>
        <w:t xml:space="preserve">patients known to the clinicians who would be eligible for givosiran under the proposed restriction. This was a subset of the total </w:t>
      </w:r>
      <w:r w:rsidR="001946D0">
        <w:t>&lt; 500</w:t>
      </w:r>
      <w:r>
        <w:t xml:space="preserve"> known patients with AHP. The clinicians also noted that there may be a small number of additional patients managed outside the porphyria clinics in NSW, Victoria, Queensland and South Australia (e.g. in Western Australia or outside major cities) seen by other clinicians with an interest in porphyria (haematologists or endocrinologists). The clinicians noted that w</w:t>
      </w:r>
      <w:r w:rsidRPr="00F840D3">
        <w:t>ith the availability of a new therapy, it was expected that these additional patients would</w:t>
      </w:r>
      <w:r>
        <w:t xml:space="preserve"> </w:t>
      </w:r>
      <w:r w:rsidRPr="00F840D3">
        <w:t>present within the first two years to a healthcare professional with the relevant porphyria</w:t>
      </w:r>
      <w:r>
        <w:t xml:space="preserve"> </w:t>
      </w:r>
      <w:r w:rsidRPr="00F840D3">
        <w:t>experience to prescribe givosiran</w:t>
      </w:r>
      <w:r>
        <w:t xml:space="preserve">. The clinicians noted that this was consistent with what occurred when hemin became available for the treatment of AP in tertiary centres. </w:t>
      </w:r>
      <w:r w:rsidRPr="00A93D38">
        <w:t xml:space="preserve">The clinicians’ feedback indicated that </w:t>
      </w:r>
      <w:r>
        <w:t>including</w:t>
      </w:r>
      <w:r w:rsidRPr="00A93D38">
        <w:t xml:space="preserve"> </w:t>
      </w:r>
      <w:r w:rsidR="003E2A49">
        <w:t>&lt; 500</w:t>
      </w:r>
      <w:r w:rsidR="001A3956" w:rsidRPr="001A3956">
        <w:rPr>
          <w:highlight w:val="black"/>
        </w:rPr>
        <w:t>@@@@</w:t>
      </w:r>
      <w:r>
        <w:t xml:space="preserve">additional (incident) </w:t>
      </w:r>
      <w:r w:rsidRPr="00A93D38">
        <w:t xml:space="preserve">patients per year </w:t>
      </w:r>
      <w:r>
        <w:t>in the estimates</w:t>
      </w:r>
      <w:r w:rsidRPr="00A93D38">
        <w:t xml:space="preserve"> was</w:t>
      </w:r>
      <w:r>
        <w:t xml:space="preserve"> </w:t>
      </w:r>
      <w:r w:rsidRPr="00A93D38">
        <w:t>reasonable</w:t>
      </w:r>
      <w:r>
        <w:t xml:space="preserve"> to incorporate potential under-diagnosis</w:t>
      </w:r>
      <w:r w:rsidRPr="00A93D38">
        <w:t xml:space="preserve">, </w:t>
      </w:r>
      <w:r>
        <w:t xml:space="preserve">and including </w:t>
      </w:r>
      <w:r w:rsidR="006826F7" w:rsidRPr="006826F7">
        <w:t>&lt;</w:t>
      </w:r>
      <w:r w:rsidR="003E2A49">
        <w:t xml:space="preserve"> </w:t>
      </w:r>
      <w:r w:rsidR="006826F7" w:rsidRPr="006826F7">
        <w:t xml:space="preserve">500 </w:t>
      </w:r>
      <w:r>
        <w:t xml:space="preserve">patients per year (rather than </w:t>
      </w:r>
      <w:r w:rsidR="006826F7" w:rsidRPr="006826F7">
        <w:t>&lt;</w:t>
      </w:r>
      <w:r w:rsidR="003E2A49">
        <w:t xml:space="preserve"> </w:t>
      </w:r>
      <w:r w:rsidR="006826F7" w:rsidRPr="006826F7">
        <w:t>500</w:t>
      </w:r>
      <w:r>
        <w:t>) would account for some patients discontinuing treatment over time</w:t>
      </w:r>
      <w:r w:rsidRPr="00A93D38">
        <w:t>.</w:t>
      </w:r>
      <w:r>
        <w:t xml:space="preserve"> </w:t>
      </w:r>
    </w:p>
    <w:p w14:paraId="1B78C179" w14:textId="03E016DF" w:rsidR="00CF33A1" w:rsidRPr="00B7185B" w:rsidRDefault="00CF33A1" w:rsidP="00CF33A1">
      <w:pPr>
        <w:pStyle w:val="3-BodyText"/>
        <w:rPr>
          <w:bCs/>
        </w:rPr>
      </w:pPr>
      <w:r>
        <w:t>The survey indicated that there is currently limited clinical information on patients discontinuing givosiran treatment. Discontinuation of treatment occurs for a variety of reasons such as pregnancy, menopause, adverse events or a long period of remission from attacks. Some patients may trial reduced frequency of givosiran administration or a reduced dose rather than ceasing treatment. Although patients discontinue current forms of prophylaxis, it was noted that these have significant side e</w:t>
      </w:r>
      <w:r>
        <w:rPr>
          <w:rFonts w:ascii="Calibri" w:eastAsia="Calibri" w:hAnsi="Calibri" w:cs="Calibri"/>
        </w:rPr>
        <w:t>ff</w:t>
      </w:r>
      <w:r>
        <w:t>ects and complications. There is insufficient clinical experience globally to predict longer</w:t>
      </w:r>
      <w:r w:rsidRPr="00A522EC">
        <w:rPr>
          <w:snapToGrid w:val="0"/>
          <w:lang w:val="en-GB"/>
        </w:rPr>
        <w:noBreakHyphen/>
      </w:r>
      <w:r>
        <w:t xml:space="preserve">term discontinuation rates, </w:t>
      </w:r>
      <w:r w:rsidRPr="00CE6737">
        <w:t xml:space="preserve">and </w:t>
      </w:r>
      <w:r>
        <w:t xml:space="preserve">the sponsor noted that </w:t>
      </w:r>
      <w:r w:rsidRPr="00CE6737">
        <w:t xml:space="preserve">in the local Expanded Access Program, patients have continued regular givosiran treatment for around </w:t>
      </w:r>
      <w:r w:rsidR="001A3956" w:rsidRPr="001A3956">
        <w:rPr>
          <w:highlight w:val="black"/>
        </w:rPr>
        <w:t>@@@@</w:t>
      </w:r>
      <w:r>
        <w:noBreakHyphen/>
      </w:r>
      <w:r w:rsidR="001A3956" w:rsidRPr="001A3956">
        <w:rPr>
          <w:highlight w:val="black"/>
        </w:rPr>
        <w:t>@@@@</w:t>
      </w:r>
      <w:r w:rsidRPr="00CE6737">
        <w:t>years.</w:t>
      </w:r>
      <w:r>
        <w:t xml:space="preserve"> The financial estimates did not incorporate any discontinuation within the 6-year forecast. </w:t>
      </w:r>
    </w:p>
    <w:p w14:paraId="02A2F4D6" w14:textId="6CF52613" w:rsidR="00CF33A1" w:rsidRPr="00E04EF5" w:rsidRDefault="00CF33A1" w:rsidP="00CF33A1">
      <w:pPr>
        <w:pStyle w:val="3-BodyText"/>
      </w:pPr>
      <w:r>
        <w:t>The sponsor’s revised patient estimates were based on those presented by the Drug Utilisation Sub</w:t>
      </w:r>
      <w:r w:rsidRPr="00A522EC">
        <w:rPr>
          <w:snapToGrid w:val="0"/>
          <w:lang w:val="en-GB"/>
        </w:rPr>
        <w:noBreakHyphen/>
      </w:r>
      <w:r>
        <w:t>Committee (DUSC) in their review of the July 2025 submission, which incorporated corrected application of the prevalence of AHP (</w:t>
      </w:r>
      <w:r>
        <w:fldChar w:fldCharType="begin" w:fldLock="1"/>
      </w:r>
      <w:r>
        <w:instrText xml:space="preserve"> REF _Ref213762269 \h </w:instrText>
      </w:r>
      <w:r>
        <w:fldChar w:fldCharType="separate"/>
      </w:r>
      <w:r w:rsidRPr="00E750DB">
        <w:t xml:space="preserve">Table </w:t>
      </w:r>
      <w:r>
        <w:rPr>
          <w:noProof/>
        </w:rPr>
        <w:t>19</w:t>
      </w:r>
      <w:r>
        <w:fldChar w:fldCharType="end"/>
      </w:r>
      <w:r>
        <w:t>). The sponsor stated that t</w:t>
      </w:r>
      <w:r w:rsidRPr="00E04EF5">
        <w:t xml:space="preserve">he resulting increase </w:t>
      </w:r>
      <w:r>
        <w:t>from</w:t>
      </w:r>
      <w:r w:rsidRPr="00E04EF5">
        <w:t xml:space="preserve"> </w:t>
      </w:r>
      <w:r w:rsidR="008D1907">
        <w:t>&lt; 50</w:t>
      </w:r>
      <w:r w:rsidR="00E329A8">
        <w:t>0</w:t>
      </w:r>
      <w:r w:rsidRPr="00E04EF5">
        <w:t xml:space="preserve"> patients to </w:t>
      </w:r>
      <w:r w:rsidR="008D1907">
        <w:t>&lt; 50</w:t>
      </w:r>
      <w:r w:rsidR="00E329A8">
        <w:t>0</w:t>
      </w:r>
      <w:r w:rsidRPr="00E04EF5">
        <w:t xml:space="preserve"> patients in Year 1 is supported by the clinical advice suggesting an average of </w:t>
      </w:r>
      <w:r w:rsidR="008D1907">
        <w:rPr>
          <w:lang w:val="en-GB"/>
        </w:rPr>
        <w:t>&lt; 50</w:t>
      </w:r>
      <w:r w:rsidR="00E329A8">
        <w:rPr>
          <w:lang w:val="en-GB"/>
        </w:rPr>
        <w:t>0</w:t>
      </w:r>
      <w:r w:rsidR="008D1907">
        <w:rPr>
          <w:lang w:val="en-GB"/>
        </w:rPr>
        <w:t xml:space="preserve"> - &lt; 50</w:t>
      </w:r>
      <w:r w:rsidR="00E329A8">
        <w:rPr>
          <w:lang w:val="en-GB"/>
        </w:rPr>
        <w:t>0</w:t>
      </w:r>
      <w:r w:rsidR="008D1907">
        <w:rPr>
          <w:lang w:val="en-GB"/>
        </w:rPr>
        <w:t xml:space="preserve"> </w:t>
      </w:r>
      <w:r w:rsidRPr="00E04EF5">
        <w:t>additional patients per state</w:t>
      </w:r>
      <w:r>
        <w:t xml:space="preserve"> to account for under-diagnosis</w:t>
      </w:r>
      <w:r w:rsidRPr="00E04EF5">
        <w:t xml:space="preserve">. </w:t>
      </w:r>
      <w:r>
        <w:t>The sponsor also stated that m</w:t>
      </w:r>
      <w:r w:rsidRPr="00E04EF5">
        <w:t xml:space="preserve">aintaining an annual </w:t>
      </w:r>
      <w:r>
        <w:t>additional</w:t>
      </w:r>
      <w:r w:rsidRPr="00E04EF5">
        <w:t xml:space="preserve"> </w:t>
      </w:r>
      <w:r w:rsidR="00792715">
        <w:t xml:space="preserve">&lt; </w:t>
      </w:r>
      <w:r w:rsidR="008D1907">
        <w:rPr>
          <w:lang w:val="en-GB"/>
        </w:rPr>
        <w:t>50</w:t>
      </w:r>
      <w:r w:rsidR="00E329A8">
        <w:rPr>
          <w:lang w:val="en-GB"/>
        </w:rPr>
        <w:t>0</w:t>
      </w:r>
      <w:r w:rsidR="008D1907">
        <w:rPr>
          <w:lang w:val="en-GB"/>
        </w:rPr>
        <w:t xml:space="preserve"> - &lt; 50</w:t>
      </w:r>
      <w:r w:rsidR="00E329A8">
        <w:rPr>
          <w:lang w:val="en-GB"/>
        </w:rPr>
        <w:t>0</w:t>
      </w:r>
      <w:r w:rsidR="008D1907">
        <w:rPr>
          <w:lang w:val="en-GB"/>
        </w:rPr>
        <w:t xml:space="preserve"> </w:t>
      </w:r>
      <w:r>
        <w:rPr>
          <w:lang w:val="en-GB"/>
        </w:rPr>
        <w:t xml:space="preserve">incident </w:t>
      </w:r>
      <w:r w:rsidRPr="00E04EF5">
        <w:rPr>
          <w:lang w:val="en-GB"/>
        </w:rPr>
        <w:t>patients per year is reasonable given the known epidemiology of AHP.</w:t>
      </w:r>
    </w:p>
    <w:p w14:paraId="409759DC" w14:textId="77777777" w:rsidR="00CF33A1" w:rsidRDefault="00CF33A1" w:rsidP="00CF33A1">
      <w:pPr>
        <w:pStyle w:val="3-BodyText"/>
        <w:rPr>
          <w:bCs/>
        </w:rPr>
      </w:pPr>
      <w:r>
        <w:rPr>
          <w:bCs/>
        </w:rPr>
        <w:t>The revised estimates assumed 100% uptake in the number of patients identified by clinicians as being eligible for treatment.</w:t>
      </w:r>
    </w:p>
    <w:p w14:paraId="095F1589" w14:textId="337AC345" w:rsidR="00CF33A1" w:rsidRPr="00232C83" w:rsidRDefault="00CF33A1" w:rsidP="00CF33A1">
      <w:pPr>
        <w:pStyle w:val="3-BodyText"/>
      </w:pPr>
      <w:r w:rsidRPr="004A3A73">
        <w:t xml:space="preserve">The total cost to the PBS/RPBS at the requested effective price is </w:t>
      </w:r>
      <w:r>
        <w:t>$</w:t>
      </w:r>
      <w:r w:rsidR="007D72EB">
        <w:t>10 million to &lt; $20</w:t>
      </w:r>
      <w:r>
        <w:t xml:space="preserve"> million in Year 1 increasing to </w:t>
      </w:r>
      <w:r w:rsidRPr="004A3A73">
        <w:t>$</w:t>
      </w:r>
      <w:r w:rsidR="007D72EB">
        <w:t>20 million to &lt; $30</w:t>
      </w:r>
      <w:r w:rsidRPr="004A3A73">
        <w:t> million in</w:t>
      </w:r>
      <w:r w:rsidRPr="00583D9F">
        <w:t xml:space="preserve"> Year 6</w:t>
      </w:r>
      <w:r>
        <w:t xml:space="preserve">, based on </w:t>
      </w:r>
      <w:r w:rsidRPr="001F2FBA">
        <w:t>14.4 vials</w:t>
      </w:r>
      <w:r>
        <w:t xml:space="preserve"> per patient per year, with a total cost of $</w:t>
      </w:r>
      <w:r w:rsidR="007D72EB">
        <w:t xml:space="preserve">90 million to &lt; $100 </w:t>
      </w:r>
      <w:r>
        <w:t xml:space="preserve">million over the first 6 years of listing (as per </w:t>
      </w:r>
      <w:r>
        <w:fldChar w:fldCharType="begin" w:fldLock="1"/>
      </w:r>
      <w:r>
        <w:instrText xml:space="preserve"> REF _Ref213762269 \h </w:instrText>
      </w:r>
      <w:r>
        <w:fldChar w:fldCharType="separate"/>
      </w:r>
      <w:r w:rsidRPr="00E750DB">
        <w:t xml:space="preserve">Table </w:t>
      </w:r>
      <w:r>
        <w:rPr>
          <w:noProof/>
        </w:rPr>
        <w:t>19</w:t>
      </w:r>
      <w:r>
        <w:fldChar w:fldCharType="end"/>
      </w:r>
      <w:r>
        <w:t>).</w:t>
      </w:r>
    </w:p>
    <w:p w14:paraId="1FC9CD43" w14:textId="77777777" w:rsidR="00CF33A1" w:rsidRDefault="00CF33A1" w:rsidP="00CF33A1">
      <w:pPr>
        <w:pStyle w:val="3-BodyText"/>
        <w:numPr>
          <w:ilvl w:val="0"/>
          <w:numId w:val="0"/>
        </w:numPr>
        <w:ind w:left="720"/>
        <w:rPr>
          <w:bCs/>
        </w:rPr>
      </w:pPr>
    </w:p>
    <w:p w14:paraId="1BD4486D" w14:textId="77777777" w:rsidR="00CF33A1" w:rsidRPr="003A55AE" w:rsidRDefault="00CF33A1" w:rsidP="00CF33A1">
      <w:pPr>
        <w:pStyle w:val="3-BodyText"/>
        <w:numPr>
          <w:ilvl w:val="0"/>
          <w:numId w:val="0"/>
        </w:numPr>
        <w:rPr>
          <w:bCs/>
          <w:u w:val="single"/>
        </w:rPr>
      </w:pPr>
      <w:r w:rsidRPr="003A55AE">
        <w:rPr>
          <w:bCs/>
          <w:u w:val="single"/>
        </w:rPr>
        <w:t xml:space="preserve">RSA </w:t>
      </w:r>
      <w:r>
        <w:rPr>
          <w:bCs/>
          <w:u w:val="single"/>
        </w:rPr>
        <w:t>financial caps</w:t>
      </w:r>
    </w:p>
    <w:p w14:paraId="39EB4335" w14:textId="77777777" w:rsidR="00CF33A1" w:rsidRDefault="00CF33A1" w:rsidP="00A14134">
      <w:pPr>
        <w:pStyle w:val="3-BodyText"/>
      </w:pPr>
      <w:r w:rsidRPr="00F95B5E">
        <w:t>The PBAC</w:t>
      </w:r>
      <w:r>
        <w:t xml:space="preserve"> previously</w:t>
      </w:r>
      <w:r w:rsidRPr="00F95B5E">
        <w:t xml:space="preserve"> considered that an RSA would be required given the high cost of givosiran, the uncertain cost</w:t>
      </w:r>
      <w:r>
        <w:t>-</w:t>
      </w:r>
      <w:r w:rsidRPr="00F95B5E">
        <w:t>effectiveness</w:t>
      </w:r>
      <w:r>
        <w:t>,</w:t>
      </w:r>
      <w:r w:rsidRPr="00F95B5E">
        <w:t xml:space="preserve"> and the uncertain</w:t>
      </w:r>
      <w:r>
        <w:t xml:space="preserve"> financial estimates due to variability</w:t>
      </w:r>
      <w:r w:rsidRPr="00F95B5E">
        <w:t xml:space="preserve"> in patient numbers, duration of treatment and the average number of vials required per dose. The PBAC requested that the sponsor provide an RSA proposal based on revised utilisation estimates (</w:t>
      </w:r>
      <w:r>
        <w:rPr>
          <w:rFonts w:eastAsia="Calibri" w:cs="Calibri"/>
        </w:rPr>
        <w:t xml:space="preserve">paragraph </w:t>
      </w:r>
      <w:r>
        <w:rPr>
          <w:rFonts w:eastAsia="Calibri" w:cs="Calibri"/>
        </w:rPr>
        <w:fldChar w:fldCharType="begin" w:fldLock="1"/>
      </w:r>
      <w:r>
        <w:rPr>
          <w:rFonts w:eastAsia="Calibri" w:cs="Calibri"/>
        </w:rPr>
        <w:instrText xml:space="preserve"> REF _Ref213767671 \r \h </w:instrText>
      </w:r>
      <w:r>
        <w:rPr>
          <w:rFonts w:eastAsia="Calibri" w:cs="Calibri"/>
        </w:rPr>
      </w:r>
      <w:r>
        <w:rPr>
          <w:rFonts w:eastAsia="Calibri" w:cs="Calibri"/>
        </w:rPr>
        <w:fldChar w:fldCharType="separate"/>
      </w:r>
      <w:r>
        <w:rPr>
          <w:rFonts w:eastAsia="Calibri" w:cs="Calibri"/>
        </w:rPr>
        <w:t>7.14</w:t>
      </w:r>
      <w:r>
        <w:rPr>
          <w:rFonts w:eastAsia="Calibri" w:cs="Calibri"/>
        </w:rPr>
        <w:fldChar w:fldCharType="end"/>
      </w:r>
      <w:r w:rsidRPr="00F95B5E">
        <w:t>).</w:t>
      </w:r>
    </w:p>
    <w:p w14:paraId="117E1848" w14:textId="232B2004" w:rsidR="00CF33A1" w:rsidRDefault="00CF33A1" w:rsidP="00CF33A1">
      <w:pPr>
        <w:pStyle w:val="3-BodyText"/>
      </w:pPr>
      <w:r w:rsidRPr="00F95B5E">
        <w:t xml:space="preserve">The PBAC </w:t>
      </w:r>
      <w:r>
        <w:t xml:space="preserve">previously </w:t>
      </w:r>
      <w:r w:rsidRPr="00F95B5E">
        <w:t xml:space="preserve">noted that the expected utilisation of givosiran was sensitive to the assumed proportion of patients weighing </w:t>
      </w:r>
      <w:r w:rsidR="00BD03FD">
        <w:t>&gt;</w:t>
      </w:r>
      <w:r w:rsidR="00A550BD">
        <w:t xml:space="preserve"> </w:t>
      </w:r>
      <w:r w:rsidRPr="00F95B5E">
        <w:t>75.6kg, who would require 2 vials of givosiran monthly (</w:t>
      </w:r>
      <w:r>
        <w:t xml:space="preserve">paragraph </w:t>
      </w:r>
      <w:r>
        <w:fldChar w:fldCharType="begin" w:fldLock="1"/>
      </w:r>
      <w:r>
        <w:instrText xml:space="preserve"> REF _Ref213767071 \r \h </w:instrText>
      </w:r>
      <w:r>
        <w:fldChar w:fldCharType="separate"/>
      </w:r>
      <w:r>
        <w:t>7.13</w:t>
      </w:r>
      <w:r>
        <w:fldChar w:fldCharType="end"/>
      </w:r>
      <w:r w:rsidRPr="00F95B5E">
        <w:t xml:space="preserve">). </w:t>
      </w:r>
      <w:r>
        <w:t>The clinician survey indicated the estimated proportion of patients requiring 2 vials of givosiran monthly, was 28% (</w:t>
      </w:r>
      <w:proofErr w:type="gramStart"/>
      <w:r>
        <w:t>similar to</w:t>
      </w:r>
      <w:proofErr w:type="gramEnd"/>
      <w:r>
        <w:t xml:space="preserve"> 23.4% from ENVISION), the sponsor noted that data from overseas also suggests that </w:t>
      </w:r>
      <w:proofErr w:type="gramStart"/>
      <w:r>
        <w:t>the majority of</w:t>
      </w:r>
      <w:proofErr w:type="gramEnd"/>
      <w:r>
        <w:t xml:space="preserve"> patients only require 1 vial per month in clinical practice. The sponsor proposed addressing the uncertainty in the number of vials per patient by applying an average of </w:t>
      </w:r>
      <w:r w:rsidR="001A3956" w:rsidRPr="001A3956">
        <w:rPr>
          <w:highlight w:val="black"/>
        </w:rPr>
        <w:t>@@@@</w:t>
      </w:r>
      <w:r>
        <w:t xml:space="preserve"> vials per patient for the RSA financial caps. </w:t>
      </w:r>
    </w:p>
    <w:p w14:paraId="2D763555" w14:textId="4E48EC33" w:rsidR="00CF33A1" w:rsidRPr="001A26D7" w:rsidRDefault="00CF33A1" w:rsidP="00CF33A1">
      <w:pPr>
        <w:pStyle w:val="3-BodyText"/>
      </w:pPr>
      <w:r>
        <w:t>The sponsor proposed RSA financial caps based on a reduced Ex</w:t>
      </w:r>
      <w:r>
        <w:rPr>
          <w:snapToGrid w:val="0"/>
          <w:lang w:val="en-GB"/>
        </w:rPr>
        <w:noBreakHyphen/>
      </w:r>
      <w:r>
        <w:t>Manufacturer price of $</w:t>
      </w:r>
      <w:r w:rsidR="001A3956" w:rsidRPr="001A3956">
        <w:rPr>
          <w:highlight w:val="black"/>
        </w:rPr>
        <w:t>@@@@</w:t>
      </w:r>
      <w:r>
        <w:t xml:space="preserve"> per vial (a </w:t>
      </w:r>
      <w:r w:rsidR="001A3956" w:rsidRPr="001A3956">
        <w:rPr>
          <w:highlight w:val="black"/>
        </w:rPr>
        <w:t>@@@@</w:t>
      </w:r>
      <w:r>
        <w:t xml:space="preserve">% price reduction), in combination with annual PBS/RPBS expenditure caps derived from the application of an average </w:t>
      </w:r>
      <w:r w:rsidRPr="004C46AE">
        <w:t xml:space="preserve">of </w:t>
      </w:r>
      <w:r w:rsidR="001A3956" w:rsidRPr="001A3956">
        <w:rPr>
          <w:highlight w:val="black"/>
        </w:rPr>
        <w:t>@@@@</w:t>
      </w:r>
      <w:r>
        <w:rPr>
          <w:snapToGrid w:val="0"/>
          <w:lang w:val="en-GB"/>
        </w:rPr>
        <w:t xml:space="preserve"> </w:t>
      </w:r>
      <w:r>
        <w:t>vials per patient p</w:t>
      </w:r>
      <w:r w:rsidRPr="00CD43A1">
        <w:t>er year.</w:t>
      </w:r>
      <w:r>
        <w:t xml:space="preserve"> The resulting caps would result in a cost to the PBS/RPBS, of </w:t>
      </w:r>
      <w:r w:rsidR="007D72EB">
        <w:t xml:space="preserve">&lt; $0 to $10 </w:t>
      </w:r>
      <w:r>
        <w:t>million in Year 1, increasing to $</w:t>
      </w:r>
      <w:r w:rsidR="007D72EB">
        <w:t xml:space="preserve">10 to &lt; $20 </w:t>
      </w:r>
      <w:r>
        <w:t>million in Year 6, with a total cost of $</w:t>
      </w:r>
      <w:r w:rsidR="007D72EB" w:rsidRPr="004C46AE">
        <w:t>60</w:t>
      </w:r>
      <w:r w:rsidR="007D72EB">
        <w:t xml:space="preserve"> million to $70</w:t>
      </w:r>
      <w:r>
        <w:t xml:space="preserve"> million over the first 6 years of listing (as per </w:t>
      </w:r>
      <w:r>
        <w:fldChar w:fldCharType="begin" w:fldLock="1"/>
      </w:r>
      <w:r>
        <w:instrText xml:space="preserve"> REF _Ref213762269 \h </w:instrText>
      </w:r>
      <w:r>
        <w:fldChar w:fldCharType="separate"/>
      </w:r>
      <w:r w:rsidRPr="00E750DB">
        <w:t xml:space="preserve">Table </w:t>
      </w:r>
      <w:r>
        <w:rPr>
          <w:noProof/>
        </w:rPr>
        <w:t>19</w:t>
      </w:r>
      <w:r>
        <w:fldChar w:fldCharType="end"/>
      </w:r>
      <w:r>
        <w:t xml:space="preserve">). </w:t>
      </w:r>
    </w:p>
    <w:p w14:paraId="2AE8DA0B" w14:textId="034555B0" w:rsidR="00CF33A1" w:rsidRPr="009B52B6" w:rsidRDefault="00CF33A1" w:rsidP="00CF33A1">
      <w:pPr>
        <w:pStyle w:val="Caption"/>
        <w:widowControl w:val="0"/>
        <w:rPr>
          <w:szCs w:val="16"/>
        </w:rPr>
      </w:pPr>
      <w:bookmarkStart w:id="80" w:name="_Ref213762269"/>
      <w:bookmarkStart w:id="81" w:name="_Ref210144103"/>
      <w:bookmarkStart w:id="82" w:name="_Toc210399146"/>
      <w:r w:rsidRPr="00E750DB">
        <w:t xml:space="preserve">Table </w:t>
      </w:r>
      <w:r>
        <w:fldChar w:fldCharType="begin" w:fldLock="1"/>
      </w:r>
      <w:r>
        <w:instrText xml:space="preserve"> SEQ Table \* ARABIC </w:instrText>
      </w:r>
      <w:r>
        <w:fldChar w:fldCharType="separate"/>
      </w:r>
      <w:r w:rsidR="00D11B13">
        <w:rPr>
          <w:noProof/>
        </w:rPr>
        <w:t>20</w:t>
      </w:r>
      <w:r>
        <w:rPr>
          <w:noProof/>
        </w:rPr>
        <w:fldChar w:fldCharType="end"/>
      </w:r>
      <w:bookmarkEnd w:id="80"/>
      <w:r w:rsidRPr="00E750DB">
        <w:t xml:space="preserve">: </w:t>
      </w:r>
      <w:bookmarkEnd w:id="81"/>
      <w:r w:rsidRPr="009B52B6">
        <w:rPr>
          <w:szCs w:val="16"/>
        </w:rPr>
        <w:t xml:space="preserve">Summary of revised patient estimates and proposal for expenditure caps based on reduced price and </w:t>
      </w:r>
      <w:r w:rsidR="001A3956" w:rsidRPr="001A3956">
        <w:rPr>
          <w:szCs w:val="16"/>
          <w:highlight w:val="black"/>
        </w:rPr>
        <w:t>@@@@</w:t>
      </w:r>
      <w:r w:rsidRPr="009B52B6">
        <w:rPr>
          <w:szCs w:val="16"/>
        </w:rPr>
        <w:t xml:space="preserve"> vials (average) per patient per year</w:t>
      </w:r>
      <w:bookmarkEnd w:id="8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Caption w:val="Table 19: Summary of revised patient estimates and proposal for expenditure caps based on reduced price and @@@@ vials (average) per patient per year"/>
      </w:tblPr>
      <w:tblGrid>
        <w:gridCol w:w="1980"/>
        <w:gridCol w:w="1156"/>
        <w:gridCol w:w="1299"/>
        <w:gridCol w:w="1298"/>
        <w:gridCol w:w="1299"/>
        <w:gridCol w:w="1298"/>
        <w:gridCol w:w="1299"/>
      </w:tblGrid>
      <w:tr w:rsidR="00CF33A1" w:rsidRPr="00C92BD8" w14:paraId="1AB582E1" w14:textId="77777777" w:rsidTr="00CC0DFB">
        <w:trPr>
          <w:trHeight w:val="57"/>
          <w:tblHeader/>
        </w:trPr>
        <w:tc>
          <w:tcPr>
            <w:tcW w:w="1980" w:type="dxa"/>
            <w:vAlign w:val="center"/>
          </w:tcPr>
          <w:p w14:paraId="42019B82" w14:textId="77777777" w:rsidR="00CF33A1" w:rsidRPr="00055342" w:rsidRDefault="00CF33A1" w:rsidP="00CC0DFB">
            <w:pPr>
              <w:pStyle w:val="Tabletext"/>
              <w:keepNext/>
              <w:keepLines/>
              <w:widowControl w:val="0"/>
            </w:pPr>
          </w:p>
        </w:tc>
        <w:tc>
          <w:tcPr>
            <w:tcW w:w="1156" w:type="dxa"/>
            <w:vAlign w:val="center"/>
          </w:tcPr>
          <w:p w14:paraId="52B796F4" w14:textId="77777777" w:rsidR="00CF33A1" w:rsidRPr="00055342" w:rsidRDefault="00CF33A1" w:rsidP="00CC0DFB">
            <w:pPr>
              <w:pStyle w:val="Tabletext"/>
              <w:keepNext/>
              <w:keepLines/>
              <w:widowControl w:val="0"/>
              <w:rPr>
                <w:b/>
                <w:bCs/>
              </w:rPr>
            </w:pPr>
            <w:r w:rsidRPr="00055342">
              <w:rPr>
                <w:b/>
              </w:rPr>
              <w:t xml:space="preserve">Year 1 </w:t>
            </w:r>
          </w:p>
        </w:tc>
        <w:tc>
          <w:tcPr>
            <w:tcW w:w="1299" w:type="dxa"/>
            <w:vAlign w:val="center"/>
          </w:tcPr>
          <w:p w14:paraId="6826E87A" w14:textId="77777777" w:rsidR="00CF33A1" w:rsidRPr="00055342" w:rsidRDefault="00CF33A1" w:rsidP="00CC0DFB">
            <w:pPr>
              <w:pStyle w:val="Tabletext"/>
              <w:keepNext/>
              <w:keepLines/>
              <w:widowControl w:val="0"/>
              <w:rPr>
                <w:b/>
                <w:bCs/>
              </w:rPr>
            </w:pPr>
            <w:r w:rsidRPr="00055342">
              <w:rPr>
                <w:b/>
              </w:rPr>
              <w:t>Year 2</w:t>
            </w:r>
          </w:p>
        </w:tc>
        <w:tc>
          <w:tcPr>
            <w:tcW w:w="1298" w:type="dxa"/>
            <w:vAlign w:val="center"/>
          </w:tcPr>
          <w:p w14:paraId="37B1885B" w14:textId="77777777" w:rsidR="00CF33A1" w:rsidRPr="00055342" w:rsidRDefault="00CF33A1" w:rsidP="00CC0DFB">
            <w:pPr>
              <w:pStyle w:val="Tabletext"/>
              <w:keepNext/>
              <w:keepLines/>
              <w:widowControl w:val="0"/>
              <w:rPr>
                <w:b/>
                <w:bCs/>
              </w:rPr>
            </w:pPr>
            <w:r w:rsidRPr="00055342">
              <w:rPr>
                <w:b/>
              </w:rPr>
              <w:t>Year 3</w:t>
            </w:r>
          </w:p>
        </w:tc>
        <w:tc>
          <w:tcPr>
            <w:tcW w:w="1299" w:type="dxa"/>
            <w:vAlign w:val="center"/>
          </w:tcPr>
          <w:p w14:paraId="30C8E473" w14:textId="77777777" w:rsidR="00CF33A1" w:rsidRPr="00055342" w:rsidRDefault="00CF33A1" w:rsidP="00CC0DFB">
            <w:pPr>
              <w:pStyle w:val="Tabletext"/>
              <w:keepNext/>
              <w:keepLines/>
              <w:widowControl w:val="0"/>
              <w:rPr>
                <w:b/>
                <w:bCs/>
              </w:rPr>
            </w:pPr>
            <w:r w:rsidRPr="00055342">
              <w:rPr>
                <w:b/>
              </w:rPr>
              <w:t>Year 4</w:t>
            </w:r>
          </w:p>
        </w:tc>
        <w:tc>
          <w:tcPr>
            <w:tcW w:w="1298" w:type="dxa"/>
            <w:vAlign w:val="center"/>
          </w:tcPr>
          <w:p w14:paraId="25F0DE01" w14:textId="77777777" w:rsidR="00CF33A1" w:rsidRPr="00055342" w:rsidRDefault="00CF33A1" w:rsidP="00CC0DFB">
            <w:pPr>
              <w:pStyle w:val="Tabletext"/>
              <w:keepNext/>
              <w:keepLines/>
              <w:widowControl w:val="0"/>
              <w:rPr>
                <w:b/>
                <w:bCs/>
              </w:rPr>
            </w:pPr>
            <w:r w:rsidRPr="00055342">
              <w:rPr>
                <w:b/>
              </w:rPr>
              <w:t>Year 5</w:t>
            </w:r>
          </w:p>
        </w:tc>
        <w:tc>
          <w:tcPr>
            <w:tcW w:w="1299" w:type="dxa"/>
            <w:vAlign w:val="center"/>
          </w:tcPr>
          <w:p w14:paraId="2481981E" w14:textId="77777777" w:rsidR="00CF33A1" w:rsidRPr="00055342" w:rsidRDefault="00CF33A1" w:rsidP="00CC0DFB">
            <w:pPr>
              <w:pStyle w:val="Tabletext"/>
              <w:keepNext/>
              <w:keepLines/>
              <w:widowControl w:val="0"/>
              <w:rPr>
                <w:b/>
                <w:bCs/>
              </w:rPr>
            </w:pPr>
            <w:r w:rsidRPr="00055342">
              <w:rPr>
                <w:b/>
              </w:rPr>
              <w:t>Year 6</w:t>
            </w:r>
          </w:p>
        </w:tc>
      </w:tr>
      <w:tr w:rsidR="00CF33A1" w:rsidRPr="00C92BD8" w14:paraId="0C8B92D7" w14:textId="77777777" w:rsidTr="00CC0DFB">
        <w:trPr>
          <w:trHeight w:val="57"/>
        </w:trPr>
        <w:tc>
          <w:tcPr>
            <w:tcW w:w="1980" w:type="dxa"/>
          </w:tcPr>
          <w:p w14:paraId="406AAC42" w14:textId="77777777" w:rsidR="00CF33A1" w:rsidRPr="00055342" w:rsidRDefault="00CF33A1" w:rsidP="00CC0DFB">
            <w:pPr>
              <w:pStyle w:val="Tabletext"/>
              <w:keepNext/>
              <w:keepLines/>
              <w:widowControl w:val="0"/>
            </w:pPr>
            <w:r w:rsidRPr="00055342">
              <w:rPr>
                <w:rFonts w:cs="Arial"/>
                <w:color w:val="000000"/>
              </w:rPr>
              <w:t>Patients treated</w:t>
            </w:r>
            <w:r>
              <w:rPr>
                <w:rFonts w:cs="Arial"/>
                <w:color w:val="000000"/>
              </w:rPr>
              <w:t xml:space="preserve"> (DUSC revised)</w:t>
            </w:r>
            <w:r w:rsidRPr="00055342">
              <w:rPr>
                <w:rFonts w:cs="Arial"/>
                <w:color w:val="000000"/>
                <w:vertAlign w:val="superscript"/>
              </w:rPr>
              <w:t xml:space="preserve"> a</w:t>
            </w:r>
          </w:p>
        </w:tc>
        <w:tc>
          <w:tcPr>
            <w:tcW w:w="1156" w:type="dxa"/>
            <w:vAlign w:val="center"/>
          </w:tcPr>
          <w:p w14:paraId="575F347F" w14:textId="4CB23172" w:rsidR="00CF33A1" w:rsidRPr="008D1907" w:rsidRDefault="001A3956" w:rsidP="00CC0DFB">
            <w:pPr>
              <w:pStyle w:val="Tabletext"/>
              <w:keepNext/>
              <w:keepLines/>
              <w:widowControl w:val="0"/>
              <w:rPr>
                <w:highlight w:val="darkGray"/>
                <w:vertAlign w:val="superscript"/>
              </w:rPr>
            </w:pPr>
            <w:r w:rsidRPr="001A3956">
              <w:rPr>
                <w:rFonts w:cs="Arial"/>
                <w:color w:val="000000"/>
                <w:highlight w:val="black"/>
              </w:rPr>
              <w:t>@@@@</w:t>
            </w:r>
            <w:r w:rsidR="008D1907" w:rsidRPr="008D1907">
              <w:rPr>
                <w:rFonts w:cs="Arial"/>
                <w:color w:val="000000"/>
                <w:vertAlign w:val="superscript"/>
              </w:rPr>
              <w:t>1</w:t>
            </w:r>
          </w:p>
        </w:tc>
        <w:tc>
          <w:tcPr>
            <w:tcW w:w="1299" w:type="dxa"/>
            <w:vAlign w:val="center"/>
          </w:tcPr>
          <w:p w14:paraId="7A6DC1C7" w14:textId="3B54FD7C" w:rsidR="00CF33A1" w:rsidRPr="008D1907" w:rsidRDefault="001A3956" w:rsidP="00CC0DFB">
            <w:pPr>
              <w:pStyle w:val="Tabletext"/>
              <w:keepNext/>
              <w:keepLines/>
              <w:widowControl w:val="0"/>
              <w:rPr>
                <w:highlight w:val="darkGray"/>
              </w:rPr>
            </w:pPr>
            <w:r w:rsidRPr="001A3956">
              <w:rPr>
                <w:rFonts w:cs="Arial"/>
                <w:color w:val="000000"/>
                <w:highlight w:val="black"/>
              </w:rPr>
              <w:t>@@@@</w:t>
            </w:r>
            <w:r w:rsidR="008D1907" w:rsidRPr="008D1907">
              <w:rPr>
                <w:rFonts w:cs="Arial"/>
                <w:color w:val="000000"/>
                <w:vertAlign w:val="superscript"/>
              </w:rPr>
              <w:t>1</w:t>
            </w:r>
          </w:p>
        </w:tc>
        <w:tc>
          <w:tcPr>
            <w:tcW w:w="1298" w:type="dxa"/>
            <w:vAlign w:val="center"/>
          </w:tcPr>
          <w:p w14:paraId="5FAFE0BC" w14:textId="36633D4B" w:rsidR="00CF33A1" w:rsidRPr="008D1907" w:rsidRDefault="001A3956" w:rsidP="00CC0DFB">
            <w:pPr>
              <w:pStyle w:val="Tabletext"/>
              <w:keepNext/>
              <w:keepLines/>
              <w:widowControl w:val="0"/>
              <w:rPr>
                <w:highlight w:val="darkGray"/>
              </w:rPr>
            </w:pPr>
            <w:r w:rsidRPr="001A3956">
              <w:rPr>
                <w:rFonts w:cs="Arial"/>
                <w:color w:val="000000"/>
                <w:highlight w:val="black"/>
              </w:rPr>
              <w:t>@@@@</w:t>
            </w:r>
            <w:r w:rsidR="008D1907" w:rsidRPr="008D1907">
              <w:rPr>
                <w:rFonts w:cs="Arial"/>
                <w:color w:val="000000"/>
                <w:vertAlign w:val="superscript"/>
              </w:rPr>
              <w:t>1</w:t>
            </w:r>
          </w:p>
        </w:tc>
        <w:tc>
          <w:tcPr>
            <w:tcW w:w="1299" w:type="dxa"/>
            <w:vAlign w:val="center"/>
          </w:tcPr>
          <w:p w14:paraId="794D666F" w14:textId="01ACD7FA" w:rsidR="00CF33A1" w:rsidRPr="008D1907" w:rsidRDefault="001A3956" w:rsidP="00CC0DFB">
            <w:pPr>
              <w:pStyle w:val="Tabletext"/>
              <w:keepNext/>
              <w:keepLines/>
              <w:widowControl w:val="0"/>
              <w:rPr>
                <w:highlight w:val="darkGray"/>
              </w:rPr>
            </w:pPr>
            <w:r w:rsidRPr="001A3956">
              <w:rPr>
                <w:rFonts w:cs="Arial"/>
                <w:color w:val="000000"/>
                <w:highlight w:val="black"/>
              </w:rPr>
              <w:t>@@@@</w:t>
            </w:r>
            <w:r w:rsidR="008D1907" w:rsidRPr="008D1907">
              <w:rPr>
                <w:rFonts w:cs="Arial"/>
                <w:color w:val="000000"/>
                <w:vertAlign w:val="superscript"/>
              </w:rPr>
              <w:t>1</w:t>
            </w:r>
          </w:p>
        </w:tc>
        <w:tc>
          <w:tcPr>
            <w:tcW w:w="1298" w:type="dxa"/>
            <w:vAlign w:val="center"/>
          </w:tcPr>
          <w:p w14:paraId="295F9DDF" w14:textId="447E74F4" w:rsidR="00CF33A1" w:rsidRPr="008D1907" w:rsidRDefault="001A3956" w:rsidP="00CC0DFB">
            <w:pPr>
              <w:pStyle w:val="Tabletext"/>
              <w:keepNext/>
              <w:keepLines/>
              <w:widowControl w:val="0"/>
              <w:rPr>
                <w:highlight w:val="darkGray"/>
              </w:rPr>
            </w:pPr>
            <w:r w:rsidRPr="001A3956">
              <w:rPr>
                <w:rFonts w:cs="Arial"/>
                <w:color w:val="000000"/>
                <w:highlight w:val="black"/>
              </w:rPr>
              <w:t>@@@@</w:t>
            </w:r>
            <w:r w:rsidR="00792715" w:rsidRPr="008D1907">
              <w:rPr>
                <w:rFonts w:cs="Arial"/>
                <w:color w:val="000000"/>
                <w:vertAlign w:val="superscript"/>
              </w:rPr>
              <w:t>1</w:t>
            </w:r>
          </w:p>
        </w:tc>
        <w:tc>
          <w:tcPr>
            <w:tcW w:w="1299" w:type="dxa"/>
            <w:vAlign w:val="center"/>
          </w:tcPr>
          <w:p w14:paraId="54383D11" w14:textId="01D8698E" w:rsidR="00CF33A1" w:rsidRPr="008D1907" w:rsidRDefault="001A3956" w:rsidP="00CC0DFB">
            <w:pPr>
              <w:pStyle w:val="Tabletext"/>
              <w:keepNext/>
              <w:keepLines/>
              <w:widowControl w:val="0"/>
              <w:rPr>
                <w:highlight w:val="darkGray"/>
              </w:rPr>
            </w:pPr>
            <w:r w:rsidRPr="001A3956">
              <w:rPr>
                <w:rFonts w:cs="Arial"/>
                <w:color w:val="000000"/>
                <w:highlight w:val="black"/>
              </w:rPr>
              <w:t>@@@@</w:t>
            </w:r>
            <w:r w:rsidR="00792715" w:rsidRPr="008D1907">
              <w:rPr>
                <w:rFonts w:cs="Arial"/>
                <w:color w:val="000000"/>
                <w:vertAlign w:val="superscript"/>
              </w:rPr>
              <w:t>1</w:t>
            </w:r>
          </w:p>
        </w:tc>
      </w:tr>
      <w:tr w:rsidR="00CF33A1" w:rsidRPr="00C92BD8" w14:paraId="2801B500" w14:textId="77777777" w:rsidTr="00CC0DFB">
        <w:trPr>
          <w:trHeight w:val="57"/>
        </w:trPr>
        <w:tc>
          <w:tcPr>
            <w:tcW w:w="1980" w:type="dxa"/>
          </w:tcPr>
          <w:p w14:paraId="618CF787" w14:textId="77777777" w:rsidR="00CF33A1" w:rsidRPr="00055342" w:rsidRDefault="00CF33A1" w:rsidP="00CC0DFB">
            <w:pPr>
              <w:pStyle w:val="Tabletext"/>
              <w:keepNext/>
              <w:keepLines/>
              <w:widowControl w:val="0"/>
              <w:rPr>
                <w:rFonts w:cs="Arial"/>
                <w:color w:val="000000"/>
              </w:rPr>
            </w:pPr>
            <w:r w:rsidRPr="00055342">
              <w:rPr>
                <w:rFonts w:cs="Arial"/>
                <w:color w:val="000000"/>
              </w:rPr>
              <w:t>Scripts</w:t>
            </w:r>
            <w:r w:rsidRPr="00055342">
              <w:rPr>
                <w:rFonts w:cs="Arial"/>
                <w:color w:val="000000"/>
                <w:vertAlign w:val="superscript"/>
              </w:rPr>
              <w:t xml:space="preserve"> a</w:t>
            </w:r>
          </w:p>
        </w:tc>
        <w:tc>
          <w:tcPr>
            <w:tcW w:w="1156" w:type="dxa"/>
            <w:vAlign w:val="center"/>
          </w:tcPr>
          <w:p w14:paraId="7800E36F" w14:textId="13212015" w:rsidR="00CF33A1" w:rsidRPr="00294938" w:rsidRDefault="001A3956" w:rsidP="00CC0DFB">
            <w:pPr>
              <w:pStyle w:val="Tabletext"/>
              <w:keepNext/>
              <w:keepLines/>
              <w:widowControl w:val="0"/>
              <w:rPr>
                <w:highlight w:val="darkGray"/>
                <w:vertAlign w:val="superscript"/>
              </w:rPr>
            </w:pPr>
            <w:r w:rsidRPr="001A3956">
              <w:rPr>
                <w:rFonts w:cs="Arial"/>
                <w:color w:val="000000"/>
                <w:highlight w:val="black"/>
              </w:rPr>
              <w:t>@@@@</w:t>
            </w:r>
            <w:r w:rsidR="00792715" w:rsidRPr="008D1907">
              <w:rPr>
                <w:rFonts w:cs="Arial"/>
                <w:color w:val="000000"/>
                <w:vertAlign w:val="superscript"/>
              </w:rPr>
              <w:t>1</w:t>
            </w:r>
          </w:p>
        </w:tc>
        <w:tc>
          <w:tcPr>
            <w:tcW w:w="1299" w:type="dxa"/>
            <w:vAlign w:val="center"/>
          </w:tcPr>
          <w:p w14:paraId="55222105" w14:textId="247F88EA" w:rsidR="00CF33A1" w:rsidRPr="0022491C" w:rsidRDefault="001A3956" w:rsidP="00CC0DFB">
            <w:pPr>
              <w:pStyle w:val="Tabletext"/>
              <w:keepNext/>
              <w:keepLines/>
              <w:widowControl w:val="0"/>
              <w:rPr>
                <w:highlight w:val="darkGray"/>
              </w:rPr>
            </w:pPr>
            <w:r w:rsidRPr="001A3956">
              <w:rPr>
                <w:rFonts w:cs="Arial"/>
                <w:color w:val="000000"/>
                <w:highlight w:val="black"/>
              </w:rPr>
              <w:t>@@@@</w:t>
            </w:r>
            <w:r w:rsidR="00792715" w:rsidRPr="008D1907">
              <w:rPr>
                <w:rFonts w:cs="Arial"/>
                <w:color w:val="000000"/>
                <w:vertAlign w:val="superscript"/>
              </w:rPr>
              <w:t>1</w:t>
            </w:r>
          </w:p>
        </w:tc>
        <w:tc>
          <w:tcPr>
            <w:tcW w:w="1298" w:type="dxa"/>
            <w:vAlign w:val="center"/>
          </w:tcPr>
          <w:p w14:paraId="195994DC" w14:textId="5A54E022" w:rsidR="00CF33A1" w:rsidRPr="0022491C" w:rsidRDefault="001A3956" w:rsidP="00CC0DFB">
            <w:pPr>
              <w:pStyle w:val="Tabletext"/>
              <w:keepNext/>
              <w:keepLines/>
              <w:widowControl w:val="0"/>
              <w:rPr>
                <w:highlight w:val="darkGray"/>
              </w:rPr>
            </w:pPr>
            <w:r w:rsidRPr="001A3956">
              <w:rPr>
                <w:rFonts w:cs="Arial"/>
                <w:color w:val="000000"/>
                <w:highlight w:val="black"/>
              </w:rPr>
              <w:t>@@@@</w:t>
            </w:r>
            <w:r w:rsidR="00792715" w:rsidRPr="008D1907">
              <w:rPr>
                <w:rFonts w:cs="Arial"/>
                <w:color w:val="000000"/>
                <w:vertAlign w:val="superscript"/>
              </w:rPr>
              <w:t>1</w:t>
            </w:r>
          </w:p>
        </w:tc>
        <w:tc>
          <w:tcPr>
            <w:tcW w:w="1299" w:type="dxa"/>
            <w:vAlign w:val="center"/>
          </w:tcPr>
          <w:p w14:paraId="1CB07FCF" w14:textId="4F9D3E14" w:rsidR="00CF33A1" w:rsidRPr="0022491C" w:rsidRDefault="001A3956" w:rsidP="00CC0DFB">
            <w:pPr>
              <w:pStyle w:val="Tabletext"/>
              <w:keepNext/>
              <w:keepLines/>
              <w:widowControl w:val="0"/>
              <w:rPr>
                <w:highlight w:val="darkGray"/>
              </w:rPr>
            </w:pPr>
            <w:r w:rsidRPr="001A3956">
              <w:rPr>
                <w:rFonts w:cs="Arial"/>
                <w:color w:val="000000"/>
                <w:highlight w:val="black"/>
              </w:rPr>
              <w:t>@@@@</w:t>
            </w:r>
            <w:r w:rsidR="00792715" w:rsidRPr="008D1907">
              <w:rPr>
                <w:rFonts w:cs="Arial"/>
                <w:color w:val="000000"/>
                <w:vertAlign w:val="superscript"/>
              </w:rPr>
              <w:t>1</w:t>
            </w:r>
          </w:p>
        </w:tc>
        <w:tc>
          <w:tcPr>
            <w:tcW w:w="1298" w:type="dxa"/>
            <w:vAlign w:val="center"/>
          </w:tcPr>
          <w:p w14:paraId="3A23F168" w14:textId="24196DEF" w:rsidR="00CF33A1" w:rsidRPr="0022491C" w:rsidRDefault="001A3956" w:rsidP="00CC0DFB">
            <w:pPr>
              <w:pStyle w:val="Tabletext"/>
              <w:keepNext/>
              <w:keepLines/>
              <w:widowControl w:val="0"/>
              <w:rPr>
                <w:highlight w:val="darkGray"/>
              </w:rPr>
            </w:pPr>
            <w:r w:rsidRPr="001A3956">
              <w:rPr>
                <w:rFonts w:cs="Arial"/>
                <w:color w:val="000000"/>
                <w:highlight w:val="black"/>
              </w:rPr>
              <w:t>@@@@</w:t>
            </w:r>
            <w:r w:rsidR="00BA1D67">
              <w:rPr>
                <w:rFonts w:cs="Arial"/>
                <w:color w:val="000000"/>
                <w:vertAlign w:val="superscript"/>
              </w:rPr>
              <w:t>2</w:t>
            </w:r>
          </w:p>
        </w:tc>
        <w:tc>
          <w:tcPr>
            <w:tcW w:w="1299" w:type="dxa"/>
            <w:vAlign w:val="center"/>
          </w:tcPr>
          <w:p w14:paraId="0FF0E805" w14:textId="20AB9A0B" w:rsidR="00CF33A1" w:rsidRPr="0022491C" w:rsidRDefault="001A3956" w:rsidP="00CC0DFB">
            <w:pPr>
              <w:pStyle w:val="Tabletext"/>
              <w:keepNext/>
              <w:keepLines/>
              <w:widowControl w:val="0"/>
              <w:rPr>
                <w:highlight w:val="darkGray"/>
              </w:rPr>
            </w:pPr>
            <w:r w:rsidRPr="001A3956">
              <w:rPr>
                <w:rFonts w:cs="Arial"/>
                <w:color w:val="000000"/>
                <w:highlight w:val="black"/>
              </w:rPr>
              <w:t>@@@@</w:t>
            </w:r>
            <w:r w:rsidR="00BA1D67">
              <w:rPr>
                <w:rFonts w:cs="Arial"/>
                <w:color w:val="000000"/>
                <w:vertAlign w:val="superscript"/>
              </w:rPr>
              <w:t>2</w:t>
            </w:r>
          </w:p>
        </w:tc>
      </w:tr>
      <w:tr w:rsidR="00CF33A1" w:rsidRPr="00C92BD8" w14:paraId="283934B0" w14:textId="77777777" w:rsidTr="00CC0DFB">
        <w:trPr>
          <w:trHeight w:val="57"/>
        </w:trPr>
        <w:tc>
          <w:tcPr>
            <w:tcW w:w="1980" w:type="dxa"/>
          </w:tcPr>
          <w:p w14:paraId="648988C8" w14:textId="77777777" w:rsidR="00CF33A1" w:rsidRPr="00055342" w:rsidRDefault="00CF33A1" w:rsidP="00CC0DFB">
            <w:pPr>
              <w:pStyle w:val="Tabletext"/>
              <w:keepNext/>
              <w:keepLines/>
              <w:widowControl w:val="0"/>
            </w:pPr>
            <w:r w:rsidRPr="00055342">
              <w:t xml:space="preserve">Vials </w:t>
            </w:r>
          </w:p>
          <w:p w14:paraId="0B513AF3" w14:textId="4F01A6BB" w:rsidR="00CF33A1" w:rsidRPr="00055342" w:rsidRDefault="00CF33A1" w:rsidP="00CC0DFB">
            <w:pPr>
              <w:pStyle w:val="Tabletext"/>
              <w:keepNext/>
              <w:keepLines/>
              <w:widowControl w:val="0"/>
            </w:pPr>
            <w:r w:rsidRPr="00055342">
              <w:t xml:space="preserve">(with </w:t>
            </w:r>
            <w:r w:rsidR="001A3956" w:rsidRPr="001A3956">
              <w:rPr>
                <w:highlight w:val="black"/>
              </w:rPr>
              <w:t>@@@@</w:t>
            </w:r>
            <w:r>
              <w:t xml:space="preserve"> </w:t>
            </w:r>
            <w:r w:rsidRPr="00055342">
              <w:t>vial</w:t>
            </w:r>
            <w:r>
              <w:t>s per patient</w:t>
            </w:r>
            <w:r w:rsidRPr="00055342">
              <w:t xml:space="preserve"> applied)</w:t>
            </w:r>
          </w:p>
        </w:tc>
        <w:tc>
          <w:tcPr>
            <w:tcW w:w="1156" w:type="dxa"/>
            <w:vAlign w:val="center"/>
          </w:tcPr>
          <w:p w14:paraId="255B0841" w14:textId="77777777" w:rsidR="00552E39" w:rsidRDefault="001A3956" w:rsidP="00CC0DFB">
            <w:pPr>
              <w:pStyle w:val="Tabletext"/>
              <w:keepNext/>
              <w:keepLines/>
              <w:widowControl w:val="0"/>
              <w:rPr>
                <w:rFonts w:cs="Arial"/>
                <w:color w:val="000000"/>
                <w:vertAlign w:val="superscript"/>
              </w:rPr>
            </w:pPr>
            <w:r w:rsidRPr="001A3956">
              <w:rPr>
                <w:rFonts w:cs="Arial"/>
                <w:color w:val="000000"/>
                <w:highlight w:val="black"/>
              </w:rPr>
              <w:t>@@@@</w:t>
            </w:r>
            <w:r w:rsidR="00DA1AF5" w:rsidRPr="008D1907">
              <w:rPr>
                <w:rFonts w:cs="Arial"/>
                <w:color w:val="000000"/>
                <w:vertAlign w:val="superscript"/>
              </w:rPr>
              <w:t>1</w:t>
            </w:r>
          </w:p>
          <w:p w14:paraId="6632B8EE" w14:textId="6EFC8450" w:rsidR="00CF33A1" w:rsidRPr="0022491C" w:rsidRDefault="001B4F74" w:rsidP="00CC0DFB">
            <w:pPr>
              <w:pStyle w:val="Tabletext"/>
              <w:keepNext/>
              <w:keepLines/>
              <w:widowControl w:val="0"/>
              <w:rPr>
                <w:highlight w:val="darkGray"/>
              </w:rPr>
            </w:pPr>
            <w:r w:rsidRPr="0022491C">
              <w:rPr>
                <w:rFonts w:cs="Arial"/>
                <w:color w:val="000000"/>
              </w:rPr>
              <w:t xml:space="preserve"> </w:t>
            </w:r>
            <w:r w:rsidR="00CF33A1" w:rsidRPr="0022491C">
              <w:rPr>
                <w:rFonts w:cs="Arial"/>
                <w:color w:val="000000"/>
              </w:rPr>
              <w:t>(</w:t>
            </w:r>
            <w:r w:rsidR="001A3956" w:rsidRPr="001A3956">
              <w:rPr>
                <w:rFonts w:cs="Arial"/>
                <w:color w:val="000000"/>
                <w:highlight w:val="black"/>
              </w:rPr>
              <w:t>@@@@</w:t>
            </w:r>
            <w:r w:rsidR="00CF33A1" w:rsidRPr="0022491C">
              <w:rPr>
                <w:rFonts w:cs="Arial"/>
                <w:color w:val="000000"/>
              </w:rPr>
              <w:t>)</w:t>
            </w:r>
            <w:r w:rsidR="00533C10" w:rsidRPr="00294938">
              <w:rPr>
                <w:rFonts w:cs="Arial"/>
                <w:color w:val="000000"/>
                <w:vertAlign w:val="superscript"/>
              </w:rPr>
              <w:t xml:space="preserve"> </w:t>
            </w:r>
            <w:r w:rsidR="00DA1AF5" w:rsidRPr="008D1907">
              <w:rPr>
                <w:rFonts w:cs="Arial"/>
                <w:color w:val="000000"/>
                <w:vertAlign w:val="superscript"/>
              </w:rPr>
              <w:t>1</w:t>
            </w:r>
          </w:p>
        </w:tc>
        <w:tc>
          <w:tcPr>
            <w:tcW w:w="1299" w:type="dxa"/>
            <w:vAlign w:val="center"/>
          </w:tcPr>
          <w:p w14:paraId="4DB63720" w14:textId="77777777" w:rsidR="00552E39" w:rsidRDefault="001A3956" w:rsidP="00CC0DFB">
            <w:pPr>
              <w:pStyle w:val="Tabletext"/>
              <w:keepNext/>
              <w:keepLines/>
              <w:widowControl w:val="0"/>
              <w:rPr>
                <w:rFonts w:cs="Arial"/>
                <w:color w:val="000000"/>
                <w:vertAlign w:val="superscript"/>
              </w:rPr>
            </w:pPr>
            <w:r w:rsidRPr="001A3956">
              <w:rPr>
                <w:rFonts w:cs="Arial"/>
                <w:color w:val="000000"/>
                <w:highlight w:val="black"/>
              </w:rPr>
              <w:t>@@@@</w:t>
            </w:r>
            <w:r w:rsidR="00DA1AF5">
              <w:rPr>
                <w:rFonts w:cs="Arial"/>
                <w:color w:val="000000"/>
                <w:vertAlign w:val="superscript"/>
              </w:rPr>
              <w:t>2</w:t>
            </w:r>
          </w:p>
          <w:p w14:paraId="2B533599" w14:textId="3379B198" w:rsidR="00CF33A1" w:rsidRPr="0022491C" w:rsidRDefault="001B4F74" w:rsidP="00CC0DFB">
            <w:pPr>
              <w:pStyle w:val="Tabletext"/>
              <w:keepNext/>
              <w:keepLines/>
              <w:widowControl w:val="0"/>
              <w:rPr>
                <w:highlight w:val="darkGray"/>
              </w:rPr>
            </w:pPr>
            <w:r w:rsidRPr="0022491C">
              <w:rPr>
                <w:rFonts w:cs="Arial"/>
                <w:color w:val="000000"/>
              </w:rPr>
              <w:t xml:space="preserve"> </w:t>
            </w:r>
            <w:r w:rsidR="00CF33A1" w:rsidRPr="0022491C">
              <w:rPr>
                <w:rFonts w:cs="Arial"/>
                <w:color w:val="000000"/>
              </w:rPr>
              <w:t>(</w:t>
            </w:r>
            <w:r w:rsidR="001A3956" w:rsidRPr="001A3956">
              <w:rPr>
                <w:rFonts w:cs="Arial"/>
                <w:color w:val="000000"/>
                <w:highlight w:val="black"/>
              </w:rPr>
              <w:t>@@@@</w:t>
            </w:r>
            <w:r w:rsidR="00CF33A1" w:rsidRPr="0022491C">
              <w:rPr>
                <w:rFonts w:cs="Arial"/>
                <w:color w:val="000000"/>
              </w:rPr>
              <w:t>)</w:t>
            </w:r>
            <w:r w:rsidR="00533C10" w:rsidRPr="00294938">
              <w:rPr>
                <w:rFonts w:cs="Arial"/>
                <w:color w:val="000000"/>
                <w:vertAlign w:val="superscript"/>
              </w:rPr>
              <w:t xml:space="preserve"> </w:t>
            </w:r>
            <w:r w:rsidR="00DA1AF5" w:rsidRPr="008D1907">
              <w:rPr>
                <w:rFonts w:cs="Arial"/>
                <w:color w:val="000000"/>
                <w:vertAlign w:val="superscript"/>
              </w:rPr>
              <w:t>1</w:t>
            </w:r>
          </w:p>
        </w:tc>
        <w:tc>
          <w:tcPr>
            <w:tcW w:w="1298" w:type="dxa"/>
            <w:vAlign w:val="center"/>
          </w:tcPr>
          <w:p w14:paraId="4B6995FB" w14:textId="77777777" w:rsidR="00552E39" w:rsidRDefault="001A3956" w:rsidP="00CC0DFB">
            <w:pPr>
              <w:pStyle w:val="Tabletext"/>
              <w:keepNext/>
              <w:keepLines/>
              <w:widowControl w:val="0"/>
              <w:rPr>
                <w:rFonts w:cs="Arial"/>
                <w:color w:val="000000"/>
                <w:vertAlign w:val="superscript"/>
              </w:rPr>
            </w:pPr>
            <w:r w:rsidRPr="001A3956">
              <w:rPr>
                <w:rFonts w:cs="Arial"/>
                <w:color w:val="000000"/>
                <w:highlight w:val="black"/>
              </w:rPr>
              <w:t>@@@@</w:t>
            </w:r>
            <w:r w:rsidR="00DA1AF5">
              <w:rPr>
                <w:rFonts w:cs="Arial"/>
                <w:color w:val="000000"/>
                <w:vertAlign w:val="superscript"/>
              </w:rPr>
              <w:t>2</w:t>
            </w:r>
          </w:p>
          <w:p w14:paraId="40C06F93" w14:textId="0F6AC64B" w:rsidR="00CF33A1" w:rsidRPr="0022491C" w:rsidRDefault="001B4F74" w:rsidP="00CC0DFB">
            <w:pPr>
              <w:pStyle w:val="Tabletext"/>
              <w:keepNext/>
              <w:keepLines/>
              <w:widowControl w:val="0"/>
              <w:rPr>
                <w:highlight w:val="darkGray"/>
              </w:rPr>
            </w:pPr>
            <w:r w:rsidRPr="0022491C">
              <w:rPr>
                <w:rFonts w:cs="Arial"/>
                <w:color w:val="000000"/>
              </w:rPr>
              <w:t xml:space="preserve"> </w:t>
            </w:r>
            <w:r w:rsidR="00CF33A1" w:rsidRPr="0022491C">
              <w:rPr>
                <w:rFonts w:cs="Arial"/>
                <w:color w:val="000000"/>
              </w:rPr>
              <w:t>(</w:t>
            </w:r>
            <w:r w:rsidR="001A3956" w:rsidRPr="001A3956">
              <w:rPr>
                <w:rFonts w:cs="Arial"/>
                <w:color w:val="000000"/>
                <w:highlight w:val="black"/>
              </w:rPr>
              <w:t>@@@@</w:t>
            </w:r>
            <w:r w:rsidR="00CF33A1" w:rsidRPr="0022491C">
              <w:rPr>
                <w:rFonts w:cs="Arial"/>
                <w:color w:val="000000"/>
              </w:rPr>
              <w:t>)</w:t>
            </w:r>
            <w:r w:rsidR="00533C10" w:rsidRPr="00294938">
              <w:rPr>
                <w:rFonts w:cs="Arial"/>
                <w:color w:val="000000"/>
                <w:vertAlign w:val="superscript"/>
              </w:rPr>
              <w:t xml:space="preserve"> </w:t>
            </w:r>
            <w:r w:rsidR="00DA1AF5" w:rsidRPr="008D1907">
              <w:rPr>
                <w:rFonts w:cs="Arial"/>
                <w:color w:val="000000"/>
                <w:vertAlign w:val="superscript"/>
              </w:rPr>
              <w:t>1</w:t>
            </w:r>
          </w:p>
        </w:tc>
        <w:tc>
          <w:tcPr>
            <w:tcW w:w="1299" w:type="dxa"/>
            <w:vAlign w:val="center"/>
          </w:tcPr>
          <w:p w14:paraId="5ED01915" w14:textId="223E6071" w:rsidR="00CF33A1" w:rsidRPr="0022491C" w:rsidRDefault="001A3956" w:rsidP="00CC0DFB">
            <w:pPr>
              <w:pStyle w:val="Tabletext"/>
              <w:keepNext/>
              <w:keepLines/>
              <w:widowControl w:val="0"/>
              <w:rPr>
                <w:highlight w:val="darkGray"/>
              </w:rPr>
            </w:pPr>
            <w:r w:rsidRPr="001A3956">
              <w:rPr>
                <w:rFonts w:cs="Arial"/>
                <w:color w:val="000000"/>
                <w:highlight w:val="black"/>
              </w:rPr>
              <w:t>@@@@</w:t>
            </w:r>
            <w:r w:rsidR="00DA1AF5">
              <w:rPr>
                <w:rFonts w:cs="Arial"/>
                <w:color w:val="000000"/>
                <w:vertAlign w:val="superscript"/>
              </w:rPr>
              <w:t>2</w:t>
            </w:r>
            <w:r w:rsidR="001B4F74" w:rsidRPr="0022491C">
              <w:rPr>
                <w:rFonts w:cs="Arial"/>
                <w:color w:val="000000"/>
              </w:rPr>
              <w:t xml:space="preserve"> </w:t>
            </w:r>
            <w:r w:rsidR="00CF33A1" w:rsidRPr="0022491C">
              <w:rPr>
                <w:rFonts w:cs="Arial"/>
                <w:color w:val="000000"/>
              </w:rPr>
              <w:t>(</w:t>
            </w:r>
            <w:r w:rsidRPr="001A3956">
              <w:rPr>
                <w:rFonts w:cs="Arial"/>
                <w:color w:val="000000"/>
                <w:highlight w:val="black"/>
              </w:rPr>
              <w:t>@@@@</w:t>
            </w:r>
            <w:r w:rsidR="00CF33A1" w:rsidRPr="0022491C">
              <w:rPr>
                <w:rFonts w:cs="Arial"/>
                <w:color w:val="000000"/>
              </w:rPr>
              <w:t>)</w:t>
            </w:r>
            <w:r w:rsidR="00533C10" w:rsidRPr="00294938">
              <w:rPr>
                <w:rFonts w:cs="Arial"/>
                <w:color w:val="000000"/>
                <w:vertAlign w:val="superscript"/>
              </w:rPr>
              <w:t xml:space="preserve"> </w:t>
            </w:r>
            <w:r w:rsidR="00DA1AF5" w:rsidRPr="008D1907">
              <w:rPr>
                <w:rFonts w:cs="Arial"/>
                <w:color w:val="000000"/>
                <w:vertAlign w:val="superscript"/>
              </w:rPr>
              <w:t>1</w:t>
            </w:r>
          </w:p>
        </w:tc>
        <w:tc>
          <w:tcPr>
            <w:tcW w:w="1298" w:type="dxa"/>
            <w:vAlign w:val="center"/>
          </w:tcPr>
          <w:p w14:paraId="4D3ED800" w14:textId="77777777" w:rsidR="00552E39" w:rsidRDefault="001A3956" w:rsidP="00CC0DFB">
            <w:pPr>
              <w:pStyle w:val="Tabletext"/>
              <w:keepNext/>
              <w:keepLines/>
              <w:widowControl w:val="0"/>
              <w:rPr>
                <w:rFonts w:cs="Arial"/>
                <w:color w:val="000000"/>
                <w:vertAlign w:val="superscript"/>
              </w:rPr>
            </w:pPr>
            <w:r w:rsidRPr="001A3956">
              <w:rPr>
                <w:rFonts w:cs="Arial"/>
                <w:color w:val="000000"/>
                <w:highlight w:val="black"/>
              </w:rPr>
              <w:t>@@@@</w:t>
            </w:r>
            <w:r w:rsidR="00DA1AF5">
              <w:rPr>
                <w:rFonts w:cs="Arial"/>
                <w:color w:val="000000"/>
                <w:vertAlign w:val="superscript"/>
              </w:rPr>
              <w:t>2</w:t>
            </w:r>
          </w:p>
          <w:p w14:paraId="0B16EBF7" w14:textId="4035615D" w:rsidR="00CF33A1" w:rsidRPr="0022491C" w:rsidRDefault="00CF33A1" w:rsidP="00CC0DFB">
            <w:pPr>
              <w:pStyle w:val="Tabletext"/>
              <w:keepNext/>
              <w:keepLines/>
              <w:widowControl w:val="0"/>
              <w:rPr>
                <w:highlight w:val="darkGray"/>
              </w:rPr>
            </w:pPr>
            <w:r w:rsidRPr="0022491C">
              <w:rPr>
                <w:rFonts w:cs="Arial"/>
                <w:color w:val="000000"/>
              </w:rPr>
              <w:t>(</w:t>
            </w:r>
            <w:r w:rsidR="001A3956" w:rsidRPr="001A3956">
              <w:rPr>
                <w:rFonts w:cs="Arial"/>
                <w:color w:val="000000"/>
                <w:highlight w:val="black"/>
              </w:rPr>
              <w:t>@@@@</w:t>
            </w:r>
            <w:r w:rsidRPr="0022491C">
              <w:rPr>
                <w:rFonts w:cs="Arial"/>
                <w:color w:val="000000"/>
              </w:rPr>
              <w:t>)</w:t>
            </w:r>
            <w:r w:rsidR="00903235">
              <w:rPr>
                <w:rFonts w:cs="Arial"/>
                <w:color w:val="000000"/>
                <w:vertAlign w:val="superscript"/>
              </w:rPr>
              <w:t xml:space="preserve"> </w:t>
            </w:r>
            <w:r w:rsidR="00DA1AF5" w:rsidRPr="00294938">
              <w:rPr>
                <w:rFonts w:cs="Arial"/>
                <w:color w:val="000000"/>
                <w:vertAlign w:val="superscript"/>
              </w:rPr>
              <w:t>2</w:t>
            </w:r>
          </w:p>
        </w:tc>
        <w:tc>
          <w:tcPr>
            <w:tcW w:w="1299" w:type="dxa"/>
            <w:vAlign w:val="center"/>
          </w:tcPr>
          <w:p w14:paraId="097626F2" w14:textId="77777777" w:rsidR="00552E39" w:rsidRDefault="001A3956" w:rsidP="00CC0DFB">
            <w:pPr>
              <w:pStyle w:val="Tabletext"/>
              <w:keepNext/>
              <w:keepLines/>
              <w:widowControl w:val="0"/>
              <w:rPr>
                <w:rFonts w:cs="Arial"/>
                <w:color w:val="000000"/>
                <w:vertAlign w:val="superscript"/>
              </w:rPr>
            </w:pPr>
            <w:r w:rsidRPr="001A3956">
              <w:rPr>
                <w:rFonts w:cs="Arial"/>
                <w:color w:val="000000"/>
                <w:highlight w:val="black"/>
              </w:rPr>
              <w:t>@@@@</w:t>
            </w:r>
            <w:r w:rsidR="00DA1AF5">
              <w:rPr>
                <w:rFonts w:cs="Arial"/>
                <w:color w:val="000000"/>
                <w:vertAlign w:val="superscript"/>
              </w:rPr>
              <w:t>2</w:t>
            </w:r>
          </w:p>
          <w:p w14:paraId="562A1A21" w14:textId="3D59D6CC" w:rsidR="00CF33A1" w:rsidRPr="0022491C" w:rsidRDefault="00CF33A1" w:rsidP="00CC0DFB">
            <w:pPr>
              <w:pStyle w:val="Tabletext"/>
              <w:keepNext/>
              <w:keepLines/>
              <w:widowControl w:val="0"/>
              <w:rPr>
                <w:highlight w:val="darkGray"/>
              </w:rPr>
            </w:pPr>
            <w:r w:rsidRPr="009A00BF">
              <w:rPr>
                <w:rFonts w:cs="Arial"/>
                <w:color w:val="000000"/>
              </w:rPr>
              <w:t>(</w:t>
            </w:r>
            <w:r w:rsidR="001A3956" w:rsidRPr="001A3956">
              <w:rPr>
                <w:rFonts w:cs="Arial"/>
                <w:color w:val="000000"/>
                <w:highlight w:val="black"/>
              </w:rPr>
              <w:t>@@@@</w:t>
            </w:r>
            <w:r w:rsidRPr="009A00BF">
              <w:rPr>
                <w:rFonts w:cs="Arial"/>
                <w:color w:val="000000"/>
              </w:rPr>
              <w:t>)</w:t>
            </w:r>
            <w:r w:rsidR="00DA1AF5" w:rsidRPr="00294938">
              <w:rPr>
                <w:rFonts w:cs="Arial"/>
                <w:color w:val="000000"/>
                <w:vertAlign w:val="superscript"/>
              </w:rPr>
              <w:t xml:space="preserve"> 2</w:t>
            </w:r>
          </w:p>
        </w:tc>
      </w:tr>
      <w:tr w:rsidR="00CF33A1" w:rsidRPr="00C92BD8" w14:paraId="616A7415" w14:textId="77777777" w:rsidTr="00CC0DFB">
        <w:trPr>
          <w:trHeight w:val="57"/>
        </w:trPr>
        <w:tc>
          <w:tcPr>
            <w:tcW w:w="1980" w:type="dxa"/>
          </w:tcPr>
          <w:p w14:paraId="35A70F77" w14:textId="77777777" w:rsidR="00CF33A1" w:rsidRPr="00055342" w:rsidRDefault="00CF33A1" w:rsidP="00CC0DFB">
            <w:pPr>
              <w:pStyle w:val="Tabletext"/>
              <w:keepNext/>
              <w:keepLines/>
              <w:widowControl w:val="0"/>
              <w:rPr>
                <w:b/>
                <w:bCs/>
              </w:rPr>
            </w:pPr>
            <w:r w:rsidRPr="00055342">
              <w:rPr>
                <w:b/>
              </w:rPr>
              <w:t>Net cost PBS / RPBS</w:t>
            </w:r>
          </w:p>
          <w:p w14:paraId="650925AA" w14:textId="43AEF610" w:rsidR="00CF33A1" w:rsidRPr="00055342" w:rsidRDefault="00CF33A1" w:rsidP="00CC0DFB">
            <w:pPr>
              <w:pStyle w:val="Tabletext"/>
              <w:keepNext/>
              <w:keepLines/>
              <w:widowControl w:val="0"/>
              <w:rPr>
                <w:b/>
                <w:bCs/>
              </w:rPr>
            </w:pPr>
            <w:r w:rsidRPr="00055342">
              <w:rPr>
                <w:b/>
              </w:rPr>
              <w:t>Proposed price</w:t>
            </w:r>
            <w:r w:rsidR="009A00BF">
              <w:rPr>
                <w:b/>
              </w:rPr>
              <w:t xml:space="preserve"> ($)</w:t>
            </w:r>
          </w:p>
        </w:tc>
        <w:tc>
          <w:tcPr>
            <w:tcW w:w="1156" w:type="dxa"/>
            <w:vAlign w:val="center"/>
          </w:tcPr>
          <w:p w14:paraId="2AF6D801" w14:textId="35444943" w:rsidR="00CF33A1" w:rsidRPr="00C71F7E" w:rsidRDefault="001A3956" w:rsidP="00CC0DFB">
            <w:pPr>
              <w:pStyle w:val="Tabletext"/>
              <w:keepNext/>
              <w:keepLines/>
              <w:widowControl w:val="0"/>
              <w:rPr>
                <w:rFonts w:cs="Arial"/>
                <w:b/>
                <w:bCs/>
                <w:color w:val="000000"/>
                <w:highlight w:val="darkGray"/>
                <w:vertAlign w:val="superscript"/>
              </w:rPr>
            </w:pPr>
            <w:r w:rsidRPr="001A3956">
              <w:rPr>
                <w:rFonts w:cs="Arial"/>
                <w:b/>
                <w:color w:val="000000"/>
                <w:highlight w:val="black"/>
              </w:rPr>
              <w:t>@@@@</w:t>
            </w:r>
            <w:r w:rsidR="00C71F7E" w:rsidRPr="00C71F7E">
              <w:rPr>
                <w:rFonts w:cs="Arial"/>
                <w:b/>
                <w:color w:val="000000"/>
                <w:vertAlign w:val="superscript"/>
              </w:rPr>
              <w:t>3</w:t>
            </w:r>
          </w:p>
        </w:tc>
        <w:tc>
          <w:tcPr>
            <w:tcW w:w="1299" w:type="dxa"/>
            <w:vAlign w:val="center"/>
          </w:tcPr>
          <w:p w14:paraId="5AC971C2" w14:textId="0BE71993" w:rsidR="00CF33A1" w:rsidRPr="009A00BF" w:rsidRDefault="001A3956" w:rsidP="00CC0DFB">
            <w:pPr>
              <w:pStyle w:val="Tabletext"/>
              <w:keepNext/>
              <w:keepLines/>
              <w:widowControl w:val="0"/>
              <w:rPr>
                <w:rFonts w:cs="Arial"/>
                <w:b/>
                <w:bCs/>
                <w:color w:val="000000"/>
                <w:highlight w:val="darkGray"/>
              </w:rPr>
            </w:pPr>
            <w:r w:rsidRPr="001A3956">
              <w:rPr>
                <w:rFonts w:cs="Arial"/>
                <w:b/>
                <w:color w:val="000000"/>
                <w:highlight w:val="black"/>
              </w:rPr>
              <w:t>@@@@</w:t>
            </w:r>
            <w:r w:rsidR="00C71F7E" w:rsidRPr="00C71F7E">
              <w:rPr>
                <w:rFonts w:cs="Arial"/>
                <w:b/>
                <w:color w:val="000000"/>
                <w:vertAlign w:val="superscript"/>
              </w:rPr>
              <w:t>3</w:t>
            </w:r>
          </w:p>
        </w:tc>
        <w:tc>
          <w:tcPr>
            <w:tcW w:w="1298" w:type="dxa"/>
            <w:vAlign w:val="center"/>
          </w:tcPr>
          <w:p w14:paraId="7D1DFFAE" w14:textId="3E189C56" w:rsidR="00CF33A1" w:rsidRPr="009A00BF" w:rsidRDefault="001A3956" w:rsidP="00CC0DFB">
            <w:pPr>
              <w:pStyle w:val="Tabletext"/>
              <w:keepNext/>
              <w:keepLines/>
              <w:widowControl w:val="0"/>
              <w:rPr>
                <w:rFonts w:cs="Arial"/>
                <w:b/>
                <w:bCs/>
                <w:color w:val="000000"/>
                <w:highlight w:val="darkGray"/>
              </w:rPr>
            </w:pPr>
            <w:r w:rsidRPr="001A3956">
              <w:rPr>
                <w:rFonts w:cs="Arial"/>
                <w:b/>
                <w:color w:val="000000"/>
                <w:highlight w:val="black"/>
              </w:rPr>
              <w:t>@@@@</w:t>
            </w:r>
            <w:r w:rsidR="00C71F7E" w:rsidRPr="00C71F7E">
              <w:rPr>
                <w:rFonts w:cs="Arial"/>
                <w:b/>
                <w:color w:val="000000"/>
                <w:vertAlign w:val="superscript"/>
              </w:rPr>
              <w:t>3</w:t>
            </w:r>
          </w:p>
        </w:tc>
        <w:tc>
          <w:tcPr>
            <w:tcW w:w="1299" w:type="dxa"/>
            <w:vAlign w:val="center"/>
          </w:tcPr>
          <w:p w14:paraId="02E6BF1C" w14:textId="17F5C549" w:rsidR="00CF33A1" w:rsidRPr="009A00BF" w:rsidRDefault="001A3956" w:rsidP="00CC0DFB">
            <w:pPr>
              <w:pStyle w:val="Tabletext"/>
              <w:keepNext/>
              <w:keepLines/>
              <w:widowControl w:val="0"/>
              <w:rPr>
                <w:rFonts w:cs="Arial"/>
                <w:b/>
                <w:bCs/>
                <w:color w:val="000000"/>
                <w:highlight w:val="darkGray"/>
              </w:rPr>
            </w:pPr>
            <w:r w:rsidRPr="001A3956">
              <w:rPr>
                <w:rFonts w:cs="Arial"/>
                <w:b/>
                <w:color w:val="000000"/>
                <w:highlight w:val="black"/>
              </w:rPr>
              <w:t>@@@@</w:t>
            </w:r>
            <w:r w:rsidR="00C71F7E" w:rsidRPr="00C71F7E">
              <w:rPr>
                <w:rFonts w:cs="Arial"/>
                <w:b/>
                <w:color w:val="000000"/>
                <w:vertAlign w:val="superscript"/>
              </w:rPr>
              <w:t>3</w:t>
            </w:r>
          </w:p>
        </w:tc>
        <w:tc>
          <w:tcPr>
            <w:tcW w:w="1298" w:type="dxa"/>
            <w:vAlign w:val="center"/>
          </w:tcPr>
          <w:p w14:paraId="693E4340" w14:textId="31A0751B" w:rsidR="00CF33A1" w:rsidRPr="009A00BF" w:rsidRDefault="001A3956" w:rsidP="00CC0DFB">
            <w:pPr>
              <w:pStyle w:val="Tabletext"/>
              <w:keepNext/>
              <w:keepLines/>
              <w:widowControl w:val="0"/>
              <w:rPr>
                <w:rFonts w:cs="Arial"/>
                <w:b/>
                <w:bCs/>
                <w:color w:val="000000"/>
                <w:highlight w:val="darkGray"/>
              </w:rPr>
            </w:pPr>
            <w:r w:rsidRPr="001A3956">
              <w:rPr>
                <w:rFonts w:cs="Arial"/>
                <w:b/>
                <w:color w:val="000000"/>
                <w:highlight w:val="black"/>
              </w:rPr>
              <w:t>@@@@</w:t>
            </w:r>
            <w:r w:rsidR="00C71F7E" w:rsidRPr="00C71F7E">
              <w:rPr>
                <w:rFonts w:cs="Arial"/>
                <w:b/>
                <w:color w:val="000000"/>
                <w:vertAlign w:val="superscript"/>
              </w:rPr>
              <w:t>3</w:t>
            </w:r>
          </w:p>
        </w:tc>
        <w:tc>
          <w:tcPr>
            <w:tcW w:w="1299" w:type="dxa"/>
            <w:vAlign w:val="center"/>
          </w:tcPr>
          <w:p w14:paraId="14A6E34B" w14:textId="26932ECB" w:rsidR="00CF33A1" w:rsidRPr="009A00BF" w:rsidRDefault="001A3956" w:rsidP="00CC0DFB">
            <w:pPr>
              <w:pStyle w:val="Tabletext"/>
              <w:keepNext/>
              <w:keepLines/>
              <w:widowControl w:val="0"/>
              <w:rPr>
                <w:rFonts w:cs="Arial"/>
                <w:b/>
                <w:bCs/>
                <w:color w:val="000000"/>
                <w:highlight w:val="darkGray"/>
              </w:rPr>
            </w:pPr>
            <w:r w:rsidRPr="001A3956">
              <w:rPr>
                <w:rFonts w:cs="Arial"/>
                <w:b/>
                <w:color w:val="000000"/>
                <w:highlight w:val="black"/>
              </w:rPr>
              <w:t>@@@@</w:t>
            </w:r>
            <w:r w:rsidR="00C71F7E">
              <w:rPr>
                <w:rFonts w:cs="Arial"/>
                <w:b/>
                <w:color w:val="000000"/>
                <w:vertAlign w:val="superscript"/>
              </w:rPr>
              <w:t>4</w:t>
            </w:r>
          </w:p>
        </w:tc>
      </w:tr>
      <w:tr w:rsidR="00CF33A1" w:rsidRPr="00C92BD8" w14:paraId="426CDF5B" w14:textId="77777777" w:rsidTr="00CC0DFB">
        <w:trPr>
          <w:trHeight w:val="57"/>
        </w:trPr>
        <w:tc>
          <w:tcPr>
            <w:tcW w:w="1980" w:type="dxa"/>
          </w:tcPr>
          <w:p w14:paraId="4BF4408A" w14:textId="77777777" w:rsidR="00CF33A1" w:rsidRPr="00055342" w:rsidRDefault="00CF33A1" w:rsidP="00CC0DFB">
            <w:pPr>
              <w:pStyle w:val="Tabletext"/>
              <w:keepNext/>
              <w:keepLines/>
              <w:widowControl w:val="0"/>
              <w:rPr>
                <w:b/>
                <w:bCs/>
              </w:rPr>
            </w:pPr>
            <w:r w:rsidRPr="00055342">
              <w:rPr>
                <w:b/>
              </w:rPr>
              <w:t>Net cost PBS / RPBS</w:t>
            </w:r>
          </w:p>
          <w:p w14:paraId="745CD216" w14:textId="465639A7" w:rsidR="00CF33A1" w:rsidRPr="00055342" w:rsidRDefault="00CF33A1" w:rsidP="00CC0DFB">
            <w:pPr>
              <w:pStyle w:val="Tabletext"/>
              <w:keepNext/>
              <w:keepLines/>
              <w:widowControl w:val="0"/>
            </w:pPr>
            <w:r w:rsidRPr="00055342">
              <w:rPr>
                <w:b/>
              </w:rPr>
              <w:t>Proposed cap</w:t>
            </w:r>
            <w:r w:rsidR="009A00BF">
              <w:rPr>
                <w:b/>
              </w:rPr>
              <w:t xml:space="preserve"> ($)</w:t>
            </w:r>
          </w:p>
        </w:tc>
        <w:tc>
          <w:tcPr>
            <w:tcW w:w="1156" w:type="dxa"/>
            <w:vAlign w:val="center"/>
          </w:tcPr>
          <w:p w14:paraId="27F47BAC" w14:textId="29E68371" w:rsidR="00CF33A1" w:rsidRPr="009A00BF" w:rsidRDefault="001A3956" w:rsidP="00CC0DFB">
            <w:pPr>
              <w:pStyle w:val="Tabletext"/>
              <w:keepNext/>
              <w:keepLines/>
              <w:widowControl w:val="0"/>
              <w:rPr>
                <w:highlight w:val="darkGray"/>
              </w:rPr>
            </w:pPr>
            <w:r w:rsidRPr="001A3956">
              <w:rPr>
                <w:rFonts w:cs="Arial"/>
                <w:b/>
                <w:color w:val="000000"/>
                <w:highlight w:val="black"/>
              </w:rPr>
              <w:t>@@@@</w:t>
            </w:r>
            <w:r w:rsidR="00DA1AF5">
              <w:rPr>
                <w:rFonts w:cs="Arial"/>
                <w:b/>
                <w:color w:val="000000"/>
                <w:vertAlign w:val="superscript"/>
              </w:rPr>
              <w:t>5</w:t>
            </w:r>
          </w:p>
        </w:tc>
        <w:tc>
          <w:tcPr>
            <w:tcW w:w="1299" w:type="dxa"/>
            <w:vAlign w:val="center"/>
          </w:tcPr>
          <w:p w14:paraId="69393BB1" w14:textId="31A1084C" w:rsidR="00CF33A1" w:rsidRPr="009A00BF" w:rsidRDefault="001A3956" w:rsidP="00CC0DFB">
            <w:pPr>
              <w:pStyle w:val="Tabletext"/>
              <w:keepNext/>
              <w:keepLines/>
              <w:widowControl w:val="0"/>
              <w:rPr>
                <w:highlight w:val="darkGray"/>
              </w:rPr>
            </w:pPr>
            <w:r w:rsidRPr="001A3956">
              <w:rPr>
                <w:rFonts w:cs="Arial"/>
                <w:b/>
                <w:color w:val="000000"/>
                <w:highlight w:val="black"/>
              </w:rPr>
              <w:t>@@@@</w:t>
            </w:r>
            <w:r w:rsidR="007D72EB">
              <w:rPr>
                <w:rFonts w:cs="Arial"/>
                <w:b/>
                <w:color w:val="000000"/>
                <w:vertAlign w:val="superscript"/>
              </w:rPr>
              <w:t>5</w:t>
            </w:r>
          </w:p>
        </w:tc>
        <w:tc>
          <w:tcPr>
            <w:tcW w:w="1298" w:type="dxa"/>
            <w:vAlign w:val="center"/>
          </w:tcPr>
          <w:p w14:paraId="53B3D6B5" w14:textId="5A40ED44" w:rsidR="00CF33A1" w:rsidRPr="009A00BF" w:rsidRDefault="001A3956" w:rsidP="00CC0DFB">
            <w:pPr>
              <w:pStyle w:val="Tabletext"/>
              <w:keepNext/>
              <w:keepLines/>
              <w:widowControl w:val="0"/>
              <w:rPr>
                <w:highlight w:val="darkGray"/>
              </w:rPr>
            </w:pPr>
            <w:r w:rsidRPr="001A3956">
              <w:rPr>
                <w:rFonts w:cs="Arial"/>
                <w:b/>
                <w:color w:val="000000"/>
                <w:highlight w:val="black"/>
              </w:rPr>
              <w:t>@@@@</w:t>
            </w:r>
            <w:r w:rsidR="00C71F7E" w:rsidRPr="00C71F7E">
              <w:rPr>
                <w:rFonts w:cs="Arial"/>
                <w:b/>
                <w:color w:val="000000"/>
                <w:vertAlign w:val="superscript"/>
              </w:rPr>
              <w:t>3</w:t>
            </w:r>
          </w:p>
        </w:tc>
        <w:tc>
          <w:tcPr>
            <w:tcW w:w="1299" w:type="dxa"/>
            <w:vAlign w:val="center"/>
          </w:tcPr>
          <w:p w14:paraId="3540BCB0" w14:textId="7C376571" w:rsidR="00CF33A1" w:rsidRPr="009A00BF" w:rsidRDefault="001A3956" w:rsidP="00CC0DFB">
            <w:pPr>
              <w:pStyle w:val="Tabletext"/>
              <w:keepNext/>
              <w:keepLines/>
              <w:widowControl w:val="0"/>
              <w:rPr>
                <w:highlight w:val="darkGray"/>
              </w:rPr>
            </w:pPr>
            <w:r w:rsidRPr="001A3956">
              <w:rPr>
                <w:rFonts w:cs="Arial"/>
                <w:b/>
                <w:color w:val="000000"/>
                <w:highlight w:val="black"/>
              </w:rPr>
              <w:t>@@@@</w:t>
            </w:r>
            <w:r w:rsidR="00C71F7E" w:rsidRPr="00C71F7E">
              <w:rPr>
                <w:rFonts w:cs="Arial"/>
                <w:b/>
                <w:color w:val="000000"/>
                <w:vertAlign w:val="superscript"/>
              </w:rPr>
              <w:t>3</w:t>
            </w:r>
          </w:p>
        </w:tc>
        <w:tc>
          <w:tcPr>
            <w:tcW w:w="1298" w:type="dxa"/>
            <w:vAlign w:val="center"/>
          </w:tcPr>
          <w:p w14:paraId="0F938B1A" w14:textId="2DB6786A" w:rsidR="00CF33A1" w:rsidRPr="009A00BF" w:rsidRDefault="001A3956" w:rsidP="00CC0DFB">
            <w:pPr>
              <w:pStyle w:val="Tabletext"/>
              <w:keepNext/>
              <w:keepLines/>
              <w:widowControl w:val="0"/>
              <w:rPr>
                <w:highlight w:val="darkGray"/>
              </w:rPr>
            </w:pPr>
            <w:r w:rsidRPr="001A3956">
              <w:rPr>
                <w:rFonts w:cs="Arial"/>
                <w:b/>
                <w:color w:val="000000"/>
                <w:highlight w:val="black"/>
              </w:rPr>
              <w:t>@@@@</w:t>
            </w:r>
            <w:r w:rsidR="00C71F7E" w:rsidRPr="00C71F7E">
              <w:rPr>
                <w:rFonts w:cs="Arial"/>
                <w:b/>
                <w:color w:val="000000"/>
                <w:vertAlign w:val="superscript"/>
              </w:rPr>
              <w:t>3</w:t>
            </w:r>
          </w:p>
        </w:tc>
        <w:tc>
          <w:tcPr>
            <w:tcW w:w="1299" w:type="dxa"/>
            <w:vAlign w:val="center"/>
          </w:tcPr>
          <w:p w14:paraId="2A4C0BC9" w14:textId="59888070" w:rsidR="00CF33A1" w:rsidRPr="009A00BF" w:rsidRDefault="001A3956" w:rsidP="00CC0DFB">
            <w:pPr>
              <w:pStyle w:val="Tabletext"/>
              <w:keepNext/>
              <w:keepLines/>
              <w:widowControl w:val="0"/>
              <w:rPr>
                <w:highlight w:val="darkGray"/>
              </w:rPr>
            </w:pPr>
            <w:r w:rsidRPr="001A3956">
              <w:rPr>
                <w:rFonts w:cs="Arial"/>
                <w:b/>
                <w:color w:val="000000"/>
                <w:highlight w:val="black"/>
              </w:rPr>
              <w:t>@@@@</w:t>
            </w:r>
            <w:r w:rsidR="00C71F7E" w:rsidRPr="00C71F7E">
              <w:rPr>
                <w:rFonts w:cs="Arial"/>
                <w:b/>
                <w:color w:val="000000"/>
                <w:vertAlign w:val="superscript"/>
              </w:rPr>
              <w:t>3</w:t>
            </w:r>
          </w:p>
        </w:tc>
      </w:tr>
      <w:tr w:rsidR="00CF33A1" w:rsidRPr="00C92BD8" w14:paraId="5686BDE5" w14:textId="77777777" w:rsidTr="00CC0DFB">
        <w:trPr>
          <w:trHeight w:val="57"/>
        </w:trPr>
        <w:tc>
          <w:tcPr>
            <w:tcW w:w="1980" w:type="dxa"/>
          </w:tcPr>
          <w:p w14:paraId="65C18EE2" w14:textId="6694D05C" w:rsidR="00CF33A1" w:rsidRPr="00055342" w:rsidRDefault="00CF33A1" w:rsidP="00CC0DFB">
            <w:pPr>
              <w:pStyle w:val="Tabletext"/>
              <w:keepNext/>
              <w:keepLines/>
              <w:widowControl w:val="0"/>
              <w:rPr>
                <w:b/>
                <w:bCs/>
              </w:rPr>
            </w:pPr>
            <w:r w:rsidRPr="00055342">
              <w:rPr>
                <w:b/>
              </w:rPr>
              <w:t>Average cost per patient per year</w:t>
            </w:r>
            <w:r w:rsidR="009A00BF">
              <w:rPr>
                <w:b/>
              </w:rPr>
              <w:t xml:space="preserve"> ($)</w:t>
            </w:r>
          </w:p>
        </w:tc>
        <w:tc>
          <w:tcPr>
            <w:tcW w:w="1156" w:type="dxa"/>
            <w:vAlign w:val="center"/>
          </w:tcPr>
          <w:p w14:paraId="4D93525C" w14:textId="6D63E94D" w:rsidR="00CF33A1" w:rsidRPr="009A00BF" w:rsidRDefault="001A3956" w:rsidP="00CC0DFB">
            <w:pPr>
              <w:pStyle w:val="Tabletext"/>
              <w:keepNext/>
              <w:keepLines/>
              <w:widowControl w:val="0"/>
              <w:rPr>
                <w:rFonts w:cs="Arial"/>
                <w:b/>
                <w:bCs/>
                <w:color w:val="000000"/>
                <w:highlight w:val="darkGray"/>
              </w:rPr>
            </w:pPr>
            <w:r w:rsidRPr="001A3956">
              <w:rPr>
                <w:rFonts w:cs="Arial"/>
                <w:color w:val="000000"/>
                <w:highlight w:val="black"/>
              </w:rPr>
              <w:t>@@@@</w:t>
            </w:r>
            <w:r w:rsidR="00DA1AF5">
              <w:rPr>
                <w:rFonts w:cs="Arial"/>
                <w:b/>
                <w:color w:val="000000"/>
                <w:vertAlign w:val="superscript"/>
              </w:rPr>
              <w:t>5</w:t>
            </w:r>
          </w:p>
        </w:tc>
        <w:tc>
          <w:tcPr>
            <w:tcW w:w="1299" w:type="dxa"/>
            <w:vAlign w:val="center"/>
          </w:tcPr>
          <w:p w14:paraId="27CB8098" w14:textId="0FFA1C42" w:rsidR="00CF33A1" w:rsidRPr="009A00BF" w:rsidRDefault="001A3956" w:rsidP="00CC0DFB">
            <w:pPr>
              <w:pStyle w:val="Tabletext"/>
              <w:keepNext/>
              <w:keepLines/>
              <w:widowControl w:val="0"/>
              <w:rPr>
                <w:rFonts w:cs="Arial"/>
                <w:b/>
                <w:bCs/>
                <w:color w:val="000000"/>
                <w:highlight w:val="darkGray"/>
              </w:rPr>
            </w:pPr>
            <w:r w:rsidRPr="001A3956">
              <w:rPr>
                <w:rFonts w:cs="Arial"/>
                <w:color w:val="000000"/>
                <w:highlight w:val="black"/>
              </w:rPr>
              <w:t>@@@@</w:t>
            </w:r>
            <w:r w:rsidR="00DA1AF5">
              <w:rPr>
                <w:rFonts w:cs="Arial"/>
                <w:b/>
                <w:color w:val="000000"/>
                <w:vertAlign w:val="superscript"/>
              </w:rPr>
              <w:t>5</w:t>
            </w:r>
          </w:p>
        </w:tc>
        <w:tc>
          <w:tcPr>
            <w:tcW w:w="1298" w:type="dxa"/>
            <w:vAlign w:val="center"/>
          </w:tcPr>
          <w:p w14:paraId="451113A5" w14:textId="66863FBF" w:rsidR="00CF33A1" w:rsidRPr="009A00BF" w:rsidRDefault="001A3956" w:rsidP="00CC0DFB">
            <w:pPr>
              <w:pStyle w:val="Tabletext"/>
              <w:keepNext/>
              <w:keepLines/>
              <w:widowControl w:val="0"/>
              <w:rPr>
                <w:rFonts w:cs="Arial"/>
                <w:b/>
                <w:bCs/>
                <w:color w:val="000000"/>
                <w:highlight w:val="darkGray"/>
              </w:rPr>
            </w:pPr>
            <w:r w:rsidRPr="001A3956">
              <w:rPr>
                <w:rFonts w:cs="Arial"/>
                <w:color w:val="000000"/>
                <w:highlight w:val="black"/>
              </w:rPr>
              <w:t>@@@@</w:t>
            </w:r>
            <w:r w:rsidR="00DA1AF5">
              <w:rPr>
                <w:rFonts w:cs="Arial"/>
                <w:b/>
                <w:color w:val="000000"/>
                <w:vertAlign w:val="superscript"/>
              </w:rPr>
              <w:t>5</w:t>
            </w:r>
          </w:p>
        </w:tc>
        <w:tc>
          <w:tcPr>
            <w:tcW w:w="1299" w:type="dxa"/>
            <w:vAlign w:val="center"/>
          </w:tcPr>
          <w:p w14:paraId="3B2B8545" w14:textId="3F460063" w:rsidR="00CF33A1" w:rsidRPr="009A00BF" w:rsidRDefault="001A3956" w:rsidP="00CC0DFB">
            <w:pPr>
              <w:pStyle w:val="Tabletext"/>
              <w:keepNext/>
              <w:keepLines/>
              <w:widowControl w:val="0"/>
              <w:rPr>
                <w:rFonts w:cs="Arial"/>
                <w:b/>
                <w:bCs/>
                <w:color w:val="000000"/>
                <w:highlight w:val="darkGray"/>
              </w:rPr>
            </w:pPr>
            <w:r w:rsidRPr="001A3956">
              <w:rPr>
                <w:rFonts w:cs="Arial"/>
                <w:color w:val="000000"/>
                <w:highlight w:val="black"/>
              </w:rPr>
              <w:t>@@@@</w:t>
            </w:r>
            <w:r w:rsidR="00DA1AF5">
              <w:rPr>
                <w:rFonts w:cs="Arial"/>
                <w:b/>
                <w:color w:val="000000"/>
                <w:vertAlign w:val="superscript"/>
              </w:rPr>
              <w:t>5</w:t>
            </w:r>
          </w:p>
        </w:tc>
        <w:tc>
          <w:tcPr>
            <w:tcW w:w="1298" w:type="dxa"/>
            <w:vAlign w:val="center"/>
          </w:tcPr>
          <w:p w14:paraId="0FA48A3A" w14:textId="6C891F3D" w:rsidR="00CF33A1" w:rsidRPr="009A00BF" w:rsidRDefault="001A3956" w:rsidP="00CC0DFB">
            <w:pPr>
              <w:pStyle w:val="Tabletext"/>
              <w:keepNext/>
              <w:keepLines/>
              <w:widowControl w:val="0"/>
              <w:rPr>
                <w:rFonts w:cs="Arial"/>
                <w:b/>
                <w:bCs/>
                <w:color w:val="000000"/>
                <w:highlight w:val="darkGray"/>
              </w:rPr>
            </w:pPr>
            <w:r w:rsidRPr="001A3956">
              <w:rPr>
                <w:rFonts w:cs="Arial"/>
                <w:color w:val="000000"/>
                <w:highlight w:val="black"/>
              </w:rPr>
              <w:t>@@@@</w:t>
            </w:r>
            <w:r w:rsidR="00DA1AF5">
              <w:rPr>
                <w:rFonts w:cs="Arial"/>
                <w:b/>
                <w:color w:val="000000"/>
                <w:vertAlign w:val="superscript"/>
              </w:rPr>
              <w:t>5</w:t>
            </w:r>
          </w:p>
        </w:tc>
        <w:tc>
          <w:tcPr>
            <w:tcW w:w="1299" w:type="dxa"/>
            <w:vAlign w:val="center"/>
          </w:tcPr>
          <w:p w14:paraId="36578499" w14:textId="4CD9D143" w:rsidR="00CF33A1" w:rsidRPr="009A00BF" w:rsidRDefault="001A3956" w:rsidP="00CC0DFB">
            <w:pPr>
              <w:pStyle w:val="Tabletext"/>
              <w:keepNext/>
              <w:keepLines/>
              <w:widowControl w:val="0"/>
              <w:rPr>
                <w:rFonts w:cs="Arial"/>
                <w:b/>
                <w:bCs/>
                <w:color w:val="000000"/>
                <w:highlight w:val="darkGray"/>
              </w:rPr>
            </w:pPr>
            <w:r w:rsidRPr="001A3956">
              <w:rPr>
                <w:rFonts w:cs="Arial"/>
                <w:color w:val="000000"/>
                <w:highlight w:val="black"/>
              </w:rPr>
              <w:t>@@@@</w:t>
            </w:r>
            <w:r w:rsidR="00DA1AF5">
              <w:rPr>
                <w:rFonts w:cs="Arial"/>
                <w:b/>
                <w:color w:val="000000"/>
                <w:vertAlign w:val="superscript"/>
              </w:rPr>
              <w:t>5</w:t>
            </w:r>
          </w:p>
        </w:tc>
      </w:tr>
    </w:tbl>
    <w:p w14:paraId="1F3FF2AD" w14:textId="14FEB970" w:rsidR="0059008C" w:rsidRDefault="00CF33A1" w:rsidP="001048DB">
      <w:pPr>
        <w:pStyle w:val="TableFigureFooter"/>
        <w:keepNext/>
        <w:widowControl w:val="0"/>
        <w:rPr>
          <w:i/>
          <w:iCs/>
          <w:color w:val="000000"/>
          <w:vertAlign w:val="superscript"/>
        </w:rPr>
      </w:pPr>
      <w:r w:rsidRPr="00355B19">
        <w:rPr>
          <w:sz w:val="20"/>
          <w:szCs w:val="20"/>
          <w:vertAlign w:val="superscript"/>
        </w:rPr>
        <w:t xml:space="preserve">a </w:t>
      </w:r>
      <w:r w:rsidRPr="00355B19">
        <w:t>Patient number and script estimates presented by the Drug Utilisation Sub</w:t>
      </w:r>
      <w:r w:rsidRPr="00355B19">
        <w:rPr>
          <w:lang w:val="en-GB"/>
        </w:rPr>
        <w:noBreakHyphen/>
      </w:r>
      <w:r w:rsidRPr="00355B19">
        <w:t xml:space="preserve">Committee (DUSC) in their review of the submission. </w:t>
      </w:r>
      <w:r w:rsidR="008D1907">
        <w:br/>
      </w:r>
      <w:r w:rsidR="001048DB">
        <w:rPr>
          <w:i/>
          <w:iCs/>
        </w:rPr>
        <w:t>The redacted values correspond to the following numbers:</w:t>
      </w:r>
    </w:p>
    <w:p w14:paraId="354B7E3F" w14:textId="77777777" w:rsidR="00BA1D67" w:rsidRDefault="00C71F7E" w:rsidP="001048DB">
      <w:pPr>
        <w:pStyle w:val="TableFigureFooter"/>
        <w:keepNext/>
        <w:widowControl w:val="0"/>
        <w:rPr>
          <w:i/>
          <w:iCs/>
          <w:color w:val="000000"/>
        </w:rPr>
      </w:pPr>
      <w:r w:rsidRPr="0059008C">
        <w:rPr>
          <w:i/>
          <w:iCs/>
          <w:color w:val="000000"/>
          <w:vertAlign w:val="superscript"/>
        </w:rPr>
        <w:t>1</w:t>
      </w:r>
      <w:r w:rsidR="001048DB" w:rsidRPr="0059008C">
        <w:rPr>
          <w:i/>
          <w:iCs/>
          <w:color w:val="000000"/>
          <w:vertAlign w:val="superscript"/>
        </w:rPr>
        <w:t xml:space="preserve"> </w:t>
      </w:r>
      <w:r w:rsidR="001048DB" w:rsidRPr="0059008C">
        <w:rPr>
          <w:i/>
          <w:iCs/>
        </w:rPr>
        <w:t>&lt; 50</w:t>
      </w:r>
      <w:r w:rsidR="00792715">
        <w:rPr>
          <w:i/>
          <w:iCs/>
        </w:rPr>
        <w:t>0</w:t>
      </w:r>
      <w:r w:rsidR="00CF33A1" w:rsidRPr="0059008C">
        <w:rPr>
          <w:i/>
          <w:iCs/>
        </w:rPr>
        <w:t xml:space="preserve"> </w:t>
      </w:r>
      <w:r w:rsidR="001048DB" w:rsidRPr="0059008C">
        <w:rPr>
          <w:i/>
          <w:iCs/>
        </w:rPr>
        <w:br/>
      </w:r>
      <w:r w:rsidR="001048DB" w:rsidRPr="0059008C">
        <w:rPr>
          <w:i/>
          <w:iCs/>
          <w:color w:val="000000"/>
          <w:vertAlign w:val="superscript"/>
        </w:rPr>
        <w:t xml:space="preserve">2 </w:t>
      </w:r>
      <w:r w:rsidR="00BA1D67">
        <w:rPr>
          <w:i/>
          <w:iCs/>
          <w:color w:val="000000"/>
        </w:rPr>
        <w:t>500 to &lt; 5,000</w:t>
      </w:r>
    </w:p>
    <w:p w14:paraId="274F1C37" w14:textId="0D0EEA76" w:rsidR="00BA1D67" w:rsidRPr="0059008C" w:rsidRDefault="00C71F7E" w:rsidP="00BA1D67">
      <w:pPr>
        <w:pStyle w:val="TableFigureFooter"/>
        <w:keepNext/>
        <w:widowControl w:val="0"/>
        <w:rPr>
          <w:i/>
          <w:iCs/>
        </w:rPr>
      </w:pPr>
      <w:r w:rsidRPr="0059008C">
        <w:rPr>
          <w:i/>
          <w:iCs/>
          <w:color w:val="000000"/>
          <w:vertAlign w:val="superscript"/>
        </w:rPr>
        <w:t>3</w:t>
      </w:r>
      <w:r w:rsidR="00DA1AF5" w:rsidRPr="0059008C">
        <w:rPr>
          <w:i/>
          <w:iCs/>
          <w:color w:val="000000"/>
        </w:rPr>
        <w:t>$10 million to &lt; $20 million</w:t>
      </w:r>
      <w:r w:rsidR="00BA1D67" w:rsidRPr="0059008C" w:rsidDel="00316774">
        <w:rPr>
          <w:i/>
          <w:iCs/>
        </w:rPr>
        <w:t xml:space="preserve"> </w:t>
      </w:r>
    </w:p>
    <w:p w14:paraId="41B00794" w14:textId="4DB0166A" w:rsidR="008453CC" w:rsidRPr="00DA1AF5" w:rsidRDefault="00C71F7E" w:rsidP="008D1907">
      <w:pPr>
        <w:pStyle w:val="TableFigureFooter"/>
        <w:keepNext/>
        <w:widowControl w:val="0"/>
        <w:rPr>
          <w:i/>
          <w:iCs/>
          <w:color w:val="000000"/>
        </w:rPr>
      </w:pPr>
      <w:r w:rsidRPr="0059008C">
        <w:rPr>
          <w:i/>
          <w:iCs/>
          <w:color w:val="000000"/>
          <w:vertAlign w:val="superscript"/>
        </w:rPr>
        <w:t xml:space="preserve"> </w:t>
      </w:r>
      <w:r w:rsidR="008453CC" w:rsidRPr="0059008C">
        <w:rPr>
          <w:i/>
          <w:iCs/>
          <w:color w:val="000000"/>
          <w:vertAlign w:val="superscript"/>
        </w:rPr>
        <w:t xml:space="preserve">4 </w:t>
      </w:r>
      <w:r w:rsidR="00316774" w:rsidRPr="0059008C">
        <w:rPr>
          <w:i/>
          <w:iCs/>
          <w:color w:val="000000"/>
        </w:rPr>
        <w:t>$20 million to &lt; $30 million</w:t>
      </w:r>
      <w:r w:rsidR="00316774" w:rsidRPr="0059008C" w:rsidDel="00316774">
        <w:rPr>
          <w:i/>
          <w:iCs/>
          <w:color w:val="000000"/>
        </w:rPr>
        <w:t xml:space="preserve"> </w:t>
      </w:r>
      <w:r w:rsidR="00DA1AF5">
        <w:rPr>
          <w:i/>
          <w:iCs/>
          <w:color w:val="000000"/>
        </w:rPr>
        <w:br/>
      </w:r>
      <w:r w:rsidR="00DA1AF5">
        <w:rPr>
          <w:i/>
          <w:iCs/>
          <w:color w:val="000000"/>
          <w:vertAlign w:val="superscript"/>
        </w:rPr>
        <w:t xml:space="preserve">5 </w:t>
      </w:r>
      <w:r w:rsidR="00DA1AF5">
        <w:rPr>
          <w:i/>
          <w:iCs/>
          <w:color w:val="000000"/>
        </w:rPr>
        <w:t>$0 to &lt; $10 million</w:t>
      </w:r>
    </w:p>
    <w:p w14:paraId="0F3F976A" w14:textId="18234CD3" w:rsidR="008D1907" w:rsidRPr="008453CC" w:rsidRDefault="008D1907" w:rsidP="008D1907">
      <w:pPr>
        <w:pStyle w:val="TableFigureFooter"/>
        <w:keepNext/>
        <w:widowControl w:val="0"/>
        <w:rPr>
          <w:i/>
          <w:iCs/>
          <w:color w:val="000000"/>
        </w:rPr>
      </w:pPr>
    </w:p>
    <w:p w14:paraId="5FAE7CC9" w14:textId="51CC9A95" w:rsidR="00CF33A1" w:rsidRPr="0090150D" w:rsidRDefault="00CF33A1" w:rsidP="00CF33A1">
      <w:pPr>
        <w:pStyle w:val="2-SectionHeading"/>
        <w:numPr>
          <w:ilvl w:val="0"/>
          <w:numId w:val="1"/>
        </w:numPr>
        <w:ind w:left="720"/>
      </w:pPr>
      <w:bookmarkStart w:id="83" w:name="_Hlk76377955"/>
      <w:r w:rsidRPr="0090150D">
        <w:t>PBAC Outcome</w:t>
      </w:r>
    </w:p>
    <w:p w14:paraId="40159B67" w14:textId="77777777" w:rsidR="00CF33A1" w:rsidRPr="00BE5E85" w:rsidRDefault="00CF33A1" w:rsidP="00CF33A1">
      <w:pPr>
        <w:pStyle w:val="3-BodyText"/>
        <w:widowControl w:val="0"/>
        <w:numPr>
          <w:ilvl w:val="1"/>
          <w:numId w:val="1"/>
        </w:numPr>
        <w:spacing w:after="120"/>
        <w:rPr>
          <w:rFonts w:cs="Arial"/>
          <w:snapToGrid w:val="0"/>
          <w:lang w:val="en-GB"/>
        </w:rPr>
      </w:pPr>
      <w:r w:rsidRPr="00BE5E85">
        <w:rPr>
          <w:rFonts w:cs="Arial"/>
          <w:snapToGrid w:val="0"/>
          <w:lang w:val="en-GB"/>
        </w:rPr>
        <w:t xml:space="preserve">The PBAC recommended the listing of </w:t>
      </w:r>
      <w:r w:rsidRPr="00BE5E85">
        <w:rPr>
          <w:snapToGrid w:val="0"/>
          <w:lang w:val="en-GB"/>
        </w:rPr>
        <w:t xml:space="preserve">givosiran for </w:t>
      </w:r>
      <w:r w:rsidRPr="00E750DB">
        <w:t>treatment of Acute Hepatic Porphyria (AHP) in adults and adolescents aged 12 years and older.</w:t>
      </w:r>
      <w:r>
        <w:t xml:space="preserve"> </w:t>
      </w:r>
      <w:r w:rsidRPr="00BE5E85">
        <w:rPr>
          <w:rFonts w:cs="Arial"/>
          <w:snapToGrid w:val="0"/>
          <w:lang w:val="en-GB"/>
        </w:rPr>
        <w:t xml:space="preserve">The PBAC </w:t>
      </w:r>
      <w:r>
        <w:rPr>
          <w:rFonts w:cs="Arial"/>
          <w:snapToGrid w:val="0"/>
          <w:lang w:val="en-GB"/>
        </w:rPr>
        <w:t>wa</w:t>
      </w:r>
      <w:r w:rsidRPr="00BE5E85">
        <w:rPr>
          <w:rFonts w:cs="Arial"/>
          <w:snapToGrid w:val="0"/>
          <w:lang w:val="en-GB"/>
        </w:rPr>
        <w:t xml:space="preserve">s satisfied that </w:t>
      </w:r>
      <w:r>
        <w:rPr>
          <w:rFonts w:cs="Arial"/>
          <w:snapToGrid w:val="0"/>
          <w:lang w:val="en-GB"/>
        </w:rPr>
        <w:t>givosiran</w:t>
      </w:r>
      <w:r w:rsidRPr="00BE5E85">
        <w:rPr>
          <w:rFonts w:cs="Arial"/>
          <w:snapToGrid w:val="0"/>
          <w:lang w:val="en-GB"/>
        </w:rPr>
        <w:t xml:space="preserve"> provides, for </w:t>
      </w:r>
      <w:proofErr w:type="gramStart"/>
      <w:r w:rsidRPr="00BE5E85">
        <w:rPr>
          <w:rFonts w:cs="Arial"/>
          <w:snapToGrid w:val="0"/>
          <w:lang w:val="en-GB"/>
        </w:rPr>
        <w:t>some</w:t>
      </w:r>
      <w:proofErr w:type="gramEnd"/>
      <w:r w:rsidRPr="00BE5E85">
        <w:rPr>
          <w:rFonts w:cs="Arial"/>
          <w:snapToGrid w:val="0"/>
          <w:lang w:val="en-GB"/>
        </w:rPr>
        <w:t xml:space="preserve"> patients, a significant improvement in efficacy over</w:t>
      </w:r>
      <w:r>
        <w:rPr>
          <w:rFonts w:cs="Arial"/>
          <w:snapToGrid w:val="0"/>
          <w:lang w:val="en-GB"/>
        </w:rPr>
        <w:t xml:space="preserve"> best supportive care</w:t>
      </w:r>
      <w:r w:rsidRPr="00BE5E85">
        <w:rPr>
          <w:rFonts w:cs="Arial"/>
          <w:snapToGrid w:val="0"/>
          <w:lang w:val="en-GB"/>
        </w:rPr>
        <w:t xml:space="preserve">. </w:t>
      </w:r>
      <w:r>
        <w:rPr>
          <w:rFonts w:cs="Arial"/>
          <w:snapToGrid w:val="0"/>
          <w:lang w:val="en-GB"/>
        </w:rPr>
        <w:t xml:space="preserve">The PBAC considered that the additional clinical input adequately addressed its concerns regarding the </w:t>
      </w:r>
      <w:r>
        <w:rPr>
          <w:snapToGrid w:val="0"/>
          <w:lang w:val="en-GB"/>
        </w:rPr>
        <w:t xml:space="preserve">uncertainty in </w:t>
      </w:r>
      <w:r w:rsidRPr="00B23058">
        <w:rPr>
          <w:snapToGrid w:val="0"/>
          <w:lang w:val="en-GB"/>
        </w:rPr>
        <w:t xml:space="preserve">the patient numbers, </w:t>
      </w:r>
      <w:proofErr w:type="gramStart"/>
      <w:r w:rsidRPr="00B23058">
        <w:rPr>
          <w:snapToGrid w:val="0"/>
          <w:lang w:val="en-GB"/>
        </w:rPr>
        <w:t>likely circumstances</w:t>
      </w:r>
      <w:proofErr w:type="gramEnd"/>
      <w:r w:rsidRPr="00B23058">
        <w:rPr>
          <w:snapToGrid w:val="0"/>
          <w:lang w:val="en-GB"/>
        </w:rPr>
        <w:t xml:space="preserve"> of use, and </w:t>
      </w:r>
      <w:r>
        <w:rPr>
          <w:snapToGrid w:val="0"/>
          <w:lang w:val="en-GB"/>
        </w:rPr>
        <w:t xml:space="preserve">continuation of </w:t>
      </w:r>
      <w:r w:rsidRPr="00B23058">
        <w:rPr>
          <w:snapToGrid w:val="0"/>
          <w:lang w:val="en-GB"/>
        </w:rPr>
        <w:t xml:space="preserve">treatment </w:t>
      </w:r>
      <w:r>
        <w:rPr>
          <w:snapToGrid w:val="0"/>
          <w:lang w:val="en-GB"/>
        </w:rPr>
        <w:t xml:space="preserve">over time. The PBAC considered that the proposed </w:t>
      </w:r>
      <w:r>
        <w:rPr>
          <w:rFonts w:cs="Arial"/>
          <w:snapToGrid w:val="0"/>
          <w:lang w:val="en-GB"/>
        </w:rPr>
        <w:t xml:space="preserve">price reduction and RSA adequately addressed its concerns regarding the cost-effectiveness and </w:t>
      </w:r>
      <w:proofErr w:type="gramStart"/>
      <w:r>
        <w:rPr>
          <w:rFonts w:cs="Arial"/>
          <w:snapToGrid w:val="0"/>
          <w:lang w:val="en-GB"/>
        </w:rPr>
        <w:t>financial impact</w:t>
      </w:r>
      <w:proofErr w:type="gramEnd"/>
      <w:r>
        <w:rPr>
          <w:rFonts w:cs="Arial"/>
          <w:snapToGrid w:val="0"/>
          <w:lang w:val="en-GB"/>
        </w:rPr>
        <w:t xml:space="preserve"> of givosiran.</w:t>
      </w:r>
    </w:p>
    <w:p w14:paraId="17F7890D" w14:textId="77777777" w:rsidR="00CF33A1" w:rsidRPr="00601B72" w:rsidRDefault="00CF33A1" w:rsidP="00CF33A1">
      <w:pPr>
        <w:pStyle w:val="3-BodyText"/>
        <w:rPr>
          <w:lang w:val="en-GB"/>
        </w:rPr>
      </w:pPr>
      <w:r>
        <w:rPr>
          <w:lang w:val="en-GB"/>
        </w:rPr>
        <w:t xml:space="preserve">The PBAC noted that the sponsor accepted the revisions to the restrictions proposed by the Secretariat, and considered that the revised restrictions appropriately reflected the PBAC’s previous comments as per paragraphs </w:t>
      </w:r>
      <w:r>
        <w:rPr>
          <w:lang w:val="en-GB"/>
        </w:rPr>
        <w:fldChar w:fldCharType="begin" w:fldLock="1"/>
      </w:r>
      <w:r>
        <w:rPr>
          <w:lang w:val="en-GB"/>
        </w:rPr>
        <w:instrText xml:space="preserve"> REF _Ref205194684 \r \h </w:instrText>
      </w:r>
      <w:r>
        <w:rPr>
          <w:lang w:val="en-GB"/>
        </w:rPr>
      </w:r>
      <w:r>
        <w:rPr>
          <w:lang w:val="en-GB"/>
        </w:rPr>
        <w:fldChar w:fldCharType="separate"/>
      </w:r>
      <w:r>
        <w:rPr>
          <w:lang w:val="en-GB"/>
        </w:rPr>
        <w:t>7.3</w:t>
      </w:r>
      <w:r>
        <w:rPr>
          <w:lang w:val="en-GB"/>
        </w:rPr>
        <w:fldChar w:fldCharType="end"/>
      </w:r>
      <w:r>
        <w:rPr>
          <w:lang w:val="en-GB"/>
        </w:rPr>
        <w:t>-</w:t>
      </w:r>
      <w:r>
        <w:rPr>
          <w:lang w:val="en-GB"/>
        </w:rPr>
        <w:fldChar w:fldCharType="begin" w:fldLock="1"/>
      </w:r>
      <w:r>
        <w:rPr>
          <w:lang w:val="en-GB"/>
        </w:rPr>
        <w:instrText xml:space="preserve"> REF _Ref213768856 \r \h </w:instrText>
      </w:r>
      <w:r>
        <w:rPr>
          <w:lang w:val="en-GB"/>
        </w:rPr>
      </w:r>
      <w:r>
        <w:rPr>
          <w:lang w:val="en-GB"/>
        </w:rPr>
        <w:fldChar w:fldCharType="separate"/>
      </w:r>
      <w:r>
        <w:rPr>
          <w:lang w:val="en-GB"/>
        </w:rPr>
        <w:t>7.5</w:t>
      </w:r>
      <w:r>
        <w:rPr>
          <w:lang w:val="en-GB"/>
        </w:rPr>
        <w:fldChar w:fldCharType="end"/>
      </w:r>
      <w:r>
        <w:rPr>
          <w:lang w:val="en-GB"/>
        </w:rPr>
        <w:t>.</w:t>
      </w:r>
      <w:r w:rsidRPr="00601B72">
        <w:t xml:space="preserve"> </w:t>
      </w:r>
      <w:r w:rsidRPr="00601B72">
        <w:rPr>
          <w:lang w:val="en-GB"/>
        </w:rPr>
        <w:t xml:space="preserve">Given that </w:t>
      </w:r>
      <w:r>
        <w:rPr>
          <w:lang w:val="en-GB"/>
        </w:rPr>
        <w:t>givosiran</w:t>
      </w:r>
      <w:r w:rsidRPr="00601B72">
        <w:rPr>
          <w:lang w:val="en-GB"/>
        </w:rPr>
        <w:t xml:space="preserve"> is a high-cost</w:t>
      </w:r>
      <w:r>
        <w:rPr>
          <w:lang w:val="en-GB"/>
        </w:rPr>
        <w:t xml:space="preserve"> </w:t>
      </w:r>
      <w:r w:rsidRPr="00601B72">
        <w:rPr>
          <w:lang w:val="en-GB"/>
        </w:rPr>
        <w:t>medicine, the PBAC advised that an Authority Required (Written/</w:t>
      </w:r>
      <w:r>
        <w:rPr>
          <w:lang w:val="en-GB"/>
        </w:rPr>
        <w:t>Online – full assessment</w:t>
      </w:r>
      <w:r w:rsidRPr="00601B72">
        <w:rPr>
          <w:lang w:val="en-GB"/>
        </w:rPr>
        <w:t>) listing</w:t>
      </w:r>
      <w:r>
        <w:rPr>
          <w:lang w:val="en-GB"/>
        </w:rPr>
        <w:t xml:space="preserve"> </w:t>
      </w:r>
      <w:r w:rsidRPr="00601B72">
        <w:rPr>
          <w:lang w:val="en-GB"/>
        </w:rPr>
        <w:t>for initial treatment and an Authority Required (Written/</w:t>
      </w:r>
      <w:r>
        <w:rPr>
          <w:lang w:val="en-GB"/>
        </w:rPr>
        <w:t>O</w:t>
      </w:r>
      <w:r w:rsidRPr="00601B72">
        <w:rPr>
          <w:lang w:val="en-GB"/>
        </w:rPr>
        <w:t>nline</w:t>
      </w:r>
      <w:r>
        <w:rPr>
          <w:lang w:val="en-GB"/>
        </w:rPr>
        <w:t xml:space="preserve"> – immediate assessment</w:t>
      </w:r>
      <w:r w:rsidRPr="00601B72">
        <w:rPr>
          <w:lang w:val="en-GB"/>
        </w:rPr>
        <w:t>) listing</w:t>
      </w:r>
      <w:r>
        <w:rPr>
          <w:lang w:val="en-GB"/>
        </w:rPr>
        <w:t xml:space="preserve"> </w:t>
      </w:r>
      <w:r w:rsidRPr="00601B72">
        <w:rPr>
          <w:lang w:val="en-GB"/>
        </w:rPr>
        <w:t>for continuing treatment would be appropriate</w:t>
      </w:r>
      <w:r>
        <w:rPr>
          <w:lang w:val="en-GB"/>
        </w:rPr>
        <w:t>.</w:t>
      </w:r>
    </w:p>
    <w:p w14:paraId="0E5167E8" w14:textId="2844D097" w:rsidR="00CF33A1" w:rsidRDefault="00CF33A1" w:rsidP="00CF33A1">
      <w:pPr>
        <w:widowControl w:val="0"/>
        <w:numPr>
          <w:ilvl w:val="1"/>
          <w:numId w:val="1"/>
        </w:numPr>
        <w:spacing w:after="120"/>
      </w:pPr>
      <w:r>
        <w:rPr>
          <w:rFonts w:asciiTheme="minorHAnsi" w:hAnsiTheme="minorHAnsi"/>
          <w:snapToGrid w:val="0"/>
          <w:lang w:val="en-GB"/>
        </w:rPr>
        <w:t xml:space="preserve">The PBAC noted that the sponsor provided a </w:t>
      </w:r>
      <w:r>
        <w:t xml:space="preserve">summary of advice sought from </w:t>
      </w:r>
      <w:r w:rsidR="001A3956" w:rsidRPr="001A3956">
        <w:rPr>
          <w:highlight w:val="black"/>
        </w:rPr>
        <w:t>@@@@</w:t>
      </w:r>
      <w:r>
        <w:t xml:space="preserve"> clinicians with experience in treating AHP across NSW, Victoria, </w:t>
      </w:r>
      <w:proofErr w:type="gramStart"/>
      <w:r>
        <w:t>Queensland</w:t>
      </w:r>
      <w:proofErr w:type="gramEnd"/>
      <w:r>
        <w:t xml:space="preserve"> and South Australia. The PBAC noted that the clinicians indicated the total number of known AHP patients was </w:t>
      </w:r>
      <w:r w:rsidR="0083249B">
        <w:t>&lt; 500</w:t>
      </w:r>
      <w:r>
        <w:t xml:space="preserve"> and that </w:t>
      </w:r>
      <w:r w:rsidR="009A00BF">
        <w:t>&lt; 50</w:t>
      </w:r>
      <w:r w:rsidR="00CC0DFB">
        <w:t>0</w:t>
      </w:r>
      <w:r>
        <w:t xml:space="preserve"> of these patients would meet the criteria for treatment with givosiran under the proposed PBS restrictions. The clinicians also estimated approximately </w:t>
      </w:r>
      <w:r w:rsidR="009A00BF">
        <w:t>&lt; 50</w:t>
      </w:r>
      <w:r w:rsidR="00CC0DFB">
        <w:t>0</w:t>
      </w:r>
      <w:r w:rsidR="009A00BF">
        <w:t xml:space="preserve"> - &lt; 50</w:t>
      </w:r>
      <w:r w:rsidR="00CC0DFB">
        <w:t>0</w:t>
      </w:r>
      <w:r>
        <w:t xml:space="preserve"> additional patients in each state may be receiving treatment outside existing porphyria clinics and that in total </w:t>
      </w:r>
      <w:r w:rsidR="009A00BF">
        <w:t>&lt; 50</w:t>
      </w:r>
      <w:r w:rsidR="00CC0DFB">
        <w:t>0</w:t>
      </w:r>
      <w:r w:rsidR="009A00BF">
        <w:t xml:space="preserve"> - &lt; 5</w:t>
      </w:r>
      <w:r w:rsidR="00CC0DFB">
        <w:t>0</w:t>
      </w:r>
      <w:r w:rsidR="009A00BF">
        <w:t>0</w:t>
      </w:r>
      <w:r w:rsidR="002F239B">
        <w:t xml:space="preserve"> </w:t>
      </w:r>
      <w:r>
        <w:t>additional patients are likely to be identified each year with increased awareness of AHP and availability of an effective treatment. The PBAC considered these estimates appeared reasonable and acknowledged the likelihood that there is currently some underdiagnosis of AHP.</w:t>
      </w:r>
    </w:p>
    <w:p w14:paraId="640BDAE3" w14:textId="435EBAA1" w:rsidR="00CF33A1" w:rsidRDefault="00CF33A1" w:rsidP="00CF33A1">
      <w:pPr>
        <w:widowControl w:val="0"/>
        <w:numPr>
          <w:ilvl w:val="1"/>
          <w:numId w:val="1"/>
        </w:numPr>
        <w:spacing w:after="120"/>
      </w:pPr>
      <w:r>
        <w:t xml:space="preserve">The PBAC noted the clinical advice that there are limited information and clinical experience regarding discontinuation of givosiran treatment for reasons such as pregnancy, menopause, adverse events or after a long period of remission from attacks. The PBAC noted that the sponsor indicated that </w:t>
      </w:r>
      <w:r w:rsidRPr="00CE6737">
        <w:t xml:space="preserve">in the </w:t>
      </w:r>
      <w:r>
        <w:t>local a</w:t>
      </w:r>
      <w:r w:rsidRPr="00CE6737">
        <w:t xml:space="preserve">ccess </w:t>
      </w:r>
      <w:r>
        <w:t>p</w:t>
      </w:r>
      <w:r w:rsidRPr="00CE6737">
        <w:t xml:space="preserve">rogram, patients have continued givosiran treatment for around </w:t>
      </w:r>
      <w:r w:rsidR="00AB24E8" w:rsidRPr="00AB24E8">
        <w:rPr>
          <w:highlight w:val="black"/>
        </w:rPr>
        <w:t>&amp;&amp;&amp;&amp;</w:t>
      </w:r>
      <w:r>
        <w:t>-</w:t>
      </w:r>
      <w:r w:rsidR="001A3956" w:rsidRPr="001A3956">
        <w:rPr>
          <w:highlight w:val="black"/>
        </w:rPr>
        <w:t>@@@@</w:t>
      </w:r>
      <w:r w:rsidRPr="00CE6737">
        <w:t>years.</w:t>
      </w:r>
      <w:r>
        <w:t xml:space="preserve"> </w:t>
      </w:r>
    </w:p>
    <w:p w14:paraId="35D92BBB" w14:textId="77777777" w:rsidR="00CF33A1" w:rsidRDefault="00CF33A1" w:rsidP="00CF33A1">
      <w:pPr>
        <w:widowControl w:val="0"/>
        <w:numPr>
          <w:ilvl w:val="1"/>
          <w:numId w:val="1"/>
        </w:numPr>
        <w:spacing w:after="120"/>
      </w:pPr>
      <w:r>
        <w:t xml:space="preserve">The sponsor noted that there was some remaining uncertainty in the estimated eligible population and used the DUSC estimates based on the revised prevalence approach (as per </w:t>
      </w:r>
      <w:r>
        <w:fldChar w:fldCharType="begin" w:fldLock="1"/>
      </w:r>
      <w:r>
        <w:instrText xml:space="preserve"> REF _Ref213762269 \h </w:instrText>
      </w:r>
      <w:r>
        <w:fldChar w:fldCharType="separate"/>
      </w:r>
      <w:r w:rsidRPr="00E750DB">
        <w:t xml:space="preserve">Table </w:t>
      </w:r>
      <w:r>
        <w:rPr>
          <w:noProof/>
        </w:rPr>
        <w:t>19</w:t>
      </w:r>
      <w:r>
        <w:fldChar w:fldCharType="end"/>
      </w:r>
      <w:r>
        <w:t xml:space="preserve">) as the basis for the financial estimates and for calculation of the financial caps for the proposed RSA. The PBAC noted that the estimated number of eligible patients based on clinical input was consistent with the DUSC-revised estimates, </w:t>
      </w:r>
      <w:proofErr w:type="gramStart"/>
      <w:r>
        <w:t>assuming that</w:t>
      </w:r>
      <w:proofErr w:type="gramEnd"/>
      <w:r>
        <w:t xml:space="preserve"> all patients identified in the clinician input as eligible for treatment were treated with givosiran (100% uptake) and continued treatment for the full 6 years of forward estimates. </w:t>
      </w:r>
      <w:r w:rsidRPr="00A04157">
        <w:t xml:space="preserve">The PBAC considered </w:t>
      </w:r>
      <w:r>
        <w:t>the DUSC estimates</w:t>
      </w:r>
      <w:r w:rsidRPr="00A04157">
        <w:t xml:space="preserve"> provided a reasonable estimate of the number of patients likely to be treated with givosiran as uptake </w:t>
      </w:r>
      <w:r>
        <w:t xml:space="preserve">rates in eligible patients </w:t>
      </w:r>
      <w:r w:rsidRPr="00A04157">
        <w:t>are expected to be high</w:t>
      </w:r>
      <w:r>
        <w:t xml:space="preserve"> </w:t>
      </w:r>
      <w:r w:rsidRPr="00A04157">
        <w:t xml:space="preserve">and </w:t>
      </w:r>
      <w:proofErr w:type="gramStart"/>
      <w:r>
        <w:t>the majority of</w:t>
      </w:r>
      <w:proofErr w:type="gramEnd"/>
      <w:r>
        <w:t xml:space="preserve"> patients are likely to remain on treatment for 5 years or more based on data from the local access program.</w:t>
      </w:r>
    </w:p>
    <w:p w14:paraId="676F62AC" w14:textId="7E13B5AA" w:rsidR="00CF33A1" w:rsidRPr="00DC2579" w:rsidRDefault="00CF33A1" w:rsidP="00CF33A1">
      <w:pPr>
        <w:pStyle w:val="3-BodyText"/>
        <w:widowControl w:val="0"/>
        <w:numPr>
          <w:ilvl w:val="1"/>
          <w:numId w:val="1"/>
        </w:numPr>
        <w:spacing w:after="120"/>
        <w:rPr>
          <w:snapToGrid w:val="0"/>
        </w:rPr>
      </w:pPr>
      <w:r>
        <w:t xml:space="preserve">The PBAC recalled it </w:t>
      </w:r>
      <w:r w:rsidRPr="00F26F4E">
        <w:rPr>
          <w:snapToGrid w:val="0"/>
          <w:lang w:val="en-GB"/>
        </w:rPr>
        <w:t>previously considered that in the context of this rare disease with very substantial impacts on patient quality of life, givosiran would be considered acceptably cost</w:t>
      </w:r>
      <w:r w:rsidRPr="00F26F4E">
        <w:rPr>
          <w:snapToGrid w:val="0"/>
          <w:lang w:val="en-GB"/>
        </w:rPr>
        <w:noBreakHyphen/>
        <w:t>effective at a cost of not more than $</w:t>
      </w:r>
      <w:r w:rsidR="00EE4AD1">
        <w:rPr>
          <w:snapToGrid w:val="0"/>
          <w:lang w:val="en-GB"/>
        </w:rPr>
        <w:t>155,000 to &lt; $255,000</w:t>
      </w:r>
      <w:r w:rsidRPr="008A7C47">
        <w:rPr>
          <w:snapToGrid w:val="0"/>
          <w:lang w:val="en-GB"/>
        </w:rPr>
        <w:t xml:space="preserve"> </w:t>
      </w:r>
      <w:r w:rsidRPr="00F26F4E">
        <w:rPr>
          <w:snapToGrid w:val="0"/>
          <w:lang w:val="en-GB"/>
        </w:rPr>
        <w:t>per patient per year</w:t>
      </w:r>
      <w:r>
        <w:rPr>
          <w:snapToGrid w:val="0"/>
          <w:lang w:val="en-GB"/>
        </w:rPr>
        <w:t xml:space="preserve"> (paragraph </w:t>
      </w:r>
      <w:r>
        <w:rPr>
          <w:snapToGrid w:val="0"/>
          <w:lang w:val="en-GB"/>
        </w:rPr>
        <w:fldChar w:fldCharType="begin" w:fldLock="1"/>
      </w:r>
      <w:r>
        <w:rPr>
          <w:snapToGrid w:val="0"/>
          <w:lang w:val="en-GB"/>
        </w:rPr>
        <w:instrText xml:space="preserve"> REF _Ref213256146 \r \h </w:instrText>
      </w:r>
      <w:r>
        <w:rPr>
          <w:snapToGrid w:val="0"/>
          <w:lang w:val="en-GB"/>
        </w:rPr>
      </w:r>
      <w:r>
        <w:rPr>
          <w:snapToGrid w:val="0"/>
          <w:lang w:val="en-GB"/>
        </w:rPr>
        <w:fldChar w:fldCharType="separate"/>
      </w:r>
      <w:r>
        <w:rPr>
          <w:snapToGrid w:val="0"/>
          <w:lang w:val="en-GB"/>
        </w:rPr>
        <w:t>7.12</w:t>
      </w:r>
      <w:r>
        <w:rPr>
          <w:snapToGrid w:val="0"/>
          <w:lang w:val="en-GB"/>
        </w:rPr>
        <w:fldChar w:fldCharType="end"/>
      </w:r>
      <w:r>
        <w:rPr>
          <w:snapToGrid w:val="0"/>
          <w:lang w:val="en-GB"/>
        </w:rPr>
        <w:t>)</w:t>
      </w:r>
      <w:r w:rsidRPr="00F26F4E">
        <w:rPr>
          <w:snapToGrid w:val="0"/>
          <w:lang w:val="en-GB"/>
        </w:rPr>
        <w:t xml:space="preserve">. </w:t>
      </w:r>
      <w:r>
        <w:rPr>
          <w:snapToGrid w:val="0"/>
          <w:lang w:val="en-GB"/>
        </w:rPr>
        <w:t>T</w:t>
      </w:r>
      <w:r>
        <w:t xml:space="preserve">he PBAC noted that the sponsor proposed a </w:t>
      </w:r>
      <w:r w:rsidR="001A3956" w:rsidRPr="001A3956">
        <w:rPr>
          <w:highlight w:val="black"/>
        </w:rPr>
        <w:t>@@@@</w:t>
      </w:r>
      <w:r>
        <w:t xml:space="preserve">% reduction in the price per vial for givosiran, which would reduce the cost per patient per year to </w:t>
      </w:r>
      <w:r w:rsidRPr="00F10985">
        <w:rPr>
          <w:bCs/>
        </w:rPr>
        <w:t>$</w:t>
      </w:r>
      <w:r w:rsidR="001A3956" w:rsidRPr="001A3956">
        <w:rPr>
          <w:bCs/>
          <w:highlight w:val="black"/>
        </w:rPr>
        <w:t>@@@@</w:t>
      </w:r>
      <w:r>
        <w:rPr>
          <w:bCs/>
        </w:rPr>
        <w:t xml:space="preserve"> based on an average </w:t>
      </w:r>
      <w:r w:rsidRPr="00570EDC">
        <w:rPr>
          <w:bCs/>
        </w:rPr>
        <w:t>of 1.2 vials</w:t>
      </w:r>
      <w:r>
        <w:rPr>
          <w:bCs/>
        </w:rPr>
        <w:t xml:space="preserve"> per </w:t>
      </w:r>
      <w:r w:rsidRPr="00570EDC">
        <w:rPr>
          <w:bCs/>
        </w:rPr>
        <w:t>month (14.4 vials</w:t>
      </w:r>
      <w:r>
        <w:rPr>
          <w:bCs/>
        </w:rPr>
        <w:t xml:space="preserve"> per year). The PBAC noted that the sponsor also proposed an RSA with financial caps based on patients receiving an average of </w:t>
      </w:r>
      <w:r w:rsidR="001A3956" w:rsidRPr="001A3956">
        <w:rPr>
          <w:bCs/>
          <w:highlight w:val="black"/>
        </w:rPr>
        <w:t>@@@@</w:t>
      </w:r>
      <w:r>
        <w:rPr>
          <w:bCs/>
        </w:rPr>
        <w:t xml:space="preserve"> vials per year. This resulted in an average cost per patient per year of &lt;$</w:t>
      </w:r>
      <w:r w:rsidR="001A3956" w:rsidRPr="001A3956">
        <w:rPr>
          <w:bCs/>
          <w:highlight w:val="black"/>
        </w:rPr>
        <w:t>@@@@</w:t>
      </w:r>
      <w:r>
        <w:rPr>
          <w:bCs/>
        </w:rPr>
        <w:t xml:space="preserve"> and reduced the estimated total financial impact from $</w:t>
      </w:r>
      <w:r w:rsidR="0086279D">
        <w:rPr>
          <w:bCs/>
        </w:rPr>
        <w:t xml:space="preserve">90 million to &lt; $100 </w:t>
      </w:r>
      <w:r w:rsidRPr="0086279D">
        <w:rPr>
          <w:bCs/>
        </w:rPr>
        <w:t>million to $</w:t>
      </w:r>
      <w:r w:rsidR="0086279D">
        <w:rPr>
          <w:bCs/>
        </w:rPr>
        <w:t xml:space="preserve">60 million to &lt; $70 </w:t>
      </w:r>
      <w:r w:rsidRPr="0086279D">
        <w:rPr>
          <w:bCs/>
        </w:rPr>
        <w:t>million</w:t>
      </w:r>
      <w:r>
        <w:rPr>
          <w:bCs/>
        </w:rPr>
        <w:t xml:space="preserve"> over the first 6 years of listing. The PBAC considered that it would be appropriate for a rebate of </w:t>
      </w:r>
      <w:r w:rsidR="001A3956" w:rsidRPr="001A3956">
        <w:rPr>
          <w:highlight w:val="black"/>
        </w:rPr>
        <w:t>@@@@</w:t>
      </w:r>
      <w:r>
        <w:rPr>
          <w:bCs/>
        </w:rPr>
        <w:t xml:space="preserve">% to apply for expenditure above the financial caps based on the values in </w:t>
      </w:r>
      <w:r>
        <w:fldChar w:fldCharType="begin" w:fldLock="1"/>
      </w:r>
      <w:r>
        <w:instrText xml:space="preserve"> REF _Ref213762269 \h </w:instrText>
      </w:r>
      <w:r>
        <w:fldChar w:fldCharType="separate"/>
      </w:r>
      <w:r w:rsidRPr="00E750DB">
        <w:t xml:space="preserve">Table </w:t>
      </w:r>
      <w:r>
        <w:rPr>
          <w:noProof/>
        </w:rPr>
        <w:t>19</w:t>
      </w:r>
      <w:r>
        <w:fldChar w:fldCharType="end"/>
      </w:r>
      <w:r>
        <w:t xml:space="preserve"> to maintain the cost per patient per year. </w:t>
      </w:r>
      <w:r>
        <w:rPr>
          <w:snapToGrid w:val="0"/>
          <w:lang w:val="en-GB"/>
        </w:rPr>
        <w:t xml:space="preserve">The PBAC considered that the </w:t>
      </w:r>
      <w:r>
        <w:rPr>
          <w:rFonts w:cs="Arial"/>
          <w:snapToGrid w:val="0"/>
          <w:lang w:val="en-GB"/>
        </w:rPr>
        <w:t xml:space="preserve">price reduction, together with the RSA, adequately addressed its remaining concerns regarding uncertainty in the circumstances of use, duration of treatment, and the cost-effectiveness of givosiran. </w:t>
      </w:r>
      <w:r>
        <w:rPr>
          <w:snapToGrid w:val="0"/>
          <w:lang w:val="en-GB"/>
        </w:rPr>
        <w:t>T</w:t>
      </w:r>
      <w:r w:rsidRPr="00F26F4E">
        <w:rPr>
          <w:snapToGrid w:val="0"/>
          <w:lang w:val="en-GB"/>
        </w:rPr>
        <w:t xml:space="preserve">he PBAC </w:t>
      </w:r>
      <w:r>
        <w:rPr>
          <w:snapToGrid w:val="0"/>
          <w:lang w:val="en-GB"/>
        </w:rPr>
        <w:t>noted that this consideration also accounted for</w:t>
      </w:r>
      <w:r w:rsidRPr="00F26F4E">
        <w:rPr>
          <w:snapToGrid w:val="0"/>
          <w:lang w:val="en-GB"/>
        </w:rPr>
        <w:t xml:space="preserve"> substantial reductions in cost to the healthcare system due to reduced hospitalisations and use of hemin</w:t>
      </w:r>
      <w:r>
        <w:rPr>
          <w:snapToGrid w:val="0"/>
          <w:lang w:val="en-GB"/>
        </w:rPr>
        <w:t xml:space="preserve"> associated with givosiran</w:t>
      </w:r>
      <w:r w:rsidRPr="00F26F4E">
        <w:rPr>
          <w:snapToGrid w:val="0"/>
          <w:lang w:val="en-GB"/>
        </w:rPr>
        <w:t>.</w:t>
      </w:r>
      <w:r>
        <w:rPr>
          <w:snapToGrid w:val="0"/>
          <w:lang w:val="en-GB"/>
        </w:rPr>
        <w:t xml:space="preserve"> </w:t>
      </w:r>
      <w:r>
        <w:rPr>
          <w:snapToGrid w:val="0"/>
        </w:rPr>
        <w:t>G</w:t>
      </w:r>
      <w:r w:rsidRPr="00DC2579">
        <w:rPr>
          <w:snapToGrid w:val="0"/>
        </w:rPr>
        <w:t xml:space="preserve">iven the uncertainty in patient numbers and the likely duration of treatment, </w:t>
      </w:r>
      <w:r>
        <w:rPr>
          <w:snapToGrid w:val="0"/>
        </w:rPr>
        <w:t xml:space="preserve">the PBAC considered that </w:t>
      </w:r>
      <w:r w:rsidRPr="00DC2579">
        <w:rPr>
          <w:snapToGrid w:val="0"/>
        </w:rPr>
        <w:t xml:space="preserve">patient numbers for givosiran should be </w:t>
      </w:r>
      <w:r>
        <w:rPr>
          <w:snapToGrid w:val="0"/>
        </w:rPr>
        <w:t xml:space="preserve">monitored and </w:t>
      </w:r>
      <w:r w:rsidRPr="00DC2579">
        <w:rPr>
          <w:snapToGrid w:val="0"/>
        </w:rPr>
        <w:t xml:space="preserve">reviewed after </w:t>
      </w:r>
      <w:r>
        <w:rPr>
          <w:snapToGrid w:val="0"/>
        </w:rPr>
        <w:t>2</w:t>
      </w:r>
      <w:r w:rsidRPr="00DC2579">
        <w:rPr>
          <w:snapToGrid w:val="0"/>
        </w:rPr>
        <w:t xml:space="preserve"> years, and </w:t>
      </w:r>
      <w:r>
        <w:rPr>
          <w:snapToGrid w:val="0"/>
        </w:rPr>
        <w:t xml:space="preserve">that </w:t>
      </w:r>
      <w:r w:rsidRPr="00DC2579">
        <w:rPr>
          <w:snapToGrid w:val="0"/>
        </w:rPr>
        <w:t xml:space="preserve">the RSA financial caps </w:t>
      </w:r>
      <w:r>
        <w:rPr>
          <w:snapToGrid w:val="0"/>
        </w:rPr>
        <w:t xml:space="preserve">be </w:t>
      </w:r>
      <w:r w:rsidRPr="00DC2579">
        <w:rPr>
          <w:snapToGrid w:val="0"/>
        </w:rPr>
        <w:t xml:space="preserve">revised if patient numbers are lower than anticipated, to ensure </w:t>
      </w:r>
      <w:r>
        <w:rPr>
          <w:snapToGrid w:val="0"/>
        </w:rPr>
        <w:t>a cost-effective cost per patient</w:t>
      </w:r>
      <w:r w:rsidRPr="00DC2579">
        <w:rPr>
          <w:snapToGrid w:val="0"/>
        </w:rPr>
        <w:t>.</w:t>
      </w:r>
    </w:p>
    <w:p w14:paraId="37295419" w14:textId="77777777" w:rsidR="00CF33A1" w:rsidRDefault="00CF33A1" w:rsidP="00CF33A1">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w:t>
      </w:r>
      <w:r>
        <w:rPr>
          <w:rFonts w:asciiTheme="minorHAnsi" w:hAnsiTheme="minorHAnsi"/>
          <w:bCs/>
          <w:snapToGrid w:val="0"/>
          <w:lang w:val="en-GB"/>
        </w:rPr>
        <w:t xml:space="preserve">givosiran </w:t>
      </w:r>
      <w:r w:rsidRPr="00525B39">
        <w:rPr>
          <w:rFonts w:asciiTheme="minorHAnsi" w:hAnsiTheme="minorHAnsi"/>
          <w:bCs/>
          <w:snapToGrid w:val="0"/>
          <w:lang w:val="en-GB"/>
        </w:rPr>
        <w:t xml:space="preserve">should not </w:t>
      </w:r>
      <w:proofErr w:type="gramStart"/>
      <w:r w:rsidRPr="00525B39">
        <w:rPr>
          <w:rFonts w:asciiTheme="minorHAnsi" w:hAnsiTheme="minorHAnsi"/>
          <w:bCs/>
          <w:snapToGrid w:val="0"/>
          <w:lang w:val="en-GB"/>
        </w:rPr>
        <w:t>be treated</w:t>
      </w:r>
      <w:proofErr w:type="gramEnd"/>
      <w:r w:rsidRPr="00525B39">
        <w:rPr>
          <w:rFonts w:asciiTheme="minorHAnsi" w:hAnsiTheme="minorHAnsi"/>
          <w:bCs/>
          <w:snapToGrid w:val="0"/>
          <w:lang w:val="en-GB"/>
        </w:rPr>
        <w:t xml:space="preserve"> as interchangeable with any other drugs</w:t>
      </w:r>
      <w:r>
        <w:rPr>
          <w:rFonts w:asciiTheme="minorHAnsi" w:hAnsiTheme="minorHAnsi"/>
          <w:bCs/>
          <w:snapToGrid w:val="0"/>
          <w:lang w:val="en-GB"/>
        </w:rPr>
        <w:t>.</w:t>
      </w:r>
      <w:r w:rsidRPr="00525B39">
        <w:rPr>
          <w:rFonts w:asciiTheme="minorHAnsi" w:hAnsiTheme="minorHAnsi"/>
          <w:bCs/>
          <w:snapToGrid w:val="0"/>
          <w:lang w:val="en-GB"/>
        </w:rPr>
        <w:t xml:space="preserve"> </w:t>
      </w:r>
    </w:p>
    <w:p w14:paraId="478C2756" w14:textId="77777777" w:rsidR="00CF33A1" w:rsidRDefault="00CF33A1" w:rsidP="00CF33A1">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Pr>
          <w:rFonts w:asciiTheme="minorHAnsi" w:hAnsiTheme="minorHAnsi"/>
          <w:bCs/>
          <w:snapToGrid w:val="0"/>
          <w:lang w:val="en-GB"/>
        </w:rPr>
        <w:t>givosiran</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 xml:space="preserve">ribing by nurse practitioners. </w:t>
      </w:r>
      <w:r w:rsidRPr="00D8553E">
        <w:rPr>
          <w:rFonts w:asciiTheme="minorHAnsi" w:hAnsiTheme="minorHAnsi"/>
          <w:bCs/>
          <w:snapToGrid w:val="0"/>
          <w:lang w:val="en-GB"/>
        </w:rPr>
        <w:t xml:space="preserve">The PBAC advised that </w:t>
      </w:r>
      <w:r>
        <w:rPr>
          <w:rFonts w:asciiTheme="minorHAnsi" w:hAnsiTheme="minorHAnsi"/>
          <w:bCs/>
          <w:snapToGrid w:val="0"/>
          <w:lang w:val="en-GB"/>
        </w:rPr>
        <w:t>givosiran</w:t>
      </w:r>
      <w:r w:rsidRPr="00D8553E">
        <w:rPr>
          <w:rFonts w:asciiTheme="minorHAnsi" w:hAnsiTheme="minorHAnsi"/>
          <w:bCs/>
          <w:snapToGrid w:val="0"/>
          <w:lang w:val="en-GB"/>
        </w:rPr>
        <w:t xml:space="preserve"> is suitable</w:t>
      </w:r>
      <w:r>
        <w:rPr>
          <w:rFonts w:asciiTheme="minorHAnsi" w:hAnsiTheme="minorHAnsi"/>
          <w:bCs/>
          <w:snapToGrid w:val="0"/>
          <w:lang w:val="en-GB"/>
        </w:rPr>
        <w:t xml:space="preserve"> for prescribing by medical practitioners only.</w:t>
      </w:r>
    </w:p>
    <w:p w14:paraId="66CDE96E" w14:textId="77777777" w:rsidR="00CF33A1" w:rsidRPr="00397D52" w:rsidRDefault="00CF33A1" w:rsidP="00CF33A1">
      <w:pPr>
        <w:widowControl w:val="0"/>
        <w:numPr>
          <w:ilvl w:val="1"/>
          <w:numId w:val="1"/>
        </w:numPr>
        <w:spacing w:after="120"/>
        <w:rPr>
          <w:rFonts w:asciiTheme="minorHAnsi" w:hAnsiTheme="minorHAnsi"/>
          <w:bCs/>
          <w:snapToGrid w:val="0"/>
          <w:lang w:val="en-GB"/>
        </w:rPr>
      </w:pPr>
      <w:r>
        <w:rPr>
          <w:rFonts w:asciiTheme="minorHAnsi" w:hAnsiTheme="minorHAnsi"/>
          <w:bCs/>
          <w:snapToGrid w:val="0"/>
        </w:rPr>
        <w:t>T</w:t>
      </w:r>
      <w:r w:rsidRPr="00492F45">
        <w:rPr>
          <w:rFonts w:asciiTheme="minorHAnsi" w:hAnsiTheme="minorHAnsi"/>
          <w:bCs/>
          <w:snapToGrid w:val="0"/>
        </w:rPr>
        <w:t>he PBAC recommended that the Early Supply Rule should apply</w:t>
      </w:r>
      <w:r>
        <w:rPr>
          <w:rFonts w:asciiTheme="minorHAnsi" w:hAnsiTheme="minorHAnsi"/>
          <w:bCs/>
          <w:snapToGrid w:val="0"/>
        </w:rPr>
        <w:t xml:space="preserve"> as </w:t>
      </w:r>
      <w:r>
        <w:rPr>
          <w:rFonts w:asciiTheme="minorHAnsi" w:hAnsiTheme="minorHAnsi"/>
          <w:bCs/>
          <w:snapToGrid w:val="0"/>
          <w:lang w:val="en-GB"/>
        </w:rPr>
        <w:t xml:space="preserve">givosiran is dosed monthly, there should be no clinical reason for needing earlier supplies. </w:t>
      </w:r>
    </w:p>
    <w:p w14:paraId="0480FCFA" w14:textId="56122D00" w:rsidR="00CF33A1" w:rsidRPr="00D121C5" w:rsidRDefault="00CF33A1" w:rsidP="00CF33A1">
      <w:pPr>
        <w:pStyle w:val="3-BodyText"/>
        <w:rPr>
          <w:b/>
          <w:lang w:val="en-GB"/>
        </w:rPr>
      </w:pPr>
      <w:r w:rsidRPr="00D121C5">
        <w:rPr>
          <w:lang w:val="en-GB"/>
        </w:rPr>
        <w:t xml:space="preserve">The 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 </w:t>
      </w:r>
      <w:proofErr w:type="gramStart"/>
      <w:r w:rsidRPr="00D121C5">
        <w:rPr>
          <w:lang w:val="en-GB"/>
        </w:rPr>
        <w:t>were met</w:t>
      </w:r>
      <w:proofErr w:type="gramEnd"/>
      <w:r w:rsidRPr="00D121C5">
        <w:rPr>
          <w:lang w:val="en-GB"/>
        </w:rPr>
        <w:t>. Specifically</w:t>
      </w:r>
      <w:r w:rsidR="00CC0DFB">
        <w:rPr>
          <w:lang w:val="en-GB"/>
        </w:rPr>
        <w:t>,</w:t>
      </w:r>
      <w:r w:rsidRPr="00D121C5">
        <w:rPr>
          <w:lang w:val="en-GB"/>
        </w:rPr>
        <w:t xml:space="preserve"> the PBAC found that in the circumstances of its recommendation for </w:t>
      </w:r>
      <w:r>
        <w:rPr>
          <w:lang w:val="en-GB"/>
        </w:rPr>
        <w:t>givosiran</w:t>
      </w:r>
      <w:r w:rsidRPr="00D121C5">
        <w:rPr>
          <w:lang w:val="en-GB"/>
        </w:rPr>
        <w:t>:</w:t>
      </w:r>
    </w:p>
    <w:p w14:paraId="6375B864" w14:textId="77777777" w:rsidR="00CF33A1" w:rsidRPr="00763DFB" w:rsidRDefault="00CF33A1" w:rsidP="000869D3">
      <w:pPr>
        <w:widowControl w:val="0"/>
        <w:numPr>
          <w:ilvl w:val="1"/>
          <w:numId w:val="16"/>
        </w:numPr>
        <w:spacing w:after="120"/>
        <w:rPr>
          <w:rFonts w:asciiTheme="minorHAnsi" w:hAnsiTheme="minorHAnsi" w:cstheme="minorHAnsi"/>
          <w:lang w:val="en-GB"/>
        </w:rPr>
      </w:pPr>
      <w:r w:rsidRPr="00763DFB">
        <w:rPr>
          <w:rFonts w:asciiTheme="minorHAnsi" w:hAnsiTheme="minorHAnsi" w:cstheme="minorHAnsi"/>
          <w:lang w:val="en-GB"/>
        </w:rPr>
        <w:t xml:space="preserve">The treatment </w:t>
      </w:r>
      <w:proofErr w:type="gramStart"/>
      <w:r w:rsidRPr="00763DFB">
        <w:rPr>
          <w:rFonts w:asciiTheme="minorHAnsi" w:hAnsiTheme="minorHAnsi" w:cstheme="minorHAnsi"/>
          <w:lang w:val="en-GB"/>
        </w:rPr>
        <w:t>is expected</w:t>
      </w:r>
      <w:proofErr w:type="gramEnd"/>
      <w:r w:rsidRPr="00763DFB">
        <w:rPr>
          <w:rFonts w:asciiTheme="minorHAnsi" w:hAnsiTheme="minorHAnsi" w:cstheme="minorHAnsi"/>
          <w:lang w:val="en-GB"/>
        </w:rPr>
        <w:t xml:space="preserve"> to provide a substantial and clinically relevant improvement in efficacy over </w:t>
      </w:r>
      <w:r>
        <w:rPr>
          <w:rFonts w:asciiTheme="minorHAnsi" w:hAnsiTheme="minorHAnsi" w:cstheme="minorHAnsi"/>
          <w:lang w:val="en-GB"/>
        </w:rPr>
        <w:t>best supportive care</w:t>
      </w:r>
      <w:r w:rsidRPr="00763DFB">
        <w:rPr>
          <w:rFonts w:asciiTheme="minorHAnsi" w:hAnsiTheme="minorHAnsi" w:cstheme="minorHAnsi"/>
          <w:lang w:val="en-GB"/>
        </w:rPr>
        <w:t xml:space="preserve">, </w:t>
      </w:r>
      <w:proofErr w:type="gramStart"/>
      <w:r w:rsidRPr="00763DFB">
        <w:rPr>
          <w:rFonts w:asciiTheme="minorHAnsi" w:hAnsiTheme="minorHAnsi" w:cstheme="minorHAnsi"/>
          <w:lang w:val="en-GB"/>
        </w:rPr>
        <w:t>on the basis of</w:t>
      </w:r>
      <w:proofErr w:type="gramEnd"/>
      <w:r>
        <w:rPr>
          <w:rFonts w:asciiTheme="minorHAnsi" w:hAnsiTheme="minorHAnsi" w:cstheme="minorHAnsi"/>
          <w:lang w:val="en-GB"/>
        </w:rPr>
        <w:t xml:space="preserve"> a </w:t>
      </w:r>
      <w:r w:rsidRPr="0096593C">
        <w:rPr>
          <w:rFonts w:asciiTheme="minorHAnsi" w:hAnsiTheme="minorHAnsi" w:cstheme="minorHAnsi"/>
          <w:lang w:val="en-GB"/>
        </w:rPr>
        <w:t>reduction in the average number of porphyria attacks requiring hospitalisation, urgent healthcare visits, or intravenous hemin administration at home per year as demonstrated in the ENVISION trial</w:t>
      </w:r>
      <w:r w:rsidRPr="00763DFB">
        <w:rPr>
          <w:rFonts w:asciiTheme="minorHAnsi" w:hAnsiTheme="minorHAnsi" w:cstheme="minorHAnsi"/>
          <w:lang w:val="en-GB"/>
        </w:rPr>
        <w:t xml:space="preserve">; </w:t>
      </w:r>
    </w:p>
    <w:p w14:paraId="362FCFA9" w14:textId="77777777" w:rsidR="00CF33A1" w:rsidRPr="00763DFB" w:rsidRDefault="00CF33A1" w:rsidP="000869D3">
      <w:pPr>
        <w:widowControl w:val="0"/>
        <w:numPr>
          <w:ilvl w:val="1"/>
          <w:numId w:val="16"/>
        </w:numPr>
        <w:spacing w:after="120"/>
        <w:rPr>
          <w:rFonts w:asciiTheme="minorHAnsi" w:hAnsiTheme="minorHAnsi" w:cstheme="minorHAnsi"/>
          <w:lang w:val="en-GB"/>
        </w:rPr>
      </w:pPr>
      <w:r w:rsidRPr="00763DFB">
        <w:rPr>
          <w:rFonts w:asciiTheme="minorHAnsi" w:hAnsiTheme="minorHAnsi" w:cstheme="minorHAnsi"/>
          <w:lang w:val="en-GB"/>
        </w:rPr>
        <w:t xml:space="preserve">The treatment </w:t>
      </w:r>
      <w:proofErr w:type="gramStart"/>
      <w:r w:rsidRPr="00763DFB">
        <w:rPr>
          <w:rFonts w:asciiTheme="minorHAnsi" w:hAnsiTheme="minorHAnsi" w:cstheme="minorHAnsi"/>
          <w:lang w:val="en-GB"/>
        </w:rPr>
        <w:t>is expected</w:t>
      </w:r>
      <w:proofErr w:type="gramEnd"/>
      <w:r w:rsidRPr="00763DFB">
        <w:rPr>
          <w:rFonts w:asciiTheme="minorHAnsi" w:hAnsiTheme="minorHAnsi" w:cstheme="minorHAnsi"/>
          <w:lang w:val="en-GB"/>
        </w:rPr>
        <w:t xml:space="preserve"> to address a high and urgent unmet clinical need </w:t>
      </w:r>
      <w:r>
        <w:rPr>
          <w:rFonts w:asciiTheme="minorHAnsi" w:hAnsiTheme="minorHAnsi" w:cstheme="minorHAnsi"/>
          <w:lang w:val="en-GB"/>
        </w:rPr>
        <w:t xml:space="preserve">as </w:t>
      </w:r>
      <w:r>
        <w:rPr>
          <w:rFonts w:asciiTheme="minorHAnsi" w:hAnsiTheme="minorHAnsi"/>
          <w:bCs/>
          <w:snapToGrid w:val="0"/>
        </w:rPr>
        <w:t>current treatments for AHP are ineffective, invasive, difficult to access and associated with serious side effects</w:t>
      </w:r>
      <w:r w:rsidRPr="00763DFB">
        <w:rPr>
          <w:rFonts w:asciiTheme="minorHAnsi" w:hAnsiTheme="minorHAnsi" w:cstheme="minorHAnsi"/>
          <w:lang w:val="en-GB"/>
        </w:rPr>
        <w:t>;</w:t>
      </w:r>
    </w:p>
    <w:p w14:paraId="633E5F7C" w14:textId="77777777" w:rsidR="00CF33A1" w:rsidRPr="002C5CFE" w:rsidRDefault="00CF33A1" w:rsidP="000869D3">
      <w:pPr>
        <w:widowControl w:val="0"/>
        <w:numPr>
          <w:ilvl w:val="1"/>
          <w:numId w:val="16"/>
        </w:numPr>
        <w:spacing w:after="120"/>
        <w:rPr>
          <w:rFonts w:asciiTheme="minorHAnsi" w:hAnsiTheme="minorHAnsi"/>
          <w:bCs/>
          <w:snapToGrid w:val="0"/>
          <w:lang w:val="en-GB"/>
        </w:rPr>
      </w:pPr>
      <w:r w:rsidRPr="00763DFB">
        <w:rPr>
          <w:rFonts w:asciiTheme="minorHAnsi" w:hAnsiTheme="minorHAnsi" w:cstheme="minorHAnsi"/>
          <w:lang w:val="en-GB"/>
        </w:rPr>
        <w:t xml:space="preserve">It would be in the public interest for the subsequent pricing application to be progressed under Pricing Pathway </w:t>
      </w:r>
      <w:proofErr w:type="gramStart"/>
      <w:r w:rsidRPr="00763DFB">
        <w:rPr>
          <w:rFonts w:asciiTheme="minorHAnsi" w:hAnsiTheme="minorHAnsi" w:cstheme="minorHAnsi"/>
          <w:lang w:val="en-GB"/>
        </w:rPr>
        <w:t>A on the basis of</w:t>
      </w:r>
      <w:proofErr w:type="gramEnd"/>
      <w:r w:rsidRPr="00763DFB">
        <w:rPr>
          <w:rFonts w:asciiTheme="minorHAnsi" w:hAnsiTheme="minorHAnsi" w:cstheme="minorHAnsi"/>
          <w:lang w:val="en-GB"/>
        </w:rPr>
        <w:t xml:space="preserve"> the preceding findings</w:t>
      </w:r>
      <w:r>
        <w:rPr>
          <w:rFonts w:asciiTheme="minorHAnsi" w:hAnsiTheme="minorHAnsi" w:cstheme="minorHAnsi"/>
          <w:lang w:val="en-GB"/>
        </w:rPr>
        <w:t>.</w:t>
      </w:r>
      <w:r w:rsidRPr="00763DFB">
        <w:rPr>
          <w:rFonts w:asciiTheme="minorHAnsi" w:hAnsiTheme="minorHAnsi" w:cstheme="minorHAnsi"/>
          <w:lang w:val="en-GB"/>
        </w:rPr>
        <w:t xml:space="preserve"> </w:t>
      </w:r>
    </w:p>
    <w:p w14:paraId="6AE1F0C2" w14:textId="77777777" w:rsidR="00CF33A1" w:rsidRDefault="00CF33A1" w:rsidP="00CF33A1">
      <w:pPr>
        <w:pStyle w:val="3-BodyText"/>
        <w:rPr>
          <w:snapToGrid w:val="0"/>
          <w:lang w:val="en-GB"/>
        </w:rPr>
      </w:pPr>
      <w:r w:rsidRPr="003F6896">
        <w:t>The PBAC noted that this submission is not eligible for an Independent Review as it is a positive recommendation</w:t>
      </w:r>
      <w:r w:rsidRPr="00525B39">
        <w:rPr>
          <w:snapToGrid w:val="0"/>
          <w:lang w:val="en-GB"/>
        </w:rPr>
        <w:t xml:space="preserve">. </w:t>
      </w:r>
    </w:p>
    <w:p w14:paraId="78DE4513" w14:textId="77777777" w:rsidR="00CF33A1" w:rsidRPr="007D4707" w:rsidRDefault="00CF33A1" w:rsidP="00CF33A1">
      <w:pPr>
        <w:widowControl w:val="0"/>
        <w:contextualSpacing/>
        <w:rPr>
          <w:rFonts w:asciiTheme="minorHAnsi" w:hAnsiTheme="minorHAnsi"/>
          <w:bCs/>
          <w:snapToGrid w:val="0"/>
          <w:lang w:val="en-GB"/>
        </w:rPr>
      </w:pPr>
    </w:p>
    <w:p w14:paraId="020CDAD3" w14:textId="77777777" w:rsidR="00CF33A1" w:rsidRPr="00525B39" w:rsidRDefault="00CF33A1" w:rsidP="00CF33A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23379F0" w14:textId="77777777" w:rsidR="00CF33A1" w:rsidRPr="00525B39" w:rsidRDefault="00CF33A1" w:rsidP="00CF33A1">
      <w:pPr>
        <w:rPr>
          <w:rFonts w:asciiTheme="minorHAnsi" w:hAnsiTheme="minorHAnsi"/>
          <w:bCs/>
          <w:snapToGrid w:val="0"/>
          <w:lang w:val="en-GB"/>
        </w:rPr>
      </w:pPr>
      <w:r w:rsidRPr="00525B39">
        <w:rPr>
          <w:rFonts w:asciiTheme="minorHAnsi" w:hAnsiTheme="minorHAnsi"/>
          <w:bCs/>
          <w:snapToGrid w:val="0"/>
          <w:lang w:val="en-GB"/>
        </w:rPr>
        <w:t>Recommended</w:t>
      </w:r>
    </w:p>
    <w:p w14:paraId="4BD9C940" w14:textId="77777777" w:rsidR="00CF33A1" w:rsidRPr="00525B39" w:rsidRDefault="00CF33A1" w:rsidP="00CF33A1">
      <w:pPr>
        <w:widowControl w:val="0"/>
        <w:rPr>
          <w:rFonts w:asciiTheme="minorHAnsi" w:hAnsiTheme="minorHAnsi"/>
          <w:b/>
          <w:bCs/>
          <w:snapToGrid w:val="0"/>
        </w:rPr>
      </w:pPr>
    </w:p>
    <w:p w14:paraId="4C2B06F7" w14:textId="77777777" w:rsidR="00CF33A1" w:rsidRPr="00907671" w:rsidRDefault="00CF33A1" w:rsidP="00CF33A1">
      <w:pPr>
        <w:pStyle w:val="2-SectionHeading"/>
        <w:numPr>
          <w:ilvl w:val="0"/>
          <w:numId w:val="1"/>
        </w:numPr>
        <w:ind w:left="720"/>
      </w:pPr>
      <w:r w:rsidRPr="00907671">
        <w:t>Recommended listing</w:t>
      </w:r>
    </w:p>
    <w:p w14:paraId="29B70667" w14:textId="77777777" w:rsidR="00CF33A1" w:rsidRDefault="00CF33A1" w:rsidP="00CF33A1">
      <w:pPr>
        <w:widowControl w:val="0"/>
        <w:contextualSpacing/>
        <w:rPr>
          <w:rFonts w:asciiTheme="minorHAnsi" w:hAnsiTheme="minorHAnsi"/>
          <w:bCs/>
          <w:snapToGrid w:val="0"/>
        </w:rPr>
      </w:pPr>
      <w:r w:rsidRPr="00525B39">
        <w:rPr>
          <w:rFonts w:asciiTheme="minorHAnsi" w:hAnsiTheme="minorHAnsi"/>
          <w:bCs/>
          <w:snapToGrid w:val="0"/>
        </w:rPr>
        <w:t>Add new item:</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2966"/>
        <w:gridCol w:w="1772"/>
        <w:gridCol w:w="819"/>
        <w:gridCol w:w="818"/>
        <w:gridCol w:w="819"/>
        <w:gridCol w:w="1873"/>
      </w:tblGrid>
      <w:tr w:rsidR="00CF33A1" w:rsidRPr="005B10CC" w14:paraId="0EE4717A" w14:textId="77777777" w:rsidTr="002637D9">
        <w:trPr>
          <w:cantSplit/>
          <w:trHeight w:val="20"/>
        </w:trPr>
        <w:tc>
          <w:tcPr>
            <w:tcW w:w="2966" w:type="dxa"/>
            <w:vAlign w:val="center"/>
          </w:tcPr>
          <w:p w14:paraId="6D7D5AA2" w14:textId="77777777" w:rsidR="00CF33A1" w:rsidRPr="005B10CC" w:rsidRDefault="00CF33A1" w:rsidP="00CC0DFB">
            <w:pPr>
              <w:keepLines/>
              <w:rPr>
                <w:rFonts w:ascii="Arial Narrow" w:hAnsi="Arial Narrow"/>
                <w:b/>
                <w:bCs/>
                <w:sz w:val="20"/>
                <w:szCs w:val="20"/>
              </w:rPr>
            </w:pPr>
            <w:r w:rsidRPr="005B10CC">
              <w:rPr>
                <w:rFonts w:ascii="Arial Narrow" w:hAnsi="Arial Narrow"/>
                <w:b/>
                <w:bCs/>
                <w:sz w:val="20"/>
                <w:szCs w:val="20"/>
              </w:rPr>
              <w:t>MEDICINAL PRODUCT</w:t>
            </w:r>
          </w:p>
          <w:p w14:paraId="7D0AE20C" w14:textId="77777777" w:rsidR="00CF33A1" w:rsidRPr="005B10CC" w:rsidRDefault="00CF33A1" w:rsidP="00CC0DFB">
            <w:pPr>
              <w:keepLines/>
              <w:rPr>
                <w:rFonts w:ascii="Arial Narrow" w:hAnsi="Arial Narrow"/>
                <w:b/>
                <w:sz w:val="20"/>
                <w:szCs w:val="20"/>
              </w:rPr>
            </w:pPr>
            <w:r w:rsidRPr="005B10CC">
              <w:rPr>
                <w:rFonts w:ascii="Arial Narrow" w:hAnsi="Arial Narrow"/>
                <w:b/>
                <w:bCs/>
                <w:sz w:val="20"/>
                <w:szCs w:val="20"/>
              </w:rPr>
              <w:t>medicinal product pack</w:t>
            </w:r>
          </w:p>
        </w:tc>
        <w:tc>
          <w:tcPr>
            <w:tcW w:w="1772" w:type="dxa"/>
            <w:vAlign w:val="center"/>
          </w:tcPr>
          <w:p w14:paraId="258EE776" w14:textId="77777777" w:rsidR="00CF33A1" w:rsidRPr="005B10CC" w:rsidRDefault="00CF33A1" w:rsidP="00CC0DFB">
            <w:pPr>
              <w:pStyle w:val="TableText0"/>
              <w:rPr>
                <w:b w:val="0"/>
                <w:bCs/>
                <w:i/>
                <w:szCs w:val="20"/>
              </w:rPr>
            </w:pPr>
            <w:r w:rsidRPr="00497846">
              <w:rPr>
                <w:rFonts w:eastAsia="Calibri" w:cs="Arial"/>
                <w:szCs w:val="20"/>
              </w:rPr>
              <w:t>PBS item code</w:t>
            </w:r>
          </w:p>
        </w:tc>
        <w:tc>
          <w:tcPr>
            <w:tcW w:w="819" w:type="dxa"/>
            <w:vAlign w:val="center"/>
          </w:tcPr>
          <w:p w14:paraId="76527281" w14:textId="77777777" w:rsidR="00CF33A1" w:rsidRPr="005B10CC" w:rsidRDefault="00CF33A1" w:rsidP="00CC0DFB">
            <w:pPr>
              <w:keepLines/>
              <w:jc w:val="center"/>
              <w:rPr>
                <w:rFonts w:ascii="Arial Narrow" w:hAnsi="Arial Narrow"/>
                <w:b/>
                <w:sz w:val="20"/>
                <w:szCs w:val="20"/>
              </w:rPr>
            </w:pPr>
            <w:r w:rsidRPr="005B10CC">
              <w:rPr>
                <w:rFonts w:ascii="Arial Narrow" w:hAnsi="Arial Narrow"/>
                <w:b/>
                <w:sz w:val="20"/>
                <w:szCs w:val="20"/>
              </w:rPr>
              <w:t>Max. qty packs</w:t>
            </w:r>
          </w:p>
        </w:tc>
        <w:tc>
          <w:tcPr>
            <w:tcW w:w="818" w:type="dxa"/>
            <w:vAlign w:val="center"/>
          </w:tcPr>
          <w:p w14:paraId="53FFBA7E" w14:textId="77777777" w:rsidR="00CF33A1" w:rsidRPr="005B10CC" w:rsidRDefault="00CF33A1" w:rsidP="00CC0DFB">
            <w:pPr>
              <w:keepLines/>
              <w:jc w:val="center"/>
              <w:rPr>
                <w:rFonts w:ascii="Arial Narrow" w:hAnsi="Arial Narrow"/>
                <w:b/>
                <w:sz w:val="20"/>
                <w:szCs w:val="20"/>
              </w:rPr>
            </w:pPr>
            <w:r w:rsidRPr="005B10CC">
              <w:rPr>
                <w:rFonts w:ascii="Arial Narrow" w:hAnsi="Arial Narrow"/>
                <w:b/>
                <w:sz w:val="20"/>
                <w:szCs w:val="20"/>
              </w:rPr>
              <w:t>Max. qty units</w:t>
            </w:r>
          </w:p>
        </w:tc>
        <w:tc>
          <w:tcPr>
            <w:tcW w:w="819" w:type="dxa"/>
            <w:vAlign w:val="center"/>
          </w:tcPr>
          <w:p w14:paraId="14A268E4" w14:textId="77777777" w:rsidR="00CF33A1" w:rsidRPr="005B10CC" w:rsidRDefault="00CF33A1" w:rsidP="00CC0DFB">
            <w:pPr>
              <w:keepLines/>
              <w:jc w:val="center"/>
              <w:rPr>
                <w:rFonts w:ascii="Arial Narrow" w:hAnsi="Arial Narrow"/>
                <w:b/>
                <w:sz w:val="20"/>
                <w:szCs w:val="20"/>
              </w:rPr>
            </w:pPr>
            <w:r w:rsidRPr="005B10CC">
              <w:rPr>
                <w:rFonts w:ascii="Arial Narrow" w:hAnsi="Arial Narrow"/>
                <w:b/>
                <w:sz w:val="20"/>
                <w:szCs w:val="20"/>
              </w:rPr>
              <w:t>№.of</w:t>
            </w:r>
          </w:p>
          <w:p w14:paraId="359EA2A2" w14:textId="77777777" w:rsidR="00CF33A1" w:rsidRPr="005B10CC" w:rsidRDefault="00CF33A1" w:rsidP="00CC0DFB">
            <w:pPr>
              <w:keepLines/>
              <w:jc w:val="center"/>
              <w:rPr>
                <w:rFonts w:ascii="Arial Narrow" w:hAnsi="Arial Narrow"/>
                <w:b/>
                <w:sz w:val="20"/>
                <w:szCs w:val="20"/>
              </w:rPr>
            </w:pPr>
            <w:r w:rsidRPr="005B10CC">
              <w:rPr>
                <w:rFonts w:ascii="Arial Narrow" w:hAnsi="Arial Narrow"/>
                <w:b/>
                <w:sz w:val="20"/>
                <w:szCs w:val="20"/>
              </w:rPr>
              <w:t>Rpts</w:t>
            </w:r>
          </w:p>
        </w:tc>
        <w:tc>
          <w:tcPr>
            <w:tcW w:w="1873" w:type="dxa"/>
            <w:vAlign w:val="center"/>
          </w:tcPr>
          <w:p w14:paraId="21D1F659" w14:textId="77777777" w:rsidR="00CF33A1" w:rsidRPr="005B10CC" w:rsidRDefault="00CF33A1" w:rsidP="00CC0DFB">
            <w:pPr>
              <w:keepLines/>
              <w:rPr>
                <w:rFonts w:ascii="Arial Narrow" w:hAnsi="Arial Narrow"/>
                <w:b/>
                <w:sz w:val="20"/>
                <w:szCs w:val="20"/>
              </w:rPr>
            </w:pPr>
            <w:r w:rsidRPr="005B10CC">
              <w:rPr>
                <w:rFonts w:ascii="Arial Narrow" w:hAnsi="Arial Narrow"/>
                <w:b/>
                <w:sz w:val="20"/>
                <w:szCs w:val="20"/>
              </w:rPr>
              <w:t>Available brands</w:t>
            </w:r>
          </w:p>
        </w:tc>
      </w:tr>
      <w:tr w:rsidR="00CF33A1" w:rsidRPr="005B10CC" w14:paraId="37BA3D4C" w14:textId="77777777" w:rsidTr="002637D9">
        <w:trPr>
          <w:cantSplit/>
          <w:trHeight w:val="20"/>
        </w:trPr>
        <w:tc>
          <w:tcPr>
            <w:tcW w:w="9067" w:type="dxa"/>
            <w:gridSpan w:val="6"/>
            <w:vAlign w:val="center"/>
          </w:tcPr>
          <w:p w14:paraId="6CE21130" w14:textId="77777777" w:rsidR="00CF33A1" w:rsidRPr="005B10CC" w:rsidRDefault="00CF33A1" w:rsidP="00CC0DFB">
            <w:pPr>
              <w:pStyle w:val="TableText0"/>
              <w:rPr>
                <w:rFonts w:cs="Arial"/>
                <w:i/>
                <w:szCs w:val="20"/>
              </w:rPr>
            </w:pPr>
            <w:r w:rsidRPr="005B10CC">
              <w:t>GIVOSIRAN</w:t>
            </w:r>
            <w:r w:rsidRPr="005B10CC">
              <w:rPr>
                <w:rFonts w:cs="Arial"/>
                <w:szCs w:val="20"/>
              </w:rPr>
              <w:t xml:space="preserve"> </w:t>
            </w:r>
          </w:p>
        </w:tc>
      </w:tr>
      <w:tr w:rsidR="00CF33A1" w:rsidRPr="00D04CFD" w14:paraId="0E9A2521" w14:textId="77777777" w:rsidTr="002637D9">
        <w:trPr>
          <w:cantSplit/>
          <w:trHeight w:val="20"/>
        </w:trPr>
        <w:tc>
          <w:tcPr>
            <w:tcW w:w="2966" w:type="dxa"/>
            <w:vAlign w:val="center"/>
          </w:tcPr>
          <w:p w14:paraId="7ECE64F2" w14:textId="77777777" w:rsidR="00CF33A1" w:rsidRPr="00005893" w:rsidRDefault="00CF33A1" w:rsidP="00CC0DFB">
            <w:pPr>
              <w:pStyle w:val="TableText0"/>
              <w:rPr>
                <w:b w:val="0"/>
                <w:bCs/>
                <w:i/>
                <w:szCs w:val="20"/>
              </w:rPr>
            </w:pPr>
            <w:r w:rsidRPr="00005893">
              <w:t>Givosiran 189mg</w:t>
            </w:r>
            <w:r>
              <w:t xml:space="preserve">/mL, </w:t>
            </w:r>
            <w:r w:rsidRPr="00005893">
              <w:t>1m</w:t>
            </w:r>
            <w:r>
              <w:t>L</w:t>
            </w:r>
            <w:r w:rsidRPr="00005893">
              <w:t xml:space="preserve"> vial</w:t>
            </w:r>
            <w:r w:rsidRPr="00005893">
              <w:rPr>
                <w:szCs w:val="20"/>
              </w:rPr>
              <w:t xml:space="preserve"> </w:t>
            </w:r>
          </w:p>
        </w:tc>
        <w:tc>
          <w:tcPr>
            <w:tcW w:w="1772" w:type="dxa"/>
          </w:tcPr>
          <w:p w14:paraId="4F039E09" w14:textId="77777777" w:rsidR="00CF33A1" w:rsidRPr="005378CC" w:rsidRDefault="00CF33A1" w:rsidP="00CC0DFB">
            <w:pPr>
              <w:pStyle w:val="TableText0"/>
              <w:rPr>
                <w:b w:val="0"/>
                <w:bCs/>
                <w:i/>
                <w:szCs w:val="20"/>
              </w:rPr>
            </w:pPr>
            <w:r w:rsidRPr="005378CC">
              <w:rPr>
                <w:rFonts w:eastAsia="Calibri" w:cs="Arial"/>
                <w:b w:val="0"/>
                <w:bCs/>
                <w:szCs w:val="20"/>
              </w:rPr>
              <w:t>NEW</w:t>
            </w:r>
          </w:p>
        </w:tc>
        <w:tc>
          <w:tcPr>
            <w:tcW w:w="819" w:type="dxa"/>
            <w:vAlign w:val="center"/>
          </w:tcPr>
          <w:p w14:paraId="58D29E81" w14:textId="77777777" w:rsidR="00CF33A1" w:rsidRPr="00005893" w:rsidRDefault="00CF33A1" w:rsidP="00CC0DFB">
            <w:pPr>
              <w:keepLines/>
              <w:jc w:val="center"/>
              <w:rPr>
                <w:rFonts w:ascii="Arial Narrow" w:hAnsi="Arial Narrow"/>
                <w:sz w:val="20"/>
                <w:szCs w:val="20"/>
              </w:rPr>
            </w:pPr>
            <w:r w:rsidRPr="00005893">
              <w:rPr>
                <w:rFonts w:ascii="Arial Narrow" w:hAnsi="Arial Narrow"/>
                <w:sz w:val="20"/>
              </w:rPr>
              <w:t>2</w:t>
            </w:r>
          </w:p>
        </w:tc>
        <w:tc>
          <w:tcPr>
            <w:tcW w:w="818" w:type="dxa"/>
            <w:vAlign w:val="center"/>
          </w:tcPr>
          <w:p w14:paraId="23178F89" w14:textId="77777777" w:rsidR="00CF33A1" w:rsidRPr="00005893" w:rsidRDefault="00CF33A1" w:rsidP="00CC0DFB">
            <w:pPr>
              <w:keepLines/>
              <w:jc w:val="center"/>
              <w:rPr>
                <w:rFonts w:ascii="Arial Narrow" w:hAnsi="Arial Narrow"/>
                <w:sz w:val="20"/>
                <w:szCs w:val="20"/>
                <w:vertAlign w:val="superscript"/>
              </w:rPr>
            </w:pPr>
            <w:r w:rsidRPr="00005893">
              <w:rPr>
                <w:rFonts w:ascii="Arial Narrow" w:hAnsi="Arial Narrow"/>
                <w:sz w:val="20"/>
              </w:rPr>
              <w:t>2</w:t>
            </w:r>
          </w:p>
        </w:tc>
        <w:tc>
          <w:tcPr>
            <w:tcW w:w="819" w:type="dxa"/>
            <w:vAlign w:val="center"/>
          </w:tcPr>
          <w:p w14:paraId="59EA37FC" w14:textId="77777777" w:rsidR="00CF33A1" w:rsidRPr="00005893" w:rsidRDefault="00CF33A1" w:rsidP="00CC0DFB">
            <w:pPr>
              <w:keepLines/>
              <w:jc w:val="center"/>
              <w:rPr>
                <w:rFonts w:ascii="Arial Narrow" w:hAnsi="Arial Narrow"/>
                <w:sz w:val="20"/>
                <w:szCs w:val="20"/>
              </w:rPr>
            </w:pPr>
            <w:r w:rsidRPr="00005893">
              <w:rPr>
                <w:rFonts w:ascii="Arial Narrow" w:hAnsi="Arial Narrow"/>
                <w:sz w:val="20"/>
              </w:rPr>
              <w:t>5</w:t>
            </w:r>
          </w:p>
        </w:tc>
        <w:tc>
          <w:tcPr>
            <w:tcW w:w="1873" w:type="dxa"/>
            <w:vAlign w:val="center"/>
          </w:tcPr>
          <w:p w14:paraId="0972A7C0" w14:textId="77777777" w:rsidR="00CF33A1" w:rsidRPr="005F710B" w:rsidRDefault="00CF33A1" w:rsidP="00CC0DFB">
            <w:pPr>
              <w:keepLines/>
              <w:jc w:val="center"/>
              <w:rPr>
                <w:rFonts w:ascii="Arial Narrow" w:hAnsi="Arial Narrow"/>
                <w:sz w:val="20"/>
                <w:szCs w:val="20"/>
                <w:lang w:val="it-IT"/>
              </w:rPr>
            </w:pPr>
            <w:r w:rsidRPr="005F710B">
              <w:rPr>
                <w:rFonts w:ascii="Arial Narrow" w:hAnsi="Arial Narrow"/>
                <w:sz w:val="20"/>
                <w:lang w:val="it-IT"/>
              </w:rPr>
              <w:t>GIVLAARI</w:t>
            </w:r>
          </w:p>
        </w:tc>
      </w:tr>
      <w:tr w:rsidR="00CF33A1" w:rsidRPr="005B10CC" w14:paraId="6E2CC719"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4A8F1531" w14:textId="77777777" w:rsidR="00CF33A1" w:rsidRPr="00005893" w:rsidRDefault="00CF33A1" w:rsidP="00CC0DFB">
            <w:pPr>
              <w:keepNext/>
              <w:keepLines/>
              <w:rPr>
                <w:rFonts w:ascii="Arial Narrow" w:hAnsi="Arial Narrow"/>
                <w:b/>
                <w:sz w:val="20"/>
                <w:szCs w:val="20"/>
              </w:rPr>
            </w:pPr>
            <w:r w:rsidRPr="00005893">
              <w:rPr>
                <w:rFonts w:ascii="Arial Narrow" w:hAnsi="Arial Narrow"/>
                <w:b/>
                <w:sz w:val="20"/>
                <w:szCs w:val="20"/>
              </w:rPr>
              <w:t>Restriction Summary NEW1 / Treatment of Concept: NEW1A</w:t>
            </w:r>
          </w:p>
        </w:tc>
      </w:tr>
      <w:tr w:rsidR="002637D9" w:rsidRPr="005B10CC" w14:paraId="52E13994"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74895079" w14:textId="77777777" w:rsidR="002637D9" w:rsidRPr="00005893" w:rsidRDefault="002637D9" w:rsidP="00CC0DFB">
            <w:pPr>
              <w:keepNext/>
              <w:keepLines/>
              <w:rPr>
                <w:rFonts w:ascii="Arial Narrow" w:hAnsi="Arial Narrow"/>
                <w:sz w:val="20"/>
                <w:szCs w:val="20"/>
              </w:rPr>
            </w:pPr>
            <w:r w:rsidRPr="00005893">
              <w:rPr>
                <w:rFonts w:ascii="Arial Narrow" w:hAnsi="Arial Narrow"/>
                <w:b/>
                <w:sz w:val="20"/>
                <w:szCs w:val="20"/>
              </w:rPr>
              <w:t>Category / Program:</w:t>
            </w:r>
            <w:r w:rsidRPr="00005893">
              <w:rPr>
                <w:rFonts w:ascii="Arial Narrow" w:hAnsi="Arial Narrow"/>
                <w:sz w:val="20"/>
                <w:szCs w:val="20"/>
              </w:rPr>
              <w:t xml:space="preserve"> </w:t>
            </w:r>
            <w:r w:rsidRPr="00005893">
              <w:rPr>
                <w:rFonts w:ascii="Arial Narrow" w:eastAsia="Calibri" w:hAnsi="Arial Narrow"/>
                <w:sz w:val="20"/>
                <w:szCs w:val="20"/>
              </w:rPr>
              <w:fldChar w:fldCharType="begin" w:fldLock="1">
                <w:ffData>
                  <w:name w:val=""/>
                  <w:enabled/>
                  <w:calcOnExit w:val="0"/>
                  <w:checkBox>
                    <w:sizeAuto/>
                    <w:default w:val="1"/>
                  </w:checkBox>
                </w:ffData>
              </w:fldChar>
            </w:r>
            <w:r w:rsidRPr="00005893">
              <w:rPr>
                <w:rFonts w:ascii="Arial Narrow" w:eastAsia="Calibri" w:hAnsi="Arial Narrow"/>
                <w:sz w:val="20"/>
                <w:szCs w:val="20"/>
              </w:rPr>
              <w:instrText xml:space="preserve"> FORMCHECKBOX </w:instrText>
            </w:r>
            <w:r w:rsidRPr="00005893">
              <w:rPr>
                <w:rFonts w:ascii="Arial Narrow" w:eastAsia="Calibri" w:hAnsi="Arial Narrow"/>
                <w:sz w:val="20"/>
                <w:szCs w:val="20"/>
              </w:rPr>
            </w:r>
            <w:r w:rsidRPr="00005893">
              <w:rPr>
                <w:rFonts w:ascii="Arial Narrow" w:eastAsia="Calibri" w:hAnsi="Arial Narrow"/>
                <w:sz w:val="20"/>
                <w:szCs w:val="20"/>
              </w:rPr>
              <w:fldChar w:fldCharType="separate"/>
            </w:r>
            <w:r w:rsidRPr="00005893">
              <w:rPr>
                <w:rFonts w:ascii="Arial Narrow" w:eastAsia="Calibri" w:hAnsi="Arial Narrow"/>
                <w:sz w:val="20"/>
                <w:szCs w:val="20"/>
              </w:rPr>
              <w:fldChar w:fldCharType="end"/>
            </w:r>
            <w:r w:rsidRPr="00005893">
              <w:rPr>
                <w:rFonts w:ascii="Arial Narrow" w:eastAsia="Calibri" w:hAnsi="Arial Narrow"/>
                <w:sz w:val="20"/>
                <w:szCs w:val="20"/>
              </w:rPr>
              <w:t xml:space="preserve"> General Schedule</w:t>
            </w:r>
          </w:p>
        </w:tc>
      </w:tr>
      <w:tr w:rsidR="002637D9" w:rsidRPr="005B10CC" w14:paraId="4A9E1641"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984E6FC" w14:textId="77777777" w:rsidR="002637D9" w:rsidRPr="00005893" w:rsidRDefault="002637D9" w:rsidP="00CC0DFB">
            <w:pPr>
              <w:keepLines/>
              <w:rPr>
                <w:rFonts w:ascii="Arial Narrow" w:hAnsi="Arial Narrow"/>
                <w:b/>
                <w:sz w:val="20"/>
                <w:szCs w:val="20"/>
              </w:rPr>
            </w:pPr>
            <w:r w:rsidRPr="00005893">
              <w:rPr>
                <w:rFonts w:ascii="Arial Narrow" w:hAnsi="Arial Narrow"/>
                <w:b/>
                <w:sz w:val="20"/>
                <w:szCs w:val="20"/>
              </w:rPr>
              <w:t xml:space="preserve">Prescriber type: </w:t>
            </w:r>
            <w:r w:rsidRPr="00005893">
              <w:rPr>
                <w:rFonts w:ascii="Arial Narrow" w:hAnsi="Arial Narrow"/>
                <w:sz w:val="20"/>
                <w:szCs w:val="20"/>
              </w:rPr>
              <w:fldChar w:fldCharType="begin" w:fldLock="1">
                <w:ffData>
                  <w:name w:val=""/>
                  <w:enabled/>
                  <w:calcOnExit w:val="0"/>
                  <w:checkBox>
                    <w:sizeAuto/>
                    <w:default w:val="1"/>
                  </w:checkBox>
                </w:ffData>
              </w:fldChar>
            </w:r>
            <w:r w:rsidRPr="00005893">
              <w:rPr>
                <w:rFonts w:ascii="Arial Narrow" w:hAnsi="Arial Narrow"/>
                <w:sz w:val="20"/>
                <w:szCs w:val="20"/>
              </w:rPr>
              <w:instrText xml:space="preserve"> FORMCHECKBOX </w:instrText>
            </w:r>
            <w:r w:rsidRPr="00005893">
              <w:rPr>
                <w:rFonts w:ascii="Arial Narrow" w:hAnsi="Arial Narrow"/>
                <w:sz w:val="20"/>
                <w:szCs w:val="20"/>
              </w:rPr>
            </w:r>
            <w:r w:rsidRPr="00005893">
              <w:rPr>
                <w:rFonts w:ascii="Arial Narrow" w:hAnsi="Arial Narrow"/>
                <w:sz w:val="20"/>
                <w:szCs w:val="20"/>
              </w:rPr>
              <w:fldChar w:fldCharType="separate"/>
            </w:r>
            <w:r w:rsidRPr="00005893">
              <w:rPr>
                <w:rFonts w:ascii="Arial Narrow" w:hAnsi="Arial Narrow"/>
                <w:sz w:val="20"/>
                <w:szCs w:val="20"/>
              </w:rPr>
              <w:fldChar w:fldCharType="end"/>
            </w:r>
            <w:r w:rsidRPr="00005893">
              <w:rPr>
                <w:rFonts w:ascii="Arial Narrow" w:hAnsi="Arial Narrow"/>
                <w:sz w:val="20"/>
                <w:szCs w:val="20"/>
              </w:rPr>
              <w:t>Medical Practitioners</w:t>
            </w:r>
          </w:p>
        </w:tc>
      </w:tr>
      <w:tr w:rsidR="002637D9" w:rsidRPr="005B10CC" w14:paraId="21B2135B"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6590F71" w14:textId="77777777" w:rsidR="002637D9" w:rsidRPr="00005893" w:rsidRDefault="002637D9" w:rsidP="00CC0DFB">
            <w:pPr>
              <w:keepLines/>
              <w:rPr>
                <w:rFonts w:ascii="Arial Narrow" w:eastAsia="Calibri" w:hAnsi="Arial Narrow"/>
                <w:sz w:val="20"/>
                <w:szCs w:val="20"/>
              </w:rPr>
            </w:pPr>
            <w:r w:rsidRPr="00005893">
              <w:rPr>
                <w:rFonts w:ascii="Arial Narrow" w:hAnsi="Arial Narrow"/>
                <w:b/>
                <w:sz w:val="20"/>
                <w:szCs w:val="20"/>
              </w:rPr>
              <w:t xml:space="preserve">Restriction type: </w:t>
            </w:r>
            <w:r w:rsidRPr="00005893">
              <w:rPr>
                <w:rFonts w:ascii="Arial Narrow" w:eastAsia="Calibri" w:hAnsi="Arial Narrow"/>
                <w:sz w:val="20"/>
                <w:szCs w:val="20"/>
              </w:rPr>
              <w:fldChar w:fldCharType="begin" w:fldLock="1">
                <w:ffData>
                  <w:name w:val=""/>
                  <w:enabled/>
                  <w:calcOnExit w:val="0"/>
                  <w:checkBox>
                    <w:sizeAuto/>
                    <w:default w:val="1"/>
                  </w:checkBox>
                </w:ffData>
              </w:fldChar>
            </w:r>
            <w:r w:rsidRPr="00005893">
              <w:rPr>
                <w:rFonts w:ascii="Arial Narrow" w:eastAsia="Calibri" w:hAnsi="Arial Narrow"/>
                <w:sz w:val="20"/>
                <w:szCs w:val="20"/>
              </w:rPr>
              <w:instrText xml:space="preserve"> FORMCHECKBOX </w:instrText>
            </w:r>
            <w:r w:rsidRPr="00005893">
              <w:rPr>
                <w:rFonts w:ascii="Arial Narrow" w:eastAsia="Calibri" w:hAnsi="Arial Narrow"/>
                <w:sz w:val="20"/>
                <w:szCs w:val="20"/>
              </w:rPr>
            </w:r>
            <w:r w:rsidRPr="00005893">
              <w:rPr>
                <w:rFonts w:ascii="Arial Narrow" w:eastAsia="Calibri" w:hAnsi="Arial Narrow"/>
                <w:sz w:val="20"/>
                <w:szCs w:val="20"/>
              </w:rPr>
              <w:fldChar w:fldCharType="separate"/>
            </w:r>
            <w:r w:rsidRPr="00005893">
              <w:rPr>
                <w:rFonts w:ascii="Arial Narrow" w:eastAsia="Calibri" w:hAnsi="Arial Narrow"/>
                <w:sz w:val="20"/>
                <w:szCs w:val="20"/>
              </w:rPr>
              <w:fldChar w:fldCharType="end"/>
            </w:r>
            <w:r w:rsidRPr="00005893">
              <w:rPr>
                <w:rFonts w:ascii="Arial Narrow" w:eastAsia="Calibri" w:hAnsi="Arial Narrow"/>
                <w:sz w:val="20"/>
                <w:szCs w:val="20"/>
              </w:rPr>
              <w:t xml:space="preserve">Authority Required – </w:t>
            </w:r>
            <w:r>
              <w:rPr>
                <w:rFonts w:ascii="Arial Narrow" w:eastAsia="Calibri" w:hAnsi="Arial Narrow"/>
                <w:sz w:val="20"/>
                <w:szCs w:val="20"/>
              </w:rPr>
              <w:t xml:space="preserve">(Written/Online – </w:t>
            </w:r>
            <w:r w:rsidRPr="00005893">
              <w:rPr>
                <w:rFonts w:ascii="Arial Narrow" w:eastAsia="Calibri" w:hAnsi="Arial Narrow"/>
                <w:sz w:val="20"/>
                <w:szCs w:val="20"/>
              </w:rPr>
              <w:t>full assessment</w:t>
            </w:r>
            <w:r>
              <w:rPr>
                <w:rFonts w:ascii="Arial Narrow" w:eastAsia="Calibri" w:hAnsi="Arial Narrow"/>
                <w:sz w:val="20"/>
                <w:szCs w:val="20"/>
              </w:rPr>
              <w:t>)</w:t>
            </w:r>
          </w:p>
        </w:tc>
      </w:tr>
      <w:tr w:rsidR="002637D9" w:rsidRPr="005B10CC" w14:paraId="2588CD4A" w14:textId="77777777" w:rsidTr="002637D9">
        <w:tblPrEx>
          <w:tblCellMar>
            <w:top w:w="15" w:type="dxa"/>
            <w:bottom w:w="15" w:type="dxa"/>
          </w:tblCellMar>
        </w:tblPrEx>
        <w:trPr>
          <w:trHeight w:val="20"/>
        </w:trPr>
        <w:tc>
          <w:tcPr>
            <w:tcW w:w="9067" w:type="dxa"/>
            <w:gridSpan w:val="6"/>
            <w:vAlign w:val="center"/>
          </w:tcPr>
          <w:p w14:paraId="5219095B" w14:textId="77777777" w:rsidR="002637D9" w:rsidRPr="00005893" w:rsidRDefault="002637D9" w:rsidP="00CC0DFB">
            <w:pPr>
              <w:rPr>
                <w:rFonts w:ascii="Arial Narrow" w:hAnsi="Arial Narrow"/>
                <w:b/>
                <w:sz w:val="20"/>
                <w:szCs w:val="20"/>
              </w:rPr>
            </w:pPr>
            <w:r w:rsidRPr="00005893">
              <w:rPr>
                <w:rFonts w:ascii="Arial Narrow" w:hAnsi="Arial Narrow"/>
                <w:b/>
                <w:sz w:val="20"/>
                <w:szCs w:val="20"/>
              </w:rPr>
              <w:t xml:space="preserve">Administrative Advice: </w:t>
            </w:r>
            <w:r w:rsidRPr="00005893">
              <w:rPr>
                <w:rFonts w:ascii="Arial Narrow" w:hAnsi="Arial Narrow"/>
                <w:sz w:val="20"/>
                <w:szCs w:val="20"/>
              </w:rPr>
              <w:t>No increase in the maximum number of repeats may be authorised.</w:t>
            </w:r>
          </w:p>
        </w:tc>
      </w:tr>
      <w:tr w:rsidR="002637D9" w:rsidRPr="005B10CC" w14:paraId="7A3E058E"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vAlign w:val="center"/>
          </w:tcPr>
          <w:p w14:paraId="773653E9" w14:textId="77777777" w:rsidR="002637D9" w:rsidRPr="005B10CC" w:rsidRDefault="002637D9" w:rsidP="00CC0DFB">
            <w:pPr>
              <w:rPr>
                <w:rFonts w:ascii="Arial Narrow" w:hAnsi="Arial Narrow"/>
                <w:b/>
                <w:sz w:val="20"/>
                <w:szCs w:val="20"/>
              </w:rPr>
            </w:pPr>
            <w:r w:rsidRPr="005B10CC">
              <w:rPr>
                <w:rFonts w:ascii="Arial Narrow" w:hAnsi="Arial Narrow"/>
                <w:b/>
                <w:sz w:val="20"/>
                <w:szCs w:val="20"/>
              </w:rPr>
              <w:t xml:space="preserve">Administrative Advice: </w:t>
            </w:r>
            <w:r w:rsidRPr="005B10CC">
              <w:rPr>
                <w:rFonts w:ascii="Arial Narrow" w:hAnsi="Arial Narrow"/>
                <w:sz w:val="20"/>
                <w:szCs w:val="20"/>
              </w:rPr>
              <w:t>Special Pricing Arrangements apply.</w:t>
            </w:r>
          </w:p>
        </w:tc>
      </w:tr>
      <w:tr w:rsidR="002637D9" w:rsidRPr="005B10CC" w14:paraId="0E00D527"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vAlign w:val="center"/>
          </w:tcPr>
          <w:p w14:paraId="6A960558" w14:textId="77777777" w:rsidR="002637D9" w:rsidRPr="00497846" w:rsidRDefault="002637D9" w:rsidP="00CC0DFB">
            <w:pPr>
              <w:rPr>
                <w:rFonts w:ascii="Arial Narrow" w:hAnsi="Arial Narrow"/>
                <w:iCs/>
                <w:sz w:val="20"/>
                <w:szCs w:val="20"/>
              </w:rPr>
            </w:pPr>
            <w:r w:rsidRPr="00497846">
              <w:rPr>
                <w:rFonts w:ascii="Arial Narrow" w:hAnsi="Arial Narrow"/>
                <w:b/>
                <w:iCs/>
                <w:sz w:val="20"/>
                <w:szCs w:val="20"/>
              </w:rPr>
              <w:t>Administrative Advice:</w:t>
            </w:r>
            <w:r w:rsidRPr="00497846">
              <w:rPr>
                <w:rFonts w:ascii="Arial Narrow" w:hAnsi="Arial Narrow"/>
                <w:iCs/>
                <w:sz w:val="20"/>
                <w:szCs w:val="20"/>
              </w:rPr>
              <w:t xml:space="preserve"> </w:t>
            </w:r>
          </w:p>
          <w:p w14:paraId="1857F170"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Any queries concerning the arrangements to prescribe may be directed to Services Australia on 1800 700 270 (hours of operation 8 a.m. to 5 p.m. Monday to Friday).</w:t>
            </w:r>
          </w:p>
          <w:p w14:paraId="00D621D2"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Prescribing information (including Authority Application forms and other relevant documentation as applicable) is available on the Services Australia website at www.servicesaustralia.gov.au</w:t>
            </w:r>
          </w:p>
          <w:p w14:paraId="31DC1762"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Applications for authorisation under this restriction should be made using the Online PBS Authorities system (see www.servicesaustralia.gov.au/hpos)</w:t>
            </w:r>
          </w:p>
          <w:p w14:paraId="6379D6E1"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Alternatively, applications for authority to prescribe should be submitted online using the form upload facility in Health Professional Online Services (HPOS) at www.servicesaustralia.gov.au/hpos</w:t>
            </w:r>
          </w:p>
          <w:p w14:paraId="543557A2"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Or mailed to:</w:t>
            </w:r>
          </w:p>
          <w:p w14:paraId="1D6FB493"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Services Australia</w:t>
            </w:r>
          </w:p>
          <w:p w14:paraId="616F3342"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Complex Drugs</w:t>
            </w:r>
          </w:p>
          <w:p w14:paraId="020E4C3D" w14:textId="77777777" w:rsidR="002637D9" w:rsidRPr="00497846" w:rsidRDefault="002637D9" w:rsidP="00CC0DFB">
            <w:pPr>
              <w:rPr>
                <w:rFonts w:ascii="Arial Narrow" w:hAnsi="Arial Narrow"/>
                <w:iCs/>
                <w:sz w:val="20"/>
                <w:szCs w:val="20"/>
              </w:rPr>
            </w:pPr>
            <w:r w:rsidRPr="00497846">
              <w:rPr>
                <w:rFonts w:ascii="Arial Narrow" w:hAnsi="Arial Narrow"/>
                <w:iCs/>
                <w:sz w:val="20"/>
                <w:szCs w:val="20"/>
              </w:rPr>
              <w:t>Reply Paid 9826</w:t>
            </w:r>
          </w:p>
          <w:p w14:paraId="798F6ACB" w14:textId="77777777" w:rsidR="002637D9" w:rsidRPr="005B10CC" w:rsidRDefault="002637D9" w:rsidP="00CC0DFB">
            <w:pPr>
              <w:rPr>
                <w:rFonts w:ascii="Arial Narrow" w:hAnsi="Arial Narrow"/>
                <w:b/>
                <w:sz w:val="20"/>
                <w:szCs w:val="20"/>
              </w:rPr>
            </w:pPr>
            <w:r w:rsidRPr="00497846">
              <w:rPr>
                <w:rFonts w:ascii="Arial Narrow" w:hAnsi="Arial Narrow"/>
                <w:iCs/>
                <w:sz w:val="20"/>
                <w:szCs w:val="20"/>
              </w:rPr>
              <w:t>HOBART TAS 7001</w:t>
            </w:r>
          </w:p>
        </w:tc>
      </w:tr>
      <w:tr w:rsidR="002637D9" w:rsidRPr="005B10CC" w14:paraId="426C6C8E"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9F33607" w14:textId="77777777" w:rsidR="002637D9" w:rsidRPr="005B10CC" w:rsidRDefault="002637D9" w:rsidP="00CC0DFB">
            <w:pPr>
              <w:keepLines/>
              <w:rPr>
                <w:rFonts w:ascii="Arial Narrow" w:hAnsi="Arial Narrow"/>
                <w:sz w:val="20"/>
                <w:szCs w:val="20"/>
              </w:rPr>
            </w:pPr>
            <w:r w:rsidRPr="005B10CC">
              <w:rPr>
                <w:rFonts w:ascii="Arial Narrow" w:hAnsi="Arial Narrow"/>
                <w:b/>
                <w:bCs/>
                <w:sz w:val="20"/>
                <w:szCs w:val="20"/>
              </w:rPr>
              <w:t>Indication:</w:t>
            </w:r>
            <w:r w:rsidRPr="005B10CC">
              <w:rPr>
                <w:rFonts w:ascii="Arial Narrow" w:hAnsi="Arial Narrow"/>
                <w:sz w:val="20"/>
                <w:szCs w:val="20"/>
              </w:rPr>
              <w:t xml:space="preserve"> Chronic treatment of Acute Hepatic Porphyria (AHP)</w:t>
            </w:r>
          </w:p>
        </w:tc>
      </w:tr>
      <w:tr w:rsidR="002637D9" w:rsidRPr="005B10CC" w14:paraId="05B2C10A"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E6B4E96" w14:textId="77777777" w:rsidR="002637D9" w:rsidRPr="005B10CC" w:rsidRDefault="002637D9" w:rsidP="00CC0DFB">
            <w:pPr>
              <w:rPr>
                <w:rFonts w:ascii="Arial Narrow" w:hAnsi="Arial Narrow"/>
                <w:b/>
                <w:bCs/>
                <w:sz w:val="20"/>
                <w:szCs w:val="20"/>
              </w:rPr>
            </w:pPr>
            <w:r w:rsidRPr="005B10CC">
              <w:rPr>
                <w:rFonts w:ascii="Arial Narrow" w:hAnsi="Arial Narrow"/>
                <w:b/>
                <w:bCs/>
                <w:sz w:val="20"/>
                <w:szCs w:val="20"/>
              </w:rPr>
              <w:t>Treatment Phase:</w:t>
            </w:r>
            <w:r w:rsidRPr="005B10CC">
              <w:rPr>
                <w:rFonts w:ascii="Arial Narrow" w:hAnsi="Arial Narrow"/>
                <w:sz w:val="20"/>
                <w:szCs w:val="20"/>
              </w:rPr>
              <w:t xml:space="preserve"> Initial treatment</w:t>
            </w:r>
            <w:r w:rsidRPr="005B10CC">
              <w:rPr>
                <w:rFonts w:ascii="Arial Narrow" w:hAnsi="Arial Narrow"/>
                <w:strike/>
                <w:sz w:val="20"/>
                <w:szCs w:val="20"/>
              </w:rPr>
              <w:t xml:space="preserve"> </w:t>
            </w:r>
          </w:p>
        </w:tc>
      </w:tr>
      <w:tr w:rsidR="002637D9" w:rsidRPr="005B10CC" w14:paraId="4F1EE4B3"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A9F5F7B"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 xml:space="preserve">Clinical criteria: </w:t>
            </w:r>
          </w:p>
        </w:tc>
      </w:tr>
      <w:tr w:rsidR="002637D9" w:rsidRPr="005B10CC" w14:paraId="3AA99363"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4AC2237" w14:textId="77777777" w:rsidR="002637D9" w:rsidRPr="005B10CC" w:rsidRDefault="002637D9" w:rsidP="00CC0DFB">
            <w:pPr>
              <w:rPr>
                <w:rFonts w:ascii="Arial Narrow" w:hAnsi="Arial Narrow"/>
                <w:iCs/>
                <w:sz w:val="20"/>
                <w:szCs w:val="20"/>
              </w:rPr>
            </w:pPr>
            <w:r w:rsidRPr="005B10CC">
              <w:rPr>
                <w:rFonts w:ascii="Arial Narrow" w:hAnsi="Arial Narrow" w:cstheme="minorHAnsi"/>
                <w:iCs/>
                <w:kern w:val="2"/>
                <w:sz w:val="20"/>
                <w:szCs w:val="20"/>
                <w14:ligatures w14:val="standardContextual"/>
              </w:rPr>
              <w:t xml:space="preserve">Patient must have confirmed diagnosis of AHP based on clinical features </w:t>
            </w:r>
          </w:p>
        </w:tc>
      </w:tr>
      <w:tr w:rsidR="002637D9" w:rsidRPr="005B10CC" w14:paraId="4A0ADF8A"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ECE43C5" w14:textId="77777777" w:rsidR="002637D9" w:rsidRPr="005B10CC" w:rsidRDefault="002637D9" w:rsidP="00CC0DFB">
            <w:pPr>
              <w:rPr>
                <w:rFonts w:ascii="Arial Narrow" w:hAnsi="Arial Narrow"/>
                <w:b/>
                <w:bCs/>
                <w:sz w:val="20"/>
                <w:szCs w:val="20"/>
              </w:rPr>
            </w:pPr>
            <w:r w:rsidRPr="005B10CC">
              <w:rPr>
                <w:rFonts w:ascii="Arial Narrow" w:hAnsi="Arial Narrow"/>
                <w:b/>
                <w:bCs/>
                <w:sz w:val="20"/>
                <w:szCs w:val="20"/>
              </w:rPr>
              <w:t>AND</w:t>
            </w:r>
          </w:p>
        </w:tc>
      </w:tr>
      <w:tr w:rsidR="002637D9" w:rsidRPr="005B10CC" w14:paraId="71440AF3"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D81A280"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Clinical criteria:</w:t>
            </w:r>
          </w:p>
        </w:tc>
      </w:tr>
      <w:tr w:rsidR="002637D9" w:rsidRPr="005B10CC" w14:paraId="20E4B6F6"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D3B8EDD"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kern w:val="2"/>
                <w:sz w:val="20"/>
                <w:szCs w:val="20"/>
                <w14:ligatures w14:val="standardContextual"/>
              </w:rPr>
              <w:t>Patient must have a previous result that showed a 4 times greater than upper limit of the normal (ULN) on one of the following tests: (i) urinary porphobilinogen, (ii) plasma porphobilinogen, (iii) or delta</w:t>
            </w:r>
            <w:r w:rsidRPr="005B10CC">
              <w:rPr>
                <w:rFonts w:ascii="Arial Narrow" w:hAnsi="Arial Narrow" w:cstheme="minorHAnsi"/>
                <w:kern w:val="2"/>
                <w:sz w:val="20"/>
                <w:szCs w:val="20"/>
                <w14:ligatures w14:val="standardContextual"/>
              </w:rPr>
              <w:noBreakHyphen/>
              <w:t>aminolevulinic acid</w:t>
            </w:r>
          </w:p>
        </w:tc>
      </w:tr>
      <w:tr w:rsidR="002637D9" w:rsidRPr="005B10CC" w14:paraId="3383C0BC"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3FD3269"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AND</w:t>
            </w:r>
          </w:p>
        </w:tc>
      </w:tr>
      <w:tr w:rsidR="002637D9" w:rsidRPr="005B10CC" w14:paraId="5B8146D2"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67F44DB"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Clinical criteria:</w:t>
            </w:r>
          </w:p>
        </w:tc>
      </w:tr>
      <w:tr w:rsidR="002637D9" w:rsidRPr="00D04CFD" w14:paraId="5E60068B"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2B915D3" w14:textId="77777777" w:rsidR="002637D9" w:rsidRPr="005B10CC" w:rsidRDefault="002637D9" w:rsidP="00CC0DFB">
            <w:pPr>
              <w:rPr>
                <w:rFonts w:ascii="Arial Narrow" w:hAnsi="Arial Narrow" w:cstheme="minorHAnsi"/>
                <w:iCs/>
                <w:kern w:val="2"/>
                <w:sz w:val="20"/>
                <w:szCs w:val="20"/>
                <w14:ligatures w14:val="standardContextual"/>
              </w:rPr>
            </w:pPr>
            <w:r w:rsidRPr="005B10CC">
              <w:rPr>
                <w:rFonts w:ascii="Arial Narrow" w:hAnsi="Arial Narrow" w:cstheme="minorHAnsi"/>
                <w:iCs/>
                <w:kern w:val="2"/>
                <w:sz w:val="20"/>
                <w:szCs w:val="20"/>
                <w14:ligatures w14:val="standardContextual"/>
              </w:rPr>
              <w:t xml:space="preserve">Patient must have had at least 2 porphyria attacks </w:t>
            </w:r>
            <w:r>
              <w:rPr>
                <w:rFonts w:ascii="Arial Narrow" w:hAnsi="Arial Narrow" w:cstheme="minorHAnsi"/>
                <w:iCs/>
                <w:kern w:val="2"/>
                <w:sz w:val="20"/>
                <w:szCs w:val="20"/>
                <w14:ligatures w14:val="standardContextual"/>
              </w:rPr>
              <w:t>(requiring</w:t>
            </w:r>
            <w:r>
              <w:t xml:space="preserve"> </w:t>
            </w:r>
            <w:r w:rsidRPr="009049DF">
              <w:rPr>
                <w:rFonts w:ascii="Arial Narrow" w:hAnsi="Arial Narrow" w:cstheme="minorHAnsi"/>
                <w:iCs/>
                <w:kern w:val="2"/>
                <w:sz w:val="20"/>
                <w:szCs w:val="20"/>
                <w14:ligatures w14:val="standardContextual"/>
              </w:rPr>
              <w:t>hospitalisation, presentation at an emergency department, or medical intervention via a porphyria clinic</w:t>
            </w:r>
            <w:r>
              <w:rPr>
                <w:rFonts w:ascii="Arial Narrow" w:hAnsi="Arial Narrow" w:cstheme="minorHAnsi"/>
                <w:iCs/>
                <w:kern w:val="2"/>
                <w:sz w:val="20"/>
                <w:szCs w:val="20"/>
                <w14:ligatures w14:val="standardContextual"/>
              </w:rPr>
              <w:t xml:space="preserve">) </w:t>
            </w:r>
            <w:r w:rsidRPr="005B10CC">
              <w:rPr>
                <w:rFonts w:ascii="Arial Narrow" w:hAnsi="Arial Narrow" w:cstheme="minorHAnsi"/>
                <w:iCs/>
                <w:kern w:val="2"/>
                <w:sz w:val="20"/>
                <w:szCs w:val="20"/>
                <w14:ligatures w14:val="standardContextual"/>
              </w:rPr>
              <w:t xml:space="preserve">within the 6 months prior to: </w:t>
            </w:r>
          </w:p>
          <w:p w14:paraId="61870615" w14:textId="77777777" w:rsidR="002637D9" w:rsidRPr="005B10CC" w:rsidRDefault="002637D9" w:rsidP="00CC0DFB">
            <w:pPr>
              <w:rPr>
                <w:rFonts w:ascii="Arial Narrow" w:hAnsi="Arial Narrow" w:cstheme="minorHAnsi"/>
                <w:iCs/>
                <w:kern w:val="2"/>
                <w:sz w:val="20"/>
                <w:szCs w:val="20"/>
                <w14:ligatures w14:val="standardContextual"/>
              </w:rPr>
            </w:pPr>
            <w:r w:rsidRPr="005B10CC">
              <w:rPr>
                <w:rFonts w:ascii="Arial Narrow" w:hAnsi="Arial Narrow" w:cstheme="minorHAnsi"/>
                <w:iCs/>
                <w:kern w:val="2"/>
                <w:sz w:val="20"/>
                <w:szCs w:val="20"/>
                <w14:ligatures w14:val="standardContextual"/>
              </w:rPr>
              <w:t>(i) commencement of this drug</w:t>
            </w:r>
            <w:r>
              <w:rPr>
                <w:rFonts w:ascii="Arial Narrow" w:hAnsi="Arial Narrow" w:cstheme="minorHAnsi"/>
                <w:iCs/>
                <w:kern w:val="2"/>
                <w:sz w:val="20"/>
                <w:szCs w:val="20"/>
                <w14:ligatures w14:val="standardContextual"/>
              </w:rPr>
              <w:t>;</w:t>
            </w:r>
            <w:r w:rsidRPr="005B10CC">
              <w:rPr>
                <w:rFonts w:ascii="Arial Narrow" w:hAnsi="Arial Narrow" w:cstheme="minorHAnsi"/>
                <w:iCs/>
                <w:kern w:val="2"/>
                <w:sz w:val="20"/>
                <w:szCs w:val="20"/>
                <w14:ligatures w14:val="standardContextual"/>
              </w:rPr>
              <w:t xml:space="preserve"> or </w:t>
            </w:r>
          </w:p>
          <w:p w14:paraId="140149F2" w14:textId="77777777" w:rsidR="002637D9" w:rsidRPr="005B10CC" w:rsidRDefault="002637D9" w:rsidP="00CC0DFB">
            <w:pPr>
              <w:rPr>
                <w:rFonts w:ascii="Arial Narrow" w:hAnsi="Arial Narrow" w:cstheme="minorHAnsi"/>
                <w:iCs/>
                <w:kern w:val="2"/>
                <w:sz w:val="20"/>
                <w:szCs w:val="20"/>
                <w14:ligatures w14:val="standardContextual"/>
              </w:rPr>
            </w:pPr>
            <w:r w:rsidRPr="005B10CC">
              <w:rPr>
                <w:rFonts w:ascii="Arial Narrow" w:hAnsi="Arial Narrow" w:cstheme="minorHAnsi"/>
                <w:iCs/>
                <w:kern w:val="2"/>
                <w:sz w:val="20"/>
                <w:szCs w:val="20"/>
                <w14:ligatures w14:val="standardContextual"/>
              </w:rPr>
              <w:t>(ii) prophylactic treatment with gonadotropin</w:t>
            </w:r>
            <w:r w:rsidRPr="005B10CC">
              <w:rPr>
                <w:rFonts w:ascii="Arial Narrow" w:hAnsi="Arial Narrow" w:cstheme="minorHAnsi"/>
                <w:iCs/>
                <w:kern w:val="2"/>
                <w:sz w:val="20"/>
                <w:szCs w:val="20"/>
                <w14:ligatures w14:val="standardContextual"/>
              </w:rPr>
              <w:noBreakHyphen/>
              <w:t xml:space="preserve">releasing hormone analogues or hemin; </w:t>
            </w:r>
          </w:p>
          <w:p w14:paraId="107E7520" w14:textId="77777777" w:rsidR="002637D9" w:rsidRPr="00854FEF" w:rsidRDefault="002637D9" w:rsidP="00CC0DFB">
            <w:pPr>
              <w:rPr>
                <w:rFonts w:ascii="Arial Narrow" w:hAnsi="Arial Narrow"/>
                <w:sz w:val="20"/>
                <w:szCs w:val="20"/>
              </w:rPr>
            </w:pPr>
            <w:r w:rsidRPr="00854FEF">
              <w:rPr>
                <w:rFonts w:ascii="Arial Narrow" w:hAnsi="Arial Narrow" w:cstheme="minorHAnsi"/>
                <w:kern w:val="2"/>
                <w:sz w:val="20"/>
                <w:szCs w:val="20"/>
                <w14:ligatures w14:val="standardContextual"/>
              </w:rPr>
              <w:t xml:space="preserve"> </w:t>
            </w:r>
          </w:p>
        </w:tc>
      </w:tr>
      <w:tr w:rsidR="002637D9" w:rsidRPr="005B10CC" w14:paraId="17327D8C"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05565E2" w14:textId="77777777" w:rsidR="002637D9" w:rsidRPr="005B10CC" w:rsidRDefault="002637D9" w:rsidP="00CC0DFB">
            <w:pPr>
              <w:rPr>
                <w:rFonts w:ascii="Arial Narrow" w:hAnsi="Arial Narrow"/>
                <w:i/>
                <w:iCs/>
                <w:kern w:val="2"/>
                <w:sz w:val="20"/>
                <w:szCs w:val="20"/>
                <w14:ligatures w14:val="standardContextual"/>
              </w:rPr>
            </w:pPr>
            <w:r w:rsidRPr="005B10CC">
              <w:rPr>
                <w:rFonts w:ascii="Arial Narrow" w:hAnsi="Arial Narrow"/>
                <w:b/>
                <w:bCs/>
                <w:sz w:val="20"/>
                <w:szCs w:val="20"/>
              </w:rPr>
              <w:t>AND</w:t>
            </w:r>
          </w:p>
        </w:tc>
      </w:tr>
      <w:tr w:rsidR="002637D9" w:rsidRPr="005B10CC" w14:paraId="5E4F8BD9"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A5B5EC5" w14:textId="77777777" w:rsidR="002637D9" w:rsidRPr="005B10CC" w:rsidRDefault="002637D9" w:rsidP="00CC0DFB">
            <w:pPr>
              <w:rPr>
                <w:rFonts w:ascii="Arial Narrow" w:hAnsi="Arial Narrow"/>
                <w:i/>
                <w:iCs/>
                <w:kern w:val="2"/>
                <w:sz w:val="20"/>
                <w:szCs w:val="20"/>
                <w14:ligatures w14:val="standardContextual"/>
              </w:rPr>
            </w:pPr>
            <w:r w:rsidRPr="005B10CC">
              <w:rPr>
                <w:rFonts w:ascii="Arial Narrow" w:hAnsi="Arial Narrow"/>
                <w:b/>
                <w:bCs/>
                <w:sz w:val="20"/>
                <w:szCs w:val="20"/>
              </w:rPr>
              <w:t>Clinical criteria:</w:t>
            </w:r>
          </w:p>
        </w:tc>
      </w:tr>
      <w:tr w:rsidR="002637D9" w:rsidRPr="005B10CC" w14:paraId="3E4F0812"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401A621" w14:textId="77777777" w:rsidR="002637D9" w:rsidRPr="005B10CC" w:rsidRDefault="002637D9" w:rsidP="00CC0DFB">
            <w:pPr>
              <w:rPr>
                <w:rFonts w:ascii="Arial Narrow" w:hAnsi="Arial Narrow"/>
                <w:kern w:val="2"/>
                <w:sz w:val="20"/>
                <w:szCs w:val="20"/>
                <w14:ligatures w14:val="standardContextual"/>
              </w:rPr>
            </w:pPr>
            <w:r w:rsidRPr="005B10CC">
              <w:rPr>
                <w:rFonts w:ascii="Arial Narrow" w:hAnsi="Arial Narrow" w:cstheme="minorHAnsi"/>
                <w:kern w:val="2"/>
                <w:sz w:val="20"/>
                <w:szCs w:val="20"/>
                <w14:ligatures w14:val="standardContextual"/>
              </w:rPr>
              <w:t>Patient must not have previously undergone a liver transplant.</w:t>
            </w:r>
          </w:p>
        </w:tc>
      </w:tr>
      <w:tr w:rsidR="002637D9" w:rsidRPr="005B10CC" w14:paraId="05FC1CB0"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9FD503D"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b/>
                <w:bCs/>
                <w:sz w:val="20"/>
                <w:szCs w:val="20"/>
              </w:rPr>
              <w:t>Treatment criteria:</w:t>
            </w:r>
          </w:p>
        </w:tc>
      </w:tr>
      <w:tr w:rsidR="002637D9" w:rsidRPr="005B10CC" w14:paraId="5DBD533B"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EFD7D50" w14:textId="77777777" w:rsidR="002637D9" w:rsidRPr="005B10CC" w:rsidRDefault="002637D9" w:rsidP="00CC0DFB">
            <w:pPr>
              <w:rPr>
                <w:rFonts w:ascii="Arial Narrow" w:hAnsi="Arial Narrow" w:cstheme="minorHAnsi"/>
                <w:i/>
                <w:iCs/>
                <w:kern w:val="2"/>
                <w:sz w:val="20"/>
                <w:szCs w:val="20"/>
                <w14:ligatures w14:val="standardContextual"/>
              </w:rPr>
            </w:pPr>
            <w:r w:rsidRPr="005B10CC">
              <w:rPr>
                <w:rFonts w:ascii="Arial Narrow" w:hAnsi="Arial Narrow" w:cstheme="minorHAnsi"/>
                <w:iCs/>
                <w:kern w:val="2"/>
                <w:sz w:val="20"/>
                <w:szCs w:val="20"/>
                <w14:ligatures w14:val="standardContextual"/>
              </w:rPr>
              <w:t>Must be initiated under the supervision of a healthcare professional experienced in the management of porphyria.</w:t>
            </w:r>
          </w:p>
        </w:tc>
      </w:tr>
      <w:tr w:rsidR="002637D9" w:rsidRPr="005B10CC" w14:paraId="45603151"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AEBDBE7"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b/>
                <w:bCs/>
                <w:sz w:val="20"/>
                <w:szCs w:val="20"/>
              </w:rPr>
              <w:t>Population criteria:</w:t>
            </w:r>
          </w:p>
        </w:tc>
      </w:tr>
      <w:tr w:rsidR="002637D9" w:rsidRPr="005B10CC" w14:paraId="1FD34A74"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432E6F6" w14:textId="77777777" w:rsidR="002637D9" w:rsidRPr="005B10CC" w:rsidRDefault="002637D9" w:rsidP="00CC0DFB">
            <w:pPr>
              <w:rPr>
                <w:rFonts w:ascii="Arial Narrow" w:hAnsi="Arial Narrow" w:cstheme="minorHAnsi"/>
                <w:i/>
                <w:iCs/>
                <w:kern w:val="2"/>
                <w:sz w:val="20"/>
                <w:szCs w:val="20"/>
                <w14:ligatures w14:val="standardContextual"/>
              </w:rPr>
            </w:pPr>
            <w:r w:rsidRPr="005B10CC">
              <w:rPr>
                <w:rFonts w:ascii="Arial Narrow" w:hAnsi="Arial Narrow" w:cstheme="minorHAnsi"/>
                <w:kern w:val="2"/>
                <w:sz w:val="20"/>
                <w:szCs w:val="20"/>
                <w14:ligatures w14:val="standardContextual"/>
              </w:rPr>
              <w:t>Patient must be aged 12 years or older.</w:t>
            </w:r>
          </w:p>
        </w:tc>
      </w:tr>
      <w:tr w:rsidR="002637D9" w:rsidRPr="005B10CC" w14:paraId="25C305CD"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F99F8D6"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b/>
                <w:bCs/>
                <w:kern w:val="2"/>
                <w:sz w:val="20"/>
                <w:szCs w:val="20"/>
                <w14:ligatures w14:val="standardContextual"/>
              </w:rPr>
              <w:t>Prescribing Instructions</w:t>
            </w:r>
            <w:r w:rsidRPr="005B10CC">
              <w:rPr>
                <w:rFonts w:ascii="Arial Narrow" w:hAnsi="Arial Narrow" w:cstheme="minorHAnsi"/>
                <w:kern w:val="2"/>
                <w:sz w:val="20"/>
                <w:szCs w:val="20"/>
                <w14:ligatures w14:val="standardContextual"/>
              </w:rPr>
              <w:t>:</w:t>
            </w:r>
          </w:p>
          <w:p w14:paraId="70EBEBD4" w14:textId="77777777" w:rsidR="002637D9" w:rsidRPr="005B10CC" w:rsidRDefault="002637D9" w:rsidP="00CC0DFB">
            <w:pPr>
              <w:rPr>
                <w:rFonts w:ascii="Arial Narrow" w:hAnsi="Arial Narrow" w:cstheme="minorHAnsi"/>
                <w:i/>
                <w:iCs/>
                <w:strike/>
                <w:kern w:val="2"/>
                <w:sz w:val="20"/>
                <w:szCs w:val="20"/>
                <w14:ligatures w14:val="standardContextual"/>
              </w:rPr>
            </w:pPr>
            <w:r w:rsidRPr="005B10CC">
              <w:rPr>
                <w:rFonts w:ascii="Arial Narrow" w:hAnsi="Arial Narrow" w:cstheme="minorHAnsi"/>
                <w:kern w:val="2"/>
                <w:sz w:val="20"/>
                <w:szCs w:val="20"/>
                <w14:ligatures w14:val="standardContextual"/>
              </w:rPr>
              <w:t>For the purposes of administering this restriction clinical features to confirm a diagnosis of AHP can include, but are not limited to acute attacks of: abdominal, back, chest, extremities, and/or limb pain.</w:t>
            </w:r>
            <w:r w:rsidRPr="005B10CC">
              <w:rPr>
                <w:rFonts w:ascii="Arial Narrow" w:hAnsi="Arial Narrow" w:cstheme="minorHAnsi"/>
                <w:i/>
                <w:iCs/>
                <w:kern w:val="2"/>
                <w:sz w:val="20"/>
                <w:szCs w:val="20"/>
                <w14:ligatures w14:val="standardContextual"/>
              </w:rPr>
              <w:t xml:space="preserve"> </w:t>
            </w:r>
          </w:p>
        </w:tc>
      </w:tr>
      <w:tr w:rsidR="002637D9" w:rsidRPr="005B10CC" w14:paraId="5B6E28CE"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7E8451B"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b/>
                <w:bCs/>
                <w:kern w:val="2"/>
                <w:sz w:val="20"/>
                <w:szCs w:val="20"/>
                <w14:ligatures w14:val="standardContextual"/>
              </w:rPr>
              <w:t>Prescribing Instructions</w:t>
            </w:r>
            <w:r w:rsidRPr="005B10CC">
              <w:rPr>
                <w:rFonts w:ascii="Arial Narrow" w:hAnsi="Arial Narrow" w:cstheme="minorHAnsi"/>
                <w:kern w:val="2"/>
                <w:sz w:val="20"/>
                <w:szCs w:val="20"/>
                <w14:ligatures w14:val="standardContextual"/>
              </w:rPr>
              <w:t>:</w:t>
            </w:r>
          </w:p>
          <w:p w14:paraId="34AFE843"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kern w:val="2"/>
                <w:sz w:val="20"/>
                <w:szCs w:val="20"/>
                <w14:ligatures w14:val="standardContextual"/>
              </w:rPr>
              <w:t>At the time of the authority application, prescribers should request the appropriate number of vials for a single dose based on the patient's weight, as per the TGA approved Product Information</w:t>
            </w:r>
          </w:p>
        </w:tc>
      </w:tr>
      <w:tr w:rsidR="002637D9" w:rsidRPr="005B10CC" w14:paraId="7E6288A5"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B8706B9" w14:textId="77777777" w:rsidR="002637D9" w:rsidRPr="005B10CC" w:rsidRDefault="002637D9" w:rsidP="00CC0DFB">
            <w:pPr>
              <w:rPr>
                <w:rFonts w:ascii="Arial Narrow" w:hAnsi="Arial Narrow"/>
                <w:b/>
                <w:bCs/>
                <w:sz w:val="20"/>
                <w:szCs w:val="20"/>
              </w:rPr>
            </w:pPr>
            <w:r w:rsidRPr="005B10CC">
              <w:rPr>
                <w:rFonts w:ascii="Arial Narrow" w:hAnsi="Arial Narrow"/>
                <w:b/>
                <w:bCs/>
                <w:sz w:val="20"/>
                <w:szCs w:val="20"/>
              </w:rPr>
              <w:t>Prescribing Instructions:</w:t>
            </w:r>
          </w:p>
          <w:p w14:paraId="6619C0AB" w14:textId="77777777" w:rsidR="002637D9" w:rsidRPr="005B10CC" w:rsidRDefault="002637D9" w:rsidP="00CC0DFB">
            <w:pPr>
              <w:rPr>
                <w:rFonts w:ascii="Arial Narrow" w:hAnsi="Arial Narrow"/>
                <w:sz w:val="20"/>
                <w:szCs w:val="20"/>
              </w:rPr>
            </w:pPr>
            <w:r w:rsidRPr="005B10CC">
              <w:rPr>
                <w:rFonts w:ascii="Arial Narrow" w:hAnsi="Arial Narrow"/>
                <w:sz w:val="20"/>
                <w:szCs w:val="20"/>
              </w:rPr>
              <w:t>The authority application must be made via the Online PBS Authorities System, or in writing via HPOS form upload or mail and must include:</w:t>
            </w:r>
          </w:p>
          <w:p w14:paraId="05015BAF" w14:textId="77777777" w:rsidR="002637D9" w:rsidRPr="005B10CC" w:rsidRDefault="002637D9" w:rsidP="000869D3">
            <w:pPr>
              <w:pStyle w:val="ListParagraph"/>
              <w:numPr>
                <w:ilvl w:val="0"/>
                <w:numId w:val="18"/>
              </w:numPr>
              <w:spacing w:after="0"/>
              <w:contextualSpacing/>
              <w:rPr>
                <w:rFonts w:ascii="Arial Narrow" w:hAnsi="Arial Narrow"/>
                <w:sz w:val="20"/>
                <w:szCs w:val="20"/>
              </w:rPr>
            </w:pPr>
            <w:r w:rsidRPr="005B10CC">
              <w:rPr>
                <w:rFonts w:ascii="Arial Narrow" w:hAnsi="Arial Narrow"/>
                <w:sz w:val="20"/>
                <w:szCs w:val="20"/>
              </w:rPr>
              <w:t>The baseline number of porphyria attacks within a defined 6</w:t>
            </w:r>
            <w:r w:rsidRPr="005B10CC">
              <w:rPr>
                <w:rFonts w:ascii="Arial Narrow" w:hAnsi="Arial Narrow"/>
                <w:sz w:val="20"/>
                <w:szCs w:val="20"/>
              </w:rPr>
              <w:noBreakHyphen/>
              <w:t>month period [dates of the 6</w:t>
            </w:r>
            <w:r w:rsidRPr="005B10CC">
              <w:rPr>
                <w:rFonts w:ascii="Arial Narrow" w:hAnsi="Arial Narrow"/>
                <w:sz w:val="20"/>
                <w:szCs w:val="20"/>
              </w:rPr>
              <w:noBreakHyphen/>
              <w:t>month period must be included]</w:t>
            </w:r>
          </w:p>
          <w:p w14:paraId="2026E9D8" w14:textId="77777777" w:rsidR="002637D9" w:rsidRPr="005B10CC" w:rsidRDefault="002637D9" w:rsidP="000869D3">
            <w:pPr>
              <w:pStyle w:val="ListParagraph"/>
              <w:numPr>
                <w:ilvl w:val="0"/>
                <w:numId w:val="18"/>
              </w:numPr>
              <w:spacing w:after="0"/>
              <w:contextualSpacing/>
              <w:rPr>
                <w:rFonts w:ascii="Arial Narrow" w:hAnsi="Arial Narrow"/>
                <w:sz w:val="20"/>
                <w:szCs w:val="20"/>
              </w:rPr>
            </w:pPr>
            <w:r w:rsidRPr="005B10CC">
              <w:rPr>
                <w:rFonts w:ascii="Arial Narrow" w:hAnsi="Arial Narrow"/>
                <w:sz w:val="20"/>
                <w:szCs w:val="20"/>
              </w:rPr>
              <w:t xml:space="preserve">pathology measurements that indicate 4 times greater than the ULN of one of the following tests: (i) </w:t>
            </w:r>
            <w:r w:rsidRPr="005B10CC">
              <w:rPr>
                <w:rFonts w:ascii="Arial Narrow" w:hAnsi="Arial Narrow" w:cstheme="minorHAnsi"/>
                <w:kern w:val="2"/>
                <w:sz w:val="20"/>
                <w:szCs w:val="20"/>
                <w14:ligatures w14:val="standardContextual"/>
              </w:rPr>
              <w:t>urinary porphobilinogen, (ii) plasma porphobilinogen, (iii) delta</w:t>
            </w:r>
            <w:r w:rsidRPr="005B10CC">
              <w:rPr>
                <w:rFonts w:ascii="Arial Narrow" w:hAnsi="Arial Narrow" w:cstheme="minorHAnsi"/>
                <w:kern w:val="2"/>
                <w:sz w:val="20"/>
                <w:szCs w:val="20"/>
                <w14:ligatures w14:val="standardContextual"/>
              </w:rPr>
              <w:noBreakHyphen/>
              <w:t>aminolevulinic acid. Date of pathology report and unique identifying number/code that links the pathology result to the individual patient must be included.</w:t>
            </w:r>
          </w:p>
          <w:p w14:paraId="0FE5CFD3" w14:textId="77777777" w:rsidR="002637D9" w:rsidRPr="005B10CC" w:rsidRDefault="002637D9" w:rsidP="000869D3">
            <w:pPr>
              <w:pStyle w:val="ListParagraph"/>
              <w:numPr>
                <w:ilvl w:val="0"/>
                <w:numId w:val="18"/>
              </w:numPr>
              <w:spacing w:after="0"/>
              <w:contextualSpacing/>
              <w:rPr>
                <w:rFonts w:ascii="Arial Narrow" w:hAnsi="Arial Narrow"/>
                <w:sz w:val="20"/>
                <w:szCs w:val="20"/>
              </w:rPr>
            </w:pPr>
            <w:r w:rsidRPr="005B10CC">
              <w:rPr>
                <w:rFonts w:ascii="Arial Narrow" w:hAnsi="Arial Narrow" w:cstheme="minorHAnsi"/>
                <w:kern w:val="2"/>
                <w:sz w:val="20"/>
                <w:szCs w:val="20"/>
                <w14:ligatures w14:val="standardContextual"/>
              </w:rPr>
              <w:t>current weight of the patient</w:t>
            </w:r>
          </w:p>
        </w:tc>
      </w:tr>
      <w:tr w:rsidR="002637D9" w:rsidRPr="005B10CC" w14:paraId="2531F719"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504E1B9" w14:textId="77777777" w:rsidR="002637D9" w:rsidRPr="005B10CC" w:rsidRDefault="002637D9" w:rsidP="00CC0DFB">
            <w:pPr>
              <w:rPr>
                <w:rFonts w:ascii="Arial Narrow" w:hAnsi="Arial Narrow"/>
                <w:b/>
                <w:bCs/>
                <w:sz w:val="20"/>
                <w:szCs w:val="20"/>
              </w:rPr>
            </w:pPr>
            <w:r w:rsidRPr="005B10CC">
              <w:rPr>
                <w:rFonts w:ascii="Arial Narrow" w:hAnsi="Arial Narrow"/>
                <w:b/>
                <w:bCs/>
                <w:sz w:val="20"/>
                <w:szCs w:val="20"/>
              </w:rPr>
              <w:t>Prescribing Instructions:</w:t>
            </w:r>
          </w:p>
          <w:p w14:paraId="275436A6" w14:textId="77777777" w:rsidR="002637D9" w:rsidRPr="005B10CC" w:rsidRDefault="002637D9" w:rsidP="00CC0DFB">
            <w:pPr>
              <w:rPr>
                <w:rFonts w:ascii="Arial Narrow" w:hAnsi="Arial Narrow"/>
                <w:sz w:val="20"/>
                <w:szCs w:val="20"/>
              </w:rPr>
            </w:pPr>
            <w:r w:rsidRPr="005B10CC">
              <w:rPr>
                <w:rFonts w:ascii="Arial Narrow" w:hAnsi="Arial Narrow"/>
                <w:sz w:val="20"/>
                <w:szCs w:val="20"/>
              </w:rPr>
              <w:t>If the application is submitted through HPOS form upload or mail, it must include:</w:t>
            </w:r>
          </w:p>
          <w:p w14:paraId="64C139DF" w14:textId="77777777" w:rsidR="002637D9" w:rsidRPr="005B10CC" w:rsidRDefault="002637D9" w:rsidP="00CC0DFB">
            <w:pPr>
              <w:rPr>
                <w:rFonts w:ascii="Arial Narrow" w:hAnsi="Arial Narrow"/>
                <w:sz w:val="20"/>
                <w:szCs w:val="20"/>
              </w:rPr>
            </w:pPr>
            <w:r w:rsidRPr="005B10CC">
              <w:rPr>
                <w:rFonts w:ascii="Arial Narrow" w:hAnsi="Arial Narrow"/>
                <w:sz w:val="20"/>
                <w:szCs w:val="20"/>
              </w:rPr>
              <w:t>(i) details of the proposed prescription; and</w:t>
            </w:r>
          </w:p>
          <w:p w14:paraId="63D6095C" w14:textId="77777777" w:rsidR="002637D9" w:rsidRPr="005B10CC" w:rsidRDefault="002637D9" w:rsidP="00CC0DFB">
            <w:pPr>
              <w:rPr>
                <w:rFonts w:ascii="Arial Narrow" w:hAnsi="Arial Narrow" w:cstheme="minorHAnsi"/>
                <w:b/>
                <w:bCs/>
                <w:kern w:val="2"/>
                <w:sz w:val="20"/>
                <w:szCs w:val="20"/>
                <w14:ligatures w14:val="standardContextual"/>
              </w:rPr>
            </w:pPr>
            <w:r w:rsidRPr="005B10CC">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CF33A1" w:rsidRPr="005B10CC" w14:paraId="45F046D5"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08E14A69" w14:textId="77777777" w:rsidR="00CF33A1" w:rsidRPr="005B10CC" w:rsidRDefault="00CF33A1" w:rsidP="00CC0DFB">
            <w:pPr>
              <w:rPr>
                <w:rFonts w:ascii="Arial Narrow" w:hAnsi="Arial Narrow"/>
                <w:sz w:val="20"/>
                <w:szCs w:val="20"/>
              </w:rPr>
            </w:pPr>
          </w:p>
        </w:tc>
      </w:tr>
      <w:tr w:rsidR="00CF33A1" w:rsidRPr="005B10CC" w14:paraId="24CC7576"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2DDA250F" w14:textId="77777777" w:rsidR="00CF33A1" w:rsidRPr="005B10CC" w:rsidRDefault="00CF33A1" w:rsidP="00CC0DFB">
            <w:pPr>
              <w:rPr>
                <w:rFonts w:ascii="Arial Narrow" w:hAnsi="Arial Narrow"/>
                <w:b/>
                <w:sz w:val="20"/>
                <w:szCs w:val="20"/>
              </w:rPr>
            </w:pPr>
            <w:r w:rsidRPr="005B10CC">
              <w:rPr>
                <w:rFonts w:ascii="Arial Narrow" w:hAnsi="Arial Narrow"/>
                <w:b/>
                <w:sz w:val="20"/>
                <w:szCs w:val="20"/>
              </w:rPr>
              <w:t>Restriction Summary NEW2 / Treatment of Concept: NEW2A</w:t>
            </w:r>
          </w:p>
        </w:tc>
      </w:tr>
      <w:tr w:rsidR="002637D9" w:rsidRPr="005B10CC" w14:paraId="3854A6AD"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B44C560" w14:textId="77777777" w:rsidR="002637D9" w:rsidRPr="005B10CC" w:rsidRDefault="002637D9" w:rsidP="00CC0DFB">
            <w:pPr>
              <w:rPr>
                <w:rFonts w:ascii="Arial Narrow" w:hAnsi="Arial Narrow"/>
                <w:sz w:val="20"/>
                <w:szCs w:val="20"/>
              </w:rPr>
            </w:pPr>
            <w:r w:rsidRPr="005B10CC">
              <w:rPr>
                <w:rFonts w:ascii="Arial Narrow" w:hAnsi="Arial Narrow"/>
                <w:b/>
                <w:sz w:val="20"/>
                <w:szCs w:val="20"/>
              </w:rPr>
              <w:t>Category / Program:</w:t>
            </w:r>
            <w:r w:rsidRPr="005B10CC">
              <w:rPr>
                <w:rFonts w:ascii="Arial Narrow" w:hAnsi="Arial Narrow"/>
                <w:sz w:val="20"/>
                <w:szCs w:val="20"/>
              </w:rPr>
              <w:t xml:space="preserve"> </w:t>
            </w:r>
            <w:r w:rsidRPr="005B10CC">
              <w:rPr>
                <w:rFonts w:ascii="Arial Narrow" w:eastAsia="Calibri" w:hAnsi="Arial Narrow"/>
                <w:sz w:val="20"/>
                <w:szCs w:val="20"/>
              </w:rPr>
              <w:fldChar w:fldCharType="begin" w:fldLock="1">
                <w:ffData>
                  <w:name w:val=""/>
                  <w:enabled/>
                  <w:calcOnExit w:val="0"/>
                  <w:checkBox>
                    <w:sizeAuto/>
                    <w:default w:val="1"/>
                  </w:checkBox>
                </w:ffData>
              </w:fldChar>
            </w:r>
            <w:r w:rsidRPr="005B10CC">
              <w:rPr>
                <w:rFonts w:ascii="Arial Narrow" w:eastAsia="Calibri" w:hAnsi="Arial Narrow"/>
                <w:sz w:val="20"/>
                <w:szCs w:val="20"/>
              </w:rPr>
              <w:instrText xml:space="preserve"> FORMCHECKBOX </w:instrText>
            </w:r>
            <w:r w:rsidRPr="005B10CC">
              <w:rPr>
                <w:rFonts w:ascii="Arial Narrow" w:eastAsia="Calibri" w:hAnsi="Arial Narrow"/>
                <w:sz w:val="20"/>
                <w:szCs w:val="20"/>
              </w:rPr>
            </w:r>
            <w:r w:rsidRPr="005B10CC">
              <w:rPr>
                <w:rFonts w:ascii="Arial Narrow" w:eastAsia="Calibri" w:hAnsi="Arial Narrow"/>
                <w:sz w:val="20"/>
                <w:szCs w:val="20"/>
              </w:rPr>
              <w:fldChar w:fldCharType="separate"/>
            </w:r>
            <w:r w:rsidRPr="005B10CC">
              <w:rPr>
                <w:rFonts w:ascii="Arial Narrow" w:eastAsia="Calibri" w:hAnsi="Arial Narrow"/>
                <w:sz w:val="20"/>
                <w:szCs w:val="20"/>
              </w:rPr>
              <w:fldChar w:fldCharType="end"/>
            </w:r>
            <w:r w:rsidRPr="005B10CC">
              <w:rPr>
                <w:rFonts w:ascii="Arial Narrow" w:eastAsia="Calibri" w:hAnsi="Arial Narrow"/>
                <w:sz w:val="20"/>
                <w:szCs w:val="20"/>
              </w:rPr>
              <w:t xml:space="preserve"> General schedule</w:t>
            </w:r>
          </w:p>
        </w:tc>
      </w:tr>
      <w:tr w:rsidR="002637D9" w:rsidRPr="005B10CC" w14:paraId="1C11FE89"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4D85AB85" w14:textId="77777777" w:rsidR="002637D9" w:rsidRPr="005B10CC" w:rsidRDefault="002637D9" w:rsidP="00CC0DFB">
            <w:pPr>
              <w:rPr>
                <w:rFonts w:ascii="Arial Narrow" w:hAnsi="Arial Narrow"/>
                <w:b/>
                <w:sz w:val="20"/>
                <w:szCs w:val="20"/>
              </w:rPr>
            </w:pPr>
            <w:r w:rsidRPr="005B10CC">
              <w:rPr>
                <w:rFonts w:ascii="Arial Narrow" w:hAnsi="Arial Narrow"/>
                <w:b/>
                <w:sz w:val="20"/>
                <w:szCs w:val="20"/>
              </w:rPr>
              <w:t xml:space="preserve">Prescriber type: </w:t>
            </w:r>
            <w:r w:rsidRPr="005B10CC">
              <w:rPr>
                <w:rFonts w:ascii="Arial Narrow" w:hAnsi="Arial Narrow"/>
                <w:sz w:val="20"/>
                <w:szCs w:val="20"/>
              </w:rPr>
              <w:fldChar w:fldCharType="begin" w:fldLock="1">
                <w:ffData>
                  <w:name w:val=""/>
                  <w:enabled/>
                  <w:calcOnExit w:val="0"/>
                  <w:checkBox>
                    <w:sizeAuto/>
                    <w:default w:val="1"/>
                  </w:checkBox>
                </w:ffData>
              </w:fldChar>
            </w:r>
            <w:r w:rsidRPr="005B10CC">
              <w:rPr>
                <w:rFonts w:ascii="Arial Narrow" w:hAnsi="Arial Narrow"/>
                <w:sz w:val="20"/>
                <w:szCs w:val="20"/>
              </w:rPr>
              <w:instrText xml:space="preserve"> FORMCHECKBOX </w:instrText>
            </w:r>
            <w:r w:rsidRPr="005B10CC">
              <w:rPr>
                <w:rFonts w:ascii="Arial Narrow" w:hAnsi="Arial Narrow"/>
                <w:sz w:val="20"/>
                <w:szCs w:val="20"/>
              </w:rPr>
            </w:r>
            <w:r w:rsidRPr="005B10CC">
              <w:rPr>
                <w:rFonts w:ascii="Arial Narrow" w:hAnsi="Arial Narrow"/>
                <w:sz w:val="20"/>
                <w:szCs w:val="20"/>
              </w:rPr>
              <w:fldChar w:fldCharType="separate"/>
            </w:r>
            <w:r w:rsidRPr="005B10CC">
              <w:rPr>
                <w:rFonts w:ascii="Arial Narrow" w:hAnsi="Arial Narrow"/>
                <w:sz w:val="20"/>
                <w:szCs w:val="20"/>
              </w:rPr>
              <w:fldChar w:fldCharType="end"/>
            </w:r>
            <w:r w:rsidRPr="005B10CC">
              <w:rPr>
                <w:rFonts w:ascii="Arial Narrow" w:hAnsi="Arial Narrow"/>
                <w:sz w:val="20"/>
                <w:szCs w:val="20"/>
              </w:rPr>
              <w:t>Medical Practitioners</w:t>
            </w:r>
          </w:p>
        </w:tc>
      </w:tr>
      <w:tr w:rsidR="002637D9" w:rsidRPr="005B10CC" w14:paraId="4A17BEB8" w14:textId="77777777" w:rsidTr="002637D9">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C34A12B" w14:textId="77777777" w:rsidR="002637D9" w:rsidRPr="005B10CC" w:rsidRDefault="002637D9" w:rsidP="00CC0DFB">
            <w:pPr>
              <w:rPr>
                <w:rFonts w:ascii="Arial Narrow" w:eastAsia="Calibri" w:hAnsi="Arial Narrow"/>
                <w:sz w:val="20"/>
                <w:szCs w:val="20"/>
              </w:rPr>
            </w:pPr>
            <w:r w:rsidRPr="005B10CC">
              <w:rPr>
                <w:rFonts w:ascii="Arial Narrow" w:hAnsi="Arial Narrow"/>
                <w:b/>
                <w:sz w:val="20"/>
                <w:szCs w:val="20"/>
              </w:rPr>
              <w:t xml:space="preserve">Restriction type: </w:t>
            </w:r>
            <w:r w:rsidRPr="005B10CC">
              <w:rPr>
                <w:rFonts w:ascii="Arial Narrow" w:eastAsia="Calibri" w:hAnsi="Arial Narrow"/>
                <w:sz w:val="20"/>
                <w:szCs w:val="20"/>
              </w:rPr>
              <w:fldChar w:fldCharType="begin" w:fldLock="1">
                <w:ffData>
                  <w:name w:val=""/>
                  <w:enabled/>
                  <w:calcOnExit w:val="0"/>
                  <w:checkBox>
                    <w:sizeAuto/>
                    <w:default w:val="1"/>
                  </w:checkBox>
                </w:ffData>
              </w:fldChar>
            </w:r>
            <w:r w:rsidRPr="005B10CC">
              <w:rPr>
                <w:rFonts w:ascii="Arial Narrow" w:eastAsia="Calibri" w:hAnsi="Arial Narrow"/>
                <w:sz w:val="20"/>
                <w:szCs w:val="20"/>
              </w:rPr>
              <w:instrText xml:space="preserve"> FORMCHECKBOX </w:instrText>
            </w:r>
            <w:r w:rsidRPr="005B10CC">
              <w:rPr>
                <w:rFonts w:ascii="Arial Narrow" w:eastAsia="Calibri" w:hAnsi="Arial Narrow"/>
                <w:sz w:val="20"/>
                <w:szCs w:val="20"/>
              </w:rPr>
            </w:r>
            <w:r w:rsidRPr="005B10CC">
              <w:rPr>
                <w:rFonts w:ascii="Arial Narrow" w:eastAsia="Calibri" w:hAnsi="Arial Narrow"/>
                <w:sz w:val="20"/>
                <w:szCs w:val="20"/>
              </w:rPr>
              <w:fldChar w:fldCharType="separate"/>
            </w:r>
            <w:r w:rsidRPr="005B10CC">
              <w:rPr>
                <w:rFonts w:ascii="Arial Narrow" w:eastAsia="Calibri" w:hAnsi="Arial Narrow"/>
                <w:sz w:val="20"/>
                <w:szCs w:val="20"/>
              </w:rPr>
              <w:fldChar w:fldCharType="end"/>
            </w:r>
            <w:r w:rsidRPr="005B10CC">
              <w:rPr>
                <w:rFonts w:ascii="Arial Narrow" w:eastAsia="Calibri" w:hAnsi="Arial Narrow"/>
                <w:sz w:val="20"/>
                <w:szCs w:val="20"/>
              </w:rPr>
              <w:t xml:space="preserve">Authority Required </w:t>
            </w:r>
            <w:r>
              <w:rPr>
                <w:rFonts w:ascii="Arial Narrow" w:eastAsia="Calibri" w:hAnsi="Arial Narrow"/>
                <w:sz w:val="20"/>
                <w:szCs w:val="20"/>
              </w:rPr>
              <w:t xml:space="preserve">(Written/Online – immediate assessment) </w:t>
            </w:r>
          </w:p>
        </w:tc>
      </w:tr>
      <w:tr w:rsidR="002637D9" w:rsidRPr="005B10CC" w14:paraId="71C19B8B"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FC849BC"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Indication:</w:t>
            </w:r>
            <w:r w:rsidRPr="005B10CC">
              <w:rPr>
                <w:rFonts w:ascii="Arial Narrow" w:hAnsi="Arial Narrow"/>
                <w:sz w:val="20"/>
                <w:szCs w:val="20"/>
              </w:rPr>
              <w:t xml:space="preserve"> Chronic treatment of Acute Hepatic Porphyria (AHP)</w:t>
            </w:r>
          </w:p>
        </w:tc>
      </w:tr>
      <w:tr w:rsidR="002637D9" w:rsidRPr="005B10CC" w14:paraId="44599B57"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EE2F839"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Treatment Phase:</w:t>
            </w:r>
            <w:r w:rsidRPr="005B10CC">
              <w:rPr>
                <w:rFonts w:ascii="Arial Narrow" w:hAnsi="Arial Narrow"/>
                <w:sz w:val="20"/>
                <w:szCs w:val="20"/>
              </w:rPr>
              <w:t xml:space="preserve"> Continuing treatment</w:t>
            </w:r>
          </w:p>
        </w:tc>
      </w:tr>
      <w:tr w:rsidR="002637D9" w:rsidRPr="005B10CC" w14:paraId="1822CDAD"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48AB3DC"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 xml:space="preserve">Clinical criteria: </w:t>
            </w:r>
          </w:p>
        </w:tc>
      </w:tr>
      <w:tr w:rsidR="002637D9" w:rsidRPr="005B10CC" w14:paraId="6CCE7166"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B007D29" w14:textId="77777777" w:rsidR="002637D9" w:rsidRPr="005B10CC" w:rsidRDefault="002637D9" w:rsidP="00CC0DFB">
            <w:pPr>
              <w:rPr>
                <w:rFonts w:ascii="Arial Narrow" w:hAnsi="Arial Narrow"/>
                <w:sz w:val="20"/>
                <w:szCs w:val="20"/>
              </w:rPr>
            </w:pPr>
            <w:r w:rsidRPr="005B10CC">
              <w:rPr>
                <w:rFonts w:ascii="Arial Narrow" w:hAnsi="Arial Narrow" w:cstheme="minorHAnsi"/>
                <w:kern w:val="2"/>
                <w:sz w:val="20"/>
                <w:szCs w:val="20"/>
                <w14:ligatures w14:val="standardContextual"/>
              </w:rPr>
              <w:t>Patient must have previously received PBS</w:t>
            </w:r>
            <w:r w:rsidRPr="005B10CC">
              <w:rPr>
                <w:rFonts w:ascii="Arial Narrow" w:hAnsi="Arial Narrow" w:cstheme="minorHAnsi"/>
                <w:kern w:val="2"/>
                <w:sz w:val="20"/>
                <w:szCs w:val="20"/>
                <w14:ligatures w14:val="standardContextual"/>
              </w:rPr>
              <w:noBreakHyphen/>
              <w:t>subsidised treatment with this drug for this condition.</w:t>
            </w:r>
          </w:p>
        </w:tc>
      </w:tr>
      <w:tr w:rsidR="002637D9" w:rsidRPr="005B10CC" w14:paraId="30AB6C4D"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9392774" w14:textId="77777777" w:rsidR="002637D9" w:rsidRPr="005B10CC" w:rsidRDefault="002637D9" w:rsidP="00CC0DFB">
            <w:pPr>
              <w:rPr>
                <w:rFonts w:ascii="Arial Narrow" w:hAnsi="Arial Narrow"/>
                <w:b/>
                <w:bCs/>
                <w:sz w:val="20"/>
                <w:szCs w:val="20"/>
              </w:rPr>
            </w:pPr>
            <w:r w:rsidRPr="005B10CC">
              <w:rPr>
                <w:rFonts w:ascii="Arial Narrow" w:hAnsi="Arial Narrow"/>
                <w:b/>
                <w:bCs/>
                <w:sz w:val="20"/>
                <w:szCs w:val="20"/>
              </w:rPr>
              <w:t>AND</w:t>
            </w:r>
          </w:p>
        </w:tc>
      </w:tr>
      <w:tr w:rsidR="002637D9" w:rsidRPr="005B10CC" w14:paraId="410594E6"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93C152F"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Clinical criteria:</w:t>
            </w:r>
          </w:p>
        </w:tc>
      </w:tr>
      <w:tr w:rsidR="002637D9" w:rsidRPr="005B10CC" w14:paraId="576451B9"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9A12DBC" w14:textId="77777777" w:rsidR="002637D9" w:rsidRPr="005B10CC" w:rsidRDefault="002637D9" w:rsidP="00CC0DFB">
            <w:pPr>
              <w:rPr>
                <w:rFonts w:ascii="Arial Narrow" w:hAnsi="Arial Narrow"/>
                <w:sz w:val="20"/>
                <w:szCs w:val="20"/>
              </w:rPr>
            </w:pPr>
            <w:r w:rsidRPr="005B10CC">
              <w:rPr>
                <w:rFonts w:ascii="Arial Narrow" w:hAnsi="Arial Narrow" w:cstheme="minorHAnsi"/>
                <w:kern w:val="2"/>
                <w:sz w:val="20"/>
                <w:szCs w:val="20"/>
                <w14:ligatures w14:val="standardContextual"/>
              </w:rPr>
              <w:t>Patient must demonstrate improvement in the frequency or severity of AHP attacks from baseline while on treatment with this drug</w:t>
            </w:r>
          </w:p>
        </w:tc>
      </w:tr>
      <w:tr w:rsidR="002637D9" w:rsidRPr="005B10CC" w14:paraId="34F35AFD"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CC10BEE" w14:textId="77777777" w:rsidR="002637D9" w:rsidRPr="005B10CC" w:rsidRDefault="002637D9" w:rsidP="00CC0DFB">
            <w:pPr>
              <w:rPr>
                <w:rFonts w:ascii="Arial Narrow" w:hAnsi="Arial Narrow"/>
                <w:sz w:val="20"/>
                <w:szCs w:val="20"/>
              </w:rPr>
            </w:pPr>
            <w:r w:rsidRPr="005B10CC">
              <w:rPr>
                <w:rFonts w:ascii="Arial Narrow" w:hAnsi="Arial Narrow"/>
                <w:b/>
                <w:bCs/>
                <w:sz w:val="20"/>
                <w:szCs w:val="20"/>
              </w:rPr>
              <w:t>AND</w:t>
            </w:r>
          </w:p>
        </w:tc>
      </w:tr>
      <w:tr w:rsidR="002637D9" w:rsidRPr="005B10CC" w14:paraId="03996718"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86EF427" w14:textId="77777777" w:rsidR="002637D9" w:rsidRPr="005B10CC" w:rsidRDefault="002637D9" w:rsidP="00CC0DFB">
            <w:pPr>
              <w:rPr>
                <w:rFonts w:ascii="Arial Narrow" w:hAnsi="Arial Narrow"/>
                <w:sz w:val="20"/>
                <w:szCs w:val="20"/>
              </w:rPr>
            </w:pPr>
            <w:r>
              <w:rPr>
                <w:rFonts w:ascii="Arial Narrow" w:hAnsi="Arial Narrow"/>
                <w:b/>
                <w:bCs/>
                <w:sz w:val="20"/>
                <w:szCs w:val="20"/>
              </w:rPr>
              <w:t>Treatment</w:t>
            </w:r>
            <w:r w:rsidRPr="005B10CC">
              <w:rPr>
                <w:rFonts w:ascii="Arial Narrow" w:hAnsi="Arial Narrow"/>
                <w:b/>
                <w:bCs/>
                <w:sz w:val="20"/>
                <w:szCs w:val="20"/>
              </w:rPr>
              <w:t xml:space="preserve"> criteria:</w:t>
            </w:r>
          </w:p>
        </w:tc>
      </w:tr>
      <w:tr w:rsidR="002637D9" w:rsidRPr="005B10CC" w14:paraId="1EFAE7DF"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9ECDD84" w14:textId="77777777" w:rsidR="002637D9" w:rsidRPr="005B10CC" w:rsidRDefault="002637D9" w:rsidP="00CC0DFB">
            <w:pPr>
              <w:rPr>
                <w:rFonts w:ascii="Arial Narrow" w:hAnsi="Arial Narrow"/>
                <w:sz w:val="20"/>
                <w:szCs w:val="20"/>
              </w:rPr>
            </w:pPr>
            <w:r w:rsidRPr="005B10CC">
              <w:rPr>
                <w:rFonts w:ascii="Arial Narrow" w:hAnsi="Arial Narrow" w:cstheme="minorHAnsi"/>
                <w:kern w:val="2"/>
                <w:sz w:val="20"/>
                <w:szCs w:val="20"/>
                <w14:ligatures w14:val="standardContextual"/>
              </w:rPr>
              <w:t>Must be treated by a healthcare professional experienced in the management of porphyria or in consultation with a healthcare professional experienced in the management of porphyria.</w:t>
            </w:r>
          </w:p>
        </w:tc>
      </w:tr>
      <w:tr w:rsidR="002637D9" w:rsidRPr="005B10CC" w14:paraId="013331A9"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FE9A386"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b/>
                <w:bCs/>
                <w:sz w:val="20"/>
                <w:szCs w:val="20"/>
              </w:rPr>
              <w:t>AND</w:t>
            </w:r>
          </w:p>
        </w:tc>
      </w:tr>
      <w:tr w:rsidR="002637D9" w:rsidRPr="005B10CC" w14:paraId="1066AB8D"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97A3596"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b/>
                <w:bCs/>
                <w:sz w:val="20"/>
                <w:szCs w:val="20"/>
              </w:rPr>
              <w:t>Clinical criteria:</w:t>
            </w:r>
          </w:p>
        </w:tc>
      </w:tr>
      <w:tr w:rsidR="002637D9" w:rsidRPr="005B10CC" w14:paraId="38A73D70"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E96C242"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kern w:val="2"/>
                <w:sz w:val="20"/>
                <w:szCs w:val="20"/>
                <w14:ligatures w14:val="standardContextual"/>
              </w:rPr>
              <w:t>Patient must not have previously undergone a liver transplant.</w:t>
            </w:r>
          </w:p>
        </w:tc>
      </w:tr>
      <w:tr w:rsidR="002637D9" w:rsidRPr="005B10CC" w14:paraId="59AB19E4"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DE4B2C5"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b/>
                <w:bCs/>
                <w:sz w:val="20"/>
                <w:szCs w:val="20"/>
              </w:rPr>
              <w:t>Population criteria:</w:t>
            </w:r>
          </w:p>
        </w:tc>
      </w:tr>
      <w:tr w:rsidR="002637D9" w:rsidRPr="005B10CC" w14:paraId="6A9B93AC" w14:textId="77777777" w:rsidTr="002637D9">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79E2FC6" w14:textId="77777777" w:rsidR="002637D9" w:rsidRPr="005B10CC" w:rsidRDefault="002637D9" w:rsidP="00CC0DFB">
            <w:pPr>
              <w:rPr>
                <w:rFonts w:ascii="Arial Narrow" w:hAnsi="Arial Narrow" w:cstheme="minorHAnsi"/>
                <w:i/>
                <w:iCs/>
                <w:kern w:val="2"/>
                <w:sz w:val="20"/>
                <w:szCs w:val="20"/>
                <w14:ligatures w14:val="standardContextual"/>
              </w:rPr>
            </w:pPr>
            <w:r w:rsidRPr="005B10CC">
              <w:rPr>
                <w:rFonts w:ascii="Arial Narrow" w:hAnsi="Arial Narrow" w:cstheme="minorHAnsi"/>
                <w:kern w:val="2"/>
                <w:sz w:val="20"/>
                <w:szCs w:val="20"/>
                <w14:ligatures w14:val="standardContextual"/>
              </w:rPr>
              <w:t>Patient must be aged 12 years or older.</w:t>
            </w:r>
          </w:p>
        </w:tc>
      </w:tr>
      <w:tr w:rsidR="002637D9" w:rsidRPr="005B10CC" w14:paraId="743CF562" w14:textId="77777777" w:rsidTr="002637D9">
        <w:tblPrEx>
          <w:tblCellMar>
            <w:top w:w="15" w:type="dxa"/>
            <w:bottom w:w="15" w:type="dxa"/>
          </w:tblCellMar>
        </w:tblPrEx>
        <w:trPr>
          <w:cantSplit/>
          <w:trHeight w:val="20"/>
        </w:trPr>
        <w:tc>
          <w:tcPr>
            <w:tcW w:w="9067" w:type="dxa"/>
            <w:gridSpan w:val="6"/>
          </w:tcPr>
          <w:p w14:paraId="730FCFFB"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b/>
                <w:bCs/>
                <w:kern w:val="2"/>
                <w:sz w:val="20"/>
                <w:szCs w:val="20"/>
                <w14:ligatures w14:val="standardContextual"/>
              </w:rPr>
              <w:t>Prescribing Instructions</w:t>
            </w:r>
            <w:r w:rsidRPr="005B10CC">
              <w:rPr>
                <w:rFonts w:ascii="Arial Narrow" w:hAnsi="Arial Narrow" w:cstheme="minorHAnsi"/>
                <w:kern w:val="2"/>
                <w:sz w:val="20"/>
                <w:szCs w:val="20"/>
                <w14:ligatures w14:val="standardContextual"/>
              </w:rPr>
              <w:t xml:space="preserve">: </w:t>
            </w:r>
          </w:p>
          <w:p w14:paraId="40AAD1BC" w14:textId="77777777" w:rsidR="002637D9" w:rsidRPr="005B10CC" w:rsidRDefault="002637D9" w:rsidP="00CC0DFB">
            <w:pPr>
              <w:rPr>
                <w:rFonts w:ascii="Arial Narrow" w:hAnsi="Arial Narrow" w:cstheme="minorHAnsi"/>
                <w:kern w:val="2"/>
                <w:sz w:val="20"/>
                <w:szCs w:val="20"/>
                <w14:ligatures w14:val="standardContextual"/>
              </w:rPr>
            </w:pPr>
            <w:r w:rsidRPr="005B10CC">
              <w:rPr>
                <w:rFonts w:ascii="Arial Narrow" w:hAnsi="Arial Narrow" w:cstheme="minorHAnsi"/>
                <w:kern w:val="2"/>
                <w:sz w:val="20"/>
                <w:szCs w:val="20"/>
                <w14:ligatures w14:val="standardContextual"/>
              </w:rPr>
              <w:t>The number of AHP attacks while on treatment must be documented in the patients’ medical records</w:t>
            </w:r>
          </w:p>
        </w:tc>
      </w:tr>
      <w:tr w:rsidR="002637D9" w:rsidRPr="005B10CC" w14:paraId="261BB95E" w14:textId="77777777" w:rsidTr="002637D9">
        <w:tblPrEx>
          <w:tblCellMar>
            <w:top w:w="15" w:type="dxa"/>
            <w:bottom w:w="15" w:type="dxa"/>
          </w:tblCellMar>
        </w:tblPrEx>
        <w:trPr>
          <w:cantSplit/>
          <w:trHeight w:val="20"/>
        </w:trPr>
        <w:tc>
          <w:tcPr>
            <w:tcW w:w="9067" w:type="dxa"/>
            <w:gridSpan w:val="6"/>
          </w:tcPr>
          <w:p w14:paraId="1B8DB314" w14:textId="77777777" w:rsidR="002637D9" w:rsidRPr="005B10CC" w:rsidRDefault="002637D9" w:rsidP="00CC0DFB">
            <w:pPr>
              <w:rPr>
                <w:rFonts w:ascii="Arial Narrow" w:hAnsi="Arial Narrow" w:cstheme="minorHAnsi"/>
                <w:b/>
                <w:bCs/>
                <w:kern w:val="2"/>
                <w:sz w:val="20"/>
                <w:szCs w:val="20"/>
                <w14:ligatures w14:val="standardContextual"/>
              </w:rPr>
            </w:pPr>
            <w:r w:rsidRPr="005B10CC">
              <w:rPr>
                <w:rFonts w:ascii="Arial Narrow" w:hAnsi="Arial Narrow" w:cstheme="minorHAnsi"/>
                <w:b/>
                <w:bCs/>
                <w:kern w:val="2"/>
                <w:sz w:val="20"/>
                <w:szCs w:val="20"/>
                <w14:ligatures w14:val="standardContextual"/>
              </w:rPr>
              <w:t>Prescribing Instructions</w:t>
            </w:r>
            <w:r w:rsidRPr="005B10CC">
              <w:rPr>
                <w:rFonts w:ascii="Arial Narrow" w:hAnsi="Arial Narrow" w:cstheme="minorHAnsi"/>
                <w:kern w:val="2"/>
                <w:sz w:val="20"/>
                <w:szCs w:val="20"/>
                <w14:ligatures w14:val="standardContextual"/>
              </w:rPr>
              <w:t>: At the time of the authority application, prescribers should request the appropriate number of vials for a single dose based on the patient's weight, as per the TGA approved Product Information</w:t>
            </w:r>
          </w:p>
        </w:tc>
      </w:tr>
      <w:tr w:rsidR="002637D9" w:rsidRPr="005B10CC" w14:paraId="14932360" w14:textId="77777777" w:rsidTr="002637D9">
        <w:tblPrEx>
          <w:tblCellMar>
            <w:top w:w="15" w:type="dxa"/>
            <w:bottom w:w="15" w:type="dxa"/>
          </w:tblCellMar>
        </w:tblPrEx>
        <w:trPr>
          <w:cantSplit/>
          <w:trHeight w:val="20"/>
        </w:trPr>
        <w:tc>
          <w:tcPr>
            <w:tcW w:w="9067" w:type="dxa"/>
            <w:gridSpan w:val="6"/>
            <w:vAlign w:val="center"/>
          </w:tcPr>
          <w:p w14:paraId="2CF0BB4C" w14:textId="77777777" w:rsidR="002637D9" w:rsidRDefault="002637D9" w:rsidP="00CC0DF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b/>
                <w:bCs/>
                <w:sz w:val="20"/>
                <w:szCs w:val="20"/>
              </w:rPr>
              <w:t>Prescribing Instructions:</w:t>
            </w:r>
            <w:r>
              <w:rPr>
                <w:rStyle w:val="eop"/>
                <w:rFonts w:ascii="Arial Narrow" w:hAnsi="Arial Narrow" w:cs="Segoe UI"/>
                <w:sz w:val="20"/>
                <w:szCs w:val="20"/>
              </w:rPr>
              <w:t> </w:t>
            </w:r>
          </w:p>
          <w:p w14:paraId="2A4E2FF9" w14:textId="77777777" w:rsidR="002637D9" w:rsidRPr="005B10CC" w:rsidRDefault="002637D9" w:rsidP="00CC0DFB">
            <w:pPr>
              <w:rPr>
                <w:rFonts w:ascii="Arial Narrow" w:hAnsi="Arial Narrow" w:cstheme="minorHAnsi"/>
                <w:b/>
                <w:bCs/>
                <w:kern w:val="2"/>
                <w:sz w:val="20"/>
                <w:szCs w:val="20"/>
                <w14:ligatures w14:val="standardContextual"/>
              </w:rPr>
            </w:pPr>
            <w:r>
              <w:rPr>
                <w:rStyle w:val="normaltextrun"/>
                <w:rFonts w:ascii="Arial Narrow" w:hAnsi="Arial Narrow" w:cs="Segoe UI"/>
                <w:sz w:val="20"/>
                <w:szCs w:val="20"/>
              </w:rPr>
              <w:t>The authority application must be made via the Online PBS Authorities System, or in writing via HPOS form upload or mail.</w:t>
            </w:r>
            <w:r>
              <w:rPr>
                <w:rStyle w:val="eop"/>
                <w:rFonts w:ascii="Arial Narrow" w:hAnsi="Arial Narrow" w:cs="Segoe UI"/>
                <w:sz w:val="20"/>
                <w:szCs w:val="20"/>
              </w:rPr>
              <w:t> </w:t>
            </w:r>
          </w:p>
        </w:tc>
      </w:tr>
      <w:tr w:rsidR="002637D9" w:rsidRPr="005B10CC" w14:paraId="61BE5F6D" w14:textId="77777777" w:rsidTr="002637D9">
        <w:tblPrEx>
          <w:tblCellMar>
            <w:top w:w="15" w:type="dxa"/>
            <w:bottom w:w="15" w:type="dxa"/>
          </w:tblCellMar>
        </w:tblPrEx>
        <w:trPr>
          <w:cantSplit/>
          <w:trHeight w:val="20"/>
        </w:trPr>
        <w:tc>
          <w:tcPr>
            <w:tcW w:w="9067" w:type="dxa"/>
            <w:gridSpan w:val="6"/>
            <w:vAlign w:val="center"/>
          </w:tcPr>
          <w:p w14:paraId="5E39AB60" w14:textId="77777777" w:rsidR="002637D9" w:rsidRDefault="002637D9" w:rsidP="00CC0DF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b/>
                <w:bCs/>
                <w:sz w:val="20"/>
                <w:szCs w:val="20"/>
              </w:rPr>
              <w:t>Prescribing Instructions:</w:t>
            </w:r>
            <w:r>
              <w:rPr>
                <w:rStyle w:val="eop"/>
                <w:rFonts w:ascii="Arial Narrow" w:hAnsi="Arial Narrow" w:cs="Segoe UI"/>
                <w:sz w:val="20"/>
                <w:szCs w:val="20"/>
              </w:rPr>
              <w:t> </w:t>
            </w:r>
          </w:p>
          <w:p w14:paraId="65706800" w14:textId="77777777" w:rsidR="002637D9" w:rsidRDefault="002637D9" w:rsidP="00CC0DF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If the application is submitted through HPOS form upload or mail, it must include:</w:t>
            </w:r>
            <w:r>
              <w:rPr>
                <w:rStyle w:val="eop"/>
                <w:rFonts w:ascii="Arial Narrow" w:hAnsi="Arial Narrow" w:cs="Segoe UI"/>
                <w:sz w:val="20"/>
                <w:szCs w:val="20"/>
              </w:rPr>
              <w:t> </w:t>
            </w:r>
          </w:p>
          <w:p w14:paraId="2452B7F2" w14:textId="77777777" w:rsidR="002637D9" w:rsidRDefault="002637D9" w:rsidP="00CC0DF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(i) details of the proposed prescription; and</w:t>
            </w:r>
            <w:r>
              <w:rPr>
                <w:rStyle w:val="eop"/>
                <w:rFonts w:ascii="Arial Narrow" w:hAnsi="Arial Narrow" w:cs="Segoe UI"/>
                <w:sz w:val="20"/>
                <w:szCs w:val="20"/>
              </w:rPr>
              <w:t> </w:t>
            </w:r>
          </w:p>
          <w:p w14:paraId="146780A1" w14:textId="77777777" w:rsidR="002637D9" w:rsidRPr="005B10CC" w:rsidRDefault="002637D9" w:rsidP="00CC0DFB">
            <w:pPr>
              <w:rPr>
                <w:rFonts w:ascii="Arial Narrow" w:hAnsi="Arial Narrow" w:cstheme="minorHAnsi"/>
                <w:b/>
                <w:bCs/>
                <w:kern w:val="2"/>
                <w:sz w:val="20"/>
                <w:szCs w:val="20"/>
                <w14:ligatures w14:val="standardContextual"/>
              </w:rPr>
            </w:pPr>
            <w:r>
              <w:rPr>
                <w:rStyle w:val="normaltextrun"/>
                <w:rFonts w:ascii="Arial Narrow" w:hAnsi="Arial Narrow" w:cs="Segoe UI"/>
                <w:sz w:val="20"/>
                <w:szCs w:val="20"/>
              </w:rPr>
              <w:t>(ii) a completed authority application form relevant to the indication and treatment phase (the latest version is located on the website specified in the Administrative Advice).</w:t>
            </w:r>
            <w:r>
              <w:rPr>
                <w:rStyle w:val="eop"/>
                <w:rFonts w:ascii="Arial Narrow" w:hAnsi="Arial Narrow" w:cs="Segoe UI"/>
                <w:sz w:val="20"/>
                <w:szCs w:val="20"/>
              </w:rPr>
              <w:t> </w:t>
            </w:r>
          </w:p>
        </w:tc>
      </w:tr>
    </w:tbl>
    <w:p w14:paraId="5F5FC89D" w14:textId="77777777" w:rsidR="00CF33A1" w:rsidRPr="00525B39" w:rsidRDefault="00CF33A1" w:rsidP="00CF33A1">
      <w:pPr>
        <w:widowControl w:val="0"/>
        <w:contextualSpacing/>
        <w:rPr>
          <w:rFonts w:asciiTheme="minorHAnsi" w:hAnsiTheme="minorHAnsi"/>
          <w:bCs/>
          <w:snapToGrid w:val="0"/>
        </w:rPr>
      </w:pPr>
    </w:p>
    <w:p w14:paraId="03329EC9" w14:textId="6E6DBC8C" w:rsidR="003A795C" w:rsidRDefault="00CF33A1" w:rsidP="00663F10">
      <w:pPr>
        <w:spacing w:before="120"/>
        <w:rPr>
          <w:rFonts w:asciiTheme="minorHAnsi" w:hAnsiTheme="minorHAnsi"/>
          <w:b/>
          <w:i/>
          <w:iCs/>
          <w:snapToGrid w:val="0"/>
          <w:lang w:val="en-GB"/>
        </w:rPr>
      </w:pPr>
      <w:r w:rsidRPr="00907671">
        <w:rPr>
          <w:rFonts w:asciiTheme="minorHAnsi" w:hAnsiTheme="minorHAnsi"/>
          <w:b/>
          <w:i/>
          <w:iCs/>
          <w:snapToGrid w:val="0"/>
          <w:lang w:val="en-GB"/>
        </w:rPr>
        <w:t xml:space="preserve">These restrictions may be subject to further review. Should there be any changes made to the restriction the sponsor will </w:t>
      </w:r>
      <w:proofErr w:type="gramStart"/>
      <w:r w:rsidRPr="00907671">
        <w:rPr>
          <w:rFonts w:asciiTheme="minorHAnsi" w:hAnsiTheme="minorHAnsi"/>
          <w:b/>
          <w:i/>
          <w:iCs/>
          <w:snapToGrid w:val="0"/>
          <w:lang w:val="en-GB"/>
        </w:rPr>
        <w:t>be informed</w:t>
      </w:r>
      <w:proofErr w:type="gramEnd"/>
      <w:r w:rsidRPr="00907671">
        <w:rPr>
          <w:rFonts w:asciiTheme="minorHAnsi" w:hAnsiTheme="minorHAnsi"/>
          <w:b/>
          <w:i/>
          <w:iCs/>
          <w:snapToGrid w:val="0"/>
          <w:lang w:val="en-GB"/>
        </w:rPr>
        <w:t>.</w:t>
      </w:r>
      <w:bookmarkEnd w:id="83"/>
    </w:p>
    <w:p w14:paraId="5FB343FD" w14:textId="77777777" w:rsidR="003E1BE9" w:rsidRPr="0044636C" w:rsidRDefault="003E1BE9" w:rsidP="003E1BE9">
      <w:pPr>
        <w:pStyle w:val="2-SectionHeading"/>
        <w:ind w:left="709"/>
      </w:pPr>
      <w:r w:rsidRPr="0044636C">
        <w:t>Context for Decision</w:t>
      </w:r>
    </w:p>
    <w:p w14:paraId="7B441B6C" w14:textId="77777777" w:rsidR="003E1BE9" w:rsidRPr="0044636C" w:rsidRDefault="003E1BE9" w:rsidP="003E1BE9">
      <w:pPr>
        <w:ind w:left="709"/>
        <w:jc w:val="left"/>
        <w:rPr>
          <w:rFonts w:cs="Calibri"/>
        </w:rPr>
      </w:pPr>
      <w:r w:rsidRPr="0044636C">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DCE841" w14:textId="77777777" w:rsidR="003E1BE9" w:rsidRPr="0044636C" w:rsidRDefault="003E1BE9" w:rsidP="003E1BE9">
      <w:pPr>
        <w:pStyle w:val="2-SectionHeading"/>
        <w:ind w:left="709"/>
      </w:pPr>
      <w:r w:rsidRPr="0044636C">
        <w:t>Sponsor’s Comment</w:t>
      </w:r>
    </w:p>
    <w:p w14:paraId="1D597320" w14:textId="77777777" w:rsidR="003E1BE9" w:rsidRPr="0044636C" w:rsidRDefault="003E1BE9" w:rsidP="00C66FA0">
      <w:pPr>
        <w:spacing w:before="120" w:after="120"/>
        <w:ind w:firstLine="709"/>
        <w:jc w:val="left"/>
        <w:rPr>
          <w:rFonts w:cs="Calibri"/>
        </w:rPr>
      </w:pPr>
      <w:r w:rsidRPr="0044636C">
        <w:rPr>
          <w:rFonts w:cs="Calibri"/>
        </w:rPr>
        <w:t>The sponsor had no comment.</w:t>
      </w:r>
    </w:p>
    <w:p w14:paraId="402329B6" w14:textId="626BF273" w:rsidR="00CF33A1" w:rsidRDefault="00CF33A1">
      <w:pPr>
        <w:jc w:val="left"/>
        <w:rPr>
          <w:rFonts w:asciiTheme="minorHAnsi" w:hAnsiTheme="minorHAnsi"/>
          <w:b/>
          <w:i/>
          <w:iCs/>
          <w:snapToGrid w:val="0"/>
          <w:lang w:val="en-GB"/>
        </w:rPr>
      </w:pPr>
    </w:p>
    <w:p w14:paraId="7FADA30B" w14:textId="77777777" w:rsidR="00CF33A1" w:rsidRPr="00525B39" w:rsidRDefault="00CF33A1" w:rsidP="00684EE3">
      <w:pPr>
        <w:ind w:left="720"/>
        <w:rPr>
          <w:rFonts w:asciiTheme="minorHAnsi" w:hAnsiTheme="minorHAnsi"/>
          <w:b/>
          <w:bCs/>
          <w:snapToGrid w:val="0"/>
        </w:rPr>
      </w:pPr>
    </w:p>
    <w:sectPr w:rsidR="00CF33A1" w:rsidRPr="00525B39" w:rsidSect="00251006">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2AD4" w14:textId="77777777" w:rsidR="001E4CF9" w:rsidRPr="00A87036" w:rsidRDefault="001E4CF9" w:rsidP="00124A51">
      <w:r w:rsidRPr="00A87036">
        <w:separator/>
      </w:r>
    </w:p>
    <w:p w14:paraId="51CAF143" w14:textId="77777777" w:rsidR="001E4CF9" w:rsidRPr="00A87036" w:rsidRDefault="001E4CF9"/>
  </w:endnote>
  <w:endnote w:type="continuationSeparator" w:id="0">
    <w:p w14:paraId="36C25DE1" w14:textId="77777777" w:rsidR="001E4CF9" w:rsidRPr="00A87036" w:rsidRDefault="001E4CF9" w:rsidP="00124A51">
      <w:r w:rsidRPr="00A87036">
        <w:continuationSeparator/>
      </w:r>
    </w:p>
    <w:p w14:paraId="59985448" w14:textId="77777777" w:rsidR="001E4CF9" w:rsidRPr="00A87036" w:rsidRDefault="001E4CF9"/>
  </w:endnote>
  <w:endnote w:type="continuationNotice" w:id="1">
    <w:p w14:paraId="72A43042" w14:textId="77777777" w:rsidR="001E4CF9" w:rsidRDefault="001E4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7244" w14:textId="0359A9C2" w:rsidR="00C5709C" w:rsidRDefault="00C90A7A">
    <w:pPr>
      <w:pStyle w:val="Footer"/>
    </w:pPr>
    <w:r>
      <w:rPr>
        <w:noProof/>
      </w:rPr>
      <mc:AlternateContent>
        <mc:Choice Requires="wps">
          <w:drawing>
            <wp:anchor distT="0" distB="0" distL="0" distR="0" simplePos="0" relativeHeight="251663365" behindDoc="0" locked="0" layoutInCell="1" allowOverlap="1" wp14:anchorId="21D232BF" wp14:editId="70053F42">
              <wp:simplePos x="635" y="635"/>
              <wp:positionH relativeFrom="page">
                <wp:align>center</wp:align>
              </wp:positionH>
              <wp:positionV relativeFrom="page">
                <wp:align>bottom</wp:align>
              </wp:positionV>
              <wp:extent cx="622300" cy="376555"/>
              <wp:effectExtent l="0" t="0" r="6350" b="0"/>
              <wp:wrapNone/>
              <wp:docPr id="7273214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356F15" w14:textId="5EF34774"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232B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A356F15" w14:textId="5EF34774"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906EDB0" w:rsidR="00D843F2" w:rsidRPr="00A87036" w:rsidRDefault="00C90A7A" w:rsidP="00753B29">
    <w:pPr>
      <w:pStyle w:val="Footer"/>
      <w:jc w:val="center"/>
    </w:pPr>
    <w:r>
      <w:rPr>
        <w:noProof/>
      </w:rPr>
      <mc:AlternateContent>
        <mc:Choice Requires="wps">
          <w:drawing>
            <wp:anchor distT="0" distB="0" distL="0" distR="0" simplePos="0" relativeHeight="251664389" behindDoc="0" locked="0" layoutInCell="1" allowOverlap="1" wp14:anchorId="09D94F42" wp14:editId="59FDDDCF">
              <wp:simplePos x="635" y="635"/>
              <wp:positionH relativeFrom="page">
                <wp:align>center</wp:align>
              </wp:positionH>
              <wp:positionV relativeFrom="page">
                <wp:align>bottom</wp:align>
              </wp:positionV>
              <wp:extent cx="622300" cy="376555"/>
              <wp:effectExtent l="0" t="0" r="6350" b="0"/>
              <wp:wrapNone/>
              <wp:docPr id="8588178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1F0542" w14:textId="4319981B"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94F4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A1F0542" w14:textId="4319981B"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v:textbox>
              <w10:wrap anchorx="page" anchory="page"/>
            </v:shape>
          </w:pict>
        </mc:Fallback>
      </mc:AlternateContent>
    </w:r>
  </w:p>
  <w:p w14:paraId="37484CD3" w14:textId="6239514C" w:rsidR="00D843F2" w:rsidRPr="00A87036" w:rsidRDefault="00A14134" w:rsidP="006028D3">
    <w:pPr>
      <w:pStyle w:val="PageFooter"/>
    </w:pPr>
    <w:sdt>
      <w:sdtPr>
        <w:id w:val="1036156457"/>
        <w:docPartObj>
          <w:docPartGallery w:val="Page Numbers (Bottom of Page)"/>
          <w:docPartUnique/>
        </w:docPartObj>
      </w:sdtPr>
      <w:sdtEndPr/>
      <w:sdtContent>
        <w:r w:rsidR="00D843F2" w:rsidRPr="00A87036">
          <w:fldChar w:fldCharType="begin"/>
        </w:r>
        <w:r w:rsidR="00D843F2" w:rsidRPr="00A87036">
          <w:instrText xml:space="preserve"> PAGE   \* MERGEFORMAT </w:instrText>
        </w:r>
        <w:r w:rsidR="00D843F2" w:rsidRPr="00A87036">
          <w:fldChar w:fldCharType="separate"/>
        </w:r>
        <w:r w:rsidR="00D843F2" w:rsidRPr="00A87036">
          <w:t>2</w:t>
        </w:r>
        <w:r w:rsidR="00D843F2" w:rsidRPr="00A8703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9EFD" w14:textId="68EF4436" w:rsidR="00C5709C" w:rsidRDefault="00C90A7A">
    <w:pPr>
      <w:pStyle w:val="Footer"/>
    </w:pPr>
    <w:r>
      <w:rPr>
        <w:noProof/>
      </w:rPr>
      <mc:AlternateContent>
        <mc:Choice Requires="wps">
          <w:drawing>
            <wp:anchor distT="0" distB="0" distL="0" distR="0" simplePos="0" relativeHeight="251662341" behindDoc="0" locked="0" layoutInCell="1" allowOverlap="1" wp14:anchorId="3E18B125" wp14:editId="3D1C30F8">
              <wp:simplePos x="635" y="635"/>
              <wp:positionH relativeFrom="page">
                <wp:align>center</wp:align>
              </wp:positionH>
              <wp:positionV relativeFrom="page">
                <wp:align>bottom</wp:align>
              </wp:positionV>
              <wp:extent cx="622300" cy="376555"/>
              <wp:effectExtent l="0" t="0" r="6350" b="0"/>
              <wp:wrapNone/>
              <wp:docPr id="2342200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895DAE" w14:textId="2BDBBE85"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8B12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7895DAE" w14:textId="2BDBBE85"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E0BE" w14:textId="77777777" w:rsidR="001E4CF9" w:rsidRPr="00A87036" w:rsidRDefault="001E4CF9" w:rsidP="00124A51">
      <w:r w:rsidRPr="00A87036">
        <w:separator/>
      </w:r>
    </w:p>
    <w:p w14:paraId="28B49A5D" w14:textId="77777777" w:rsidR="001E4CF9" w:rsidRPr="00A87036" w:rsidRDefault="001E4CF9"/>
  </w:footnote>
  <w:footnote w:type="continuationSeparator" w:id="0">
    <w:p w14:paraId="1BB3E326" w14:textId="77777777" w:rsidR="001E4CF9" w:rsidRPr="00A87036" w:rsidRDefault="001E4CF9" w:rsidP="00124A51">
      <w:r w:rsidRPr="00A87036">
        <w:continuationSeparator/>
      </w:r>
    </w:p>
    <w:p w14:paraId="5F1DEF9C" w14:textId="77777777" w:rsidR="001E4CF9" w:rsidRPr="00A87036" w:rsidRDefault="001E4CF9"/>
  </w:footnote>
  <w:footnote w:type="continuationNotice" w:id="1">
    <w:p w14:paraId="74966131" w14:textId="77777777" w:rsidR="001E4CF9" w:rsidRDefault="001E4CF9"/>
  </w:footnote>
  <w:footnote w:id="2">
    <w:p w14:paraId="5DED7EF0" w14:textId="6DEFA821" w:rsidR="00185820" w:rsidRPr="00185820" w:rsidRDefault="00185820">
      <w:pPr>
        <w:pStyle w:val="FootnoteText"/>
        <w:rPr>
          <w:lang w:val="en-US"/>
        </w:rPr>
      </w:pPr>
      <w:r>
        <w:rPr>
          <w:rStyle w:val="FootnoteReference"/>
        </w:rPr>
        <w:footnoteRef/>
      </w:r>
      <w:r w:rsidR="00A550BD">
        <w:t xml:space="preserve"> </w:t>
      </w:r>
      <w:hyperlink r:id="rId1" w:history="1">
        <w:r w:rsidRPr="008045D5">
          <w:rPr>
            <w:rStyle w:val="Hyperlink"/>
          </w:rPr>
          <w:t>https://www.orpha.net/en/disease/detail/95157</w:t>
        </w:r>
      </w:hyperlink>
      <w:r>
        <w:t xml:space="preserve"> accessed 12 May 2025 </w:t>
      </w:r>
    </w:p>
  </w:footnote>
  <w:footnote w:id="3">
    <w:p w14:paraId="7CF28A7F" w14:textId="3236A171" w:rsidR="00E80B62" w:rsidRPr="00E80B62" w:rsidRDefault="00E80B62">
      <w:pPr>
        <w:pStyle w:val="FootnoteText"/>
        <w:rPr>
          <w:lang w:val="en-US"/>
        </w:rPr>
      </w:pPr>
      <w:r>
        <w:rPr>
          <w:rStyle w:val="FootnoteReference"/>
        </w:rPr>
        <w:footnoteRef/>
      </w:r>
      <w:r>
        <w:t xml:space="preserve"> </w:t>
      </w:r>
      <w:r>
        <w:rPr>
          <w:lang w:val="en-US"/>
        </w:rPr>
        <w:t>CADTH 2021. CADTH Reimbursement Review Givosiran (G</w:t>
      </w:r>
      <w:r w:rsidR="00E21FE7">
        <w:rPr>
          <w:lang w:val="en-US"/>
        </w:rPr>
        <w:t>i</w:t>
      </w:r>
      <w:r>
        <w:rPr>
          <w:lang w:val="en-US"/>
        </w:rPr>
        <w:t xml:space="preserve">vlaari) </w:t>
      </w:r>
      <w:r w:rsidR="003A1CB9">
        <w:rPr>
          <w:lang w:val="en-US"/>
        </w:rPr>
        <w:t>Canadian</w:t>
      </w:r>
      <w:r>
        <w:rPr>
          <w:lang w:val="en-US"/>
        </w:rPr>
        <w:t xml:space="preserve"> Journal of Health Technologies Vol 1(11). </w:t>
      </w:r>
      <w:hyperlink r:id="rId2" w:history="1">
        <w:r w:rsidRPr="002D17DA">
          <w:rPr>
            <w:rStyle w:val="Hyperlink"/>
            <w:lang w:val="en-US"/>
          </w:rPr>
          <w:t>https://www.cda</w:t>
        </w:r>
        <w:r w:rsidR="00E072B9">
          <w:rPr>
            <w:rStyle w:val="Hyperlink"/>
            <w:lang w:val="en-US"/>
          </w:rPr>
          <w:noBreakHyphen/>
        </w:r>
        <w:r w:rsidRPr="002D17DA">
          <w:rPr>
            <w:rStyle w:val="Hyperlink"/>
            <w:lang w:val="en-US"/>
          </w:rPr>
          <w:t>amc.ca/sites/default/files/DRR/2021/SR0679</w:t>
        </w:r>
        <w:r w:rsidR="00E072B9">
          <w:rPr>
            <w:rStyle w:val="Hyperlink"/>
            <w:lang w:val="en-US"/>
          </w:rPr>
          <w:noBreakHyphen/>
        </w:r>
        <w:r w:rsidRPr="002D17DA">
          <w:rPr>
            <w:rStyle w:val="Hyperlink"/>
            <w:lang w:val="en-US"/>
          </w:rPr>
          <w:t>Givlaari%20combined</w:t>
        </w:r>
        <w:r w:rsidR="00E072B9">
          <w:rPr>
            <w:rStyle w:val="Hyperlink"/>
            <w:lang w:val="en-US"/>
          </w:rPr>
          <w:noBreakHyphen/>
        </w:r>
        <w:r w:rsidRPr="002D17DA">
          <w:rPr>
            <w:rStyle w:val="Hyperlink"/>
            <w:lang w:val="en-US"/>
          </w:rPr>
          <w:t>meta.pdf</w:t>
        </w:r>
      </w:hyperlink>
      <w:r w:rsidR="00A550BD">
        <w:rPr>
          <w:lang w:val="en-US"/>
        </w:rPr>
        <w:t xml:space="preserve"> </w:t>
      </w:r>
    </w:p>
  </w:footnote>
  <w:footnote w:id="4">
    <w:p w14:paraId="3B1BD659" w14:textId="07254C9B" w:rsidR="00886F2D" w:rsidRDefault="00886F2D">
      <w:pPr>
        <w:pStyle w:val="FootnoteText"/>
      </w:pPr>
      <w:r>
        <w:rPr>
          <w:rStyle w:val="FootnoteReference"/>
        </w:rPr>
        <w:footnoteRef/>
      </w:r>
      <w:r>
        <w:t xml:space="preserve"> </w:t>
      </w:r>
      <w:r w:rsidRPr="00886F2D">
        <w:t>Patients entering the OLE period under the original protocol, protocol Amendment 1, or protocol Amendment 2 received givosiran 2.5 mg/kg QM; those entering under protocol Amendment 3 or protocol Amendment 4 patients received givosiran 1.25 mg/kg QM. Upon implementation of protocol Amendment 5, all patients receiving givosiran 1.25 mg/kg QM had their dose increased to givosiran 2.5 mg/kg QM.</w:t>
      </w:r>
    </w:p>
  </w:footnote>
  <w:footnote w:id="5">
    <w:p w14:paraId="0E0F3992" w14:textId="77777777" w:rsidR="00C60118" w:rsidRDefault="00C60118" w:rsidP="00C60118">
      <w:pPr>
        <w:pStyle w:val="FootnoteText"/>
      </w:pPr>
      <w:r>
        <w:rPr>
          <w:rStyle w:val="FootnoteReference"/>
        </w:rPr>
        <w:footnoteRef/>
      </w:r>
      <w:r>
        <w:t xml:space="preserve"> At entry into the Phase 1/2 OLE study, patients received givosiran at 2.5 mg/kg QM or 5.0 mg/kg QM or every 3 months. After a review of the emerging safety, efficacy, and pharmacokinetic and pharmacodynamic modelling data from the Phase 1 study, all patients transitioned to 2.5 mg/kg QM starting in August 2017, and remained on this dose for the duration of the Phase 1/2 OLE study.</w:t>
      </w:r>
    </w:p>
  </w:footnote>
  <w:footnote w:id="6">
    <w:p w14:paraId="0D45EBF2" w14:textId="5A3D6A4D" w:rsidR="005F119A" w:rsidRPr="005F119A" w:rsidRDefault="005F119A">
      <w:pPr>
        <w:pStyle w:val="FootnoteText"/>
        <w:rPr>
          <w:lang w:val="en-US"/>
        </w:rPr>
      </w:pPr>
      <w:r>
        <w:rPr>
          <w:rStyle w:val="FootnoteReference"/>
        </w:rPr>
        <w:footnoteRef/>
      </w:r>
      <w:r w:rsidRPr="005F119A">
        <w:t xml:space="preserve"> https://www.abs.gov.au/statistics/health/health</w:t>
      </w:r>
      <w:r w:rsidR="00E072B9">
        <w:noBreakHyphen/>
      </w:r>
      <w:r w:rsidRPr="005F119A">
        <w:t>conditions</w:t>
      </w:r>
      <w:r w:rsidR="00E072B9">
        <w:noBreakHyphen/>
      </w:r>
      <w:r w:rsidRPr="005F119A">
        <w:t>and</w:t>
      </w:r>
      <w:r w:rsidR="00E072B9">
        <w:noBreakHyphen/>
      </w:r>
      <w:r w:rsidRPr="005F119A">
        <w:t>risks/waist</w:t>
      </w:r>
      <w:r w:rsidR="00E072B9">
        <w:noBreakHyphen/>
      </w:r>
      <w:r w:rsidRPr="005F119A">
        <w:t>circumference</w:t>
      </w:r>
      <w:r w:rsidR="00E072B9">
        <w:noBreakHyphen/>
      </w:r>
      <w:r w:rsidRPr="005F119A">
        <w:t>and</w:t>
      </w:r>
      <w:r w:rsidR="00E072B9">
        <w:noBreakHyphen/>
      </w:r>
      <w:r w:rsidRPr="005F119A">
        <w:t>bmi/latest</w:t>
      </w:r>
      <w:r w:rsidR="00E072B9">
        <w:noBreakHyphen/>
      </w:r>
      <w:r w:rsidRPr="005F119A">
        <w:t>release</w:t>
      </w:r>
    </w:p>
  </w:footnote>
  <w:footnote w:id="7">
    <w:p w14:paraId="05414D3B" w14:textId="665AF995" w:rsidR="007E0AC9" w:rsidRDefault="007E0AC9" w:rsidP="007E0AC9">
      <w:pPr>
        <w:pStyle w:val="FootnoteText"/>
      </w:pPr>
      <w:r>
        <w:rPr>
          <w:rStyle w:val="FootnoteReference"/>
        </w:rPr>
        <w:footnoteRef/>
      </w:r>
      <w:r>
        <w:t xml:space="preserve"> Andersson C, Innala E, Bäckström T. Acute intermittent porphyria in women: clinical expression, use and experience of exogenous sex hormones. A population</w:t>
      </w:r>
      <w:r w:rsidR="00E072B9">
        <w:noBreakHyphen/>
      </w:r>
      <w:r>
        <w:t>based study in northern Sweden. J Intern Med. 2003;254(2):176</w:t>
      </w:r>
      <w:r w:rsidR="00E072B9">
        <w:noBreakHyphen/>
      </w:r>
      <w:r>
        <w:t>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A46D" w14:textId="093992C0" w:rsidR="00C5709C" w:rsidRDefault="00C90A7A">
    <w:pPr>
      <w:pStyle w:val="Header"/>
    </w:pPr>
    <w:r>
      <w:rPr>
        <w:noProof/>
      </w:rPr>
      <mc:AlternateContent>
        <mc:Choice Requires="wps">
          <w:drawing>
            <wp:anchor distT="0" distB="0" distL="0" distR="0" simplePos="0" relativeHeight="251660293" behindDoc="0" locked="0" layoutInCell="1" allowOverlap="1" wp14:anchorId="00BF754B" wp14:editId="3B128809">
              <wp:simplePos x="635" y="635"/>
              <wp:positionH relativeFrom="page">
                <wp:align>center</wp:align>
              </wp:positionH>
              <wp:positionV relativeFrom="page">
                <wp:align>top</wp:align>
              </wp:positionV>
              <wp:extent cx="622300" cy="376555"/>
              <wp:effectExtent l="0" t="0" r="6350" b="4445"/>
              <wp:wrapNone/>
              <wp:docPr id="8008089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3177C0" w14:textId="73CBE17B"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F754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B3177C0" w14:textId="73CBE17B"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CCA8" w14:textId="42832137" w:rsidR="00C22A70" w:rsidRPr="00A87036" w:rsidRDefault="00C90A7A" w:rsidP="00C22A70">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73C6910C" wp14:editId="11D0AF9D">
              <wp:simplePos x="635" y="635"/>
              <wp:positionH relativeFrom="page">
                <wp:align>center</wp:align>
              </wp:positionH>
              <wp:positionV relativeFrom="page">
                <wp:align>top</wp:align>
              </wp:positionV>
              <wp:extent cx="622300" cy="376555"/>
              <wp:effectExtent l="0" t="0" r="6350" b="4445"/>
              <wp:wrapNone/>
              <wp:docPr id="1029409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43951C" w14:textId="28BC35C7"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C6910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143951C" w14:textId="28BC35C7"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v:textbox>
              <w10:wrap anchorx="page" anchory="page"/>
            </v:shape>
          </w:pict>
        </mc:Fallback>
      </mc:AlternateContent>
    </w:r>
    <w:r w:rsidR="00A550BD">
      <w:rPr>
        <w:rFonts w:asciiTheme="minorHAnsi" w:hAnsiTheme="minorHAnsi"/>
        <w:color w:val="808080"/>
      </w:rPr>
      <w:t xml:space="preserve"> </w:t>
    </w:r>
    <w:r w:rsidR="0030088D">
      <w:rPr>
        <w:rFonts w:asciiTheme="minorHAnsi" w:hAnsiTheme="minorHAnsi"/>
        <w:color w:val="808080"/>
      </w:rPr>
      <w:t>Public Summary Document</w:t>
    </w:r>
    <w:r w:rsidR="00C22A70">
      <w:rPr>
        <w:rFonts w:asciiTheme="minorHAnsi" w:hAnsiTheme="minorHAnsi"/>
        <w:color w:val="808080"/>
      </w:rPr>
      <w:t xml:space="preserve"> </w:t>
    </w:r>
    <w:r w:rsidR="00C22A70">
      <w:rPr>
        <w:rFonts w:asciiTheme="minorHAnsi" w:hAnsiTheme="minorHAnsi"/>
        <w:color w:val="808080"/>
      </w:rPr>
      <w:noBreakHyphen/>
      <w:t xml:space="preserve"> July 2025</w:t>
    </w:r>
    <w:r w:rsidR="00C22A70" w:rsidRPr="00A87036">
      <w:rPr>
        <w:rFonts w:asciiTheme="minorHAnsi" w:hAnsiTheme="minorHAnsi"/>
        <w:color w:val="808080"/>
      </w:rPr>
      <w:t xml:space="preserve"> PBAC Meeting</w:t>
    </w:r>
    <w:r w:rsidR="00C22A70">
      <w:rPr>
        <w:rFonts w:asciiTheme="minorHAnsi" w:hAnsiTheme="minorHAnsi"/>
        <w:color w:val="808080"/>
      </w:rPr>
      <w:t xml:space="preserve"> with November 2025 Addendum with Corrigendum</w:t>
    </w:r>
  </w:p>
  <w:p w14:paraId="03AF943B" w14:textId="77777777" w:rsidR="00D843F2" w:rsidRPr="00A87036"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6452" w14:textId="0F7224A8" w:rsidR="00C5709C" w:rsidRDefault="00C90A7A">
    <w:pPr>
      <w:pStyle w:val="Header"/>
    </w:pPr>
    <w:r>
      <w:rPr>
        <w:noProof/>
      </w:rPr>
      <mc:AlternateContent>
        <mc:Choice Requires="wps">
          <w:drawing>
            <wp:anchor distT="0" distB="0" distL="0" distR="0" simplePos="0" relativeHeight="251659269" behindDoc="0" locked="0" layoutInCell="1" allowOverlap="1" wp14:anchorId="28F5055E" wp14:editId="69C13915">
              <wp:simplePos x="635" y="635"/>
              <wp:positionH relativeFrom="page">
                <wp:align>center</wp:align>
              </wp:positionH>
              <wp:positionV relativeFrom="page">
                <wp:align>top</wp:align>
              </wp:positionV>
              <wp:extent cx="622300" cy="376555"/>
              <wp:effectExtent l="0" t="0" r="6350" b="4445"/>
              <wp:wrapNone/>
              <wp:docPr id="9357529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8D9258" w14:textId="07340FC4"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5055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98D9258" w14:textId="07340FC4" w:rsidR="00C90A7A" w:rsidRPr="00C90A7A" w:rsidRDefault="00C90A7A" w:rsidP="00C90A7A">
                    <w:pPr>
                      <w:rPr>
                        <w:rFonts w:ascii="Aptos" w:eastAsia="Aptos" w:hAnsi="Aptos" w:cs="Aptos"/>
                        <w:noProof/>
                        <w:color w:val="FF0000"/>
                      </w:rPr>
                    </w:pPr>
                    <w:r w:rsidRPr="00C90A7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C4EAA"/>
    <w:multiLevelType w:val="hybridMultilevel"/>
    <w:tmpl w:val="2FD2064E"/>
    <w:lvl w:ilvl="0" w:tplc="4328B4E4">
      <w:start w:val="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60889"/>
    <w:multiLevelType w:val="hybridMultilevel"/>
    <w:tmpl w:val="2A9AC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130D2"/>
    <w:multiLevelType w:val="hybridMultilevel"/>
    <w:tmpl w:val="F8C2C13A"/>
    <w:lvl w:ilvl="0" w:tplc="5302D8D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09246A4"/>
    <w:multiLevelType w:val="hybridMultilevel"/>
    <w:tmpl w:val="66B4996E"/>
    <w:styleLink w:val="Heading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A23E97"/>
    <w:multiLevelType w:val="hybridMultilevel"/>
    <w:tmpl w:val="02C0B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5679CA"/>
    <w:multiLevelType w:val="hybridMultilevel"/>
    <w:tmpl w:val="3564BE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272B8"/>
    <w:multiLevelType w:val="hybridMultilevel"/>
    <w:tmpl w:val="3ABE0AEE"/>
    <w:lvl w:ilvl="0" w:tplc="E850CE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681440"/>
    <w:multiLevelType w:val="hybridMultilevel"/>
    <w:tmpl w:val="3ABE0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422584"/>
    <w:multiLevelType w:val="hybridMultilevel"/>
    <w:tmpl w:val="EEE8D93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7A6C73"/>
    <w:multiLevelType w:val="hybridMultilevel"/>
    <w:tmpl w:val="B19885A2"/>
    <w:lvl w:ilvl="0" w:tplc="4E545058">
      <w:start w:val="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94C54F0"/>
    <w:multiLevelType w:val="hybridMultilevel"/>
    <w:tmpl w:val="71F8B2C2"/>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4D033C"/>
    <w:multiLevelType w:val="multilevel"/>
    <w:tmpl w:val="320409CE"/>
    <w:lvl w:ilvl="0">
      <w:start w:val="1"/>
      <w:numFmt w:val="decimal"/>
      <w:pStyle w:val="2-SectionHeading"/>
      <w:lvlText w:val="%1"/>
      <w:lvlJc w:val="left"/>
      <w:pPr>
        <w:ind w:left="2564"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6"/>
  </w:num>
  <w:num w:numId="2" w16cid:durableId="917793048">
    <w:abstractNumId w:val="8"/>
  </w:num>
  <w:num w:numId="3" w16cid:durableId="263461728">
    <w:abstractNumId w:val="0"/>
  </w:num>
  <w:num w:numId="4" w16cid:durableId="220360847">
    <w:abstractNumId w:val="13"/>
  </w:num>
  <w:num w:numId="5" w16cid:durableId="268196418">
    <w:abstractNumId w:val="6"/>
  </w:num>
  <w:num w:numId="6" w16cid:durableId="1048839230">
    <w:abstractNumId w:val="16"/>
  </w:num>
  <w:num w:numId="7" w16cid:durableId="2046247545">
    <w:abstractNumId w:val="11"/>
  </w:num>
  <w:num w:numId="8" w16cid:durableId="2145853848">
    <w:abstractNumId w:val="1"/>
  </w:num>
  <w:num w:numId="9" w16cid:durableId="1978488024">
    <w:abstractNumId w:val="4"/>
  </w:num>
  <w:num w:numId="10" w16cid:durableId="1668284905">
    <w:abstractNumId w:val="14"/>
  </w:num>
  <w:num w:numId="11" w16cid:durableId="492795432">
    <w:abstractNumId w:val="7"/>
  </w:num>
  <w:num w:numId="12" w16cid:durableId="2110078179">
    <w:abstractNumId w:val="2"/>
  </w:num>
  <w:num w:numId="13" w16cid:durableId="1631936816">
    <w:abstractNumId w:val="5"/>
  </w:num>
  <w:num w:numId="14" w16cid:durableId="1371877202">
    <w:abstractNumId w:val="12"/>
  </w:num>
  <w:num w:numId="15" w16cid:durableId="1694844965">
    <w:abstractNumId w:val="9"/>
  </w:num>
  <w:num w:numId="16" w16cid:durableId="209997201">
    <w:abstractNumId w:val="15"/>
  </w:num>
  <w:num w:numId="17" w16cid:durableId="1696036382">
    <w:abstractNumId w:val="3"/>
  </w:num>
  <w:num w:numId="18" w16cid:durableId="2137677797">
    <w:abstractNumId w:val="10"/>
  </w:num>
  <w:num w:numId="19" w16cid:durableId="146349649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6A"/>
    <w:rsid w:val="00000196"/>
    <w:rsid w:val="00000790"/>
    <w:rsid w:val="000008E7"/>
    <w:rsid w:val="00001031"/>
    <w:rsid w:val="0000110B"/>
    <w:rsid w:val="000017E0"/>
    <w:rsid w:val="00002439"/>
    <w:rsid w:val="0000270C"/>
    <w:rsid w:val="00002AE1"/>
    <w:rsid w:val="000032C8"/>
    <w:rsid w:val="000033BE"/>
    <w:rsid w:val="00003499"/>
    <w:rsid w:val="000034D3"/>
    <w:rsid w:val="00003567"/>
    <w:rsid w:val="0000362A"/>
    <w:rsid w:val="00003641"/>
    <w:rsid w:val="00003990"/>
    <w:rsid w:val="000039B7"/>
    <w:rsid w:val="00003E63"/>
    <w:rsid w:val="00003EC5"/>
    <w:rsid w:val="000048A7"/>
    <w:rsid w:val="00004C12"/>
    <w:rsid w:val="00004CDE"/>
    <w:rsid w:val="000056B9"/>
    <w:rsid w:val="0000585F"/>
    <w:rsid w:val="000058D0"/>
    <w:rsid w:val="00005C9D"/>
    <w:rsid w:val="00006008"/>
    <w:rsid w:val="000060BD"/>
    <w:rsid w:val="0000639A"/>
    <w:rsid w:val="00006401"/>
    <w:rsid w:val="00006698"/>
    <w:rsid w:val="00006760"/>
    <w:rsid w:val="000071EE"/>
    <w:rsid w:val="000072A9"/>
    <w:rsid w:val="000073AE"/>
    <w:rsid w:val="0000776E"/>
    <w:rsid w:val="00007A61"/>
    <w:rsid w:val="00007F47"/>
    <w:rsid w:val="00007FD6"/>
    <w:rsid w:val="00010244"/>
    <w:rsid w:val="00010457"/>
    <w:rsid w:val="0001079B"/>
    <w:rsid w:val="0001093A"/>
    <w:rsid w:val="0001094F"/>
    <w:rsid w:val="00010DBF"/>
    <w:rsid w:val="00010E7B"/>
    <w:rsid w:val="00011033"/>
    <w:rsid w:val="0001111B"/>
    <w:rsid w:val="00011441"/>
    <w:rsid w:val="000115F0"/>
    <w:rsid w:val="00012275"/>
    <w:rsid w:val="000124DB"/>
    <w:rsid w:val="00012758"/>
    <w:rsid w:val="00012D6F"/>
    <w:rsid w:val="00012F8D"/>
    <w:rsid w:val="000131D5"/>
    <w:rsid w:val="00013247"/>
    <w:rsid w:val="0001329A"/>
    <w:rsid w:val="000132A4"/>
    <w:rsid w:val="000132E6"/>
    <w:rsid w:val="000132E9"/>
    <w:rsid w:val="0001351C"/>
    <w:rsid w:val="000138E5"/>
    <w:rsid w:val="00013A9A"/>
    <w:rsid w:val="00013C19"/>
    <w:rsid w:val="00013F96"/>
    <w:rsid w:val="00014104"/>
    <w:rsid w:val="00014835"/>
    <w:rsid w:val="00014889"/>
    <w:rsid w:val="00014D5C"/>
    <w:rsid w:val="00014E3A"/>
    <w:rsid w:val="00015440"/>
    <w:rsid w:val="00015886"/>
    <w:rsid w:val="000162EF"/>
    <w:rsid w:val="00016379"/>
    <w:rsid w:val="000165C5"/>
    <w:rsid w:val="00016AD3"/>
    <w:rsid w:val="00016BF5"/>
    <w:rsid w:val="00016C8F"/>
    <w:rsid w:val="00016D4A"/>
    <w:rsid w:val="00016F49"/>
    <w:rsid w:val="0001793F"/>
    <w:rsid w:val="000179E4"/>
    <w:rsid w:val="00017C74"/>
    <w:rsid w:val="00017CBF"/>
    <w:rsid w:val="00017D2C"/>
    <w:rsid w:val="00017DDB"/>
    <w:rsid w:val="000204C4"/>
    <w:rsid w:val="00020540"/>
    <w:rsid w:val="0002055E"/>
    <w:rsid w:val="000207C9"/>
    <w:rsid w:val="00020949"/>
    <w:rsid w:val="000209F2"/>
    <w:rsid w:val="00020C30"/>
    <w:rsid w:val="00020DF3"/>
    <w:rsid w:val="00020EF3"/>
    <w:rsid w:val="00021052"/>
    <w:rsid w:val="00021139"/>
    <w:rsid w:val="000211A3"/>
    <w:rsid w:val="0002147D"/>
    <w:rsid w:val="000218A6"/>
    <w:rsid w:val="0002225F"/>
    <w:rsid w:val="00022337"/>
    <w:rsid w:val="00022623"/>
    <w:rsid w:val="00022FF7"/>
    <w:rsid w:val="000230FF"/>
    <w:rsid w:val="00023371"/>
    <w:rsid w:val="00023763"/>
    <w:rsid w:val="00023C53"/>
    <w:rsid w:val="00023CE7"/>
    <w:rsid w:val="00023D30"/>
    <w:rsid w:val="000240F3"/>
    <w:rsid w:val="00024158"/>
    <w:rsid w:val="00024890"/>
    <w:rsid w:val="00024EB5"/>
    <w:rsid w:val="00025042"/>
    <w:rsid w:val="00025E67"/>
    <w:rsid w:val="00026496"/>
    <w:rsid w:val="00026715"/>
    <w:rsid w:val="000270B1"/>
    <w:rsid w:val="000274B8"/>
    <w:rsid w:val="000276AB"/>
    <w:rsid w:val="0002786A"/>
    <w:rsid w:val="000279DE"/>
    <w:rsid w:val="000307FC"/>
    <w:rsid w:val="0003171D"/>
    <w:rsid w:val="000327C7"/>
    <w:rsid w:val="00032956"/>
    <w:rsid w:val="00032DA2"/>
    <w:rsid w:val="00032FE0"/>
    <w:rsid w:val="0003304C"/>
    <w:rsid w:val="0003350F"/>
    <w:rsid w:val="00033863"/>
    <w:rsid w:val="000339F6"/>
    <w:rsid w:val="000343BA"/>
    <w:rsid w:val="0003457B"/>
    <w:rsid w:val="000347FE"/>
    <w:rsid w:val="00034E7D"/>
    <w:rsid w:val="00034F64"/>
    <w:rsid w:val="00034FF3"/>
    <w:rsid w:val="00035588"/>
    <w:rsid w:val="00035B79"/>
    <w:rsid w:val="00035DC0"/>
    <w:rsid w:val="00035EB1"/>
    <w:rsid w:val="0003631B"/>
    <w:rsid w:val="00036829"/>
    <w:rsid w:val="000368AB"/>
    <w:rsid w:val="00036E9A"/>
    <w:rsid w:val="000371CF"/>
    <w:rsid w:val="0003777A"/>
    <w:rsid w:val="00037B83"/>
    <w:rsid w:val="00037BB1"/>
    <w:rsid w:val="00037F92"/>
    <w:rsid w:val="0004010C"/>
    <w:rsid w:val="000401EF"/>
    <w:rsid w:val="00040895"/>
    <w:rsid w:val="00040952"/>
    <w:rsid w:val="00040DB0"/>
    <w:rsid w:val="00040F6C"/>
    <w:rsid w:val="00041059"/>
    <w:rsid w:val="000410A0"/>
    <w:rsid w:val="00041672"/>
    <w:rsid w:val="00041B38"/>
    <w:rsid w:val="00041D57"/>
    <w:rsid w:val="00041E2F"/>
    <w:rsid w:val="0004252F"/>
    <w:rsid w:val="00042559"/>
    <w:rsid w:val="00042999"/>
    <w:rsid w:val="00042BB5"/>
    <w:rsid w:val="00042E37"/>
    <w:rsid w:val="0004305A"/>
    <w:rsid w:val="0004337A"/>
    <w:rsid w:val="000435EE"/>
    <w:rsid w:val="000436C5"/>
    <w:rsid w:val="000439D2"/>
    <w:rsid w:val="00043A4D"/>
    <w:rsid w:val="00043C37"/>
    <w:rsid w:val="00043EBA"/>
    <w:rsid w:val="0004416F"/>
    <w:rsid w:val="00044546"/>
    <w:rsid w:val="00045017"/>
    <w:rsid w:val="00045412"/>
    <w:rsid w:val="0004554A"/>
    <w:rsid w:val="00045650"/>
    <w:rsid w:val="00045779"/>
    <w:rsid w:val="00045A2B"/>
    <w:rsid w:val="00045C76"/>
    <w:rsid w:val="00045F77"/>
    <w:rsid w:val="00046614"/>
    <w:rsid w:val="000466E3"/>
    <w:rsid w:val="00046711"/>
    <w:rsid w:val="000468EE"/>
    <w:rsid w:val="00046958"/>
    <w:rsid w:val="0004698F"/>
    <w:rsid w:val="00046AE2"/>
    <w:rsid w:val="00046CA7"/>
    <w:rsid w:val="00046D64"/>
    <w:rsid w:val="00047380"/>
    <w:rsid w:val="0005055A"/>
    <w:rsid w:val="000508C2"/>
    <w:rsid w:val="00050A87"/>
    <w:rsid w:val="00050F21"/>
    <w:rsid w:val="000512D9"/>
    <w:rsid w:val="0005153F"/>
    <w:rsid w:val="0005167A"/>
    <w:rsid w:val="000517E0"/>
    <w:rsid w:val="00051827"/>
    <w:rsid w:val="00051C50"/>
    <w:rsid w:val="0005264D"/>
    <w:rsid w:val="00052977"/>
    <w:rsid w:val="00052C33"/>
    <w:rsid w:val="00052F42"/>
    <w:rsid w:val="00053162"/>
    <w:rsid w:val="000533A7"/>
    <w:rsid w:val="000539CF"/>
    <w:rsid w:val="000539D0"/>
    <w:rsid w:val="00053FE4"/>
    <w:rsid w:val="000544D6"/>
    <w:rsid w:val="00054621"/>
    <w:rsid w:val="000546D7"/>
    <w:rsid w:val="0005495C"/>
    <w:rsid w:val="000549AC"/>
    <w:rsid w:val="00054A8D"/>
    <w:rsid w:val="00054CAD"/>
    <w:rsid w:val="00054CBC"/>
    <w:rsid w:val="00054DD3"/>
    <w:rsid w:val="0005511C"/>
    <w:rsid w:val="00055881"/>
    <w:rsid w:val="00055AF9"/>
    <w:rsid w:val="00055C7C"/>
    <w:rsid w:val="00055D4D"/>
    <w:rsid w:val="00056017"/>
    <w:rsid w:val="000562D1"/>
    <w:rsid w:val="00056615"/>
    <w:rsid w:val="00056916"/>
    <w:rsid w:val="00056ECF"/>
    <w:rsid w:val="00057273"/>
    <w:rsid w:val="0005763E"/>
    <w:rsid w:val="00057CEF"/>
    <w:rsid w:val="000603EA"/>
    <w:rsid w:val="000604DF"/>
    <w:rsid w:val="00060567"/>
    <w:rsid w:val="00060AED"/>
    <w:rsid w:val="0006102F"/>
    <w:rsid w:val="000611E6"/>
    <w:rsid w:val="0006137A"/>
    <w:rsid w:val="000614FC"/>
    <w:rsid w:val="000615BF"/>
    <w:rsid w:val="00061731"/>
    <w:rsid w:val="00061B5C"/>
    <w:rsid w:val="00062324"/>
    <w:rsid w:val="000628AB"/>
    <w:rsid w:val="00062FD8"/>
    <w:rsid w:val="00063244"/>
    <w:rsid w:val="00063337"/>
    <w:rsid w:val="000645C0"/>
    <w:rsid w:val="000649B2"/>
    <w:rsid w:val="00064A91"/>
    <w:rsid w:val="000651C4"/>
    <w:rsid w:val="000653B5"/>
    <w:rsid w:val="000655B0"/>
    <w:rsid w:val="00065AF5"/>
    <w:rsid w:val="00065C50"/>
    <w:rsid w:val="00065DDF"/>
    <w:rsid w:val="00065E9C"/>
    <w:rsid w:val="000661F7"/>
    <w:rsid w:val="00066360"/>
    <w:rsid w:val="00066574"/>
    <w:rsid w:val="000669D9"/>
    <w:rsid w:val="00066A06"/>
    <w:rsid w:val="00066AF8"/>
    <w:rsid w:val="00066BA8"/>
    <w:rsid w:val="0006730D"/>
    <w:rsid w:val="0006735D"/>
    <w:rsid w:val="0006794D"/>
    <w:rsid w:val="0007032E"/>
    <w:rsid w:val="00070C74"/>
    <w:rsid w:val="00071248"/>
    <w:rsid w:val="0007135F"/>
    <w:rsid w:val="00071548"/>
    <w:rsid w:val="00071D43"/>
    <w:rsid w:val="000720B9"/>
    <w:rsid w:val="00072363"/>
    <w:rsid w:val="0007275A"/>
    <w:rsid w:val="00073412"/>
    <w:rsid w:val="000734A2"/>
    <w:rsid w:val="0007369C"/>
    <w:rsid w:val="000737F7"/>
    <w:rsid w:val="00073A88"/>
    <w:rsid w:val="00074124"/>
    <w:rsid w:val="00074252"/>
    <w:rsid w:val="000742D2"/>
    <w:rsid w:val="0007457F"/>
    <w:rsid w:val="0007461E"/>
    <w:rsid w:val="00074F62"/>
    <w:rsid w:val="000751F5"/>
    <w:rsid w:val="0007551C"/>
    <w:rsid w:val="000755DA"/>
    <w:rsid w:val="000755DE"/>
    <w:rsid w:val="0007576B"/>
    <w:rsid w:val="00075940"/>
    <w:rsid w:val="00075A9A"/>
    <w:rsid w:val="00075D80"/>
    <w:rsid w:val="00076168"/>
    <w:rsid w:val="000761EE"/>
    <w:rsid w:val="00076484"/>
    <w:rsid w:val="000766DD"/>
    <w:rsid w:val="0007672F"/>
    <w:rsid w:val="000768B1"/>
    <w:rsid w:val="00076B54"/>
    <w:rsid w:val="00076E49"/>
    <w:rsid w:val="000774F0"/>
    <w:rsid w:val="000777A4"/>
    <w:rsid w:val="00077A0A"/>
    <w:rsid w:val="00077D80"/>
    <w:rsid w:val="00077DDE"/>
    <w:rsid w:val="000804C2"/>
    <w:rsid w:val="000804C3"/>
    <w:rsid w:val="000805DA"/>
    <w:rsid w:val="00080909"/>
    <w:rsid w:val="00080D8B"/>
    <w:rsid w:val="000812CA"/>
    <w:rsid w:val="000812F9"/>
    <w:rsid w:val="000816E4"/>
    <w:rsid w:val="00081810"/>
    <w:rsid w:val="00081BF8"/>
    <w:rsid w:val="00081E63"/>
    <w:rsid w:val="00081F9E"/>
    <w:rsid w:val="0008237A"/>
    <w:rsid w:val="00082588"/>
    <w:rsid w:val="0008258D"/>
    <w:rsid w:val="0008319B"/>
    <w:rsid w:val="000834CB"/>
    <w:rsid w:val="00083509"/>
    <w:rsid w:val="00083D36"/>
    <w:rsid w:val="00083E99"/>
    <w:rsid w:val="00083F47"/>
    <w:rsid w:val="00083F7C"/>
    <w:rsid w:val="00084202"/>
    <w:rsid w:val="00084377"/>
    <w:rsid w:val="00084593"/>
    <w:rsid w:val="000845BD"/>
    <w:rsid w:val="0008467A"/>
    <w:rsid w:val="00084AA9"/>
    <w:rsid w:val="00084FA8"/>
    <w:rsid w:val="0008501F"/>
    <w:rsid w:val="000853D5"/>
    <w:rsid w:val="000856C5"/>
    <w:rsid w:val="00085778"/>
    <w:rsid w:val="0008583C"/>
    <w:rsid w:val="000858D3"/>
    <w:rsid w:val="00085C31"/>
    <w:rsid w:val="00085E0B"/>
    <w:rsid w:val="000860D1"/>
    <w:rsid w:val="000864A8"/>
    <w:rsid w:val="000865CF"/>
    <w:rsid w:val="00086742"/>
    <w:rsid w:val="000869D3"/>
    <w:rsid w:val="00086CA8"/>
    <w:rsid w:val="00086E90"/>
    <w:rsid w:val="00087132"/>
    <w:rsid w:val="000872B0"/>
    <w:rsid w:val="000872D4"/>
    <w:rsid w:val="0008743F"/>
    <w:rsid w:val="000875D4"/>
    <w:rsid w:val="00087936"/>
    <w:rsid w:val="00087D2D"/>
    <w:rsid w:val="000902D9"/>
    <w:rsid w:val="00090394"/>
    <w:rsid w:val="000903BE"/>
    <w:rsid w:val="0009054E"/>
    <w:rsid w:val="00090573"/>
    <w:rsid w:val="00090951"/>
    <w:rsid w:val="00090C7E"/>
    <w:rsid w:val="00091038"/>
    <w:rsid w:val="000910B6"/>
    <w:rsid w:val="000911AC"/>
    <w:rsid w:val="00091CD5"/>
    <w:rsid w:val="00091E20"/>
    <w:rsid w:val="00091F3A"/>
    <w:rsid w:val="00091F6D"/>
    <w:rsid w:val="00092265"/>
    <w:rsid w:val="000923D8"/>
    <w:rsid w:val="0009244D"/>
    <w:rsid w:val="00092600"/>
    <w:rsid w:val="0009262B"/>
    <w:rsid w:val="00093310"/>
    <w:rsid w:val="000934B9"/>
    <w:rsid w:val="000934D7"/>
    <w:rsid w:val="00093DFD"/>
    <w:rsid w:val="00093F10"/>
    <w:rsid w:val="00093FCC"/>
    <w:rsid w:val="00094077"/>
    <w:rsid w:val="000943AA"/>
    <w:rsid w:val="0009445C"/>
    <w:rsid w:val="0009446A"/>
    <w:rsid w:val="00094478"/>
    <w:rsid w:val="00094E92"/>
    <w:rsid w:val="00094F08"/>
    <w:rsid w:val="00094FD8"/>
    <w:rsid w:val="00095200"/>
    <w:rsid w:val="00095690"/>
    <w:rsid w:val="00095844"/>
    <w:rsid w:val="00095883"/>
    <w:rsid w:val="000959F5"/>
    <w:rsid w:val="00095ABC"/>
    <w:rsid w:val="00095B67"/>
    <w:rsid w:val="00095E26"/>
    <w:rsid w:val="00095EAC"/>
    <w:rsid w:val="00095FE5"/>
    <w:rsid w:val="00096284"/>
    <w:rsid w:val="00096463"/>
    <w:rsid w:val="000966D1"/>
    <w:rsid w:val="0009697B"/>
    <w:rsid w:val="00096EA9"/>
    <w:rsid w:val="00097021"/>
    <w:rsid w:val="00097023"/>
    <w:rsid w:val="000972F2"/>
    <w:rsid w:val="00097961"/>
    <w:rsid w:val="00097CC2"/>
    <w:rsid w:val="00097E36"/>
    <w:rsid w:val="000A061B"/>
    <w:rsid w:val="000A06B8"/>
    <w:rsid w:val="000A08EE"/>
    <w:rsid w:val="000A0A4D"/>
    <w:rsid w:val="000A1428"/>
    <w:rsid w:val="000A19CF"/>
    <w:rsid w:val="000A1A05"/>
    <w:rsid w:val="000A1AA2"/>
    <w:rsid w:val="000A1BC0"/>
    <w:rsid w:val="000A2136"/>
    <w:rsid w:val="000A23FD"/>
    <w:rsid w:val="000A26B3"/>
    <w:rsid w:val="000A26D4"/>
    <w:rsid w:val="000A2A0B"/>
    <w:rsid w:val="000A2CD0"/>
    <w:rsid w:val="000A2D99"/>
    <w:rsid w:val="000A2E5B"/>
    <w:rsid w:val="000A2F9E"/>
    <w:rsid w:val="000A3926"/>
    <w:rsid w:val="000A3CE3"/>
    <w:rsid w:val="000A3E47"/>
    <w:rsid w:val="000A4523"/>
    <w:rsid w:val="000A47C6"/>
    <w:rsid w:val="000A4FE8"/>
    <w:rsid w:val="000A500D"/>
    <w:rsid w:val="000A51CF"/>
    <w:rsid w:val="000A522B"/>
    <w:rsid w:val="000A5362"/>
    <w:rsid w:val="000A55DD"/>
    <w:rsid w:val="000A58E2"/>
    <w:rsid w:val="000A5AE1"/>
    <w:rsid w:val="000A5F88"/>
    <w:rsid w:val="000A6039"/>
    <w:rsid w:val="000A6296"/>
    <w:rsid w:val="000A6848"/>
    <w:rsid w:val="000A6F09"/>
    <w:rsid w:val="000A72BD"/>
    <w:rsid w:val="000A7453"/>
    <w:rsid w:val="000A7D08"/>
    <w:rsid w:val="000A7E59"/>
    <w:rsid w:val="000B0121"/>
    <w:rsid w:val="000B03E5"/>
    <w:rsid w:val="000B05BB"/>
    <w:rsid w:val="000B0670"/>
    <w:rsid w:val="000B06FA"/>
    <w:rsid w:val="000B07D9"/>
    <w:rsid w:val="000B0A58"/>
    <w:rsid w:val="000B0E75"/>
    <w:rsid w:val="000B1135"/>
    <w:rsid w:val="000B120D"/>
    <w:rsid w:val="000B13A1"/>
    <w:rsid w:val="000B1529"/>
    <w:rsid w:val="000B1764"/>
    <w:rsid w:val="000B1BE6"/>
    <w:rsid w:val="000B27AD"/>
    <w:rsid w:val="000B2A26"/>
    <w:rsid w:val="000B2BA8"/>
    <w:rsid w:val="000B2D7F"/>
    <w:rsid w:val="000B2DCB"/>
    <w:rsid w:val="000B2F98"/>
    <w:rsid w:val="000B332B"/>
    <w:rsid w:val="000B40BD"/>
    <w:rsid w:val="000B41BF"/>
    <w:rsid w:val="000B44E1"/>
    <w:rsid w:val="000B4656"/>
    <w:rsid w:val="000B4874"/>
    <w:rsid w:val="000B48B7"/>
    <w:rsid w:val="000B51B2"/>
    <w:rsid w:val="000B5322"/>
    <w:rsid w:val="000B54CA"/>
    <w:rsid w:val="000B5A96"/>
    <w:rsid w:val="000B5B25"/>
    <w:rsid w:val="000B5CE0"/>
    <w:rsid w:val="000B5E4C"/>
    <w:rsid w:val="000B67BA"/>
    <w:rsid w:val="000B6CAC"/>
    <w:rsid w:val="000B7129"/>
    <w:rsid w:val="000B7424"/>
    <w:rsid w:val="000B7612"/>
    <w:rsid w:val="000B77F7"/>
    <w:rsid w:val="000B78AE"/>
    <w:rsid w:val="000B7ED0"/>
    <w:rsid w:val="000C0818"/>
    <w:rsid w:val="000C09D9"/>
    <w:rsid w:val="000C10C2"/>
    <w:rsid w:val="000C10FA"/>
    <w:rsid w:val="000C1526"/>
    <w:rsid w:val="000C1A28"/>
    <w:rsid w:val="000C27A3"/>
    <w:rsid w:val="000C27BD"/>
    <w:rsid w:val="000C3356"/>
    <w:rsid w:val="000C3498"/>
    <w:rsid w:val="000C3DF9"/>
    <w:rsid w:val="000C3E36"/>
    <w:rsid w:val="000C4107"/>
    <w:rsid w:val="000C4170"/>
    <w:rsid w:val="000C41EB"/>
    <w:rsid w:val="000C46E8"/>
    <w:rsid w:val="000C476A"/>
    <w:rsid w:val="000C4A7F"/>
    <w:rsid w:val="000C4A8E"/>
    <w:rsid w:val="000C4CF2"/>
    <w:rsid w:val="000C4E95"/>
    <w:rsid w:val="000C52B2"/>
    <w:rsid w:val="000C550D"/>
    <w:rsid w:val="000C568A"/>
    <w:rsid w:val="000C5B49"/>
    <w:rsid w:val="000C5C4F"/>
    <w:rsid w:val="000C5DEF"/>
    <w:rsid w:val="000C6116"/>
    <w:rsid w:val="000C6713"/>
    <w:rsid w:val="000C6DF7"/>
    <w:rsid w:val="000C6FC3"/>
    <w:rsid w:val="000C70D2"/>
    <w:rsid w:val="000C7403"/>
    <w:rsid w:val="000C74C5"/>
    <w:rsid w:val="000C7F42"/>
    <w:rsid w:val="000D06B7"/>
    <w:rsid w:val="000D0C87"/>
    <w:rsid w:val="000D0E7E"/>
    <w:rsid w:val="000D0F05"/>
    <w:rsid w:val="000D11A5"/>
    <w:rsid w:val="000D166B"/>
    <w:rsid w:val="000D18D0"/>
    <w:rsid w:val="000D1A12"/>
    <w:rsid w:val="000D1B4B"/>
    <w:rsid w:val="000D1BFC"/>
    <w:rsid w:val="000D1D5D"/>
    <w:rsid w:val="000D23BD"/>
    <w:rsid w:val="000D280D"/>
    <w:rsid w:val="000D281A"/>
    <w:rsid w:val="000D2848"/>
    <w:rsid w:val="000D2852"/>
    <w:rsid w:val="000D29D2"/>
    <w:rsid w:val="000D2C50"/>
    <w:rsid w:val="000D326A"/>
    <w:rsid w:val="000D34E7"/>
    <w:rsid w:val="000D358B"/>
    <w:rsid w:val="000D411D"/>
    <w:rsid w:val="000D41D0"/>
    <w:rsid w:val="000D436F"/>
    <w:rsid w:val="000D4630"/>
    <w:rsid w:val="000D4FAA"/>
    <w:rsid w:val="000D51FB"/>
    <w:rsid w:val="000D568A"/>
    <w:rsid w:val="000D5B82"/>
    <w:rsid w:val="000D63D0"/>
    <w:rsid w:val="000D67A7"/>
    <w:rsid w:val="000D6802"/>
    <w:rsid w:val="000D6C41"/>
    <w:rsid w:val="000D6D1C"/>
    <w:rsid w:val="000D6F73"/>
    <w:rsid w:val="000D712B"/>
    <w:rsid w:val="000D7210"/>
    <w:rsid w:val="000D7971"/>
    <w:rsid w:val="000D79C5"/>
    <w:rsid w:val="000E051A"/>
    <w:rsid w:val="000E0626"/>
    <w:rsid w:val="000E0640"/>
    <w:rsid w:val="000E0823"/>
    <w:rsid w:val="000E0AAE"/>
    <w:rsid w:val="000E0BD4"/>
    <w:rsid w:val="000E116F"/>
    <w:rsid w:val="000E1200"/>
    <w:rsid w:val="000E12DD"/>
    <w:rsid w:val="000E132E"/>
    <w:rsid w:val="000E135D"/>
    <w:rsid w:val="000E20E5"/>
    <w:rsid w:val="000E25B1"/>
    <w:rsid w:val="000E25DF"/>
    <w:rsid w:val="000E2DF7"/>
    <w:rsid w:val="000E2F2C"/>
    <w:rsid w:val="000E308B"/>
    <w:rsid w:val="000E30E0"/>
    <w:rsid w:val="000E3214"/>
    <w:rsid w:val="000E3489"/>
    <w:rsid w:val="000E3693"/>
    <w:rsid w:val="000E3B4D"/>
    <w:rsid w:val="000E421E"/>
    <w:rsid w:val="000E4510"/>
    <w:rsid w:val="000E4558"/>
    <w:rsid w:val="000E51F5"/>
    <w:rsid w:val="000E5A0A"/>
    <w:rsid w:val="000E63D4"/>
    <w:rsid w:val="000E676E"/>
    <w:rsid w:val="000E6949"/>
    <w:rsid w:val="000E731E"/>
    <w:rsid w:val="000E750A"/>
    <w:rsid w:val="000E75C4"/>
    <w:rsid w:val="000E7683"/>
    <w:rsid w:val="000E76B9"/>
    <w:rsid w:val="000E7B8B"/>
    <w:rsid w:val="000E7D83"/>
    <w:rsid w:val="000E7E81"/>
    <w:rsid w:val="000F00BA"/>
    <w:rsid w:val="000F01CE"/>
    <w:rsid w:val="000F05D3"/>
    <w:rsid w:val="000F06DA"/>
    <w:rsid w:val="000F08C5"/>
    <w:rsid w:val="000F0B82"/>
    <w:rsid w:val="000F12BB"/>
    <w:rsid w:val="000F17A1"/>
    <w:rsid w:val="000F1EDE"/>
    <w:rsid w:val="000F25EF"/>
    <w:rsid w:val="000F25F2"/>
    <w:rsid w:val="000F2993"/>
    <w:rsid w:val="000F2AA1"/>
    <w:rsid w:val="000F2B4C"/>
    <w:rsid w:val="000F316A"/>
    <w:rsid w:val="000F31E8"/>
    <w:rsid w:val="000F3872"/>
    <w:rsid w:val="000F39D2"/>
    <w:rsid w:val="000F3A0C"/>
    <w:rsid w:val="000F3C74"/>
    <w:rsid w:val="000F3D3D"/>
    <w:rsid w:val="000F40F0"/>
    <w:rsid w:val="000F455F"/>
    <w:rsid w:val="000F487C"/>
    <w:rsid w:val="000F49C0"/>
    <w:rsid w:val="000F4BB8"/>
    <w:rsid w:val="000F4FA9"/>
    <w:rsid w:val="000F528D"/>
    <w:rsid w:val="000F53FB"/>
    <w:rsid w:val="000F564A"/>
    <w:rsid w:val="000F5D10"/>
    <w:rsid w:val="000F5E24"/>
    <w:rsid w:val="000F6A2B"/>
    <w:rsid w:val="000F6AD3"/>
    <w:rsid w:val="000F7127"/>
    <w:rsid w:val="000F781D"/>
    <w:rsid w:val="000F7B54"/>
    <w:rsid w:val="000F7EB1"/>
    <w:rsid w:val="000F7F73"/>
    <w:rsid w:val="001000B3"/>
    <w:rsid w:val="00100197"/>
    <w:rsid w:val="001002B6"/>
    <w:rsid w:val="00100D0E"/>
    <w:rsid w:val="00100F8A"/>
    <w:rsid w:val="00101568"/>
    <w:rsid w:val="00101B82"/>
    <w:rsid w:val="00102168"/>
    <w:rsid w:val="0010227F"/>
    <w:rsid w:val="001028A8"/>
    <w:rsid w:val="00102C37"/>
    <w:rsid w:val="00103711"/>
    <w:rsid w:val="00103835"/>
    <w:rsid w:val="00103C04"/>
    <w:rsid w:val="00103E75"/>
    <w:rsid w:val="00103E8F"/>
    <w:rsid w:val="00104339"/>
    <w:rsid w:val="0010452E"/>
    <w:rsid w:val="001048DB"/>
    <w:rsid w:val="00105026"/>
    <w:rsid w:val="001051FF"/>
    <w:rsid w:val="001056F4"/>
    <w:rsid w:val="00105A2E"/>
    <w:rsid w:val="00105AE2"/>
    <w:rsid w:val="00105E38"/>
    <w:rsid w:val="001060C6"/>
    <w:rsid w:val="001061B7"/>
    <w:rsid w:val="001063B2"/>
    <w:rsid w:val="00106499"/>
    <w:rsid w:val="00106B80"/>
    <w:rsid w:val="00106BA9"/>
    <w:rsid w:val="00106D1E"/>
    <w:rsid w:val="00107481"/>
    <w:rsid w:val="001075A7"/>
    <w:rsid w:val="001077E7"/>
    <w:rsid w:val="0010793A"/>
    <w:rsid w:val="0010793B"/>
    <w:rsid w:val="00107AF7"/>
    <w:rsid w:val="00107E6A"/>
    <w:rsid w:val="00107F0D"/>
    <w:rsid w:val="0011032E"/>
    <w:rsid w:val="001107FF"/>
    <w:rsid w:val="00110B14"/>
    <w:rsid w:val="00110C2A"/>
    <w:rsid w:val="00111515"/>
    <w:rsid w:val="0011189E"/>
    <w:rsid w:val="00111B0B"/>
    <w:rsid w:val="00112141"/>
    <w:rsid w:val="00112466"/>
    <w:rsid w:val="00113366"/>
    <w:rsid w:val="0011348B"/>
    <w:rsid w:val="00113823"/>
    <w:rsid w:val="001139E5"/>
    <w:rsid w:val="00113E27"/>
    <w:rsid w:val="00113FAD"/>
    <w:rsid w:val="00114605"/>
    <w:rsid w:val="00114DA1"/>
    <w:rsid w:val="00114F6B"/>
    <w:rsid w:val="001151E1"/>
    <w:rsid w:val="0011562A"/>
    <w:rsid w:val="001157CA"/>
    <w:rsid w:val="00115965"/>
    <w:rsid w:val="00115982"/>
    <w:rsid w:val="00115C2C"/>
    <w:rsid w:val="00115D40"/>
    <w:rsid w:val="00115E0A"/>
    <w:rsid w:val="00115FDA"/>
    <w:rsid w:val="001166A8"/>
    <w:rsid w:val="00116C53"/>
    <w:rsid w:val="00116DAB"/>
    <w:rsid w:val="00116FD6"/>
    <w:rsid w:val="00117002"/>
    <w:rsid w:val="0011705B"/>
    <w:rsid w:val="00117873"/>
    <w:rsid w:val="00117D05"/>
    <w:rsid w:val="00117F73"/>
    <w:rsid w:val="001202CA"/>
    <w:rsid w:val="00120348"/>
    <w:rsid w:val="00120E7D"/>
    <w:rsid w:val="00120EFB"/>
    <w:rsid w:val="00121577"/>
    <w:rsid w:val="00121799"/>
    <w:rsid w:val="00121824"/>
    <w:rsid w:val="0012198A"/>
    <w:rsid w:val="001219B2"/>
    <w:rsid w:val="00121EF9"/>
    <w:rsid w:val="00122214"/>
    <w:rsid w:val="001222FC"/>
    <w:rsid w:val="001223D7"/>
    <w:rsid w:val="001226C2"/>
    <w:rsid w:val="00122B9F"/>
    <w:rsid w:val="00122CD1"/>
    <w:rsid w:val="00122E58"/>
    <w:rsid w:val="00122F05"/>
    <w:rsid w:val="00122FBD"/>
    <w:rsid w:val="00123038"/>
    <w:rsid w:val="001230A3"/>
    <w:rsid w:val="00123473"/>
    <w:rsid w:val="00123537"/>
    <w:rsid w:val="0012369C"/>
    <w:rsid w:val="00123902"/>
    <w:rsid w:val="00123B84"/>
    <w:rsid w:val="00124112"/>
    <w:rsid w:val="00124190"/>
    <w:rsid w:val="00124232"/>
    <w:rsid w:val="001243A9"/>
    <w:rsid w:val="00124634"/>
    <w:rsid w:val="00124694"/>
    <w:rsid w:val="0012470D"/>
    <w:rsid w:val="00124722"/>
    <w:rsid w:val="00124A51"/>
    <w:rsid w:val="00125096"/>
    <w:rsid w:val="00125BB6"/>
    <w:rsid w:val="00125BB9"/>
    <w:rsid w:val="00125FAA"/>
    <w:rsid w:val="00126621"/>
    <w:rsid w:val="00126B1D"/>
    <w:rsid w:val="00126B4A"/>
    <w:rsid w:val="00126C7A"/>
    <w:rsid w:val="00126DEB"/>
    <w:rsid w:val="00126E60"/>
    <w:rsid w:val="00126ECA"/>
    <w:rsid w:val="001270A1"/>
    <w:rsid w:val="001270C6"/>
    <w:rsid w:val="001276D1"/>
    <w:rsid w:val="00127A99"/>
    <w:rsid w:val="00130156"/>
    <w:rsid w:val="001301E9"/>
    <w:rsid w:val="0013043A"/>
    <w:rsid w:val="00130917"/>
    <w:rsid w:val="00131115"/>
    <w:rsid w:val="00131454"/>
    <w:rsid w:val="00131D82"/>
    <w:rsid w:val="0013202F"/>
    <w:rsid w:val="0013233F"/>
    <w:rsid w:val="001323D3"/>
    <w:rsid w:val="0013263B"/>
    <w:rsid w:val="00132981"/>
    <w:rsid w:val="00132AE9"/>
    <w:rsid w:val="00132B22"/>
    <w:rsid w:val="00132FF9"/>
    <w:rsid w:val="00133230"/>
    <w:rsid w:val="001334DD"/>
    <w:rsid w:val="0013369F"/>
    <w:rsid w:val="00133886"/>
    <w:rsid w:val="0013389A"/>
    <w:rsid w:val="00133D36"/>
    <w:rsid w:val="00133EDC"/>
    <w:rsid w:val="00134448"/>
    <w:rsid w:val="001347AF"/>
    <w:rsid w:val="00134B94"/>
    <w:rsid w:val="00134F23"/>
    <w:rsid w:val="00135210"/>
    <w:rsid w:val="00135363"/>
    <w:rsid w:val="00135375"/>
    <w:rsid w:val="0013547C"/>
    <w:rsid w:val="001354E1"/>
    <w:rsid w:val="0013550F"/>
    <w:rsid w:val="001358F5"/>
    <w:rsid w:val="00135ABE"/>
    <w:rsid w:val="00135B88"/>
    <w:rsid w:val="00135CE5"/>
    <w:rsid w:val="00135F45"/>
    <w:rsid w:val="001364A0"/>
    <w:rsid w:val="00136CFA"/>
    <w:rsid w:val="001375A0"/>
    <w:rsid w:val="00137645"/>
    <w:rsid w:val="00137DE0"/>
    <w:rsid w:val="0014015A"/>
    <w:rsid w:val="001404FD"/>
    <w:rsid w:val="00140663"/>
    <w:rsid w:val="00140743"/>
    <w:rsid w:val="00140C12"/>
    <w:rsid w:val="00140E99"/>
    <w:rsid w:val="00141127"/>
    <w:rsid w:val="00141662"/>
    <w:rsid w:val="00141B34"/>
    <w:rsid w:val="00141F40"/>
    <w:rsid w:val="00141F58"/>
    <w:rsid w:val="00142017"/>
    <w:rsid w:val="00142738"/>
    <w:rsid w:val="00142830"/>
    <w:rsid w:val="00142953"/>
    <w:rsid w:val="001431EC"/>
    <w:rsid w:val="0014394B"/>
    <w:rsid w:val="00143BA4"/>
    <w:rsid w:val="00143DE1"/>
    <w:rsid w:val="00143E23"/>
    <w:rsid w:val="00143F67"/>
    <w:rsid w:val="001444C0"/>
    <w:rsid w:val="00144AAF"/>
    <w:rsid w:val="00144C5B"/>
    <w:rsid w:val="00145234"/>
    <w:rsid w:val="00145540"/>
    <w:rsid w:val="001456B0"/>
    <w:rsid w:val="00145C1B"/>
    <w:rsid w:val="00145EEC"/>
    <w:rsid w:val="001462B0"/>
    <w:rsid w:val="00146956"/>
    <w:rsid w:val="00146E0B"/>
    <w:rsid w:val="0014706F"/>
    <w:rsid w:val="00147107"/>
    <w:rsid w:val="0014721D"/>
    <w:rsid w:val="001472EE"/>
    <w:rsid w:val="00147539"/>
    <w:rsid w:val="001477E6"/>
    <w:rsid w:val="00147932"/>
    <w:rsid w:val="00147994"/>
    <w:rsid w:val="00147AEB"/>
    <w:rsid w:val="00147D15"/>
    <w:rsid w:val="00147F04"/>
    <w:rsid w:val="001504CB"/>
    <w:rsid w:val="00150780"/>
    <w:rsid w:val="0015081C"/>
    <w:rsid w:val="001508B3"/>
    <w:rsid w:val="0015151A"/>
    <w:rsid w:val="00151640"/>
    <w:rsid w:val="00151722"/>
    <w:rsid w:val="00151855"/>
    <w:rsid w:val="00151E60"/>
    <w:rsid w:val="00152402"/>
    <w:rsid w:val="001526A0"/>
    <w:rsid w:val="00152B63"/>
    <w:rsid w:val="00152FA5"/>
    <w:rsid w:val="00153474"/>
    <w:rsid w:val="00153C67"/>
    <w:rsid w:val="00153C95"/>
    <w:rsid w:val="001540E0"/>
    <w:rsid w:val="00154432"/>
    <w:rsid w:val="001547AB"/>
    <w:rsid w:val="00155911"/>
    <w:rsid w:val="0015598E"/>
    <w:rsid w:val="00155A3E"/>
    <w:rsid w:val="00155AA8"/>
    <w:rsid w:val="00155CEC"/>
    <w:rsid w:val="00155D07"/>
    <w:rsid w:val="001564D8"/>
    <w:rsid w:val="00156D87"/>
    <w:rsid w:val="00156EDC"/>
    <w:rsid w:val="00156F8F"/>
    <w:rsid w:val="0015710A"/>
    <w:rsid w:val="00157130"/>
    <w:rsid w:val="001576B1"/>
    <w:rsid w:val="00157FCA"/>
    <w:rsid w:val="0016047B"/>
    <w:rsid w:val="001605FE"/>
    <w:rsid w:val="00160A4C"/>
    <w:rsid w:val="00160BD7"/>
    <w:rsid w:val="0016103D"/>
    <w:rsid w:val="00161278"/>
    <w:rsid w:val="001616EB"/>
    <w:rsid w:val="00161766"/>
    <w:rsid w:val="0016178D"/>
    <w:rsid w:val="001619EF"/>
    <w:rsid w:val="00162074"/>
    <w:rsid w:val="00162913"/>
    <w:rsid w:val="00162EDC"/>
    <w:rsid w:val="001630C6"/>
    <w:rsid w:val="0016318A"/>
    <w:rsid w:val="0016328E"/>
    <w:rsid w:val="0016394E"/>
    <w:rsid w:val="00163BCE"/>
    <w:rsid w:val="00163C48"/>
    <w:rsid w:val="00163EFF"/>
    <w:rsid w:val="00163F66"/>
    <w:rsid w:val="00164171"/>
    <w:rsid w:val="00164497"/>
    <w:rsid w:val="0016478E"/>
    <w:rsid w:val="001647E8"/>
    <w:rsid w:val="00165C4B"/>
    <w:rsid w:val="00165EC4"/>
    <w:rsid w:val="001661FB"/>
    <w:rsid w:val="00166F4C"/>
    <w:rsid w:val="001671A0"/>
    <w:rsid w:val="0016720C"/>
    <w:rsid w:val="001675CB"/>
    <w:rsid w:val="0016767F"/>
    <w:rsid w:val="00167C51"/>
    <w:rsid w:val="00167C76"/>
    <w:rsid w:val="00167EEF"/>
    <w:rsid w:val="0017010C"/>
    <w:rsid w:val="0017016C"/>
    <w:rsid w:val="00170303"/>
    <w:rsid w:val="00170517"/>
    <w:rsid w:val="00170B46"/>
    <w:rsid w:val="00170BA5"/>
    <w:rsid w:val="00170F12"/>
    <w:rsid w:val="00170F58"/>
    <w:rsid w:val="001711BE"/>
    <w:rsid w:val="0017122F"/>
    <w:rsid w:val="00171317"/>
    <w:rsid w:val="00171929"/>
    <w:rsid w:val="00171AA0"/>
    <w:rsid w:val="00171BB1"/>
    <w:rsid w:val="00171FDA"/>
    <w:rsid w:val="00172027"/>
    <w:rsid w:val="001721E0"/>
    <w:rsid w:val="00172327"/>
    <w:rsid w:val="00172FB4"/>
    <w:rsid w:val="0017302C"/>
    <w:rsid w:val="00173490"/>
    <w:rsid w:val="001734C1"/>
    <w:rsid w:val="00173565"/>
    <w:rsid w:val="00173B07"/>
    <w:rsid w:val="00173D3F"/>
    <w:rsid w:val="00173F48"/>
    <w:rsid w:val="001744B1"/>
    <w:rsid w:val="0017461D"/>
    <w:rsid w:val="00175075"/>
    <w:rsid w:val="001751B7"/>
    <w:rsid w:val="001751FA"/>
    <w:rsid w:val="0017551C"/>
    <w:rsid w:val="001756BB"/>
    <w:rsid w:val="00175A4D"/>
    <w:rsid w:val="001760EA"/>
    <w:rsid w:val="0017620F"/>
    <w:rsid w:val="001763FA"/>
    <w:rsid w:val="00176828"/>
    <w:rsid w:val="00176FB9"/>
    <w:rsid w:val="001770A4"/>
    <w:rsid w:val="001772E8"/>
    <w:rsid w:val="00177388"/>
    <w:rsid w:val="00177470"/>
    <w:rsid w:val="00177550"/>
    <w:rsid w:val="00177887"/>
    <w:rsid w:val="001779EC"/>
    <w:rsid w:val="00177D34"/>
    <w:rsid w:val="00177F8E"/>
    <w:rsid w:val="001801E8"/>
    <w:rsid w:val="0018035B"/>
    <w:rsid w:val="0018052E"/>
    <w:rsid w:val="00181217"/>
    <w:rsid w:val="00181875"/>
    <w:rsid w:val="00181A67"/>
    <w:rsid w:val="00181AF3"/>
    <w:rsid w:val="00181BFB"/>
    <w:rsid w:val="00181C10"/>
    <w:rsid w:val="00181D24"/>
    <w:rsid w:val="00181D9C"/>
    <w:rsid w:val="00182115"/>
    <w:rsid w:val="001821CB"/>
    <w:rsid w:val="001822CE"/>
    <w:rsid w:val="00182C11"/>
    <w:rsid w:val="00183006"/>
    <w:rsid w:val="00183214"/>
    <w:rsid w:val="001837FF"/>
    <w:rsid w:val="00183B96"/>
    <w:rsid w:val="00183CA0"/>
    <w:rsid w:val="00184272"/>
    <w:rsid w:val="00184387"/>
    <w:rsid w:val="00184497"/>
    <w:rsid w:val="001844D4"/>
    <w:rsid w:val="00184B0E"/>
    <w:rsid w:val="0018559D"/>
    <w:rsid w:val="00185621"/>
    <w:rsid w:val="00185820"/>
    <w:rsid w:val="001862A9"/>
    <w:rsid w:val="001869DD"/>
    <w:rsid w:val="00186A2A"/>
    <w:rsid w:val="00186EFF"/>
    <w:rsid w:val="00186F7B"/>
    <w:rsid w:val="00187143"/>
    <w:rsid w:val="0018752F"/>
    <w:rsid w:val="001879E6"/>
    <w:rsid w:val="00187DBF"/>
    <w:rsid w:val="00187F28"/>
    <w:rsid w:val="00190071"/>
    <w:rsid w:val="00190393"/>
    <w:rsid w:val="0019095B"/>
    <w:rsid w:val="0019171A"/>
    <w:rsid w:val="00191931"/>
    <w:rsid w:val="00191959"/>
    <w:rsid w:val="00192762"/>
    <w:rsid w:val="00192D01"/>
    <w:rsid w:val="00193480"/>
    <w:rsid w:val="00193837"/>
    <w:rsid w:val="00193838"/>
    <w:rsid w:val="001940C0"/>
    <w:rsid w:val="001940E6"/>
    <w:rsid w:val="001940EE"/>
    <w:rsid w:val="0019434A"/>
    <w:rsid w:val="001943B6"/>
    <w:rsid w:val="001946D0"/>
    <w:rsid w:val="00194AD8"/>
    <w:rsid w:val="00194FBD"/>
    <w:rsid w:val="00195222"/>
    <w:rsid w:val="00195452"/>
    <w:rsid w:val="00195960"/>
    <w:rsid w:val="00195E7C"/>
    <w:rsid w:val="00196077"/>
    <w:rsid w:val="00196178"/>
    <w:rsid w:val="001964B0"/>
    <w:rsid w:val="001968D4"/>
    <w:rsid w:val="001969EC"/>
    <w:rsid w:val="00196A7B"/>
    <w:rsid w:val="00196D97"/>
    <w:rsid w:val="0019723E"/>
    <w:rsid w:val="001975D8"/>
    <w:rsid w:val="001A0526"/>
    <w:rsid w:val="001A07DF"/>
    <w:rsid w:val="001A0B67"/>
    <w:rsid w:val="001A178E"/>
    <w:rsid w:val="001A1B90"/>
    <w:rsid w:val="001A1DC1"/>
    <w:rsid w:val="001A21E7"/>
    <w:rsid w:val="001A24BF"/>
    <w:rsid w:val="001A261C"/>
    <w:rsid w:val="001A284C"/>
    <w:rsid w:val="001A28B7"/>
    <w:rsid w:val="001A2A22"/>
    <w:rsid w:val="001A2B26"/>
    <w:rsid w:val="001A32DE"/>
    <w:rsid w:val="001A3956"/>
    <w:rsid w:val="001A3A23"/>
    <w:rsid w:val="001A3F0A"/>
    <w:rsid w:val="001A3FA9"/>
    <w:rsid w:val="001A426D"/>
    <w:rsid w:val="001A43C5"/>
    <w:rsid w:val="001A43FA"/>
    <w:rsid w:val="001A47C5"/>
    <w:rsid w:val="001A48C8"/>
    <w:rsid w:val="001A4F95"/>
    <w:rsid w:val="001A5206"/>
    <w:rsid w:val="001A59FB"/>
    <w:rsid w:val="001A5BA7"/>
    <w:rsid w:val="001A5E12"/>
    <w:rsid w:val="001A5E9E"/>
    <w:rsid w:val="001A61B6"/>
    <w:rsid w:val="001A6354"/>
    <w:rsid w:val="001A6366"/>
    <w:rsid w:val="001A64C5"/>
    <w:rsid w:val="001A6645"/>
    <w:rsid w:val="001A68F3"/>
    <w:rsid w:val="001A6A7E"/>
    <w:rsid w:val="001A6C71"/>
    <w:rsid w:val="001A6D11"/>
    <w:rsid w:val="001A6FB7"/>
    <w:rsid w:val="001A71D2"/>
    <w:rsid w:val="001A737F"/>
    <w:rsid w:val="001A74B3"/>
    <w:rsid w:val="001A7AE8"/>
    <w:rsid w:val="001A7DA4"/>
    <w:rsid w:val="001B0706"/>
    <w:rsid w:val="001B0A03"/>
    <w:rsid w:val="001B0AB7"/>
    <w:rsid w:val="001B1211"/>
    <w:rsid w:val="001B12A3"/>
    <w:rsid w:val="001B1551"/>
    <w:rsid w:val="001B1746"/>
    <w:rsid w:val="001B1958"/>
    <w:rsid w:val="001B1E25"/>
    <w:rsid w:val="001B204E"/>
    <w:rsid w:val="001B22B9"/>
    <w:rsid w:val="001B22DE"/>
    <w:rsid w:val="001B2372"/>
    <w:rsid w:val="001B24DA"/>
    <w:rsid w:val="001B2D9B"/>
    <w:rsid w:val="001B3384"/>
    <w:rsid w:val="001B3443"/>
    <w:rsid w:val="001B39FC"/>
    <w:rsid w:val="001B3B30"/>
    <w:rsid w:val="001B3E9B"/>
    <w:rsid w:val="001B43FD"/>
    <w:rsid w:val="001B4653"/>
    <w:rsid w:val="001B485E"/>
    <w:rsid w:val="001B4D20"/>
    <w:rsid w:val="001B4F74"/>
    <w:rsid w:val="001B56B6"/>
    <w:rsid w:val="001B579C"/>
    <w:rsid w:val="001B5BA5"/>
    <w:rsid w:val="001B5C20"/>
    <w:rsid w:val="001B5D90"/>
    <w:rsid w:val="001B5E2C"/>
    <w:rsid w:val="001B62DD"/>
    <w:rsid w:val="001B695B"/>
    <w:rsid w:val="001B71E6"/>
    <w:rsid w:val="001B753B"/>
    <w:rsid w:val="001B7E66"/>
    <w:rsid w:val="001B7F84"/>
    <w:rsid w:val="001C0020"/>
    <w:rsid w:val="001C0284"/>
    <w:rsid w:val="001C049E"/>
    <w:rsid w:val="001C06B9"/>
    <w:rsid w:val="001C075C"/>
    <w:rsid w:val="001C0A95"/>
    <w:rsid w:val="001C0C1B"/>
    <w:rsid w:val="001C10FA"/>
    <w:rsid w:val="001C2A9B"/>
    <w:rsid w:val="001C2B5A"/>
    <w:rsid w:val="001C2D55"/>
    <w:rsid w:val="001C2DE1"/>
    <w:rsid w:val="001C3163"/>
    <w:rsid w:val="001C355C"/>
    <w:rsid w:val="001C3DD6"/>
    <w:rsid w:val="001C4299"/>
    <w:rsid w:val="001C47C8"/>
    <w:rsid w:val="001C4874"/>
    <w:rsid w:val="001C499E"/>
    <w:rsid w:val="001C4AB3"/>
    <w:rsid w:val="001C4E80"/>
    <w:rsid w:val="001C4F1D"/>
    <w:rsid w:val="001C510F"/>
    <w:rsid w:val="001C522A"/>
    <w:rsid w:val="001C5258"/>
    <w:rsid w:val="001C527C"/>
    <w:rsid w:val="001C5687"/>
    <w:rsid w:val="001C56FE"/>
    <w:rsid w:val="001C5F94"/>
    <w:rsid w:val="001C60C6"/>
    <w:rsid w:val="001C6574"/>
    <w:rsid w:val="001C6A2D"/>
    <w:rsid w:val="001C6C10"/>
    <w:rsid w:val="001C6E66"/>
    <w:rsid w:val="001C6E8C"/>
    <w:rsid w:val="001C7B97"/>
    <w:rsid w:val="001C7C34"/>
    <w:rsid w:val="001C7C82"/>
    <w:rsid w:val="001D004A"/>
    <w:rsid w:val="001D0651"/>
    <w:rsid w:val="001D0686"/>
    <w:rsid w:val="001D0791"/>
    <w:rsid w:val="001D1043"/>
    <w:rsid w:val="001D106B"/>
    <w:rsid w:val="001D1100"/>
    <w:rsid w:val="001D111D"/>
    <w:rsid w:val="001D1391"/>
    <w:rsid w:val="001D1886"/>
    <w:rsid w:val="001D1CCF"/>
    <w:rsid w:val="001D1F3F"/>
    <w:rsid w:val="001D2023"/>
    <w:rsid w:val="001D2211"/>
    <w:rsid w:val="001D2251"/>
    <w:rsid w:val="001D2410"/>
    <w:rsid w:val="001D25D7"/>
    <w:rsid w:val="001D287F"/>
    <w:rsid w:val="001D2B6C"/>
    <w:rsid w:val="001D3382"/>
    <w:rsid w:val="001D3515"/>
    <w:rsid w:val="001D35A0"/>
    <w:rsid w:val="001D3B9B"/>
    <w:rsid w:val="001D41BA"/>
    <w:rsid w:val="001D46B5"/>
    <w:rsid w:val="001D4BFA"/>
    <w:rsid w:val="001D4E00"/>
    <w:rsid w:val="001D4FBA"/>
    <w:rsid w:val="001D50B2"/>
    <w:rsid w:val="001D5557"/>
    <w:rsid w:val="001D58B3"/>
    <w:rsid w:val="001D5F25"/>
    <w:rsid w:val="001D60BF"/>
    <w:rsid w:val="001D63C9"/>
    <w:rsid w:val="001D651A"/>
    <w:rsid w:val="001D674A"/>
    <w:rsid w:val="001D6871"/>
    <w:rsid w:val="001D6BE7"/>
    <w:rsid w:val="001D71F4"/>
    <w:rsid w:val="001D7415"/>
    <w:rsid w:val="001D75A5"/>
    <w:rsid w:val="001D7645"/>
    <w:rsid w:val="001D7BCA"/>
    <w:rsid w:val="001D7F01"/>
    <w:rsid w:val="001E0316"/>
    <w:rsid w:val="001E099B"/>
    <w:rsid w:val="001E09A3"/>
    <w:rsid w:val="001E0A57"/>
    <w:rsid w:val="001E0C1B"/>
    <w:rsid w:val="001E0F7F"/>
    <w:rsid w:val="001E137B"/>
    <w:rsid w:val="001E176C"/>
    <w:rsid w:val="001E1777"/>
    <w:rsid w:val="001E1D83"/>
    <w:rsid w:val="001E1E86"/>
    <w:rsid w:val="001E1F78"/>
    <w:rsid w:val="001E238E"/>
    <w:rsid w:val="001E2483"/>
    <w:rsid w:val="001E2B1E"/>
    <w:rsid w:val="001E2B34"/>
    <w:rsid w:val="001E2CFF"/>
    <w:rsid w:val="001E2F24"/>
    <w:rsid w:val="001E2FC7"/>
    <w:rsid w:val="001E30D4"/>
    <w:rsid w:val="001E3428"/>
    <w:rsid w:val="001E34DF"/>
    <w:rsid w:val="001E3511"/>
    <w:rsid w:val="001E367E"/>
    <w:rsid w:val="001E3738"/>
    <w:rsid w:val="001E391A"/>
    <w:rsid w:val="001E39CA"/>
    <w:rsid w:val="001E3F1F"/>
    <w:rsid w:val="001E4307"/>
    <w:rsid w:val="001E475C"/>
    <w:rsid w:val="001E484F"/>
    <w:rsid w:val="001E4B04"/>
    <w:rsid w:val="001E4B4E"/>
    <w:rsid w:val="001E4BF5"/>
    <w:rsid w:val="001E4CF9"/>
    <w:rsid w:val="001E52EB"/>
    <w:rsid w:val="001E5311"/>
    <w:rsid w:val="001E55A9"/>
    <w:rsid w:val="001E57C6"/>
    <w:rsid w:val="001E5E16"/>
    <w:rsid w:val="001E61D2"/>
    <w:rsid w:val="001E643F"/>
    <w:rsid w:val="001E6719"/>
    <w:rsid w:val="001E6FBD"/>
    <w:rsid w:val="001E740C"/>
    <w:rsid w:val="001E7AC4"/>
    <w:rsid w:val="001E7DC6"/>
    <w:rsid w:val="001E7EFF"/>
    <w:rsid w:val="001F0609"/>
    <w:rsid w:val="001F0960"/>
    <w:rsid w:val="001F0B0E"/>
    <w:rsid w:val="001F0D7E"/>
    <w:rsid w:val="001F0F90"/>
    <w:rsid w:val="001F1235"/>
    <w:rsid w:val="001F1675"/>
    <w:rsid w:val="001F1A88"/>
    <w:rsid w:val="001F1B3D"/>
    <w:rsid w:val="001F1C3C"/>
    <w:rsid w:val="001F1C6C"/>
    <w:rsid w:val="001F1CB3"/>
    <w:rsid w:val="001F204E"/>
    <w:rsid w:val="001F24C3"/>
    <w:rsid w:val="001F25FF"/>
    <w:rsid w:val="001F27E7"/>
    <w:rsid w:val="001F2AF5"/>
    <w:rsid w:val="001F2C40"/>
    <w:rsid w:val="001F2FBA"/>
    <w:rsid w:val="001F38B5"/>
    <w:rsid w:val="001F3922"/>
    <w:rsid w:val="001F3FAD"/>
    <w:rsid w:val="001F4081"/>
    <w:rsid w:val="001F4146"/>
    <w:rsid w:val="001F4ABB"/>
    <w:rsid w:val="001F4D7D"/>
    <w:rsid w:val="001F500E"/>
    <w:rsid w:val="001F522E"/>
    <w:rsid w:val="001F5456"/>
    <w:rsid w:val="001F5753"/>
    <w:rsid w:val="001F58C5"/>
    <w:rsid w:val="001F58FD"/>
    <w:rsid w:val="001F5BE5"/>
    <w:rsid w:val="001F5DC6"/>
    <w:rsid w:val="001F610C"/>
    <w:rsid w:val="001F6456"/>
    <w:rsid w:val="001F6722"/>
    <w:rsid w:val="001F734D"/>
    <w:rsid w:val="001F7361"/>
    <w:rsid w:val="001F75D9"/>
    <w:rsid w:val="001F7872"/>
    <w:rsid w:val="002000E2"/>
    <w:rsid w:val="00200F36"/>
    <w:rsid w:val="0020116D"/>
    <w:rsid w:val="002011B0"/>
    <w:rsid w:val="002012A9"/>
    <w:rsid w:val="00201801"/>
    <w:rsid w:val="00201A36"/>
    <w:rsid w:val="00202069"/>
    <w:rsid w:val="0020242C"/>
    <w:rsid w:val="00202ABB"/>
    <w:rsid w:val="00202CC9"/>
    <w:rsid w:val="00202FF7"/>
    <w:rsid w:val="00203181"/>
    <w:rsid w:val="00203783"/>
    <w:rsid w:val="0020385F"/>
    <w:rsid w:val="00203868"/>
    <w:rsid w:val="002042CF"/>
    <w:rsid w:val="002045AA"/>
    <w:rsid w:val="00204773"/>
    <w:rsid w:val="00204D1F"/>
    <w:rsid w:val="0020519D"/>
    <w:rsid w:val="002053FC"/>
    <w:rsid w:val="002055B0"/>
    <w:rsid w:val="002056AB"/>
    <w:rsid w:val="002058BB"/>
    <w:rsid w:val="002059B7"/>
    <w:rsid w:val="002060C8"/>
    <w:rsid w:val="00206417"/>
    <w:rsid w:val="00206881"/>
    <w:rsid w:val="002068A0"/>
    <w:rsid w:val="00207021"/>
    <w:rsid w:val="00207156"/>
    <w:rsid w:val="0020732F"/>
    <w:rsid w:val="002074A1"/>
    <w:rsid w:val="002077FF"/>
    <w:rsid w:val="00207AC6"/>
    <w:rsid w:val="00207D00"/>
    <w:rsid w:val="0021009A"/>
    <w:rsid w:val="002105C1"/>
    <w:rsid w:val="0021082E"/>
    <w:rsid w:val="00210EC7"/>
    <w:rsid w:val="002116FD"/>
    <w:rsid w:val="00211AA4"/>
    <w:rsid w:val="00211D4B"/>
    <w:rsid w:val="00212B25"/>
    <w:rsid w:val="00212B98"/>
    <w:rsid w:val="00213076"/>
    <w:rsid w:val="0021376F"/>
    <w:rsid w:val="002138B7"/>
    <w:rsid w:val="00213AB0"/>
    <w:rsid w:val="00213EF5"/>
    <w:rsid w:val="00214234"/>
    <w:rsid w:val="00214476"/>
    <w:rsid w:val="0021459E"/>
    <w:rsid w:val="0021476A"/>
    <w:rsid w:val="00214B72"/>
    <w:rsid w:val="00214FF2"/>
    <w:rsid w:val="0021535E"/>
    <w:rsid w:val="00215734"/>
    <w:rsid w:val="00215922"/>
    <w:rsid w:val="00215A0A"/>
    <w:rsid w:val="00215F7D"/>
    <w:rsid w:val="002160D4"/>
    <w:rsid w:val="00216265"/>
    <w:rsid w:val="002162FC"/>
    <w:rsid w:val="0021635C"/>
    <w:rsid w:val="00216BF5"/>
    <w:rsid w:val="00216F9B"/>
    <w:rsid w:val="00217452"/>
    <w:rsid w:val="00217570"/>
    <w:rsid w:val="00217B6C"/>
    <w:rsid w:val="00217D1F"/>
    <w:rsid w:val="002204A9"/>
    <w:rsid w:val="00220639"/>
    <w:rsid w:val="0022100B"/>
    <w:rsid w:val="00221732"/>
    <w:rsid w:val="00221A4D"/>
    <w:rsid w:val="00221FA0"/>
    <w:rsid w:val="0022208C"/>
    <w:rsid w:val="002220D3"/>
    <w:rsid w:val="00222425"/>
    <w:rsid w:val="00222862"/>
    <w:rsid w:val="002228EB"/>
    <w:rsid w:val="00222F24"/>
    <w:rsid w:val="00223125"/>
    <w:rsid w:val="0022321F"/>
    <w:rsid w:val="002232B6"/>
    <w:rsid w:val="00223B49"/>
    <w:rsid w:val="00223D5A"/>
    <w:rsid w:val="00223FAC"/>
    <w:rsid w:val="002242DE"/>
    <w:rsid w:val="0022491C"/>
    <w:rsid w:val="00224DD4"/>
    <w:rsid w:val="0022505F"/>
    <w:rsid w:val="0022514D"/>
    <w:rsid w:val="00225828"/>
    <w:rsid w:val="00225B08"/>
    <w:rsid w:val="00225DB2"/>
    <w:rsid w:val="00226074"/>
    <w:rsid w:val="00226214"/>
    <w:rsid w:val="00226890"/>
    <w:rsid w:val="00226B24"/>
    <w:rsid w:val="00226D71"/>
    <w:rsid w:val="00226FED"/>
    <w:rsid w:val="002278A0"/>
    <w:rsid w:val="0022798B"/>
    <w:rsid w:val="00227A28"/>
    <w:rsid w:val="00227B6A"/>
    <w:rsid w:val="0023041C"/>
    <w:rsid w:val="002309CC"/>
    <w:rsid w:val="002312FB"/>
    <w:rsid w:val="0023140D"/>
    <w:rsid w:val="00231621"/>
    <w:rsid w:val="00231BA9"/>
    <w:rsid w:val="00231C94"/>
    <w:rsid w:val="00231E75"/>
    <w:rsid w:val="00231EC2"/>
    <w:rsid w:val="0023209F"/>
    <w:rsid w:val="00232105"/>
    <w:rsid w:val="00232338"/>
    <w:rsid w:val="00232556"/>
    <w:rsid w:val="0023378F"/>
    <w:rsid w:val="00233BCA"/>
    <w:rsid w:val="00233C01"/>
    <w:rsid w:val="00233C49"/>
    <w:rsid w:val="002340E9"/>
    <w:rsid w:val="0023413C"/>
    <w:rsid w:val="002343EA"/>
    <w:rsid w:val="002346DC"/>
    <w:rsid w:val="002346F0"/>
    <w:rsid w:val="00234737"/>
    <w:rsid w:val="00234E73"/>
    <w:rsid w:val="00235619"/>
    <w:rsid w:val="00235C9B"/>
    <w:rsid w:val="00235EE4"/>
    <w:rsid w:val="0023629D"/>
    <w:rsid w:val="002364CA"/>
    <w:rsid w:val="00236DBF"/>
    <w:rsid w:val="00237116"/>
    <w:rsid w:val="00237199"/>
    <w:rsid w:val="00237255"/>
    <w:rsid w:val="0023733B"/>
    <w:rsid w:val="00237DE3"/>
    <w:rsid w:val="002400C4"/>
    <w:rsid w:val="002400F5"/>
    <w:rsid w:val="00240155"/>
    <w:rsid w:val="00240193"/>
    <w:rsid w:val="0024036B"/>
    <w:rsid w:val="002403E9"/>
    <w:rsid w:val="002404C1"/>
    <w:rsid w:val="00240B0C"/>
    <w:rsid w:val="00240D40"/>
    <w:rsid w:val="0024128E"/>
    <w:rsid w:val="00241356"/>
    <w:rsid w:val="002413C6"/>
    <w:rsid w:val="002415F1"/>
    <w:rsid w:val="00241821"/>
    <w:rsid w:val="0024187A"/>
    <w:rsid w:val="00241BF9"/>
    <w:rsid w:val="00241FD6"/>
    <w:rsid w:val="00242067"/>
    <w:rsid w:val="002420EC"/>
    <w:rsid w:val="0024231E"/>
    <w:rsid w:val="00242467"/>
    <w:rsid w:val="002424AF"/>
    <w:rsid w:val="00242AD7"/>
    <w:rsid w:val="002430DA"/>
    <w:rsid w:val="002439DC"/>
    <w:rsid w:val="00243B4E"/>
    <w:rsid w:val="00243C4B"/>
    <w:rsid w:val="00243CB2"/>
    <w:rsid w:val="00243F24"/>
    <w:rsid w:val="00244085"/>
    <w:rsid w:val="002441D2"/>
    <w:rsid w:val="002444FC"/>
    <w:rsid w:val="00244C77"/>
    <w:rsid w:val="00244D61"/>
    <w:rsid w:val="00244DC8"/>
    <w:rsid w:val="00244E78"/>
    <w:rsid w:val="00244F08"/>
    <w:rsid w:val="0024514E"/>
    <w:rsid w:val="002457B6"/>
    <w:rsid w:val="002458BA"/>
    <w:rsid w:val="0024599D"/>
    <w:rsid w:val="00245CE9"/>
    <w:rsid w:val="00245D21"/>
    <w:rsid w:val="00246230"/>
    <w:rsid w:val="0024636C"/>
    <w:rsid w:val="002465A0"/>
    <w:rsid w:val="00246F2D"/>
    <w:rsid w:val="002474A8"/>
    <w:rsid w:val="00247556"/>
    <w:rsid w:val="00247925"/>
    <w:rsid w:val="00247FA9"/>
    <w:rsid w:val="0025046C"/>
    <w:rsid w:val="00250583"/>
    <w:rsid w:val="002505B9"/>
    <w:rsid w:val="002507C5"/>
    <w:rsid w:val="002509A9"/>
    <w:rsid w:val="00250A87"/>
    <w:rsid w:val="00251006"/>
    <w:rsid w:val="00251401"/>
    <w:rsid w:val="002517EB"/>
    <w:rsid w:val="00252177"/>
    <w:rsid w:val="00252208"/>
    <w:rsid w:val="002524D5"/>
    <w:rsid w:val="00252E66"/>
    <w:rsid w:val="00252F36"/>
    <w:rsid w:val="002534B6"/>
    <w:rsid w:val="00253560"/>
    <w:rsid w:val="002536AF"/>
    <w:rsid w:val="002538D3"/>
    <w:rsid w:val="00253B1D"/>
    <w:rsid w:val="00253C83"/>
    <w:rsid w:val="00253D22"/>
    <w:rsid w:val="00254787"/>
    <w:rsid w:val="00254C96"/>
    <w:rsid w:val="00254DA5"/>
    <w:rsid w:val="00254DCF"/>
    <w:rsid w:val="00255102"/>
    <w:rsid w:val="002552C2"/>
    <w:rsid w:val="00255334"/>
    <w:rsid w:val="0025534B"/>
    <w:rsid w:val="00255859"/>
    <w:rsid w:val="0025598B"/>
    <w:rsid w:val="00255A8A"/>
    <w:rsid w:val="00255BB7"/>
    <w:rsid w:val="00255F1A"/>
    <w:rsid w:val="0025621D"/>
    <w:rsid w:val="00256545"/>
    <w:rsid w:val="00256842"/>
    <w:rsid w:val="00256946"/>
    <w:rsid w:val="00256E31"/>
    <w:rsid w:val="00256E71"/>
    <w:rsid w:val="00256E72"/>
    <w:rsid w:val="00257541"/>
    <w:rsid w:val="00257543"/>
    <w:rsid w:val="00257663"/>
    <w:rsid w:val="00257849"/>
    <w:rsid w:val="0025797D"/>
    <w:rsid w:val="00257A39"/>
    <w:rsid w:val="00257AC4"/>
    <w:rsid w:val="00257BBE"/>
    <w:rsid w:val="00257F2C"/>
    <w:rsid w:val="002602FA"/>
    <w:rsid w:val="002608CC"/>
    <w:rsid w:val="00260998"/>
    <w:rsid w:val="00260FA4"/>
    <w:rsid w:val="00260FB2"/>
    <w:rsid w:val="0026131D"/>
    <w:rsid w:val="00261760"/>
    <w:rsid w:val="00261C2B"/>
    <w:rsid w:val="00261C63"/>
    <w:rsid w:val="00261EEF"/>
    <w:rsid w:val="00262001"/>
    <w:rsid w:val="00262A1A"/>
    <w:rsid w:val="00262A87"/>
    <w:rsid w:val="00263337"/>
    <w:rsid w:val="0026345B"/>
    <w:rsid w:val="002637D9"/>
    <w:rsid w:val="00263B86"/>
    <w:rsid w:val="002642D4"/>
    <w:rsid w:val="00264413"/>
    <w:rsid w:val="002645B9"/>
    <w:rsid w:val="002647E1"/>
    <w:rsid w:val="00264830"/>
    <w:rsid w:val="00264B7A"/>
    <w:rsid w:val="00264D26"/>
    <w:rsid w:val="0026507D"/>
    <w:rsid w:val="0026556D"/>
    <w:rsid w:val="002655E2"/>
    <w:rsid w:val="00265FC0"/>
    <w:rsid w:val="002661B0"/>
    <w:rsid w:val="00266236"/>
    <w:rsid w:val="00266C40"/>
    <w:rsid w:val="00266CD1"/>
    <w:rsid w:val="00266DB2"/>
    <w:rsid w:val="00266FD2"/>
    <w:rsid w:val="00267642"/>
    <w:rsid w:val="00267AEA"/>
    <w:rsid w:val="00267C64"/>
    <w:rsid w:val="002700E6"/>
    <w:rsid w:val="00270315"/>
    <w:rsid w:val="00270659"/>
    <w:rsid w:val="00271244"/>
    <w:rsid w:val="0027160C"/>
    <w:rsid w:val="00271614"/>
    <w:rsid w:val="002718DA"/>
    <w:rsid w:val="002722AB"/>
    <w:rsid w:val="002724D5"/>
    <w:rsid w:val="002727FD"/>
    <w:rsid w:val="0027294B"/>
    <w:rsid w:val="00272E69"/>
    <w:rsid w:val="00273192"/>
    <w:rsid w:val="00273208"/>
    <w:rsid w:val="0027320E"/>
    <w:rsid w:val="0027370A"/>
    <w:rsid w:val="00273714"/>
    <w:rsid w:val="002738E5"/>
    <w:rsid w:val="00273919"/>
    <w:rsid w:val="00273C22"/>
    <w:rsid w:val="00273EB4"/>
    <w:rsid w:val="00274682"/>
    <w:rsid w:val="0027477E"/>
    <w:rsid w:val="00274880"/>
    <w:rsid w:val="00274EBD"/>
    <w:rsid w:val="00275158"/>
    <w:rsid w:val="002755B3"/>
    <w:rsid w:val="002759C4"/>
    <w:rsid w:val="00275B24"/>
    <w:rsid w:val="00275C5A"/>
    <w:rsid w:val="00276643"/>
    <w:rsid w:val="0027687A"/>
    <w:rsid w:val="002768AF"/>
    <w:rsid w:val="00276A62"/>
    <w:rsid w:val="00276AC3"/>
    <w:rsid w:val="00276D47"/>
    <w:rsid w:val="002779E4"/>
    <w:rsid w:val="00277D8E"/>
    <w:rsid w:val="00277F77"/>
    <w:rsid w:val="002802EE"/>
    <w:rsid w:val="002805E9"/>
    <w:rsid w:val="00280638"/>
    <w:rsid w:val="00280CE3"/>
    <w:rsid w:val="00280F95"/>
    <w:rsid w:val="00281014"/>
    <w:rsid w:val="002813E1"/>
    <w:rsid w:val="002815C4"/>
    <w:rsid w:val="00281ADF"/>
    <w:rsid w:val="00281D2E"/>
    <w:rsid w:val="00281E8E"/>
    <w:rsid w:val="002822E3"/>
    <w:rsid w:val="002823C2"/>
    <w:rsid w:val="00282850"/>
    <w:rsid w:val="00282B71"/>
    <w:rsid w:val="0028326A"/>
    <w:rsid w:val="00283479"/>
    <w:rsid w:val="00283884"/>
    <w:rsid w:val="00283A9B"/>
    <w:rsid w:val="00283AD5"/>
    <w:rsid w:val="00283F94"/>
    <w:rsid w:val="0028454D"/>
    <w:rsid w:val="00284D61"/>
    <w:rsid w:val="00284E06"/>
    <w:rsid w:val="00285452"/>
    <w:rsid w:val="00285843"/>
    <w:rsid w:val="0028592B"/>
    <w:rsid w:val="002859A8"/>
    <w:rsid w:val="00285BCE"/>
    <w:rsid w:val="00285D60"/>
    <w:rsid w:val="0028665D"/>
    <w:rsid w:val="00286DF8"/>
    <w:rsid w:val="00287137"/>
    <w:rsid w:val="00287162"/>
    <w:rsid w:val="00287267"/>
    <w:rsid w:val="00287AA5"/>
    <w:rsid w:val="00287CC8"/>
    <w:rsid w:val="00287E69"/>
    <w:rsid w:val="00287EC5"/>
    <w:rsid w:val="00287F2D"/>
    <w:rsid w:val="002902B2"/>
    <w:rsid w:val="0029089D"/>
    <w:rsid w:val="0029119C"/>
    <w:rsid w:val="002911A6"/>
    <w:rsid w:val="0029209F"/>
    <w:rsid w:val="00292570"/>
    <w:rsid w:val="002926EA"/>
    <w:rsid w:val="00292E1B"/>
    <w:rsid w:val="00292EB3"/>
    <w:rsid w:val="002931A0"/>
    <w:rsid w:val="0029327D"/>
    <w:rsid w:val="002936B9"/>
    <w:rsid w:val="00293787"/>
    <w:rsid w:val="002942F4"/>
    <w:rsid w:val="00294938"/>
    <w:rsid w:val="00294A8A"/>
    <w:rsid w:val="00294E4C"/>
    <w:rsid w:val="002950B9"/>
    <w:rsid w:val="002951F2"/>
    <w:rsid w:val="00295337"/>
    <w:rsid w:val="002958CC"/>
    <w:rsid w:val="00295E2D"/>
    <w:rsid w:val="0029635A"/>
    <w:rsid w:val="00296547"/>
    <w:rsid w:val="0029679A"/>
    <w:rsid w:val="002967BE"/>
    <w:rsid w:val="00297228"/>
    <w:rsid w:val="00297914"/>
    <w:rsid w:val="00297AD1"/>
    <w:rsid w:val="00297D2C"/>
    <w:rsid w:val="00297D59"/>
    <w:rsid w:val="002A054D"/>
    <w:rsid w:val="002A0679"/>
    <w:rsid w:val="002A0E8C"/>
    <w:rsid w:val="002A14AB"/>
    <w:rsid w:val="002A1639"/>
    <w:rsid w:val="002A22CE"/>
    <w:rsid w:val="002A24B0"/>
    <w:rsid w:val="002A24EF"/>
    <w:rsid w:val="002A27EF"/>
    <w:rsid w:val="002A294E"/>
    <w:rsid w:val="002A2ADE"/>
    <w:rsid w:val="002A2D5A"/>
    <w:rsid w:val="002A2F50"/>
    <w:rsid w:val="002A3A59"/>
    <w:rsid w:val="002A3DF6"/>
    <w:rsid w:val="002A3F44"/>
    <w:rsid w:val="002A4046"/>
    <w:rsid w:val="002A452A"/>
    <w:rsid w:val="002A49A1"/>
    <w:rsid w:val="002A4A2D"/>
    <w:rsid w:val="002A4D6A"/>
    <w:rsid w:val="002A5163"/>
    <w:rsid w:val="002A58C3"/>
    <w:rsid w:val="002A5B08"/>
    <w:rsid w:val="002A5E66"/>
    <w:rsid w:val="002A6091"/>
    <w:rsid w:val="002A6520"/>
    <w:rsid w:val="002A6901"/>
    <w:rsid w:val="002A69C4"/>
    <w:rsid w:val="002A6D37"/>
    <w:rsid w:val="002A6DB9"/>
    <w:rsid w:val="002A70E2"/>
    <w:rsid w:val="002A73B3"/>
    <w:rsid w:val="002A7504"/>
    <w:rsid w:val="002A7943"/>
    <w:rsid w:val="002B0024"/>
    <w:rsid w:val="002B00F7"/>
    <w:rsid w:val="002B05A1"/>
    <w:rsid w:val="002B09A4"/>
    <w:rsid w:val="002B0B48"/>
    <w:rsid w:val="002B166B"/>
    <w:rsid w:val="002B181F"/>
    <w:rsid w:val="002B1C1F"/>
    <w:rsid w:val="002B1C21"/>
    <w:rsid w:val="002B21D7"/>
    <w:rsid w:val="002B240E"/>
    <w:rsid w:val="002B28EA"/>
    <w:rsid w:val="002B2BD6"/>
    <w:rsid w:val="002B34B4"/>
    <w:rsid w:val="002B3AED"/>
    <w:rsid w:val="002B3D4B"/>
    <w:rsid w:val="002B4082"/>
    <w:rsid w:val="002B40BB"/>
    <w:rsid w:val="002B42BB"/>
    <w:rsid w:val="002B432F"/>
    <w:rsid w:val="002B450B"/>
    <w:rsid w:val="002B45B7"/>
    <w:rsid w:val="002B4850"/>
    <w:rsid w:val="002B49A3"/>
    <w:rsid w:val="002B4CE2"/>
    <w:rsid w:val="002B4FFB"/>
    <w:rsid w:val="002B5022"/>
    <w:rsid w:val="002B50C4"/>
    <w:rsid w:val="002B51F3"/>
    <w:rsid w:val="002B55FC"/>
    <w:rsid w:val="002B5753"/>
    <w:rsid w:val="002B57DE"/>
    <w:rsid w:val="002B61E6"/>
    <w:rsid w:val="002B62B3"/>
    <w:rsid w:val="002B63B5"/>
    <w:rsid w:val="002B63EA"/>
    <w:rsid w:val="002B6754"/>
    <w:rsid w:val="002B6813"/>
    <w:rsid w:val="002B6A28"/>
    <w:rsid w:val="002B6CCE"/>
    <w:rsid w:val="002B76D3"/>
    <w:rsid w:val="002C06F9"/>
    <w:rsid w:val="002C0FA7"/>
    <w:rsid w:val="002C152B"/>
    <w:rsid w:val="002C18D5"/>
    <w:rsid w:val="002C1B1F"/>
    <w:rsid w:val="002C1EDD"/>
    <w:rsid w:val="002C2510"/>
    <w:rsid w:val="002C2723"/>
    <w:rsid w:val="002C2775"/>
    <w:rsid w:val="002C27C1"/>
    <w:rsid w:val="002C2860"/>
    <w:rsid w:val="002C2885"/>
    <w:rsid w:val="002C3477"/>
    <w:rsid w:val="002C36E3"/>
    <w:rsid w:val="002C36ED"/>
    <w:rsid w:val="002C3769"/>
    <w:rsid w:val="002C4301"/>
    <w:rsid w:val="002C4566"/>
    <w:rsid w:val="002C45B0"/>
    <w:rsid w:val="002C4662"/>
    <w:rsid w:val="002C4CF4"/>
    <w:rsid w:val="002C4F93"/>
    <w:rsid w:val="002C5099"/>
    <w:rsid w:val="002C5331"/>
    <w:rsid w:val="002C5889"/>
    <w:rsid w:val="002C59BD"/>
    <w:rsid w:val="002C5B7D"/>
    <w:rsid w:val="002C5D89"/>
    <w:rsid w:val="002C67CA"/>
    <w:rsid w:val="002C6902"/>
    <w:rsid w:val="002C6B4A"/>
    <w:rsid w:val="002C6C6C"/>
    <w:rsid w:val="002C71CE"/>
    <w:rsid w:val="002C74CA"/>
    <w:rsid w:val="002C76C1"/>
    <w:rsid w:val="002C7921"/>
    <w:rsid w:val="002D05B1"/>
    <w:rsid w:val="002D08F8"/>
    <w:rsid w:val="002D104F"/>
    <w:rsid w:val="002D1449"/>
    <w:rsid w:val="002D1643"/>
    <w:rsid w:val="002D178F"/>
    <w:rsid w:val="002D184A"/>
    <w:rsid w:val="002D1AA2"/>
    <w:rsid w:val="002D2133"/>
    <w:rsid w:val="002D221C"/>
    <w:rsid w:val="002D2B82"/>
    <w:rsid w:val="002D2CA2"/>
    <w:rsid w:val="002D31B1"/>
    <w:rsid w:val="002D32BB"/>
    <w:rsid w:val="002D33A7"/>
    <w:rsid w:val="002D3671"/>
    <w:rsid w:val="002D36DD"/>
    <w:rsid w:val="002D3714"/>
    <w:rsid w:val="002D3855"/>
    <w:rsid w:val="002D3A5A"/>
    <w:rsid w:val="002D3B6F"/>
    <w:rsid w:val="002D3DE0"/>
    <w:rsid w:val="002D4E1B"/>
    <w:rsid w:val="002D5041"/>
    <w:rsid w:val="002D55E5"/>
    <w:rsid w:val="002D577C"/>
    <w:rsid w:val="002D5D7B"/>
    <w:rsid w:val="002D5E74"/>
    <w:rsid w:val="002D67C4"/>
    <w:rsid w:val="002D68A8"/>
    <w:rsid w:val="002D6BE9"/>
    <w:rsid w:val="002D6C3D"/>
    <w:rsid w:val="002D6FDA"/>
    <w:rsid w:val="002D749F"/>
    <w:rsid w:val="002D7832"/>
    <w:rsid w:val="002D7F84"/>
    <w:rsid w:val="002E0829"/>
    <w:rsid w:val="002E0C64"/>
    <w:rsid w:val="002E1071"/>
    <w:rsid w:val="002E12AA"/>
    <w:rsid w:val="002E15B9"/>
    <w:rsid w:val="002E16B4"/>
    <w:rsid w:val="002E187F"/>
    <w:rsid w:val="002E19A0"/>
    <w:rsid w:val="002E1B47"/>
    <w:rsid w:val="002E1D00"/>
    <w:rsid w:val="002E1FD5"/>
    <w:rsid w:val="002E213B"/>
    <w:rsid w:val="002E2158"/>
    <w:rsid w:val="002E2187"/>
    <w:rsid w:val="002E27AF"/>
    <w:rsid w:val="002E2878"/>
    <w:rsid w:val="002E289E"/>
    <w:rsid w:val="002E32CA"/>
    <w:rsid w:val="002E32E7"/>
    <w:rsid w:val="002E374C"/>
    <w:rsid w:val="002E3B60"/>
    <w:rsid w:val="002E3C7C"/>
    <w:rsid w:val="002E3C87"/>
    <w:rsid w:val="002E3DF8"/>
    <w:rsid w:val="002E3E4B"/>
    <w:rsid w:val="002E4239"/>
    <w:rsid w:val="002E4977"/>
    <w:rsid w:val="002E4F02"/>
    <w:rsid w:val="002E4FD1"/>
    <w:rsid w:val="002E5C6E"/>
    <w:rsid w:val="002E602F"/>
    <w:rsid w:val="002E69E1"/>
    <w:rsid w:val="002E69F8"/>
    <w:rsid w:val="002E6A7E"/>
    <w:rsid w:val="002E6D05"/>
    <w:rsid w:val="002E713F"/>
    <w:rsid w:val="002E7208"/>
    <w:rsid w:val="002E7583"/>
    <w:rsid w:val="002E75FF"/>
    <w:rsid w:val="002E76DB"/>
    <w:rsid w:val="002E7722"/>
    <w:rsid w:val="002E77DC"/>
    <w:rsid w:val="002E78B2"/>
    <w:rsid w:val="002E7BE9"/>
    <w:rsid w:val="002E7D52"/>
    <w:rsid w:val="002F0111"/>
    <w:rsid w:val="002F02B2"/>
    <w:rsid w:val="002F043F"/>
    <w:rsid w:val="002F07BA"/>
    <w:rsid w:val="002F0A85"/>
    <w:rsid w:val="002F0B33"/>
    <w:rsid w:val="002F0DA9"/>
    <w:rsid w:val="002F1014"/>
    <w:rsid w:val="002F1073"/>
    <w:rsid w:val="002F1151"/>
    <w:rsid w:val="002F1227"/>
    <w:rsid w:val="002F16B9"/>
    <w:rsid w:val="002F170F"/>
    <w:rsid w:val="002F1DCC"/>
    <w:rsid w:val="002F1E3B"/>
    <w:rsid w:val="002F239B"/>
    <w:rsid w:val="002F264C"/>
    <w:rsid w:val="002F2710"/>
    <w:rsid w:val="002F2B8F"/>
    <w:rsid w:val="002F2CBC"/>
    <w:rsid w:val="002F2FF4"/>
    <w:rsid w:val="002F3A0A"/>
    <w:rsid w:val="002F4091"/>
    <w:rsid w:val="002F4298"/>
    <w:rsid w:val="002F4514"/>
    <w:rsid w:val="002F4703"/>
    <w:rsid w:val="002F4941"/>
    <w:rsid w:val="002F495D"/>
    <w:rsid w:val="002F4A71"/>
    <w:rsid w:val="002F4CE2"/>
    <w:rsid w:val="002F50F7"/>
    <w:rsid w:val="002F551D"/>
    <w:rsid w:val="002F5A13"/>
    <w:rsid w:val="002F5D67"/>
    <w:rsid w:val="002F643C"/>
    <w:rsid w:val="002F71C0"/>
    <w:rsid w:val="002F72E9"/>
    <w:rsid w:val="002F74F1"/>
    <w:rsid w:val="002F74FB"/>
    <w:rsid w:val="002F7983"/>
    <w:rsid w:val="002F7DCF"/>
    <w:rsid w:val="002F7E93"/>
    <w:rsid w:val="003000F4"/>
    <w:rsid w:val="0030038B"/>
    <w:rsid w:val="00300771"/>
    <w:rsid w:val="0030088D"/>
    <w:rsid w:val="00300AA4"/>
    <w:rsid w:val="00300F7D"/>
    <w:rsid w:val="00301017"/>
    <w:rsid w:val="00301033"/>
    <w:rsid w:val="003011B4"/>
    <w:rsid w:val="00301300"/>
    <w:rsid w:val="003014A9"/>
    <w:rsid w:val="0030155F"/>
    <w:rsid w:val="00301A58"/>
    <w:rsid w:val="003022A5"/>
    <w:rsid w:val="00302B71"/>
    <w:rsid w:val="00302CD4"/>
    <w:rsid w:val="00303125"/>
    <w:rsid w:val="00303787"/>
    <w:rsid w:val="00303BD1"/>
    <w:rsid w:val="00304A7A"/>
    <w:rsid w:val="00304B3D"/>
    <w:rsid w:val="00304EF1"/>
    <w:rsid w:val="003053F6"/>
    <w:rsid w:val="003054F6"/>
    <w:rsid w:val="0030579B"/>
    <w:rsid w:val="0030587B"/>
    <w:rsid w:val="00306301"/>
    <w:rsid w:val="003063A0"/>
    <w:rsid w:val="0030641F"/>
    <w:rsid w:val="003064EA"/>
    <w:rsid w:val="00306802"/>
    <w:rsid w:val="00306AF2"/>
    <w:rsid w:val="00306D98"/>
    <w:rsid w:val="00306E5E"/>
    <w:rsid w:val="00307076"/>
    <w:rsid w:val="003072A7"/>
    <w:rsid w:val="003072B9"/>
    <w:rsid w:val="003074FC"/>
    <w:rsid w:val="0030769C"/>
    <w:rsid w:val="003076AB"/>
    <w:rsid w:val="0030786C"/>
    <w:rsid w:val="00307FF5"/>
    <w:rsid w:val="0031031A"/>
    <w:rsid w:val="0031031C"/>
    <w:rsid w:val="0031082D"/>
    <w:rsid w:val="00310849"/>
    <w:rsid w:val="003108C7"/>
    <w:rsid w:val="00310981"/>
    <w:rsid w:val="00310997"/>
    <w:rsid w:val="00310B27"/>
    <w:rsid w:val="003110FA"/>
    <w:rsid w:val="003113AB"/>
    <w:rsid w:val="0031163F"/>
    <w:rsid w:val="0031182B"/>
    <w:rsid w:val="00311833"/>
    <w:rsid w:val="00311D9B"/>
    <w:rsid w:val="00312217"/>
    <w:rsid w:val="003122D2"/>
    <w:rsid w:val="003124D9"/>
    <w:rsid w:val="00312594"/>
    <w:rsid w:val="00312E90"/>
    <w:rsid w:val="003132F0"/>
    <w:rsid w:val="003133DF"/>
    <w:rsid w:val="00313A28"/>
    <w:rsid w:val="00313F4C"/>
    <w:rsid w:val="00314027"/>
    <w:rsid w:val="003141A2"/>
    <w:rsid w:val="003144DE"/>
    <w:rsid w:val="00314E55"/>
    <w:rsid w:val="00315498"/>
    <w:rsid w:val="003155F3"/>
    <w:rsid w:val="00315A78"/>
    <w:rsid w:val="00315A97"/>
    <w:rsid w:val="00315C2C"/>
    <w:rsid w:val="00315C77"/>
    <w:rsid w:val="00315E35"/>
    <w:rsid w:val="00315FBB"/>
    <w:rsid w:val="00316111"/>
    <w:rsid w:val="0031618F"/>
    <w:rsid w:val="00316430"/>
    <w:rsid w:val="00316474"/>
    <w:rsid w:val="00316774"/>
    <w:rsid w:val="003170C3"/>
    <w:rsid w:val="0031722A"/>
    <w:rsid w:val="003174DD"/>
    <w:rsid w:val="00317A76"/>
    <w:rsid w:val="00317B18"/>
    <w:rsid w:val="00317BB3"/>
    <w:rsid w:val="00317C93"/>
    <w:rsid w:val="003201A3"/>
    <w:rsid w:val="003201EA"/>
    <w:rsid w:val="00320A1D"/>
    <w:rsid w:val="00320AED"/>
    <w:rsid w:val="00320B7D"/>
    <w:rsid w:val="00320E53"/>
    <w:rsid w:val="00320E76"/>
    <w:rsid w:val="0032163E"/>
    <w:rsid w:val="00321680"/>
    <w:rsid w:val="00321836"/>
    <w:rsid w:val="003218FC"/>
    <w:rsid w:val="0032197E"/>
    <w:rsid w:val="00321AD9"/>
    <w:rsid w:val="00321DBB"/>
    <w:rsid w:val="00321E92"/>
    <w:rsid w:val="00322107"/>
    <w:rsid w:val="0032212C"/>
    <w:rsid w:val="003221A2"/>
    <w:rsid w:val="0032230A"/>
    <w:rsid w:val="00322352"/>
    <w:rsid w:val="00322355"/>
    <w:rsid w:val="00322499"/>
    <w:rsid w:val="00322846"/>
    <w:rsid w:val="00322D58"/>
    <w:rsid w:val="0032300B"/>
    <w:rsid w:val="003230D6"/>
    <w:rsid w:val="00323146"/>
    <w:rsid w:val="0032320F"/>
    <w:rsid w:val="003235C0"/>
    <w:rsid w:val="00323864"/>
    <w:rsid w:val="00323EDD"/>
    <w:rsid w:val="003240E3"/>
    <w:rsid w:val="00324182"/>
    <w:rsid w:val="0032419A"/>
    <w:rsid w:val="003243AB"/>
    <w:rsid w:val="0032449F"/>
    <w:rsid w:val="00324522"/>
    <w:rsid w:val="0032470E"/>
    <w:rsid w:val="0032485F"/>
    <w:rsid w:val="00324865"/>
    <w:rsid w:val="0032517D"/>
    <w:rsid w:val="00325207"/>
    <w:rsid w:val="003256B3"/>
    <w:rsid w:val="00325AE5"/>
    <w:rsid w:val="00325B1A"/>
    <w:rsid w:val="00325E0F"/>
    <w:rsid w:val="00325E53"/>
    <w:rsid w:val="003267DC"/>
    <w:rsid w:val="00326870"/>
    <w:rsid w:val="00326A97"/>
    <w:rsid w:val="00326DA7"/>
    <w:rsid w:val="0032708C"/>
    <w:rsid w:val="003270CC"/>
    <w:rsid w:val="003270E4"/>
    <w:rsid w:val="003271D0"/>
    <w:rsid w:val="00327510"/>
    <w:rsid w:val="00327AAF"/>
    <w:rsid w:val="00327D81"/>
    <w:rsid w:val="00330070"/>
    <w:rsid w:val="00330083"/>
    <w:rsid w:val="00330271"/>
    <w:rsid w:val="00330841"/>
    <w:rsid w:val="003309DB"/>
    <w:rsid w:val="00330DAA"/>
    <w:rsid w:val="00330F5C"/>
    <w:rsid w:val="003310FE"/>
    <w:rsid w:val="00331376"/>
    <w:rsid w:val="003313C7"/>
    <w:rsid w:val="003314F1"/>
    <w:rsid w:val="00331C3A"/>
    <w:rsid w:val="00331E08"/>
    <w:rsid w:val="00331F86"/>
    <w:rsid w:val="0033214D"/>
    <w:rsid w:val="00332736"/>
    <w:rsid w:val="00332A00"/>
    <w:rsid w:val="0033301A"/>
    <w:rsid w:val="003336F2"/>
    <w:rsid w:val="0033398E"/>
    <w:rsid w:val="00333B29"/>
    <w:rsid w:val="00333D7B"/>
    <w:rsid w:val="0033406B"/>
    <w:rsid w:val="003340B6"/>
    <w:rsid w:val="003345A2"/>
    <w:rsid w:val="003347F4"/>
    <w:rsid w:val="003349F0"/>
    <w:rsid w:val="00334B30"/>
    <w:rsid w:val="00334C05"/>
    <w:rsid w:val="00334DDF"/>
    <w:rsid w:val="00335186"/>
    <w:rsid w:val="0033599D"/>
    <w:rsid w:val="00335A25"/>
    <w:rsid w:val="00335B90"/>
    <w:rsid w:val="00335C38"/>
    <w:rsid w:val="00335C40"/>
    <w:rsid w:val="003362B3"/>
    <w:rsid w:val="003366C9"/>
    <w:rsid w:val="003366F5"/>
    <w:rsid w:val="003367D4"/>
    <w:rsid w:val="00336FDE"/>
    <w:rsid w:val="003371B0"/>
    <w:rsid w:val="003374E5"/>
    <w:rsid w:val="0033796C"/>
    <w:rsid w:val="00337A82"/>
    <w:rsid w:val="00340049"/>
    <w:rsid w:val="00340A41"/>
    <w:rsid w:val="00340B9C"/>
    <w:rsid w:val="00340BEA"/>
    <w:rsid w:val="00340D49"/>
    <w:rsid w:val="00340DF1"/>
    <w:rsid w:val="00341472"/>
    <w:rsid w:val="0034171F"/>
    <w:rsid w:val="00341B96"/>
    <w:rsid w:val="00341BCF"/>
    <w:rsid w:val="00341EB8"/>
    <w:rsid w:val="00341F50"/>
    <w:rsid w:val="00341FEF"/>
    <w:rsid w:val="003421E1"/>
    <w:rsid w:val="003426F6"/>
    <w:rsid w:val="00342801"/>
    <w:rsid w:val="0034331A"/>
    <w:rsid w:val="0034344E"/>
    <w:rsid w:val="003438BB"/>
    <w:rsid w:val="00343BF2"/>
    <w:rsid w:val="003440B9"/>
    <w:rsid w:val="00344337"/>
    <w:rsid w:val="0034489E"/>
    <w:rsid w:val="003448CA"/>
    <w:rsid w:val="00344D81"/>
    <w:rsid w:val="00345250"/>
    <w:rsid w:val="003454AF"/>
    <w:rsid w:val="0034587D"/>
    <w:rsid w:val="00345B6A"/>
    <w:rsid w:val="00345C2C"/>
    <w:rsid w:val="00345D3F"/>
    <w:rsid w:val="00345D4A"/>
    <w:rsid w:val="00346023"/>
    <w:rsid w:val="003463EC"/>
    <w:rsid w:val="003464DD"/>
    <w:rsid w:val="003465F2"/>
    <w:rsid w:val="003469AD"/>
    <w:rsid w:val="00346F3B"/>
    <w:rsid w:val="00347769"/>
    <w:rsid w:val="00347951"/>
    <w:rsid w:val="00347ADE"/>
    <w:rsid w:val="00350590"/>
    <w:rsid w:val="003505A3"/>
    <w:rsid w:val="00350C8E"/>
    <w:rsid w:val="00351159"/>
    <w:rsid w:val="00351462"/>
    <w:rsid w:val="0035158E"/>
    <w:rsid w:val="003517E3"/>
    <w:rsid w:val="003517F9"/>
    <w:rsid w:val="00351869"/>
    <w:rsid w:val="003519B5"/>
    <w:rsid w:val="00351BA9"/>
    <w:rsid w:val="00351E4A"/>
    <w:rsid w:val="003520FF"/>
    <w:rsid w:val="00352494"/>
    <w:rsid w:val="003533D6"/>
    <w:rsid w:val="00353C01"/>
    <w:rsid w:val="00354296"/>
    <w:rsid w:val="003548B0"/>
    <w:rsid w:val="00354F64"/>
    <w:rsid w:val="00355029"/>
    <w:rsid w:val="0035515F"/>
    <w:rsid w:val="003551BE"/>
    <w:rsid w:val="00355230"/>
    <w:rsid w:val="0035558D"/>
    <w:rsid w:val="003556D8"/>
    <w:rsid w:val="00355813"/>
    <w:rsid w:val="003559D5"/>
    <w:rsid w:val="00355A79"/>
    <w:rsid w:val="00355E25"/>
    <w:rsid w:val="00355FC3"/>
    <w:rsid w:val="0035620E"/>
    <w:rsid w:val="003567AF"/>
    <w:rsid w:val="00356884"/>
    <w:rsid w:val="00356951"/>
    <w:rsid w:val="00356A5A"/>
    <w:rsid w:val="00356B6C"/>
    <w:rsid w:val="0035720E"/>
    <w:rsid w:val="003573A9"/>
    <w:rsid w:val="003575BE"/>
    <w:rsid w:val="00357BEF"/>
    <w:rsid w:val="00357C5F"/>
    <w:rsid w:val="00357E61"/>
    <w:rsid w:val="00360048"/>
    <w:rsid w:val="00360345"/>
    <w:rsid w:val="0036102B"/>
    <w:rsid w:val="003613BB"/>
    <w:rsid w:val="0036193B"/>
    <w:rsid w:val="00361A05"/>
    <w:rsid w:val="00361FF6"/>
    <w:rsid w:val="003624C4"/>
    <w:rsid w:val="003626E1"/>
    <w:rsid w:val="003627A4"/>
    <w:rsid w:val="00362D92"/>
    <w:rsid w:val="00363015"/>
    <w:rsid w:val="0036333E"/>
    <w:rsid w:val="00363617"/>
    <w:rsid w:val="003638CD"/>
    <w:rsid w:val="00363B00"/>
    <w:rsid w:val="00363BF0"/>
    <w:rsid w:val="00363DAD"/>
    <w:rsid w:val="00363FB8"/>
    <w:rsid w:val="00364458"/>
    <w:rsid w:val="003645C0"/>
    <w:rsid w:val="00364765"/>
    <w:rsid w:val="00364CA1"/>
    <w:rsid w:val="00364F68"/>
    <w:rsid w:val="0036539F"/>
    <w:rsid w:val="003654AC"/>
    <w:rsid w:val="003654FE"/>
    <w:rsid w:val="003656BA"/>
    <w:rsid w:val="0036571D"/>
    <w:rsid w:val="00365B60"/>
    <w:rsid w:val="00366075"/>
    <w:rsid w:val="003662ED"/>
    <w:rsid w:val="00366745"/>
    <w:rsid w:val="00366A40"/>
    <w:rsid w:val="00366CC5"/>
    <w:rsid w:val="003671C5"/>
    <w:rsid w:val="0036724D"/>
    <w:rsid w:val="0036741A"/>
    <w:rsid w:val="0036799A"/>
    <w:rsid w:val="00367C8F"/>
    <w:rsid w:val="00367E48"/>
    <w:rsid w:val="00367EE8"/>
    <w:rsid w:val="00370811"/>
    <w:rsid w:val="003709A2"/>
    <w:rsid w:val="00370C8E"/>
    <w:rsid w:val="003710CF"/>
    <w:rsid w:val="003714EE"/>
    <w:rsid w:val="00371A10"/>
    <w:rsid w:val="00371E3B"/>
    <w:rsid w:val="00371FA4"/>
    <w:rsid w:val="003720F5"/>
    <w:rsid w:val="0037283A"/>
    <w:rsid w:val="003732AE"/>
    <w:rsid w:val="0037358A"/>
    <w:rsid w:val="003736F8"/>
    <w:rsid w:val="00373708"/>
    <w:rsid w:val="003737AB"/>
    <w:rsid w:val="00374F0C"/>
    <w:rsid w:val="003750F6"/>
    <w:rsid w:val="00375269"/>
    <w:rsid w:val="0037551C"/>
    <w:rsid w:val="003757DE"/>
    <w:rsid w:val="003759BA"/>
    <w:rsid w:val="00375C6D"/>
    <w:rsid w:val="003760FC"/>
    <w:rsid w:val="003765C6"/>
    <w:rsid w:val="00376641"/>
    <w:rsid w:val="00376681"/>
    <w:rsid w:val="003766A2"/>
    <w:rsid w:val="00376EC9"/>
    <w:rsid w:val="00377014"/>
    <w:rsid w:val="00377307"/>
    <w:rsid w:val="00377C8F"/>
    <w:rsid w:val="00377E28"/>
    <w:rsid w:val="0038001C"/>
    <w:rsid w:val="003801B7"/>
    <w:rsid w:val="003803C5"/>
    <w:rsid w:val="003804CA"/>
    <w:rsid w:val="00380928"/>
    <w:rsid w:val="003809BD"/>
    <w:rsid w:val="00380B33"/>
    <w:rsid w:val="00380DC2"/>
    <w:rsid w:val="00381480"/>
    <w:rsid w:val="00381616"/>
    <w:rsid w:val="003817C9"/>
    <w:rsid w:val="00381A4C"/>
    <w:rsid w:val="00381CD0"/>
    <w:rsid w:val="00381E0E"/>
    <w:rsid w:val="0038230B"/>
    <w:rsid w:val="00382AD0"/>
    <w:rsid w:val="00383264"/>
    <w:rsid w:val="0038342C"/>
    <w:rsid w:val="0038365C"/>
    <w:rsid w:val="0038369B"/>
    <w:rsid w:val="003837E1"/>
    <w:rsid w:val="00383B78"/>
    <w:rsid w:val="00383EB6"/>
    <w:rsid w:val="00384090"/>
    <w:rsid w:val="00384A1C"/>
    <w:rsid w:val="00384C08"/>
    <w:rsid w:val="00384E93"/>
    <w:rsid w:val="00384F50"/>
    <w:rsid w:val="003851D2"/>
    <w:rsid w:val="003853D9"/>
    <w:rsid w:val="003858F5"/>
    <w:rsid w:val="00385A9D"/>
    <w:rsid w:val="00385DAE"/>
    <w:rsid w:val="00385E60"/>
    <w:rsid w:val="00386364"/>
    <w:rsid w:val="003863B6"/>
    <w:rsid w:val="0038676C"/>
    <w:rsid w:val="00386BBE"/>
    <w:rsid w:val="00386D9B"/>
    <w:rsid w:val="00386FB5"/>
    <w:rsid w:val="00387121"/>
    <w:rsid w:val="00387407"/>
    <w:rsid w:val="003874C5"/>
    <w:rsid w:val="00387C70"/>
    <w:rsid w:val="003902B1"/>
    <w:rsid w:val="003904FD"/>
    <w:rsid w:val="0039065F"/>
    <w:rsid w:val="003909F9"/>
    <w:rsid w:val="00390B37"/>
    <w:rsid w:val="00390C13"/>
    <w:rsid w:val="0039101C"/>
    <w:rsid w:val="00391361"/>
    <w:rsid w:val="003913F6"/>
    <w:rsid w:val="00391787"/>
    <w:rsid w:val="0039179C"/>
    <w:rsid w:val="003921A6"/>
    <w:rsid w:val="00392C54"/>
    <w:rsid w:val="00393075"/>
    <w:rsid w:val="0039318A"/>
    <w:rsid w:val="0039352F"/>
    <w:rsid w:val="00393BF8"/>
    <w:rsid w:val="00393C33"/>
    <w:rsid w:val="00393EF2"/>
    <w:rsid w:val="00393F2E"/>
    <w:rsid w:val="0039436A"/>
    <w:rsid w:val="00394645"/>
    <w:rsid w:val="00394EBA"/>
    <w:rsid w:val="00394F83"/>
    <w:rsid w:val="00394FC7"/>
    <w:rsid w:val="00395666"/>
    <w:rsid w:val="00395CE8"/>
    <w:rsid w:val="00396896"/>
    <w:rsid w:val="00396FD0"/>
    <w:rsid w:val="003972EA"/>
    <w:rsid w:val="003977E0"/>
    <w:rsid w:val="00397946"/>
    <w:rsid w:val="003A0006"/>
    <w:rsid w:val="003A02DC"/>
    <w:rsid w:val="003A0706"/>
    <w:rsid w:val="003A073D"/>
    <w:rsid w:val="003A0775"/>
    <w:rsid w:val="003A083B"/>
    <w:rsid w:val="003A09B5"/>
    <w:rsid w:val="003A0C7C"/>
    <w:rsid w:val="003A0D6F"/>
    <w:rsid w:val="003A1061"/>
    <w:rsid w:val="003A1776"/>
    <w:rsid w:val="003A1946"/>
    <w:rsid w:val="003A1A7A"/>
    <w:rsid w:val="003A1CB9"/>
    <w:rsid w:val="003A1E09"/>
    <w:rsid w:val="003A1E5E"/>
    <w:rsid w:val="003A1FB6"/>
    <w:rsid w:val="003A2309"/>
    <w:rsid w:val="003A2392"/>
    <w:rsid w:val="003A241F"/>
    <w:rsid w:val="003A242A"/>
    <w:rsid w:val="003A2831"/>
    <w:rsid w:val="003A28BF"/>
    <w:rsid w:val="003A2C1A"/>
    <w:rsid w:val="003A2CEB"/>
    <w:rsid w:val="003A2E75"/>
    <w:rsid w:val="003A3ADD"/>
    <w:rsid w:val="003A3CB6"/>
    <w:rsid w:val="003A3ED1"/>
    <w:rsid w:val="003A419E"/>
    <w:rsid w:val="003A44DB"/>
    <w:rsid w:val="003A46F5"/>
    <w:rsid w:val="003A4813"/>
    <w:rsid w:val="003A4C14"/>
    <w:rsid w:val="003A4FC4"/>
    <w:rsid w:val="003A4FC8"/>
    <w:rsid w:val="003A51A3"/>
    <w:rsid w:val="003A51DB"/>
    <w:rsid w:val="003A5632"/>
    <w:rsid w:val="003A577B"/>
    <w:rsid w:val="003A5E89"/>
    <w:rsid w:val="003A603A"/>
    <w:rsid w:val="003A628F"/>
    <w:rsid w:val="003A6444"/>
    <w:rsid w:val="003A6A69"/>
    <w:rsid w:val="003A6A76"/>
    <w:rsid w:val="003A6A7E"/>
    <w:rsid w:val="003A6DA0"/>
    <w:rsid w:val="003A7040"/>
    <w:rsid w:val="003A73C7"/>
    <w:rsid w:val="003A7915"/>
    <w:rsid w:val="003A795C"/>
    <w:rsid w:val="003A7F93"/>
    <w:rsid w:val="003B0950"/>
    <w:rsid w:val="003B1024"/>
    <w:rsid w:val="003B10F1"/>
    <w:rsid w:val="003B146D"/>
    <w:rsid w:val="003B19FE"/>
    <w:rsid w:val="003B308C"/>
    <w:rsid w:val="003B329A"/>
    <w:rsid w:val="003B3442"/>
    <w:rsid w:val="003B3926"/>
    <w:rsid w:val="003B395A"/>
    <w:rsid w:val="003B395B"/>
    <w:rsid w:val="003B3971"/>
    <w:rsid w:val="003B4225"/>
    <w:rsid w:val="003B48E2"/>
    <w:rsid w:val="003B4A3C"/>
    <w:rsid w:val="003B4F9D"/>
    <w:rsid w:val="003B505C"/>
    <w:rsid w:val="003B5422"/>
    <w:rsid w:val="003B556E"/>
    <w:rsid w:val="003B55D1"/>
    <w:rsid w:val="003B5610"/>
    <w:rsid w:val="003B56FE"/>
    <w:rsid w:val="003B5B61"/>
    <w:rsid w:val="003B5FA8"/>
    <w:rsid w:val="003B6D29"/>
    <w:rsid w:val="003B7337"/>
    <w:rsid w:val="003B758F"/>
    <w:rsid w:val="003B7981"/>
    <w:rsid w:val="003B79FE"/>
    <w:rsid w:val="003B7F1F"/>
    <w:rsid w:val="003B7F27"/>
    <w:rsid w:val="003C0160"/>
    <w:rsid w:val="003C05B0"/>
    <w:rsid w:val="003C0665"/>
    <w:rsid w:val="003C06AB"/>
    <w:rsid w:val="003C123E"/>
    <w:rsid w:val="003C1353"/>
    <w:rsid w:val="003C1654"/>
    <w:rsid w:val="003C1D61"/>
    <w:rsid w:val="003C1E78"/>
    <w:rsid w:val="003C26F0"/>
    <w:rsid w:val="003C2DA5"/>
    <w:rsid w:val="003C2DE9"/>
    <w:rsid w:val="003C37FB"/>
    <w:rsid w:val="003C38E2"/>
    <w:rsid w:val="003C3F3F"/>
    <w:rsid w:val="003C435D"/>
    <w:rsid w:val="003C4571"/>
    <w:rsid w:val="003C54E8"/>
    <w:rsid w:val="003C5542"/>
    <w:rsid w:val="003C590F"/>
    <w:rsid w:val="003C59A4"/>
    <w:rsid w:val="003C5E13"/>
    <w:rsid w:val="003C6479"/>
    <w:rsid w:val="003C6762"/>
    <w:rsid w:val="003C689E"/>
    <w:rsid w:val="003C6AD7"/>
    <w:rsid w:val="003C6C02"/>
    <w:rsid w:val="003C77CE"/>
    <w:rsid w:val="003C77D7"/>
    <w:rsid w:val="003C78C2"/>
    <w:rsid w:val="003C78EC"/>
    <w:rsid w:val="003C7AC9"/>
    <w:rsid w:val="003C7C15"/>
    <w:rsid w:val="003C7CD7"/>
    <w:rsid w:val="003C7D03"/>
    <w:rsid w:val="003C7D19"/>
    <w:rsid w:val="003C7D2F"/>
    <w:rsid w:val="003D0847"/>
    <w:rsid w:val="003D08F4"/>
    <w:rsid w:val="003D0C5A"/>
    <w:rsid w:val="003D1061"/>
    <w:rsid w:val="003D1191"/>
    <w:rsid w:val="003D1377"/>
    <w:rsid w:val="003D15C0"/>
    <w:rsid w:val="003D163C"/>
    <w:rsid w:val="003D1828"/>
    <w:rsid w:val="003D1964"/>
    <w:rsid w:val="003D1D52"/>
    <w:rsid w:val="003D1DE4"/>
    <w:rsid w:val="003D1E9A"/>
    <w:rsid w:val="003D2102"/>
    <w:rsid w:val="003D2422"/>
    <w:rsid w:val="003D24ED"/>
    <w:rsid w:val="003D2532"/>
    <w:rsid w:val="003D35FC"/>
    <w:rsid w:val="003D39A1"/>
    <w:rsid w:val="003D3C17"/>
    <w:rsid w:val="003D3D6B"/>
    <w:rsid w:val="003D3FBF"/>
    <w:rsid w:val="003D4090"/>
    <w:rsid w:val="003D426A"/>
    <w:rsid w:val="003D42EB"/>
    <w:rsid w:val="003D46DE"/>
    <w:rsid w:val="003D48FF"/>
    <w:rsid w:val="003D4A30"/>
    <w:rsid w:val="003D4A3E"/>
    <w:rsid w:val="003D542D"/>
    <w:rsid w:val="003D631D"/>
    <w:rsid w:val="003D66C0"/>
    <w:rsid w:val="003D68BF"/>
    <w:rsid w:val="003D697F"/>
    <w:rsid w:val="003D6DA9"/>
    <w:rsid w:val="003D6E72"/>
    <w:rsid w:val="003D6FA3"/>
    <w:rsid w:val="003D7452"/>
    <w:rsid w:val="003D79BB"/>
    <w:rsid w:val="003D7AD5"/>
    <w:rsid w:val="003D7B9A"/>
    <w:rsid w:val="003D7C98"/>
    <w:rsid w:val="003D7D44"/>
    <w:rsid w:val="003D7D9D"/>
    <w:rsid w:val="003E0342"/>
    <w:rsid w:val="003E0543"/>
    <w:rsid w:val="003E0685"/>
    <w:rsid w:val="003E0E2D"/>
    <w:rsid w:val="003E0F0A"/>
    <w:rsid w:val="003E0F15"/>
    <w:rsid w:val="003E1535"/>
    <w:rsid w:val="003E154C"/>
    <w:rsid w:val="003E15D0"/>
    <w:rsid w:val="003E16A1"/>
    <w:rsid w:val="003E1A78"/>
    <w:rsid w:val="003E1BBD"/>
    <w:rsid w:val="003E1BC9"/>
    <w:rsid w:val="003E1BE9"/>
    <w:rsid w:val="003E1C8F"/>
    <w:rsid w:val="003E23A5"/>
    <w:rsid w:val="003E2410"/>
    <w:rsid w:val="003E2A49"/>
    <w:rsid w:val="003E2FF2"/>
    <w:rsid w:val="003E300F"/>
    <w:rsid w:val="003E3458"/>
    <w:rsid w:val="003E3761"/>
    <w:rsid w:val="003E3BCA"/>
    <w:rsid w:val="003E3EC1"/>
    <w:rsid w:val="003E41B3"/>
    <w:rsid w:val="003E47F5"/>
    <w:rsid w:val="003E48B8"/>
    <w:rsid w:val="003E4A44"/>
    <w:rsid w:val="003E5375"/>
    <w:rsid w:val="003E55C6"/>
    <w:rsid w:val="003E5603"/>
    <w:rsid w:val="003E60FA"/>
    <w:rsid w:val="003E65A2"/>
    <w:rsid w:val="003E6626"/>
    <w:rsid w:val="003E6A50"/>
    <w:rsid w:val="003E6FD2"/>
    <w:rsid w:val="003E723C"/>
    <w:rsid w:val="003E749E"/>
    <w:rsid w:val="003E772F"/>
    <w:rsid w:val="003E7BC5"/>
    <w:rsid w:val="003F0307"/>
    <w:rsid w:val="003F0546"/>
    <w:rsid w:val="003F0598"/>
    <w:rsid w:val="003F1430"/>
    <w:rsid w:val="003F1684"/>
    <w:rsid w:val="003F18CC"/>
    <w:rsid w:val="003F2066"/>
    <w:rsid w:val="003F2215"/>
    <w:rsid w:val="003F31C7"/>
    <w:rsid w:val="003F34C3"/>
    <w:rsid w:val="003F3B54"/>
    <w:rsid w:val="003F3FFD"/>
    <w:rsid w:val="003F4156"/>
    <w:rsid w:val="003F4481"/>
    <w:rsid w:val="003F47CC"/>
    <w:rsid w:val="003F51A5"/>
    <w:rsid w:val="003F52D2"/>
    <w:rsid w:val="003F55B3"/>
    <w:rsid w:val="003F5ADF"/>
    <w:rsid w:val="003F5B4D"/>
    <w:rsid w:val="003F5D95"/>
    <w:rsid w:val="003F5E0A"/>
    <w:rsid w:val="003F6104"/>
    <w:rsid w:val="003F63F0"/>
    <w:rsid w:val="003F649C"/>
    <w:rsid w:val="003F6572"/>
    <w:rsid w:val="003F6850"/>
    <w:rsid w:val="003F6F34"/>
    <w:rsid w:val="003F7947"/>
    <w:rsid w:val="003F7CD0"/>
    <w:rsid w:val="003F7E19"/>
    <w:rsid w:val="00400472"/>
    <w:rsid w:val="004007A2"/>
    <w:rsid w:val="00400B29"/>
    <w:rsid w:val="00400B44"/>
    <w:rsid w:val="00400F7B"/>
    <w:rsid w:val="00401504"/>
    <w:rsid w:val="00401770"/>
    <w:rsid w:val="0040189B"/>
    <w:rsid w:val="00401F28"/>
    <w:rsid w:val="004023CE"/>
    <w:rsid w:val="004025A7"/>
    <w:rsid w:val="004026E8"/>
    <w:rsid w:val="00402812"/>
    <w:rsid w:val="00402A56"/>
    <w:rsid w:val="00402EDB"/>
    <w:rsid w:val="00403246"/>
    <w:rsid w:val="00403685"/>
    <w:rsid w:val="00403D28"/>
    <w:rsid w:val="0040424C"/>
    <w:rsid w:val="00404B23"/>
    <w:rsid w:val="00404C4A"/>
    <w:rsid w:val="00404DCC"/>
    <w:rsid w:val="00404FE3"/>
    <w:rsid w:val="00405010"/>
    <w:rsid w:val="0040504B"/>
    <w:rsid w:val="004059F4"/>
    <w:rsid w:val="00406932"/>
    <w:rsid w:val="00406D8F"/>
    <w:rsid w:val="00407DF2"/>
    <w:rsid w:val="00407F14"/>
    <w:rsid w:val="00407FE5"/>
    <w:rsid w:val="004100FC"/>
    <w:rsid w:val="004101B0"/>
    <w:rsid w:val="00410326"/>
    <w:rsid w:val="00410708"/>
    <w:rsid w:val="00410974"/>
    <w:rsid w:val="00410E2D"/>
    <w:rsid w:val="00410EC7"/>
    <w:rsid w:val="0041101D"/>
    <w:rsid w:val="0041113F"/>
    <w:rsid w:val="00411292"/>
    <w:rsid w:val="00411404"/>
    <w:rsid w:val="0041157B"/>
    <w:rsid w:val="00411B39"/>
    <w:rsid w:val="00411E14"/>
    <w:rsid w:val="004127A7"/>
    <w:rsid w:val="00412D1D"/>
    <w:rsid w:val="00412FCF"/>
    <w:rsid w:val="00413540"/>
    <w:rsid w:val="004137EB"/>
    <w:rsid w:val="00413987"/>
    <w:rsid w:val="00413A1E"/>
    <w:rsid w:val="00413B0E"/>
    <w:rsid w:val="004143CE"/>
    <w:rsid w:val="00414476"/>
    <w:rsid w:val="00414973"/>
    <w:rsid w:val="00414C2E"/>
    <w:rsid w:val="00414E4E"/>
    <w:rsid w:val="00414FF0"/>
    <w:rsid w:val="00415056"/>
    <w:rsid w:val="004151CF"/>
    <w:rsid w:val="0041595D"/>
    <w:rsid w:val="004159E8"/>
    <w:rsid w:val="00415B5E"/>
    <w:rsid w:val="00415B64"/>
    <w:rsid w:val="00416364"/>
    <w:rsid w:val="004164CE"/>
    <w:rsid w:val="0041697D"/>
    <w:rsid w:val="00416CB5"/>
    <w:rsid w:val="00416CFB"/>
    <w:rsid w:val="004172D6"/>
    <w:rsid w:val="00417639"/>
    <w:rsid w:val="004176F6"/>
    <w:rsid w:val="00417E3E"/>
    <w:rsid w:val="0042029E"/>
    <w:rsid w:val="0042047F"/>
    <w:rsid w:val="004204B3"/>
    <w:rsid w:val="004204DE"/>
    <w:rsid w:val="004209DA"/>
    <w:rsid w:val="00420AA6"/>
    <w:rsid w:val="00420B5A"/>
    <w:rsid w:val="00420B9F"/>
    <w:rsid w:val="0042146C"/>
    <w:rsid w:val="004215D8"/>
    <w:rsid w:val="0042192C"/>
    <w:rsid w:val="00421EC6"/>
    <w:rsid w:val="00422114"/>
    <w:rsid w:val="00422260"/>
    <w:rsid w:val="00422444"/>
    <w:rsid w:val="00422B7C"/>
    <w:rsid w:val="00422C45"/>
    <w:rsid w:val="00422C4E"/>
    <w:rsid w:val="00422DE7"/>
    <w:rsid w:val="004230A9"/>
    <w:rsid w:val="004238B1"/>
    <w:rsid w:val="00423D86"/>
    <w:rsid w:val="00423DA8"/>
    <w:rsid w:val="00423DF2"/>
    <w:rsid w:val="0042413F"/>
    <w:rsid w:val="004247BD"/>
    <w:rsid w:val="00424C56"/>
    <w:rsid w:val="00424CE2"/>
    <w:rsid w:val="004256B2"/>
    <w:rsid w:val="004260C6"/>
    <w:rsid w:val="004262CC"/>
    <w:rsid w:val="004270C1"/>
    <w:rsid w:val="0042763E"/>
    <w:rsid w:val="004278BE"/>
    <w:rsid w:val="00427AE0"/>
    <w:rsid w:val="00427B1C"/>
    <w:rsid w:val="00427F16"/>
    <w:rsid w:val="004300CD"/>
    <w:rsid w:val="00430108"/>
    <w:rsid w:val="00430874"/>
    <w:rsid w:val="004309D6"/>
    <w:rsid w:val="00430E58"/>
    <w:rsid w:val="004310A8"/>
    <w:rsid w:val="00431287"/>
    <w:rsid w:val="0043156E"/>
    <w:rsid w:val="00431945"/>
    <w:rsid w:val="004319F8"/>
    <w:rsid w:val="00431E55"/>
    <w:rsid w:val="00432069"/>
    <w:rsid w:val="004321F6"/>
    <w:rsid w:val="0043248F"/>
    <w:rsid w:val="004324A2"/>
    <w:rsid w:val="0043250C"/>
    <w:rsid w:val="0043260B"/>
    <w:rsid w:val="0043282B"/>
    <w:rsid w:val="00432950"/>
    <w:rsid w:val="00433044"/>
    <w:rsid w:val="00433764"/>
    <w:rsid w:val="00433FC2"/>
    <w:rsid w:val="00434088"/>
    <w:rsid w:val="00434269"/>
    <w:rsid w:val="004347DA"/>
    <w:rsid w:val="00434890"/>
    <w:rsid w:val="0043499C"/>
    <w:rsid w:val="00435449"/>
    <w:rsid w:val="00435CC3"/>
    <w:rsid w:val="00435D62"/>
    <w:rsid w:val="00435DFE"/>
    <w:rsid w:val="00435E70"/>
    <w:rsid w:val="00436120"/>
    <w:rsid w:val="00436969"/>
    <w:rsid w:val="004371D9"/>
    <w:rsid w:val="004375B9"/>
    <w:rsid w:val="00437EB4"/>
    <w:rsid w:val="00440045"/>
    <w:rsid w:val="00440376"/>
    <w:rsid w:val="00440963"/>
    <w:rsid w:val="00440E7A"/>
    <w:rsid w:val="00440F79"/>
    <w:rsid w:val="00441245"/>
    <w:rsid w:val="00441643"/>
    <w:rsid w:val="00441696"/>
    <w:rsid w:val="0044173E"/>
    <w:rsid w:val="004417FA"/>
    <w:rsid w:val="00441A14"/>
    <w:rsid w:val="00442612"/>
    <w:rsid w:val="0044281C"/>
    <w:rsid w:val="004428D0"/>
    <w:rsid w:val="00442AF2"/>
    <w:rsid w:val="00442C81"/>
    <w:rsid w:val="00442CAC"/>
    <w:rsid w:val="00442CE4"/>
    <w:rsid w:val="00442F4E"/>
    <w:rsid w:val="0044334D"/>
    <w:rsid w:val="004433B4"/>
    <w:rsid w:val="00444185"/>
    <w:rsid w:val="00444201"/>
    <w:rsid w:val="004443A7"/>
    <w:rsid w:val="0044442C"/>
    <w:rsid w:val="00444539"/>
    <w:rsid w:val="00444A5C"/>
    <w:rsid w:val="00444ED5"/>
    <w:rsid w:val="00445698"/>
    <w:rsid w:val="00445941"/>
    <w:rsid w:val="00445B53"/>
    <w:rsid w:val="00445E74"/>
    <w:rsid w:val="00446132"/>
    <w:rsid w:val="0044636C"/>
    <w:rsid w:val="004464EB"/>
    <w:rsid w:val="004466C8"/>
    <w:rsid w:val="00446B77"/>
    <w:rsid w:val="00446C53"/>
    <w:rsid w:val="00446C71"/>
    <w:rsid w:val="00446DC6"/>
    <w:rsid w:val="004470C3"/>
    <w:rsid w:val="00447213"/>
    <w:rsid w:val="00447713"/>
    <w:rsid w:val="00447D26"/>
    <w:rsid w:val="00447D53"/>
    <w:rsid w:val="00447DFC"/>
    <w:rsid w:val="00447EFC"/>
    <w:rsid w:val="00450492"/>
    <w:rsid w:val="004509C6"/>
    <w:rsid w:val="00450B57"/>
    <w:rsid w:val="00450DC9"/>
    <w:rsid w:val="00450EF7"/>
    <w:rsid w:val="004511EA"/>
    <w:rsid w:val="0045167C"/>
    <w:rsid w:val="004517C7"/>
    <w:rsid w:val="00451F67"/>
    <w:rsid w:val="00452530"/>
    <w:rsid w:val="004526DC"/>
    <w:rsid w:val="0045272A"/>
    <w:rsid w:val="00452989"/>
    <w:rsid w:val="00452F87"/>
    <w:rsid w:val="004533CE"/>
    <w:rsid w:val="004534DB"/>
    <w:rsid w:val="00453BA0"/>
    <w:rsid w:val="0045435D"/>
    <w:rsid w:val="00454D34"/>
    <w:rsid w:val="004557FD"/>
    <w:rsid w:val="00455962"/>
    <w:rsid w:val="00455964"/>
    <w:rsid w:val="00455AC9"/>
    <w:rsid w:val="00455D45"/>
    <w:rsid w:val="00456566"/>
    <w:rsid w:val="0045680F"/>
    <w:rsid w:val="0045688E"/>
    <w:rsid w:val="00457131"/>
    <w:rsid w:val="004571F6"/>
    <w:rsid w:val="00457898"/>
    <w:rsid w:val="00457B3E"/>
    <w:rsid w:val="00457F78"/>
    <w:rsid w:val="00460562"/>
    <w:rsid w:val="0046095D"/>
    <w:rsid w:val="00460ED7"/>
    <w:rsid w:val="004610CE"/>
    <w:rsid w:val="0046197D"/>
    <w:rsid w:val="00461AD4"/>
    <w:rsid w:val="00461B85"/>
    <w:rsid w:val="00462C36"/>
    <w:rsid w:val="00462D2D"/>
    <w:rsid w:val="00462DA3"/>
    <w:rsid w:val="00462F35"/>
    <w:rsid w:val="004637CE"/>
    <w:rsid w:val="004638E8"/>
    <w:rsid w:val="00463E7D"/>
    <w:rsid w:val="00464208"/>
    <w:rsid w:val="00464595"/>
    <w:rsid w:val="00464FA2"/>
    <w:rsid w:val="00465467"/>
    <w:rsid w:val="004658B5"/>
    <w:rsid w:val="00465AC6"/>
    <w:rsid w:val="00465D52"/>
    <w:rsid w:val="0046682E"/>
    <w:rsid w:val="0046774B"/>
    <w:rsid w:val="00467F5F"/>
    <w:rsid w:val="0047090D"/>
    <w:rsid w:val="00470B08"/>
    <w:rsid w:val="00470C46"/>
    <w:rsid w:val="00470DCD"/>
    <w:rsid w:val="00470FC5"/>
    <w:rsid w:val="004712B8"/>
    <w:rsid w:val="00471467"/>
    <w:rsid w:val="00471825"/>
    <w:rsid w:val="00471873"/>
    <w:rsid w:val="00471AE0"/>
    <w:rsid w:val="00471CA8"/>
    <w:rsid w:val="00471EA5"/>
    <w:rsid w:val="004720C2"/>
    <w:rsid w:val="00472372"/>
    <w:rsid w:val="004728DB"/>
    <w:rsid w:val="00472A79"/>
    <w:rsid w:val="00472E4B"/>
    <w:rsid w:val="0047301C"/>
    <w:rsid w:val="00473064"/>
    <w:rsid w:val="00473665"/>
    <w:rsid w:val="00473F19"/>
    <w:rsid w:val="00474038"/>
    <w:rsid w:val="004741C9"/>
    <w:rsid w:val="0047443C"/>
    <w:rsid w:val="00474698"/>
    <w:rsid w:val="0047491D"/>
    <w:rsid w:val="00474990"/>
    <w:rsid w:val="0047499D"/>
    <w:rsid w:val="00474AA5"/>
    <w:rsid w:val="0047516D"/>
    <w:rsid w:val="0047559E"/>
    <w:rsid w:val="004757F9"/>
    <w:rsid w:val="00475E22"/>
    <w:rsid w:val="00476BB0"/>
    <w:rsid w:val="00476E33"/>
    <w:rsid w:val="00476F7B"/>
    <w:rsid w:val="00477090"/>
    <w:rsid w:val="0047755D"/>
    <w:rsid w:val="004776C6"/>
    <w:rsid w:val="004777F3"/>
    <w:rsid w:val="00477F53"/>
    <w:rsid w:val="004801E8"/>
    <w:rsid w:val="0048088E"/>
    <w:rsid w:val="00480F2B"/>
    <w:rsid w:val="00481A2A"/>
    <w:rsid w:val="00481F2D"/>
    <w:rsid w:val="00482183"/>
    <w:rsid w:val="00482720"/>
    <w:rsid w:val="0048274C"/>
    <w:rsid w:val="0048276C"/>
    <w:rsid w:val="00482925"/>
    <w:rsid w:val="00482EE8"/>
    <w:rsid w:val="004834FA"/>
    <w:rsid w:val="004835E7"/>
    <w:rsid w:val="00483744"/>
    <w:rsid w:val="00483DC9"/>
    <w:rsid w:val="0048444F"/>
    <w:rsid w:val="004846E8"/>
    <w:rsid w:val="0048471F"/>
    <w:rsid w:val="0048475B"/>
    <w:rsid w:val="00484FFD"/>
    <w:rsid w:val="00485097"/>
    <w:rsid w:val="004851EB"/>
    <w:rsid w:val="004856E9"/>
    <w:rsid w:val="0048572D"/>
    <w:rsid w:val="004859E1"/>
    <w:rsid w:val="004859E9"/>
    <w:rsid w:val="00485ED1"/>
    <w:rsid w:val="00486236"/>
    <w:rsid w:val="00486557"/>
    <w:rsid w:val="00486623"/>
    <w:rsid w:val="004867E2"/>
    <w:rsid w:val="00486837"/>
    <w:rsid w:val="00486BA7"/>
    <w:rsid w:val="00486DD9"/>
    <w:rsid w:val="00487083"/>
    <w:rsid w:val="00487317"/>
    <w:rsid w:val="00487457"/>
    <w:rsid w:val="0048757A"/>
    <w:rsid w:val="00487807"/>
    <w:rsid w:val="00487E94"/>
    <w:rsid w:val="004904E3"/>
    <w:rsid w:val="0049080F"/>
    <w:rsid w:val="00490868"/>
    <w:rsid w:val="004909B4"/>
    <w:rsid w:val="00490A2A"/>
    <w:rsid w:val="00490B17"/>
    <w:rsid w:val="00490E32"/>
    <w:rsid w:val="00490F9A"/>
    <w:rsid w:val="0049100D"/>
    <w:rsid w:val="004919AF"/>
    <w:rsid w:val="00491A68"/>
    <w:rsid w:val="00491B3A"/>
    <w:rsid w:val="00492A6C"/>
    <w:rsid w:val="00492CD5"/>
    <w:rsid w:val="00492CDA"/>
    <w:rsid w:val="00492CFD"/>
    <w:rsid w:val="00493091"/>
    <w:rsid w:val="004936E3"/>
    <w:rsid w:val="00493CDC"/>
    <w:rsid w:val="00493E29"/>
    <w:rsid w:val="00494207"/>
    <w:rsid w:val="00494510"/>
    <w:rsid w:val="004946B9"/>
    <w:rsid w:val="00494DD5"/>
    <w:rsid w:val="00494E7E"/>
    <w:rsid w:val="004950D7"/>
    <w:rsid w:val="004952B2"/>
    <w:rsid w:val="004953F6"/>
    <w:rsid w:val="00495AA8"/>
    <w:rsid w:val="00495EAF"/>
    <w:rsid w:val="004960A7"/>
    <w:rsid w:val="0049611D"/>
    <w:rsid w:val="004962D2"/>
    <w:rsid w:val="004963F6"/>
    <w:rsid w:val="00496451"/>
    <w:rsid w:val="0049688F"/>
    <w:rsid w:val="004977D4"/>
    <w:rsid w:val="00497BC3"/>
    <w:rsid w:val="004A061F"/>
    <w:rsid w:val="004A0DA1"/>
    <w:rsid w:val="004A1146"/>
    <w:rsid w:val="004A11E1"/>
    <w:rsid w:val="004A13D6"/>
    <w:rsid w:val="004A14AE"/>
    <w:rsid w:val="004A1567"/>
    <w:rsid w:val="004A17DD"/>
    <w:rsid w:val="004A2910"/>
    <w:rsid w:val="004A2FFC"/>
    <w:rsid w:val="004A3420"/>
    <w:rsid w:val="004A3C5E"/>
    <w:rsid w:val="004A4440"/>
    <w:rsid w:val="004A4C62"/>
    <w:rsid w:val="004A52E9"/>
    <w:rsid w:val="004A553D"/>
    <w:rsid w:val="004A5863"/>
    <w:rsid w:val="004A5A2B"/>
    <w:rsid w:val="004A6040"/>
    <w:rsid w:val="004A608B"/>
    <w:rsid w:val="004A632A"/>
    <w:rsid w:val="004A6597"/>
    <w:rsid w:val="004A6D45"/>
    <w:rsid w:val="004A7848"/>
    <w:rsid w:val="004A793B"/>
    <w:rsid w:val="004A7CD0"/>
    <w:rsid w:val="004A7FA3"/>
    <w:rsid w:val="004B00D1"/>
    <w:rsid w:val="004B0133"/>
    <w:rsid w:val="004B0276"/>
    <w:rsid w:val="004B0A79"/>
    <w:rsid w:val="004B0C9A"/>
    <w:rsid w:val="004B0D80"/>
    <w:rsid w:val="004B1532"/>
    <w:rsid w:val="004B1CB4"/>
    <w:rsid w:val="004B1D5A"/>
    <w:rsid w:val="004B1E72"/>
    <w:rsid w:val="004B22AA"/>
    <w:rsid w:val="004B2662"/>
    <w:rsid w:val="004B2AE0"/>
    <w:rsid w:val="004B2B4C"/>
    <w:rsid w:val="004B2C06"/>
    <w:rsid w:val="004B2CF7"/>
    <w:rsid w:val="004B2F18"/>
    <w:rsid w:val="004B309B"/>
    <w:rsid w:val="004B351D"/>
    <w:rsid w:val="004B3994"/>
    <w:rsid w:val="004B3DDB"/>
    <w:rsid w:val="004B44FD"/>
    <w:rsid w:val="004B464F"/>
    <w:rsid w:val="004B46C4"/>
    <w:rsid w:val="004B4784"/>
    <w:rsid w:val="004B4824"/>
    <w:rsid w:val="004B490C"/>
    <w:rsid w:val="004B4F4D"/>
    <w:rsid w:val="004B52F0"/>
    <w:rsid w:val="004B57EA"/>
    <w:rsid w:val="004B5838"/>
    <w:rsid w:val="004B5CFC"/>
    <w:rsid w:val="004B5D10"/>
    <w:rsid w:val="004B60E8"/>
    <w:rsid w:val="004B6EDA"/>
    <w:rsid w:val="004B6EF0"/>
    <w:rsid w:val="004B6F6F"/>
    <w:rsid w:val="004B6F79"/>
    <w:rsid w:val="004B774D"/>
    <w:rsid w:val="004C06B7"/>
    <w:rsid w:val="004C07F6"/>
    <w:rsid w:val="004C0E68"/>
    <w:rsid w:val="004C1024"/>
    <w:rsid w:val="004C1112"/>
    <w:rsid w:val="004C13CB"/>
    <w:rsid w:val="004C1501"/>
    <w:rsid w:val="004C160B"/>
    <w:rsid w:val="004C1617"/>
    <w:rsid w:val="004C1ACD"/>
    <w:rsid w:val="004C2AC2"/>
    <w:rsid w:val="004C2B71"/>
    <w:rsid w:val="004C2D59"/>
    <w:rsid w:val="004C3091"/>
    <w:rsid w:val="004C32F0"/>
    <w:rsid w:val="004C3334"/>
    <w:rsid w:val="004C3745"/>
    <w:rsid w:val="004C37A3"/>
    <w:rsid w:val="004C3B02"/>
    <w:rsid w:val="004C3D28"/>
    <w:rsid w:val="004C42B7"/>
    <w:rsid w:val="004C4509"/>
    <w:rsid w:val="004C46AE"/>
    <w:rsid w:val="004C48A5"/>
    <w:rsid w:val="004C4AED"/>
    <w:rsid w:val="004C5100"/>
    <w:rsid w:val="004C5431"/>
    <w:rsid w:val="004C5AE4"/>
    <w:rsid w:val="004C5C8D"/>
    <w:rsid w:val="004C6281"/>
    <w:rsid w:val="004C6314"/>
    <w:rsid w:val="004C6344"/>
    <w:rsid w:val="004C6355"/>
    <w:rsid w:val="004C6967"/>
    <w:rsid w:val="004C6A2B"/>
    <w:rsid w:val="004C6AF6"/>
    <w:rsid w:val="004C6BE1"/>
    <w:rsid w:val="004C6E95"/>
    <w:rsid w:val="004C6F24"/>
    <w:rsid w:val="004C78ED"/>
    <w:rsid w:val="004C79ED"/>
    <w:rsid w:val="004C7E4F"/>
    <w:rsid w:val="004C7E99"/>
    <w:rsid w:val="004D00F1"/>
    <w:rsid w:val="004D092E"/>
    <w:rsid w:val="004D116F"/>
    <w:rsid w:val="004D120F"/>
    <w:rsid w:val="004D1BC2"/>
    <w:rsid w:val="004D1C9E"/>
    <w:rsid w:val="004D1F82"/>
    <w:rsid w:val="004D2C2D"/>
    <w:rsid w:val="004D2C7E"/>
    <w:rsid w:val="004D2FCC"/>
    <w:rsid w:val="004D35D8"/>
    <w:rsid w:val="004D3600"/>
    <w:rsid w:val="004D385D"/>
    <w:rsid w:val="004D3AD7"/>
    <w:rsid w:val="004D3B6E"/>
    <w:rsid w:val="004D3C53"/>
    <w:rsid w:val="004D3F83"/>
    <w:rsid w:val="004D42A9"/>
    <w:rsid w:val="004D4418"/>
    <w:rsid w:val="004D45A0"/>
    <w:rsid w:val="004D4D8D"/>
    <w:rsid w:val="004D503F"/>
    <w:rsid w:val="004D5537"/>
    <w:rsid w:val="004D555B"/>
    <w:rsid w:val="004D56C2"/>
    <w:rsid w:val="004D5B94"/>
    <w:rsid w:val="004D61EC"/>
    <w:rsid w:val="004D65D6"/>
    <w:rsid w:val="004D6709"/>
    <w:rsid w:val="004D6767"/>
    <w:rsid w:val="004D6822"/>
    <w:rsid w:val="004D69B5"/>
    <w:rsid w:val="004D6F45"/>
    <w:rsid w:val="004D70AC"/>
    <w:rsid w:val="004D7227"/>
    <w:rsid w:val="004D7896"/>
    <w:rsid w:val="004D7A97"/>
    <w:rsid w:val="004D7B5E"/>
    <w:rsid w:val="004D7B63"/>
    <w:rsid w:val="004D7C1A"/>
    <w:rsid w:val="004D7D31"/>
    <w:rsid w:val="004D7EB0"/>
    <w:rsid w:val="004D7F01"/>
    <w:rsid w:val="004D7F6A"/>
    <w:rsid w:val="004E00C9"/>
    <w:rsid w:val="004E0668"/>
    <w:rsid w:val="004E06F0"/>
    <w:rsid w:val="004E08DF"/>
    <w:rsid w:val="004E0A4D"/>
    <w:rsid w:val="004E0E7F"/>
    <w:rsid w:val="004E0EB8"/>
    <w:rsid w:val="004E120F"/>
    <w:rsid w:val="004E1444"/>
    <w:rsid w:val="004E14B7"/>
    <w:rsid w:val="004E179E"/>
    <w:rsid w:val="004E18E9"/>
    <w:rsid w:val="004E20A2"/>
    <w:rsid w:val="004E22B2"/>
    <w:rsid w:val="004E233E"/>
    <w:rsid w:val="004E266F"/>
    <w:rsid w:val="004E2ADC"/>
    <w:rsid w:val="004E2C0F"/>
    <w:rsid w:val="004E2E91"/>
    <w:rsid w:val="004E3195"/>
    <w:rsid w:val="004E352D"/>
    <w:rsid w:val="004E380D"/>
    <w:rsid w:val="004E3857"/>
    <w:rsid w:val="004E43B2"/>
    <w:rsid w:val="004E443B"/>
    <w:rsid w:val="004E4511"/>
    <w:rsid w:val="004E49A8"/>
    <w:rsid w:val="004E49E9"/>
    <w:rsid w:val="004E509F"/>
    <w:rsid w:val="004E51F5"/>
    <w:rsid w:val="004E5455"/>
    <w:rsid w:val="004E561A"/>
    <w:rsid w:val="004E57E6"/>
    <w:rsid w:val="004E5981"/>
    <w:rsid w:val="004E59FA"/>
    <w:rsid w:val="004E5D62"/>
    <w:rsid w:val="004E6709"/>
    <w:rsid w:val="004E6C96"/>
    <w:rsid w:val="004E6D99"/>
    <w:rsid w:val="004E6E65"/>
    <w:rsid w:val="004E6E9C"/>
    <w:rsid w:val="004E70AF"/>
    <w:rsid w:val="004E760F"/>
    <w:rsid w:val="004E79C4"/>
    <w:rsid w:val="004E7C2D"/>
    <w:rsid w:val="004E7E24"/>
    <w:rsid w:val="004F05CF"/>
    <w:rsid w:val="004F0609"/>
    <w:rsid w:val="004F0B2B"/>
    <w:rsid w:val="004F1524"/>
    <w:rsid w:val="004F1D02"/>
    <w:rsid w:val="004F2679"/>
    <w:rsid w:val="004F2750"/>
    <w:rsid w:val="004F2D53"/>
    <w:rsid w:val="004F2F21"/>
    <w:rsid w:val="004F304E"/>
    <w:rsid w:val="004F3059"/>
    <w:rsid w:val="004F3B83"/>
    <w:rsid w:val="004F3DC9"/>
    <w:rsid w:val="004F3DE5"/>
    <w:rsid w:val="004F3EE8"/>
    <w:rsid w:val="004F3FEE"/>
    <w:rsid w:val="004F4013"/>
    <w:rsid w:val="004F4557"/>
    <w:rsid w:val="004F4A02"/>
    <w:rsid w:val="004F4B9B"/>
    <w:rsid w:val="004F50CD"/>
    <w:rsid w:val="004F51EE"/>
    <w:rsid w:val="004F5201"/>
    <w:rsid w:val="004F5358"/>
    <w:rsid w:val="004F55F1"/>
    <w:rsid w:val="004F5B21"/>
    <w:rsid w:val="004F5B7C"/>
    <w:rsid w:val="004F5C22"/>
    <w:rsid w:val="004F65CD"/>
    <w:rsid w:val="004F66AA"/>
    <w:rsid w:val="004F6913"/>
    <w:rsid w:val="004F6FDB"/>
    <w:rsid w:val="004F7225"/>
    <w:rsid w:val="004F7399"/>
    <w:rsid w:val="004F7865"/>
    <w:rsid w:val="004F7CCB"/>
    <w:rsid w:val="00500437"/>
    <w:rsid w:val="0050174E"/>
    <w:rsid w:val="0050178C"/>
    <w:rsid w:val="00501854"/>
    <w:rsid w:val="00501DD5"/>
    <w:rsid w:val="00502148"/>
    <w:rsid w:val="0050219B"/>
    <w:rsid w:val="0050225A"/>
    <w:rsid w:val="00502618"/>
    <w:rsid w:val="00502638"/>
    <w:rsid w:val="0050263B"/>
    <w:rsid w:val="00502756"/>
    <w:rsid w:val="0050282B"/>
    <w:rsid w:val="00502BCD"/>
    <w:rsid w:val="00502E2F"/>
    <w:rsid w:val="00503864"/>
    <w:rsid w:val="00503A6D"/>
    <w:rsid w:val="00503C5C"/>
    <w:rsid w:val="00503D22"/>
    <w:rsid w:val="00503E23"/>
    <w:rsid w:val="00503F17"/>
    <w:rsid w:val="00503F3A"/>
    <w:rsid w:val="00504434"/>
    <w:rsid w:val="00504AB6"/>
    <w:rsid w:val="00505144"/>
    <w:rsid w:val="0050551A"/>
    <w:rsid w:val="0050580F"/>
    <w:rsid w:val="005058BF"/>
    <w:rsid w:val="00505BC9"/>
    <w:rsid w:val="00505DA7"/>
    <w:rsid w:val="00506243"/>
    <w:rsid w:val="00506928"/>
    <w:rsid w:val="00506E86"/>
    <w:rsid w:val="00507675"/>
    <w:rsid w:val="005077EF"/>
    <w:rsid w:val="00507986"/>
    <w:rsid w:val="00507992"/>
    <w:rsid w:val="00507D19"/>
    <w:rsid w:val="005109DC"/>
    <w:rsid w:val="00510B29"/>
    <w:rsid w:val="005110BE"/>
    <w:rsid w:val="005112AA"/>
    <w:rsid w:val="005113A0"/>
    <w:rsid w:val="00511480"/>
    <w:rsid w:val="0051188C"/>
    <w:rsid w:val="005118DB"/>
    <w:rsid w:val="00511AD5"/>
    <w:rsid w:val="00511DC7"/>
    <w:rsid w:val="00511E3B"/>
    <w:rsid w:val="00511EB1"/>
    <w:rsid w:val="00512088"/>
    <w:rsid w:val="00512455"/>
    <w:rsid w:val="00512474"/>
    <w:rsid w:val="00512B44"/>
    <w:rsid w:val="005133E8"/>
    <w:rsid w:val="0051394B"/>
    <w:rsid w:val="00513B6C"/>
    <w:rsid w:val="0051402C"/>
    <w:rsid w:val="005140A7"/>
    <w:rsid w:val="005142C5"/>
    <w:rsid w:val="005143FD"/>
    <w:rsid w:val="005144DD"/>
    <w:rsid w:val="00514740"/>
    <w:rsid w:val="00514754"/>
    <w:rsid w:val="005147A1"/>
    <w:rsid w:val="0051501B"/>
    <w:rsid w:val="005152B5"/>
    <w:rsid w:val="00515886"/>
    <w:rsid w:val="00515CF6"/>
    <w:rsid w:val="00515F00"/>
    <w:rsid w:val="00515FCC"/>
    <w:rsid w:val="00516342"/>
    <w:rsid w:val="00516794"/>
    <w:rsid w:val="00516846"/>
    <w:rsid w:val="00516857"/>
    <w:rsid w:val="00516AA8"/>
    <w:rsid w:val="00516C05"/>
    <w:rsid w:val="0051725A"/>
    <w:rsid w:val="005172D1"/>
    <w:rsid w:val="0051734A"/>
    <w:rsid w:val="0052003E"/>
    <w:rsid w:val="005205DF"/>
    <w:rsid w:val="00521236"/>
    <w:rsid w:val="0052123C"/>
    <w:rsid w:val="00521319"/>
    <w:rsid w:val="005215D3"/>
    <w:rsid w:val="00522940"/>
    <w:rsid w:val="00522BC8"/>
    <w:rsid w:val="00522CF4"/>
    <w:rsid w:val="00522E63"/>
    <w:rsid w:val="0052332C"/>
    <w:rsid w:val="005234B4"/>
    <w:rsid w:val="005239E2"/>
    <w:rsid w:val="00523B32"/>
    <w:rsid w:val="00523C28"/>
    <w:rsid w:val="00523DA5"/>
    <w:rsid w:val="00523F06"/>
    <w:rsid w:val="00524067"/>
    <w:rsid w:val="005240EF"/>
    <w:rsid w:val="005244D4"/>
    <w:rsid w:val="0052467B"/>
    <w:rsid w:val="00524E5D"/>
    <w:rsid w:val="00524E8C"/>
    <w:rsid w:val="005251B1"/>
    <w:rsid w:val="00525712"/>
    <w:rsid w:val="00525810"/>
    <w:rsid w:val="005258C4"/>
    <w:rsid w:val="00525D7E"/>
    <w:rsid w:val="00525F7A"/>
    <w:rsid w:val="00526504"/>
    <w:rsid w:val="005268EA"/>
    <w:rsid w:val="00526C60"/>
    <w:rsid w:val="00526D18"/>
    <w:rsid w:val="00526D4E"/>
    <w:rsid w:val="00526EA7"/>
    <w:rsid w:val="00526FEC"/>
    <w:rsid w:val="005271B7"/>
    <w:rsid w:val="0052723F"/>
    <w:rsid w:val="00527779"/>
    <w:rsid w:val="00527A3C"/>
    <w:rsid w:val="00527A67"/>
    <w:rsid w:val="00527AD6"/>
    <w:rsid w:val="00527EE6"/>
    <w:rsid w:val="00530827"/>
    <w:rsid w:val="00530C5D"/>
    <w:rsid w:val="00531297"/>
    <w:rsid w:val="0053165C"/>
    <w:rsid w:val="0053176B"/>
    <w:rsid w:val="0053183A"/>
    <w:rsid w:val="00531AD8"/>
    <w:rsid w:val="00531B6B"/>
    <w:rsid w:val="00531BCE"/>
    <w:rsid w:val="00531E54"/>
    <w:rsid w:val="00531F6C"/>
    <w:rsid w:val="00532384"/>
    <w:rsid w:val="005323E5"/>
    <w:rsid w:val="00532834"/>
    <w:rsid w:val="005335DE"/>
    <w:rsid w:val="005337A5"/>
    <w:rsid w:val="0053381E"/>
    <w:rsid w:val="005338F6"/>
    <w:rsid w:val="00533C10"/>
    <w:rsid w:val="00533FC8"/>
    <w:rsid w:val="005341B3"/>
    <w:rsid w:val="005342C4"/>
    <w:rsid w:val="0053435F"/>
    <w:rsid w:val="0053467E"/>
    <w:rsid w:val="00534A2D"/>
    <w:rsid w:val="00534B09"/>
    <w:rsid w:val="00535CD1"/>
    <w:rsid w:val="00535D15"/>
    <w:rsid w:val="00535F46"/>
    <w:rsid w:val="00536037"/>
    <w:rsid w:val="0053646D"/>
    <w:rsid w:val="00536C27"/>
    <w:rsid w:val="00536F42"/>
    <w:rsid w:val="00537036"/>
    <w:rsid w:val="00537182"/>
    <w:rsid w:val="0053734E"/>
    <w:rsid w:val="00540304"/>
    <w:rsid w:val="005404AC"/>
    <w:rsid w:val="00540709"/>
    <w:rsid w:val="00540E7A"/>
    <w:rsid w:val="00540E9C"/>
    <w:rsid w:val="005410FD"/>
    <w:rsid w:val="005411D6"/>
    <w:rsid w:val="005413AC"/>
    <w:rsid w:val="00541560"/>
    <w:rsid w:val="00541BE6"/>
    <w:rsid w:val="00541EDD"/>
    <w:rsid w:val="00542043"/>
    <w:rsid w:val="00542743"/>
    <w:rsid w:val="005427A5"/>
    <w:rsid w:val="00542B33"/>
    <w:rsid w:val="00542C2D"/>
    <w:rsid w:val="0054306B"/>
    <w:rsid w:val="00543273"/>
    <w:rsid w:val="00543845"/>
    <w:rsid w:val="005439BD"/>
    <w:rsid w:val="00544264"/>
    <w:rsid w:val="00544664"/>
    <w:rsid w:val="00544725"/>
    <w:rsid w:val="005447AF"/>
    <w:rsid w:val="00544800"/>
    <w:rsid w:val="00544F55"/>
    <w:rsid w:val="00545115"/>
    <w:rsid w:val="00545705"/>
    <w:rsid w:val="00545870"/>
    <w:rsid w:val="00545B41"/>
    <w:rsid w:val="00545BF8"/>
    <w:rsid w:val="00545DD4"/>
    <w:rsid w:val="00545FAC"/>
    <w:rsid w:val="0054650A"/>
    <w:rsid w:val="00546A51"/>
    <w:rsid w:val="00546B62"/>
    <w:rsid w:val="005473EE"/>
    <w:rsid w:val="00547584"/>
    <w:rsid w:val="005477D2"/>
    <w:rsid w:val="005478BD"/>
    <w:rsid w:val="005479E3"/>
    <w:rsid w:val="00547C8B"/>
    <w:rsid w:val="00547F36"/>
    <w:rsid w:val="005500D3"/>
    <w:rsid w:val="005502AC"/>
    <w:rsid w:val="0055083B"/>
    <w:rsid w:val="00550901"/>
    <w:rsid w:val="00550B51"/>
    <w:rsid w:val="00550E33"/>
    <w:rsid w:val="005514B7"/>
    <w:rsid w:val="00551716"/>
    <w:rsid w:val="00551985"/>
    <w:rsid w:val="00551BDB"/>
    <w:rsid w:val="00552BD3"/>
    <w:rsid w:val="00552BF5"/>
    <w:rsid w:val="00552E39"/>
    <w:rsid w:val="00552FD1"/>
    <w:rsid w:val="00553168"/>
    <w:rsid w:val="005532A0"/>
    <w:rsid w:val="0055358C"/>
    <w:rsid w:val="00553BF2"/>
    <w:rsid w:val="00553C66"/>
    <w:rsid w:val="00553F9F"/>
    <w:rsid w:val="00554289"/>
    <w:rsid w:val="005544A9"/>
    <w:rsid w:val="005547F1"/>
    <w:rsid w:val="0055498B"/>
    <w:rsid w:val="00555109"/>
    <w:rsid w:val="00555186"/>
    <w:rsid w:val="00555213"/>
    <w:rsid w:val="0055547B"/>
    <w:rsid w:val="00555487"/>
    <w:rsid w:val="00555C07"/>
    <w:rsid w:val="00555F67"/>
    <w:rsid w:val="0055671D"/>
    <w:rsid w:val="005568CD"/>
    <w:rsid w:val="00556B35"/>
    <w:rsid w:val="00556CC6"/>
    <w:rsid w:val="00556D06"/>
    <w:rsid w:val="0055720E"/>
    <w:rsid w:val="0055741A"/>
    <w:rsid w:val="00557A0E"/>
    <w:rsid w:val="00557A7A"/>
    <w:rsid w:val="00557D10"/>
    <w:rsid w:val="00557DDE"/>
    <w:rsid w:val="00560250"/>
    <w:rsid w:val="0056064E"/>
    <w:rsid w:val="00560AA5"/>
    <w:rsid w:val="005611B7"/>
    <w:rsid w:val="005612DE"/>
    <w:rsid w:val="0056150D"/>
    <w:rsid w:val="00561780"/>
    <w:rsid w:val="005618D4"/>
    <w:rsid w:val="00561DAE"/>
    <w:rsid w:val="00562B50"/>
    <w:rsid w:val="00563212"/>
    <w:rsid w:val="00563663"/>
    <w:rsid w:val="00563709"/>
    <w:rsid w:val="0056397A"/>
    <w:rsid w:val="00563ECB"/>
    <w:rsid w:val="00564867"/>
    <w:rsid w:val="0056503E"/>
    <w:rsid w:val="0056520A"/>
    <w:rsid w:val="005658AF"/>
    <w:rsid w:val="0056591D"/>
    <w:rsid w:val="00565C79"/>
    <w:rsid w:val="00565DF0"/>
    <w:rsid w:val="00565EB4"/>
    <w:rsid w:val="00566127"/>
    <w:rsid w:val="00566230"/>
    <w:rsid w:val="005667F4"/>
    <w:rsid w:val="0056696F"/>
    <w:rsid w:val="005669B6"/>
    <w:rsid w:val="0056750E"/>
    <w:rsid w:val="0056751A"/>
    <w:rsid w:val="00567649"/>
    <w:rsid w:val="00567880"/>
    <w:rsid w:val="00567BA3"/>
    <w:rsid w:val="0057047B"/>
    <w:rsid w:val="0057096F"/>
    <w:rsid w:val="00570D98"/>
    <w:rsid w:val="00570EA0"/>
    <w:rsid w:val="00570EDC"/>
    <w:rsid w:val="0057165D"/>
    <w:rsid w:val="00572269"/>
    <w:rsid w:val="005722A8"/>
    <w:rsid w:val="0057244A"/>
    <w:rsid w:val="00572577"/>
    <w:rsid w:val="005725AB"/>
    <w:rsid w:val="005726FA"/>
    <w:rsid w:val="00572DEB"/>
    <w:rsid w:val="00572F26"/>
    <w:rsid w:val="00572F5C"/>
    <w:rsid w:val="00573145"/>
    <w:rsid w:val="005731EF"/>
    <w:rsid w:val="00573388"/>
    <w:rsid w:val="00573666"/>
    <w:rsid w:val="005736AA"/>
    <w:rsid w:val="00573A63"/>
    <w:rsid w:val="00573B89"/>
    <w:rsid w:val="0057461D"/>
    <w:rsid w:val="0057464C"/>
    <w:rsid w:val="00574A1F"/>
    <w:rsid w:val="00574C93"/>
    <w:rsid w:val="005750C5"/>
    <w:rsid w:val="005752DE"/>
    <w:rsid w:val="0057531A"/>
    <w:rsid w:val="005756D4"/>
    <w:rsid w:val="005758D1"/>
    <w:rsid w:val="00575B34"/>
    <w:rsid w:val="00575D60"/>
    <w:rsid w:val="00575D8D"/>
    <w:rsid w:val="00575EC5"/>
    <w:rsid w:val="0057607D"/>
    <w:rsid w:val="0057651E"/>
    <w:rsid w:val="00576649"/>
    <w:rsid w:val="005766C4"/>
    <w:rsid w:val="00576874"/>
    <w:rsid w:val="00576972"/>
    <w:rsid w:val="00576B6F"/>
    <w:rsid w:val="00577248"/>
    <w:rsid w:val="005774AE"/>
    <w:rsid w:val="0057795D"/>
    <w:rsid w:val="00577A40"/>
    <w:rsid w:val="00577AAF"/>
    <w:rsid w:val="00580059"/>
    <w:rsid w:val="0058033D"/>
    <w:rsid w:val="00580537"/>
    <w:rsid w:val="00580B8F"/>
    <w:rsid w:val="00580D86"/>
    <w:rsid w:val="005818CB"/>
    <w:rsid w:val="00581E25"/>
    <w:rsid w:val="00582DF6"/>
    <w:rsid w:val="00583699"/>
    <w:rsid w:val="00583716"/>
    <w:rsid w:val="005839E6"/>
    <w:rsid w:val="00583B89"/>
    <w:rsid w:val="00583D08"/>
    <w:rsid w:val="00583D6A"/>
    <w:rsid w:val="00584036"/>
    <w:rsid w:val="00584A0F"/>
    <w:rsid w:val="00584E2F"/>
    <w:rsid w:val="00584F09"/>
    <w:rsid w:val="0058561E"/>
    <w:rsid w:val="00585811"/>
    <w:rsid w:val="00585AD0"/>
    <w:rsid w:val="00585CDD"/>
    <w:rsid w:val="00585FB9"/>
    <w:rsid w:val="0058651B"/>
    <w:rsid w:val="0058656D"/>
    <w:rsid w:val="00586755"/>
    <w:rsid w:val="00586F9A"/>
    <w:rsid w:val="00586FA6"/>
    <w:rsid w:val="00587058"/>
    <w:rsid w:val="005870D8"/>
    <w:rsid w:val="005872CD"/>
    <w:rsid w:val="0058732F"/>
    <w:rsid w:val="00587AA0"/>
    <w:rsid w:val="00587C6F"/>
    <w:rsid w:val="00587F9F"/>
    <w:rsid w:val="0059008C"/>
    <w:rsid w:val="0059040B"/>
    <w:rsid w:val="0059186A"/>
    <w:rsid w:val="00591957"/>
    <w:rsid w:val="005920F6"/>
    <w:rsid w:val="00592570"/>
    <w:rsid w:val="00592958"/>
    <w:rsid w:val="00592EB8"/>
    <w:rsid w:val="005930BB"/>
    <w:rsid w:val="005933E9"/>
    <w:rsid w:val="00593488"/>
    <w:rsid w:val="00594915"/>
    <w:rsid w:val="005950AA"/>
    <w:rsid w:val="00595232"/>
    <w:rsid w:val="005959CF"/>
    <w:rsid w:val="00595CCF"/>
    <w:rsid w:val="005960E8"/>
    <w:rsid w:val="005966C9"/>
    <w:rsid w:val="005967B7"/>
    <w:rsid w:val="00596C7A"/>
    <w:rsid w:val="00596C9D"/>
    <w:rsid w:val="00596D8F"/>
    <w:rsid w:val="00597373"/>
    <w:rsid w:val="00597503"/>
    <w:rsid w:val="005978B6"/>
    <w:rsid w:val="00597BF9"/>
    <w:rsid w:val="00597DF6"/>
    <w:rsid w:val="00597FED"/>
    <w:rsid w:val="00597FF2"/>
    <w:rsid w:val="005A0475"/>
    <w:rsid w:val="005A099E"/>
    <w:rsid w:val="005A0C11"/>
    <w:rsid w:val="005A13D2"/>
    <w:rsid w:val="005A152E"/>
    <w:rsid w:val="005A1603"/>
    <w:rsid w:val="005A20A2"/>
    <w:rsid w:val="005A254F"/>
    <w:rsid w:val="005A309A"/>
    <w:rsid w:val="005A3302"/>
    <w:rsid w:val="005A373D"/>
    <w:rsid w:val="005A3DC4"/>
    <w:rsid w:val="005A4EFF"/>
    <w:rsid w:val="005A55A7"/>
    <w:rsid w:val="005A578F"/>
    <w:rsid w:val="005A5B34"/>
    <w:rsid w:val="005A5B64"/>
    <w:rsid w:val="005A639D"/>
    <w:rsid w:val="005A6799"/>
    <w:rsid w:val="005A6D77"/>
    <w:rsid w:val="005A712D"/>
    <w:rsid w:val="005A7637"/>
    <w:rsid w:val="005A7E3C"/>
    <w:rsid w:val="005B0256"/>
    <w:rsid w:val="005B07EA"/>
    <w:rsid w:val="005B0B58"/>
    <w:rsid w:val="005B11E5"/>
    <w:rsid w:val="005B1CF1"/>
    <w:rsid w:val="005B1F53"/>
    <w:rsid w:val="005B25BB"/>
    <w:rsid w:val="005B2925"/>
    <w:rsid w:val="005B2A89"/>
    <w:rsid w:val="005B3146"/>
    <w:rsid w:val="005B3B6C"/>
    <w:rsid w:val="005B3F3F"/>
    <w:rsid w:val="005B4BDD"/>
    <w:rsid w:val="005B4E53"/>
    <w:rsid w:val="005B54D7"/>
    <w:rsid w:val="005B5611"/>
    <w:rsid w:val="005B575E"/>
    <w:rsid w:val="005B5857"/>
    <w:rsid w:val="005B5929"/>
    <w:rsid w:val="005B59CB"/>
    <w:rsid w:val="005B5BCE"/>
    <w:rsid w:val="005B5D66"/>
    <w:rsid w:val="005B5DFA"/>
    <w:rsid w:val="005B634B"/>
    <w:rsid w:val="005B65EA"/>
    <w:rsid w:val="005B6801"/>
    <w:rsid w:val="005B6E0F"/>
    <w:rsid w:val="005B7569"/>
    <w:rsid w:val="005B7BB9"/>
    <w:rsid w:val="005C005D"/>
    <w:rsid w:val="005C01DE"/>
    <w:rsid w:val="005C03B5"/>
    <w:rsid w:val="005C07F2"/>
    <w:rsid w:val="005C088A"/>
    <w:rsid w:val="005C0D37"/>
    <w:rsid w:val="005C0E87"/>
    <w:rsid w:val="005C105A"/>
    <w:rsid w:val="005C1066"/>
    <w:rsid w:val="005C1104"/>
    <w:rsid w:val="005C12F9"/>
    <w:rsid w:val="005C1732"/>
    <w:rsid w:val="005C18F5"/>
    <w:rsid w:val="005C19C4"/>
    <w:rsid w:val="005C1B83"/>
    <w:rsid w:val="005C1C5B"/>
    <w:rsid w:val="005C25FF"/>
    <w:rsid w:val="005C2852"/>
    <w:rsid w:val="005C2912"/>
    <w:rsid w:val="005C2D55"/>
    <w:rsid w:val="005C2F70"/>
    <w:rsid w:val="005C30E6"/>
    <w:rsid w:val="005C346B"/>
    <w:rsid w:val="005C3963"/>
    <w:rsid w:val="005C3B35"/>
    <w:rsid w:val="005C3E39"/>
    <w:rsid w:val="005C4AA3"/>
    <w:rsid w:val="005C4CB3"/>
    <w:rsid w:val="005C500E"/>
    <w:rsid w:val="005C5296"/>
    <w:rsid w:val="005C54E3"/>
    <w:rsid w:val="005C5756"/>
    <w:rsid w:val="005C58FF"/>
    <w:rsid w:val="005C596F"/>
    <w:rsid w:val="005C5ABC"/>
    <w:rsid w:val="005C6201"/>
    <w:rsid w:val="005C6230"/>
    <w:rsid w:val="005C684A"/>
    <w:rsid w:val="005C73A1"/>
    <w:rsid w:val="005C769A"/>
    <w:rsid w:val="005C7A1B"/>
    <w:rsid w:val="005C7ADD"/>
    <w:rsid w:val="005D044D"/>
    <w:rsid w:val="005D0632"/>
    <w:rsid w:val="005D0ABD"/>
    <w:rsid w:val="005D124A"/>
    <w:rsid w:val="005D1258"/>
    <w:rsid w:val="005D153C"/>
    <w:rsid w:val="005D18AD"/>
    <w:rsid w:val="005D2121"/>
    <w:rsid w:val="005D217A"/>
    <w:rsid w:val="005D2398"/>
    <w:rsid w:val="005D25BB"/>
    <w:rsid w:val="005D26B4"/>
    <w:rsid w:val="005D27D7"/>
    <w:rsid w:val="005D2C8B"/>
    <w:rsid w:val="005D3435"/>
    <w:rsid w:val="005D36DB"/>
    <w:rsid w:val="005D3B05"/>
    <w:rsid w:val="005D3C39"/>
    <w:rsid w:val="005D432E"/>
    <w:rsid w:val="005D46E2"/>
    <w:rsid w:val="005D4D62"/>
    <w:rsid w:val="005D56F2"/>
    <w:rsid w:val="005D5706"/>
    <w:rsid w:val="005D5D55"/>
    <w:rsid w:val="005D5F1E"/>
    <w:rsid w:val="005D61E7"/>
    <w:rsid w:val="005D6CE5"/>
    <w:rsid w:val="005D70D3"/>
    <w:rsid w:val="005D7143"/>
    <w:rsid w:val="005D718B"/>
    <w:rsid w:val="005D745F"/>
    <w:rsid w:val="005D798A"/>
    <w:rsid w:val="005E032D"/>
    <w:rsid w:val="005E0CA8"/>
    <w:rsid w:val="005E0FE2"/>
    <w:rsid w:val="005E132F"/>
    <w:rsid w:val="005E1995"/>
    <w:rsid w:val="005E1A9A"/>
    <w:rsid w:val="005E1C5D"/>
    <w:rsid w:val="005E1DD4"/>
    <w:rsid w:val="005E22D4"/>
    <w:rsid w:val="005E24DC"/>
    <w:rsid w:val="005E27D5"/>
    <w:rsid w:val="005E2C0F"/>
    <w:rsid w:val="005E2EE0"/>
    <w:rsid w:val="005E3606"/>
    <w:rsid w:val="005E3793"/>
    <w:rsid w:val="005E3860"/>
    <w:rsid w:val="005E3C9D"/>
    <w:rsid w:val="005E3DC3"/>
    <w:rsid w:val="005E40D5"/>
    <w:rsid w:val="005E432E"/>
    <w:rsid w:val="005E60DC"/>
    <w:rsid w:val="005E6507"/>
    <w:rsid w:val="005E6690"/>
    <w:rsid w:val="005E66E9"/>
    <w:rsid w:val="005E680F"/>
    <w:rsid w:val="005E6CBC"/>
    <w:rsid w:val="005E6D2A"/>
    <w:rsid w:val="005E72FF"/>
    <w:rsid w:val="005E73C0"/>
    <w:rsid w:val="005E74DB"/>
    <w:rsid w:val="005E7CE7"/>
    <w:rsid w:val="005F0030"/>
    <w:rsid w:val="005F07ED"/>
    <w:rsid w:val="005F119A"/>
    <w:rsid w:val="005F1308"/>
    <w:rsid w:val="005F13C3"/>
    <w:rsid w:val="005F1EE9"/>
    <w:rsid w:val="005F1FF3"/>
    <w:rsid w:val="005F2599"/>
    <w:rsid w:val="005F2706"/>
    <w:rsid w:val="005F2D1D"/>
    <w:rsid w:val="005F2E0B"/>
    <w:rsid w:val="005F315B"/>
    <w:rsid w:val="005F338F"/>
    <w:rsid w:val="005F3459"/>
    <w:rsid w:val="005F34AE"/>
    <w:rsid w:val="005F37DE"/>
    <w:rsid w:val="005F3AB5"/>
    <w:rsid w:val="005F3CE8"/>
    <w:rsid w:val="005F4491"/>
    <w:rsid w:val="005F4A9B"/>
    <w:rsid w:val="005F521F"/>
    <w:rsid w:val="005F52E0"/>
    <w:rsid w:val="005F5580"/>
    <w:rsid w:val="005F5EB0"/>
    <w:rsid w:val="005F5FEF"/>
    <w:rsid w:val="005F654A"/>
    <w:rsid w:val="005F6A8F"/>
    <w:rsid w:val="005F6BB7"/>
    <w:rsid w:val="005F6FFD"/>
    <w:rsid w:val="005F7588"/>
    <w:rsid w:val="005F7645"/>
    <w:rsid w:val="006002C3"/>
    <w:rsid w:val="00600CFF"/>
    <w:rsid w:val="00600F01"/>
    <w:rsid w:val="006019B8"/>
    <w:rsid w:val="00602054"/>
    <w:rsid w:val="006024B9"/>
    <w:rsid w:val="0060276E"/>
    <w:rsid w:val="006027DF"/>
    <w:rsid w:val="006028D3"/>
    <w:rsid w:val="00602A55"/>
    <w:rsid w:val="00602B28"/>
    <w:rsid w:val="00602C37"/>
    <w:rsid w:val="00602D3A"/>
    <w:rsid w:val="00602D92"/>
    <w:rsid w:val="00602D9D"/>
    <w:rsid w:val="006032E5"/>
    <w:rsid w:val="006034CD"/>
    <w:rsid w:val="006034F5"/>
    <w:rsid w:val="00603DB9"/>
    <w:rsid w:val="00604133"/>
    <w:rsid w:val="00604155"/>
    <w:rsid w:val="006043DB"/>
    <w:rsid w:val="006043E2"/>
    <w:rsid w:val="0060445E"/>
    <w:rsid w:val="0060490E"/>
    <w:rsid w:val="00604BA3"/>
    <w:rsid w:val="00604E51"/>
    <w:rsid w:val="00605A1E"/>
    <w:rsid w:val="00605A48"/>
    <w:rsid w:val="00606175"/>
    <w:rsid w:val="0060617A"/>
    <w:rsid w:val="0060648B"/>
    <w:rsid w:val="00606676"/>
    <w:rsid w:val="00606B18"/>
    <w:rsid w:val="00606BCD"/>
    <w:rsid w:val="00606FBA"/>
    <w:rsid w:val="00607052"/>
    <w:rsid w:val="006070A1"/>
    <w:rsid w:val="0060745A"/>
    <w:rsid w:val="006075BF"/>
    <w:rsid w:val="00607669"/>
    <w:rsid w:val="006076F4"/>
    <w:rsid w:val="00607AFD"/>
    <w:rsid w:val="00607B19"/>
    <w:rsid w:val="00607BA4"/>
    <w:rsid w:val="00607E19"/>
    <w:rsid w:val="0061023F"/>
    <w:rsid w:val="00610774"/>
    <w:rsid w:val="00610CCC"/>
    <w:rsid w:val="00610F49"/>
    <w:rsid w:val="00611059"/>
    <w:rsid w:val="00611415"/>
    <w:rsid w:val="006114F0"/>
    <w:rsid w:val="00611768"/>
    <w:rsid w:val="00611A25"/>
    <w:rsid w:val="00611B12"/>
    <w:rsid w:val="00611C0F"/>
    <w:rsid w:val="006126E1"/>
    <w:rsid w:val="00612777"/>
    <w:rsid w:val="00612F97"/>
    <w:rsid w:val="0061339B"/>
    <w:rsid w:val="0061345D"/>
    <w:rsid w:val="0061399A"/>
    <w:rsid w:val="006139F7"/>
    <w:rsid w:val="00613BF4"/>
    <w:rsid w:val="006147C9"/>
    <w:rsid w:val="00614B3B"/>
    <w:rsid w:val="00614CAB"/>
    <w:rsid w:val="006153D8"/>
    <w:rsid w:val="0061549B"/>
    <w:rsid w:val="006158EF"/>
    <w:rsid w:val="00615D5D"/>
    <w:rsid w:val="006160C2"/>
    <w:rsid w:val="0061613D"/>
    <w:rsid w:val="00616802"/>
    <w:rsid w:val="00616D47"/>
    <w:rsid w:val="00616E56"/>
    <w:rsid w:val="00617203"/>
    <w:rsid w:val="006175A5"/>
    <w:rsid w:val="00617804"/>
    <w:rsid w:val="0061798C"/>
    <w:rsid w:val="00617E12"/>
    <w:rsid w:val="00620185"/>
    <w:rsid w:val="006202F2"/>
    <w:rsid w:val="006203B6"/>
    <w:rsid w:val="00620580"/>
    <w:rsid w:val="006205CC"/>
    <w:rsid w:val="0062067A"/>
    <w:rsid w:val="006208CF"/>
    <w:rsid w:val="00620C25"/>
    <w:rsid w:val="00620D55"/>
    <w:rsid w:val="00620E3A"/>
    <w:rsid w:val="00621241"/>
    <w:rsid w:val="006213C8"/>
    <w:rsid w:val="00621477"/>
    <w:rsid w:val="0062154F"/>
    <w:rsid w:val="00621ADA"/>
    <w:rsid w:val="00621BCF"/>
    <w:rsid w:val="00621F5B"/>
    <w:rsid w:val="00621F79"/>
    <w:rsid w:val="00622166"/>
    <w:rsid w:val="00622237"/>
    <w:rsid w:val="0062228C"/>
    <w:rsid w:val="00622295"/>
    <w:rsid w:val="006229FA"/>
    <w:rsid w:val="00622B09"/>
    <w:rsid w:val="00623734"/>
    <w:rsid w:val="006239DF"/>
    <w:rsid w:val="00623BFB"/>
    <w:rsid w:val="00623F7B"/>
    <w:rsid w:val="006240D6"/>
    <w:rsid w:val="006244B0"/>
    <w:rsid w:val="006245B4"/>
    <w:rsid w:val="0062467E"/>
    <w:rsid w:val="006248BC"/>
    <w:rsid w:val="00624BD4"/>
    <w:rsid w:val="006256A6"/>
    <w:rsid w:val="00625968"/>
    <w:rsid w:val="006259D0"/>
    <w:rsid w:val="00625BEC"/>
    <w:rsid w:val="00625D19"/>
    <w:rsid w:val="00625DF1"/>
    <w:rsid w:val="00626425"/>
    <w:rsid w:val="0062659A"/>
    <w:rsid w:val="00626B76"/>
    <w:rsid w:val="00626EC1"/>
    <w:rsid w:val="006271AB"/>
    <w:rsid w:val="00627552"/>
    <w:rsid w:val="006275C4"/>
    <w:rsid w:val="00627DD6"/>
    <w:rsid w:val="00630097"/>
    <w:rsid w:val="006300C7"/>
    <w:rsid w:val="0063022C"/>
    <w:rsid w:val="00630808"/>
    <w:rsid w:val="00630AAC"/>
    <w:rsid w:val="00630C27"/>
    <w:rsid w:val="00631576"/>
    <w:rsid w:val="0063158F"/>
    <w:rsid w:val="00631679"/>
    <w:rsid w:val="00631D6B"/>
    <w:rsid w:val="00631DFE"/>
    <w:rsid w:val="00631FBF"/>
    <w:rsid w:val="00632183"/>
    <w:rsid w:val="00632C05"/>
    <w:rsid w:val="00633022"/>
    <w:rsid w:val="00633047"/>
    <w:rsid w:val="006330A1"/>
    <w:rsid w:val="006331B2"/>
    <w:rsid w:val="006333B0"/>
    <w:rsid w:val="0063372A"/>
    <w:rsid w:val="00633A12"/>
    <w:rsid w:val="00633B13"/>
    <w:rsid w:val="00633B7C"/>
    <w:rsid w:val="00633C35"/>
    <w:rsid w:val="00633D87"/>
    <w:rsid w:val="00633DD3"/>
    <w:rsid w:val="00633ED4"/>
    <w:rsid w:val="00633F81"/>
    <w:rsid w:val="006341C3"/>
    <w:rsid w:val="00634489"/>
    <w:rsid w:val="00634702"/>
    <w:rsid w:val="0063479F"/>
    <w:rsid w:val="00634C02"/>
    <w:rsid w:val="006353F0"/>
    <w:rsid w:val="0063541E"/>
    <w:rsid w:val="006357B5"/>
    <w:rsid w:val="0063590F"/>
    <w:rsid w:val="006359E3"/>
    <w:rsid w:val="006364A1"/>
    <w:rsid w:val="006364AF"/>
    <w:rsid w:val="00636533"/>
    <w:rsid w:val="006366B9"/>
    <w:rsid w:val="0063678E"/>
    <w:rsid w:val="00636CBE"/>
    <w:rsid w:val="00636E7A"/>
    <w:rsid w:val="006373AF"/>
    <w:rsid w:val="006377BB"/>
    <w:rsid w:val="00637BFD"/>
    <w:rsid w:val="00637C5C"/>
    <w:rsid w:val="00637E45"/>
    <w:rsid w:val="00640698"/>
    <w:rsid w:val="0064156A"/>
    <w:rsid w:val="00641948"/>
    <w:rsid w:val="00641C4E"/>
    <w:rsid w:val="00641CAA"/>
    <w:rsid w:val="00641FB3"/>
    <w:rsid w:val="00642051"/>
    <w:rsid w:val="006424EE"/>
    <w:rsid w:val="006426A1"/>
    <w:rsid w:val="00642C69"/>
    <w:rsid w:val="00642EB8"/>
    <w:rsid w:val="00643457"/>
    <w:rsid w:val="00643AA4"/>
    <w:rsid w:val="00643FC2"/>
    <w:rsid w:val="00644155"/>
    <w:rsid w:val="0064434C"/>
    <w:rsid w:val="006446FC"/>
    <w:rsid w:val="00644F38"/>
    <w:rsid w:val="006451E8"/>
    <w:rsid w:val="006452EA"/>
    <w:rsid w:val="006454F6"/>
    <w:rsid w:val="00645C1B"/>
    <w:rsid w:val="00645C42"/>
    <w:rsid w:val="00645DCA"/>
    <w:rsid w:val="0064638D"/>
    <w:rsid w:val="006469E8"/>
    <w:rsid w:val="00647114"/>
    <w:rsid w:val="006471CC"/>
    <w:rsid w:val="006472FE"/>
    <w:rsid w:val="00647504"/>
    <w:rsid w:val="00647A29"/>
    <w:rsid w:val="00647FEC"/>
    <w:rsid w:val="00650265"/>
    <w:rsid w:val="006504E0"/>
    <w:rsid w:val="00650673"/>
    <w:rsid w:val="006506B5"/>
    <w:rsid w:val="0065079F"/>
    <w:rsid w:val="00650BA6"/>
    <w:rsid w:val="0065108D"/>
    <w:rsid w:val="006510CF"/>
    <w:rsid w:val="00651557"/>
    <w:rsid w:val="006521A8"/>
    <w:rsid w:val="006523AB"/>
    <w:rsid w:val="006527EB"/>
    <w:rsid w:val="006529CC"/>
    <w:rsid w:val="00652A28"/>
    <w:rsid w:val="00652CCB"/>
    <w:rsid w:val="00653123"/>
    <w:rsid w:val="0065379F"/>
    <w:rsid w:val="00653AE8"/>
    <w:rsid w:val="00653F95"/>
    <w:rsid w:val="0065408F"/>
    <w:rsid w:val="00654458"/>
    <w:rsid w:val="006544DF"/>
    <w:rsid w:val="00654BD7"/>
    <w:rsid w:val="00654ED5"/>
    <w:rsid w:val="0065505F"/>
    <w:rsid w:val="00655309"/>
    <w:rsid w:val="00655328"/>
    <w:rsid w:val="00655829"/>
    <w:rsid w:val="006559CE"/>
    <w:rsid w:val="00656188"/>
    <w:rsid w:val="006561F9"/>
    <w:rsid w:val="0065661D"/>
    <w:rsid w:val="00656FD5"/>
    <w:rsid w:val="00657133"/>
    <w:rsid w:val="0065715A"/>
    <w:rsid w:val="00657281"/>
    <w:rsid w:val="00657300"/>
    <w:rsid w:val="006575C7"/>
    <w:rsid w:val="0065797A"/>
    <w:rsid w:val="006601FE"/>
    <w:rsid w:val="00660EEB"/>
    <w:rsid w:val="00660FE1"/>
    <w:rsid w:val="006610F1"/>
    <w:rsid w:val="006615C2"/>
    <w:rsid w:val="006618A2"/>
    <w:rsid w:val="0066195B"/>
    <w:rsid w:val="00661AB4"/>
    <w:rsid w:val="00661B05"/>
    <w:rsid w:val="00661C6B"/>
    <w:rsid w:val="00661D49"/>
    <w:rsid w:val="00661EC7"/>
    <w:rsid w:val="00662279"/>
    <w:rsid w:val="006627A9"/>
    <w:rsid w:val="006629E8"/>
    <w:rsid w:val="00662D3E"/>
    <w:rsid w:val="00662F5B"/>
    <w:rsid w:val="00663096"/>
    <w:rsid w:val="0066321D"/>
    <w:rsid w:val="00663284"/>
    <w:rsid w:val="0066337D"/>
    <w:rsid w:val="006634B6"/>
    <w:rsid w:val="00663558"/>
    <w:rsid w:val="00663979"/>
    <w:rsid w:val="00663AE0"/>
    <w:rsid w:val="00663F10"/>
    <w:rsid w:val="00664359"/>
    <w:rsid w:val="0066465E"/>
    <w:rsid w:val="00664BFD"/>
    <w:rsid w:val="00664E17"/>
    <w:rsid w:val="00664EE1"/>
    <w:rsid w:val="006650CA"/>
    <w:rsid w:val="00665262"/>
    <w:rsid w:val="006656C1"/>
    <w:rsid w:val="00665835"/>
    <w:rsid w:val="00665B74"/>
    <w:rsid w:val="00665BE6"/>
    <w:rsid w:val="00665C28"/>
    <w:rsid w:val="006663F5"/>
    <w:rsid w:val="006665A8"/>
    <w:rsid w:val="006674CB"/>
    <w:rsid w:val="006679A1"/>
    <w:rsid w:val="00667BE3"/>
    <w:rsid w:val="00667CF3"/>
    <w:rsid w:val="0067005D"/>
    <w:rsid w:val="006701B6"/>
    <w:rsid w:val="00670615"/>
    <w:rsid w:val="00670B66"/>
    <w:rsid w:val="00671004"/>
    <w:rsid w:val="00671013"/>
    <w:rsid w:val="0067174B"/>
    <w:rsid w:val="0067248C"/>
    <w:rsid w:val="00672646"/>
    <w:rsid w:val="00672A0B"/>
    <w:rsid w:val="00672B79"/>
    <w:rsid w:val="00672F89"/>
    <w:rsid w:val="006730B2"/>
    <w:rsid w:val="006730D7"/>
    <w:rsid w:val="00673A32"/>
    <w:rsid w:val="00673B33"/>
    <w:rsid w:val="00673BD0"/>
    <w:rsid w:val="0067473B"/>
    <w:rsid w:val="00674917"/>
    <w:rsid w:val="00674A83"/>
    <w:rsid w:val="00674E42"/>
    <w:rsid w:val="00675049"/>
    <w:rsid w:val="006750A0"/>
    <w:rsid w:val="00675791"/>
    <w:rsid w:val="00675AAB"/>
    <w:rsid w:val="00675C4F"/>
    <w:rsid w:val="00675DBD"/>
    <w:rsid w:val="006764AE"/>
    <w:rsid w:val="00676563"/>
    <w:rsid w:val="00676AD4"/>
    <w:rsid w:val="00677080"/>
    <w:rsid w:val="00677772"/>
    <w:rsid w:val="00680CC6"/>
    <w:rsid w:val="00680CDF"/>
    <w:rsid w:val="006813F8"/>
    <w:rsid w:val="00681C78"/>
    <w:rsid w:val="00681FA9"/>
    <w:rsid w:val="00682112"/>
    <w:rsid w:val="0068218D"/>
    <w:rsid w:val="006826F7"/>
    <w:rsid w:val="00682BA6"/>
    <w:rsid w:val="00682D83"/>
    <w:rsid w:val="0068349E"/>
    <w:rsid w:val="006834BF"/>
    <w:rsid w:val="00683534"/>
    <w:rsid w:val="00683B33"/>
    <w:rsid w:val="00684718"/>
    <w:rsid w:val="006847B0"/>
    <w:rsid w:val="00684827"/>
    <w:rsid w:val="00684EE3"/>
    <w:rsid w:val="0068594E"/>
    <w:rsid w:val="00685FFC"/>
    <w:rsid w:val="006860B2"/>
    <w:rsid w:val="00686957"/>
    <w:rsid w:val="006872BA"/>
    <w:rsid w:val="006873C4"/>
    <w:rsid w:val="0068757F"/>
    <w:rsid w:val="006875BA"/>
    <w:rsid w:val="0068766F"/>
    <w:rsid w:val="006878B4"/>
    <w:rsid w:val="00687DDA"/>
    <w:rsid w:val="00690130"/>
    <w:rsid w:val="0069033A"/>
    <w:rsid w:val="0069058A"/>
    <w:rsid w:val="0069061B"/>
    <w:rsid w:val="0069069D"/>
    <w:rsid w:val="00690795"/>
    <w:rsid w:val="00690B53"/>
    <w:rsid w:val="00690E3E"/>
    <w:rsid w:val="00690F20"/>
    <w:rsid w:val="00691088"/>
    <w:rsid w:val="00691342"/>
    <w:rsid w:val="00691648"/>
    <w:rsid w:val="0069175A"/>
    <w:rsid w:val="006917D7"/>
    <w:rsid w:val="00691E88"/>
    <w:rsid w:val="006920B9"/>
    <w:rsid w:val="006926F9"/>
    <w:rsid w:val="0069298C"/>
    <w:rsid w:val="00692CB6"/>
    <w:rsid w:val="00692E6E"/>
    <w:rsid w:val="00692ED1"/>
    <w:rsid w:val="00693328"/>
    <w:rsid w:val="00693804"/>
    <w:rsid w:val="00693B40"/>
    <w:rsid w:val="00693B82"/>
    <w:rsid w:val="00693C78"/>
    <w:rsid w:val="0069434C"/>
    <w:rsid w:val="0069439C"/>
    <w:rsid w:val="006945F8"/>
    <w:rsid w:val="00694AB2"/>
    <w:rsid w:val="00694CC6"/>
    <w:rsid w:val="00694EAA"/>
    <w:rsid w:val="00694F44"/>
    <w:rsid w:val="006954FD"/>
    <w:rsid w:val="0069587B"/>
    <w:rsid w:val="006961B4"/>
    <w:rsid w:val="006964E6"/>
    <w:rsid w:val="00696597"/>
    <w:rsid w:val="00696724"/>
    <w:rsid w:val="00696B39"/>
    <w:rsid w:val="00696C7C"/>
    <w:rsid w:val="00696EF9"/>
    <w:rsid w:val="00696F51"/>
    <w:rsid w:val="00696F71"/>
    <w:rsid w:val="0069762E"/>
    <w:rsid w:val="006979A3"/>
    <w:rsid w:val="006979A5"/>
    <w:rsid w:val="00697B0A"/>
    <w:rsid w:val="00697F7F"/>
    <w:rsid w:val="006A016F"/>
    <w:rsid w:val="006A0680"/>
    <w:rsid w:val="006A0C69"/>
    <w:rsid w:val="006A0DF7"/>
    <w:rsid w:val="006A0EA2"/>
    <w:rsid w:val="006A0F37"/>
    <w:rsid w:val="006A11E1"/>
    <w:rsid w:val="006A12C6"/>
    <w:rsid w:val="006A1381"/>
    <w:rsid w:val="006A16FB"/>
    <w:rsid w:val="006A1A98"/>
    <w:rsid w:val="006A1E21"/>
    <w:rsid w:val="006A2459"/>
    <w:rsid w:val="006A2768"/>
    <w:rsid w:val="006A2953"/>
    <w:rsid w:val="006A29BA"/>
    <w:rsid w:val="006A3A10"/>
    <w:rsid w:val="006A3A33"/>
    <w:rsid w:val="006A3EE6"/>
    <w:rsid w:val="006A4236"/>
    <w:rsid w:val="006A4321"/>
    <w:rsid w:val="006A43D9"/>
    <w:rsid w:val="006A47DA"/>
    <w:rsid w:val="006A4947"/>
    <w:rsid w:val="006A4D5E"/>
    <w:rsid w:val="006A510E"/>
    <w:rsid w:val="006A5838"/>
    <w:rsid w:val="006A5E57"/>
    <w:rsid w:val="006A60E0"/>
    <w:rsid w:val="006A6231"/>
    <w:rsid w:val="006A6B99"/>
    <w:rsid w:val="006A6F51"/>
    <w:rsid w:val="006A6F65"/>
    <w:rsid w:val="006A7578"/>
    <w:rsid w:val="006A77D0"/>
    <w:rsid w:val="006A77DC"/>
    <w:rsid w:val="006A7C02"/>
    <w:rsid w:val="006A7E5F"/>
    <w:rsid w:val="006A7F1E"/>
    <w:rsid w:val="006A7FF7"/>
    <w:rsid w:val="006B0463"/>
    <w:rsid w:val="006B0526"/>
    <w:rsid w:val="006B06F3"/>
    <w:rsid w:val="006B0F87"/>
    <w:rsid w:val="006B105A"/>
    <w:rsid w:val="006B1571"/>
    <w:rsid w:val="006B1602"/>
    <w:rsid w:val="006B19E4"/>
    <w:rsid w:val="006B1D60"/>
    <w:rsid w:val="006B22B1"/>
    <w:rsid w:val="006B261B"/>
    <w:rsid w:val="006B2C90"/>
    <w:rsid w:val="006B32A4"/>
    <w:rsid w:val="006B35E6"/>
    <w:rsid w:val="006B3C17"/>
    <w:rsid w:val="006B4014"/>
    <w:rsid w:val="006B465A"/>
    <w:rsid w:val="006B4CFE"/>
    <w:rsid w:val="006B4FF2"/>
    <w:rsid w:val="006B5387"/>
    <w:rsid w:val="006B57F4"/>
    <w:rsid w:val="006B5C24"/>
    <w:rsid w:val="006B651E"/>
    <w:rsid w:val="006B657C"/>
    <w:rsid w:val="006B66EE"/>
    <w:rsid w:val="006B6C10"/>
    <w:rsid w:val="006B6DD0"/>
    <w:rsid w:val="006B76BB"/>
    <w:rsid w:val="006B781A"/>
    <w:rsid w:val="006B7E55"/>
    <w:rsid w:val="006C028B"/>
    <w:rsid w:val="006C0399"/>
    <w:rsid w:val="006C03C3"/>
    <w:rsid w:val="006C0B95"/>
    <w:rsid w:val="006C0E8B"/>
    <w:rsid w:val="006C1C32"/>
    <w:rsid w:val="006C2441"/>
    <w:rsid w:val="006C260B"/>
    <w:rsid w:val="006C2910"/>
    <w:rsid w:val="006C2A8E"/>
    <w:rsid w:val="006C2C5F"/>
    <w:rsid w:val="006C3255"/>
    <w:rsid w:val="006C3331"/>
    <w:rsid w:val="006C3765"/>
    <w:rsid w:val="006C3961"/>
    <w:rsid w:val="006C3AEA"/>
    <w:rsid w:val="006C3F26"/>
    <w:rsid w:val="006C433E"/>
    <w:rsid w:val="006C47B6"/>
    <w:rsid w:val="006C47E9"/>
    <w:rsid w:val="006C47FC"/>
    <w:rsid w:val="006C4984"/>
    <w:rsid w:val="006C4A0F"/>
    <w:rsid w:val="006C4E0A"/>
    <w:rsid w:val="006C4FFE"/>
    <w:rsid w:val="006C51C2"/>
    <w:rsid w:val="006C5673"/>
    <w:rsid w:val="006C5824"/>
    <w:rsid w:val="006C608E"/>
    <w:rsid w:val="006C66EF"/>
    <w:rsid w:val="006C7169"/>
    <w:rsid w:val="006C71DF"/>
    <w:rsid w:val="006C73F7"/>
    <w:rsid w:val="006C79E1"/>
    <w:rsid w:val="006C7AF1"/>
    <w:rsid w:val="006C7E77"/>
    <w:rsid w:val="006C7FE1"/>
    <w:rsid w:val="006D04F7"/>
    <w:rsid w:val="006D08CA"/>
    <w:rsid w:val="006D0B34"/>
    <w:rsid w:val="006D0D17"/>
    <w:rsid w:val="006D1162"/>
    <w:rsid w:val="006D14D9"/>
    <w:rsid w:val="006D17C6"/>
    <w:rsid w:val="006D18E4"/>
    <w:rsid w:val="006D198E"/>
    <w:rsid w:val="006D19A3"/>
    <w:rsid w:val="006D23BC"/>
    <w:rsid w:val="006D2FE1"/>
    <w:rsid w:val="006D3127"/>
    <w:rsid w:val="006D315D"/>
    <w:rsid w:val="006D336A"/>
    <w:rsid w:val="006D33D3"/>
    <w:rsid w:val="006D3563"/>
    <w:rsid w:val="006D381D"/>
    <w:rsid w:val="006D3C7D"/>
    <w:rsid w:val="006D4659"/>
    <w:rsid w:val="006D46DE"/>
    <w:rsid w:val="006D496C"/>
    <w:rsid w:val="006D508D"/>
    <w:rsid w:val="006D513A"/>
    <w:rsid w:val="006D5360"/>
    <w:rsid w:val="006D54AB"/>
    <w:rsid w:val="006D5B8B"/>
    <w:rsid w:val="006D5D33"/>
    <w:rsid w:val="006D5D5F"/>
    <w:rsid w:val="006D62EC"/>
    <w:rsid w:val="006D637D"/>
    <w:rsid w:val="006D6726"/>
    <w:rsid w:val="006D68D4"/>
    <w:rsid w:val="006D68FB"/>
    <w:rsid w:val="006D696D"/>
    <w:rsid w:val="006D6BCC"/>
    <w:rsid w:val="006D71B4"/>
    <w:rsid w:val="006D720E"/>
    <w:rsid w:val="006D7435"/>
    <w:rsid w:val="006D753B"/>
    <w:rsid w:val="006E0293"/>
    <w:rsid w:val="006E0D78"/>
    <w:rsid w:val="006E0E5F"/>
    <w:rsid w:val="006E1641"/>
    <w:rsid w:val="006E1A62"/>
    <w:rsid w:val="006E1C67"/>
    <w:rsid w:val="006E1F5F"/>
    <w:rsid w:val="006E2802"/>
    <w:rsid w:val="006E2868"/>
    <w:rsid w:val="006E2876"/>
    <w:rsid w:val="006E2A67"/>
    <w:rsid w:val="006E31A2"/>
    <w:rsid w:val="006E355A"/>
    <w:rsid w:val="006E388F"/>
    <w:rsid w:val="006E3CAB"/>
    <w:rsid w:val="006E4140"/>
    <w:rsid w:val="006E4469"/>
    <w:rsid w:val="006E485E"/>
    <w:rsid w:val="006E4B65"/>
    <w:rsid w:val="006E4C56"/>
    <w:rsid w:val="006E4DF3"/>
    <w:rsid w:val="006E4EC6"/>
    <w:rsid w:val="006E508C"/>
    <w:rsid w:val="006E5116"/>
    <w:rsid w:val="006E580E"/>
    <w:rsid w:val="006E5DC0"/>
    <w:rsid w:val="006E60E9"/>
    <w:rsid w:val="006E642F"/>
    <w:rsid w:val="006E6645"/>
    <w:rsid w:val="006E6B68"/>
    <w:rsid w:val="006E72F9"/>
    <w:rsid w:val="006E7707"/>
    <w:rsid w:val="006E7C4F"/>
    <w:rsid w:val="006E7D30"/>
    <w:rsid w:val="006E7DFE"/>
    <w:rsid w:val="006F00FC"/>
    <w:rsid w:val="006F0163"/>
    <w:rsid w:val="006F1245"/>
    <w:rsid w:val="006F1302"/>
    <w:rsid w:val="006F1322"/>
    <w:rsid w:val="006F13FC"/>
    <w:rsid w:val="006F174D"/>
    <w:rsid w:val="006F1940"/>
    <w:rsid w:val="006F1A4D"/>
    <w:rsid w:val="006F1A73"/>
    <w:rsid w:val="006F2105"/>
    <w:rsid w:val="006F218C"/>
    <w:rsid w:val="006F237E"/>
    <w:rsid w:val="006F2561"/>
    <w:rsid w:val="006F263F"/>
    <w:rsid w:val="006F2B2B"/>
    <w:rsid w:val="006F306C"/>
    <w:rsid w:val="006F3733"/>
    <w:rsid w:val="006F3F6C"/>
    <w:rsid w:val="006F4230"/>
    <w:rsid w:val="006F42AC"/>
    <w:rsid w:val="006F4917"/>
    <w:rsid w:val="006F4A8F"/>
    <w:rsid w:val="006F4D2D"/>
    <w:rsid w:val="006F4D9E"/>
    <w:rsid w:val="006F51B6"/>
    <w:rsid w:val="006F57C4"/>
    <w:rsid w:val="006F5946"/>
    <w:rsid w:val="006F63A5"/>
    <w:rsid w:val="006F65AD"/>
    <w:rsid w:val="006F6B07"/>
    <w:rsid w:val="006F6B33"/>
    <w:rsid w:val="006F6D1A"/>
    <w:rsid w:val="006F722A"/>
    <w:rsid w:val="006F7235"/>
    <w:rsid w:val="006F73BC"/>
    <w:rsid w:val="006F7603"/>
    <w:rsid w:val="006F769E"/>
    <w:rsid w:val="006F788B"/>
    <w:rsid w:val="006F78FB"/>
    <w:rsid w:val="006F7B1B"/>
    <w:rsid w:val="006F7BB7"/>
    <w:rsid w:val="007002F5"/>
    <w:rsid w:val="0070058E"/>
    <w:rsid w:val="007005E0"/>
    <w:rsid w:val="00700732"/>
    <w:rsid w:val="007009BB"/>
    <w:rsid w:val="00700E61"/>
    <w:rsid w:val="007010DE"/>
    <w:rsid w:val="0070142B"/>
    <w:rsid w:val="0070142F"/>
    <w:rsid w:val="00701434"/>
    <w:rsid w:val="00701679"/>
    <w:rsid w:val="00701688"/>
    <w:rsid w:val="0070276E"/>
    <w:rsid w:val="00702B1D"/>
    <w:rsid w:val="00702E07"/>
    <w:rsid w:val="00702F8F"/>
    <w:rsid w:val="007038E6"/>
    <w:rsid w:val="00703B34"/>
    <w:rsid w:val="00703DF6"/>
    <w:rsid w:val="0070486A"/>
    <w:rsid w:val="00704A77"/>
    <w:rsid w:val="00704DF0"/>
    <w:rsid w:val="0070536A"/>
    <w:rsid w:val="00705706"/>
    <w:rsid w:val="007059B8"/>
    <w:rsid w:val="00706574"/>
    <w:rsid w:val="007071DF"/>
    <w:rsid w:val="0070726F"/>
    <w:rsid w:val="0070767B"/>
    <w:rsid w:val="007079FC"/>
    <w:rsid w:val="00707D50"/>
    <w:rsid w:val="00710360"/>
    <w:rsid w:val="0071064A"/>
    <w:rsid w:val="00710771"/>
    <w:rsid w:val="00710B6D"/>
    <w:rsid w:val="007111FD"/>
    <w:rsid w:val="00711568"/>
    <w:rsid w:val="0071170D"/>
    <w:rsid w:val="00711A36"/>
    <w:rsid w:val="00711FB4"/>
    <w:rsid w:val="007125D3"/>
    <w:rsid w:val="0071271A"/>
    <w:rsid w:val="00712918"/>
    <w:rsid w:val="00712B5A"/>
    <w:rsid w:val="007136CB"/>
    <w:rsid w:val="0071385A"/>
    <w:rsid w:val="0071398C"/>
    <w:rsid w:val="00713C30"/>
    <w:rsid w:val="00713E3F"/>
    <w:rsid w:val="007144B7"/>
    <w:rsid w:val="00714C26"/>
    <w:rsid w:val="00714E41"/>
    <w:rsid w:val="00714FCC"/>
    <w:rsid w:val="0071529C"/>
    <w:rsid w:val="00715BD8"/>
    <w:rsid w:val="007162A5"/>
    <w:rsid w:val="007170DA"/>
    <w:rsid w:val="007172AD"/>
    <w:rsid w:val="007172DA"/>
    <w:rsid w:val="00717546"/>
    <w:rsid w:val="00717F76"/>
    <w:rsid w:val="00720546"/>
    <w:rsid w:val="00720801"/>
    <w:rsid w:val="00721096"/>
    <w:rsid w:val="00721776"/>
    <w:rsid w:val="00721824"/>
    <w:rsid w:val="0072195A"/>
    <w:rsid w:val="00721D85"/>
    <w:rsid w:val="00721E1C"/>
    <w:rsid w:val="0072231A"/>
    <w:rsid w:val="00722329"/>
    <w:rsid w:val="00722A14"/>
    <w:rsid w:val="00722B1B"/>
    <w:rsid w:val="00722F67"/>
    <w:rsid w:val="0072359D"/>
    <w:rsid w:val="00723B61"/>
    <w:rsid w:val="0072416F"/>
    <w:rsid w:val="007241CF"/>
    <w:rsid w:val="0072455E"/>
    <w:rsid w:val="007248A1"/>
    <w:rsid w:val="00724AB4"/>
    <w:rsid w:val="00724EB2"/>
    <w:rsid w:val="00725590"/>
    <w:rsid w:val="00725E5D"/>
    <w:rsid w:val="00726B04"/>
    <w:rsid w:val="00726CD1"/>
    <w:rsid w:val="007271B7"/>
    <w:rsid w:val="00727217"/>
    <w:rsid w:val="00727251"/>
    <w:rsid w:val="00727392"/>
    <w:rsid w:val="00727626"/>
    <w:rsid w:val="007276FC"/>
    <w:rsid w:val="0072787E"/>
    <w:rsid w:val="00727AA2"/>
    <w:rsid w:val="00727B84"/>
    <w:rsid w:val="00727BF6"/>
    <w:rsid w:val="00727C94"/>
    <w:rsid w:val="00727DF5"/>
    <w:rsid w:val="007307B1"/>
    <w:rsid w:val="00730CFC"/>
    <w:rsid w:val="00730E46"/>
    <w:rsid w:val="00731556"/>
    <w:rsid w:val="00731729"/>
    <w:rsid w:val="00731B0A"/>
    <w:rsid w:val="00731D09"/>
    <w:rsid w:val="00731EAE"/>
    <w:rsid w:val="007320AC"/>
    <w:rsid w:val="0073243D"/>
    <w:rsid w:val="00732869"/>
    <w:rsid w:val="00732A3E"/>
    <w:rsid w:val="00732AAF"/>
    <w:rsid w:val="00732D6C"/>
    <w:rsid w:val="00732FEF"/>
    <w:rsid w:val="00733073"/>
    <w:rsid w:val="007331F2"/>
    <w:rsid w:val="007337BF"/>
    <w:rsid w:val="00733AA2"/>
    <w:rsid w:val="00733B23"/>
    <w:rsid w:val="00734888"/>
    <w:rsid w:val="00735033"/>
    <w:rsid w:val="007352AE"/>
    <w:rsid w:val="007352EB"/>
    <w:rsid w:val="00735328"/>
    <w:rsid w:val="007358B9"/>
    <w:rsid w:val="00735A2D"/>
    <w:rsid w:val="00735BF9"/>
    <w:rsid w:val="00735C7C"/>
    <w:rsid w:val="00736308"/>
    <w:rsid w:val="00736678"/>
    <w:rsid w:val="0073685B"/>
    <w:rsid w:val="00736E92"/>
    <w:rsid w:val="0073722C"/>
    <w:rsid w:val="007377AB"/>
    <w:rsid w:val="00737867"/>
    <w:rsid w:val="0073790C"/>
    <w:rsid w:val="007379E3"/>
    <w:rsid w:val="00737B36"/>
    <w:rsid w:val="00737C28"/>
    <w:rsid w:val="00740011"/>
    <w:rsid w:val="007402BA"/>
    <w:rsid w:val="00741AAA"/>
    <w:rsid w:val="00741DDC"/>
    <w:rsid w:val="007423D7"/>
    <w:rsid w:val="0074279E"/>
    <w:rsid w:val="00743782"/>
    <w:rsid w:val="00744175"/>
    <w:rsid w:val="00744529"/>
    <w:rsid w:val="007446ED"/>
    <w:rsid w:val="007448ED"/>
    <w:rsid w:val="007449BF"/>
    <w:rsid w:val="00744AF9"/>
    <w:rsid w:val="00744B95"/>
    <w:rsid w:val="0074560F"/>
    <w:rsid w:val="007460CC"/>
    <w:rsid w:val="00746242"/>
    <w:rsid w:val="007463FE"/>
    <w:rsid w:val="007465C4"/>
    <w:rsid w:val="00746875"/>
    <w:rsid w:val="00746885"/>
    <w:rsid w:val="00746BC0"/>
    <w:rsid w:val="00746DAB"/>
    <w:rsid w:val="00747926"/>
    <w:rsid w:val="007479D9"/>
    <w:rsid w:val="00750386"/>
    <w:rsid w:val="00750424"/>
    <w:rsid w:val="007505CC"/>
    <w:rsid w:val="00750C72"/>
    <w:rsid w:val="00750E4E"/>
    <w:rsid w:val="007510B4"/>
    <w:rsid w:val="007511A5"/>
    <w:rsid w:val="007517FC"/>
    <w:rsid w:val="00752142"/>
    <w:rsid w:val="007523F9"/>
    <w:rsid w:val="00752983"/>
    <w:rsid w:val="00752C33"/>
    <w:rsid w:val="0075311A"/>
    <w:rsid w:val="007531A1"/>
    <w:rsid w:val="00753226"/>
    <w:rsid w:val="0075357E"/>
    <w:rsid w:val="00753B29"/>
    <w:rsid w:val="00753DEE"/>
    <w:rsid w:val="00753ECA"/>
    <w:rsid w:val="00754703"/>
    <w:rsid w:val="00754754"/>
    <w:rsid w:val="007549F3"/>
    <w:rsid w:val="007550FE"/>
    <w:rsid w:val="00755204"/>
    <w:rsid w:val="007552EE"/>
    <w:rsid w:val="007553A3"/>
    <w:rsid w:val="00755434"/>
    <w:rsid w:val="007557CE"/>
    <w:rsid w:val="00755C82"/>
    <w:rsid w:val="007560BB"/>
    <w:rsid w:val="007561D9"/>
    <w:rsid w:val="0075650E"/>
    <w:rsid w:val="007567B4"/>
    <w:rsid w:val="00756CE3"/>
    <w:rsid w:val="00756DE6"/>
    <w:rsid w:val="007573E8"/>
    <w:rsid w:val="00757432"/>
    <w:rsid w:val="007577BD"/>
    <w:rsid w:val="007577F7"/>
    <w:rsid w:val="00757947"/>
    <w:rsid w:val="00757B1E"/>
    <w:rsid w:val="00757C7B"/>
    <w:rsid w:val="00760362"/>
    <w:rsid w:val="00760573"/>
    <w:rsid w:val="0076083C"/>
    <w:rsid w:val="00760939"/>
    <w:rsid w:val="00760C4E"/>
    <w:rsid w:val="00760F9E"/>
    <w:rsid w:val="007616E6"/>
    <w:rsid w:val="007617DB"/>
    <w:rsid w:val="00761A27"/>
    <w:rsid w:val="00761E53"/>
    <w:rsid w:val="00761F32"/>
    <w:rsid w:val="0076211B"/>
    <w:rsid w:val="007626EF"/>
    <w:rsid w:val="0076278B"/>
    <w:rsid w:val="007627BE"/>
    <w:rsid w:val="00762A5B"/>
    <w:rsid w:val="00763118"/>
    <w:rsid w:val="00763712"/>
    <w:rsid w:val="00763A93"/>
    <w:rsid w:val="00763CCC"/>
    <w:rsid w:val="00764189"/>
    <w:rsid w:val="0076456F"/>
    <w:rsid w:val="007645AF"/>
    <w:rsid w:val="00764901"/>
    <w:rsid w:val="00764A65"/>
    <w:rsid w:val="00764F03"/>
    <w:rsid w:val="0076537A"/>
    <w:rsid w:val="007653FE"/>
    <w:rsid w:val="00765842"/>
    <w:rsid w:val="00765B1A"/>
    <w:rsid w:val="00765DC1"/>
    <w:rsid w:val="00766166"/>
    <w:rsid w:val="00766375"/>
    <w:rsid w:val="00766A30"/>
    <w:rsid w:val="00766A67"/>
    <w:rsid w:val="00766EE5"/>
    <w:rsid w:val="0076782E"/>
    <w:rsid w:val="0077116E"/>
    <w:rsid w:val="007711CB"/>
    <w:rsid w:val="0077173C"/>
    <w:rsid w:val="00772860"/>
    <w:rsid w:val="0077298E"/>
    <w:rsid w:val="00772F05"/>
    <w:rsid w:val="00772F6D"/>
    <w:rsid w:val="007732FB"/>
    <w:rsid w:val="0077330E"/>
    <w:rsid w:val="007733EC"/>
    <w:rsid w:val="007737C6"/>
    <w:rsid w:val="00773D13"/>
    <w:rsid w:val="007740CD"/>
    <w:rsid w:val="007742AF"/>
    <w:rsid w:val="007742B5"/>
    <w:rsid w:val="0077448D"/>
    <w:rsid w:val="007744DA"/>
    <w:rsid w:val="00774723"/>
    <w:rsid w:val="007747D5"/>
    <w:rsid w:val="0077487E"/>
    <w:rsid w:val="007749CA"/>
    <w:rsid w:val="00775198"/>
    <w:rsid w:val="0077556B"/>
    <w:rsid w:val="007758B3"/>
    <w:rsid w:val="00775B4D"/>
    <w:rsid w:val="00775F87"/>
    <w:rsid w:val="007763C7"/>
    <w:rsid w:val="007768E1"/>
    <w:rsid w:val="00776A29"/>
    <w:rsid w:val="00776F5A"/>
    <w:rsid w:val="00776F76"/>
    <w:rsid w:val="00776F91"/>
    <w:rsid w:val="00777335"/>
    <w:rsid w:val="00777B64"/>
    <w:rsid w:val="00777BD3"/>
    <w:rsid w:val="00777C6F"/>
    <w:rsid w:val="007805D0"/>
    <w:rsid w:val="007807E8"/>
    <w:rsid w:val="00780B85"/>
    <w:rsid w:val="00780C4B"/>
    <w:rsid w:val="00780F00"/>
    <w:rsid w:val="007811AA"/>
    <w:rsid w:val="00781371"/>
    <w:rsid w:val="007817D6"/>
    <w:rsid w:val="00781A1D"/>
    <w:rsid w:val="00781BE1"/>
    <w:rsid w:val="00781F56"/>
    <w:rsid w:val="007821EB"/>
    <w:rsid w:val="00782261"/>
    <w:rsid w:val="0078246A"/>
    <w:rsid w:val="0078254E"/>
    <w:rsid w:val="00782BDD"/>
    <w:rsid w:val="00782C41"/>
    <w:rsid w:val="00782C9F"/>
    <w:rsid w:val="00782CD7"/>
    <w:rsid w:val="00782E26"/>
    <w:rsid w:val="00782FAA"/>
    <w:rsid w:val="0078315E"/>
    <w:rsid w:val="007832F5"/>
    <w:rsid w:val="007834D4"/>
    <w:rsid w:val="007834F9"/>
    <w:rsid w:val="00783964"/>
    <w:rsid w:val="00783C27"/>
    <w:rsid w:val="00783ED4"/>
    <w:rsid w:val="007843C6"/>
    <w:rsid w:val="007843F2"/>
    <w:rsid w:val="007846A4"/>
    <w:rsid w:val="007846FA"/>
    <w:rsid w:val="00784BD9"/>
    <w:rsid w:val="00785036"/>
    <w:rsid w:val="00785703"/>
    <w:rsid w:val="00785925"/>
    <w:rsid w:val="00785A9F"/>
    <w:rsid w:val="007864A0"/>
    <w:rsid w:val="007867F0"/>
    <w:rsid w:val="00786928"/>
    <w:rsid w:val="0078765D"/>
    <w:rsid w:val="007877C4"/>
    <w:rsid w:val="00787AF5"/>
    <w:rsid w:val="00787F63"/>
    <w:rsid w:val="00787FCB"/>
    <w:rsid w:val="0079021A"/>
    <w:rsid w:val="00790D9A"/>
    <w:rsid w:val="00791203"/>
    <w:rsid w:val="00791AD4"/>
    <w:rsid w:val="00791EB8"/>
    <w:rsid w:val="007924C5"/>
    <w:rsid w:val="007925DF"/>
    <w:rsid w:val="00792715"/>
    <w:rsid w:val="00792C4B"/>
    <w:rsid w:val="00792D24"/>
    <w:rsid w:val="00793236"/>
    <w:rsid w:val="007932BC"/>
    <w:rsid w:val="00793B67"/>
    <w:rsid w:val="00793D33"/>
    <w:rsid w:val="00793D79"/>
    <w:rsid w:val="007941FB"/>
    <w:rsid w:val="00794516"/>
    <w:rsid w:val="007945C5"/>
    <w:rsid w:val="00795AB5"/>
    <w:rsid w:val="007966EB"/>
    <w:rsid w:val="00796899"/>
    <w:rsid w:val="00796CB5"/>
    <w:rsid w:val="00797CEE"/>
    <w:rsid w:val="007A00BC"/>
    <w:rsid w:val="007A00F0"/>
    <w:rsid w:val="007A07C8"/>
    <w:rsid w:val="007A081A"/>
    <w:rsid w:val="007A08AA"/>
    <w:rsid w:val="007A08C5"/>
    <w:rsid w:val="007A0A12"/>
    <w:rsid w:val="007A0AFD"/>
    <w:rsid w:val="007A114D"/>
    <w:rsid w:val="007A115E"/>
    <w:rsid w:val="007A132D"/>
    <w:rsid w:val="007A1345"/>
    <w:rsid w:val="007A13CA"/>
    <w:rsid w:val="007A161B"/>
    <w:rsid w:val="007A164D"/>
    <w:rsid w:val="007A2262"/>
    <w:rsid w:val="007A2399"/>
    <w:rsid w:val="007A2460"/>
    <w:rsid w:val="007A27A5"/>
    <w:rsid w:val="007A288A"/>
    <w:rsid w:val="007A2DDB"/>
    <w:rsid w:val="007A2F9E"/>
    <w:rsid w:val="007A3101"/>
    <w:rsid w:val="007A3236"/>
    <w:rsid w:val="007A32C4"/>
    <w:rsid w:val="007A3688"/>
    <w:rsid w:val="007A39F2"/>
    <w:rsid w:val="007A3B42"/>
    <w:rsid w:val="007A3BF8"/>
    <w:rsid w:val="007A3FAC"/>
    <w:rsid w:val="007A440F"/>
    <w:rsid w:val="007A4C05"/>
    <w:rsid w:val="007A544D"/>
    <w:rsid w:val="007A5477"/>
    <w:rsid w:val="007A559C"/>
    <w:rsid w:val="007A5895"/>
    <w:rsid w:val="007A607F"/>
    <w:rsid w:val="007A6471"/>
    <w:rsid w:val="007A69AD"/>
    <w:rsid w:val="007A6C53"/>
    <w:rsid w:val="007A70BA"/>
    <w:rsid w:val="007A75D4"/>
    <w:rsid w:val="007A78DD"/>
    <w:rsid w:val="007A7F63"/>
    <w:rsid w:val="007B0D68"/>
    <w:rsid w:val="007B1DDD"/>
    <w:rsid w:val="007B251D"/>
    <w:rsid w:val="007B2EE2"/>
    <w:rsid w:val="007B2F2E"/>
    <w:rsid w:val="007B3155"/>
    <w:rsid w:val="007B3533"/>
    <w:rsid w:val="007B3EC9"/>
    <w:rsid w:val="007B3F89"/>
    <w:rsid w:val="007B4B24"/>
    <w:rsid w:val="007B4BC9"/>
    <w:rsid w:val="007B4F58"/>
    <w:rsid w:val="007B528D"/>
    <w:rsid w:val="007B5558"/>
    <w:rsid w:val="007B63CA"/>
    <w:rsid w:val="007B661A"/>
    <w:rsid w:val="007B7652"/>
    <w:rsid w:val="007B77D1"/>
    <w:rsid w:val="007B7D14"/>
    <w:rsid w:val="007C07C7"/>
    <w:rsid w:val="007C0DA6"/>
    <w:rsid w:val="007C0F94"/>
    <w:rsid w:val="007C0FA2"/>
    <w:rsid w:val="007C1037"/>
    <w:rsid w:val="007C1452"/>
    <w:rsid w:val="007C1ABD"/>
    <w:rsid w:val="007C1CD9"/>
    <w:rsid w:val="007C1ED6"/>
    <w:rsid w:val="007C275E"/>
    <w:rsid w:val="007C32EF"/>
    <w:rsid w:val="007C361D"/>
    <w:rsid w:val="007C36CA"/>
    <w:rsid w:val="007C37ED"/>
    <w:rsid w:val="007C3A73"/>
    <w:rsid w:val="007C3B1C"/>
    <w:rsid w:val="007C3C30"/>
    <w:rsid w:val="007C3EF2"/>
    <w:rsid w:val="007C466B"/>
    <w:rsid w:val="007C4B84"/>
    <w:rsid w:val="007C53B7"/>
    <w:rsid w:val="007C5A90"/>
    <w:rsid w:val="007C5C48"/>
    <w:rsid w:val="007C5C7B"/>
    <w:rsid w:val="007C602F"/>
    <w:rsid w:val="007C6995"/>
    <w:rsid w:val="007C6A02"/>
    <w:rsid w:val="007C6A31"/>
    <w:rsid w:val="007C70FF"/>
    <w:rsid w:val="007C7598"/>
    <w:rsid w:val="007C75CD"/>
    <w:rsid w:val="007C7C25"/>
    <w:rsid w:val="007C7C97"/>
    <w:rsid w:val="007D004F"/>
    <w:rsid w:val="007D035F"/>
    <w:rsid w:val="007D0422"/>
    <w:rsid w:val="007D06B2"/>
    <w:rsid w:val="007D0A99"/>
    <w:rsid w:val="007D0B38"/>
    <w:rsid w:val="007D168B"/>
    <w:rsid w:val="007D2057"/>
    <w:rsid w:val="007D2CF5"/>
    <w:rsid w:val="007D2E75"/>
    <w:rsid w:val="007D4854"/>
    <w:rsid w:val="007D48B7"/>
    <w:rsid w:val="007D4A60"/>
    <w:rsid w:val="007D4C10"/>
    <w:rsid w:val="007D4CD2"/>
    <w:rsid w:val="007D4DB9"/>
    <w:rsid w:val="007D4F6C"/>
    <w:rsid w:val="007D50CF"/>
    <w:rsid w:val="007D5440"/>
    <w:rsid w:val="007D5477"/>
    <w:rsid w:val="007D62F0"/>
    <w:rsid w:val="007D6417"/>
    <w:rsid w:val="007D642C"/>
    <w:rsid w:val="007D649B"/>
    <w:rsid w:val="007D65B7"/>
    <w:rsid w:val="007D6645"/>
    <w:rsid w:val="007D69EB"/>
    <w:rsid w:val="007D6A39"/>
    <w:rsid w:val="007D6BE9"/>
    <w:rsid w:val="007D6D31"/>
    <w:rsid w:val="007D72EB"/>
    <w:rsid w:val="007D79B2"/>
    <w:rsid w:val="007E0242"/>
    <w:rsid w:val="007E0857"/>
    <w:rsid w:val="007E0A67"/>
    <w:rsid w:val="007E0AC9"/>
    <w:rsid w:val="007E0DC1"/>
    <w:rsid w:val="007E128F"/>
    <w:rsid w:val="007E172A"/>
    <w:rsid w:val="007E173F"/>
    <w:rsid w:val="007E21ED"/>
    <w:rsid w:val="007E220A"/>
    <w:rsid w:val="007E25D7"/>
    <w:rsid w:val="007E26E8"/>
    <w:rsid w:val="007E27FE"/>
    <w:rsid w:val="007E2D47"/>
    <w:rsid w:val="007E2F2C"/>
    <w:rsid w:val="007E31D1"/>
    <w:rsid w:val="007E3705"/>
    <w:rsid w:val="007E39BD"/>
    <w:rsid w:val="007E3A8B"/>
    <w:rsid w:val="007E3CD4"/>
    <w:rsid w:val="007E436A"/>
    <w:rsid w:val="007E4696"/>
    <w:rsid w:val="007E5154"/>
    <w:rsid w:val="007E52D7"/>
    <w:rsid w:val="007E5D5D"/>
    <w:rsid w:val="007E5F7E"/>
    <w:rsid w:val="007E621A"/>
    <w:rsid w:val="007E6305"/>
    <w:rsid w:val="007E65EC"/>
    <w:rsid w:val="007E6847"/>
    <w:rsid w:val="007E7154"/>
    <w:rsid w:val="007E72BC"/>
    <w:rsid w:val="007E762C"/>
    <w:rsid w:val="007E7A8E"/>
    <w:rsid w:val="007F0004"/>
    <w:rsid w:val="007F02A8"/>
    <w:rsid w:val="007F0C21"/>
    <w:rsid w:val="007F0D6F"/>
    <w:rsid w:val="007F1017"/>
    <w:rsid w:val="007F1B3C"/>
    <w:rsid w:val="007F2499"/>
    <w:rsid w:val="007F288A"/>
    <w:rsid w:val="007F33F4"/>
    <w:rsid w:val="007F3624"/>
    <w:rsid w:val="007F3754"/>
    <w:rsid w:val="007F37E1"/>
    <w:rsid w:val="007F387F"/>
    <w:rsid w:val="007F3CD6"/>
    <w:rsid w:val="007F42A9"/>
    <w:rsid w:val="007F4866"/>
    <w:rsid w:val="007F488B"/>
    <w:rsid w:val="007F4A3F"/>
    <w:rsid w:val="007F4A61"/>
    <w:rsid w:val="007F521C"/>
    <w:rsid w:val="007F5255"/>
    <w:rsid w:val="007F539D"/>
    <w:rsid w:val="007F56CC"/>
    <w:rsid w:val="007F5BF8"/>
    <w:rsid w:val="007F60D4"/>
    <w:rsid w:val="007F61C2"/>
    <w:rsid w:val="007F64D9"/>
    <w:rsid w:val="007F6537"/>
    <w:rsid w:val="007F65C8"/>
    <w:rsid w:val="007F722F"/>
    <w:rsid w:val="007F728B"/>
    <w:rsid w:val="007F747E"/>
    <w:rsid w:val="00800076"/>
    <w:rsid w:val="00800575"/>
    <w:rsid w:val="008008C9"/>
    <w:rsid w:val="008008E4"/>
    <w:rsid w:val="00800A06"/>
    <w:rsid w:val="00800F1F"/>
    <w:rsid w:val="00801244"/>
    <w:rsid w:val="00801492"/>
    <w:rsid w:val="00802014"/>
    <w:rsid w:val="008022A2"/>
    <w:rsid w:val="008023EF"/>
    <w:rsid w:val="008027AA"/>
    <w:rsid w:val="00802934"/>
    <w:rsid w:val="00802AA3"/>
    <w:rsid w:val="00802D08"/>
    <w:rsid w:val="00802FCA"/>
    <w:rsid w:val="008030FB"/>
    <w:rsid w:val="0080316D"/>
    <w:rsid w:val="0080317A"/>
    <w:rsid w:val="00803275"/>
    <w:rsid w:val="008032F7"/>
    <w:rsid w:val="0080370A"/>
    <w:rsid w:val="008037EE"/>
    <w:rsid w:val="0080386A"/>
    <w:rsid w:val="00803FA2"/>
    <w:rsid w:val="008040AA"/>
    <w:rsid w:val="008040FA"/>
    <w:rsid w:val="008044EA"/>
    <w:rsid w:val="0080485C"/>
    <w:rsid w:val="00804D83"/>
    <w:rsid w:val="00805142"/>
    <w:rsid w:val="00805292"/>
    <w:rsid w:val="00805591"/>
    <w:rsid w:val="0080566B"/>
    <w:rsid w:val="00805A71"/>
    <w:rsid w:val="00805DA0"/>
    <w:rsid w:val="00805FCE"/>
    <w:rsid w:val="0080641D"/>
    <w:rsid w:val="0080694E"/>
    <w:rsid w:val="00806B7C"/>
    <w:rsid w:val="00806C36"/>
    <w:rsid w:val="00806DAA"/>
    <w:rsid w:val="008079C7"/>
    <w:rsid w:val="00807A45"/>
    <w:rsid w:val="00807A8B"/>
    <w:rsid w:val="00807E37"/>
    <w:rsid w:val="00807FDD"/>
    <w:rsid w:val="0081048E"/>
    <w:rsid w:val="0081062B"/>
    <w:rsid w:val="008107CF"/>
    <w:rsid w:val="00810810"/>
    <w:rsid w:val="00810A55"/>
    <w:rsid w:val="00810C04"/>
    <w:rsid w:val="00811002"/>
    <w:rsid w:val="00811051"/>
    <w:rsid w:val="008112BD"/>
    <w:rsid w:val="00811383"/>
    <w:rsid w:val="00811628"/>
    <w:rsid w:val="008119EE"/>
    <w:rsid w:val="00812021"/>
    <w:rsid w:val="00812149"/>
    <w:rsid w:val="008122D4"/>
    <w:rsid w:val="008127D4"/>
    <w:rsid w:val="00812841"/>
    <w:rsid w:val="00812851"/>
    <w:rsid w:val="0081286C"/>
    <w:rsid w:val="00812903"/>
    <w:rsid w:val="00812B6F"/>
    <w:rsid w:val="00812CAC"/>
    <w:rsid w:val="00813AB0"/>
    <w:rsid w:val="00813B3D"/>
    <w:rsid w:val="00813B6B"/>
    <w:rsid w:val="00813C0F"/>
    <w:rsid w:val="00813EA7"/>
    <w:rsid w:val="008141D2"/>
    <w:rsid w:val="00814293"/>
    <w:rsid w:val="008144C2"/>
    <w:rsid w:val="00814BF1"/>
    <w:rsid w:val="008151E4"/>
    <w:rsid w:val="008153C9"/>
    <w:rsid w:val="00815406"/>
    <w:rsid w:val="00815559"/>
    <w:rsid w:val="008157C1"/>
    <w:rsid w:val="00815941"/>
    <w:rsid w:val="00815C69"/>
    <w:rsid w:val="00815C75"/>
    <w:rsid w:val="00815CA2"/>
    <w:rsid w:val="00815CE6"/>
    <w:rsid w:val="00816361"/>
    <w:rsid w:val="0081667A"/>
    <w:rsid w:val="008166EF"/>
    <w:rsid w:val="008167EC"/>
    <w:rsid w:val="0081692A"/>
    <w:rsid w:val="00816B05"/>
    <w:rsid w:val="00816FEF"/>
    <w:rsid w:val="0081705C"/>
    <w:rsid w:val="008171FF"/>
    <w:rsid w:val="00817300"/>
    <w:rsid w:val="0081775B"/>
    <w:rsid w:val="0081779C"/>
    <w:rsid w:val="00817958"/>
    <w:rsid w:val="00817B7D"/>
    <w:rsid w:val="00817B9D"/>
    <w:rsid w:val="00817F8C"/>
    <w:rsid w:val="00820350"/>
    <w:rsid w:val="0082085B"/>
    <w:rsid w:val="0082093A"/>
    <w:rsid w:val="00820A8C"/>
    <w:rsid w:val="00820BA8"/>
    <w:rsid w:val="00820CA9"/>
    <w:rsid w:val="00820D04"/>
    <w:rsid w:val="00820F3F"/>
    <w:rsid w:val="00820FF9"/>
    <w:rsid w:val="008215FB"/>
    <w:rsid w:val="00821905"/>
    <w:rsid w:val="00821D7F"/>
    <w:rsid w:val="00821F3A"/>
    <w:rsid w:val="008220CC"/>
    <w:rsid w:val="00822AAF"/>
    <w:rsid w:val="00822C6D"/>
    <w:rsid w:val="00822D45"/>
    <w:rsid w:val="00822F86"/>
    <w:rsid w:val="00822F96"/>
    <w:rsid w:val="00823174"/>
    <w:rsid w:val="008232A8"/>
    <w:rsid w:val="0082392E"/>
    <w:rsid w:val="00823B7F"/>
    <w:rsid w:val="00824331"/>
    <w:rsid w:val="0082498B"/>
    <w:rsid w:val="00824D32"/>
    <w:rsid w:val="00824F01"/>
    <w:rsid w:val="00825060"/>
    <w:rsid w:val="008251DD"/>
    <w:rsid w:val="00825751"/>
    <w:rsid w:val="00825EC5"/>
    <w:rsid w:val="00826247"/>
    <w:rsid w:val="008264EB"/>
    <w:rsid w:val="008268CE"/>
    <w:rsid w:val="00826DB9"/>
    <w:rsid w:val="00826EB0"/>
    <w:rsid w:val="00826EE1"/>
    <w:rsid w:val="00827216"/>
    <w:rsid w:val="008273FB"/>
    <w:rsid w:val="00827C23"/>
    <w:rsid w:val="00827C4C"/>
    <w:rsid w:val="00827D8F"/>
    <w:rsid w:val="008302AF"/>
    <w:rsid w:val="0083060D"/>
    <w:rsid w:val="00830755"/>
    <w:rsid w:val="008309A6"/>
    <w:rsid w:val="008309AF"/>
    <w:rsid w:val="00830B28"/>
    <w:rsid w:val="00831511"/>
    <w:rsid w:val="00831899"/>
    <w:rsid w:val="008321C3"/>
    <w:rsid w:val="008322BD"/>
    <w:rsid w:val="008322DE"/>
    <w:rsid w:val="00832382"/>
    <w:rsid w:val="0083249B"/>
    <w:rsid w:val="00833160"/>
    <w:rsid w:val="008332C9"/>
    <w:rsid w:val="0083399E"/>
    <w:rsid w:val="00833B05"/>
    <w:rsid w:val="00833CD8"/>
    <w:rsid w:val="00833DA4"/>
    <w:rsid w:val="008343B1"/>
    <w:rsid w:val="0083463E"/>
    <w:rsid w:val="0083469D"/>
    <w:rsid w:val="00834759"/>
    <w:rsid w:val="00834CDF"/>
    <w:rsid w:val="00835062"/>
    <w:rsid w:val="008354F1"/>
    <w:rsid w:val="00835652"/>
    <w:rsid w:val="0083569F"/>
    <w:rsid w:val="00835F6E"/>
    <w:rsid w:val="00836037"/>
    <w:rsid w:val="008362B4"/>
    <w:rsid w:val="008363A0"/>
    <w:rsid w:val="008366D3"/>
    <w:rsid w:val="00837432"/>
    <w:rsid w:val="00837438"/>
    <w:rsid w:val="00837447"/>
    <w:rsid w:val="0083772D"/>
    <w:rsid w:val="00837A31"/>
    <w:rsid w:val="00837B58"/>
    <w:rsid w:val="00837E75"/>
    <w:rsid w:val="008407A2"/>
    <w:rsid w:val="0084096C"/>
    <w:rsid w:val="00840CA2"/>
    <w:rsid w:val="00840E11"/>
    <w:rsid w:val="00841155"/>
    <w:rsid w:val="00841267"/>
    <w:rsid w:val="0084131E"/>
    <w:rsid w:val="008414E9"/>
    <w:rsid w:val="008416E4"/>
    <w:rsid w:val="0084176F"/>
    <w:rsid w:val="0084188E"/>
    <w:rsid w:val="0084199B"/>
    <w:rsid w:val="00842095"/>
    <w:rsid w:val="0084221A"/>
    <w:rsid w:val="00842BC3"/>
    <w:rsid w:val="00842BC4"/>
    <w:rsid w:val="00842C7E"/>
    <w:rsid w:val="008430D7"/>
    <w:rsid w:val="008430DA"/>
    <w:rsid w:val="008431C4"/>
    <w:rsid w:val="0084374F"/>
    <w:rsid w:val="00843A0C"/>
    <w:rsid w:val="00843BDA"/>
    <w:rsid w:val="00844139"/>
    <w:rsid w:val="008445CF"/>
    <w:rsid w:val="008447AD"/>
    <w:rsid w:val="00844A22"/>
    <w:rsid w:val="00844A9C"/>
    <w:rsid w:val="008453CC"/>
    <w:rsid w:val="008455E4"/>
    <w:rsid w:val="0084588A"/>
    <w:rsid w:val="00845CDE"/>
    <w:rsid w:val="00846AEE"/>
    <w:rsid w:val="00847055"/>
    <w:rsid w:val="008471D9"/>
    <w:rsid w:val="00847703"/>
    <w:rsid w:val="00847BB9"/>
    <w:rsid w:val="00847DF5"/>
    <w:rsid w:val="008502E1"/>
    <w:rsid w:val="00850453"/>
    <w:rsid w:val="00850556"/>
    <w:rsid w:val="00850954"/>
    <w:rsid w:val="00850AEB"/>
    <w:rsid w:val="00850CFD"/>
    <w:rsid w:val="00850F1C"/>
    <w:rsid w:val="00851292"/>
    <w:rsid w:val="00851F91"/>
    <w:rsid w:val="008520F6"/>
    <w:rsid w:val="008521C0"/>
    <w:rsid w:val="00852291"/>
    <w:rsid w:val="008525F0"/>
    <w:rsid w:val="008526EE"/>
    <w:rsid w:val="00852F9A"/>
    <w:rsid w:val="0085303A"/>
    <w:rsid w:val="0085309D"/>
    <w:rsid w:val="008536AD"/>
    <w:rsid w:val="008537FD"/>
    <w:rsid w:val="00853805"/>
    <w:rsid w:val="00853B4A"/>
    <w:rsid w:val="00853CA7"/>
    <w:rsid w:val="00853CDC"/>
    <w:rsid w:val="008543BB"/>
    <w:rsid w:val="00854C7A"/>
    <w:rsid w:val="00854FEF"/>
    <w:rsid w:val="0085523A"/>
    <w:rsid w:val="00855AE8"/>
    <w:rsid w:val="00855FC3"/>
    <w:rsid w:val="00856234"/>
    <w:rsid w:val="008563C1"/>
    <w:rsid w:val="008564F4"/>
    <w:rsid w:val="00856547"/>
    <w:rsid w:val="008566F5"/>
    <w:rsid w:val="00856897"/>
    <w:rsid w:val="0085696C"/>
    <w:rsid w:val="00856A24"/>
    <w:rsid w:val="00856ACD"/>
    <w:rsid w:val="00856E9A"/>
    <w:rsid w:val="00857141"/>
    <w:rsid w:val="0085730B"/>
    <w:rsid w:val="0085741A"/>
    <w:rsid w:val="00857912"/>
    <w:rsid w:val="0085791B"/>
    <w:rsid w:val="00857954"/>
    <w:rsid w:val="00860491"/>
    <w:rsid w:val="008606FC"/>
    <w:rsid w:val="0086075D"/>
    <w:rsid w:val="00861183"/>
    <w:rsid w:val="00861782"/>
    <w:rsid w:val="0086193A"/>
    <w:rsid w:val="0086199D"/>
    <w:rsid w:val="008619B0"/>
    <w:rsid w:val="00861AC2"/>
    <w:rsid w:val="00861BD7"/>
    <w:rsid w:val="0086246D"/>
    <w:rsid w:val="00862502"/>
    <w:rsid w:val="008625C8"/>
    <w:rsid w:val="0086279D"/>
    <w:rsid w:val="00862A99"/>
    <w:rsid w:val="00862B24"/>
    <w:rsid w:val="00862C82"/>
    <w:rsid w:val="00862CC1"/>
    <w:rsid w:val="008631D7"/>
    <w:rsid w:val="0086360F"/>
    <w:rsid w:val="00863B55"/>
    <w:rsid w:val="00863BDC"/>
    <w:rsid w:val="00863BE7"/>
    <w:rsid w:val="00863D6A"/>
    <w:rsid w:val="0086409B"/>
    <w:rsid w:val="008640DC"/>
    <w:rsid w:val="008642A7"/>
    <w:rsid w:val="0086442A"/>
    <w:rsid w:val="00864AA4"/>
    <w:rsid w:val="00864C0A"/>
    <w:rsid w:val="00864DE7"/>
    <w:rsid w:val="00864EC6"/>
    <w:rsid w:val="00865431"/>
    <w:rsid w:val="0086565A"/>
    <w:rsid w:val="00865A15"/>
    <w:rsid w:val="00865E58"/>
    <w:rsid w:val="008660A1"/>
    <w:rsid w:val="008660D4"/>
    <w:rsid w:val="0086674A"/>
    <w:rsid w:val="0086683C"/>
    <w:rsid w:val="008675F1"/>
    <w:rsid w:val="008677CF"/>
    <w:rsid w:val="008679E6"/>
    <w:rsid w:val="00867A29"/>
    <w:rsid w:val="0087016C"/>
    <w:rsid w:val="00870746"/>
    <w:rsid w:val="008708C1"/>
    <w:rsid w:val="00870E35"/>
    <w:rsid w:val="00870FF4"/>
    <w:rsid w:val="00871FA9"/>
    <w:rsid w:val="008720E6"/>
    <w:rsid w:val="008724AF"/>
    <w:rsid w:val="008728E9"/>
    <w:rsid w:val="0087331C"/>
    <w:rsid w:val="00873DB3"/>
    <w:rsid w:val="00873E0B"/>
    <w:rsid w:val="00873E9A"/>
    <w:rsid w:val="00873F7E"/>
    <w:rsid w:val="00874024"/>
    <w:rsid w:val="008740FD"/>
    <w:rsid w:val="00874318"/>
    <w:rsid w:val="00874BB6"/>
    <w:rsid w:val="00874EA3"/>
    <w:rsid w:val="0087506E"/>
    <w:rsid w:val="008751AA"/>
    <w:rsid w:val="0087547A"/>
    <w:rsid w:val="008755AC"/>
    <w:rsid w:val="0087573C"/>
    <w:rsid w:val="00875E92"/>
    <w:rsid w:val="0087622F"/>
    <w:rsid w:val="00876459"/>
    <w:rsid w:val="008767CD"/>
    <w:rsid w:val="00876892"/>
    <w:rsid w:val="00876A86"/>
    <w:rsid w:val="00876A9C"/>
    <w:rsid w:val="00876B80"/>
    <w:rsid w:val="00876C21"/>
    <w:rsid w:val="00876CA0"/>
    <w:rsid w:val="0087786B"/>
    <w:rsid w:val="0088091C"/>
    <w:rsid w:val="00880A09"/>
    <w:rsid w:val="00880B3D"/>
    <w:rsid w:val="00881307"/>
    <w:rsid w:val="008813D1"/>
    <w:rsid w:val="008817C2"/>
    <w:rsid w:val="00881ABB"/>
    <w:rsid w:val="00881C12"/>
    <w:rsid w:val="00881D1B"/>
    <w:rsid w:val="008821C5"/>
    <w:rsid w:val="0088273F"/>
    <w:rsid w:val="00882761"/>
    <w:rsid w:val="00882874"/>
    <w:rsid w:val="00882A98"/>
    <w:rsid w:val="00882BAE"/>
    <w:rsid w:val="00882E3C"/>
    <w:rsid w:val="0088303C"/>
    <w:rsid w:val="0088308A"/>
    <w:rsid w:val="0088331D"/>
    <w:rsid w:val="008833C7"/>
    <w:rsid w:val="00883787"/>
    <w:rsid w:val="00883793"/>
    <w:rsid w:val="008837F3"/>
    <w:rsid w:val="008839CA"/>
    <w:rsid w:val="00884060"/>
    <w:rsid w:val="0088416D"/>
    <w:rsid w:val="008846A0"/>
    <w:rsid w:val="0088483D"/>
    <w:rsid w:val="00884C2D"/>
    <w:rsid w:val="00884F42"/>
    <w:rsid w:val="008855E4"/>
    <w:rsid w:val="00885A9F"/>
    <w:rsid w:val="00885B05"/>
    <w:rsid w:val="00885C64"/>
    <w:rsid w:val="00885D4B"/>
    <w:rsid w:val="008862F3"/>
    <w:rsid w:val="00886945"/>
    <w:rsid w:val="00886CC6"/>
    <w:rsid w:val="00886CD2"/>
    <w:rsid w:val="00886D41"/>
    <w:rsid w:val="00886DEC"/>
    <w:rsid w:val="00886F2D"/>
    <w:rsid w:val="00886FFC"/>
    <w:rsid w:val="00886FFF"/>
    <w:rsid w:val="00887D0D"/>
    <w:rsid w:val="008901D3"/>
    <w:rsid w:val="00890471"/>
    <w:rsid w:val="00891198"/>
    <w:rsid w:val="008911EC"/>
    <w:rsid w:val="0089159A"/>
    <w:rsid w:val="00891E6F"/>
    <w:rsid w:val="0089275D"/>
    <w:rsid w:val="00892A36"/>
    <w:rsid w:val="00893239"/>
    <w:rsid w:val="00893717"/>
    <w:rsid w:val="00893A39"/>
    <w:rsid w:val="0089420E"/>
    <w:rsid w:val="00894489"/>
    <w:rsid w:val="008945D5"/>
    <w:rsid w:val="00894789"/>
    <w:rsid w:val="008949A1"/>
    <w:rsid w:val="008949A8"/>
    <w:rsid w:val="00894A42"/>
    <w:rsid w:val="00894B51"/>
    <w:rsid w:val="00894CD6"/>
    <w:rsid w:val="00894EF5"/>
    <w:rsid w:val="00895061"/>
    <w:rsid w:val="008950BE"/>
    <w:rsid w:val="00895697"/>
    <w:rsid w:val="008959EF"/>
    <w:rsid w:val="008959FE"/>
    <w:rsid w:val="00895FAC"/>
    <w:rsid w:val="008963A5"/>
    <w:rsid w:val="008968A7"/>
    <w:rsid w:val="00896D5D"/>
    <w:rsid w:val="00896DC0"/>
    <w:rsid w:val="00897060"/>
    <w:rsid w:val="008970D8"/>
    <w:rsid w:val="008973A3"/>
    <w:rsid w:val="008975A6"/>
    <w:rsid w:val="00897B3F"/>
    <w:rsid w:val="00897CA9"/>
    <w:rsid w:val="008A00ED"/>
    <w:rsid w:val="008A051F"/>
    <w:rsid w:val="008A068A"/>
    <w:rsid w:val="008A07E9"/>
    <w:rsid w:val="008A082C"/>
    <w:rsid w:val="008A0840"/>
    <w:rsid w:val="008A0A84"/>
    <w:rsid w:val="008A0E54"/>
    <w:rsid w:val="008A0E65"/>
    <w:rsid w:val="008A1146"/>
    <w:rsid w:val="008A11C2"/>
    <w:rsid w:val="008A1319"/>
    <w:rsid w:val="008A15D5"/>
    <w:rsid w:val="008A185F"/>
    <w:rsid w:val="008A1954"/>
    <w:rsid w:val="008A19ED"/>
    <w:rsid w:val="008A1BB3"/>
    <w:rsid w:val="008A1C27"/>
    <w:rsid w:val="008A1ED8"/>
    <w:rsid w:val="008A217D"/>
    <w:rsid w:val="008A2ADA"/>
    <w:rsid w:val="008A2EC6"/>
    <w:rsid w:val="008A3158"/>
    <w:rsid w:val="008A3363"/>
    <w:rsid w:val="008A3371"/>
    <w:rsid w:val="008A3628"/>
    <w:rsid w:val="008A3863"/>
    <w:rsid w:val="008A38E1"/>
    <w:rsid w:val="008A3BB2"/>
    <w:rsid w:val="008A3C31"/>
    <w:rsid w:val="008A3C3E"/>
    <w:rsid w:val="008A404E"/>
    <w:rsid w:val="008A40E9"/>
    <w:rsid w:val="008A4239"/>
    <w:rsid w:val="008A4249"/>
    <w:rsid w:val="008A4278"/>
    <w:rsid w:val="008A4482"/>
    <w:rsid w:val="008A4EE5"/>
    <w:rsid w:val="008A4FA9"/>
    <w:rsid w:val="008A5649"/>
    <w:rsid w:val="008A56CA"/>
    <w:rsid w:val="008A57FE"/>
    <w:rsid w:val="008A59AD"/>
    <w:rsid w:val="008A5CF3"/>
    <w:rsid w:val="008A5DFC"/>
    <w:rsid w:val="008A5ED4"/>
    <w:rsid w:val="008A6F0A"/>
    <w:rsid w:val="008A784F"/>
    <w:rsid w:val="008A79DE"/>
    <w:rsid w:val="008A7A32"/>
    <w:rsid w:val="008A7C47"/>
    <w:rsid w:val="008A7E9C"/>
    <w:rsid w:val="008A7FE3"/>
    <w:rsid w:val="008B066E"/>
    <w:rsid w:val="008B095A"/>
    <w:rsid w:val="008B0F7D"/>
    <w:rsid w:val="008B14A1"/>
    <w:rsid w:val="008B14E0"/>
    <w:rsid w:val="008B1757"/>
    <w:rsid w:val="008B1C33"/>
    <w:rsid w:val="008B1C48"/>
    <w:rsid w:val="008B2082"/>
    <w:rsid w:val="008B228C"/>
    <w:rsid w:val="008B2349"/>
    <w:rsid w:val="008B241F"/>
    <w:rsid w:val="008B29C8"/>
    <w:rsid w:val="008B2F33"/>
    <w:rsid w:val="008B2FF0"/>
    <w:rsid w:val="008B33D6"/>
    <w:rsid w:val="008B369B"/>
    <w:rsid w:val="008B4382"/>
    <w:rsid w:val="008B43A7"/>
    <w:rsid w:val="008B450B"/>
    <w:rsid w:val="008B49D2"/>
    <w:rsid w:val="008B4B6F"/>
    <w:rsid w:val="008B4BC4"/>
    <w:rsid w:val="008B4D09"/>
    <w:rsid w:val="008B4F64"/>
    <w:rsid w:val="008B533E"/>
    <w:rsid w:val="008B5705"/>
    <w:rsid w:val="008B5768"/>
    <w:rsid w:val="008B5871"/>
    <w:rsid w:val="008B5A90"/>
    <w:rsid w:val="008B5E24"/>
    <w:rsid w:val="008B60DE"/>
    <w:rsid w:val="008B6CDB"/>
    <w:rsid w:val="008B6FB2"/>
    <w:rsid w:val="008B74AD"/>
    <w:rsid w:val="008B7822"/>
    <w:rsid w:val="008B7992"/>
    <w:rsid w:val="008B7ACB"/>
    <w:rsid w:val="008B7D7E"/>
    <w:rsid w:val="008C0135"/>
    <w:rsid w:val="008C0290"/>
    <w:rsid w:val="008C0F9C"/>
    <w:rsid w:val="008C1BAE"/>
    <w:rsid w:val="008C1F86"/>
    <w:rsid w:val="008C2288"/>
    <w:rsid w:val="008C2DBA"/>
    <w:rsid w:val="008C2EEF"/>
    <w:rsid w:val="008C2F32"/>
    <w:rsid w:val="008C3345"/>
    <w:rsid w:val="008C392C"/>
    <w:rsid w:val="008C4137"/>
    <w:rsid w:val="008C4372"/>
    <w:rsid w:val="008C44D0"/>
    <w:rsid w:val="008C45EE"/>
    <w:rsid w:val="008C4603"/>
    <w:rsid w:val="008C474F"/>
    <w:rsid w:val="008C4A07"/>
    <w:rsid w:val="008C4AA4"/>
    <w:rsid w:val="008C5103"/>
    <w:rsid w:val="008C5610"/>
    <w:rsid w:val="008C5739"/>
    <w:rsid w:val="008C5C5E"/>
    <w:rsid w:val="008C5E86"/>
    <w:rsid w:val="008C63C7"/>
    <w:rsid w:val="008C63CE"/>
    <w:rsid w:val="008C6CE5"/>
    <w:rsid w:val="008C6D82"/>
    <w:rsid w:val="008C7282"/>
    <w:rsid w:val="008C72A7"/>
    <w:rsid w:val="008C7607"/>
    <w:rsid w:val="008C7BB5"/>
    <w:rsid w:val="008C7CB0"/>
    <w:rsid w:val="008C7E15"/>
    <w:rsid w:val="008C7E53"/>
    <w:rsid w:val="008C7ECB"/>
    <w:rsid w:val="008D048A"/>
    <w:rsid w:val="008D0A4A"/>
    <w:rsid w:val="008D0A65"/>
    <w:rsid w:val="008D0C97"/>
    <w:rsid w:val="008D0DA9"/>
    <w:rsid w:val="008D0EE6"/>
    <w:rsid w:val="008D13B3"/>
    <w:rsid w:val="008D1907"/>
    <w:rsid w:val="008D1A60"/>
    <w:rsid w:val="008D1BD7"/>
    <w:rsid w:val="008D213A"/>
    <w:rsid w:val="008D24E2"/>
    <w:rsid w:val="008D270C"/>
    <w:rsid w:val="008D2E5F"/>
    <w:rsid w:val="008D32D6"/>
    <w:rsid w:val="008D3618"/>
    <w:rsid w:val="008D3935"/>
    <w:rsid w:val="008D3A5A"/>
    <w:rsid w:val="008D3B86"/>
    <w:rsid w:val="008D3D98"/>
    <w:rsid w:val="008D43FD"/>
    <w:rsid w:val="008D4755"/>
    <w:rsid w:val="008D4BEA"/>
    <w:rsid w:val="008D4C3D"/>
    <w:rsid w:val="008D4D51"/>
    <w:rsid w:val="008D4DD5"/>
    <w:rsid w:val="008D5058"/>
    <w:rsid w:val="008D531A"/>
    <w:rsid w:val="008D5AD3"/>
    <w:rsid w:val="008D67A6"/>
    <w:rsid w:val="008D6A10"/>
    <w:rsid w:val="008D6AAB"/>
    <w:rsid w:val="008D6C6C"/>
    <w:rsid w:val="008D6D6D"/>
    <w:rsid w:val="008D6F3F"/>
    <w:rsid w:val="008D707E"/>
    <w:rsid w:val="008D7181"/>
    <w:rsid w:val="008D743C"/>
    <w:rsid w:val="008D7800"/>
    <w:rsid w:val="008D7A50"/>
    <w:rsid w:val="008E03BF"/>
    <w:rsid w:val="008E0D3C"/>
    <w:rsid w:val="008E142B"/>
    <w:rsid w:val="008E185D"/>
    <w:rsid w:val="008E1B9E"/>
    <w:rsid w:val="008E1F24"/>
    <w:rsid w:val="008E279D"/>
    <w:rsid w:val="008E293F"/>
    <w:rsid w:val="008E2F79"/>
    <w:rsid w:val="008E344F"/>
    <w:rsid w:val="008E35A0"/>
    <w:rsid w:val="008E38D7"/>
    <w:rsid w:val="008E3A5B"/>
    <w:rsid w:val="008E4196"/>
    <w:rsid w:val="008E4985"/>
    <w:rsid w:val="008E4BBA"/>
    <w:rsid w:val="008E4D67"/>
    <w:rsid w:val="008E55AB"/>
    <w:rsid w:val="008E5730"/>
    <w:rsid w:val="008E5913"/>
    <w:rsid w:val="008E59A0"/>
    <w:rsid w:val="008E5CA5"/>
    <w:rsid w:val="008E61A3"/>
    <w:rsid w:val="008E64BF"/>
    <w:rsid w:val="008E64CB"/>
    <w:rsid w:val="008E653C"/>
    <w:rsid w:val="008E6646"/>
    <w:rsid w:val="008E6934"/>
    <w:rsid w:val="008E7178"/>
    <w:rsid w:val="008E7458"/>
    <w:rsid w:val="008E7482"/>
    <w:rsid w:val="008E77A9"/>
    <w:rsid w:val="008F06A4"/>
    <w:rsid w:val="008F0998"/>
    <w:rsid w:val="008F120A"/>
    <w:rsid w:val="008F129A"/>
    <w:rsid w:val="008F1322"/>
    <w:rsid w:val="008F15FA"/>
    <w:rsid w:val="008F18C5"/>
    <w:rsid w:val="008F1B93"/>
    <w:rsid w:val="008F20F3"/>
    <w:rsid w:val="008F264A"/>
    <w:rsid w:val="008F27E0"/>
    <w:rsid w:val="008F2811"/>
    <w:rsid w:val="008F2B0C"/>
    <w:rsid w:val="008F2B54"/>
    <w:rsid w:val="008F37EB"/>
    <w:rsid w:val="008F38F5"/>
    <w:rsid w:val="008F3E5A"/>
    <w:rsid w:val="008F3ECA"/>
    <w:rsid w:val="008F3ED6"/>
    <w:rsid w:val="008F3F3A"/>
    <w:rsid w:val="008F4026"/>
    <w:rsid w:val="008F4070"/>
    <w:rsid w:val="008F436E"/>
    <w:rsid w:val="008F4647"/>
    <w:rsid w:val="008F4678"/>
    <w:rsid w:val="008F468E"/>
    <w:rsid w:val="008F48EB"/>
    <w:rsid w:val="008F49DC"/>
    <w:rsid w:val="008F4F05"/>
    <w:rsid w:val="008F4F0B"/>
    <w:rsid w:val="008F54E4"/>
    <w:rsid w:val="008F58BF"/>
    <w:rsid w:val="008F58D1"/>
    <w:rsid w:val="008F6058"/>
    <w:rsid w:val="008F60E4"/>
    <w:rsid w:val="008F617D"/>
    <w:rsid w:val="008F626E"/>
    <w:rsid w:val="008F654A"/>
    <w:rsid w:val="008F65AA"/>
    <w:rsid w:val="008F66DA"/>
    <w:rsid w:val="008F67AB"/>
    <w:rsid w:val="008F6884"/>
    <w:rsid w:val="008F6901"/>
    <w:rsid w:val="008F6BC9"/>
    <w:rsid w:val="008F6CCF"/>
    <w:rsid w:val="008F70F4"/>
    <w:rsid w:val="008F750A"/>
    <w:rsid w:val="008F7C60"/>
    <w:rsid w:val="008F7D9C"/>
    <w:rsid w:val="008F7E8F"/>
    <w:rsid w:val="00900239"/>
    <w:rsid w:val="009003A8"/>
    <w:rsid w:val="00900681"/>
    <w:rsid w:val="00900692"/>
    <w:rsid w:val="009006B0"/>
    <w:rsid w:val="00900E11"/>
    <w:rsid w:val="00901673"/>
    <w:rsid w:val="0090182D"/>
    <w:rsid w:val="009018DF"/>
    <w:rsid w:val="00901BA5"/>
    <w:rsid w:val="00901D4B"/>
    <w:rsid w:val="0090219D"/>
    <w:rsid w:val="00902521"/>
    <w:rsid w:val="009026DC"/>
    <w:rsid w:val="00902D02"/>
    <w:rsid w:val="00903235"/>
    <w:rsid w:val="009034EC"/>
    <w:rsid w:val="00903658"/>
    <w:rsid w:val="0090370C"/>
    <w:rsid w:val="009046C4"/>
    <w:rsid w:val="0090486C"/>
    <w:rsid w:val="00904A81"/>
    <w:rsid w:val="0090513A"/>
    <w:rsid w:val="009053E4"/>
    <w:rsid w:val="009056F6"/>
    <w:rsid w:val="0090576C"/>
    <w:rsid w:val="00905C9F"/>
    <w:rsid w:val="00906075"/>
    <w:rsid w:val="00906097"/>
    <w:rsid w:val="00906164"/>
    <w:rsid w:val="009062A5"/>
    <w:rsid w:val="009062B0"/>
    <w:rsid w:val="00906B13"/>
    <w:rsid w:val="00906BC2"/>
    <w:rsid w:val="0090704C"/>
    <w:rsid w:val="0090736B"/>
    <w:rsid w:val="00907565"/>
    <w:rsid w:val="00907699"/>
    <w:rsid w:val="00907B4C"/>
    <w:rsid w:val="00907C20"/>
    <w:rsid w:val="00907F26"/>
    <w:rsid w:val="00910415"/>
    <w:rsid w:val="00910598"/>
    <w:rsid w:val="009109D8"/>
    <w:rsid w:val="00910A6E"/>
    <w:rsid w:val="00910B65"/>
    <w:rsid w:val="00910B73"/>
    <w:rsid w:val="00910DBF"/>
    <w:rsid w:val="00910FA7"/>
    <w:rsid w:val="00911272"/>
    <w:rsid w:val="00911339"/>
    <w:rsid w:val="009118DA"/>
    <w:rsid w:val="00911D2C"/>
    <w:rsid w:val="00912ACF"/>
    <w:rsid w:val="009133E3"/>
    <w:rsid w:val="00913585"/>
    <w:rsid w:val="009135D6"/>
    <w:rsid w:val="00913676"/>
    <w:rsid w:val="00913C74"/>
    <w:rsid w:val="00913C97"/>
    <w:rsid w:val="00913C9B"/>
    <w:rsid w:val="00913CF3"/>
    <w:rsid w:val="0091452D"/>
    <w:rsid w:val="009145BD"/>
    <w:rsid w:val="00914661"/>
    <w:rsid w:val="009148A1"/>
    <w:rsid w:val="0091491E"/>
    <w:rsid w:val="0091493D"/>
    <w:rsid w:val="00914C77"/>
    <w:rsid w:val="00915588"/>
    <w:rsid w:val="0091595D"/>
    <w:rsid w:val="00915AF1"/>
    <w:rsid w:val="00915DBD"/>
    <w:rsid w:val="00915E20"/>
    <w:rsid w:val="00916278"/>
    <w:rsid w:val="00916359"/>
    <w:rsid w:val="0091647E"/>
    <w:rsid w:val="00916F7E"/>
    <w:rsid w:val="0091719A"/>
    <w:rsid w:val="0091735B"/>
    <w:rsid w:val="00917445"/>
    <w:rsid w:val="009177C1"/>
    <w:rsid w:val="009178F0"/>
    <w:rsid w:val="00917935"/>
    <w:rsid w:val="00917D98"/>
    <w:rsid w:val="0092022E"/>
    <w:rsid w:val="00920237"/>
    <w:rsid w:val="009203B2"/>
    <w:rsid w:val="009206A5"/>
    <w:rsid w:val="009206D9"/>
    <w:rsid w:val="00921028"/>
    <w:rsid w:val="009210BC"/>
    <w:rsid w:val="00921289"/>
    <w:rsid w:val="00921746"/>
    <w:rsid w:val="00921ACB"/>
    <w:rsid w:val="00921D13"/>
    <w:rsid w:val="00921E26"/>
    <w:rsid w:val="00922011"/>
    <w:rsid w:val="00922167"/>
    <w:rsid w:val="0092225C"/>
    <w:rsid w:val="00922C3F"/>
    <w:rsid w:val="00922D88"/>
    <w:rsid w:val="009230E5"/>
    <w:rsid w:val="009230E9"/>
    <w:rsid w:val="0092322C"/>
    <w:rsid w:val="009235C1"/>
    <w:rsid w:val="0092369B"/>
    <w:rsid w:val="00923C93"/>
    <w:rsid w:val="00924278"/>
    <w:rsid w:val="00924290"/>
    <w:rsid w:val="009245A5"/>
    <w:rsid w:val="009253CC"/>
    <w:rsid w:val="009254C0"/>
    <w:rsid w:val="009257E1"/>
    <w:rsid w:val="00925D48"/>
    <w:rsid w:val="00926134"/>
    <w:rsid w:val="009265F8"/>
    <w:rsid w:val="00926922"/>
    <w:rsid w:val="00926B7F"/>
    <w:rsid w:val="00926C85"/>
    <w:rsid w:val="00926D26"/>
    <w:rsid w:val="009273B1"/>
    <w:rsid w:val="00927E94"/>
    <w:rsid w:val="00930004"/>
    <w:rsid w:val="009302B6"/>
    <w:rsid w:val="00930554"/>
    <w:rsid w:val="00930687"/>
    <w:rsid w:val="00930749"/>
    <w:rsid w:val="0093095F"/>
    <w:rsid w:val="009310CC"/>
    <w:rsid w:val="0093118A"/>
    <w:rsid w:val="00931257"/>
    <w:rsid w:val="009314B2"/>
    <w:rsid w:val="00931633"/>
    <w:rsid w:val="009317D0"/>
    <w:rsid w:val="0093182B"/>
    <w:rsid w:val="009318CE"/>
    <w:rsid w:val="00931949"/>
    <w:rsid w:val="00931A60"/>
    <w:rsid w:val="00931AA0"/>
    <w:rsid w:val="00931D3A"/>
    <w:rsid w:val="0093270D"/>
    <w:rsid w:val="00932976"/>
    <w:rsid w:val="00932D91"/>
    <w:rsid w:val="00932F4A"/>
    <w:rsid w:val="0093327E"/>
    <w:rsid w:val="00933424"/>
    <w:rsid w:val="009338CA"/>
    <w:rsid w:val="00933969"/>
    <w:rsid w:val="00933D34"/>
    <w:rsid w:val="009342B2"/>
    <w:rsid w:val="00934988"/>
    <w:rsid w:val="009352A3"/>
    <w:rsid w:val="009352F0"/>
    <w:rsid w:val="009353FC"/>
    <w:rsid w:val="00935AB9"/>
    <w:rsid w:val="00936392"/>
    <w:rsid w:val="00936AD9"/>
    <w:rsid w:val="00936B33"/>
    <w:rsid w:val="00936D04"/>
    <w:rsid w:val="00936D51"/>
    <w:rsid w:val="00937089"/>
    <w:rsid w:val="0093766C"/>
    <w:rsid w:val="00937D0E"/>
    <w:rsid w:val="00937DDB"/>
    <w:rsid w:val="00940068"/>
    <w:rsid w:val="009406BF"/>
    <w:rsid w:val="00940ADA"/>
    <w:rsid w:val="00941361"/>
    <w:rsid w:val="00941571"/>
    <w:rsid w:val="009417E1"/>
    <w:rsid w:val="009418D2"/>
    <w:rsid w:val="00941BF8"/>
    <w:rsid w:val="00941F71"/>
    <w:rsid w:val="00942301"/>
    <w:rsid w:val="00942395"/>
    <w:rsid w:val="00942397"/>
    <w:rsid w:val="00942579"/>
    <w:rsid w:val="00942816"/>
    <w:rsid w:val="00942A04"/>
    <w:rsid w:val="00942FA0"/>
    <w:rsid w:val="00943FB8"/>
    <w:rsid w:val="0094476E"/>
    <w:rsid w:val="00944B6A"/>
    <w:rsid w:val="00944C90"/>
    <w:rsid w:val="00944F8A"/>
    <w:rsid w:val="00945016"/>
    <w:rsid w:val="00945178"/>
    <w:rsid w:val="00945263"/>
    <w:rsid w:val="0094544A"/>
    <w:rsid w:val="00945DA1"/>
    <w:rsid w:val="00946376"/>
    <w:rsid w:val="00946D76"/>
    <w:rsid w:val="009474E1"/>
    <w:rsid w:val="00947B15"/>
    <w:rsid w:val="00950319"/>
    <w:rsid w:val="00950457"/>
    <w:rsid w:val="009506F5"/>
    <w:rsid w:val="00950995"/>
    <w:rsid w:val="00950D0A"/>
    <w:rsid w:val="009510A2"/>
    <w:rsid w:val="009511C9"/>
    <w:rsid w:val="00951273"/>
    <w:rsid w:val="0095173B"/>
    <w:rsid w:val="009519C2"/>
    <w:rsid w:val="00951D2A"/>
    <w:rsid w:val="00952976"/>
    <w:rsid w:val="00953120"/>
    <w:rsid w:val="00953257"/>
    <w:rsid w:val="0095325E"/>
    <w:rsid w:val="00953B49"/>
    <w:rsid w:val="00953C64"/>
    <w:rsid w:val="009546D1"/>
    <w:rsid w:val="0095474C"/>
    <w:rsid w:val="00954B87"/>
    <w:rsid w:val="00954D61"/>
    <w:rsid w:val="0095597F"/>
    <w:rsid w:val="00955A83"/>
    <w:rsid w:val="00955E51"/>
    <w:rsid w:val="00955E8F"/>
    <w:rsid w:val="0095611C"/>
    <w:rsid w:val="0095682F"/>
    <w:rsid w:val="009571CD"/>
    <w:rsid w:val="009571F8"/>
    <w:rsid w:val="0095778C"/>
    <w:rsid w:val="00957A5C"/>
    <w:rsid w:val="00957BD6"/>
    <w:rsid w:val="00957D92"/>
    <w:rsid w:val="00957E9C"/>
    <w:rsid w:val="00957EBF"/>
    <w:rsid w:val="00960029"/>
    <w:rsid w:val="0096022D"/>
    <w:rsid w:val="009602B2"/>
    <w:rsid w:val="009604B2"/>
    <w:rsid w:val="00960542"/>
    <w:rsid w:val="009606ED"/>
    <w:rsid w:val="00960B89"/>
    <w:rsid w:val="00961474"/>
    <w:rsid w:val="00961550"/>
    <w:rsid w:val="009618CB"/>
    <w:rsid w:val="00961A15"/>
    <w:rsid w:val="009621AA"/>
    <w:rsid w:val="00962398"/>
    <w:rsid w:val="00962CB9"/>
    <w:rsid w:val="00962E35"/>
    <w:rsid w:val="009630CB"/>
    <w:rsid w:val="00963182"/>
    <w:rsid w:val="00963253"/>
    <w:rsid w:val="0096349C"/>
    <w:rsid w:val="00963603"/>
    <w:rsid w:val="009636F9"/>
    <w:rsid w:val="0096378E"/>
    <w:rsid w:val="0096388B"/>
    <w:rsid w:val="00963B61"/>
    <w:rsid w:val="00963D0B"/>
    <w:rsid w:val="0096406C"/>
    <w:rsid w:val="009641FE"/>
    <w:rsid w:val="00964312"/>
    <w:rsid w:val="00964408"/>
    <w:rsid w:val="0096453D"/>
    <w:rsid w:val="009646BF"/>
    <w:rsid w:val="009648E7"/>
    <w:rsid w:val="00964AC5"/>
    <w:rsid w:val="00964D1D"/>
    <w:rsid w:val="00964F19"/>
    <w:rsid w:val="0096520F"/>
    <w:rsid w:val="00965B8A"/>
    <w:rsid w:val="0096615D"/>
    <w:rsid w:val="009666A2"/>
    <w:rsid w:val="0096687D"/>
    <w:rsid w:val="00966AE5"/>
    <w:rsid w:val="00966ED4"/>
    <w:rsid w:val="00966F91"/>
    <w:rsid w:val="009672AE"/>
    <w:rsid w:val="0096733F"/>
    <w:rsid w:val="00967479"/>
    <w:rsid w:val="00967679"/>
    <w:rsid w:val="00967755"/>
    <w:rsid w:val="00967A12"/>
    <w:rsid w:val="009704B6"/>
    <w:rsid w:val="0097071F"/>
    <w:rsid w:val="009707D8"/>
    <w:rsid w:val="00970A84"/>
    <w:rsid w:val="00970A88"/>
    <w:rsid w:val="00970B1A"/>
    <w:rsid w:val="00970FE9"/>
    <w:rsid w:val="0097148A"/>
    <w:rsid w:val="00971764"/>
    <w:rsid w:val="009717AC"/>
    <w:rsid w:val="00971CEC"/>
    <w:rsid w:val="00971F62"/>
    <w:rsid w:val="009726EA"/>
    <w:rsid w:val="00972A5F"/>
    <w:rsid w:val="0097358A"/>
    <w:rsid w:val="009738ED"/>
    <w:rsid w:val="00973BA5"/>
    <w:rsid w:val="00973E23"/>
    <w:rsid w:val="00973E83"/>
    <w:rsid w:val="009742C5"/>
    <w:rsid w:val="009743B3"/>
    <w:rsid w:val="00974AD4"/>
    <w:rsid w:val="00974D7B"/>
    <w:rsid w:val="009751C1"/>
    <w:rsid w:val="00975221"/>
    <w:rsid w:val="009753FE"/>
    <w:rsid w:val="009754C8"/>
    <w:rsid w:val="00975529"/>
    <w:rsid w:val="009756A7"/>
    <w:rsid w:val="009758DB"/>
    <w:rsid w:val="00975954"/>
    <w:rsid w:val="009768DB"/>
    <w:rsid w:val="00976CFA"/>
    <w:rsid w:val="00976D3F"/>
    <w:rsid w:val="00976EF5"/>
    <w:rsid w:val="009775FF"/>
    <w:rsid w:val="0097762D"/>
    <w:rsid w:val="0097767C"/>
    <w:rsid w:val="00977A80"/>
    <w:rsid w:val="00977AD0"/>
    <w:rsid w:val="00977B0A"/>
    <w:rsid w:val="00977D28"/>
    <w:rsid w:val="00977E42"/>
    <w:rsid w:val="009804B9"/>
    <w:rsid w:val="009809C7"/>
    <w:rsid w:val="00980B6F"/>
    <w:rsid w:val="00980E52"/>
    <w:rsid w:val="009811F1"/>
    <w:rsid w:val="009818E4"/>
    <w:rsid w:val="00981A01"/>
    <w:rsid w:val="00981B35"/>
    <w:rsid w:val="00981FF1"/>
    <w:rsid w:val="00982599"/>
    <w:rsid w:val="009825B1"/>
    <w:rsid w:val="0098262F"/>
    <w:rsid w:val="0098272A"/>
    <w:rsid w:val="009828B8"/>
    <w:rsid w:val="00982A1D"/>
    <w:rsid w:val="00983AA6"/>
    <w:rsid w:val="00983AEB"/>
    <w:rsid w:val="00983D5A"/>
    <w:rsid w:val="00983E57"/>
    <w:rsid w:val="009847F9"/>
    <w:rsid w:val="00984916"/>
    <w:rsid w:val="00984D96"/>
    <w:rsid w:val="009850C3"/>
    <w:rsid w:val="00985674"/>
    <w:rsid w:val="00985DE2"/>
    <w:rsid w:val="00985F15"/>
    <w:rsid w:val="00986124"/>
    <w:rsid w:val="009864C4"/>
    <w:rsid w:val="0098654C"/>
    <w:rsid w:val="009865F7"/>
    <w:rsid w:val="0098675D"/>
    <w:rsid w:val="009867C4"/>
    <w:rsid w:val="0098697D"/>
    <w:rsid w:val="009869E4"/>
    <w:rsid w:val="00986BDF"/>
    <w:rsid w:val="009870DB"/>
    <w:rsid w:val="009870EC"/>
    <w:rsid w:val="009872F2"/>
    <w:rsid w:val="00987AAC"/>
    <w:rsid w:val="00987BA4"/>
    <w:rsid w:val="00987F64"/>
    <w:rsid w:val="0099069C"/>
    <w:rsid w:val="00990825"/>
    <w:rsid w:val="00990CDD"/>
    <w:rsid w:val="009910C6"/>
    <w:rsid w:val="00991335"/>
    <w:rsid w:val="00991646"/>
    <w:rsid w:val="00992442"/>
    <w:rsid w:val="009926E0"/>
    <w:rsid w:val="009929AF"/>
    <w:rsid w:val="00992E3C"/>
    <w:rsid w:val="00992E9D"/>
    <w:rsid w:val="00993C25"/>
    <w:rsid w:val="00993E22"/>
    <w:rsid w:val="00993F7C"/>
    <w:rsid w:val="009943CD"/>
    <w:rsid w:val="009943EC"/>
    <w:rsid w:val="0099451E"/>
    <w:rsid w:val="009946F8"/>
    <w:rsid w:val="00994768"/>
    <w:rsid w:val="009947A6"/>
    <w:rsid w:val="00994BA0"/>
    <w:rsid w:val="00994E1F"/>
    <w:rsid w:val="0099533E"/>
    <w:rsid w:val="009958FA"/>
    <w:rsid w:val="00995CE7"/>
    <w:rsid w:val="009961D4"/>
    <w:rsid w:val="009965A5"/>
    <w:rsid w:val="00996803"/>
    <w:rsid w:val="00996B1A"/>
    <w:rsid w:val="00996B7A"/>
    <w:rsid w:val="00996D09"/>
    <w:rsid w:val="00996D8D"/>
    <w:rsid w:val="00997350"/>
    <w:rsid w:val="009973EC"/>
    <w:rsid w:val="009975FF"/>
    <w:rsid w:val="009976F2"/>
    <w:rsid w:val="00997A70"/>
    <w:rsid w:val="00997A7B"/>
    <w:rsid w:val="009A0023"/>
    <w:rsid w:val="009A00BF"/>
    <w:rsid w:val="009A00ED"/>
    <w:rsid w:val="009A0217"/>
    <w:rsid w:val="009A0503"/>
    <w:rsid w:val="009A0DBE"/>
    <w:rsid w:val="009A0DD4"/>
    <w:rsid w:val="009A1126"/>
    <w:rsid w:val="009A12C1"/>
    <w:rsid w:val="009A18F6"/>
    <w:rsid w:val="009A19CB"/>
    <w:rsid w:val="009A2304"/>
    <w:rsid w:val="009A2390"/>
    <w:rsid w:val="009A24E4"/>
    <w:rsid w:val="009A2A57"/>
    <w:rsid w:val="009A2DA5"/>
    <w:rsid w:val="009A2DCC"/>
    <w:rsid w:val="009A34AD"/>
    <w:rsid w:val="009A3C1F"/>
    <w:rsid w:val="009A3DB6"/>
    <w:rsid w:val="009A40AA"/>
    <w:rsid w:val="009A4AA7"/>
    <w:rsid w:val="009A54BB"/>
    <w:rsid w:val="009A5766"/>
    <w:rsid w:val="009A57A4"/>
    <w:rsid w:val="009A5ABC"/>
    <w:rsid w:val="009A619F"/>
    <w:rsid w:val="009A6308"/>
    <w:rsid w:val="009A6C2D"/>
    <w:rsid w:val="009A6E64"/>
    <w:rsid w:val="009A7669"/>
    <w:rsid w:val="009A77B9"/>
    <w:rsid w:val="009A79D5"/>
    <w:rsid w:val="009A7B7B"/>
    <w:rsid w:val="009A7CEE"/>
    <w:rsid w:val="009A7F10"/>
    <w:rsid w:val="009B0118"/>
    <w:rsid w:val="009B0311"/>
    <w:rsid w:val="009B0492"/>
    <w:rsid w:val="009B0BF8"/>
    <w:rsid w:val="009B1231"/>
    <w:rsid w:val="009B157F"/>
    <w:rsid w:val="009B1772"/>
    <w:rsid w:val="009B1E56"/>
    <w:rsid w:val="009B2289"/>
    <w:rsid w:val="009B263E"/>
    <w:rsid w:val="009B2671"/>
    <w:rsid w:val="009B2682"/>
    <w:rsid w:val="009B2C32"/>
    <w:rsid w:val="009B3380"/>
    <w:rsid w:val="009B3934"/>
    <w:rsid w:val="009B3C90"/>
    <w:rsid w:val="009B3CC3"/>
    <w:rsid w:val="009B3D6D"/>
    <w:rsid w:val="009B3E26"/>
    <w:rsid w:val="009B3F9A"/>
    <w:rsid w:val="009B4130"/>
    <w:rsid w:val="009B4441"/>
    <w:rsid w:val="009B447B"/>
    <w:rsid w:val="009B44E1"/>
    <w:rsid w:val="009B4C0D"/>
    <w:rsid w:val="009B4D6A"/>
    <w:rsid w:val="009B4D78"/>
    <w:rsid w:val="009B5896"/>
    <w:rsid w:val="009B6A33"/>
    <w:rsid w:val="009B6C90"/>
    <w:rsid w:val="009B76C7"/>
    <w:rsid w:val="009B78D8"/>
    <w:rsid w:val="009B79A0"/>
    <w:rsid w:val="009C0CD3"/>
    <w:rsid w:val="009C1271"/>
    <w:rsid w:val="009C1A06"/>
    <w:rsid w:val="009C1BA9"/>
    <w:rsid w:val="009C1C76"/>
    <w:rsid w:val="009C1C94"/>
    <w:rsid w:val="009C2027"/>
    <w:rsid w:val="009C2590"/>
    <w:rsid w:val="009C26AC"/>
    <w:rsid w:val="009C28A6"/>
    <w:rsid w:val="009C3592"/>
    <w:rsid w:val="009C3706"/>
    <w:rsid w:val="009C3A3A"/>
    <w:rsid w:val="009C3B9E"/>
    <w:rsid w:val="009C3E39"/>
    <w:rsid w:val="009C41B7"/>
    <w:rsid w:val="009C4213"/>
    <w:rsid w:val="009C426B"/>
    <w:rsid w:val="009C5858"/>
    <w:rsid w:val="009C58A9"/>
    <w:rsid w:val="009C5A5A"/>
    <w:rsid w:val="009C5EC4"/>
    <w:rsid w:val="009C6554"/>
    <w:rsid w:val="009C6869"/>
    <w:rsid w:val="009C6937"/>
    <w:rsid w:val="009C6A75"/>
    <w:rsid w:val="009C6CEA"/>
    <w:rsid w:val="009C6D12"/>
    <w:rsid w:val="009C6DB7"/>
    <w:rsid w:val="009C6FF5"/>
    <w:rsid w:val="009C70D8"/>
    <w:rsid w:val="009C70DB"/>
    <w:rsid w:val="009C71FC"/>
    <w:rsid w:val="009C75AD"/>
    <w:rsid w:val="009C7826"/>
    <w:rsid w:val="009C7AE4"/>
    <w:rsid w:val="009C7B63"/>
    <w:rsid w:val="009C7B85"/>
    <w:rsid w:val="009C7EBD"/>
    <w:rsid w:val="009D0254"/>
    <w:rsid w:val="009D0E8F"/>
    <w:rsid w:val="009D1266"/>
    <w:rsid w:val="009D1619"/>
    <w:rsid w:val="009D1689"/>
    <w:rsid w:val="009D1A64"/>
    <w:rsid w:val="009D2FAD"/>
    <w:rsid w:val="009D32D3"/>
    <w:rsid w:val="009D33AF"/>
    <w:rsid w:val="009D3475"/>
    <w:rsid w:val="009D388B"/>
    <w:rsid w:val="009D38E3"/>
    <w:rsid w:val="009D393C"/>
    <w:rsid w:val="009D4760"/>
    <w:rsid w:val="009D4FF6"/>
    <w:rsid w:val="009D5353"/>
    <w:rsid w:val="009D5789"/>
    <w:rsid w:val="009D5B64"/>
    <w:rsid w:val="009D5B91"/>
    <w:rsid w:val="009D5BE1"/>
    <w:rsid w:val="009D5D8D"/>
    <w:rsid w:val="009D61C1"/>
    <w:rsid w:val="009D6473"/>
    <w:rsid w:val="009D6477"/>
    <w:rsid w:val="009D6F5A"/>
    <w:rsid w:val="009D7122"/>
    <w:rsid w:val="009D739E"/>
    <w:rsid w:val="009D7499"/>
    <w:rsid w:val="009D7595"/>
    <w:rsid w:val="009D792E"/>
    <w:rsid w:val="009D7CDF"/>
    <w:rsid w:val="009E0409"/>
    <w:rsid w:val="009E0496"/>
    <w:rsid w:val="009E05DE"/>
    <w:rsid w:val="009E079A"/>
    <w:rsid w:val="009E0DFD"/>
    <w:rsid w:val="009E0DFE"/>
    <w:rsid w:val="009E0E79"/>
    <w:rsid w:val="009E0F44"/>
    <w:rsid w:val="009E18CD"/>
    <w:rsid w:val="009E18E7"/>
    <w:rsid w:val="009E19A5"/>
    <w:rsid w:val="009E1B71"/>
    <w:rsid w:val="009E23F2"/>
    <w:rsid w:val="009E2AFB"/>
    <w:rsid w:val="009E2BE9"/>
    <w:rsid w:val="009E31F6"/>
    <w:rsid w:val="009E3354"/>
    <w:rsid w:val="009E391A"/>
    <w:rsid w:val="009E3CC9"/>
    <w:rsid w:val="009E429F"/>
    <w:rsid w:val="009E4C07"/>
    <w:rsid w:val="009E5344"/>
    <w:rsid w:val="009E53C7"/>
    <w:rsid w:val="009E550B"/>
    <w:rsid w:val="009E5A02"/>
    <w:rsid w:val="009E5AAA"/>
    <w:rsid w:val="009E63B6"/>
    <w:rsid w:val="009E6834"/>
    <w:rsid w:val="009E6A6E"/>
    <w:rsid w:val="009E6BAB"/>
    <w:rsid w:val="009E6E7B"/>
    <w:rsid w:val="009E7098"/>
    <w:rsid w:val="009E777F"/>
    <w:rsid w:val="009F013E"/>
    <w:rsid w:val="009F0302"/>
    <w:rsid w:val="009F08D8"/>
    <w:rsid w:val="009F0992"/>
    <w:rsid w:val="009F10E9"/>
    <w:rsid w:val="009F16C0"/>
    <w:rsid w:val="009F19F1"/>
    <w:rsid w:val="009F1AD3"/>
    <w:rsid w:val="009F1D0D"/>
    <w:rsid w:val="009F2153"/>
    <w:rsid w:val="009F2662"/>
    <w:rsid w:val="009F2C47"/>
    <w:rsid w:val="009F2D56"/>
    <w:rsid w:val="009F3098"/>
    <w:rsid w:val="009F393C"/>
    <w:rsid w:val="009F39AD"/>
    <w:rsid w:val="009F3AAD"/>
    <w:rsid w:val="009F3C80"/>
    <w:rsid w:val="009F3FC5"/>
    <w:rsid w:val="009F40BD"/>
    <w:rsid w:val="009F4734"/>
    <w:rsid w:val="009F47B8"/>
    <w:rsid w:val="009F5903"/>
    <w:rsid w:val="009F5971"/>
    <w:rsid w:val="009F5C15"/>
    <w:rsid w:val="009F6120"/>
    <w:rsid w:val="009F63A5"/>
    <w:rsid w:val="009F63DE"/>
    <w:rsid w:val="009F68EB"/>
    <w:rsid w:val="009F69E7"/>
    <w:rsid w:val="009F706E"/>
    <w:rsid w:val="009F71E0"/>
    <w:rsid w:val="009F73C0"/>
    <w:rsid w:val="009F75D1"/>
    <w:rsid w:val="009F774D"/>
    <w:rsid w:val="009F77F2"/>
    <w:rsid w:val="009F7E44"/>
    <w:rsid w:val="00A00450"/>
    <w:rsid w:val="00A00453"/>
    <w:rsid w:val="00A007FE"/>
    <w:rsid w:val="00A00D76"/>
    <w:rsid w:val="00A00FA3"/>
    <w:rsid w:val="00A01184"/>
    <w:rsid w:val="00A01449"/>
    <w:rsid w:val="00A019F4"/>
    <w:rsid w:val="00A01D3C"/>
    <w:rsid w:val="00A02018"/>
    <w:rsid w:val="00A023C7"/>
    <w:rsid w:val="00A02AC1"/>
    <w:rsid w:val="00A02E68"/>
    <w:rsid w:val="00A02E81"/>
    <w:rsid w:val="00A02F82"/>
    <w:rsid w:val="00A037C2"/>
    <w:rsid w:val="00A03D43"/>
    <w:rsid w:val="00A03D5A"/>
    <w:rsid w:val="00A03F44"/>
    <w:rsid w:val="00A04380"/>
    <w:rsid w:val="00A04578"/>
    <w:rsid w:val="00A0466F"/>
    <w:rsid w:val="00A04786"/>
    <w:rsid w:val="00A04B1B"/>
    <w:rsid w:val="00A04C95"/>
    <w:rsid w:val="00A051F4"/>
    <w:rsid w:val="00A053B3"/>
    <w:rsid w:val="00A05472"/>
    <w:rsid w:val="00A0548F"/>
    <w:rsid w:val="00A05C32"/>
    <w:rsid w:val="00A05C7F"/>
    <w:rsid w:val="00A05EB0"/>
    <w:rsid w:val="00A05F3A"/>
    <w:rsid w:val="00A0653F"/>
    <w:rsid w:val="00A065F5"/>
    <w:rsid w:val="00A067AA"/>
    <w:rsid w:val="00A067DD"/>
    <w:rsid w:val="00A06DFF"/>
    <w:rsid w:val="00A06FCA"/>
    <w:rsid w:val="00A07292"/>
    <w:rsid w:val="00A0739A"/>
    <w:rsid w:val="00A07CB5"/>
    <w:rsid w:val="00A105F3"/>
    <w:rsid w:val="00A106B8"/>
    <w:rsid w:val="00A10784"/>
    <w:rsid w:val="00A10987"/>
    <w:rsid w:val="00A10BB4"/>
    <w:rsid w:val="00A1103F"/>
    <w:rsid w:val="00A110AB"/>
    <w:rsid w:val="00A11618"/>
    <w:rsid w:val="00A11CD0"/>
    <w:rsid w:val="00A124B0"/>
    <w:rsid w:val="00A1351F"/>
    <w:rsid w:val="00A13948"/>
    <w:rsid w:val="00A13EB9"/>
    <w:rsid w:val="00A14010"/>
    <w:rsid w:val="00A14134"/>
    <w:rsid w:val="00A14273"/>
    <w:rsid w:val="00A144D3"/>
    <w:rsid w:val="00A14747"/>
    <w:rsid w:val="00A14C05"/>
    <w:rsid w:val="00A1555B"/>
    <w:rsid w:val="00A155C5"/>
    <w:rsid w:val="00A15F93"/>
    <w:rsid w:val="00A16261"/>
    <w:rsid w:val="00A1626E"/>
    <w:rsid w:val="00A16AD8"/>
    <w:rsid w:val="00A16DAB"/>
    <w:rsid w:val="00A16E03"/>
    <w:rsid w:val="00A171EF"/>
    <w:rsid w:val="00A17ED9"/>
    <w:rsid w:val="00A20043"/>
    <w:rsid w:val="00A200FD"/>
    <w:rsid w:val="00A2021E"/>
    <w:rsid w:val="00A202AD"/>
    <w:rsid w:val="00A202FB"/>
    <w:rsid w:val="00A20923"/>
    <w:rsid w:val="00A20C0C"/>
    <w:rsid w:val="00A2114F"/>
    <w:rsid w:val="00A2152C"/>
    <w:rsid w:val="00A21C49"/>
    <w:rsid w:val="00A21C95"/>
    <w:rsid w:val="00A21CF3"/>
    <w:rsid w:val="00A22FA7"/>
    <w:rsid w:val="00A230DD"/>
    <w:rsid w:val="00A2341C"/>
    <w:rsid w:val="00A234AF"/>
    <w:rsid w:val="00A24264"/>
    <w:rsid w:val="00A24383"/>
    <w:rsid w:val="00A24749"/>
    <w:rsid w:val="00A24813"/>
    <w:rsid w:val="00A24A6A"/>
    <w:rsid w:val="00A24D6F"/>
    <w:rsid w:val="00A24DFD"/>
    <w:rsid w:val="00A25117"/>
    <w:rsid w:val="00A252CC"/>
    <w:rsid w:val="00A25428"/>
    <w:rsid w:val="00A25477"/>
    <w:rsid w:val="00A256E7"/>
    <w:rsid w:val="00A25A33"/>
    <w:rsid w:val="00A25CE6"/>
    <w:rsid w:val="00A25DC1"/>
    <w:rsid w:val="00A25DED"/>
    <w:rsid w:val="00A26332"/>
    <w:rsid w:val="00A26766"/>
    <w:rsid w:val="00A26AA0"/>
    <w:rsid w:val="00A27359"/>
    <w:rsid w:val="00A27A59"/>
    <w:rsid w:val="00A27AEC"/>
    <w:rsid w:val="00A27FD7"/>
    <w:rsid w:val="00A3002E"/>
    <w:rsid w:val="00A303CC"/>
    <w:rsid w:val="00A30585"/>
    <w:rsid w:val="00A3062D"/>
    <w:rsid w:val="00A30C0C"/>
    <w:rsid w:val="00A30D10"/>
    <w:rsid w:val="00A30D63"/>
    <w:rsid w:val="00A313B0"/>
    <w:rsid w:val="00A3151C"/>
    <w:rsid w:val="00A31CAB"/>
    <w:rsid w:val="00A31F0F"/>
    <w:rsid w:val="00A3205C"/>
    <w:rsid w:val="00A320DB"/>
    <w:rsid w:val="00A3214E"/>
    <w:rsid w:val="00A32AAD"/>
    <w:rsid w:val="00A33041"/>
    <w:rsid w:val="00A33306"/>
    <w:rsid w:val="00A33538"/>
    <w:rsid w:val="00A3356B"/>
    <w:rsid w:val="00A33B55"/>
    <w:rsid w:val="00A33C51"/>
    <w:rsid w:val="00A34B16"/>
    <w:rsid w:val="00A34B95"/>
    <w:rsid w:val="00A351A7"/>
    <w:rsid w:val="00A356CF"/>
    <w:rsid w:val="00A35C65"/>
    <w:rsid w:val="00A35D16"/>
    <w:rsid w:val="00A35DF0"/>
    <w:rsid w:val="00A362CE"/>
    <w:rsid w:val="00A364CD"/>
    <w:rsid w:val="00A368D0"/>
    <w:rsid w:val="00A36E9E"/>
    <w:rsid w:val="00A370CF"/>
    <w:rsid w:val="00A37126"/>
    <w:rsid w:val="00A37329"/>
    <w:rsid w:val="00A37650"/>
    <w:rsid w:val="00A37BCD"/>
    <w:rsid w:val="00A40BDF"/>
    <w:rsid w:val="00A40C28"/>
    <w:rsid w:val="00A41689"/>
    <w:rsid w:val="00A418B2"/>
    <w:rsid w:val="00A41A81"/>
    <w:rsid w:val="00A41F57"/>
    <w:rsid w:val="00A41F59"/>
    <w:rsid w:val="00A42550"/>
    <w:rsid w:val="00A42592"/>
    <w:rsid w:val="00A42945"/>
    <w:rsid w:val="00A42EE1"/>
    <w:rsid w:val="00A43861"/>
    <w:rsid w:val="00A43BAE"/>
    <w:rsid w:val="00A43C59"/>
    <w:rsid w:val="00A43E24"/>
    <w:rsid w:val="00A4428A"/>
    <w:rsid w:val="00A44685"/>
    <w:rsid w:val="00A449DB"/>
    <w:rsid w:val="00A44AF2"/>
    <w:rsid w:val="00A4500A"/>
    <w:rsid w:val="00A453B4"/>
    <w:rsid w:val="00A458E9"/>
    <w:rsid w:val="00A45A3F"/>
    <w:rsid w:val="00A45AFE"/>
    <w:rsid w:val="00A45C9D"/>
    <w:rsid w:val="00A45CAD"/>
    <w:rsid w:val="00A45D42"/>
    <w:rsid w:val="00A45F24"/>
    <w:rsid w:val="00A461E1"/>
    <w:rsid w:val="00A4637F"/>
    <w:rsid w:val="00A4649E"/>
    <w:rsid w:val="00A465A8"/>
    <w:rsid w:val="00A4663C"/>
    <w:rsid w:val="00A4665E"/>
    <w:rsid w:val="00A46754"/>
    <w:rsid w:val="00A468D0"/>
    <w:rsid w:val="00A4693E"/>
    <w:rsid w:val="00A46C6E"/>
    <w:rsid w:val="00A478C3"/>
    <w:rsid w:val="00A50A98"/>
    <w:rsid w:val="00A50ECD"/>
    <w:rsid w:val="00A5177F"/>
    <w:rsid w:val="00A518F3"/>
    <w:rsid w:val="00A51BDF"/>
    <w:rsid w:val="00A51C27"/>
    <w:rsid w:val="00A51D36"/>
    <w:rsid w:val="00A51E78"/>
    <w:rsid w:val="00A521FA"/>
    <w:rsid w:val="00A52729"/>
    <w:rsid w:val="00A528DD"/>
    <w:rsid w:val="00A53307"/>
    <w:rsid w:val="00A53675"/>
    <w:rsid w:val="00A542D4"/>
    <w:rsid w:val="00A54440"/>
    <w:rsid w:val="00A5458F"/>
    <w:rsid w:val="00A545BC"/>
    <w:rsid w:val="00A549AB"/>
    <w:rsid w:val="00A54CA2"/>
    <w:rsid w:val="00A55067"/>
    <w:rsid w:val="00A550BD"/>
    <w:rsid w:val="00A556BE"/>
    <w:rsid w:val="00A55ADE"/>
    <w:rsid w:val="00A55F77"/>
    <w:rsid w:val="00A55F9A"/>
    <w:rsid w:val="00A564D7"/>
    <w:rsid w:val="00A569D7"/>
    <w:rsid w:val="00A56B6A"/>
    <w:rsid w:val="00A573C1"/>
    <w:rsid w:val="00A578DC"/>
    <w:rsid w:val="00A57B50"/>
    <w:rsid w:val="00A57B64"/>
    <w:rsid w:val="00A57B75"/>
    <w:rsid w:val="00A57F50"/>
    <w:rsid w:val="00A60185"/>
    <w:rsid w:val="00A60491"/>
    <w:rsid w:val="00A60649"/>
    <w:rsid w:val="00A60665"/>
    <w:rsid w:val="00A60CF6"/>
    <w:rsid w:val="00A60D45"/>
    <w:rsid w:val="00A61011"/>
    <w:rsid w:val="00A6128B"/>
    <w:rsid w:val="00A612A9"/>
    <w:rsid w:val="00A61907"/>
    <w:rsid w:val="00A61A6A"/>
    <w:rsid w:val="00A61C91"/>
    <w:rsid w:val="00A61CA2"/>
    <w:rsid w:val="00A62052"/>
    <w:rsid w:val="00A62101"/>
    <w:rsid w:val="00A62595"/>
    <w:rsid w:val="00A6259B"/>
    <w:rsid w:val="00A629C5"/>
    <w:rsid w:val="00A62C44"/>
    <w:rsid w:val="00A62FE8"/>
    <w:rsid w:val="00A63612"/>
    <w:rsid w:val="00A636F7"/>
    <w:rsid w:val="00A639CB"/>
    <w:rsid w:val="00A63BB5"/>
    <w:rsid w:val="00A63BE3"/>
    <w:rsid w:val="00A640E2"/>
    <w:rsid w:val="00A641E2"/>
    <w:rsid w:val="00A6430B"/>
    <w:rsid w:val="00A64600"/>
    <w:rsid w:val="00A64606"/>
    <w:rsid w:val="00A64823"/>
    <w:rsid w:val="00A64D65"/>
    <w:rsid w:val="00A65220"/>
    <w:rsid w:val="00A65404"/>
    <w:rsid w:val="00A6570C"/>
    <w:rsid w:val="00A6594F"/>
    <w:rsid w:val="00A65B68"/>
    <w:rsid w:val="00A65BB0"/>
    <w:rsid w:val="00A65E3C"/>
    <w:rsid w:val="00A65FDB"/>
    <w:rsid w:val="00A66166"/>
    <w:rsid w:val="00A6657E"/>
    <w:rsid w:val="00A6659B"/>
    <w:rsid w:val="00A665A1"/>
    <w:rsid w:val="00A668B1"/>
    <w:rsid w:val="00A66C41"/>
    <w:rsid w:val="00A66DFE"/>
    <w:rsid w:val="00A66F0D"/>
    <w:rsid w:val="00A670E3"/>
    <w:rsid w:val="00A6725B"/>
    <w:rsid w:val="00A67931"/>
    <w:rsid w:val="00A70605"/>
    <w:rsid w:val="00A7096D"/>
    <w:rsid w:val="00A70A85"/>
    <w:rsid w:val="00A7113F"/>
    <w:rsid w:val="00A715E1"/>
    <w:rsid w:val="00A71AA2"/>
    <w:rsid w:val="00A71BBE"/>
    <w:rsid w:val="00A71C0A"/>
    <w:rsid w:val="00A72051"/>
    <w:rsid w:val="00A721F1"/>
    <w:rsid w:val="00A73134"/>
    <w:rsid w:val="00A731A5"/>
    <w:rsid w:val="00A7365A"/>
    <w:rsid w:val="00A736C0"/>
    <w:rsid w:val="00A73941"/>
    <w:rsid w:val="00A73C8F"/>
    <w:rsid w:val="00A73C9B"/>
    <w:rsid w:val="00A745B4"/>
    <w:rsid w:val="00A74615"/>
    <w:rsid w:val="00A751C8"/>
    <w:rsid w:val="00A752FE"/>
    <w:rsid w:val="00A75A53"/>
    <w:rsid w:val="00A75BE2"/>
    <w:rsid w:val="00A76001"/>
    <w:rsid w:val="00A76649"/>
    <w:rsid w:val="00A76B67"/>
    <w:rsid w:val="00A77034"/>
    <w:rsid w:val="00A776B7"/>
    <w:rsid w:val="00A77728"/>
    <w:rsid w:val="00A777B2"/>
    <w:rsid w:val="00A77ACF"/>
    <w:rsid w:val="00A77CCE"/>
    <w:rsid w:val="00A77FB7"/>
    <w:rsid w:val="00A806AA"/>
    <w:rsid w:val="00A80AA9"/>
    <w:rsid w:val="00A81887"/>
    <w:rsid w:val="00A81A46"/>
    <w:rsid w:val="00A81A79"/>
    <w:rsid w:val="00A81D30"/>
    <w:rsid w:val="00A81D3A"/>
    <w:rsid w:val="00A825D4"/>
    <w:rsid w:val="00A828F6"/>
    <w:rsid w:val="00A82919"/>
    <w:rsid w:val="00A829A3"/>
    <w:rsid w:val="00A82B73"/>
    <w:rsid w:val="00A82E38"/>
    <w:rsid w:val="00A82FD9"/>
    <w:rsid w:val="00A83248"/>
    <w:rsid w:val="00A8324C"/>
    <w:rsid w:val="00A834D5"/>
    <w:rsid w:val="00A834E9"/>
    <w:rsid w:val="00A835A9"/>
    <w:rsid w:val="00A83BBB"/>
    <w:rsid w:val="00A83C84"/>
    <w:rsid w:val="00A83FC2"/>
    <w:rsid w:val="00A84155"/>
    <w:rsid w:val="00A84886"/>
    <w:rsid w:val="00A84C21"/>
    <w:rsid w:val="00A84CEB"/>
    <w:rsid w:val="00A855A5"/>
    <w:rsid w:val="00A85709"/>
    <w:rsid w:val="00A86385"/>
    <w:rsid w:val="00A86862"/>
    <w:rsid w:val="00A86AA3"/>
    <w:rsid w:val="00A86AD7"/>
    <w:rsid w:val="00A86ADF"/>
    <w:rsid w:val="00A86D60"/>
    <w:rsid w:val="00A86E8B"/>
    <w:rsid w:val="00A87036"/>
    <w:rsid w:val="00A87164"/>
    <w:rsid w:val="00A87194"/>
    <w:rsid w:val="00A871A9"/>
    <w:rsid w:val="00A87FF5"/>
    <w:rsid w:val="00A90056"/>
    <w:rsid w:val="00A90063"/>
    <w:rsid w:val="00A90978"/>
    <w:rsid w:val="00A90B87"/>
    <w:rsid w:val="00A913F2"/>
    <w:rsid w:val="00A91448"/>
    <w:rsid w:val="00A9164F"/>
    <w:rsid w:val="00A91791"/>
    <w:rsid w:val="00A918C8"/>
    <w:rsid w:val="00A920E2"/>
    <w:rsid w:val="00A92171"/>
    <w:rsid w:val="00A9226E"/>
    <w:rsid w:val="00A92357"/>
    <w:rsid w:val="00A9289B"/>
    <w:rsid w:val="00A92AA7"/>
    <w:rsid w:val="00A92C11"/>
    <w:rsid w:val="00A93072"/>
    <w:rsid w:val="00A938BD"/>
    <w:rsid w:val="00A93953"/>
    <w:rsid w:val="00A93BD0"/>
    <w:rsid w:val="00A93C75"/>
    <w:rsid w:val="00A94078"/>
    <w:rsid w:val="00A942AB"/>
    <w:rsid w:val="00A942CC"/>
    <w:rsid w:val="00A94377"/>
    <w:rsid w:val="00A9469C"/>
    <w:rsid w:val="00A946D0"/>
    <w:rsid w:val="00A948EA"/>
    <w:rsid w:val="00A94968"/>
    <w:rsid w:val="00A94BC6"/>
    <w:rsid w:val="00A95457"/>
    <w:rsid w:val="00A95481"/>
    <w:rsid w:val="00A9552E"/>
    <w:rsid w:val="00A959D8"/>
    <w:rsid w:val="00A95F56"/>
    <w:rsid w:val="00A961E8"/>
    <w:rsid w:val="00A9627F"/>
    <w:rsid w:val="00A96B51"/>
    <w:rsid w:val="00AA055F"/>
    <w:rsid w:val="00AA0A72"/>
    <w:rsid w:val="00AA0D38"/>
    <w:rsid w:val="00AA113D"/>
    <w:rsid w:val="00AA1207"/>
    <w:rsid w:val="00AA13DC"/>
    <w:rsid w:val="00AA2CFD"/>
    <w:rsid w:val="00AA2FA4"/>
    <w:rsid w:val="00AA30F0"/>
    <w:rsid w:val="00AA34E3"/>
    <w:rsid w:val="00AA35CC"/>
    <w:rsid w:val="00AA35D9"/>
    <w:rsid w:val="00AA40B8"/>
    <w:rsid w:val="00AA4190"/>
    <w:rsid w:val="00AA470E"/>
    <w:rsid w:val="00AA47E3"/>
    <w:rsid w:val="00AA4B4B"/>
    <w:rsid w:val="00AA4C91"/>
    <w:rsid w:val="00AA5318"/>
    <w:rsid w:val="00AA59F6"/>
    <w:rsid w:val="00AA5FE3"/>
    <w:rsid w:val="00AA6335"/>
    <w:rsid w:val="00AA6767"/>
    <w:rsid w:val="00AA6919"/>
    <w:rsid w:val="00AA69E6"/>
    <w:rsid w:val="00AA6A39"/>
    <w:rsid w:val="00AA6BD5"/>
    <w:rsid w:val="00AA6BD8"/>
    <w:rsid w:val="00AA6C06"/>
    <w:rsid w:val="00AA6C7D"/>
    <w:rsid w:val="00AA6E3A"/>
    <w:rsid w:val="00AA6E7E"/>
    <w:rsid w:val="00AA7C96"/>
    <w:rsid w:val="00AA7E0B"/>
    <w:rsid w:val="00AA7FCA"/>
    <w:rsid w:val="00AA7FD6"/>
    <w:rsid w:val="00AB0062"/>
    <w:rsid w:val="00AB01E1"/>
    <w:rsid w:val="00AB042A"/>
    <w:rsid w:val="00AB0C20"/>
    <w:rsid w:val="00AB0F11"/>
    <w:rsid w:val="00AB11AD"/>
    <w:rsid w:val="00AB175E"/>
    <w:rsid w:val="00AB19EF"/>
    <w:rsid w:val="00AB1A5F"/>
    <w:rsid w:val="00AB1DF5"/>
    <w:rsid w:val="00AB1ED3"/>
    <w:rsid w:val="00AB212B"/>
    <w:rsid w:val="00AB22A5"/>
    <w:rsid w:val="00AB2495"/>
    <w:rsid w:val="00AB24E8"/>
    <w:rsid w:val="00AB287E"/>
    <w:rsid w:val="00AB2D34"/>
    <w:rsid w:val="00AB2D4A"/>
    <w:rsid w:val="00AB3430"/>
    <w:rsid w:val="00AB37B9"/>
    <w:rsid w:val="00AB39A4"/>
    <w:rsid w:val="00AB39E0"/>
    <w:rsid w:val="00AB3D1E"/>
    <w:rsid w:val="00AB457E"/>
    <w:rsid w:val="00AB45F5"/>
    <w:rsid w:val="00AB48B2"/>
    <w:rsid w:val="00AB49AA"/>
    <w:rsid w:val="00AB4A77"/>
    <w:rsid w:val="00AB4AD1"/>
    <w:rsid w:val="00AB4F46"/>
    <w:rsid w:val="00AB5E07"/>
    <w:rsid w:val="00AB61A9"/>
    <w:rsid w:val="00AB6235"/>
    <w:rsid w:val="00AB65D9"/>
    <w:rsid w:val="00AB6DE5"/>
    <w:rsid w:val="00AB7991"/>
    <w:rsid w:val="00AB7C21"/>
    <w:rsid w:val="00AB7CA0"/>
    <w:rsid w:val="00AB7CFA"/>
    <w:rsid w:val="00AC07A1"/>
    <w:rsid w:val="00AC0A70"/>
    <w:rsid w:val="00AC1662"/>
    <w:rsid w:val="00AC1784"/>
    <w:rsid w:val="00AC17F8"/>
    <w:rsid w:val="00AC21E2"/>
    <w:rsid w:val="00AC2F3B"/>
    <w:rsid w:val="00AC353D"/>
    <w:rsid w:val="00AC3AA6"/>
    <w:rsid w:val="00AC3F41"/>
    <w:rsid w:val="00AC4992"/>
    <w:rsid w:val="00AC4D6E"/>
    <w:rsid w:val="00AC5797"/>
    <w:rsid w:val="00AC5989"/>
    <w:rsid w:val="00AC5B42"/>
    <w:rsid w:val="00AC5B48"/>
    <w:rsid w:val="00AC5D75"/>
    <w:rsid w:val="00AC5E79"/>
    <w:rsid w:val="00AC6077"/>
    <w:rsid w:val="00AC616E"/>
    <w:rsid w:val="00AC684F"/>
    <w:rsid w:val="00AC69A2"/>
    <w:rsid w:val="00AC73F8"/>
    <w:rsid w:val="00AD0034"/>
    <w:rsid w:val="00AD06FC"/>
    <w:rsid w:val="00AD07D8"/>
    <w:rsid w:val="00AD0C88"/>
    <w:rsid w:val="00AD0F05"/>
    <w:rsid w:val="00AD13BC"/>
    <w:rsid w:val="00AD1450"/>
    <w:rsid w:val="00AD1480"/>
    <w:rsid w:val="00AD15E8"/>
    <w:rsid w:val="00AD20CA"/>
    <w:rsid w:val="00AD23D6"/>
    <w:rsid w:val="00AD26E2"/>
    <w:rsid w:val="00AD2831"/>
    <w:rsid w:val="00AD2D9D"/>
    <w:rsid w:val="00AD33F0"/>
    <w:rsid w:val="00AD3521"/>
    <w:rsid w:val="00AD356D"/>
    <w:rsid w:val="00AD35B1"/>
    <w:rsid w:val="00AD366C"/>
    <w:rsid w:val="00AD3834"/>
    <w:rsid w:val="00AD3AAA"/>
    <w:rsid w:val="00AD3BA6"/>
    <w:rsid w:val="00AD3DBB"/>
    <w:rsid w:val="00AD455A"/>
    <w:rsid w:val="00AD46E8"/>
    <w:rsid w:val="00AD4CD4"/>
    <w:rsid w:val="00AD4D95"/>
    <w:rsid w:val="00AD50B7"/>
    <w:rsid w:val="00AD5292"/>
    <w:rsid w:val="00AD5802"/>
    <w:rsid w:val="00AD5CA9"/>
    <w:rsid w:val="00AD6502"/>
    <w:rsid w:val="00AD6C51"/>
    <w:rsid w:val="00AD7CC3"/>
    <w:rsid w:val="00AD7F8A"/>
    <w:rsid w:val="00AE0695"/>
    <w:rsid w:val="00AE06D1"/>
    <w:rsid w:val="00AE0773"/>
    <w:rsid w:val="00AE0BFA"/>
    <w:rsid w:val="00AE112F"/>
    <w:rsid w:val="00AE1525"/>
    <w:rsid w:val="00AE169C"/>
    <w:rsid w:val="00AE19E4"/>
    <w:rsid w:val="00AE1E6B"/>
    <w:rsid w:val="00AE1E8D"/>
    <w:rsid w:val="00AE1EAC"/>
    <w:rsid w:val="00AE2149"/>
    <w:rsid w:val="00AE26A7"/>
    <w:rsid w:val="00AE3DC4"/>
    <w:rsid w:val="00AE3E7E"/>
    <w:rsid w:val="00AE49A3"/>
    <w:rsid w:val="00AE49F7"/>
    <w:rsid w:val="00AE4A32"/>
    <w:rsid w:val="00AE4C5C"/>
    <w:rsid w:val="00AE4C6D"/>
    <w:rsid w:val="00AE5392"/>
    <w:rsid w:val="00AE53C5"/>
    <w:rsid w:val="00AE5D90"/>
    <w:rsid w:val="00AE5E1A"/>
    <w:rsid w:val="00AE60EB"/>
    <w:rsid w:val="00AE6462"/>
    <w:rsid w:val="00AE6609"/>
    <w:rsid w:val="00AE6703"/>
    <w:rsid w:val="00AE684C"/>
    <w:rsid w:val="00AE69E2"/>
    <w:rsid w:val="00AE6DE6"/>
    <w:rsid w:val="00AE7252"/>
    <w:rsid w:val="00AE79AD"/>
    <w:rsid w:val="00AE79C9"/>
    <w:rsid w:val="00AE7C85"/>
    <w:rsid w:val="00AE7D6E"/>
    <w:rsid w:val="00AE7D77"/>
    <w:rsid w:val="00AE7E53"/>
    <w:rsid w:val="00AF01D8"/>
    <w:rsid w:val="00AF02AD"/>
    <w:rsid w:val="00AF0322"/>
    <w:rsid w:val="00AF06FA"/>
    <w:rsid w:val="00AF0A22"/>
    <w:rsid w:val="00AF0C2D"/>
    <w:rsid w:val="00AF0F98"/>
    <w:rsid w:val="00AF1315"/>
    <w:rsid w:val="00AF19BF"/>
    <w:rsid w:val="00AF1B55"/>
    <w:rsid w:val="00AF1B93"/>
    <w:rsid w:val="00AF1C57"/>
    <w:rsid w:val="00AF1F15"/>
    <w:rsid w:val="00AF2706"/>
    <w:rsid w:val="00AF2C10"/>
    <w:rsid w:val="00AF2DC3"/>
    <w:rsid w:val="00AF2DDB"/>
    <w:rsid w:val="00AF2EB5"/>
    <w:rsid w:val="00AF3514"/>
    <w:rsid w:val="00AF38DB"/>
    <w:rsid w:val="00AF3902"/>
    <w:rsid w:val="00AF3BFF"/>
    <w:rsid w:val="00AF3E27"/>
    <w:rsid w:val="00AF4174"/>
    <w:rsid w:val="00AF42CC"/>
    <w:rsid w:val="00AF46A1"/>
    <w:rsid w:val="00AF4855"/>
    <w:rsid w:val="00AF5238"/>
    <w:rsid w:val="00AF537F"/>
    <w:rsid w:val="00AF577B"/>
    <w:rsid w:val="00AF578C"/>
    <w:rsid w:val="00AF5892"/>
    <w:rsid w:val="00AF59AD"/>
    <w:rsid w:val="00AF5DCC"/>
    <w:rsid w:val="00AF5FD6"/>
    <w:rsid w:val="00AF6736"/>
    <w:rsid w:val="00AF673D"/>
    <w:rsid w:val="00AF6967"/>
    <w:rsid w:val="00AF6AC9"/>
    <w:rsid w:val="00AF6ED6"/>
    <w:rsid w:val="00AF7126"/>
    <w:rsid w:val="00AF71DF"/>
    <w:rsid w:val="00AF71F5"/>
    <w:rsid w:val="00AF733B"/>
    <w:rsid w:val="00AF75DA"/>
    <w:rsid w:val="00AF7D53"/>
    <w:rsid w:val="00AF7D7A"/>
    <w:rsid w:val="00B00523"/>
    <w:rsid w:val="00B005FF"/>
    <w:rsid w:val="00B00D1F"/>
    <w:rsid w:val="00B00D75"/>
    <w:rsid w:val="00B014D4"/>
    <w:rsid w:val="00B01764"/>
    <w:rsid w:val="00B0191C"/>
    <w:rsid w:val="00B01FC8"/>
    <w:rsid w:val="00B02509"/>
    <w:rsid w:val="00B02595"/>
    <w:rsid w:val="00B0267A"/>
    <w:rsid w:val="00B02913"/>
    <w:rsid w:val="00B02A9B"/>
    <w:rsid w:val="00B02CCE"/>
    <w:rsid w:val="00B02F31"/>
    <w:rsid w:val="00B02F4D"/>
    <w:rsid w:val="00B030E4"/>
    <w:rsid w:val="00B031A2"/>
    <w:rsid w:val="00B0324C"/>
    <w:rsid w:val="00B033E5"/>
    <w:rsid w:val="00B0366D"/>
    <w:rsid w:val="00B036C5"/>
    <w:rsid w:val="00B03A63"/>
    <w:rsid w:val="00B03B7B"/>
    <w:rsid w:val="00B03C7E"/>
    <w:rsid w:val="00B04296"/>
    <w:rsid w:val="00B04748"/>
    <w:rsid w:val="00B04ACA"/>
    <w:rsid w:val="00B04F95"/>
    <w:rsid w:val="00B0514B"/>
    <w:rsid w:val="00B0544A"/>
    <w:rsid w:val="00B054E7"/>
    <w:rsid w:val="00B05D3D"/>
    <w:rsid w:val="00B05D9C"/>
    <w:rsid w:val="00B062B0"/>
    <w:rsid w:val="00B062DB"/>
    <w:rsid w:val="00B06474"/>
    <w:rsid w:val="00B066B9"/>
    <w:rsid w:val="00B06C63"/>
    <w:rsid w:val="00B07283"/>
    <w:rsid w:val="00B076DB"/>
    <w:rsid w:val="00B07F62"/>
    <w:rsid w:val="00B07F92"/>
    <w:rsid w:val="00B10738"/>
    <w:rsid w:val="00B10B5F"/>
    <w:rsid w:val="00B112F5"/>
    <w:rsid w:val="00B11557"/>
    <w:rsid w:val="00B116B5"/>
    <w:rsid w:val="00B11869"/>
    <w:rsid w:val="00B11C19"/>
    <w:rsid w:val="00B11CF6"/>
    <w:rsid w:val="00B11D96"/>
    <w:rsid w:val="00B1208A"/>
    <w:rsid w:val="00B129A4"/>
    <w:rsid w:val="00B13169"/>
    <w:rsid w:val="00B13293"/>
    <w:rsid w:val="00B136F6"/>
    <w:rsid w:val="00B137E8"/>
    <w:rsid w:val="00B13BA7"/>
    <w:rsid w:val="00B14516"/>
    <w:rsid w:val="00B14ED9"/>
    <w:rsid w:val="00B14FC6"/>
    <w:rsid w:val="00B15125"/>
    <w:rsid w:val="00B154F1"/>
    <w:rsid w:val="00B159FE"/>
    <w:rsid w:val="00B15AD0"/>
    <w:rsid w:val="00B15EE3"/>
    <w:rsid w:val="00B16488"/>
    <w:rsid w:val="00B16654"/>
    <w:rsid w:val="00B167DC"/>
    <w:rsid w:val="00B16C71"/>
    <w:rsid w:val="00B16DC7"/>
    <w:rsid w:val="00B17047"/>
    <w:rsid w:val="00B175FA"/>
    <w:rsid w:val="00B17619"/>
    <w:rsid w:val="00B17A28"/>
    <w:rsid w:val="00B17CBB"/>
    <w:rsid w:val="00B201A4"/>
    <w:rsid w:val="00B201D1"/>
    <w:rsid w:val="00B2047C"/>
    <w:rsid w:val="00B2065B"/>
    <w:rsid w:val="00B206D1"/>
    <w:rsid w:val="00B20857"/>
    <w:rsid w:val="00B20864"/>
    <w:rsid w:val="00B21130"/>
    <w:rsid w:val="00B213A6"/>
    <w:rsid w:val="00B21A1F"/>
    <w:rsid w:val="00B21E08"/>
    <w:rsid w:val="00B21F79"/>
    <w:rsid w:val="00B221AA"/>
    <w:rsid w:val="00B22792"/>
    <w:rsid w:val="00B22F80"/>
    <w:rsid w:val="00B22FC1"/>
    <w:rsid w:val="00B23058"/>
    <w:rsid w:val="00B231E3"/>
    <w:rsid w:val="00B23311"/>
    <w:rsid w:val="00B235B0"/>
    <w:rsid w:val="00B2362C"/>
    <w:rsid w:val="00B236FF"/>
    <w:rsid w:val="00B23FBF"/>
    <w:rsid w:val="00B240E3"/>
    <w:rsid w:val="00B24A3B"/>
    <w:rsid w:val="00B24D15"/>
    <w:rsid w:val="00B24DF6"/>
    <w:rsid w:val="00B252FD"/>
    <w:rsid w:val="00B2569E"/>
    <w:rsid w:val="00B25800"/>
    <w:rsid w:val="00B25D6D"/>
    <w:rsid w:val="00B25EE1"/>
    <w:rsid w:val="00B25FFF"/>
    <w:rsid w:val="00B26793"/>
    <w:rsid w:val="00B26ADB"/>
    <w:rsid w:val="00B273C7"/>
    <w:rsid w:val="00B278F8"/>
    <w:rsid w:val="00B27A43"/>
    <w:rsid w:val="00B27A61"/>
    <w:rsid w:val="00B30E89"/>
    <w:rsid w:val="00B3135B"/>
    <w:rsid w:val="00B31774"/>
    <w:rsid w:val="00B31D4B"/>
    <w:rsid w:val="00B320F7"/>
    <w:rsid w:val="00B32A54"/>
    <w:rsid w:val="00B32BF5"/>
    <w:rsid w:val="00B33344"/>
    <w:rsid w:val="00B33423"/>
    <w:rsid w:val="00B3385A"/>
    <w:rsid w:val="00B33BE1"/>
    <w:rsid w:val="00B33DAE"/>
    <w:rsid w:val="00B340EF"/>
    <w:rsid w:val="00B34204"/>
    <w:rsid w:val="00B34775"/>
    <w:rsid w:val="00B34911"/>
    <w:rsid w:val="00B34D4D"/>
    <w:rsid w:val="00B34D91"/>
    <w:rsid w:val="00B34E53"/>
    <w:rsid w:val="00B34FE2"/>
    <w:rsid w:val="00B3514D"/>
    <w:rsid w:val="00B35166"/>
    <w:rsid w:val="00B357D8"/>
    <w:rsid w:val="00B35ACC"/>
    <w:rsid w:val="00B35DF3"/>
    <w:rsid w:val="00B360F4"/>
    <w:rsid w:val="00B3665C"/>
    <w:rsid w:val="00B36A00"/>
    <w:rsid w:val="00B36AC2"/>
    <w:rsid w:val="00B36BAE"/>
    <w:rsid w:val="00B3792B"/>
    <w:rsid w:val="00B37BFC"/>
    <w:rsid w:val="00B37C34"/>
    <w:rsid w:val="00B37D4B"/>
    <w:rsid w:val="00B40001"/>
    <w:rsid w:val="00B40358"/>
    <w:rsid w:val="00B403E2"/>
    <w:rsid w:val="00B40930"/>
    <w:rsid w:val="00B40C7C"/>
    <w:rsid w:val="00B41147"/>
    <w:rsid w:val="00B413C5"/>
    <w:rsid w:val="00B41614"/>
    <w:rsid w:val="00B4171F"/>
    <w:rsid w:val="00B417AB"/>
    <w:rsid w:val="00B41B9D"/>
    <w:rsid w:val="00B422BA"/>
    <w:rsid w:val="00B42334"/>
    <w:rsid w:val="00B42640"/>
    <w:rsid w:val="00B42851"/>
    <w:rsid w:val="00B42BAB"/>
    <w:rsid w:val="00B42F12"/>
    <w:rsid w:val="00B42F80"/>
    <w:rsid w:val="00B42FE9"/>
    <w:rsid w:val="00B43440"/>
    <w:rsid w:val="00B435CB"/>
    <w:rsid w:val="00B43689"/>
    <w:rsid w:val="00B43A45"/>
    <w:rsid w:val="00B44081"/>
    <w:rsid w:val="00B44207"/>
    <w:rsid w:val="00B44444"/>
    <w:rsid w:val="00B44459"/>
    <w:rsid w:val="00B445A5"/>
    <w:rsid w:val="00B448CB"/>
    <w:rsid w:val="00B449D1"/>
    <w:rsid w:val="00B44FF0"/>
    <w:rsid w:val="00B450AD"/>
    <w:rsid w:val="00B450CA"/>
    <w:rsid w:val="00B45146"/>
    <w:rsid w:val="00B455C1"/>
    <w:rsid w:val="00B457E2"/>
    <w:rsid w:val="00B45886"/>
    <w:rsid w:val="00B45DDB"/>
    <w:rsid w:val="00B46351"/>
    <w:rsid w:val="00B465EC"/>
    <w:rsid w:val="00B4727F"/>
    <w:rsid w:val="00B479B2"/>
    <w:rsid w:val="00B504E5"/>
    <w:rsid w:val="00B505C8"/>
    <w:rsid w:val="00B50651"/>
    <w:rsid w:val="00B50A1E"/>
    <w:rsid w:val="00B50A7D"/>
    <w:rsid w:val="00B50C0C"/>
    <w:rsid w:val="00B50CF3"/>
    <w:rsid w:val="00B50D24"/>
    <w:rsid w:val="00B50DB8"/>
    <w:rsid w:val="00B5132E"/>
    <w:rsid w:val="00B51555"/>
    <w:rsid w:val="00B51955"/>
    <w:rsid w:val="00B51C01"/>
    <w:rsid w:val="00B51EC9"/>
    <w:rsid w:val="00B521EE"/>
    <w:rsid w:val="00B52241"/>
    <w:rsid w:val="00B522EA"/>
    <w:rsid w:val="00B523B6"/>
    <w:rsid w:val="00B52498"/>
    <w:rsid w:val="00B52797"/>
    <w:rsid w:val="00B52891"/>
    <w:rsid w:val="00B534D8"/>
    <w:rsid w:val="00B535B9"/>
    <w:rsid w:val="00B53654"/>
    <w:rsid w:val="00B537DF"/>
    <w:rsid w:val="00B53905"/>
    <w:rsid w:val="00B540D6"/>
    <w:rsid w:val="00B54233"/>
    <w:rsid w:val="00B546DB"/>
    <w:rsid w:val="00B54B5B"/>
    <w:rsid w:val="00B552EF"/>
    <w:rsid w:val="00B55333"/>
    <w:rsid w:val="00B554FC"/>
    <w:rsid w:val="00B5562E"/>
    <w:rsid w:val="00B55862"/>
    <w:rsid w:val="00B55C63"/>
    <w:rsid w:val="00B55D03"/>
    <w:rsid w:val="00B55D65"/>
    <w:rsid w:val="00B56305"/>
    <w:rsid w:val="00B563D4"/>
    <w:rsid w:val="00B56513"/>
    <w:rsid w:val="00B565FA"/>
    <w:rsid w:val="00B5669D"/>
    <w:rsid w:val="00B56953"/>
    <w:rsid w:val="00B56E06"/>
    <w:rsid w:val="00B56EEC"/>
    <w:rsid w:val="00B56FCB"/>
    <w:rsid w:val="00B57000"/>
    <w:rsid w:val="00B57010"/>
    <w:rsid w:val="00B5723C"/>
    <w:rsid w:val="00B57C23"/>
    <w:rsid w:val="00B602F8"/>
    <w:rsid w:val="00B60377"/>
    <w:rsid w:val="00B6085C"/>
    <w:rsid w:val="00B60939"/>
    <w:rsid w:val="00B60A14"/>
    <w:rsid w:val="00B60AFD"/>
    <w:rsid w:val="00B60BE7"/>
    <w:rsid w:val="00B6155A"/>
    <w:rsid w:val="00B623F4"/>
    <w:rsid w:val="00B62715"/>
    <w:rsid w:val="00B62E7B"/>
    <w:rsid w:val="00B62E95"/>
    <w:rsid w:val="00B63559"/>
    <w:rsid w:val="00B63716"/>
    <w:rsid w:val="00B638BB"/>
    <w:rsid w:val="00B639A3"/>
    <w:rsid w:val="00B63A2B"/>
    <w:rsid w:val="00B63B58"/>
    <w:rsid w:val="00B642D1"/>
    <w:rsid w:val="00B64E66"/>
    <w:rsid w:val="00B651EE"/>
    <w:rsid w:val="00B6532C"/>
    <w:rsid w:val="00B653DF"/>
    <w:rsid w:val="00B6554C"/>
    <w:rsid w:val="00B65611"/>
    <w:rsid w:val="00B65E71"/>
    <w:rsid w:val="00B66383"/>
    <w:rsid w:val="00B6674F"/>
    <w:rsid w:val="00B6696C"/>
    <w:rsid w:val="00B671C8"/>
    <w:rsid w:val="00B67781"/>
    <w:rsid w:val="00B677F0"/>
    <w:rsid w:val="00B67F00"/>
    <w:rsid w:val="00B7016D"/>
    <w:rsid w:val="00B702BA"/>
    <w:rsid w:val="00B705C6"/>
    <w:rsid w:val="00B70975"/>
    <w:rsid w:val="00B70B01"/>
    <w:rsid w:val="00B70E8E"/>
    <w:rsid w:val="00B7107A"/>
    <w:rsid w:val="00B71148"/>
    <w:rsid w:val="00B71615"/>
    <w:rsid w:val="00B71658"/>
    <w:rsid w:val="00B71692"/>
    <w:rsid w:val="00B71BCC"/>
    <w:rsid w:val="00B72A44"/>
    <w:rsid w:val="00B72BD0"/>
    <w:rsid w:val="00B731DA"/>
    <w:rsid w:val="00B73208"/>
    <w:rsid w:val="00B73AD8"/>
    <w:rsid w:val="00B73FCD"/>
    <w:rsid w:val="00B73FF4"/>
    <w:rsid w:val="00B744F7"/>
    <w:rsid w:val="00B7460B"/>
    <w:rsid w:val="00B74B8C"/>
    <w:rsid w:val="00B75170"/>
    <w:rsid w:val="00B75477"/>
    <w:rsid w:val="00B7602F"/>
    <w:rsid w:val="00B76250"/>
    <w:rsid w:val="00B768C0"/>
    <w:rsid w:val="00B7695B"/>
    <w:rsid w:val="00B76C92"/>
    <w:rsid w:val="00B77141"/>
    <w:rsid w:val="00B77149"/>
    <w:rsid w:val="00B775D8"/>
    <w:rsid w:val="00B77964"/>
    <w:rsid w:val="00B77CB5"/>
    <w:rsid w:val="00B80EFD"/>
    <w:rsid w:val="00B80F87"/>
    <w:rsid w:val="00B81220"/>
    <w:rsid w:val="00B817B3"/>
    <w:rsid w:val="00B81804"/>
    <w:rsid w:val="00B818A4"/>
    <w:rsid w:val="00B82131"/>
    <w:rsid w:val="00B8214E"/>
    <w:rsid w:val="00B83460"/>
    <w:rsid w:val="00B83593"/>
    <w:rsid w:val="00B836F5"/>
    <w:rsid w:val="00B83739"/>
    <w:rsid w:val="00B83A4C"/>
    <w:rsid w:val="00B83CE7"/>
    <w:rsid w:val="00B84089"/>
    <w:rsid w:val="00B84117"/>
    <w:rsid w:val="00B8442E"/>
    <w:rsid w:val="00B8457E"/>
    <w:rsid w:val="00B8490A"/>
    <w:rsid w:val="00B8569D"/>
    <w:rsid w:val="00B858F0"/>
    <w:rsid w:val="00B85905"/>
    <w:rsid w:val="00B85AA2"/>
    <w:rsid w:val="00B85C0B"/>
    <w:rsid w:val="00B86137"/>
    <w:rsid w:val="00B86372"/>
    <w:rsid w:val="00B8649C"/>
    <w:rsid w:val="00B8695D"/>
    <w:rsid w:val="00B869F6"/>
    <w:rsid w:val="00B86D4A"/>
    <w:rsid w:val="00B86E30"/>
    <w:rsid w:val="00B871E3"/>
    <w:rsid w:val="00B872FD"/>
    <w:rsid w:val="00B8784B"/>
    <w:rsid w:val="00B87C54"/>
    <w:rsid w:val="00B87C8F"/>
    <w:rsid w:val="00B87D9A"/>
    <w:rsid w:val="00B87F0A"/>
    <w:rsid w:val="00B87F35"/>
    <w:rsid w:val="00B87F6A"/>
    <w:rsid w:val="00B906B7"/>
    <w:rsid w:val="00B906EF"/>
    <w:rsid w:val="00B9117D"/>
    <w:rsid w:val="00B9121E"/>
    <w:rsid w:val="00B91272"/>
    <w:rsid w:val="00B91AD9"/>
    <w:rsid w:val="00B91BC5"/>
    <w:rsid w:val="00B92247"/>
    <w:rsid w:val="00B9277E"/>
    <w:rsid w:val="00B9286E"/>
    <w:rsid w:val="00B92D0B"/>
    <w:rsid w:val="00B93139"/>
    <w:rsid w:val="00B93250"/>
    <w:rsid w:val="00B93371"/>
    <w:rsid w:val="00B933C1"/>
    <w:rsid w:val="00B934C0"/>
    <w:rsid w:val="00B93517"/>
    <w:rsid w:val="00B93766"/>
    <w:rsid w:val="00B938E4"/>
    <w:rsid w:val="00B94473"/>
    <w:rsid w:val="00B948DD"/>
    <w:rsid w:val="00B94945"/>
    <w:rsid w:val="00B94CAC"/>
    <w:rsid w:val="00B94CAD"/>
    <w:rsid w:val="00B94CE5"/>
    <w:rsid w:val="00B94D67"/>
    <w:rsid w:val="00B94DD6"/>
    <w:rsid w:val="00B950B5"/>
    <w:rsid w:val="00B9519B"/>
    <w:rsid w:val="00B95398"/>
    <w:rsid w:val="00B956CE"/>
    <w:rsid w:val="00B959C0"/>
    <w:rsid w:val="00B95C95"/>
    <w:rsid w:val="00B95CF0"/>
    <w:rsid w:val="00B95DB6"/>
    <w:rsid w:val="00B95E67"/>
    <w:rsid w:val="00B96049"/>
    <w:rsid w:val="00B96384"/>
    <w:rsid w:val="00B965A9"/>
    <w:rsid w:val="00B96871"/>
    <w:rsid w:val="00B96C0A"/>
    <w:rsid w:val="00B96F4F"/>
    <w:rsid w:val="00B97A96"/>
    <w:rsid w:val="00B97D09"/>
    <w:rsid w:val="00B97D66"/>
    <w:rsid w:val="00BA011D"/>
    <w:rsid w:val="00BA04F1"/>
    <w:rsid w:val="00BA09D5"/>
    <w:rsid w:val="00BA0B83"/>
    <w:rsid w:val="00BA0EEF"/>
    <w:rsid w:val="00BA0FE0"/>
    <w:rsid w:val="00BA1426"/>
    <w:rsid w:val="00BA1881"/>
    <w:rsid w:val="00BA1B6F"/>
    <w:rsid w:val="00BA1CC1"/>
    <w:rsid w:val="00BA1D67"/>
    <w:rsid w:val="00BA2092"/>
    <w:rsid w:val="00BA20BB"/>
    <w:rsid w:val="00BA2164"/>
    <w:rsid w:val="00BA26D2"/>
    <w:rsid w:val="00BA2F4F"/>
    <w:rsid w:val="00BA31A3"/>
    <w:rsid w:val="00BA321C"/>
    <w:rsid w:val="00BA322D"/>
    <w:rsid w:val="00BA3549"/>
    <w:rsid w:val="00BA38AE"/>
    <w:rsid w:val="00BA3AAB"/>
    <w:rsid w:val="00BA3E38"/>
    <w:rsid w:val="00BA3FA8"/>
    <w:rsid w:val="00BA4607"/>
    <w:rsid w:val="00BA464C"/>
    <w:rsid w:val="00BA47E5"/>
    <w:rsid w:val="00BA4B12"/>
    <w:rsid w:val="00BA4D96"/>
    <w:rsid w:val="00BA4DC8"/>
    <w:rsid w:val="00BA610A"/>
    <w:rsid w:val="00BA62F8"/>
    <w:rsid w:val="00BA63A0"/>
    <w:rsid w:val="00BA63FA"/>
    <w:rsid w:val="00BA653A"/>
    <w:rsid w:val="00BA6EA1"/>
    <w:rsid w:val="00BA74E5"/>
    <w:rsid w:val="00BA7B67"/>
    <w:rsid w:val="00BB00B3"/>
    <w:rsid w:val="00BB055A"/>
    <w:rsid w:val="00BB0BD2"/>
    <w:rsid w:val="00BB0BD5"/>
    <w:rsid w:val="00BB0BDD"/>
    <w:rsid w:val="00BB176C"/>
    <w:rsid w:val="00BB18C5"/>
    <w:rsid w:val="00BB21F6"/>
    <w:rsid w:val="00BB2767"/>
    <w:rsid w:val="00BB29B4"/>
    <w:rsid w:val="00BB2A73"/>
    <w:rsid w:val="00BB3143"/>
    <w:rsid w:val="00BB3941"/>
    <w:rsid w:val="00BB3A45"/>
    <w:rsid w:val="00BB3B99"/>
    <w:rsid w:val="00BB426A"/>
    <w:rsid w:val="00BB42AF"/>
    <w:rsid w:val="00BB4ACC"/>
    <w:rsid w:val="00BB4D67"/>
    <w:rsid w:val="00BB546F"/>
    <w:rsid w:val="00BB61B3"/>
    <w:rsid w:val="00BB64AB"/>
    <w:rsid w:val="00BB6917"/>
    <w:rsid w:val="00BB6B66"/>
    <w:rsid w:val="00BB703E"/>
    <w:rsid w:val="00BB732D"/>
    <w:rsid w:val="00BB7405"/>
    <w:rsid w:val="00BB7643"/>
    <w:rsid w:val="00BB7BB3"/>
    <w:rsid w:val="00BB7F30"/>
    <w:rsid w:val="00BC06E0"/>
    <w:rsid w:val="00BC0886"/>
    <w:rsid w:val="00BC09DA"/>
    <w:rsid w:val="00BC0C56"/>
    <w:rsid w:val="00BC0E92"/>
    <w:rsid w:val="00BC100B"/>
    <w:rsid w:val="00BC10F9"/>
    <w:rsid w:val="00BC1223"/>
    <w:rsid w:val="00BC1DBE"/>
    <w:rsid w:val="00BC1F3B"/>
    <w:rsid w:val="00BC2FCC"/>
    <w:rsid w:val="00BC3374"/>
    <w:rsid w:val="00BC347B"/>
    <w:rsid w:val="00BC3565"/>
    <w:rsid w:val="00BC35BC"/>
    <w:rsid w:val="00BC3631"/>
    <w:rsid w:val="00BC381B"/>
    <w:rsid w:val="00BC3D31"/>
    <w:rsid w:val="00BC3F34"/>
    <w:rsid w:val="00BC4046"/>
    <w:rsid w:val="00BC4D0B"/>
    <w:rsid w:val="00BC548E"/>
    <w:rsid w:val="00BC557A"/>
    <w:rsid w:val="00BC591F"/>
    <w:rsid w:val="00BC5E91"/>
    <w:rsid w:val="00BC61E4"/>
    <w:rsid w:val="00BC6547"/>
    <w:rsid w:val="00BC6B46"/>
    <w:rsid w:val="00BC7441"/>
    <w:rsid w:val="00BC74E6"/>
    <w:rsid w:val="00BC779A"/>
    <w:rsid w:val="00BC7835"/>
    <w:rsid w:val="00BC7995"/>
    <w:rsid w:val="00BC7D6D"/>
    <w:rsid w:val="00BC7F62"/>
    <w:rsid w:val="00BC7FC3"/>
    <w:rsid w:val="00BD03FD"/>
    <w:rsid w:val="00BD0477"/>
    <w:rsid w:val="00BD057D"/>
    <w:rsid w:val="00BD0718"/>
    <w:rsid w:val="00BD0BDB"/>
    <w:rsid w:val="00BD115B"/>
    <w:rsid w:val="00BD12CD"/>
    <w:rsid w:val="00BD1452"/>
    <w:rsid w:val="00BD15B9"/>
    <w:rsid w:val="00BD16B5"/>
    <w:rsid w:val="00BD172C"/>
    <w:rsid w:val="00BD19C2"/>
    <w:rsid w:val="00BD1D4F"/>
    <w:rsid w:val="00BD1ED6"/>
    <w:rsid w:val="00BD1ED8"/>
    <w:rsid w:val="00BD2108"/>
    <w:rsid w:val="00BD2153"/>
    <w:rsid w:val="00BD23CB"/>
    <w:rsid w:val="00BD2569"/>
    <w:rsid w:val="00BD2A3C"/>
    <w:rsid w:val="00BD2BF6"/>
    <w:rsid w:val="00BD31F3"/>
    <w:rsid w:val="00BD339A"/>
    <w:rsid w:val="00BD35D9"/>
    <w:rsid w:val="00BD36A4"/>
    <w:rsid w:val="00BD3928"/>
    <w:rsid w:val="00BD395C"/>
    <w:rsid w:val="00BD40E8"/>
    <w:rsid w:val="00BD42DF"/>
    <w:rsid w:val="00BD44EB"/>
    <w:rsid w:val="00BD473F"/>
    <w:rsid w:val="00BD4EA6"/>
    <w:rsid w:val="00BD5C30"/>
    <w:rsid w:val="00BD5E46"/>
    <w:rsid w:val="00BD5FDF"/>
    <w:rsid w:val="00BD61E6"/>
    <w:rsid w:val="00BD65F4"/>
    <w:rsid w:val="00BD68A3"/>
    <w:rsid w:val="00BD6938"/>
    <w:rsid w:val="00BD6CF3"/>
    <w:rsid w:val="00BD6F5D"/>
    <w:rsid w:val="00BD7D0F"/>
    <w:rsid w:val="00BD7F72"/>
    <w:rsid w:val="00BD7FF1"/>
    <w:rsid w:val="00BE004F"/>
    <w:rsid w:val="00BE007A"/>
    <w:rsid w:val="00BE0220"/>
    <w:rsid w:val="00BE0621"/>
    <w:rsid w:val="00BE08C0"/>
    <w:rsid w:val="00BE0DF0"/>
    <w:rsid w:val="00BE0ECA"/>
    <w:rsid w:val="00BE0FFC"/>
    <w:rsid w:val="00BE102C"/>
    <w:rsid w:val="00BE1117"/>
    <w:rsid w:val="00BE11E3"/>
    <w:rsid w:val="00BE1298"/>
    <w:rsid w:val="00BE1BEE"/>
    <w:rsid w:val="00BE1EE1"/>
    <w:rsid w:val="00BE211F"/>
    <w:rsid w:val="00BE2180"/>
    <w:rsid w:val="00BE21F2"/>
    <w:rsid w:val="00BE2B69"/>
    <w:rsid w:val="00BE399F"/>
    <w:rsid w:val="00BE3E47"/>
    <w:rsid w:val="00BE4275"/>
    <w:rsid w:val="00BE4370"/>
    <w:rsid w:val="00BE4BFF"/>
    <w:rsid w:val="00BE4E5D"/>
    <w:rsid w:val="00BE5127"/>
    <w:rsid w:val="00BE5280"/>
    <w:rsid w:val="00BE5740"/>
    <w:rsid w:val="00BE5996"/>
    <w:rsid w:val="00BE5B33"/>
    <w:rsid w:val="00BE5D78"/>
    <w:rsid w:val="00BE60FC"/>
    <w:rsid w:val="00BE6256"/>
    <w:rsid w:val="00BE629D"/>
    <w:rsid w:val="00BE74AC"/>
    <w:rsid w:val="00BF06AE"/>
    <w:rsid w:val="00BF07C9"/>
    <w:rsid w:val="00BF0A90"/>
    <w:rsid w:val="00BF0BDD"/>
    <w:rsid w:val="00BF0F95"/>
    <w:rsid w:val="00BF172A"/>
    <w:rsid w:val="00BF1778"/>
    <w:rsid w:val="00BF1833"/>
    <w:rsid w:val="00BF18CE"/>
    <w:rsid w:val="00BF1A59"/>
    <w:rsid w:val="00BF1D0A"/>
    <w:rsid w:val="00BF1E90"/>
    <w:rsid w:val="00BF2122"/>
    <w:rsid w:val="00BF2433"/>
    <w:rsid w:val="00BF246D"/>
    <w:rsid w:val="00BF2BB1"/>
    <w:rsid w:val="00BF2CD4"/>
    <w:rsid w:val="00BF2DA7"/>
    <w:rsid w:val="00BF2E6E"/>
    <w:rsid w:val="00BF30BE"/>
    <w:rsid w:val="00BF3176"/>
    <w:rsid w:val="00BF32FB"/>
    <w:rsid w:val="00BF338F"/>
    <w:rsid w:val="00BF3B53"/>
    <w:rsid w:val="00BF3C3E"/>
    <w:rsid w:val="00BF400F"/>
    <w:rsid w:val="00BF419A"/>
    <w:rsid w:val="00BF4971"/>
    <w:rsid w:val="00BF4B90"/>
    <w:rsid w:val="00BF50F7"/>
    <w:rsid w:val="00BF516F"/>
    <w:rsid w:val="00BF5736"/>
    <w:rsid w:val="00BF5D2C"/>
    <w:rsid w:val="00BF61C9"/>
    <w:rsid w:val="00BF6265"/>
    <w:rsid w:val="00BF62EF"/>
    <w:rsid w:val="00BF636D"/>
    <w:rsid w:val="00BF6419"/>
    <w:rsid w:val="00BF68C5"/>
    <w:rsid w:val="00BF6A75"/>
    <w:rsid w:val="00BF6C62"/>
    <w:rsid w:val="00BF6C94"/>
    <w:rsid w:val="00BF6CC0"/>
    <w:rsid w:val="00BF6E84"/>
    <w:rsid w:val="00BF75F1"/>
    <w:rsid w:val="00BF784A"/>
    <w:rsid w:val="00BF7ED1"/>
    <w:rsid w:val="00BF7F6C"/>
    <w:rsid w:val="00BF7FA4"/>
    <w:rsid w:val="00C00424"/>
    <w:rsid w:val="00C00442"/>
    <w:rsid w:val="00C0064A"/>
    <w:rsid w:val="00C007A4"/>
    <w:rsid w:val="00C00873"/>
    <w:rsid w:val="00C00BB0"/>
    <w:rsid w:val="00C00C5F"/>
    <w:rsid w:val="00C00FED"/>
    <w:rsid w:val="00C01004"/>
    <w:rsid w:val="00C01065"/>
    <w:rsid w:val="00C010BB"/>
    <w:rsid w:val="00C0120F"/>
    <w:rsid w:val="00C0142C"/>
    <w:rsid w:val="00C01628"/>
    <w:rsid w:val="00C01637"/>
    <w:rsid w:val="00C01DD6"/>
    <w:rsid w:val="00C02393"/>
    <w:rsid w:val="00C02505"/>
    <w:rsid w:val="00C02702"/>
    <w:rsid w:val="00C02C52"/>
    <w:rsid w:val="00C0324C"/>
    <w:rsid w:val="00C0330E"/>
    <w:rsid w:val="00C03894"/>
    <w:rsid w:val="00C03E91"/>
    <w:rsid w:val="00C03F4D"/>
    <w:rsid w:val="00C04170"/>
    <w:rsid w:val="00C0467E"/>
    <w:rsid w:val="00C048B3"/>
    <w:rsid w:val="00C04F5C"/>
    <w:rsid w:val="00C05280"/>
    <w:rsid w:val="00C057F5"/>
    <w:rsid w:val="00C05956"/>
    <w:rsid w:val="00C05A32"/>
    <w:rsid w:val="00C05D78"/>
    <w:rsid w:val="00C05DCF"/>
    <w:rsid w:val="00C0605B"/>
    <w:rsid w:val="00C062B0"/>
    <w:rsid w:val="00C0715F"/>
    <w:rsid w:val="00C079EB"/>
    <w:rsid w:val="00C07F7D"/>
    <w:rsid w:val="00C07FBF"/>
    <w:rsid w:val="00C102CB"/>
    <w:rsid w:val="00C10AD2"/>
    <w:rsid w:val="00C11173"/>
    <w:rsid w:val="00C11192"/>
    <w:rsid w:val="00C115CF"/>
    <w:rsid w:val="00C1179F"/>
    <w:rsid w:val="00C1219D"/>
    <w:rsid w:val="00C124BF"/>
    <w:rsid w:val="00C12682"/>
    <w:rsid w:val="00C127B9"/>
    <w:rsid w:val="00C128FA"/>
    <w:rsid w:val="00C12AEB"/>
    <w:rsid w:val="00C12C14"/>
    <w:rsid w:val="00C12C98"/>
    <w:rsid w:val="00C12E1C"/>
    <w:rsid w:val="00C12F2B"/>
    <w:rsid w:val="00C13B2D"/>
    <w:rsid w:val="00C13BEE"/>
    <w:rsid w:val="00C1427E"/>
    <w:rsid w:val="00C14430"/>
    <w:rsid w:val="00C144D3"/>
    <w:rsid w:val="00C146BB"/>
    <w:rsid w:val="00C14B69"/>
    <w:rsid w:val="00C14BFE"/>
    <w:rsid w:val="00C14F7B"/>
    <w:rsid w:val="00C1523A"/>
    <w:rsid w:val="00C15A94"/>
    <w:rsid w:val="00C15CF7"/>
    <w:rsid w:val="00C15E31"/>
    <w:rsid w:val="00C15F04"/>
    <w:rsid w:val="00C16792"/>
    <w:rsid w:val="00C16AD8"/>
    <w:rsid w:val="00C17273"/>
    <w:rsid w:val="00C177AF"/>
    <w:rsid w:val="00C179B3"/>
    <w:rsid w:val="00C17D93"/>
    <w:rsid w:val="00C17E3F"/>
    <w:rsid w:val="00C17FF4"/>
    <w:rsid w:val="00C200AA"/>
    <w:rsid w:val="00C20784"/>
    <w:rsid w:val="00C20945"/>
    <w:rsid w:val="00C20D89"/>
    <w:rsid w:val="00C21843"/>
    <w:rsid w:val="00C21C84"/>
    <w:rsid w:val="00C21CD3"/>
    <w:rsid w:val="00C223DE"/>
    <w:rsid w:val="00C22568"/>
    <w:rsid w:val="00C229F3"/>
    <w:rsid w:val="00C22A70"/>
    <w:rsid w:val="00C22B08"/>
    <w:rsid w:val="00C22B2B"/>
    <w:rsid w:val="00C22B3D"/>
    <w:rsid w:val="00C22D71"/>
    <w:rsid w:val="00C23765"/>
    <w:rsid w:val="00C237ED"/>
    <w:rsid w:val="00C23E17"/>
    <w:rsid w:val="00C245F2"/>
    <w:rsid w:val="00C24632"/>
    <w:rsid w:val="00C247B7"/>
    <w:rsid w:val="00C24A50"/>
    <w:rsid w:val="00C25418"/>
    <w:rsid w:val="00C258A5"/>
    <w:rsid w:val="00C25AF1"/>
    <w:rsid w:val="00C25B2F"/>
    <w:rsid w:val="00C25B8B"/>
    <w:rsid w:val="00C25C6A"/>
    <w:rsid w:val="00C25D9C"/>
    <w:rsid w:val="00C2648D"/>
    <w:rsid w:val="00C27007"/>
    <w:rsid w:val="00C27123"/>
    <w:rsid w:val="00C274F3"/>
    <w:rsid w:val="00C2778B"/>
    <w:rsid w:val="00C277C9"/>
    <w:rsid w:val="00C3072A"/>
    <w:rsid w:val="00C313F7"/>
    <w:rsid w:val="00C31649"/>
    <w:rsid w:val="00C3202A"/>
    <w:rsid w:val="00C32184"/>
    <w:rsid w:val="00C32BAD"/>
    <w:rsid w:val="00C33569"/>
    <w:rsid w:val="00C337C4"/>
    <w:rsid w:val="00C33E28"/>
    <w:rsid w:val="00C33E47"/>
    <w:rsid w:val="00C3434C"/>
    <w:rsid w:val="00C3450C"/>
    <w:rsid w:val="00C34532"/>
    <w:rsid w:val="00C34BE0"/>
    <w:rsid w:val="00C3573B"/>
    <w:rsid w:val="00C35BE6"/>
    <w:rsid w:val="00C36500"/>
    <w:rsid w:val="00C36F01"/>
    <w:rsid w:val="00C3700F"/>
    <w:rsid w:val="00C37F59"/>
    <w:rsid w:val="00C37F93"/>
    <w:rsid w:val="00C40053"/>
    <w:rsid w:val="00C401D3"/>
    <w:rsid w:val="00C4035A"/>
    <w:rsid w:val="00C40385"/>
    <w:rsid w:val="00C40433"/>
    <w:rsid w:val="00C4070F"/>
    <w:rsid w:val="00C4083A"/>
    <w:rsid w:val="00C40DFC"/>
    <w:rsid w:val="00C411BB"/>
    <w:rsid w:val="00C41768"/>
    <w:rsid w:val="00C421BA"/>
    <w:rsid w:val="00C42A89"/>
    <w:rsid w:val="00C42BB0"/>
    <w:rsid w:val="00C42C3C"/>
    <w:rsid w:val="00C42DA7"/>
    <w:rsid w:val="00C42F3F"/>
    <w:rsid w:val="00C431A3"/>
    <w:rsid w:val="00C43298"/>
    <w:rsid w:val="00C432E9"/>
    <w:rsid w:val="00C43A25"/>
    <w:rsid w:val="00C44439"/>
    <w:rsid w:val="00C44573"/>
    <w:rsid w:val="00C44817"/>
    <w:rsid w:val="00C44E3F"/>
    <w:rsid w:val="00C45484"/>
    <w:rsid w:val="00C455F2"/>
    <w:rsid w:val="00C45783"/>
    <w:rsid w:val="00C458B8"/>
    <w:rsid w:val="00C45E09"/>
    <w:rsid w:val="00C45E52"/>
    <w:rsid w:val="00C4671C"/>
    <w:rsid w:val="00C46742"/>
    <w:rsid w:val="00C46E1F"/>
    <w:rsid w:val="00C46E4C"/>
    <w:rsid w:val="00C46F1B"/>
    <w:rsid w:val="00C46F64"/>
    <w:rsid w:val="00C47180"/>
    <w:rsid w:val="00C475AA"/>
    <w:rsid w:val="00C50244"/>
    <w:rsid w:val="00C50665"/>
    <w:rsid w:val="00C507B6"/>
    <w:rsid w:val="00C5136D"/>
    <w:rsid w:val="00C515FF"/>
    <w:rsid w:val="00C516AB"/>
    <w:rsid w:val="00C51D4D"/>
    <w:rsid w:val="00C51FA7"/>
    <w:rsid w:val="00C52279"/>
    <w:rsid w:val="00C527C7"/>
    <w:rsid w:val="00C52D7C"/>
    <w:rsid w:val="00C52D86"/>
    <w:rsid w:val="00C52DBC"/>
    <w:rsid w:val="00C5313E"/>
    <w:rsid w:val="00C53331"/>
    <w:rsid w:val="00C5357B"/>
    <w:rsid w:val="00C53696"/>
    <w:rsid w:val="00C53728"/>
    <w:rsid w:val="00C538B9"/>
    <w:rsid w:val="00C538BD"/>
    <w:rsid w:val="00C53C0C"/>
    <w:rsid w:val="00C53C98"/>
    <w:rsid w:val="00C5402A"/>
    <w:rsid w:val="00C5410A"/>
    <w:rsid w:val="00C5446F"/>
    <w:rsid w:val="00C54600"/>
    <w:rsid w:val="00C54C63"/>
    <w:rsid w:val="00C55977"/>
    <w:rsid w:val="00C56258"/>
    <w:rsid w:val="00C565EF"/>
    <w:rsid w:val="00C56BF3"/>
    <w:rsid w:val="00C56F9D"/>
    <w:rsid w:val="00C56FCF"/>
    <w:rsid w:val="00C5709C"/>
    <w:rsid w:val="00C57274"/>
    <w:rsid w:val="00C572F6"/>
    <w:rsid w:val="00C57B6C"/>
    <w:rsid w:val="00C57BE7"/>
    <w:rsid w:val="00C57E08"/>
    <w:rsid w:val="00C60118"/>
    <w:rsid w:val="00C603E6"/>
    <w:rsid w:val="00C6043B"/>
    <w:rsid w:val="00C60BA2"/>
    <w:rsid w:val="00C60E80"/>
    <w:rsid w:val="00C610B8"/>
    <w:rsid w:val="00C6110E"/>
    <w:rsid w:val="00C615C1"/>
    <w:rsid w:val="00C61667"/>
    <w:rsid w:val="00C616F1"/>
    <w:rsid w:val="00C61A59"/>
    <w:rsid w:val="00C61A66"/>
    <w:rsid w:val="00C61B1B"/>
    <w:rsid w:val="00C61D56"/>
    <w:rsid w:val="00C620CF"/>
    <w:rsid w:val="00C62276"/>
    <w:rsid w:val="00C622EA"/>
    <w:rsid w:val="00C62726"/>
    <w:rsid w:val="00C628A6"/>
    <w:rsid w:val="00C62ABB"/>
    <w:rsid w:val="00C631B5"/>
    <w:rsid w:val="00C63E55"/>
    <w:rsid w:val="00C63EED"/>
    <w:rsid w:val="00C63F93"/>
    <w:rsid w:val="00C64344"/>
    <w:rsid w:val="00C6469F"/>
    <w:rsid w:val="00C64788"/>
    <w:rsid w:val="00C64CEE"/>
    <w:rsid w:val="00C64F5E"/>
    <w:rsid w:val="00C6507D"/>
    <w:rsid w:val="00C65108"/>
    <w:rsid w:val="00C65264"/>
    <w:rsid w:val="00C6536D"/>
    <w:rsid w:val="00C65576"/>
    <w:rsid w:val="00C656D8"/>
    <w:rsid w:val="00C657FF"/>
    <w:rsid w:val="00C65857"/>
    <w:rsid w:val="00C658AC"/>
    <w:rsid w:val="00C65C7B"/>
    <w:rsid w:val="00C66165"/>
    <w:rsid w:val="00C6635E"/>
    <w:rsid w:val="00C665D0"/>
    <w:rsid w:val="00C666E6"/>
    <w:rsid w:val="00C66EBA"/>
    <w:rsid w:val="00C66FA0"/>
    <w:rsid w:val="00C67055"/>
    <w:rsid w:val="00C671AE"/>
    <w:rsid w:val="00C676B7"/>
    <w:rsid w:val="00C67D6F"/>
    <w:rsid w:val="00C67E56"/>
    <w:rsid w:val="00C67E8A"/>
    <w:rsid w:val="00C67F4D"/>
    <w:rsid w:val="00C70052"/>
    <w:rsid w:val="00C70191"/>
    <w:rsid w:val="00C7034A"/>
    <w:rsid w:val="00C7057F"/>
    <w:rsid w:val="00C7060A"/>
    <w:rsid w:val="00C7151A"/>
    <w:rsid w:val="00C717E3"/>
    <w:rsid w:val="00C71BB8"/>
    <w:rsid w:val="00C71F60"/>
    <w:rsid w:val="00C71F7E"/>
    <w:rsid w:val="00C721CC"/>
    <w:rsid w:val="00C72241"/>
    <w:rsid w:val="00C72384"/>
    <w:rsid w:val="00C72571"/>
    <w:rsid w:val="00C728E1"/>
    <w:rsid w:val="00C72BBF"/>
    <w:rsid w:val="00C73087"/>
    <w:rsid w:val="00C7381C"/>
    <w:rsid w:val="00C74107"/>
    <w:rsid w:val="00C74CA8"/>
    <w:rsid w:val="00C750C8"/>
    <w:rsid w:val="00C75384"/>
    <w:rsid w:val="00C75432"/>
    <w:rsid w:val="00C7560F"/>
    <w:rsid w:val="00C7564A"/>
    <w:rsid w:val="00C757DF"/>
    <w:rsid w:val="00C75C59"/>
    <w:rsid w:val="00C75E28"/>
    <w:rsid w:val="00C75E43"/>
    <w:rsid w:val="00C75F57"/>
    <w:rsid w:val="00C75FE9"/>
    <w:rsid w:val="00C763EB"/>
    <w:rsid w:val="00C766E4"/>
    <w:rsid w:val="00C77056"/>
    <w:rsid w:val="00C77104"/>
    <w:rsid w:val="00C771F6"/>
    <w:rsid w:val="00C77297"/>
    <w:rsid w:val="00C77320"/>
    <w:rsid w:val="00C77BEE"/>
    <w:rsid w:val="00C77C00"/>
    <w:rsid w:val="00C77F0E"/>
    <w:rsid w:val="00C800A4"/>
    <w:rsid w:val="00C800FE"/>
    <w:rsid w:val="00C8021B"/>
    <w:rsid w:val="00C80566"/>
    <w:rsid w:val="00C8061E"/>
    <w:rsid w:val="00C80855"/>
    <w:rsid w:val="00C80904"/>
    <w:rsid w:val="00C80A0E"/>
    <w:rsid w:val="00C80E09"/>
    <w:rsid w:val="00C8140F"/>
    <w:rsid w:val="00C81C89"/>
    <w:rsid w:val="00C81DC8"/>
    <w:rsid w:val="00C820A4"/>
    <w:rsid w:val="00C8213C"/>
    <w:rsid w:val="00C8213F"/>
    <w:rsid w:val="00C823E2"/>
    <w:rsid w:val="00C825EB"/>
    <w:rsid w:val="00C82EFE"/>
    <w:rsid w:val="00C82F3A"/>
    <w:rsid w:val="00C8303F"/>
    <w:rsid w:val="00C83F9A"/>
    <w:rsid w:val="00C8402F"/>
    <w:rsid w:val="00C8438E"/>
    <w:rsid w:val="00C84642"/>
    <w:rsid w:val="00C84B4C"/>
    <w:rsid w:val="00C84E84"/>
    <w:rsid w:val="00C85154"/>
    <w:rsid w:val="00C851DA"/>
    <w:rsid w:val="00C8525A"/>
    <w:rsid w:val="00C85476"/>
    <w:rsid w:val="00C854FE"/>
    <w:rsid w:val="00C858FE"/>
    <w:rsid w:val="00C85A70"/>
    <w:rsid w:val="00C85C73"/>
    <w:rsid w:val="00C85D1B"/>
    <w:rsid w:val="00C85D57"/>
    <w:rsid w:val="00C85EF3"/>
    <w:rsid w:val="00C8612E"/>
    <w:rsid w:val="00C865AC"/>
    <w:rsid w:val="00C86C03"/>
    <w:rsid w:val="00C86E96"/>
    <w:rsid w:val="00C87921"/>
    <w:rsid w:val="00C8797A"/>
    <w:rsid w:val="00C87A20"/>
    <w:rsid w:val="00C87E32"/>
    <w:rsid w:val="00C900B8"/>
    <w:rsid w:val="00C90197"/>
    <w:rsid w:val="00C901BA"/>
    <w:rsid w:val="00C90A5A"/>
    <w:rsid w:val="00C90A7A"/>
    <w:rsid w:val="00C90AF7"/>
    <w:rsid w:val="00C90B09"/>
    <w:rsid w:val="00C90C71"/>
    <w:rsid w:val="00C90D5E"/>
    <w:rsid w:val="00C916CB"/>
    <w:rsid w:val="00C918CE"/>
    <w:rsid w:val="00C91CAE"/>
    <w:rsid w:val="00C91F1F"/>
    <w:rsid w:val="00C91FD1"/>
    <w:rsid w:val="00C922A3"/>
    <w:rsid w:val="00C923BD"/>
    <w:rsid w:val="00C92C43"/>
    <w:rsid w:val="00C92CD0"/>
    <w:rsid w:val="00C931CF"/>
    <w:rsid w:val="00C935FE"/>
    <w:rsid w:val="00C93634"/>
    <w:rsid w:val="00C93734"/>
    <w:rsid w:val="00C938CF"/>
    <w:rsid w:val="00C93A8E"/>
    <w:rsid w:val="00C93DE3"/>
    <w:rsid w:val="00C94053"/>
    <w:rsid w:val="00C940A6"/>
    <w:rsid w:val="00C94125"/>
    <w:rsid w:val="00C9426E"/>
    <w:rsid w:val="00C94BE2"/>
    <w:rsid w:val="00C94EC8"/>
    <w:rsid w:val="00C953CA"/>
    <w:rsid w:val="00C95595"/>
    <w:rsid w:val="00C95850"/>
    <w:rsid w:val="00C95980"/>
    <w:rsid w:val="00C95A4B"/>
    <w:rsid w:val="00C95AD5"/>
    <w:rsid w:val="00C95B2F"/>
    <w:rsid w:val="00C9624D"/>
    <w:rsid w:val="00C967F9"/>
    <w:rsid w:val="00C969DA"/>
    <w:rsid w:val="00C96BC7"/>
    <w:rsid w:val="00C96C0E"/>
    <w:rsid w:val="00C97068"/>
    <w:rsid w:val="00C975E9"/>
    <w:rsid w:val="00C976ED"/>
    <w:rsid w:val="00C97811"/>
    <w:rsid w:val="00C97B80"/>
    <w:rsid w:val="00CA01AE"/>
    <w:rsid w:val="00CA0277"/>
    <w:rsid w:val="00CA05BD"/>
    <w:rsid w:val="00CA060C"/>
    <w:rsid w:val="00CA0ACB"/>
    <w:rsid w:val="00CA0D0F"/>
    <w:rsid w:val="00CA128A"/>
    <w:rsid w:val="00CA14CA"/>
    <w:rsid w:val="00CA1831"/>
    <w:rsid w:val="00CA1D55"/>
    <w:rsid w:val="00CA219E"/>
    <w:rsid w:val="00CA2251"/>
    <w:rsid w:val="00CA239F"/>
    <w:rsid w:val="00CA2431"/>
    <w:rsid w:val="00CA275A"/>
    <w:rsid w:val="00CA2843"/>
    <w:rsid w:val="00CA2BF9"/>
    <w:rsid w:val="00CA2C77"/>
    <w:rsid w:val="00CA3472"/>
    <w:rsid w:val="00CA41F8"/>
    <w:rsid w:val="00CA4291"/>
    <w:rsid w:val="00CA444F"/>
    <w:rsid w:val="00CA4BD7"/>
    <w:rsid w:val="00CA4C68"/>
    <w:rsid w:val="00CA4CE4"/>
    <w:rsid w:val="00CA5245"/>
    <w:rsid w:val="00CA5827"/>
    <w:rsid w:val="00CA5B5C"/>
    <w:rsid w:val="00CA5E5D"/>
    <w:rsid w:val="00CA64E2"/>
    <w:rsid w:val="00CA652D"/>
    <w:rsid w:val="00CA71F4"/>
    <w:rsid w:val="00CA75F2"/>
    <w:rsid w:val="00CA7891"/>
    <w:rsid w:val="00CA7B09"/>
    <w:rsid w:val="00CA7B3E"/>
    <w:rsid w:val="00CA7C97"/>
    <w:rsid w:val="00CB0190"/>
    <w:rsid w:val="00CB0241"/>
    <w:rsid w:val="00CB0A60"/>
    <w:rsid w:val="00CB0DB5"/>
    <w:rsid w:val="00CB0EC7"/>
    <w:rsid w:val="00CB10D8"/>
    <w:rsid w:val="00CB12A5"/>
    <w:rsid w:val="00CB1488"/>
    <w:rsid w:val="00CB1577"/>
    <w:rsid w:val="00CB1814"/>
    <w:rsid w:val="00CB1C2A"/>
    <w:rsid w:val="00CB1CAC"/>
    <w:rsid w:val="00CB1F54"/>
    <w:rsid w:val="00CB226D"/>
    <w:rsid w:val="00CB286F"/>
    <w:rsid w:val="00CB2C41"/>
    <w:rsid w:val="00CB2C4A"/>
    <w:rsid w:val="00CB2D77"/>
    <w:rsid w:val="00CB2F13"/>
    <w:rsid w:val="00CB2F2A"/>
    <w:rsid w:val="00CB3F6A"/>
    <w:rsid w:val="00CB42A0"/>
    <w:rsid w:val="00CB4B2D"/>
    <w:rsid w:val="00CB527F"/>
    <w:rsid w:val="00CB52E4"/>
    <w:rsid w:val="00CB575B"/>
    <w:rsid w:val="00CB5B1A"/>
    <w:rsid w:val="00CB5BCE"/>
    <w:rsid w:val="00CB5F7F"/>
    <w:rsid w:val="00CB63AD"/>
    <w:rsid w:val="00CB67BB"/>
    <w:rsid w:val="00CB6ABB"/>
    <w:rsid w:val="00CB6B22"/>
    <w:rsid w:val="00CB772F"/>
    <w:rsid w:val="00CB7D74"/>
    <w:rsid w:val="00CB7F5F"/>
    <w:rsid w:val="00CC01F2"/>
    <w:rsid w:val="00CC027F"/>
    <w:rsid w:val="00CC0A73"/>
    <w:rsid w:val="00CC0DFB"/>
    <w:rsid w:val="00CC0E66"/>
    <w:rsid w:val="00CC12C8"/>
    <w:rsid w:val="00CC1B39"/>
    <w:rsid w:val="00CC1BFA"/>
    <w:rsid w:val="00CC1E51"/>
    <w:rsid w:val="00CC22E0"/>
    <w:rsid w:val="00CC2506"/>
    <w:rsid w:val="00CC2AD1"/>
    <w:rsid w:val="00CC2E9F"/>
    <w:rsid w:val="00CC35EA"/>
    <w:rsid w:val="00CC3692"/>
    <w:rsid w:val="00CC36A0"/>
    <w:rsid w:val="00CC3848"/>
    <w:rsid w:val="00CC3F74"/>
    <w:rsid w:val="00CC3FCB"/>
    <w:rsid w:val="00CC44C5"/>
    <w:rsid w:val="00CC44F6"/>
    <w:rsid w:val="00CC45A5"/>
    <w:rsid w:val="00CC4765"/>
    <w:rsid w:val="00CC4BD4"/>
    <w:rsid w:val="00CC4CF2"/>
    <w:rsid w:val="00CC5D2C"/>
    <w:rsid w:val="00CC5EFE"/>
    <w:rsid w:val="00CC62A9"/>
    <w:rsid w:val="00CC65AB"/>
    <w:rsid w:val="00CC6D5E"/>
    <w:rsid w:val="00CC6D77"/>
    <w:rsid w:val="00CC707B"/>
    <w:rsid w:val="00CC7168"/>
    <w:rsid w:val="00CC7253"/>
    <w:rsid w:val="00CC72B9"/>
    <w:rsid w:val="00CC7469"/>
    <w:rsid w:val="00CC7C88"/>
    <w:rsid w:val="00CD0200"/>
    <w:rsid w:val="00CD1071"/>
    <w:rsid w:val="00CD10D4"/>
    <w:rsid w:val="00CD1186"/>
    <w:rsid w:val="00CD1ABB"/>
    <w:rsid w:val="00CD1BEB"/>
    <w:rsid w:val="00CD2A0B"/>
    <w:rsid w:val="00CD2F76"/>
    <w:rsid w:val="00CD33D5"/>
    <w:rsid w:val="00CD3F15"/>
    <w:rsid w:val="00CD3F77"/>
    <w:rsid w:val="00CD42CB"/>
    <w:rsid w:val="00CD43AF"/>
    <w:rsid w:val="00CD44D5"/>
    <w:rsid w:val="00CD460F"/>
    <w:rsid w:val="00CD4C29"/>
    <w:rsid w:val="00CD4F9F"/>
    <w:rsid w:val="00CD557F"/>
    <w:rsid w:val="00CD56AB"/>
    <w:rsid w:val="00CD5D29"/>
    <w:rsid w:val="00CD5FF5"/>
    <w:rsid w:val="00CD6269"/>
    <w:rsid w:val="00CD6ADC"/>
    <w:rsid w:val="00CD6AF7"/>
    <w:rsid w:val="00CD6B61"/>
    <w:rsid w:val="00CD6B71"/>
    <w:rsid w:val="00CD6CF2"/>
    <w:rsid w:val="00CD7193"/>
    <w:rsid w:val="00CD7485"/>
    <w:rsid w:val="00CD7AFC"/>
    <w:rsid w:val="00CD7BE1"/>
    <w:rsid w:val="00CD7C52"/>
    <w:rsid w:val="00CD7ED1"/>
    <w:rsid w:val="00CE03C7"/>
    <w:rsid w:val="00CE04D2"/>
    <w:rsid w:val="00CE0615"/>
    <w:rsid w:val="00CE0E7C"/>
    <w:rsid w:val="00CE164B"/>
    <w:rsid w:val="00CE2269"/>
    <w:rsid w:val="00CE23B8"/>
    <w:rsid w:val="00CE24B1"/>
    <w:rsid w:val="00CE2557"/>
    <w:rsid w:val="00CE2DE7"/>
    <w:rsid w:val="00CE2DFA"/>
    <w:rsid w:val="00CE2F1C"/>
    <w:rsid w:val="00CE317D"/>
    <w:rsid w:val="00CE36CA"/>
    <w:rsid w:val="00CE377A"/>
    <w:rsid w:val="00CE37E3"/>
    <w:rsid w:val="00CE38C8"/>
    <w:rsid w:val="00CE3A77"/>
    <w:rsid w:val="00CE3C23"/>
    <w:rsid w:val="00CE3C3C"/>
    <w:rsid w:val="00CE3F48"/>
    <w:rsid w:val="00CE4203"/>
    <w:rsid w:val="00CE46AA"/>
    <w:rsid w:val="00CE4A63"/>
    <w:rsid w:val="00CE4BD4"/>
    <w:rsid w:val="00CE4D38"/>
    <w:rsid w:val="00CE524F"/>
    <w:rsid w:val="00CE54D8"/>
    <w:rsid w:val="00CE5651"/>
    <w:rsid w:val="00CE56AA"/>
    <w:rsid w:val="00CE5706"/>
    <w:rsid w:val="00CE58CC"/>
    <w:rsid w:val="00CE5E5B"/>
    <w:rsid w:val="00CE6055"/>
    <w:rsid w:val="00CE6274"/>
    <w:rsid w:val="00CE6C09"/>
    <w:rsid w:val="00CE6C56"/>
    <w:rsid w:val="00CE6F8A"/>
    <w:rsid w:val="00CE77B6"/>
    <w:rsid w:val="00CE790A"/>
    <w:rsid w:val="00CE794C"/>
    <w:rsid w:val="00CE7955"/>
    <w:rsid w:val="00CE7C02"/>
    <w:rsid w:val="00CE7D68"/>
    <w:rsid w:val="00CF02B2"/>
    <w:rsid w:val="00CF0557"/>
    <w:rsid w:val="00CF05CE"/>
    <w:rsid w:val="00CF0A54"/>
    <w:rsid w:val="00CF0D91"/>
    <w:rsid w:val="00CF1026"/>
    <w:rsid w:val="00CF105B"/>
    <w:rsid w:val="00CF15CC"/>
    <w:rsid w:val="00CF15E1"/>
    <w:rsid w:val="00CF1700"/>
    <w:rsid w:val="00CF1A70"/>
    <w:rsid w:val="00CF1D28"/>
    <w:rsid w:val="00CF1E2A"/>
    <w:rsid w:val="00CF1FEE"/>
    <w:rsid w:val="00CF21EB"/>
    <w:rsid w:val="00CF25E0"/>
    <w:rsid w:val="00CF2A4B"/>
    <w:rsid w:val="00CF2B8D"/>
    <w:rsid w:val="00CF2C94"/>
    <w:rsid w:val="00CF2CAB"/>
    <w:rsid w:val="00CF3019"/>
    <w:rsid w:val="00CF31CF"/>
    <w:rsid w:val="00CF33A1"/>
    <w:rsid w:val="00CF33FE"/>
    <w:rsid w:val="00CF3A1B"/>
    <w:rsid w:val="00CF3C1B"/>
    <w:rsid w:val="00CF40DA"/>
    <w:rsid w:val="00CF456B"/>
    <w:rsid w:val="00CF47BA"/>
    <w:rsid w:val="00CF4FE0"/>
    <w:rsid w:val="00CF5A22"/>
    <w:rsid w:val="00CF5BB9"/>
    <w:rsid w:val="00CF5D64"/>
    <w:rsid w:val="00CF5E4B"/>
    <w:rsid w:val="00CF60AF"/>
    <w:rsid w:val="00CF69C8"/>
    <w:rsid w:val="00CF6E0F"/>
    <w:rsid w:val="00CF6FA9"/>
    <w:rsid w:val="00CF797F"/>
    <w:rsid w:val="00CF7D7D"/>
    <w:rsid w:val="00CF7E1B"/>
    <w:rsid w:val="00D0006F"/>
    <w:rsid w:val="00D002EF"/>
    <w:rsid w:val="00D005E9"/>
    <w:rsid w:val="00D006C6"/>
    <w:rsid w:val="00D00C62"/>
    <w:rsid w:val="00D00F00"/>
    <w:rsid w:val="00D01CE6"/>
    <w:rsid w:val="00D01ED4"/>
    <w:rsid w:val="00D022D1"/>
    <w:rsid w:val="00D0262E"/>
    <w:rsid w:val="00D02748"/>
    <w:rsid w:val="00D02CD1"/>
    <w:rsid w:val="00D02F03"/>
    <w:rsid w:val="00D03679"/>
    <w:rsid w:val="00D03694"/>
    <w:rsid w:val="00D03979"/>
    <w:rsid w:val="00D040D1"/>
    <w:rsid w:val="00D042B3"/>
    <w:rsid w:val="00D04327"/>
    <w:rsid w:val="00D045A2"/>
    <w:rsid w:val="00D04737"/>
    <w:rsid w:val="00D04DF6"/>
    <w:rsid w:val="00D04E4B"/>
    <w:rsid w:val="00D04E75"/>
    <w:rsid w:val="00D05488"/>
    <w:rsid w:val="00D0557E"/>
    <w:rsid w:val="00D05D00"/>
    <w:rsid w:val="00D05E3D"/>
    <w:rsid w:val="00D06139"/>
    <w:rsid w:val="00D063A6"/>
    <w:rsid w:val="00D064B3"/>
    <w:rsid w:val="00D065A4"/>
    <w:rsid w:val="00D06F74"/>
    <w:rsid w:val="00D07B10"/>
    <w:rsid w:val="00D101FC"/>
    <w:rsid w:val="00D10257"/>
    <w:rsid w:val="00D10322"/>
    <w:rsid w:val="00D107F6"/>
    <w:rsid w:val="00D10898"/>
    <w:rsid w:val="00D108B4"/>
    <w:rsid w:val="00D10D4E"/>
    <w:rsid w:val="00D10DD5"/>
    <w:rsid w:val="00D110BD"/>
    <w:rsid w:val="00D110EB"/>
    <w:rsid w:val="00D114E2"/>
    <w:rsid w:val="00D11950"/>
    <w:rsid w:val="00D11B13"/>
    <w:rsid w:val="00D127E5"/>
    <w:rsid w:val="00D13675"/>
    <w:rsid w:val="00D13688"/>
    <w:rsid w:val="00D13798"/>
    <w:rsid w:val="00D140EC"/>
    <w:rsid w:val="00D141E1"/>
    <w:rsid w:val="00D142F7"/>
    <w:rsid w:val="00D143EB"/>
    <w:rsid w:val="00D14505"/>
    <w:rsid w:val="00D14BA5"/>
    <w:rsid w:val="00D14C1B"/>
    <w:rsid w:val="00D15073"/>
    <w:rsid w:val="00D151B7"/>
    <w:rsid w:val="00D152CD"/>
    <w:rsid w:val="00D15314"/>
    <w:rsid w:val="00D15B48"/>
    <w:rsid w:val="00D16122"/>
    <w:rsid w:val="00D16484"/>
    <w:rsid w:val="00D16615"/>
    <w:rsid w:val="00D16F48"/>
    <w:rsid w:val="00D1760A"/>
    <w:rsid w:val="00D178D2"/>
    <w:rsid w:val="00D17AD5"/>
    <w:rsid w:val="00D17D6C"/>
    <w:rsid w:val="00D17F8F"/>
    <w:rsid w:val="00D20089"/>
    <w:rsid w:val="00D2038D"/>
    <w:rsid w:val="00D2048E"/>
    <w:rsid w:val="00D20768"/>
    <w:rsid w:val="00D207C2"/>
    <w:rsid w:val="00D207F1"/>
    <w:rsid w:val="00D20972"/>
    <w:rsid w:val="00D21259"/>
    <w:rsid w:val="00D2155B"/>
    <w:rsid w:val="00D21BE5"/>
    <w:rsid w:val="00D21CA2"/>
    <w:rsid w:val="00D21E68"/>
    <w:rsid w:val="00D2209D"/>
    <w:rsid w:val="00D222FB"/>
    <w:rsid w:val="00D2254A"/>
    <w:rsid w:val="00D234EA"/>
    <w:rsid w:val="00D2369E"/>
    <w:rsid w:val="00D23777"/>
    <w:rsid w:val="00D23C88"/>
    <w:rsid w:val="00D23D11"/>
    <w:rsid w:val="00D244B6"/>
    <w:rsid w:val="00D25847"/>
    <w:rsid w:val="00D25C03"/>
    <w:rsid w:val="00D25D32"/>
    <w:rsid w:val="00D261C0"/>
    <w:rsid w:val="00D26232"/>
    <w:rsid w:val="00D269C5"/>
    <w:rsid w:val="00D26BE4"/>
    <w:rsid w:val="00D2702F"/>
    <w:rsid w:val="00D2754D"/>
    <w:rsid w:val="00D27B27"/>
    <w:rsid w:val="00D27C0A"/>
    <w:rsid w:val="00D27C71"/>
    <w:rsid w:val="00D27EC9"/>
    <w:rsid w:val="00D27F5A"/>
    <w:rsid w:val="00D27F65"/>
    <w:rsid w:val="00D302FB"/>
    <w:rsid w:val="00D303DB"/>
    <w:rsid w:val="00D3080C"/>
    <w:rsid w:val="00D30A90"/>
    <w:rsid w:val="00D30D5B"/>
    <w:rsid w:val="00D312DE"/>
    <w:rsid w:val="00D31344"/>
    <w:rsid w:val="00D318F4"/>
    <w:rsid w:val="00D31955"/>
    <w:rsid w:val="00D31EF5"/>
    <w:rsid w:val="00D32017"/>
    <w:rsid w:val="00D32280"/>
    <w:rsid w:val="00D3238A"/>
    <w:rsid w:val="00D325DD"/>
    <w:rsid w:val="00D328D2"/>
    <w:rsid w:val="00D32E32"/>
    <w:rsid w:val="00D32F9D"/>
    <w:rsid w:val="00D33739"/>
    <w:rsid w:val="00D33951"/>
    <w:rsid w:val="00D33BAC"/>
    <w:rsid w:val="00D33BE9"/>
    <w:rsid w:val="00D33C6C"/>
    <w:rsid w:val="00D33D2D"/>
    <w:rsid w:val="00D33F93"/>
    <w:rsid w:val="00D342ED"/>
    <w:rsid w:val="00D34458"/>
    <w:rsid w:val="00D346B6"/>
    <w:rsid w:val="00D34C18"/>
    <w:rsid w:val="00D352CC"/>
    <w:rsid w:val="00D353A3"/>
    <w:rsid w:val="00D357DF"/>
    <w:rsid w:val="00D357FF"/>
    <w:rsid w:val="00D35F40"/>
    <w:rsid w:val="00D3609D"/>
    <w:rsid w:val="00D36405"/>
    <w:rsid w:val="00D36476"/>
    <w:rsid w:val="00D364FF"/>
    <w:rsid w:val="00D36971"/>
    <w:rsid w:val="00D36B86"/>
    <w:rsid w:val="00D36CFD"/>
    <w:rsid w:val="00D36D50"/>
    <w:rsid w:val="00D36FFD"/>
    <w:rsid w:val="00D3736D"/>
    <w:rsid w:val="00D373DE"/>
    <w:rsid w:val="00D37526"/>
    <w:rsid w:val="00D37626"/>
    <w:rsid w:val="00D378F6"/>
    <w:rsid w:val="00D40098"/>
    <w:rsid w:val="00D40260"/>
    <w:rsid w:val="00D411B4"/>
    <w:rsid w:val="00D41330"/>
    <w:rsid w:val="00D41548"/>
    <w:rsid w:val="00D41739"/>
    <w:rsid w:val="00D417B4"/>
    <w:rsid w:val="00D418C5"/>
    <w:rsid w:val="00D41911"/>
    <w:rsid w:val="00D4198A"/>
    <w:rsid w:val="00D424C7"/>
    <w:rsid w:val="00D425D8"/>
    <w:rsid w:val="00D42A86"/>
    <w:rsid w:val="00D42EE6"/>
    <w:rsid w:val="00D43491"/>
    <w:rsid w:val="00D43881"/>
    <w:rsid w:val="00D43B2A"/>
    <w:rsid w:val="00D43CAF"/>
    <w:rsid w:val="00D43CF1"/>
    <w:rsid w:val="00D43D83"/>
    <w:rsid w:val="00D43F72"/>
    <w:rsid w:val="00D44096"/>
    <w:rsid w:val="00D44208"/>
    <w:rsid w:val="00D44236"/>
    <w:rsid w:val="00D443B2"/>
    <w:rsid w:val="00D44ABA"/>
    <w:rsid w:val="00D44C3A"/>
    <w:rsid w:val="00D45337"/>
    <w:rsid w:val="00D4570A"/>
    <w:rsid w:val="00D45E39"/>
    <w:rsid w:val="00D46CA1"/>
    <w:rsid w:val="00D46D9E"/>
    <w:rsid w:val="00D46E78"/>
    <w:rsid w:val="00D47575"/>
    <w:rsid w:val="00D47698"/>
    <w:rsid w:val="00D47944"/>
    <w:rsid w:val="00D47A32"/>
    <w:rsid w:val="00D47DE2"/>
    <w:rsid w:val="00D50074"/>
    <w:rsid w:val="00D50B19"/>
    <w:rsid w:val="00D50FF8"/>
    <w:rsid w:val="00D514D6"/>
    <w:rsid w:val="00D5151F"/>
    <w:rsid w:val="00D51AB5"/>
    <w:rsid w:val="00D51C6C"/>
    <w:rsid w:val="00D5243B"/>
    <w:rsid w:val="00D525CB"/>
    <w:rsid w:val="00D52B95"/>
    <w:rsid w:val="00D52C24"/>
    <w:rsid w:val="00D533EC"/>
    <w:rsid w:val="00D53703"/>
    <w:rsid w:val="00D53CE4"/>
    <w:rsid w:val="00D54353"/>
    <w:rsid w:val="00D549E0"/>
    <w:rsid w:val="00D54F78"/>
    <w:rsid w:val="00D55198"/>
    <w:rsid w:val="00D55209"/>
    <w:rsid w:val="00D55AE0"/>
    <w:rsid w:val="00D56A95"/>
    <w:rsid w:val="00D56CB3"/>
    <w:rsid w:val="00D5706F"/>
    <w:rsid w:val="00D571C2"/>
    <w:rsid w:val="00D5777B"/>
    <w:rsid w:val="00D57C7A"/>
    <w:rsid w:val="00D601EC"/>
    <w:rsid w:val="00D6076E"/>
    <w:rsid w:val="00D60785"/>
    <w:rsid w:val="00D60B2F"/>
    <w:rsid w:val="00D60D75"/>
    <w:rsid w:val="00D61441"/>
    <w:rsid w:val="00D61691"/>
    <w:rsid w:val="00D618FA"/>
    <w:rsid w:val="00D61BD0"/>
    <w:rsid w:val="00D621D8"/>
    <w:rsid w:val="00D623CF"/>
    <w:rsid w:val="00D62C17"/>
    <w:rsid w:val="00D62E67"/>
    <w:rsid w:val="00D63535"/>
    <w:rsid w:val="00D63971"/>
    <w:rsid w:val="00D639E2"/>
    <w:rsid w:val="00D63A3F"/>
    <w:rsid w:val="00D63BFF"/>
    <w:rsid w:val="00D63D11"/>
    <w:rsid w:val="00D63DFE"/>
    <w:rsid w:val="00D6446A"/>
    <w:rsid w:val="00D64BB0"/>
    <w:rsid w:val="00D652D1"/>
    <w:rsid w:val="00D659C1"/>
    <w:rsid w:val="00D65E72"/>
    <w:rsid w:val="00D65E99"/>
    <w:rsid w:val="00D66368"/>
    <w:rsid w:val="00D665B4"/>
    <w:rsid w:val="00D66907"/>
    <w:rsid w:val="00D66CEA"/>
    <w:rsid w:val="00D6732A"/>
    <w:rsid w:val="00D67423"/>
    <w:rsid w:val="00D678CC"/>
    <w:rsid w:val="00D6793F"/>
    <w:rsid w:val="00D701A1"/>
    <w:rsid w:val="00D70552"/>
    <w:rsid w:val="00D70925"/>
    <w:rsid w:val="00D70EE9"/>
    <w:rsid w:val="00D70F16"/>
    <w:rsid w:val="00D70FB3"/>
    <w:rsid w:val="00D717F8"/>
    <w:rsid w:val="00D71B9B"/>
    <w:rsid w:val="00D71C6C"/>
    <w:rsid w:val="00D7203B"/>
    <w:rsid w:val="00D72413"/>
    <w:rsid w:val="00D72617"/>
    <w:rsid w:val="00D7265B"/>
    <w:rsid w:val="00D72672"/>
    <w:rsid w:val="00D72919"/>
    <w:rsid w:val="00D72F57"/>
    <w:rsid w:val="00D73D92"/>
    <w:rsid w:val="00D74350"/>
    <w:rsid w:val="00D743EC"/>
    <w:rsid w:val="00D7471D"/>
    <w:rsid w:val="00D74BBF"/>
    <w:rsid w:val="00D74C55"/>
    <w:rsid w:val="00D74FE3"/>
    <w:rsid w:val="00D75AB9"/>
    <w:rsid w:val="00D75CE2"/>
    <w:rsid w:val="00D7606B"/>
    <w:rsid w:val="00D760D0"/>
    <w:rsid w:val="00D76131"/>
    <w:rsid w:val="00D763AA"/>
    <w:rsid w:val="00D76426"/>
    <w:rsid w:val="00D76A44"/>
    <w:rsid w:val="00D77F58"/>
    <w:rsid w:val="00D77F78"/>
    <w:rsid w:val="00D80940"/>
    <w:rsid w:val="00D80E18"/>
    <w:rsid w:val="00D80F5E"/>
    <w:rsid w:val="00D810D7"/>
    <w:rsid w:val="00D81274"/>
    <w:rsid w:val="00D813D1"/>
    <w:rsid w:val="00D815EF"/>
    <w:rsid w:val="00D81949"/>
    <w:rsid w:val="00D81DCD"/>
    <w:rsid w:val="00D81F26"/>
    <w:rsid w:val="00D821D8"/>
    <w:rsid w:val="00D822E2"/>
    <w:rsid w:val="00D8244A"/>
    <w:rsid w:val="00D82462"/>
    <w:rsid w:val="00D82CD7"/>
    <w:rsid w:val="00D82D7E"/>
    <w:rsid w:val="00D82DFF"/>
    <w:rsid w:val="00D82E85"/>
    <w:rsid w:val="00D8304C"/>
    <w:rsid w:val="00D83442"/>
    <w:rsid w:val="00D8378C"/>
    <w:rsid w:val="00D84234"/>
    <w:rsid w:val="00D842EB"/>
    <w:rsid w:val="00D843F2"/>
    <w:rsid w:val="00D853F4"/>
    <w:rsid w:val="00D8559D"/>
    <w:rsid w:val="00D856B0"/>
    <w:rsid w:val="00D85907"/>
    <w:rsid w:val="00D85A16"/>
    <w:rsid w:val="00D85DA7"/>
    <w:rsid w:val="00D86085"/>
    <w:rsid w:val="00D860E7"/>
    <w:rsid w:val="00D86231"/>
    <w:rsid w:val="00D86245"/>
    <w:rsid w:val="00D86391"/>
    <w:rsid w:val="00D864F9"/>
    <w:rsid w:val="00D86580"/>
    <w:rsid w:val="00D865CD"/>
    <w:rsid w:val="00D8696B"/>
    <w:rsid w:val="00D86EC2"/>
    <w:rsid w:val="00D87549"/>
    <w:rsid w:val="00D87A58"/>
    <w:rsid w:val="00D87B18"/>
    <w:rsid w:val="00D87D62"/>
    <w:rsid w:val="00D9033E"/>
    <w:rsid w:val="00D9083F"/>
    <w:rsid w:val="00D90CEC"/>
    <w:rsid w:val="00D90F7A"/>
    <w:rsid w:val="00D912AB"/>
    <w:rsid w:val="00D91923"/>
    <w:rsid w:val="00D91CF7"/>
    <w:rsid w:val="00D91DC4"/>
    <w:rsid w:val="00D923E0"/>
    <w:rsid w:val="00D92737"/>
    <w:rsid w:val="00D929E3"/>
    <w:rsid w:val="00D92B29"/>
    <w:rsid w:val="00D92B32"/>
    <w:rsid w:val="00D92B7B"/>
    <w:rsid w:val="00D92D9D"/>
    <w:rsid w:val="00D92FE3"/>
    <w:rsid w:val="00D9371A"/>
    <w:rsid w:val="00D93753"/>
    <w:rsid w:val="00D9376C"/>
    <w:rsid w:val="00D9407F"/>
    <w:rsid w:val="00D942DA"/>
    <w:rsid w:val="00D94431"/>
    <w:rsid w:val="00D94489"/>
    <w:rsid w:val="00D94616"/>
    <w:rsid w:val="00D947D3"/>
    <w:rsid w:val="00D94A11"/>
    <w:rsid w:val="00D94E9A"/>
    <w:rsid w:val="00D95006"/>
    <w:rsid w:val="00D9559F"/>
    <w:rsid w:val="00D956DD"/>
    <w:rsid w:val="00D95E0E"/>
    <w:rsid w:val="00D95EDC"/>
    <w:rsid w:val="00D95F2C"/>
    <w:rsid w:val="00D96119"/>
    <w:rsid w:val="00D96200"/>
    <w:rsid w:val="00D96EC4"/>
    <w:rsid w:val="00D96F42"/>
    <w:rsid w:val="00D970C7"/>
    <w:rsid w:val="00D9751B"/>
    <w:rsid w:val="00D97912"/>
    <w:rsid w:val="00D9796C"/>
    <w:rsid w:val="00DA0234"/>
    <w:rsid w:val="00DA0395"/>
    <w:rsid w:val="00DA0D07"/>
    <w:rsid w:val="00DA0D3B"/>
    <w:rsid w:val="00DA0DA8"/>
    <w:rsid w:val="00DA0EAC"/>
    <w:rsid w:val="00DA17E9"/>
    <w:rsid w:val="00DA18AA"/>
    <w:rsid w:val="00DA1AC0"/>
    <w:rsid w:val="00DA1ACB"/>
    <w:rsid w:val="00DA1AF5"/>
    <w:rsid w:val="00DA1F70"/>
    <w:rsid w:val="00DA2418"/>
    <w:rsid w:val="00DA29A9"/>
    <w:rsid w:val="00DA2CC6"/>
    <w:rsid w:val="00DA3163"/>
    <w:rsid w:val="00DA3167"/>
    <w:rsid w:val="00DA36D7"/>
    <w:rsid w:val="00DA3E05"/>
    <w:rsid w:val="00DA41C5"/>
    <w:rsid w:val="00DA4521"/>
    <w:rsid w:val="00DA4738"/>
    <w:rsid w:val="00DA4B20"/>
    <w:rsid w:val="00DA4DC3"/>
    <w:rsid w:val="00DA5075"/>
    <w:rsid w:val="00DA52F9"/>
    <w:rsid w:val="00DA5BBB"/>
    <w:rsid w:val="00DA5E96"/>
    <w:rsid w:val="00DA5EED"/>
    <w:rsid w:val="00DA6191"/>
    <w:rsid w:val="00DA640F"/>
    <w:rsid w:val="00DA6631"/>
    <w:rsid w:val="00DA6731"/>
    <w:rsid w:val="00DA6CD5"/>
    <w:rsid w:val="00DA6E81"/>
    <w:rsid w:val="00DA6F29"/>
    <w:rsid w:val="00DA72C9"/>
    <w:rsid w:val="00DA741B"/>
    <w:rsid w:val="00DA7573"/>
    <w:rsid w:val="00DA77A5"/>
    <w:rsid w:val="00DA7B41"/>
    <w:rsid w:val="00DA7BC5"/>
    <w:rsid w:val="00DA7EF5"/>
    <w:rsid w:val="00DB037D"/>
    <w:rsid w:val="00DB0E36"/>
    <w:rsid w:val="00DB0EFB"/>
    <w:rsid w:val="00DB17BB"/>
    <w:rsid w:val="00DB22A8"/>
    <w:rsid w:val="00DB259C"/>
    <w:rsid w:val="00DB2723"/>
    <w:rsid w:val="00DB3D0D"/>
    <w:rsid w:val="00DB3DBF"/>
    <w:rsid w:val="00DB42A5"/>
    <w:rsid w:val="00DB4402"/>
    <w:rsid w:val="00DB484F"/>
    <w:rsid w:val="00DB4D92"/>
    <w:rsid w:val="00DB515E"/>
    <w:rsid w:val="00DB5197"/>
    <w:rsid w:val="00DB5C3C"/>
    <w:rsid w:val="00DB5E5A"/>
    <w:rsid w:val="00DB6140"/>
    <w:rsid w:val="00DB6527"/>
    <w:rsid w:val="00DB6E5C"/>
    <w:rsid w:val="00DB7432"/>
    <w:rsid w:val="00DB7A47"/>
    <w:rsid w:val="00DB7D14"/>
    <w:rsid w:val="00DC00D8"/>
    <w:rsid w:val="00DC03DB"/>
    <w:rsid w:val="00DC04F6"/>
    <w:rsid w:val="00DC0690"/>
    <w:rsid w:val="00DC0841"/>
    <w:rsid w:val="00DC0B86"/>
    <w:rsid w:val="00DC1578"/>
    <w:rsid w:val="00DC1728"/>
    <w:rsid w:val="00DC18BB"/>
    <w:rsid w:val="00DC1D65"/>
    <w:rsid w:val="00DC1E27"/>
    <w:rsid w:val="00DC1F14"/>
    <w:rsid w:val="00DC203A"/>
    <w:rsid w:val="00DC309B"/>
    <w:rsid w:val="00DC3299"/>
    <w:rsid w:val="00DC3BD5"/>
    <w:rsid w:val="00DC3C57"/>
    <w:rsid w:val="00DC3CEC"/>
    <w:rsid w:val="00DC4582"/>
    <w:rsid w:val="00DC459A"/>
    <w:rsid w:val="00DC5219"/>
    <w:rsid w:val="00DC5501"/>
    <w:rsid w:val="00DC5546"/>
    <w:rsid w:val="00DC57B0"/>
    <w:rsid w:val="00DC5B64"/>
    <w:rsid w:val="00DC5D85"/>
    <w:rsid w:val="00DC5DE4"/>
    <w:rsid w:val="00DC637A"/>
    <w:rsid w:val="00DC657D"/>
    <w:rsid w:val="00DC67FE"/>
    <w:rsid w:val="00DC6A5A"/>
    <w:rsid w:val="00DC7154"/>
    <w:rsid w:val="00DC7B35"/>
    <w:rsid w:val="00DC7DAB"/>
    <w:rsid w:val="00DC7E8A"/>
    <w:rsid w:val="00DD055D"/>
    <w:rsid w:val="00DD08B8"/>
    <w:rsid w:val="00DD08FB"/>
    <w:rsid w:val="00DD0B90"/>
    <w:rsid w:val="00DD0D80"/>
    <w:rsid w:val="00DD0F78"/>
    <w:rsid w:val="00DD1107"/>
    <w:rsid w:val="00DD1547"/>
    <w:rsid w:val="00DD196E"/>
    <w:rsid w:val="00DD1989"/>
    <w:rsid w:val="00DD1EB3"/>
    <w:rsid w:val="00DD1F73"/>
    <w:rsid w:val="00DD1F82"/>
    <w:rsid w:val="00DD273C"/>
    <w:rsid w:val="00DD2E5A"/>
    <w:rsid w:val="00DD2EE3"/>
    <w:rsid w:val="00DD3339"/>
    <w:rsid w:val="00DD357A"/>
    <w:rsid w:val="00DD3BA6"/>
    <w:rsid w:val="00DD3BDF"/>
    <w:rsid w:val="00DD3BFC"/>
    <w:rsid w:val="00DD3F28"/>
    <w:rsid w:val="00DD3FFC"/>
    <w:rsid w:val="00DD4014"/>
    <w:rsid w:val="00DD420D"/>
    <w:rsid w:val="00DD4446"/>
    <w:rsid w:val="00DD450C"/>
    <w:rsid w:val="00DD4537"/>
    <w:rsid w:val="00DD4708"/>
    <w:rsid w:val="00DD4E15"/>
    <w:rsid w:val="00DD4EC2"/>
    <w:rsid w:val="00DD5BEB"/>
    <w:rsid w:val="00DD5E13"/>
    <w:rsid w:val="00DD5F41"/>
    <w:rsid w:val="00DD5FD0"/>
    <w:rsid w:val="00DD60FD"/>
    <w:rsid w:val="00DD6192"/>
    <w:rsid w:val="00DD6406"/>
    <w:rsid w:val="00DD644E"/>
    <w:rsid w:val="00DD6B59"/>
    <w:rsid w:val="00DD6BCA"/>
    <w:rsid w:val="00DD702F"/>
    <w:rsid w:val="00DD7224"/>
    <w:rsid w:val="00DE00C8"/>
    <w:rsid w:val="00DE019C"/>
    <w:rsid w:val="00DE0679"/>
    <w:rsid w:val="00DE085B"/>
    <w:rsid w:val="00DE09C1"/>
    <w:rsid w:val="00DE0C38"/>
    <w:rsid w:val="00DE0EA9"/>
    <w:rsid w:val="00DE1121"/>
    <w:rsid w:val="00DE13D6"/>
    <w:rsid w:val="00DE2183"/>
    <w:rsid w:val="00DE22ED"/>
    <w:rsid w:val="00DE2304"/>
    <w:rsid w:val="00DE26E6"/>
    <w:rsid w:val="00DE2793"/>
    <w:rsid w:val="00DE281C"/>
    <w:rsid w:val="00DE2AA6"/>
    <w:rsid w:val="00DE2AF1"/>
    <w:rsid w:val="00DE2EF1"/>
    <w:rsid w:val="00DE30E5"/>
    <w:rsid w:val="00DE30F9"/>
    <w:rsid w:val="00DE3138"/>
    <w:rsid w:val="00DE3678"/>
    <w:rsid w:val="00DE37F8"/>
    <w:rsid w:val="00DE4273"/>
    <w:rsid w:val="00DE45C9"/>
    <w:rsid w:val="00DE4A85"/>
    <w:rsid w:val="00DE4B3E"/>
    <w:rsid w:val="00DE4EF2"/>
    <w:rsid w:val="00DE4FCB"/>
    <w:rsid w:val="00DE5219"/>
    <w:rsid w:val="00DE525F"/>
    <w:rsid w:val="00DE5555"/>
    <w:rsid w:val="00DE56A2"/>
    <w:rsid w:val="00DE5A4D"/>
    <w:rsid w:val="00DE5B58"/>
    <w:rsid w:val="00DE5D07"/>
    <w:rsid w:val="00DE600D"/>
    <w:rsid w:val="00DE6260"/>
    <w:rsid w:val="00DE629D"/>
    <w:rsid w:val="00DE6BCA"/>
    <w:rsid w:val="00DE6DD1"/>
    <w:rsid w:val="00DE6E94"/>
    <w:rsid w:val="00DE6FBF"/>
    <w:rsid w:val="00DE7158"/>
    <w:rsid w:val="00DE71CD"/>
    <w:rsid w:val="00DE72A7"/>
    <w:rsid w:val="00DE730B"/>
    <w:rsid w:val="00DE73F0"/>
    <w:rsid w:val="00DE7633"/>
    <w:rsid w:val="00DE770B"/>
    <w:rsid w:val="00DE77ED"/>
    <w:rsid w:val="00DE782B"/>
    <w:rsid w:val="00DE7832"/>
    <w:rsid w:val="00DE7BEB"/>
    <w:rsid w:val="00DE7D47"/>
    <w:rsid w:val="00DF0292"/>
    <w:rsid w:val="00DF0425"/>
    <w:rsid w:val="00DF05F9"/>
    <w:rsid w:val="00DF07ED"/>
    <w:rsid w:val="00DF09F0"/>
    <w:rsid w:val="00DF0DA6"/>
    <w:rsid w:val="00DF0EF5"/>
    <w:rsid w:val="00DF0FC8"/>
    <w:rsid w:val="00DF18FC"/>
    <w:rsid w:val="00DF1B54"/>
    <w:rsid w:val="00DF1EE4"/>
    <w:rsid w:val="00DF1F6C"/>
    <w:rsid w:val="00DF2713"/>
    <w:rsid w:val="00DF2A54"/>
    <w:rsid w:val="00DF2B70"/>
    <w:rsid w:val="00DF3854"/>
    <w:rsid w:val="00DF3A2E"/>
    <w:rsid w:val="00DF3B47"/>
    <w:rsid w:val="00DF3EB5"/>
    <w:rsid w:val="00DF40AA"/>
    <w:rsid w:val="00DF42EA"/>
    <w:rsid w:val="00DF4977"/>
    <w:rsid w:val="00DF4CBF"/>
    <w:rsid w:val="00DF4D62"/>
    <w:rsid w:val="00DF57FB"/>
    <w:rsid w:val="00DF5871"/>
    <w:rsid w:val="00DF58A3"/>
    <w:rsid w:val="00DF5D2B"/>
    <w:rsid w:val="00DF60C5"/>
    <w:rsid w:val="00DF6129"/>
    <w:rsid w:val="00DF6228"/>
    <w:rsid w:val="00DF6341"/>
    <w:rsid w:val="00DF6490"/>
    <w:rsid w:val="00DF661D"/>
    <w:rsid w:val="00DF6A1E"/>
    <w:rsid w:val="00DF6C17"/>
    <w:rsid w:val="00DF6F16"/>
    <w:rsid w:val="00DF7C4B"/>
    <w:rsid w:val="00E002EA"/>
    <w:rsid w:val="00E0033D"/>
    <w:rsid w:val="00E0054D"/>
    <w:rsid w:val="00E0094E"/>
    <w:rsid w:val="00E00E8E"/>
    <w:rsid w:val="00E01DBB"/>
    <w:rsid w:val="00E026A0"/>
    <w:rsid w:val="00E02882"/>
    <w:rsid w:val="00E02DB2"/>
    <w:rsid w:val="00E032B5"/>
    <w:rsid w:val="00E0375C"/>
    <w:rsid w:val="00E03C6C"/>
    <w:rsid w:val="00E04712"/>
    <w:rsid w:val="00E04720"/>
    <w:rsid w:val="00E04FA0"/>
    <w:rsid w:val="00E05630"/>
    <w:rsid w:val="00E05F92"/>
    <w:rsid w:val="00E06A5E"/>
    <w:rsid w:val="00E06DBB"/>
    <w:rsid w:val="00E06F30"/>
    <w:rsid w:val="00E06FD0"/>
    <w:rsid w:val="00E072B9"/>
    <w:rsid w:val="00E078C4"/>
    <w:rsid w:val="00E10149"/>
    <w:rsid w:val="00E1061F"/>
    <w:rsid w:val="00E10745"/>
    <w:rsid w:val="00E10989"/>
    <w:rsid w:val="00E10FB4"/>
    <w:rsid w:val="00E1105F"/>
    <w:rsid w:val="00E11068"/>
    <w:rsid w:val="00E11159"/>
    <w:rsid w:val="00E11326"/>
    <w:rsid w:val="00E11340"/>
    <w:rsid w:val="00E11754"/>
    <w:rsid w:val="00E11934"/>
    <w:rsid w:val="00E11B70"/>
    <w:rsid w:val="00E122A1"/>
    <w:rsid w:val="00E12317"/>
    <w:rsid w:val="00E124C5"/>
    <w:rsid w:val="00E126D0"/>
    <w:rsid w:val="00E12C83"/>
    <w:rsid w:val="00E12F19"/>
    <w:rsid w:val="00E12F98"/>
    <w:rsid w:val="00E13294"/>
    <w:rsid w:val="00E133D9"/>
    <w:rsid w:val="00E13444"/>
    <w:rsid w:val="00E13D0C"/>
    <w:rsid w:val="00E141FF"/>
    <w:rsid w:val="00E1462D"/>
    <w:rsid w:val="00E14AD2"/>
    <w:rsid w:val="00E14E11"/>
    <w:rsid w:val="00E14E71"/>
    <w:rsid w:val="00E1506C"/>
    <w:rsid w:val="00E154CB"/>
    <w:rsid w:val="00E15585"/>
    <w:rsid w:val="00E159A0"/>
    <w:rsid w:val="00E15F52"/>
    <w:rsid w:val="00E1600B"/>
    <w:rsid w:val="00E1603A"/>
    <w:rsid w:val="00E1624C"/>
    <w:rsid w:val="00E16372"/>
    <w:rsid w:val="00E1638E"/>
    <w:rsid w:val="00E16425"/>
    <w:rsid w:val="00E1657E"/>
    <w:rsid w:val="00E165AE"/>
    <w:rsid w:val="00E16653"/>
    <w:rsid w:val="00E16A91"/>
    <w:rsid w:val="00E16AD8"/>
    <w:rsid w:val="00E16DD0"/>
    <w:rsid w:val="00E16F00"/>
    <w:rsid w:val="00E17547"/>
    <w:rsid w:val="00E1780A"/>
    <w:rsid w:val="00E17F45"/>
    <w:rsid w:val="00E17FFA"/>
    <w:rsid w:val="00E204D7"/>
    <w:rsid w:val="00E2064F"/>
    <w:rsid w:val="00E2076A"/>
    <w:rsid w:val="00E20920"/>
    <w:rsid w:val="00E20B68"/>
    <w:rsid w:val="00E20E4D"/>
    <w:rsid w:val="00E20ED6"/>
    <w:rsid w:val="00E21336"/>
    <w:rsid w:val="00E21358"/>
    <w:rsid w:val="00E214E7"/>
    <w:rsid w:val="00E21812"/>
    <w:rsid w:val="00E21861"/>
    <w:rsid w:val="00E21D8F"/>
    <w:rsid w:val="00E21F72"/>
    <w:rsid w:val="00E21FE7"/>
    <w:rsid w:val="00E220BB"/>
    <w:rsid w:val="00E22387"/>
    <w:rsid w:val="00E22464"/>
    <w:rsid w:val="00E2249B"/>
    <w:rsid w:val="00E22A0D"/>
    <w:rsid w:val="00E22B96"/>
    <w:rsid w:val="00E22F58"/>
    <w:rsid w:val="00E23304"/>
    <w:rsid w:val="00E23327"/>
    <w:rsid w:val="00E2372F"/>
    <w:rsid w:val="00E237DF"/>
    <w:rsid w:val="00E23AB4"/>
    <w:rsid w:val="00E23AFD"/>
    <w:rsid w:val="00E23FD1"/>
    <w:rsid w:val="00E24268"/>
    <w:rsid w:val="00E24297"/>
    <w:rsid w:val="00E243B3"/>
    <w:rsid w:val="00E244AA"/>
    <w:rsid w:val="00E244F6"/>
    <w:rsid w:val="00E24CB5"/>
    <w:rsid w:val="00E24D4D"/>
    <w:rsid w:val="00E2531C"/>
    <w:rsid w:val="00E2540D"/>
    <w:rsid w:val="00E258DB"/>
    <w:rsid w:val="00E25AB8"/>
    <w:rsid w:val="00E25E7F"/>
    <w:rsid w:val="00E26124"/>
    <w:rsid w:val="00E2643F"/>
    <w:rsid w:val="00E2666B"/>
    <w:rsid w:val="00E269D1"/>
    <w:rsid w:val="00E26A6F"/>
    <w:rsid w:val="00E26CB6"/>
    <w:rsid w:val="00E2771E"/>
    <w:rsid w:val="00E277CB"/>
    <w:rsid w:val="00E27AB0"/>
    <w:rsid w:val="00E27B9A"/>
    <w:rsid w:val="00E30963"/>
    <w:rsid w:val="00E30CD4"/>
    <w:rsid w:val="00E30DC1"/>
    <w:rsid w:val="00E311EF"/>
    <w:rsid w:val="00E316A5"/>
    <w:rsid w:val="00E316F3"/>
    <w:rsid w:val="00E317D7"/>
    <w:rsid w:val="00E31863"/>
    <w:rsid w:val="00E31A94"/>
    <w:rsid w:val="00E32180"/>
    <w:rsid w:val="00E32915"/>
    <w:rsid w:val="00E32992"/>
    <w:rsid w:val="00E329A8"/>
    <w:rsid w:val="00E32C79"/>
    <w:rsid w:val="00E33641"/>
    <w:rsid w:val="00E33E1A"/>
    <w:rsid w:val="00E3465F"/>
    <w:rsid w:val="00E34865"/>
    <w:rsid w:val="00E34948"/>
    <w:rsid w:val="00E34E05"/>
    <w:rsid w:val="00E34E3B"/>
    <w:rsid w:val="00E35556"/>
    <w:rsid w:val="00E355F2"/>
    <w:rsid w:val="00E36635"/>
    <w:rsid w:val="00E366AC"/>
    <w:rsid w:val="00E36809"/>
    <w:rsid w:val="00E370B0"/>
    <w:rsid w:val="00E37245"/>
    <w:rsid w:val="00E37569"/>
    <w:rsid w:val="00E377ED"/>
    <w:rsid w:val="00E37DF3"/>
    <w:rsid w:val="00E37F3C"/>
    <w:rsid w:val="00E400AB"/>
    <w:rsid w:val="00E401B2"/>
    <w:rsid w:val="00E403FE"/>
    <w:rsid w:val="00E404C2"/>
    <w:rsid w:val="00E404E6"/>
    <w:rsid w:val="00E406BE"/>
    <w:rsid w:val="00E40A8B"/>
    <w:rsid w:val="00E40B7E"/>
    <w:rsid w:val="00E40BFA"/>
    <w:rsid w:val="00E40E96"/>
    <w:rsid w:val="00E41158"/>
    <w:rsid w:val="00E413F3"/>
    <w:rsid w:val="00E4164A"/>
    <w:rsid w:val="00E41BD7"/>
    <w:rsid w:val="00E41BE6"/>
    <w:rsid w:val="00E41E30"/>
    <w:rsid w:val="00E41FBF"/>
    <w:rsid w:val="00E42ECD"/>
    <w:rsid w:val="00E42F73"/>
    <w:rsid w:val="00E432AB"/>
    <w:rsid w:val="00E43580"/>
    <w:rsid w:val="00E435B0"/>
    <w:rsid w:val="00E43801"/>
    <w:rsid w:val="00E43D70"/>
    <w:rsid w:val="00E43F9D"/>
    <w:rsid w:val="00E44272"/>
    <w:rsid w:val="00E44980"/>
    <w:rsid w:val="00E44C0B"/>
    <w:rsid w:val="00E44EA7"/>
    <w:rsid w:val="00E44FCF"/>
    <w:rsid w:val="00E4548B"/>
    <w:rsid w:val="00E45741"/>
    <w:rsid w:val="00E45766"/>
    <w:rsid w:val="00E45798"/>
    <w:rsid w:val="00E45997"/>
    <w:rsid w:val="00E460C4"/>
    <w:rsid w:val="00E4623B"/>
    <w:rsid w:val="00E466F3"/>
    <w:rsid w:val="00E46C51"/>
    <w:rsid w:val="00E46F8E"/>
    <w:rsid w:val="00E474E8"/>
    <w:rsid w:val="00E476CD"/>
    <w:rsid w:val="00E4771D"/>
    <w:rsid w:val="00E47916"/>
    <w:rsid w:val="00E47932"/>
    <w:rsid w:val="00E47B2C"/>
    <w:rsid w:val="00E5033A"/>
    <w:rsid w:val="00E50C87"/>
    <w:rsid w:val="00E50D3B"/>
    <w:rsid w:val="00E51138"/>
    <w:rsid w:val="00E51176"/>
    <w:rsid w:val="00E51234"/>
    <w:rsid w:val="00E51269"/>
    <w:rsid w:val="00E51560"/>
    <w:rsid w:val="00E51821"/>
    <w:rsid w:val="00E51B40"/>
    <w:rsid w:val="00E52AD2"/>
    <w:rsid w:val="00E52E9F"/>
    <w:rsid w:val="00E531EB"/>
    <w:rsid w:val="00E5388A"/>
    <w:rsid w:val="00E53892"/>
    <w:rsid w:val="00E53942"/>
    <w:rsid w:val="00E53BF8"/>
    <w:rsid w:val="00E53DC7"/>
    <w:rsid w:val="00E53ED8"/>
    <w:rsid w:val="00E53FC8"/>
    <w:rsid w:val="00E542C6"/>
    <w:rsid w:val="00E54308"/>
    <w:rsid w:val="00E54347"/>
    <w:rsid w:val="00E54384"/>
    <w:rsid w:val="00E54428"/>
    <w:rsid w:val="00E54929"/>
    <w:rsid w:val="00E54980"/>
    <w:rsid w:val="00E54D07"/>
    <w:rsid w:val="00E5521A"/>
    <w:rsid w:val="00E55424"/>
    <w:rsid w:val="00E55915"/>
    <w:rsid w:val="00E55BB5"/>
    <w:rsid w:val="00E55C4A"/>
    <w:rsid w:val="00E55D5D"/>
    <w:rsid w:val="00E55E3E"/>
    <w:rsid w:val="00E55EB9"/>
    <w:rsid w:val="00E560AA"/>
    <w:rsid w:val="00E5624C"/>
    <w:rsid w:val="00E5656E"/>
    <w:rsid w:val="00E56B25"/>
    <w:rsid w:val="00E56CC7"/>
    <w:rsid w:val="00E578DC"/>
    <w:rsid w:val="00E57C61"/>
    <w:rsid w:val="00E57C6E"/>
    <w:rsid w:val="00E609D8"/>
    <w:rsid w:val="00E60B1A"/>
    <w:rsid w:val="00E60FB9"/>
    <w:rsid w:val="00E611DF"/>
    <w:rsid w:val="00E61613"/>
    <w:rsid w:val="00E6173F"/>
    <w:rsid w:val="00E61B1C"/>
    <w:rsid w:val="00E61C54"/>
    <w:rsid w:val="00E61CCF"/>
    <w:rsid w:val="00E61CE7"/>
    <w:rsid w:val="00E61D2F"/>
    <w:rsid w:val="00E621FD"/>
    <w:rsid w:val="00E62310"/>
    <w:rsid w:val="00E6269C"/>
    <w:rsid w:val="00E6299F"/>
    <w:rsid w:val="00E62E89"/>
    <w:rsid w:val="00E635E9"/>
    <w:rsid w:val="00E63A28"/>
    <w:rsid w:val="00E63C96"/>
    <w:rsid w:val="00E647A3"/>
    <w:rsid w:val="00E6486A"/>
    <w:rsid w:val="00E64A3A"/>
    <w:rsid w:val="00E64AA9"/>
    <w:rsid w:val="00E64B36"/>
    <w:rsid w:val="00E64CD4"/>
    <w:rsid w:val="00E64D07"/>
    <w:rsid w:val="00E657DB"/>
    <w:rsid w:val="00E65E79"/>
    <w:rsid w:val="00E66033"/>
    <w:rsid w:val="00E66046"/>
    <w:rsid w:val="00E66050"/>
    <w:rsid w:val="00E660F0"/>
    <w:rsid w:val="00E66582"/>
    <w:rsid w:val="00E667A1"/>
    <w:rsid w:val="00E66BA2"/>
    <w:rsid w:val="00E67202"/>
    <w:rsid w:val="00E67416"/>
    <w:rsid w:val="00E67536"/>
    <w:rsid w:val="00E6790D"/>
    <w:rsid w:val="00E67B3D"/>
    <w:rsid w:val="00E67B8B"/>
    <w:rsid w:val="00E7061B"/>
    <w:rsid w:val="00E709D8"/>
    <w:rsid w:val="00E70B5D"/>
    <w:rsid w:val="00E7122A"/>
    <w:rsid w:val="00E715BA"/>
    <w:rsid w:val="00E718B6"/>
    <w:rsid w:val="00E723BA"/>
    <w:rsid w:val="00E724EE"/>
    <w:rsid w:val="00E72830"/>
    <w:rsid w:val="00E73047"/>
    <w:rsid w:val="00E73581"/>
    <w:rsid w:val="00E73B76"/>
    <w:rsid w:val="00E73E10"/>
    <w:rsid w:val="00E73EE9"/>
    <w:rsid w:val="00E73F9A"/>
    <w:rsid w:val="00E73FA9"/>
    <w:rsid w:val="00E74390"/>
    <w:rsid w:val="00E7445B"/>
    <w:rsid w:val="00E744C5"/>
    <w:rsid w:val="00E745F2"/>
    <w:rsid w:val="00E74688"/>
    <w:rsid w:val="00E74CB2"/>
    <w:rsid w:val="00E750DB"/>
    <w:rsid w:val="00E753CE"/>
    <w:rsid w:val="00E75654"/>
    <w:rsid w:val="00E758F8"/>
    <w:rsid w:val="00E759C3"/>
    <w:rsid w:val="00E759FA"/>
    <w:rsid w:val="00E76237"/>
    <w:rsid w:val="00E763EF"/>
    <w:rsid w:val="00E76D4A"/>
    <w:rsid w:val="00E77540"/>
    <w:rsid w:val="00E776FF"/>
    <w:rsid w:val="00E77741"/>
    <w:rsid w:val="00E77BE8"/>
    <w:rsid w:val="00E77CC9"/>
    <w:rsid w:val="00E8014A"/>
    <w:rsid w:val="00E802C4"/>
    <w:rsid w:val="00E80B62"/>
    <w:rsid w:val="00E80CC4"/>
    <w:rsid w:val="00E80FF0"/>
    <w:rsid w:val="00E81197"/>
    <w:rsid w:val="00E81719"/>
    <w:rsid w:val="00E8173E"/>
    <w:rsid w:val="00E81D69"/>
    <w:rsid w:val="00E81DBB"/>
    <w:rsid w:val="00E8219B"/>
    <w:rsid w:val="00E822F0"/>
    <w:rsid w:val="00E824C3"/>
    <w:rsid w:val="00E8274C"/>
    <w:rsid w:val="00E82766"/>
    <w:rsid w:val="00E82DDF"/>
    <w:rsid w:val="00E82F9B"/>
    <w:rsid w:val="00E83216"/>
    <w:rsid w:val="00E833F7"/>
    <w:rsid w:val="00E836E2"/>
    <w:rsid w:val="00E83BDA"/>
    <w:rsid w:val="00E83BDF"/>
    <w:rsid w:val="00E84109"/>
    <w:rsid w:val="00E845E2"/>
    <w:rsid w:val="00E849BC"/>
    <w:rsid w:val="00E84C09"/>
    <w:rsid w:val="00E84CB5"/>
    <w:rsid w:val="00E850C8"/>
    <w:rsid w:val="00E85673"/>
    <w:rsid w:val="00E86174"/>
    <w:rsid w:val="00E86413"/>
    <w:rsid w:val="00E86BA3"/>
    <w:rsid w:val="00E86FCC"/>
    <w:rsid w:val="00E87056"/>
    <w:rsid w:val="00E870FE"/>
    <w:rsid w:val="00E87575"/>
    <w:rsid w:val="00E87A1D"/>
    <w:rsid w:val="00E87AD2"/>
    <w:rsid w:val="00E87B3C"/>
    <w:rsid w:val="00E903D0"/>
    <w:rsid w:val="00E903EC"/>
    <w:rsid w:val="00E90762"/>
    <w:rsid w:val="00E9094A"/>
    <w:rsid w:val="00E90AB0"/>
    <w:rsid w:val="00E90B33"/>
    <w:rsid w:val="00E90C4E"/>
    <w:rsid w:val="00E90DB2"/>
    <w:rsid w:val="00E90E6C"/>
    <w:rsid w:val="00E90EB5"/>
    <w:rsid w:val="00E90F91"/>
    <w:rsid w:val="00E91459"/>
    <w:rsid w:val="00E916C5"/>
    <w:rsid w:val="00E919A5"/>
    <w:rsid w:val="00E91D35"/>
    <w:rsid w:val="00E91D43"/>
    <w:rsid w:val="00E921DA"/>
    <w:rsid w:val="00E926A5"/>
    <w:rsid w:val="00E92773"/>
    <w:rsid w:val="00E92BA5"/>
    <w:rsid w:val="00E92F38"/>
    <w:rsid w:val="00E93029"/>
    <w:rsid w:val="00E938A7"/>
    <w:rsid w:val="00E93DC0"/>
    <w:rsid w:val="00E94492"/>
    <w:rsid w:val="00E94580"/>
    <w:rsid w:val="00E94EAC"/>
    <w:rsid w:val="00E950A5"/>
    <w:rsid w:val="00E95D94"/>
    <w:rsid w:val="00E96212"/>
    <w:rsid w:val="00E962C2"/>
    <w:rsid w:val="00E962CC"/>
    <w:rsid w:val="00E9650B"/>
    <w:rsid w:val="00E966A1"/>
    <w:rsid w:val="00E96860"/>
    <w:rsid w:val="00E96ABA"/>
    <w:rsid w:val="00E96CAD"/>
    <w:rsid w:val="00E96EAE"/>
    <w:rsid w:val="00E9761E"/>
    <w:rsid w:val="00E977F5"/>
    <w:rsid w:val="00E97B68"/>
    <w:rsid w:val="00E97CCD"/>
    <w:rsid w:val="00EA0256"/>
    <w:rsid w:val="00EA0636"/>
    <w:rsid w:val="00EA0E11"/>
    <w:rsid w:val="00EA17C3"/>
    <w:rsid w:val="00EA1894"/>
    <w:rsid w:val="00EA22F1"/>
    <w:rsid w:val="00EA2720"/>
    <w:rsid w:val="00EA29F8"/>
    <w:rsid w:val="00EA2B47"/>
    <w:rsid w:val="00EA2CAA"/>
    <w:rsid w:val="00EA2E2A"/>
    <w:rsid w:val="00EA321B"/>
    <w:rsid w:val="00EA3252"/>
    <w:rsid w:val="00EA3519"/>
    <w:rsid w:val="00EA369B"/>
    <w:rsid w:val="00EA3864"/>
    <w:rsid w:val="00EA3A71"/>
    <w:rsid w:val="00EA4132"/>
    <w:rsid w:val="00EA4147"/>
    <w:rsid w:val="00EA425A"/>
    <w:rsid w:val="00EA473B"/>
    <w:rsid w:val="00EA5011"/>
    <w:rsid w:val="00EA5048"/>
    <w:rsid w:val="00EA51FF"/>
    <w:rsid w:val="00EA5315"/>
    <w:rsid w:val="00EA61E7"/>
    <w:rsid w:val="00EA62A6"/>
    <w:rsid w:val="00EA62C6"/>
    <w:rsid w:val="00EA630B"/>
    <w:rsid w:val="00EA75D2"/>
    <w:rsid w:val="00EA7F1C"/>
    <w:rsid w:val="00EB0489"/>
    <w:rsid w:val="00EB04E7"/>
    <w:rsid w:val="00EB0536"/>
    <w:rsid w:val="00EB084B"/>
    <w:rsid w:val="00EB09C1"/>
    <w:rsid w:val="00EB11EB"/>
    <w:rsid w:val="00EB15B6"/>
    <w:rsid w:val="00EB1843"/>
    <w:rsid w:val="00EB1F72"/>
    <w:rsid w:val="00EB2074"/>
    <w:rsid w:val="00EB218C"/>
    <w:rsid w:val="00EB2214"/>
    <w:rsid w:val="00EB29EB"/>
    <w:rsid w:val="00EB2A4A"/>
    <w:rsid w:val="00EB2A80"/>
    <w:rsid w:val="00EB325C"/>
    <w:rsid w:val="00EB34C6"/>
    <w:rsid w:val="00EB3581"/>
    <w:rsid w:val="00EB3D06"/>
    <w:rsid w:val="00EB4820"/>
    <w:rsid w:val="00EB4916"/>
    <w:rsid w:val="00EB4C29"/>
    <w:rsid w:val="00EB4EFC"/>
    <w:rsid w:val="00EB52D1"/>
    <w:rsid w:val="00EB53C5"/>
    <w:rsid w:val="00EB577C"/>
    <w:rsid w:val="00EB5852"/>
    <w:rsid w:val="00EB58B9"/>
    <w:rsid w:val="00EB651D"/>
    <w:rsid w:val="00EB6A7C"/>
    <w:rsid w:val="00EB6C8A"/>
    <w:rsid w:val="00EB6FD0"/>
    <w:rsid w:val="00EB7470"/>
    <w:rsid w:val="00EB77BD"/>
    <w:rsid w:val="00EC00C9"/>
    <w:rsid w:val="00EC08D9"/>
    <w:rsid w:val="00EC0B7D"/>
    <w:rsid w:val="00EC0B81"/>
    <w:rsid w:val="00EC0C1B"/>
    <w:rsid w:val="00EC0D01"/>
    <w:rsid w:val="00EC0DD9"/>
    <w:rsid w:val="00EC0E3C"/>
    <w:rsid w:val="00EC0F6F"/>
    <w:rsid w:val="00EC1036"/>
    <w:rsid w:val="00EC1193"/>
    <w:rsid w:val="00EC1507"/>
    <w:rsid w:val="00EC1671"/>
    <w:rsid w:val="00EC20AF"/>
    <w:rsid w:val="00EC236C"/>
    <w:rsid w:val="00EC246F"/>
    <w:rsid w:val="00EC24FE"/>
    <w:rsid w:val="00EC2649"/>
    <w:rsid w:val="00EC2694"/>
    <w:rsid w:val="00EC29C1"/>
    <w:rsid w:val="00EC2BC4"/>
    <w:rsid w:val="00EC2BF4"/>
    <w:rsid w:val="00EC2EFE"/>
    <w:rsid w:val="00EC300A"/>
    <w:rsid w:val="00EC31ED"/>
    <w:rsid w:val="00EC3BD8"/>
    <w:rsid w:val="00EC3C67"/>
    <w:rsid w:val="00EC4253"/>
    <w:rsid w:val="00EC44F6"/>
    <w:rsid w:val="00EC4C24"/>
    <w:rsid w:val="00EC5656"/>
    <w:rsid w:val="00EC5836"/>
    <w:rsid w:val="00EC5A6E"/>
    <w:rsid w:val="00EC5AB5"/>
    <w:rsid w:val="00EC670A"/>
    <w:rsid w:val="00EC6844"/>
    <w:rsid w:val="00EC688C"/>
    <w:rsid w:val="00EC7309"/>
    <w:rsid w:val="00EC7378"/>
    <w:rsid w:val="00EC7AC5"/>
    <w:rsid w:val="00ED077A"/>
    <w:rsid w:val="00ED0AED"/>
    <w:rsid w:val="00ED0CBB"/>
    <w:rsid w:val="00ED12E3"/>
    <w:rsid w:val="00ED1435"/>
    <w:rsid w:val="00ED19F1"/>
    <w:rsid w:val="00ED1A21"/>
    <w:rsid w:val="00ED1B56"/>
    <w:rsid w:val="00ED3629"/>
    <w:rsid w:val="00ED398A"/>
    <w:rsid w:val="00ED3BCF"/>
    <w:rsid w:val="00ED3FF4"/>
    <w:rsid w:val="00ED47A1"/>
    <w:rsid w:val="00ED4B04"/>
    <w:rsid w:val="00ED4B38"/>
    <w:rsid w:val="00ED4DD9"/>
    <w:rsid w:val="00ED4E3D"/>
    <w:rsid w:val="00ED4F30"/>
    <w:rsid w:val="00ED5462"/>
    <w:rsid w:val="00ED56E9"/>
    <w:rsid w:val="00ED57EA"/>
    <w:rsid w:val="00ED5BD4"/>
    <w:rsid w:val="00ED5F19"/>
    <w:rsid w:val="00ED6103"/>
    <w:rsid w:val="00ED6EDC"/>
    <w:rsid w:val="00ED6FC1"/>
    <w:rsid w:val="00ED7052"/>
    <w:rsid w:val="00ED7442"/>
    <w:rsid w:val="00ED796B"/>
    <w:rsid w:val="00ED7BF9"/>
    <w:rsid w:val="00ED7F1A"/>
    <w:rsid w:val="00EE0211"/>
    <w:rsid w:val="00EE03CF"/>
    <w:rsid w:val="00EE0654"/>
    <w:rsid w:val="00EE07D3"/>
    <w:rsid w:val="00EE08EC"/>
    <w:rsid w:val="00EE0982"/>
    <w:rsid w:val="00EE0F89"/>
    <w:rsid w:val="00EE1996"/>
    <w:rsid w:val="00EE1C01"/>
    <w:rsid w:val="00EE217D"/>
    <w:rsid w:val="00EE22AF"/>
    <w:rsid w:val="00EE230B"/>
    <w:rsid w:val="00EE24E9"/>
    <w:rsid w:val="00EE2AEA"/>
    <w:rsid w:val="00EE2D76"/>
    <w:rsid w:val="00EE38D1"/>
    <w:rsid w:val="00EE395F"/>
    <w:rsid w:val="00EE3B0D"/>
    <w:rsid w:val="00EE3BCA"/>
    <w:rsid w:val="00EE3DF9"/>
    <w:rsid w:val="00EE422F"/>
    <w:rsid w:val="00EE471F"/>
    <w:rsid w:val="00EE4AD1"/>
    <w:rsid w:val="00EE4E34"/>
    <w:rsid w:val="00EE57B7"/>
    <w:rsid w:val="00EE5916"/>
    <w:rsid w:val="00EE5B06"/>
    <w:rsid w:val="00EE6004"/>
    <w:rsid w:val="00EE667D"/>
    <w:rsid w:val="00EE6A89"/>
    <w:rsid w:val="00EE6A9E"/>
    <w:rsid w:val="00EE6B35"/>
    <w:rsid w:val="00EE6D51"/>
    <w:rsid w:val="00EE7455"/>
    <w:rsid w:val="00EE7758"/>
    <w:rsid w:val="00EE7BA5"/>
    <w:rsid w:val="00EE7EED"/>
    <w:rsid w:val="00EF0171"/>
    <w:rsid w:val="00EF05F7"/>
    <w:rsid w:val="00EF0F3A"/>
    <w:rsid w:val="00EF1347"/>
    <w:rsid w:val="00EF13AE"/>
    <w:rsid w:val="00EF1885"/>
    <w:rsid w:val="00EF1B25"/>
    <w:rsid w:val="00EF1CA2"/>
    <w:rsid w:val="00EF1DA0"/>
    <w:rsid w:val="00EF1E71"/>
    <w:rsid w:val="00EF22E2"/>
    <w:rsid w:val="00EF23DC"/>
    <w:rsid w:val="00EF28ED"/>
    <w:rsid w:val="00EF291E"/>
    <w:rsid w:val="00EF2A17"/>
    <w:rsid w:val="00EF362A"/>
    <w:rsid w:val="00EF3F98"/>
    <w:rsid w:val="00EF41E8"/>
    <w:rsid w:val="00EF4747"/>
    <w:rsid w:val="00EF47D3"/>
    <w:rsid w:val="00EF4850"/>
    <w:rsid w:val="00EF4BF8"/>
    <w:rsid w:val="00EF5215"/>
    <w:rsid w:val="00EF5833"/>
    <w:rsid w:val="00EF63DB"/>
    <w:rsid w:val="00EF654C"/>
    <w:rsid w:val="00EF66C8"/>
    <w:rsid w:val="00EF67A6"/>
    <w:rsid w:val="00EF6CB8"/>
    <w:rsid w:val="00EF7261"/>
    <w:rsid w:val="00EF72F5"/>
    <w:rsid w:val="00EF7319"/>
    <w:rsid w:val="00EF7853"/>
    <w:rsid w:val="00F000DA"/>
    <w:rsid w:val="00F00140"/>
    <w:rsid w:val="00F00443"/>
    <w:rsid w:val="00F00626"/>
    <w:rsid w:val="00F00E05"/>
    <w:rsid w:val="00F00E20"/>
    <w:rsid w:val="00F011CA"/>
    <w:rsid w:val="00F01962"/>
    <w:rsid w:val="00F019CD"/>
    <w:rsid w:val="00F02253"/>
    <w:rsid w:val="00F02656"/>
    <w:rsid w:val="00F029D4"/>
    <w:rsid w:val="00F02DC1"/>
    <w:rsid w:val="00F03C2E"/>
    <w:rsid w:val="00F04222"/>
    <w:rsid w:val="00F0451C"/>
    <w:rsid w:val="00F045EA"/>
    <w:rsid w:val="00F0473C"/>
    <w:rsid w:val="00F04A66"/>
    <w:rsid w:val="00F04B4B"/>
    <w:rsid w:val="00F04E5F"/>
    <w:rsid w:val="00F04FB6"/>
    <w:rsid w:val="00F0506B"/>
    <w:rsid w:val="00F05090"/>
    <w:rsid w:val="00F0516C"/>
    <w:rsid w:val="00F054F3"/>
    <w:rsid w:val="00F057F2"/>
    <w:rsid w:val="00F05EC8"/>
    <w:rsid w:val="00F06017"/>
    <w:rsid w:val="00F06495"/>
    <w:rsid w:val="00F065A3"/>
    <w:rsid w:val="00F067A2"/>
    <w:rsid w:val="00F06971"/>
    <w:rsid w:val="00F06AD6"/>
    <w:rsid w:val="00F06CB9"/>
    <w:rsid w:val="00F06EAE"/>
    <w:rsid w:val="00F07194"/>
    <w:rsid w:val="00F071D4"/>
    <w:rsid w:val="00F0784D"/>
    <w:rsid w:val="00F07951"/>
    <w:rsid w:val="00F07B9E"/>
    <w:rsid w:val="00F07BC2"/>
    <w:rsid w:val="00F07F51"/>
    <w:rsid w:val="00F07F89"/>
    <w:rsid w:val="00F1005F"/>
    <w:rsid w:val="00F108B2"/>
    <w:rsid w:val="00F10A39"/>
    <w:rsid w:val="00F10BA3"/>
    <w:rsid w:val="00F11128"/>
    <w:rsid w:val="00F1116F"/>
    <w:rsid w:val="00F11600"/>
    <w:rsid w:val="00F117B2"/>
    <w:rsid w:val="00F11C95"/>
    <w:rsid w:val="00F11EBE"/>
    <w:rsid w:val="00F11ED2"/>
    <w:rsid w:val="00F12063"/>
    <w:rsid w:val="00F12314"/>
    <w:rsid w:val="00F12333"/>
    <w:rsid w:val="00F125A8"/>
    <w:rsid w:val="00F1263A"/>
    <w:rsid w:val="00F12EF0"/>
    <w:rsid w:val="00F13086"/>
    <w:rsid w:val="00F13179"/>
    <w:rsid w:val="00F13774"/>
    <w:rsid w:val="00F139C5"/>
    <w:rsid w:val="00F13E5E"/>
    <w:rsid w:val="00F1407E"/>
    <w:rsid w:val="00F1446C"/>
    <w:rsid w:val="00F15826"/>
    <w:rsid w:val="00F15B77"/>
    <w:rsid w:val="00F15D49"/>
    <w:rsid w:val="00F1616A"/>
    <w:rsid w:val="00F163A8"/>
    <w:rsid w:val="00F164AB"/>
    <w:rsid w:val="00F16504"/>
    <w:rsid w:val="00F17453"/>
    <w:rsid w:val="00F17530"/>
    <w:rsid w:val="00F17900"/>
    <w:rsid w:val="00F17962"/>
    <w:rsid w:val="00F17DAC"/>
    <w:rsid w:val="00F17E0E"/>
    <w:rsid w:val="00F200E2"/>
    <w:rsid w:val="00F20102"/>
    <w:rsid w:val="00F203C0"/>
    <w:rsid w:val="00F20736"/>
    <w:rsid w:val="00F207D7"/>
    <w:rsid w:val="00F208FB"/>
    <w:rsid w:val="00F2099E"/>
    <w:rsid w:val="00F20BB9"/>
    <w:rsid w:val="00F20D52"/>
    <w:rsid w:val="00F20EA6"/>
    <w:rsid w:val="00F211AA"/>
    <w:rsid w:val="00F21236"/>
    <w:rsid w:val="00F21429"/>
    <w:rsid w:val="00F21677"/>
    <w:rsid w:val="00F21DB2"/>
    <w:rsid w:val="00F2258D"/>
    <w:rsid w:val="00F227C4"/>
    <w:rsid w:val="00F227D9"/>
    <w:rsid w:val="00F22AA5"/>
    <w:rsid w:val="00F23412"/>
    <w:rsid w:val="00F234D8"/>
    <w:rsid w:val="00F2354A"/>
    <w:rsid w:val="00F235CF"/>
    <w:rsid w:val="00F239DF"/>
    <w:rsid w:val="00F23EBA"/>
    <w:rsid w:val="00F23EC0"/>
    <w:rsid w:val="00F246E0"/>
    <w:rsid w:val="00F24837"/>
    <w:rsid w:val="00F24CA8"/>
    <w:rsid w:val="00F24FA4"/>
    <w:rsid w:val="00F25301"/>
    <w:rsid w:val="00F2575F"/>
    <w:rsid w:val="00F25957"/>
    <w:rsid w:val="00F25A9D"/>
    <w:rsid w:val="00F25B2C"/>
    <w:rsid w:val="00F25D4F"/>
    <w:rsid w:val="00F26249"/>
    <w:rsid w:val="00F263F7"/>
    <w:rsid w:val="00F26402"/>
    <w:rsid w:val="00F269E2"/>
    <w:rsid w:val="00F26ADC"/>
    <w:rsid w:val="00F27565"/>
    <w:rsid w:val="00F27705"/>
    <w:rsid w:val="00F2770B"/>
    <w:rsid w:val="00F27AA2"/>
    <w:rsid w:val="00F30383"/>
    <w:rsid w:val="00F3053C"/>
    <w:rsid w:val="00F306D6"/>
    <w:rsid w:val="00F30E68"/>
    <w:rsid w:val="00F310D4"/>
    <w:rsid w:val="00F31679"/>
    <w:rsid w:val="00F319F2"/>
    <w:rsid w:val="00F31B82"/>
    <w:rsid w:val="00F31D5A"/>
    <w:rsid w:val="00F31FD0"/>
    <w:rsid w:val="00F3213F"/>
    <w:rsid w:val="00F32358"/>
    <w:rsid w:val="00F328AC"/>
    <w:rsid w:val="00F32F84"/>
    <w:rsid w:val="00F32FAD"/>
    <w:rsid w:val="00F32FCC"/>
    <w:rsid w:val="00F3367A"/>
    <w:rsid w:val="00F33975"/>
    <w:rsid w:val="00F33B72"/>
    <w:rsid w:val="00F33DE9"/>
    <w:rsid w:val="00F33FD4"/>
    <w:rsid w:val="00F3440A"/>
    <w:rsid w:val="00F34782"/>
    <w:rsid w:val="00F34CAC"/>
    <w:rsid w:val="00F34E11"/>
    <w:rsid w:val="00F34F75"/>
    <w:rsid w:val="00F355BA"/>
    <w:rsid w:val="00F35677"/>
    <w:rsid w:val="00F3574B"/>
    <w:rsid w:val="00F35E6D"/>
    <w:rsid w:val="00F3619A"/>
    <w:rsid w:val="00F364E3"/>
    <w:rsid w:val="00F36CF8"/>
    <w:rsid w:val="00F376DE"/>
    <w:rsid w:val="00F37954"/>
    <w:rsid w:val="00F379C0"/>
    <w:rsid w:val="00F379CE"/>
    <w:rsid w:val="00F37AFB"/>
    <w:rsid w:val="00F37CAC"/>
    <w:rsid w:val="00F37D21"/>
    <w:rsid w:val="00F37DFC"/>
    <w:rsid w:val="00F40057"/>
    <w:rsid w:val="00F4022B"/>
    <w:rsid w:val="00F4027C"/>
    <w:rsid w:val="00F402FD"/>
    <w:rsid w:val="00F4033C"/>
    <w:rsid w:val="00F40759"/>
    <w:rsid w:val="00F40A58"/>
    <w:rsid w:val="00F40AAA"/>
    <w:rsid w:val="00F40BA7"/>
    <w:rsid w:val="00F40C85"/>
    <w:rsid w:val="00F40E7C"/>
    <w:rsid w:val="00F40F9D"/>
    <w:rsid w:val="00F41195"/>
    <w:rsid w:val="00F4169B"/>
    <w:rsid w:val="00F418D8"/>
    <w:rsid w:val="00F41979"/>
    <w:rsid w:val="00F41A24"/>
    <w:rsid w:val="00F41ACD"/>
    <w:rsid w:val="00F41BCE"/>
    <w:rsid w:val="00F41E44"/>
    <w:rsid w:val="00F41F91"/>
    <w:rsid w:val="00F42621"/>
    <w:rsid w:val="00F42747"/>
    <w:rsid w:val="00F43113"/>
    <w:rsid w:val="00F43431"/>
    <w:rsid w:val="00F439A8"/>
    <w:rsid w:val="00F442C1"/>
    <w:rsid w:val="00F442CA"/>
    <w:rsid w:val="00F442EF"/>
    <w:rsid w:val="00F449B9"/>
    <w:rsid w:val="00F45027"/>
    <w:rsid w:val="00F4565B"/>
    <w:rsid w:val="00F45C17"/>
    <w:rsid w:val="00F45D69"/>
    <w:rsid w:val="00F4626C"/>
    <w:rsid w:val="00F465F0"/>
    <w:rsid w:val="00F46917"/>
    <w:rsid w:val="00F46CB6"/>
    <w:rsid w:val="00F46E9A"/>
    <w:rsid w:val="00F47048"/>
    <w:rsid w:val="00F471B3"/>
    <w:rsid w:val="00F4756D"/>
    <w:rsid w:val="00F476EA"/>
    <w:rsid w:val="00F47B22"/>
    <w:rsid w:val="00F47DE8"/>
    <w:rsid w:val="00F50A8F"/>
    <w:rsid w:val="00F50D3B"/>
    <w:rsid w:val="00F50E80"/>
    <w:rsid w:val="00F511D0"/>
    <w:rsid w:val="00F51B48"/>
    <w:rsid w:val="00F51ED4"/>
    <w:rsid w:val="00F523E0"/>
    <w:rsid w:val="00F523FB"/>
    <w:rsid w:val="00F5272A"/>
    <w:rsid w:val="00F52894"/>
    <w:rsid w:val="00F529D8"/>
    <w:rsid w:val="00F52D9C"/>
    <w:rsid w:val="00F52E0F"/>
    <w:rsid w:val="00F53170"/>
    <w:rsid w:val="00F536F5"/>
    <w:rsid w:val="00F53980"/>
    <w:rsid w:val="00F53CFD"/>
    <w:rsid w:val="00F5425C"/>
    <w:rsid w:val="00F542C1"/>
    <w:rsid w:val="00F54697"/>
    <w:rsid w:val="00F5481D"/>
    <w:rsid w:val="00F550E3"/>
    <w:rsid w:val="00F55E73"/>
    <w:rsid w:val="00F55EDA"/>
    <w:rsid w:val="00F56C80"/>
    <w:rsid w:val="00F5725B"/>
    <w:rsid w:val="00F57597"/>
    <w:rsid w:val="00F57EF0"/>
    <w:rsid w:val="00F57EF5"/>
    <w:rsid w:val="00F60092"/>
    <w:rsid w:val="00F6038A"/>
    <w:rsid w:val="00F60977"/>
    <w:rsid w:val="00F60FDC"/>
    <w:rsid w:val="00F6148E"/>
    <w:rsid w:val="00F6172A"/>
    <w:rsid w:val="00F6179E"/>
    <w:rsid w:val="00F61A7E"/>
    <w:rsid w:val="00F61B50"/>
    <w:rsid w:val="00F61C18"/>
    <w:rsid w:val="00F627B7"/>
    <w:rsid w:val="00F62939"/>
    <w:rsid w:val="00F62BCA"/>
    <w:rsid w:val="00F63426"/>
    <w:rsid w:val="00F63504"/>
    <w:rsid w:val="00F63B32"/>
    <w:rsid w:val="00F63D8D"/>
    <w:rsid w:val="00F643E2"/>
    <w:rsid w:val="00F64FCD"/>
    <w:rsid w:val="00F650DE"/>
    <w:rsid w:val="00F651F0"/>
    <w:rsid w:val="00F65507"/>
    <w:rsid w:val="00F65F4B"/>
    <w:rsid w:val="00F664DD"/>
    <w:rsid w:val="00F66640"/>
    <w:rsid w:val="00F669B4"/>
    <w:rsid w:val="00F66A6E"/>
    <w:rsid w:val="00F66BC6"/>
    <w:rsid w:val="00F66C29"/>
    <w:rsid w:val="00F66DBA"/>
    <w:rsid w:val="00F672B3"/>
    <w:rsid w:val="00F67556"/>
    <w:rsid w:val="00F67919"/>
    <w:rsid w:val="00F67A69"/>
    <w:rsid w:val="00F703C0"/>
    <w:rsid w:val="00F70484"/>
    <w:rsid w:val="00F70522"/>
    <w:rsid w:val="00F70BFF"/>
    <w:rsid w:val="00F70C9D"/>
    <w:rsid w:val="00F710C3"/>
    <w:rsid w:val="00F71A9F"/>
    <w:rsid w:val="00F71DA0"/>
    <w:rsid w:val="00F7273F"/>
    <w:rsid w:val="00F727CC"/>
    <w:rsid w:val="00F733C9"/>
    <w:rsid w:val="00F735E0"/>
    <w:rsid w:val="00F73775"/>
    <w:rsid w:val="00F73A6D"/>
    <w:rsid w:val="00F73E08"/>
    <w:rsid w:val="00F73E45"/>
    <w:rsid w:val="00F73E4D"/>
    <w:rsid w:val="00F73E88"/>
    <w:rsid w:val="00F7436E"/>
    <w:rsid w:val="00F743A9"/>
    <w:rsid w:val="00F745DE"/>
    <w:rsid w:val="00F74B15"/>
    <w:rsid w:val="00F74C7C"/>
    <w:rsid w:val="00F74CD9"/>
    <w:rsid w:val="00F75497"/>
    <w:rsid w:val="00F758E8"/>
    <w:rsid w:val="00F75E20"/>
    <w:rsid w:val="00F7611C"/>
    <w:rsid w:val="00F76619"/>
    <w:rsid w:val="00F7677E"/>
    <w:rsid w:val="00F778B1"/>
    <w:rsid w:val="00F77AE5"/>
    <w:rsid w:val="00F77E66"/>
    <w:rsid w:val="00F80606"/>
    <w:rsid w:val="00F80A7B"/>
    <w:rsid w:val="00F80DC1"/>
    <w:rsid w:val="00F80E4B"/>
    <w:rsid w:val="00F80E5D"/>
    <w:rsid w:val="00F80F1A"/>
    <w:rsid w:val="00F8143F"/>
    <w:rsid w:val="00F816C3"/>
    <w:rsid w:val="00F818A2"/>
    <w:rsid w:val="00F81E78"/>
    <w:rsid w:val="00F81EBF"/>
    <w:rsid w:val="00F82927"/>
    <w:rsid w:val="00F82C5B"/>
    <w:rsid w:val="00F83441"/>
    <w:rsid w:val="00F8378D"/>
    <w:rsid w:val="00F837C6"/>
    <w:rsid w:val="00F83916"/>
    <w:rsid w:val="00F83AB0"/>
    <w:rsid w:val="00F84919"/>
    <w:rsid w:val="00F84A5F"/>
    <w:rsid w:val="00F851CE"/>
    <w:rsid w:val="00F852E6"/>
    <w:rsid w:val="00F8532B"/>
    <w:rsid w:val="00F8584A"/>
    <w:rsid w:val="00F859DB"/>
    <w:rsid w:val="00F85E22"/>
    <w:rsid w:val="00F86002"/>
    <w:rsid w:val="00F863FC"/>
    <w:rsid w:val="00F8652D"/>
    <w:rsid w:val="00F86784"/>
    <w:rsid w:val="00F86881"/>
    <w:rsid w:val="00F8697A"/>
    <w:rsid w:val="00F86A08"/>
    <w:rsid w:val="00F86CCC"/>
    <w:rsid w:val="00F87287"/>
    <w:rsid w:val="00F87552"/>
    <w:rsid w:val="00F87DF2"/>
    <w:rsid w:val="00F87E21"/>
    <w:rsid w:val="00F9018C"/>
    <w:rsid w:val="00F90B33"/>
    <w:rsid w:val="00F910DE"/>
    <w:rsid w:val="00F91219"/>
    <w:rsid w:val="00F917DF"/>
    <w:rsid w:val="00F91875"/>
    <w:rsid w:val="00F91B29"/>
    <w:rsid w:val="00F9211A"/>
    <w:rsid w:val="00F92444"/>
    <w:rsid w:val="00F926D7"/>
    <w:rsid w:val="00F928B6"/>
    <w:rsid w:val="00F929F6"/>
    <w:rsid w:val="00F92AF3"/>
    <w:rsid w:val="00F92B5F"/>
    <w:rsid w:val="00F92F13"/>
    <w:rsid w:val="00F93495"/>
    <w:rsid w:val="00F93534"/>
    <w:rsid w:val="00F9393E"/>
    <w:rsid w:val="00F9402A"/>
    <w:rsid w:val="00F9402D"/>
    <w:rsid w:val="00F94464"/>
    <w:rsid w:val="00F9519B"/>
    <w:rsid w:val="00F951CB"/>
    <w:rsid w:val="00F95298"/>
    <w:rsid w:val="00F956E3"/>
    <w:rsid w:val="00F95857"/>
    <w:rsid w:val="00F963B9"/>
    <w:rsid w:val="00F96681"/>
    <w:rsid w:val="00F9669A"/>
    <w:rsid w:val="00F968CC"/>
    <w:rsid w:val="00F96C42"/>
    <w:rsid w:val="00F96FAA"/>
    <w:rsid w:val="00F96FD0"/>
    <w:rsid w:val="00F9705C"/>
    <w:rsid w:val="00F97A78"/>
    <w:rsid w:val="00F97ABB"/>
    <w:rsid w:val="00F97EB1"/>
    <w:rsid w:val="00F97EF3"/>
    <w:rsid w:val="00FA0347"/>
    <w:rsid w:val="00FA08E4"/>
    <w:rsid w:val="00FA0B20"/>
    <w:rsid w:val="00FA0C0E"/>
    <w:rsid w:val="00FA0EBF"/>
    <w:rsid w:val="00FA160C"/>
    <w:rsid w:val="00FA1A44"/>
    <w:rsid w:val="00FA1D7A"/>
    <w:rsid w:val="00FA1DD4"/>
    <w:rsid w:val="00FA1FC7"/>
    <w:rsid w:val="00FA24E7"/>
    <w:rsid w:val="00FA2603"/>
    <w:rsid w:val="00FA2746"/>
    <w:rsid w:val="00FA2CAB"/>
    <w:rsid w:val="00FA2D94"/>
    <w:rsid w:val="00FA2E74"/>
    <w:rsid w:val="00FA30A0"/>
    <w:rsid w:val="00FA35D9"/>
    <w:rsid w:val="00FA3A02"/>
    <w:rsid w:val="00FA41BB"/>
    <w:rsid w:val="00FA4251"/>
    <w:rsid w:val="00FA4297"/>
    <w:rsid w:val="00FA487A"/>
    <w:rsid w:val="00FA494A"/>
    <w:rsid w:val="00FA4AD8"/>
    <w:rsid w:val="00FA4D2F"/>
    <w:rsid w:val="00FA52D6"/>
    <w:rsid w:val="00FA5470"/>
    <w:rsid w:val="00FA5D08"/>
    <w:rsid w:val="00FA5EE6"/>
    <w:rsid w:val="00FA626C"/>
    <w:rsid w:val="00FA64C9"/>
    <w:rsid w:val="00FA678D"/>
    <w:rsid w:val="00FA68DE"/>
    <w:rsid w:val="00FA6ADA"/>
    <w:rsid w:val="00FA6D76"/>
    <w:rsid w:val="00FA7243"/>
    <w:rsid w:val="00FA729C"/>
    <w:rsid w:val="00FA7575"/>
    <w:rsid w:val="00FA7956"/>
    <w:rsid w:val="00FA7BB9"/>
    <w:rsid w:val="00FA7BD8"/>
    <w:rsid w:val="00FB00B8"/>
    <w:rsid w:val="00FB01CB"/>
    <w:rsid w:val="00FB0670"/>
    <w:rsid w:val="00FB0824"/>
    <w:rsid w:val="00FB1726"/>
    <w:rsid w:val="00FB1F43"/>
    <w:rsid w:val="00FB23F2"/>
    <w:rsid w:val="00FB2705"/>
    <w:rsid w:val="00FB273B"/>
    <w:rsid w:val="00FB27BA"/>
    <w:rsid w:val="00FB2FCB"/>
    <w:rsid w:val="00FB313F"/>
    <w:rsid w:val="00FB3306"/>
    <w:rsid w:val="00FB3320"/>
    <w:rsid w:val="00FB3949"/>
    <w:rsid w:val="00FB39FD"/>
    <w:rsid w:val="00FB3D2A"/>
    <w:rsid w:val="00FB3D7E"/>
    <w:rsid w:val="00FB3EAC"/>
    <w:rsid w:val="00FB406E"/>
    <w:rsid w:val="00FB42D2"/>
    <w:rsid w:val="00FB4304"/>
    <w:rsid w:val="00FB47BD"/>
    <w:rsid w:val="00FB48C2"/>
    <w:rsid w:val="00FB4C9C"/>
    <w:rsid w:val="00FB4DA3"/>
    <w:rsid w:val="00FB507D"/>
    <w:rsid w:val="00FB50A9"/>
    <w:rsid w:val="00FB526D"/>
    <w:rsid w:val="00FB5517"/>
    <w:rsid w:val="00FB55C4"/>
    <w:rsid w:val="00FB5803"/>
    <w:rsid w:val="00FB5D46"/>
    <w:rsid w:val="00FB5F8B"/>
    <w:rsid w:val="00FB5FD3"/>
    <w:rsid w:val="00FB6071"/>
    <w:rsid w:val="00FB61A2"/>
    <w:rsid w:val="00FB64B6"/>
    <w:rsid w:val="00FB6BD6"/>
    <w:rsid w:val="00FB6DA2"/>
    <w:rsid w:val="00FB7168"/>
    <w:rsid w:val="00FB7270"/>
    <w:rsid w:val="00FB7C55"/>
    <w:rsid w:val="00FC068B"/>
    <w:rsid w:val="00FC0D21"/>
    <w:rsid w:val="00FC0EA7"/>
    <w:rsid w:val="00FC1074"/>
    <w:rsid w:val="00FC1148"/>
    <w:rsid w:val="00FC123C"/>
    <w:rsid w:val="00FC1884"/>
    <w:rsid w:val="00FC1AF7"/>
    <w:rsid w:val="00FC1BDF"/>
    <w:rsid w:val="00FC2AAC"/>
    <w:rsid w:val="00FC2D3B"/>
    <w:rsid w:val="00FC2EBD"/>
    <w:rsid w:val="00FC371D"/>
    <w:rsid w:val="00FC3BF8"/>
    <w:rsid w:val="00FC4336"/>
    <w:rsid w:val="00FC4387"/>
    <w:rsid w:val="00FC438C"/>
    <w:rsid w:val="00FC43C8"/>
    <w:rsid w:val="00FC4448"/>
    <w:rsid w:val="00FC48F6"/>
    <w:rsid w:val="00FC4DA2"/>
    <w:rsid w:val="00FC524C"/>
    <w:rsid w:val="00FC53C7"/>
    <w:rsid w:val="00FC570F"/>
    <w:rsid w:val="00FC5F0B"/>
    <w:rsid w:val="00FC6A84"/>
    <w:rsid w:val="00FC70E7"/>
    <w:rsid w:val="00FC75C9"/>
    <w:rsid w:val="00FC7664"/>
    <w:rsid w:val="00FD0556"/>
    <w:rsid w:val="00FD0D76"/>
    <w:rsid w:val="00FD0F7B"/>
    <w:rsid w:val="00FD1101"/>
    <w:rsid w:val="00FD1545"/>
    <w:rsid w:val="00FD17FD"/>
    <w:rsid w:val="00FD194B"/>
    <w:rsid w:val="00FD2100"/>
    <w:rsid w:val="00FD24EF"/>
    <w:rsid w:val="00FD28C8"/>
    <w:rsid w:val="00FD2A38"/>
    <w:rsid w:val="00FD2C99"/>
    <w:rsid w:val="00FD2CB1"/>
    <w:rsid w:val="00FD2F3E"/>
    <w:rsid w:val="00FD310C"/>
    <w:rsid w:val="00FD3927"/>
    <w:rsid w:val="00FD3EFF"/>
    <w:rsid w:val="00FD436C"/>
    <w:rsid w:val="00FD446D"/>
    <w:rsid w:val="00FD478A"/>
    <w:rsid w:val="00FD4EDD"/>
    <w:rsid w:val="00FD4F2C"/>
    <w:rsid w:val="00FD52D6"/>
    <w:rsid w:val="00FD5784"/>
    <w:rsid w:val="00FD5B25"/>
    <w:rsid w:val="00FD5F0C"/>
    <w:rsid w:val="00FD60D6"/>
    <w:rsid w:val="00FD6394"/>
    <w:rsid w:val="00FD67FD"/>
    <w:rsid w:val="00FD6831"/>
    <w:rsid w:val="00FD693A"/>
    <w:rsid w:val="00FD6957"/>
    <w:rsid w:val="00FD6C6A"/>
    <w:rsid w:val="00FD6CBE"/>
    <w:rsid w:val="00FD6D4D"/>
    <w:rsid w:val="00FD71AD"/>
    <w:rsid w:val="00FD7A9D"/>
    <w:rsid w:val="00FD7AD1"/>
    <w:rsid w:val="00FD7DEC"/>
    <w:rsid w:val="00FE08B2"/>
    <w:rsid w:val="00FE0E53"/>
    <w:rsid w:val="00FE0E6C"/>
    <w:rsid w:val="00FE0EE2"/>
    <w:rsid w:val="00FE1573"/>
    <w:rsid w:val="00FE1B26"/>
    <w:rsid w:val="00FE1BEF"/>
    <w:rsid w:val="00FE1CDC"/>
    <w:rsid w:val="00FE1FDC"/>
    <w:rsid w:val="00FE3205"/>
    <w:rsid w:val="00FE3356"/>
    <w:rsid w:val="00FE3C35"/>
    <w:rsid w:val="00FE3C44"/>
    <w:rsid w:val="00FE4127"/>
    <w:rsid w:val="00FE49F0"/>
    <w:rsid w:val="00FE4DDB"/>
    <w:rsid w:val="00FE513C"/>
    <w:rsid w:val="00FE560C"/>
    <w:rsid w:val="00FE5855"/>
    <w:rsid w:val="00FE6040"/>
    <w:rsid w:val="00FE62EB"/>
    <w:rsid w:val="00FE6702"/>
    <w:rsid w:val="00FE70C3"/>
    <w:rsid w:val="00FE75CA"/>
    <w:rsid w:val="00FE7B5C"/>
    <w:rsid w:val="00FE7CAC"/>
    <w:rsid w:val="00FE7D3E"/>
    <w:rsid w:val="00FF016C"/>
    <w:rsid w:val="00FF03E4"/>
    <w:rsid w:val="00FF045C"/>
    <w:rsid w:val="00FF0995"/>
    <w:rsid w:val="00FF0BAB"/>
    <w:rsid w:val="00FF0C7C"/>
    <w:rsid w:val="00FF1033"/>
    <w:rsid w:val="00FF1040"/>
    <w:rsid w:val="00FF12F6"/>
    <w:rsid w:val="00FF139F"/>
    <w:rsid w:val="00FF19D1"/>
    <w:rsid w:val="00FF1A8B"/>
    <w:rsid w:val="00FF1AED"/>
    <w:rsid w:val="00FF1D97"/>
    <w:rsid w:val="00FF2203"/>
    <w:rsid w:val="00FF24E0"/>
    <w:rsid w:val="00FF28E3"/>
    <w:rsid w:val="00FF2AD9"/>
    <w:rsid w:val="00FF34E3"/>
    <w:rsid w:val="00FF350B"/>
    <w:rsid w:val="00FF359F"/>
    <w:rsid w:val="00FF3649"/>
    <w:rsid w:val="00FF38B8"/>
    <w:rsid w:val="00FF39C8"/>
    <w:rsid w:val="00FF3B45"/>
    <w:rsid w:val="00FF3BDF"/>
    <w:rsid w:val="00FF3CA5"/>
    <w:rsid w:val="00FF3DCF"/>
    <w:rsid w:val="00FF3F2D"/>
    <w:rsid w:val="00FF3F8E"/>
    <w:rsid w:val="00FF3FD0"/>
    <w:rsid w:val="00FF45D0"/>
    <w:rsid w:val="00FF492C"/>
    <w:rsid w:val="00FF4A21"/>
    <w:rsid w:val="00FF4BC8"/>
    <w:rsid w:val="00FF4ECD"/>
    <w:rsid w:val="00FF51AD"/>
    <w:rsid w:val="00FF5AA3"/>
    <w:rsid w:val="00FF5AD8"/>
    <w:rsid w:val="00FF5C05"/>
    <w:rsid w:val="00FF5C1B"/>
    <w:rsid w:val="00FF5DE3"/>
    <w:rsid w:val="00FF69BB"/>
    <w:rsid w:val="00FF7166"/>
    <w:rsid w:val="00FF743F"/>
    <w:rsid w:val="00FF7512"/>
    <w:rsid w:val="00FF79B3"/>
    <w:rsid w:val="00FF7B27"/>
    <w:rsid w:val="00FF7CBD"/>
    <w:rsid w:val="18576CAE"/>
    <w:rsid w:val="4C0D3607"/>
    <w:rsid w:val="4E5811EF"/>
    <w:rsid w:val="5FF230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46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Caption 3,c,appendix,Caption_m,- H17,Figure caption,Figure caption1 Char Char,IB Caption,Medical Caption,Caption Char1 Char Char,Caption Char Char Char Char,Caption Char1 Char,Caption Char Char Char Char Char,Caption Char 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Caption Char,Caption 3 Char,c Char,appendix Char,Caption_m Char,- H17 Char,Figure caption Char,Figure caption1 Char Char Char,IB Caption Char,Medical Caption Char,Caption Char1 Char Char Char,Caption Char Char Char Char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Legemiddelverket 3,new style,MSD Table Grid,Dossier table,PBAC table,HTAtableplain,Lash Style Table,PHE Table Grid,Summary"/>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 H19,Comment Text Char Char,Comment Text Char Char Char Char,Comment Text Char Char1,Comment Text Char Char1 Char,Comment Text Char1 Char,Comment Text Char1 Char Char,Comment Text Char2 Char,Kommentarer,Char,Char1,Char2"/>
    <w:basedOn w:val="Normal"/>
    <w:link w:val="CommentTextChar"/>
    <w:qFormat/>
    <w:rsid w:val="00FD2100"/>
    <w:rPr>
      <w:rFonts w:ascii="Times New Roman" w:hAnsi="Times New Roman" w:cs="Times New Roman"/>
      <w:sz w:val="20"/>
    </w:rPr>
  </w:style>
  <w:style w:type="character" w:customStyle="1" w:styleId="CommentTextChar">
    <w:name w:val="Comment Text Char"/>
    <w:aliases w:val="Annotationtext Char,- H19 Char,Comment Text Char Char Char,Comment Text Char Char Char Char Char,Comment Text Char Char1 Char1,Comment Text Char Char1 Char Char,Comment Text Char1 Char Char1,Comment Text Char1 Char Char Char,Char Char"/>
    <w:basedOn w:val="DefaultParagraphFont"/>
    <w:link w:val="CommentText"/>
    <w:qForma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8E03BF"/>
    <w:pPr>
      <w:widowControl w:val="0"/>
    </w:pPr>
    <w:rPr>
      <w:rFonts w:ascii="Arial Narrow" w:eastAsiaTheme="majorEastAsia" w:hAnsi="Arial Narrow" w:cstheme="majorBidi"/>
      <w:b/>
      <w:i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860B2"/>
    <w:rPr>
      <w:rFonts w:ascii="Arial Narrow" w:eastAsiaTheme="majorEastAsia" w:hAnsi="Arial Narrow"/>
      <w:bCs/>
      <w:lang w:bidi="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8E03BF"/>
    <w:rPr>
      <w:rFonts w:ascii="Arial Narrow" w:eastAsiaTheme="majorEastAsia" w:hAnsi="Arial Narrow" w:cstheme="majorBidi"/>
      <w:b/>
      <w:i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117002"/>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117002"/>
    <w:rPr>
      <w:rFonts w:ascii="Arial Narrow" w:hAnsi="Arial Narrow" w:cs="Arial"/>
      <w:snapToGrid w:val="0"/>
      <w:sz w:val="18"/>
      <w:szCs w:val="22"/>
    </w:rPr>
  </w:style>
  <w:style w:type="character" w:customStyle="1" w:styleId="SmallItalics">
    <w:name w:val="Small Italics"/>
    <w:basedOn w:val="DefaultParagraphFont"/>
    <w:uiPriority w:val="4"/>
    <w:qFormat/>
    <w:rsid w:val="00F379CE"/>
    <w:rPr>
      <w:rFonts w:ascii="Calibri" w:hAnsi="Calibri"/>
      <w:i/>
      <w:sz w:val="20"/>
    </w:rPr>
  </w:style>
  <w:style w:type="paragraph" w:styleId="FootnoteText">
    <w:name w:val="footnote text"/>
    <w:basedOn w:val="Normal"/>
    <w:link w:val="FootnoteTextChar"/>
    <w:uiPriority w:val="99"/>
    <w:unhideWhenUsed/>
    <w:qFormat/>
    <w:rsid w:val="00567880"/>
    <w:rPr>
      <w:sz w:val="20"/>
      <w:szCs w:val="20"/>
    </w:rPr>
  </w:style>
  <w:style w:type="character" w:customStyle="1" w:styleId="FootnoteTextChar">
    <w:name w:val="Footnote Text Char"/>
    <w:basedOn w:val="DefaultParagraphFont"/>
    <w:link w:val="FootnoteText"/>
    <w:uiPriority w:val="99"/>
    <w:rsid w:val="00567880"/>
    <w:rPr>
      <w:rFonts w:ascii="Calibri" w:hAnsi="Calibri" w:cs="Arial"/>
    </w:rPr>
  </w:style>
  <w:style w:type="character" w:styleId="FootnoteReference">
    <w:name w:val="footnote reference"/>
    <w:basedOn w:val="DefaultParagraphFont"/>
    <w:uiPriority w:val="99"/>
    <w:unhideWhenUsed/>
    <w:rsid w:val="00567880"/>
    <w:rPr>
      <w:vertAlign w:val="superscript"/>
    </w:rPr>
  </w:style>
  <w:style w:type="character" w:styleId="UnresolvedMention">
    <w:name w:val="Unresolved Mention"/>
    <w:basedOn w:val="DefaultParagraphFont"/>
    <w:uiPriority w:val="99"/>
    <w:semiHidden/>
    <w:unhideWhenUsed/>
    <w:rsid w:val="009F47B8"/>
    <w:rPr>
      <w:color w:val="605E5C"/>
      <w:shd w:val="clear" w:color="auto" w:fill="E1DFDD"/>
    </w:rPr>
  </w:style>
  <w:style w:type="table" w:customStyle="1" w:styleId="Submissionstandard">
    <w:name w:val="Submission standard"/>
    <w:basedOn w:val="TableNormal"/>
    <w:uiPriority w:val="99"/>
    <w:qFormat/>
    <w:rsid w:val="0073243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libri (Body)" w:hAnsi="Calibri (Body)"/>
        <w:b/>
        <w:sz w:val="20"/>
      </w:rPr>
      <w:tblPr/>
      <w:tcPr>
        <w:shd w:val="clear" w:color="auto" w:fill="BFBFBF" w:themeFill="background1" w:themeFillShade="BF"/>
      </w:tcPr>
    </w:tblStylePr>
  </w:style>
  <w:style w:type="character" w:customStyle="1" w:styleId="CaptionFootnoteChar">
    <w:name w:val="Caption Footnote Char"/>
    <w:basedOn w:val="DefaultParagraphFont"/>
    <w:link w:val="CaptionFootnote"/>
    <w:rsid w:val="00E36809"/>
    <w:rPr>
      <w:rFonts w:asciiTheme="minorHAnsi" w:hAnsiTheme="minorHAnsi"/>
      <w:kern w:val="28"/>
      <w:sz w:val="18"/>
      <w:szCs w:val="24"/>
      <w:lang w:eastAsia="en-GB"/>
    </w:rPr>
  </w:style>
  <w:style w:type="paragraph" w:customStyle="1" w:styleId="CaptionFootnote">
    <w:name w:val="Caption Footnote"/>
    <w:basedOn w:val="Normal"/>
    <w:link w:val="CaptionFootnoteChar"/>
    <w:qFormat/>
    <w:rsid w:val="00E36809"/>
    <w:pPr>
      <w:jc w:val="left"/>
    </w:pPr>
    <w:rPr>
      <w:rFonts w:asciiTheme="minorHAnsi" w:hAnsiTheme="minorHAnsi" w:cs="Times New Roman"/>
      <w:kern w:val="28"/>
      <w:sz w:val="18"/>
      <w:lang w:eastAsia="en-GB"/>
    </w:rPr>
  </w:style>
  <w:style w:type="paragraph" w:customStyle="1" w:styleId="TableLeft">
    <w:name w:val="Table Left"/>
    <w:basedOn w:val="Normal"/>
    <w:link w:val="TableLeftChar"/>
    <w:uiPriority w:val="99"/>
    <w:qFormat/>
    <w:rsid w:val="00595CCF"/>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595CCF"/>
    <w:rPr>
      <w:rFonts w:ascii="Calibri" w:eastAsiaTheme="majorEastAsia" w:hAnsi="Calibri" w:cstheme="majorBidi"/>
      <w:sz w:val="18"/>
      <w:szCs w:val="22"/>
      <w:lang w:eastAsia="en-US" w:bidi="en-US"/>
    </w:rPr>
  </w:style>
  <w:style w:type="table" w:customStyle="1" w:styleId="Submissionstandard1">
    <w:name w:val="Submission standard1"/>
    <w:basedOn w:val="TableNormal"/>
    <w:uiPriority w:val="99"/>
    <w:qFormat/>
    <w:rsid w:val="0090616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libri (Body)" w:hAnsi="Calibri (Body)"/>
        <w:b/>
        <w:sz w:val="20"/>
      </w:rPr>
      <w:tblPr/>
      <w:tcPr>
        <w:shd w:val="clear" w:color="auto" w:fill="BFBFBF" w:themeFill="background1" w:themeFillShade="BF"/>
      </w:tcPr>
    </w:tblStylePr>
  </w:style>
  <w:style w:type="paragraph" w:customStyle="1" w:styleId="NICEnormal">
    <w:name w:val="NICE normal"/>
    <w:link w:val="NICEnormalChar"/>
    <w:rsid w:val="00112141"/>
    <w:pPr>
      <w:spacing w:after="240" w:line="360" w:lineRule="auto"/>
    </w:pPr>
    <w:rPr>
      <w:rFonts w:ascii="Arial" w:hAnsi="Arial"/>
      <w:sz w:val="24"/>
      <w:szCs w:val="24"/>
      <w:lang w:val="en-GB" w:eastAsia="en-US"/>
    </w:rPr>
  </w:style>
  <w:style w:type="character" w:customStyle="1" w:styleId="NICEnormalChar">
    <w:name w:val="NICE normal Char"/>
    <w:link w:val="NICEnormal"/>
    <w:rsid w:val="00112141"/>
    <w:rPr>
      <w:rFonts w:ascii="Arial" w:hAnsi="Arial"/>
      <w:sz w:val="24"/>
      <w:szCs w:val="24"/>
      <w:lang w:val="en-GB" w:eastAsia="en-US"/>
    </w:rPr>
  </w:style>
  <w:style w:type="character" w:styleId="IntenseEmphasis">
    <w:name w:val="Intense Emphasis"/>
    <w:uiPriority w:val="21"/>
    <w:qFormat/>
    <w:rsid w:val="001F7872"/>
    <w:rPr>
      <w:b/>
      <w:bCs/>
      <w:i/>
      <w:iCs/>
    </w:rPr>
  </w:style>
  <w:style w:type="table" w:customStyle="1" w:styleId="NICETable1">
    <w:name w:val="NICE Table 1"/>
    <w:basedOn w:val="TableNormal"/>
    <w:uiPriority w:val="99"/>
    <w:rsid w:val="00F35677"/>
    <w:pPr>
      <w:spacing w:after="60"/>
    </w:pPr>
    <w:rPr>
      <w:rFonts w:ascii="Arial" w:eastAsia="Calibri" w:hAnsi="Arial"/>
      <w:lang w:val="en-GB" w:eastAsia="en-GB"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rPr>
        <w:b/>
      </w:rPr>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customStyle="1" w:styleId="Unnumberedboldheading">
    <w:name w:val="Unnumbered bold heading"/>
    <w:next w:val="NICEnormal"/>
    <w:rsid w:val="009E1B71"/>
    <w:pPr>
      <w:keepNext/>
      <w:widowControl w:val="0"/>
      <w:spacing w:after="120"/>
    </w:pPr>
    <w:rPr>
      <w:rFonts w:ascii="Arial" w:hAnsi="Arial"/>
      <w:b/>
      <w:sz w:val="24"/>
      <w:szCs w:val="24"/>
      <w:lang w:val="en-GB" w:eastAsia="en-US"/>
    </w:rPr>
  </w:style>
  <w:style w:type="table" w:styleId="ListTable3-Accent1">
    <w:name w:val="List Table 3 Accent 1"/>
    <w:basedOn w:val="TableNormal"/>
    <w:uiPriority w:val="48"/>
    <w:rsid w:val="00827D8F"/>
    <w:rPr>
      <w:rFonts w:asciiTheme="minorHAnsi" w:eastAsiaTheme="minorEastAsia" w:hAnsiTheme="minorHAnsi" w:cstheme="minorBidi"/>
      <w:sz w:val="22"/>
      <w:szCs w:val="22"/>
      <w:lang w:val="it-IT" w:eastAsia="it-IT"/>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mall">
    <w:name w:val="Small"/>
    <w:basedOn w:val="DefaultParagraphFont"/>
    <w:uiPriority w:val="4"/>
    <w:qFormat/>
    <w:rsid w:val="00CE7955"/>
    <w:rPr>
      <w:rFonts w:ascii="Calibri" w:hAnsi="Calibri"/>
      <w:sz w:val="20"/>
    </w:rPr>
  </w:style>
  <w:style w:type="paragraph" w:customStyle="1" w:styleId="TableParagraph">
    <w:name w:val="Table Paragraph"/>
    <w:basedOn w:val="Normal"/>
    <w:uiPriority w:val="1"/>
    <w:qFormat/>
    <w:rsid w:val="00CE7955"/>
    <w:pPr>
      <w:autoSpaceDE w:val="0"/>
      <w:autoSpaceDN w:val="0"/>
      <w:adjustRightInd w:val="0"/>
      <w:jc w:val="left"/>
    </w:pPr>
    <w:rPr>
      <w:rFonts w:ascii="Times New Roman" w:hAnsi="Times New Roman" w:cs="Times New Roman"/>
    </w:rPr>
  </w:style>
  <w:style w:type="paragraph" w:customStyle="1" w:styleId="Tabletext8pt">
    <w:name w:val="Table text 8pt"/>
    <w:basedOn w:val="Tabletext"/>
    <w:link w:val="Tabletext8ptChar"/>
    <w:qFormat/>
    <w:rsid w:val="00CE7955"/>
    <w:pPr>
      <w:keepNext/>
      <w:keepLines/>
      <w:spacing w:before="20" w:after="20"/>
    </w:pPr>
    <w:rPr>
      <w:rFonts w:ascii="Montserrat" w:eastAsia="Calibri" w:hAnsi="Montserrat" w:cs="Calibri"/>
      <w:snapToGrid/>
      <w:sz w:val="16"/>
      <w:szCs w:val="16"/>
      <w:lang w:eastAsia="en-US"/>
    </w:rPr>
  </w:style>
  <w:style w:type="character" w:customStyle="1" w:styleId="Tabletext8ptChar">
    <w:name w:val="Table text 8pt Char"/>
    <w:basedOn w:val="DefaultParagraphFont"/>
    <w:link w:val="Tabletext8pt"/>
    <w:rsid w:val="00CE7955"/>
    <w:rPr>
      <w:rFonts w:ascii="Montserrat" w:eastAsia="Calibri" w:hAnsi="Montserrat" w:cs="Calibri"/>
      <w:sz w:val="16"/>
      <w:szCs w:val="16"/>
      <w:lang w:eastAsia="en-US"/>
    </w:rPr>
  </w:style>
  <w:style w:type="paragraph" w:customStyle="1" w:styleId="Tablenormal0">
    <w:name w:val="Table normal"/>
    <w:basedOn w:val="Normal"/>
    <w:link w:val="TablenormalChar"/>
    <w:qFormat/>
    <w:rsid w:val="00CE7955"/>
    <w:pPr>
      <w:spacing w:before="60" w:after="60"/>
      <w:jc w:val="left"/>
    </w:pPr>
    <w:rPr>
      <w:rFonts w:ascii="Arial" w:hAnsi="Arial" w:cs="Times New Roman"/>
      <w:sz w:val="18"/>
      <w:szCs w:val="22"/>
      <w:lang w:val="en-US" w:eastAsia="en-GB"/>
    </w:rPr>
  </w:style>
  <w:style w:type="character" w:customStyle="1" w:styleId="TablenormalChar">
    <w:name w:val="Table normal Char"/>
    <w:basedOn w:val="DefaultParagraphFont"/>
    <w:link w:val="Tablenormal0"/>
    <w:rsid w:val="00CE7955"/>
    <w:rPr>
      <w:rFonts w:ascii="Arial" w:hAnsi="Arial"/>
      <w:sz w:val="18"/>
      <w:szCs w:val="22"/>
      <w:lang w:val="en-US" w:eastAsia="en-GB"/>
    </w:rPr>
  </w:style>
  <w:style w:type="paragraph" w:customStyle="1" w:styleId="EndNoteBibliography">
    <w:name w:val="EndNote Bibliography"/>
    <w:basedOn w:val="Normal"/>
    <w:link w:val="EndNoteBibliographyChar"/>
    <w:rsid w:val="00CE7955"/>
    <w:pPr>
      <w:spacing w:after="200"/>
      <w:jc w:val="left"/>
    </w:pPr>
    <w:rPr>
      <w:rFonts w:eastAsiaTheme="majorEastAsia" w:cs="Calibri"/>
      <w:sz w:val="22"/>
      <w:szCs w:val="22"/>
      <w:lang w:eastAsia="en-US" w:bidi="en-US"/>
    </w:rPr>
  </w:style>
  <w:style w:type="character" w:customStyle="1" w:styleId="EndNoteBibliographyChar">
    <w:name w:val="EndNote Bibliography Char"/>
    <w:basedOn w:val="DefaultParagraphFont"/>
    <w:link w:val="EndNoteBibliography"/>
    <w:rsid w:val="00CE7955"/>
    <w:rPr>
      <w:rFonts w:ascii="Calibri" w:eastAsiaTheme="majorEastAsia" w:hAnsi="Calibri" w:cs="Calibri"/>
      <w:sz w:val="22"/>
      <w:szCs w:val="22"/>
      <w:lang w:eastAsia="en-US" w:bidi="en-US"/>
    </w:rPr>
  </w:style>
  <w:style w:type="character" w:styleId="PlaceholderText">
    <w:name w:val="Placeholder Text"/>
    <w:basedOn w:val="DefaultParagraphFont"/>
    <w:uiPriority w:val="99"/>
    <w:semiHidden/>
    <w:rsid w:val="00CE7955"/>
    <w:rPr>
      <w:color w:val="666666"/>
    </w:rPr>
  </w:style>
  <w:style w:type="character" w:customStyle="1" w:styleId="Heading3Char">
    <w:name w:val="Heading 3 Char"/>
    <w:basedOn w:val="DefaultParagraphFont"/>
    <w:link w:val="Heading3"/>
    <w:rsid w:val="00D44096"/>
    <w:rPr>
      <w:rFonts w:ascii="Calibri" w:hAnsi="Calibri" w:cs="Arial"/>
      <w:sz w:val="24"/>
      <w:szCs w:val="24"/>
      <w:u w:val="single"/>
    </w:rPr>
  </w:style>
  <w:style w:type="paragraph" w:styleId="EndnoteText">
    <w:name w:val="endnote text"/>
    <w:basedOn w:val="Normal"/>
    <w:link w:val="EndnoteTextChar"/>
    <w:semiHidden/>
    <w:unhideWhenUsed/>
    <w:rsid w:val="00BD16B5"/>
    <w:rPr>
      <w:sz w:val="20"/>
      <w:szCs w:val="20"/>
    </w:rPr>
  </w:style>
  <w:style w:type="character" w:customStyle="1" w:styleId="EndnoteTextChar">
    <w:name w:val="Endnote Text Char"/>
    <w:basedOn w:val="DefaultParagraphFont"/>
    <w:link w:val="EndnoteText"/>
    <w:semiHidden/>
    <w:rsid w:val="00BD16B5"/>
    <w:rPr>
      <w:rFonts w:ascii="Calibri" w:hAnsi="Calibri" w:cs="Arial"/>
    </w:rPr>
  </w:style>
  <w:style w:type="character" w:styleId="EndnoteReference">
    <w:name w:val="endnote reference"/>
    <w:basedOn w:val="DefaultParagraphFont"/>
    <w:semiHidden/>
    <w:unhideWhenUsed/>
    <w:rsid w:val="00BD16B5"/>
    <w:rPr>
      <w:vertAlign w:val="superscript"/>
    </w:rPr>
  </w:style>
  <w:style w:type="numbering" w:customStyle="1" w:styleId="Headings1">
    <w:name w:val="Headings1"/>
    <w:uiPriority w:val="99"/>
    <w:rsid w:val="00A77034"/>
    <w:pPr>
      <w:numPr>
        <w:numId w:val="9"/>
      </w:numPr>
    </w:pPr>
  </w:style>
  <w:style w:type="paragraph" w:customStyle="1" w:styleId="3-SubsectionHeading">
    <w:name w:val="3-Subsection Heading"/>
    <w:basedOn w:val="Heading2"/>
    <w:next w:val="Normal"/>
    <w:link w:val="3-SubsectionHeadingChar"/>
    <w:qFormat/>
    <w:rsid w:val="000B48B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B48B7"/>
    <w:rPr>
      <w:rFonts w:asciiTheme="minorHAnsi" w:eastAsiaTheme="majorEastAsia" w:hAnsiTheme="minorHAnsi" w:cstheme="majorBidi"/>
      <w:b/>
      <w:i/>
      <w:snapToGrid/>
      <w:spacing w:val="5"/>
      <w:kern w:val="28"/>
      <w:sz w:val="28"/>
      <w:szCs w:val="36"/>
      <w:lang w:eastAsia="en-US"/>
    </w:rPr>
  </w:style>
  <w:style w:type="table" w:customStyle="1" w:styleId="Section3-footnotes1">
    <w:name w:val="Section 3- footnotes1"/>
    <w:basedOn w:val="TableNormal"/>
    <w:next w:val="TableGrid"/>
    <w:rsid w:val="00CF33A1"/>
    <w:rPr>
      <w:rFonts w:ascii="Calibri" w:eastAsia="Calibri" w:hAnsi="Calibri" w:cs="Calibri (Body)"/>
      <w:sz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paragraph">
    <w:name w:val="paragraph"/>
    <w:basedOn w:val="Normal"/>
    <w:rsid w:val="00CF33A1"/>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CF33A1"/>
  </w:style>
  <w:style w:type="character" w:customStyle="1" w:styleId="eop">
    <w:name w:val="eop"/>
    <w:basedOn w:val="DefaultParagraphFont"/>
    <w:rsid w:val="00CF3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61">
      <w:bodyDiv w:val="1"/>
      <w:marLeft w:val="0"/>
      <w:marRight w:val="0"/>
      <w:marTop w:val="0"/>
      <w:marBottom w:val="0"/>
      <w:divBdr>
        <w:top w:val="none" w:sz="0" w:space="0" w:color="auto"/>
        <w:left w:val="none" w:sz="0" w:space="0" w:color="auto"/>
        <w:bottom w:val="none" w:sz="0" w:space="0" w:color="auto"/>
        <w:right w:val="none" w:sz="0" w:space="0" w:color="auto"/>
      </w:divBdr>
    </w:div>
    <w:div w:id="19207579">
      <w:bodyDiv w:val="1"/>
      <w:marLeft w:val="0"/>
      <w:marRight w:val="0"/>
      <w:marTop w:val="0"/>
      <w:marBottom w:val="0"/>
      <w:divBdr>
        <w:top w:val="none" w:sz="0" w:space="0" w:color="auto"/>
        <w:left w:val="none" w:sz="0" w:space="0" w:color="auto"/>
        <w:bottom w:val="none" w:sz="0" w:space="0" w:color="auto"/>
        <w:right w:val="none" w:sz="0" w:space="0" w:color="auto"/>
      </w:divBdr>
    </w:div>
    <w:div w:id="19597193">
      <w:bodyDiv w:val="1"/>
      <w:marLeft w:val="0"/>
      <w:marRight w:val="0"/>
      <w:marTop w:val="0"/>
      <w:marBottom w:val="0"/>
      <w:divBdr>
        <w:top w:val="none" w:sz="0" w:space="0" w:color="auto"/>
        <w:left w:val="none" w:sz="0" w:space="0" w:color="auto"/>
        <w:bottom w:val="none" w:sz="0" w:space="0" w:color="auto"/>
        <w:right w:val="none" w:sz="0" w:space="0" w:color="auto"/>
      </w:divBdr>
    </w:div>
    <w:div w:id="27224604">
      <w:bodyDiv w:val="1"/>
      <w:marLeft w:val="0"/>
      <w:marRight w:val="0"/>
      <w:marTop w:val="0"/>
      <w:marBottom w:val="0"/>
      <w:divBdr>
        <w:top w:val="none" w:sz="0" w:space="0" w:color="auto"/>
        <w:left w:val="none" w:sz="0" w:space="0" w:color="auto"/>
        <w:bottom w:val="none" w:sz="0" w:space="0" w:color="auto"/>
        <w:right w:val="none" w:sz="0" w:space="0" w:color="auto"/>
      </w:divBdr>
    </w:div>
    <w:div w:id="7794563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8512820">
      <w:bodyDiv w:val="1"/>
      <w:marLeft w:val="0"/>
      <w:marRight w:val="0"/>
      <w:marTop w:val="0"/>
      <w:marBottom w:val="0"/>
      <w:divBdr>
        <w:top w:val="none" w:sz="0" w:space="0" w:color="auto"/>
        <w:left w:val="none" w:sz="0" w:space="0" w:color="auto"/>
        <w:bottom w:val="none" w:sz="0" w:space="0" w:color="auto"/>
        <w:right w:val="none" w:sz="0" w:space="0" w:color="auto"/>
      </w:divBdr>
    </w:div>
    <w:div w:id="201990037">
      <w:bodyDiv w:val="1"/>
      <w:marLeft w:val="0"/>
      <w:marRight w:val="0"/>
      <w:marTop w:val="0"/>
      <w:marBottom w:val="0"/>
      <w:divBdr>
        <w:top w:val="none" w:sz="0" w:space="0" w:color="auto"/>
        <w:left w:val="none" w:sz="0" w:space="0" w:color="auto"/>
        <w:bottom w:val="none" w:sz="0" w:space="0" w:color="auto"/>
        <w:right w:val="none" w:sz="0" w:space="0" w:color="auto"/>
      </w:divBdr>
    </w:div>
    <w:div w:id="212818268">
      <w:bodyDiv w:val="1"/>
      <w:marLeft w:val="0"/>
      <w:marRight w:val="0"/>
      <w:marTop w:val="0"/>
      <w:marBottom w:val="0"/>
      <w:divBdr>
        <w:top w:val="none" w:sz="0" w:space="0" w:color="auto"/>
        <w:left w:val="none" w:sz="0" w:space="0" w:color="auto"/>
        <w:bottom w:val="none" w:sz="0" w:space="0" w:color="auto"/>
        <w:right w:val="none" w:sz="0" w:space="0" w:color="auto"/>
      </w:divBdr>
    </w:div>
    <w:div w:id="222060602">
      <w:bodyDiv w:val="1"/>
      <w:marLeft w:val="0"/>
      <w:marRight w:val="0"/>
      <w:marTop w:val="0"/>
      <w:marBottom w:val="0"/>
      <w:divBdr>
        <w:top w:val="none" w:sz="0" w:space="0" w:color="auto"/>
        <w:left w:val="none" w:sz="0" w:space="0" w:color="auto"/>
        <w:bottom w:val="none" w:sz="0" w:space="0" w:color="auto"/>
        <w:right w:val="none" w:sz="0" w:space="0" w:color="auto"/>
      </w:divBdr>
    </w:div>
    <w:div w:id="236329503">
      <w:bodyDiv w:val="1"/>
      <w:marLeft w:val="0"/>
      <w:marRight w:val="0"/>
      <w:marTop w:val="0"/>
      <w:marBottom w:val="0"/>
      <w:divBdr>
        <w:top w:val="none" w:sz="0" w:space="0" w:color="auto"/>
        <w:left w:val="none" w:sz="0" w:space="0" w:color="auto"/>
        <w:bottom w:val="none" w:sz="0" w:space="0" w:color="auto"/>
        <w:right w:val="none" w:sz="0" w:space="0" w:color="auto"/>
      </w:divBdr>
    </w:div>
    <w:div w:id="272248535">
      <w:bodyDiv w:val="1"/>
      <w:marLeft w:val="0"/>
      <w:marRight w:val="0"/>
      <w:marTop w:val="0"/>
      <w:marBottom w:val="0"/>
      <w:divBdr>
        <w:top w:val="none" w:sz="0" w:space="0" w:color="auto"/>
        <w:left w:val="none" w:sz="0" w:space="0" w:color="auto"/>
        <w:bottom w:val="none" w:sz="0" w:space="0" w:color="auto"/>
        <w:right w:val="none" w:sz="0" w:space="0" w:color="auto"/>
      </w:divBdr>
    </w:div>
    <w:div w:id="276523232">
      <w:bodyDiv w:val="1"/>
      <w:marLeft w:val="0"/>
      <w:marRight w:val="0"/>
      <w:marTop w:val="0"/>
      <w:marBottom w:val="0"/>
      <w:divBdr>
        <w:top w:val="none" w:sz="0" w:space="0" w:color="auto"/>
        <w:left w:val="none" w:sz="0" w:space="0" w:color="auto"/>
        <w:bottom w:val="none" w:sz="0" w:space="0" w:color="auto"/>
        <w:right w:val="none" w:sz="0" w:space="0" w:color="auto"/>
      </w:divBdr>
    </w:div>
    <w:div w:id="28836073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0036074">
      <w:bodyDiv w:val="1"/>
      <w:marLeft w:val="0"/>
      <w:marRight w:val="0"/>
      <w:marTop w:val="0"/>
      <w:marBottom w:val="0"/>
      <w:divBdr>
        <w:top w:val="none" w:sz="0" w:space="0" w:color="auto"/>
        <w:left w:val="none" w:sz="0" w:space="0" w:color="auto"/>
        <w:bottom w:val="none" w:sz="0" w:space="0" w:color="auto"/>
        <w:right w:val="none" w:sz="0" w:space="0" w:color="auto"/>
      </w:divBdr>
    </w:div>
    <w:div w:id="391932806">
      <w:bodyDiv w:val="1"/>
      <w:marLeft w:val="0"/>
      <w:marRight w:val="0"/>
      <w:marTop w:val="0"/>
      <w:marBottom w:val="0"/>
      <w:divBdr>
        <w:top w:val="none" w:sz="0" w:space="0" w:color="auto"/>
        <w:left w:val="none" w:sz="0" w:space="0" w:color="auto"/>
        <w:bottom w:val="none" w:sz="0" w:space="0" w:color="auto"/>
        <w:right w:val="none" w:sz="0" w:space="0" w:color="auto"/>
      </w:divBdr>
      <w:divsChild>
        <w:div w:id="298997434">
          <w:marLeft w:val="0"/>
          <w:marRight w:val="0"/>
          <w:marTop w:val="0"/>
          <w:marBottom w:val="0"/>
          <w:divBdr>
            <w:top w:val="none" w:sz="0" w:space="0" w:color="auto"/>
            <w:left w:val="none" w:sz="0" w:space="0" w:color="auto"/>
            <w:bottom w:val="none" w:sz="0" w:space="0" w:color="auto"/>
            <w:right w:val="none" w:sz="0" w:space="0" w:color="auto"/>
          </w:divBdr>
        </w:div>
        <w:div w:id="1045251337">
          <w:marLeft w:val="0"/>
          <w:marRight w:val="0"/>
          <w:marTop w:val="0"/>
          <w:marBottom w:val="0"/>
          <w:divBdr>
            <w:top w:val="none" w:sz="0" w:space="0" w:color="auto"/>
            <w:left w:val="none" w:sz="0" w:space="0" w:color="auto"/>
            <w:bottom w:val="none" w:sz="0" w:space="0" w:color="auto"/>
            <w:right w:val="none" w:sz="0" w:space="0" w:color="auto"/>
          </w:divBdr>
        </w:div>
        <w:div w:id="2142533631">
          <w:marLeft w:val="0"/>
          <w:marRight w:val="0"/>
          <w:marTop w:val="0"/>
          <w:marBottom w:val="0"/>
          <w:divBdr>
            <w:top w:val="none" w:sz="0" w:space="0" w:color="auto"/>
            <w:left w:val="none" w:sz="0" w:space="0" w:color="auto"/>
            <w:bottom w:val="none" w:sz="0" w:space="0" w:color="auto"/>
            <w:right w:val="none" w:sz="0" w:space="0" w:color="auto"/>
          </w:divBdr>
        </w:div>
      </w:divsChild>
    </w:div>
    <w:div w:id="435488767">
      <w:bodyDiv w:val="1"/>
      <w:marLeft w:val="0"/>
      <w:marRight w:val="0"/>
      <w:marTop w:val="0"/>
      <w:marBottom w:val="0"/>
      <w:divBdr>
        <w:top w:val="none" w:sz="0" w:space="0" w:color="auto"/>
        <w:left w:val="none" w:sz="0" w:space="0" w:color="auto"/>
        <w:bottom w:val="none" w:sz="0" w:space="0" w:color="auto"/>
        <w:right w:val="none" w:sz="0" w:space="0" w:color="auto"/>
      </w:divBdr>
    </w:div>
    <w:div w:id="469830928">
      <w:bodyDiv w:val="1"/>
      <w:marLeft w:val="0"/>
      <w:marRight w:val="0"/>
      <w:marTop w:val="0"/>
      <w:marBottom w:val="0"/>
      <w:divBdr>
        <w:top w:val="none" w:sz="0" w:space="0" w:color="auto"/>
        <w:left w:val="none" w:sz="0" w:space="0" w:color="auto"/>
        <w:bottom w:val="none" w:sz="0" w:space="0" w:color="auto"/>
        <w:right w:val="none" w:sz="0" w:space="0" w:color="auto"/>
      </w:divBdr>
    </w:div>
    <w:div w:id="493835643">
      <w:bodyDiv w:val="1"/>
      <w:marLeft w:val="0"/>
      <w:marRight w:val="0"/>
      <w:marTop w:val="0"/>
      <w:marBottom w:val="0"/>
      <w:divBdr>
        <w:top w:val="none" w:sz="0" w:space="0" w:color="auto"/>
        <w:left w:val="none" w:sz="0" w:space="0" w:color="auto"/>
        <w:bottom w:val="none" w:sz="0" w:space="0" w:color="auto"/>
        <w:right w:val="none" w:sz="0" w:space="0" w:color="auto"/>
      </w:divBdr>
    </w:div>
    <w:div w:id="524027373">
      <w:bodyDiv w:val="1"/>
      <w:marLeft w:val="0"/>
      <w:marRight w:val="0"/>
      <w:marTop w:val="0"/>
      <w:marBottom w:val="0"/>
      <w:divBdr>
        <w:top w:val="none" w:sz="0" w:space="0" w:color="auto"/>
        <w:left w:val="none" w:sz="0" w:space="0" w:color="auto"/>
        <w:bottom w:val="none" w:sz="0" w:space="0" w:color="auto"/>
        <w:right w:val="none" w:sz="0" w:space="0" w:color="auto"/>
      </w:divBdr>
    </w:div>
    <w:div w:id="559243316">
      <w:bodyDiv w:val="1"/>
      <w:marLeft w:val="0"/>
      <w:marRight w:val="0"/>
      <w:marTop w:val="0"/>
      <w:marBottom w:val="0"/>
      <w:divBdr>
        <w:top w:val="none" w:sz="0" w:space="0" w:color="auto"/>
        <w:left w:val="none" w:sz="0" w:space="0" w:color="auto"/>
        <w:bottom w:val="none" w:sz="0" w:space="0" w:color="auto"/>
        <w:right w:val="none" w:sz="0" w:space="0" w:color="auto"/>
      </w:divBdr>
    </w:div>
    <w:div w:id="576551073">
      <w:bodyDiv w:val="1"/>
      <w:marLeft w:val="0"/>
      <w:marRight w:val="0"/>
      <w:marTop w:val="0"/>
      <w:marBottom w:val="0"/>
      <w:divBdr>
        <w:top w:val="none" w:sz="0" w:space="0" w:color="auto"/>
        <w:left w:val="none" w:sz="0" w:space="0" w:color="auto"/>
        <w:bottom w:val="none" w:sz="0" w:space="0" w:color="auto"/>
        <w:right w:val="none" w:sz="0" w:space="0" w:color="auto"/>
      </w:divBdr>
    </w:div>
    <w:div w:id="585190610">
      <w:bodyDiv w:val="1"/>
      <w:marLeft w:val="0"/>
      <w:marRight w:val="0"/>
      <w:marTop w:val="0"/>
      <w:marBottom w:val="0"/>
      <w:divBdr>
        <w:top w:val="none" w:sz="0" w:space="0" w:color="auto"/>
        <w:left w:val="none" w:sz="0" w:space="0" w:color="auto"/>
        <w:bottom w:val="none" w:sz="0" w:space="0" w:color="auto"/>
        <w:right w:val="none" w:sz="0" w:space="0" w:color="auto"/>
      </w:divBdr>
    </w:div>
    <w:div w:id="603000826">
      <w:bodyDiv w:val="1"/>
      <w:marLeft w:val="0"/>
      <w:marRight w:val="0"/>
      <w:marTop w:val="0"/>
      <w:marBottom w:val="0"/>
      <w:divBdr>
        <w:top w:val="none" w:sz="0" w:space="0" w:color="auto"/>
        <w:left w:val="none" w:sz="0" w:space="0" w:color="auto"/>
        <w:bottom w:val="none" w:sz="0" w:space="0" w:color="auto"/>
        <w:right w:val="none" w:sz="0" w:space="0" w:color="auto"/>
      </w:divBdr>
      <w:divsChild>
        <w:div w:id="1581912113">
          <w:marLeft w:val="0"/>
          <w:marRight w:val="0"/>
          <w:marTop w:val="0"/>
          <w:marBottom w:val="0"/>
          <w:divBdr>
            <w:top w:val="none" w:sz="0" w:space="0" w:color="auto"/>
            <w:left w:val="none" w:sz="0" w:space="0" w:color="auto"/>
            <w:bottom w:val="none" w:sz="0" w:space="0" w:color="auto"/>
            <w:right w:val="none" w:sz="0" w:space="0" w:color="auto"/>
          </w:divBdr>
        </w:div>
        <w:div w:id="2046178654">
          <w:marLeft w:val="0"/>
          <w:marRight w:val="0"/>
          <w:marTop w:val="0"/>
          <w:marBottom w:val="0"/>
          <w:divBdr>
            <w:top w:val="none" w:sz="0" w:space="0" w:color="auto"/>
            <w:left w:val="none" w:sz="0" w:space="0" w:color="auto"/>
            <w:bottom w:val="none" w:sz="0" w:space="0" w:color="auto"/>
            <w:right w:val="none" w:sz="0" w:space="0" w:color="auto"/>
          </w:divBdr>
        </w:div>
        <w:div w:id="2095665660">
          <w:marLeft w:val="0"/>
          <w:marRight w:val="0"/>
          <w:marTop w:val="0"/>
          <w:marBottom w:val="0"/>
          <w:divBdr>
            <w:top w:val="none" w:sz="0" w:space="0" w:color="auto"/>
            <w:left w:val="none" w:sz="0" w:space="0" w:color="auto"/>
            <w:bottom w:val="none" w:sz="0" w:space="0" w:color="auto"/>
            <w:right w:val="none" w:sz="0" w:space="0" w:color="auto"/>
          </w:divBdr>
          <w:divsChild>
            <w:div w:id="111096322">
              <w:marLeft w:val="-75"/>
              <w:marRight w:val="0"/>
              <w:marTop w:val="30"/>
              <w:marBottom w:val="30"/>
              <w:divBdr>
                <w:top w:val="none" w:sz="0" w:space="0" w:color="auto"/>
                <w:left w:val="none" w:sz="0" w:space="0" w:color="auto"/>
                <w:bottom w:val="none" w:sz="0" w:space="0" w:color="auto"/>
                <w:right w:val="none" w:sz="0" w:space="0" w:color="auto"/>
              </w:divBdr>
              <w:divsChild>
                <w:div w:id="18044549">
                  <w:marLeft w:val="0"/>
                  <w:marRight w:val="0"/>
                  <w:marTop w:val="0"/>
                  <w:marBottom w:val="0"/>
                  <w:divBdr>
                    <w:top w:val="none" w:sz="0" w:space="0" w:color="auto"/>
                    <w:left w:val="none" w:sz="0" w:space="0" w:color="auto"/>
                    <w:bottom w:val="none" w:sz="0" w:space="0" w:color="auto"/>
                    <w:right w:val="none" w:sz="0" w:space="0" w:color="auto"/>
                  </w:divBdr>
                  <w:divsChild>
                    <w:div w:id="811943904">
                      <w:marLeft w:val="0"/>
                      <w:marRight w:val="0"/>
                      <w:marTop w:val="0"/>
                      <w:marBottom w:val="0"/>
                      <w:divBdr>
                        <w:top w:val="none" w:sz="0" w:space="0" w:color="auto"/>
                        <w:left w:val="none" w:sz="0" w:space="0" w:color="auto"/>
                        <w:bottom w:val="none" w:sz="0" w:space="0" w:color="auto"/>
                        <w:right w:val="none" w:sz="0" w:space="0" w:color="auto"/>
                      </w:divBdr>
                    </w:div>
                  </w:divsChild>
                </w:div>
                <w:div w:id="45223921">
                  <w:marLeft w:val="0"/>
                  <w:marRight w:val="0"/>
                  <w:marTop w:val="0"/>
                  <w:marBottom w:val="0"/>
                  <w:divBdr>
                    <w:top w:val="none" w:sz="0" w:space="0" w:color="auto"/>
                    <w:left w:val="none" w:sz="0" w:space="0" w:color="auto"/>
                    <w:bottom w:val="none" w:sz="0" w:space="0" w:color="auto"/>
                    <w:right w:val="none" w:sz="0" w:space="0" w:color="auto"/>
                  </w:divBdr>
                  <w:divsChild>
                    <w:div w:id="933980027">
                      <w:marLeft w:val="0"/>
                      <w:marRight w:val="0"/>
                      <w:marTop w:val="0"/>
                      <w:marBottom w:val="0"/>
                      <w:divBdr>
                        <w:top w:val="none" w:sz="0" w:space="0" w:color="auto"/>
                        <w:left w:val="none" w:sz="0" w:space="0" w:color="auto"/>
                        <w:bottom w:val="none" w:sz="0" w:space="0" w:color="auto"/>
                        <w:right w:val="none" w:sz="0" w:space="0" w:color="auto"/>
                      </w:divBdr>
                    </w:div>
                  </w:divsChild>
                </w:div>
                <w:div w:id="90901051">
                  <w:marLeft w:val="0"/>
                  <w:marRight w:val="0"/>
                  <w:marTop w:val="0"/>
                  <w:marBottom w:val="0"/>
                  <w:divBdr>
                    <w:top w:val="none" w:sz="0" w:space="0" w:color="auto"/>
                    <w:left w:val="none" w:sz="0" w:space="0" w:color="auto"/>
                    <w:bottom w:val="none" w:sz="0" w:space="0" w:color="auto"/>
                    <w:right w:val="none" w:sz="0" w:space="0" w:color="auto"/>
                  </w:divBdr>
                  <w:divsChild>
                    <w:div w:id="1226145761">
                      <w:marLeft w:val="0"/>
                      <w:marRight w:val="0"/>
                      <w:marTop w:val="0"/>
                      <w:marBottom w:val="0"/>
                      <w:divBdr>
                        <w:top w:val="none" w:sz="0" w:space="0" w:color="auto"/>
                        <w:left w:val="none" w:sz="0" w:space="0" w:color="auto"/>
                        <w:bottom w:val="none" w:sz="0" w:space="0" w:color="auto"/>
                        <w:right w:val="none" w:sz="0" w:space="0" w:color="auto"/>
                      </w:divBdr>
                    </w:div>
                  </w:divsChild>
                </w:div>
                <w:div w:id="110057897">
                  <w:marLeft w:val="0"/>
                  <w:marRight w:val="0"/>
                  <w:marTop w:val="0"/>
                  <w:marBottom w:val="0"/>
                  <w:divBdr>
                    <w:top w:val="none" w:sz="0" w:space="0" w:color="auto"/>
                    <w:left w:val="none" w:sz="0" w:space="0" w:color="auto"/>
                    <w:bottom w:val="none" w:sz="0" w:space="0" w:color="auto"/>
                    <w:right w:val="none" w:sz="0" w:space="0" w:color="auto"/>
                  </w:divBdr>
                  <w:divsChild>
                    <w:div w:id="443617518">
                      <w:marLeft w:val="0"/>
                      <w:marRight w:val="0"/>
                      <w:marTop w:val="0"/>
                      <w:marBottom w:val="0"/>
                      <w:divBdr>
                        <w:top w:val="none" w:sz="0" w:space="0" w:color="auto"/>
                        <w:left w:val="none" w:sz="0" w:space="0" w:color="auto"/>
                        <w:bottom w:val="none" w:sz="0" w:space="0" w:color="auto"/>
                        <w:right w:val="none" w:sz="0" w:space="0" w:color="auto"/>
                      </w:divBdr>
                    </w:div>
                  </w:divsChild>
                </w:div>
                <w:div w:id="141317497">
                  <w:marLeft w:val="0"/>
                  <w:marRight w:val="0"/>
                  <w:marTop w:val="0"/>
                  <w:marBottom w:val="0"/>
                  <w:divBdr>
                    <w:top w:val="none" w:sz="0" w:space="0" w:color="auto"/>
                    <w:left w:val="none" w:sz="0" w:space="0" w:color="auto"/>
                    <w:bottom w:val="none" w:sz="0" w:space="0" w:color="auto"/>
                    <w:right w:val="none" w:sz="0" w:space="0" w:color="auto"/>
                  </w:divBdr>
                  <w:divsChild>
                    <w:div w:id="826435268">
                      <w:marLeft w:val="0"/>
                      <w:marRight w:val="0"/>
                      <w:marTop w:val="0"/>
                      <w:marBottom w:val="0"/>
                      <w:divBdr>
                        <w:top w:val="none" w:sz="0" w:space="0" w:color="auto"/>
                        <w:left w:val="none" w:sz="0" w:space="0" w:color="auto"/>
                        <w:bottom w:val="none" w:sz="0" w:space="0" w:color="auto"/>
                        <w:right w:val="none" w:sz="0" w:space="0" w:color="auto"/>
                      </w:divBdr>
                    </w:div>
                  </w:divsChild>
                </w:div>
                <w:div w:id="207880606">
                  <w:marLeft w:val="0"/>
                  <w:marRight w:val="0"/>
                  <w:marTop w:val="0"/>
                  <w:marBottom w:val="0"/>
                  <w:divBdr>
                    <w:top w:val="none" w:sz="0" w:space="0" w:color="auto"/>
                    <w:left w:val="none" w:sz="0" w:space="0" w:color="auto"/>
                    <w:bottom w:val="none" w:sz="0" w:space="0" w:color="auto"/>
                    <w:right w:val="none" w:sz="0" w:space="0" w:color="auto"/>
                  </w:divBdr>
                  <w:divsChild>
                    <w:div w:id="229077591">
                      <w:marLeft w:val="0"/>
                      <w:marRight w:val="0"/>
                      <w:marTop w:val="0"/>
                      <w:marBottom w:val="0"/>
                      <w:divBdr>
                        <w:top w:val="none" w:sz="0" w:space="0" w:color="auto"/>
                        <w:left w:val="none" w:sz="0" w:space="0" w:color="auto"/>
                        <w:bottom w:val="none" w:sz="0" w:space="0" w:color="auto"/>
                        <w:right w:val="none" w:sz="0" w:space="0" w:color="auto"/>
                      </w:divBdr>
                    </w:div>
                  </w:divsChild>
                </w:div>
                <w:div w:id="296028106">
                  <w:marLeft w:val="0"/>
                  <w:marRight w:val="0"/>
                  <w:marTop w:val="0"/>
                  <w:marBottom w:val="0"/>
                  <w:divBdr>
                    <w:top w:val="none" w:sz="0" w:space="0" w:color="auto"/>
                    <w:left w:val="none" w:sz="0" w:space="0" w:color="auto"/>
                    <w:bottom w:val="none" w:sz="0" w:space="0" w:color="auto"/>
                    <w:right w:val="none" w:sz="0" w:space="0" w:color="auto"/>
                  </w:divBdr>
                  <w:divsChild>
                    <w:div w:id="1383672749">
                      <w:marLeft w:val="0"/>
                      <w:marRight w:val="0"/>
                      <w:marTop w:val="0"/>
                      <w:marBottom w:val="0"/>
                      <w:divBdr>
                        <w:top w:val="none" w:sz="0" w:space="0" w:color="auto"/>
                        <w:left w:val="none" w:sz="0" w:space="0" w:color="auto"/>
                        <w:bottom w:val="none" w:sz="0" w:space="0" w:color="auto"/>
                        <w:right w:val="none" w:sz="0" w:space="0" w:color="auto"/>
                      </w:divBdr>
                    </w:div>
                  </w:divsChild>
                </w:div>
                <w:div w:id="307322749">
                  <w:marLeft w:val="0"/>
                  <w:marRight w:val="0"/>
                  <w:marTop w:val="0"/>
                  <w:marBottom w:val="0"/>
                  <w:divBdr>
                    <w:top w:val="none" w:sz="0" w:space="0" w:color="auto"/>
                    <w:left w:val="none" w:sz="0" w:space="0" w:color="auto"/>
                    <w:bottom w:val="none" w:sz="0" w:space="0" w:color="auto"/>
                    <w:right w:val="none" w:sz="0" w:space="0" w:color="auto"/>
                  </w:divBdr>
                  <w:divsChild>
                    <w:div w:id="1004743884">
                      <w:marLeft w:val="0"/>
                      <w:marRight w:val="0"/>
                      <w:marTop w:val="0"/>
                      <w:marBottom w:val="0"/>
                      <w:divBdr>
                        <w:top w:val="none" w:sz="0" w:space="0" w:color="auto"/>
                        <w:left w:val="none" w:sz="0" w:space="0" w:color="auto"/>
                        <w:bottom w:val="none" w:sz="0" w:space="0" w:color="auto"/>
                        <w:right w:val="none" w:sz="0" w:space="0" w:color="auto"/>
                      </w:divBdr>
                    </w:div>
                  </w:divsChild>
                </w:div>
                <w:div w:id="326131500">
                  <w:marLeft w:val="0"/>
                  <w:marRight w:val="0"/>
                  <w:marTop w:val="0"/>
                  <w:marBottom w:val="0"/>
                  <w:divBdr>
                    <w:top w:val="none" w:sz="0" w:space="0" w:color="auto"/>
                    <w:left w:val="none" w:sz="0" w:space="0" w:color="auto"/>
                    <w:bottom w:val="none" w:sz="0" w:space="0" w:color="auto"/>
                    <w:right w:val="none" w:sz="0" w:space="0" w:color="auto"/>
                  </w:divBdr>
                  <w:divsChild>
                    <w:div w:id="1391346379">
                      <w:marLeft w:val="0"/>
                      <w:marRight w:val="0"/>
                      <w:marTop w:val="0"/>
                      <w:marBottom w:val="0"/>
                      <w:divBdr>
                        <w:top w:val="none" w:sz="0" w:space="0" w:color="auto"/>
                        <w:left w:val="none" w:sz="0" w:space="0" w:color="auto"/>
                        <w:bottom w:val="none" w:sz="0" w:space="0" w:color="auto"/>
                        <w:right w:val="none" w:sz="0" w:space="0" w:color="auto"/>
                      </w:divBdr>
                    </w:div>
                  </w:divsChild>
                </w:div>
                <w:div w:id="329866484">
                  <w:marLeft w:val="0"/>
                  <w:marRight w:val="0"/>
                  <w:marTop w:val="0"/>
                  <w:marBottom w:val="0"/>
                  <w:divBdr>
                    <w:top w:val="none" w:sz="0" w:space="0" w:color="auto"/>
                    <w:left w:val="none" w:sz="0" w:space="0" w:color="auto"/>
                    <w:bottom w:val="none" w:sz="0" w:space="0" w:color="auto"/>
                    <w:right w:val="none" w:sz="0" w:space="0" w:color="auto"/>
                  </w:divBdr>
                  <w:divsChild>
                    <w:div w:id="741488437">
                      <w:marLeft w:val="0"/>
                      <w:marRight w:val="0"/>
                      <w:marTop w:val="0"/>
                      <w:marBottom w:val="0"/>
                      <w:divBdr>
                        <w:top w:val="none" w:sz="0" w:space="0" w:color="auto"/>
                        <w:left w:val="none" w:sz="0" w:space="0" w:color="auto"/>
                        <w:bottom w:val="none" w:sz="0" w:space="0" w:color="auto"/>
                        <w:right w:val="none" w:sz="0" w:space="0" w:color="auto"/>
                      </w:divBdr>
                    </w:div>
                  </w:divsChild>
                </w:div>
                <w:div w:id="336931390">
                  <w:marLeft w:val="0"/>
                  <w:marRight w:val="0"/>
                  <w:marTop w:val="0"/>
                  <w:marBottom w:val="0"/>
                  <w:divBdr>
                    <w:top w:val="none" w:sz="0" w:space="0" w:color="auto"/>
                    <w:left w:val="none" w:sz="0" w:space="0" w:color="auto"/>
                    <w:bottom w:val="none" w:sz="0" w:space="0" w:color="auto"/>
                    <w:right w:val="none" w:sz="0" w:space="0" w:color="auto"/>
                  </w:divBdr>
                  <w:divsChild>
                    <w:div w:id="2075660229">
                      <w:marLeft w:val="0"/>
                      <w:marRight w:val="0"/>
                      <w:marTop w:val="0"/>
                      <w:marBottom w:val="0"/>
                      <w:divBdr>
                        <w:top w:val="none" w:sz="0" w:space="0" w:color="auto"/>
                        <w:left w:val="none" w:sz="0" w:space="0" w:color="auto"/>
                        <w:bottom w:val="none" w:sz="0" w:space="0" w:color="auto"/>
                        <w:right w:val="none" w:sz="0" w:space="0" w:color="auto"/>
                      </w:divBdr>
                    </w:div>
                  </w:divsChild>
                </w:div>
                <w:div w:id="383412457">
                  <w:marLeft w:val="0"/>
                  <w:marRight w:val="0"/>
                  <w:marTop w:val="0"/>
                  <w:marBottom w:val="0"/>
                  <w:divBdr>
                    <w:top w:val="none" w:sz="0" w:space="0" w:color="auto"/>
                    <w:left w:val="none" w:sz="0" w:space="0" w:color="auto"/>
                    <w:bottom w:val="none" w:sz="0" w:space="0" w:color="auto"/>
                    <w:right w:val="none" w:sz="0" w:space="0" w:color="auto"/>
                  </w:divBdr>
                  <w:divsChild>
                    <w:div w:id="968246491">
                      <w:marLeft w:val="0"/>
                      <w:marRight w:val="0"/>
                      <w:marTop w:val="0"/>
                      <w:marBottom w:val="0"/>
                      <w:divBdr>
                        <w:top w:val="none" w:sz="0" w:space="0" w:color="auto"/>
                        <w:left w:val="none" w:sz="0" w:space="0" w:color="auto"/>
                        <w:bottom w:val="none" w:sz="0" w:space="0" w:color="auto"/>
                        <w:right w:val="none" w:sz="0" w:space="0" w:color="auto"/>
                      </w:divBdr>
                    </w:div>
                  </w:divsChild>
                </w:div>
                <w:div w:id="383917090">
                  <w:marLeft w:val="0"/>
                  <w:marRight w:val="0"/>
                  <w:marTop w:val="0"/>
                  <w:marBottom w:val="0"/>
                  <w:divBdr>
                    <w:top w:val="none" w:sz="0" w:space="0" w:color="auto"/>
                    <w:left w:val="none" w:sz="0" w:space="0" w:color="auto"/>
                    <w:bottom w:val="none" w:sz="0" w:space="0" w:color="auto"/>
                    <w:right w:val="none" w:sz="0" w:space="0" w:color="auto"/>
                  </w:divBdr>
                  <w:divsChild>
                    <w:div w:id="370611749">
                      <w:marLeft w:val="0"/>
                      <w:marRight w:val="0"/>
                      <w:marTop w:val="0"/>
                      <w:marBottom w:val="0"/>
                      <w:divBdr>
                        <w:top w:val="none" w:sz="0" w:space="0" w:color="auto"/>
                        <w:left w:val="none" w:sz="0" w:space="0" w:color="auto"/>
                        <w:bottom w:val="none" w:sz="0" w:space="0" w:color="auto"/>
                        <w:right w:val="none" w:sz="0" w:space="0" w:color="auto"/>
                      </w:divBdr>
                    </w:div>
                  </w:divsChild>
                </w:div>
                <w:div w:id="469523434">
                  <w:marLeft w:val="0"/>
                  <w:marRight w:val="0"/>
                  <w:marTop w:val="0"/>
                  <w:marBottom w:val="0"/>
                  <w:divBdr>
                    <w:top w:val="none" w:sz="0" w:space="0" w:color="auto"/>
                    <w:left w:val="none" w:sz="0" w:space="0" w:color="auto"/>
                    <w:bottom w:val="none" w:sz="0" w:space="0" w:color="auto"/>
                    <w:right w:val="none" w:sz="0" w:space="0" w:color="auto"/>
                  </w:divBdr>
                  <w:divsChild>
                    <w:div w:id="265621185">
                      <w:marLeft w:val="0"/>
                      <w:marRight w:val="0"/>
                      <w:marTop w:val="0"/>
                      <w:marBottom w:val="0"/>
                      <w:divBdr>
                        <w:top w:val="none" w:sz="0" w:space="0" w:color="auto"/>
                        <w:left w:val="none" w:sz="0" w:space="0" w:color="auto"/>
                        <w:bottom w:val="none" w:sz="0" w:space="0" w:color="auto"/>
                        <w:right w:val="none" w:sz="0" w:space="0" w:color="auto"/>
                      </w:divBdr>
                    </w:div>
                  </w:divsChild>
                </w:div>
                <w:div w:id="501436081">
                  <w:marLeft w:val="0"/>
                  <w:marRight w:val="0"/>
                  <w:marTop w:val="0"/>
                  <w:marBottom w:val="0"/>
                  <w:divBdr>
                    <w:top w:val="none" w:sz="0" w:space="0" w:color="auto"/>
                    <w:left w:val="none" w:sz="0" w:space="0" w:color="auto"/>
                    <w:bottom w:val="none" w:sz="0" w:space="0" w:color="auto"/>
                    <w:right w:val="none" w:sz="0" w:space="0" w:color="auto"/>
                  </w:divBdr>
                  <w:divsChild>
                    <w:div w:id="843859260">
                      <w:marLeft w:val="0"/>
                      <w:marRight w:val="0"/>
                      <w:marTop w:val="0"/>
                      <w:marBottom w:val="0"/>
                      <w:divBdr>
                        <w:top w:val="none" w:sz="0" w:space="0" w:color="auto"/>
                        <w:left w:val="none" w:sz="0" w:space="0" w:color="auto"/>
                        <w:bottom w:val="none" w:sz="0" w:space="0" w:color="auto"/>
                        <w:right w:val="none" w:sz="0" w:space="0" w:color="auto"/>
                      </w:divBdr>
                    </w:div>
                  </w:divsChild>
                </w:div>
                <w:div w:id="504393852">
                  <w:marLeft w:val="0"/>
                  <w:marRight w:val="0"/>
                  <w:marTop w:val="0"/>
                  <w:marBottom w:val="0"/>
                  <w:divBdr>
                    <w:top w:val="none" w:sz="0" w:space="0" w:color="auto"/>
                    <w:left w:val="none" w:sz="0" w:space="0" w:color="auto"/>
                    <w:bottom w:val="none" w:sz="0" w:space="0" w:color="auto"/>
                    <w:right w:val="none" w:sz="0" w:space="0" w:color="auto"/>
                  </w:divBdr>
                  <w:divsChild>
                    <w:div w:id="1241328063">
                      <w:marLeft w:val="0"/>
                      <w:marRight w:val="0"/>
                      <w:marTop w:val="0"/>
                      <w:marBottom w:val="0"/>
                      <w:divBdr>
                        <w:top w:val="none" w:sz="0" w:space="0" w:color="auto"/>
                        <w:left w:val="none" w:sz="0" w:space="0" w:color="auto"/>
                        <w:bottom w:val="none" w:sz="0" w:space="0" w:color="auto"/>
                        <w:right w:val="none" w:sz="0" w:space="0" w:color="auto"/>
                      </w:divBdr>
                    </w:div>
                  </w:divsChild>
                </w:div>
                <w:div w:id="537746668">
                  <w:marLeft w:val="0"/>
                  <w:marRight w:val="0"/>
                  <w:marTop w:val="0"/>
                  <w:marBottom w:val="0"/>
                  <w:divBdr>
                    <w:top w:val="none" w:sz="0" w:space="0" w:color="auto"/>
                    <w:left w:val="none" w:sz="0" w:space="0" w:color="auto"/>
                    <w:bottom w:val="none" w:sz="0" w:space="0" w:color="auto"/>
                    <w:right w:val="none" w:sz="0" w:space="0" w:color="auto"/>
                  </w:divBdr>
                  <w:divsChild>
                    <w:div w:id="1090347152">
                      <w:marLeft w:val="0"/>
                      <w:marRight w:val="0"/>
                      <w:marTop w:val="0"/>
                      <w:marBottom w:val="0"/>
                      <w:divBdr>
                        <w:top w:val="none" w:sz="0" w:space="0" w:color="auto"/>
                        <w:left w:val="none" w:sz="0" w:space="0" w:color="auto"/>
                        <w:bottom w:val="none" w:sz="0" w:space="0" w:color="auto"/>
                        <w:right w:val="none" w:sz="0" w:space="0" w:color="auto"/>
                      </w:divBdr>
                    </w:div>
                  </w:divsChild>
                </w:div>
                <w:div w:id="572205871">
                  <w:marLeft w:val="0"/>
                  <w:marRight w:val="0"/>
                  <w:marTop w:val="0"/>
                  <w:marBottom w:val="0"/>
                  <w:divBdr>
                    <w:top w:val="none" w:sz="0" w:space="0" w:color="auto"/>
                    <w:left w:val="none" w:sz="0" w:space="0" w:color="auto"/>
                    <w:bottom w:val="none" w:sz="0" w:space="0" w:color="auto"/>
                    <w:right w:val="none" w:sz="0" w:space="0" w:color="auto"/>
                  </w:divBdr>
                  <w:divsChild>
                    <w:div w:id="865211738">
                      <w:marLeft w:val="0"/>
                      <w:marRight w:val="0"/>
                      <w:marTop w:val="0"/>
                      <w:marBottom w:val="0"/>
                      <w:divBdr>
                        <w:top w:val="none" w:sz="0" w:space="0" w:color="auto"/>
                        <w:left w:val="none" w:sz="0" w:space="0" w:color="auto"/>
                        <w:bottom w:val="none" w:sz="0" w:space="0" w:color="auto"/>
                        <w:right w:val="none" w:sz="0" w:space="0" w:color="auto"/>
                      </w:divBdr>
                    </w:div>
                  </w:divsChild>
                </w:div>
                <w:div w:id="590311283">
                  <w:marLeft w:val="0"/>
                  <w:marRight w:val="0"/>
                  <w:marTop w:val="0"/>
                  <w:marBottom w:val="0"/>
                  <w:divBdr>
                    <w:top w:val="none" w:sz="0" w:space="0" w:color="auto"/>
                    <w:left w:val="none" w:sz="0" w:space="0" w:color="auto"/>
                    <w:bottom w:val="none" w:sz="0" w:space="0" w:color="auto"/>
                    <w:right w:val="none" w:sz="0" w:space="0" w:color="auto"/>
                  </w:divBdr>
                  <w:divsChild>
                    <w:div w:id="257954214">
                      <w:marLeft w:val="0"/>
                      <w:marRight w:val="0"/>
                      <w:marTop w:val="0"/>
                      <w:marBottom w:val="0"/>
                      <w:divBdr>
                        <w:top w:val="none" w:sz="0" w:space="0" w:color="auto"/>
                        <w:left w:val="none" w:sz="0" w:space="0" w:color="auto"/>
                        <w:bottom w:val="none" w:sz="0" w:space="0" w:color="auto"/>
                        <w:right w:val="none" w:sz="0" w:space="0" w:color="auto"/>
                      </w:divBdr>
                    </w:div>
                  </w:divsChild>
                </w:div>
                <w:div w:id="634871922">
                  <w:marLeft w:val="0"/>
                  <w:marRight w:val="0"/>
                  <w:marTop w:val="0"/>
                  <w:marBottom w:val="0"/>
                  <w:divBdr>
                    <w:top w:val="none" w:sz="0" w:space="0" w:color="auto"/>
                    <w:left w:val="none" w:sz="0" w:space="0" w:color="auto"/>
                    <w:bottom w:val="none" w:sz="0" w:space="0" w:color="auto"/>
                    <w:right w:val="none" w:sz="0" w:space="0" w:color="auto"/>
                  </w:divBdr>
                  <w:divsChild>
                    <w:div w:id="1166939779">
                      <w:marLeft w:val="0"/>
                      <w:marRight w:val="0"/>
                      <w:marTop w:val="0"/>
                      <w:marBottom w:val="0"/>
                      <w:divBdr>
                        <w:top w:val="none" w:sz="0" w:space="0" w:color="auto"/>
                        <w:left w:val="none" w:sz="0" w:space="0" w:color="auto"/>
                        <w:bottom w:val="none" w:sz="0" w:space="0" w:color="auto"/>
                        <w:right w:val="none" w:sz="0" w:space="0" w:color="auto"/>
                      </w:divBdr>
                    </w:div>
                  </w:divsChild>
                </w:div>
                <w:div w:id="649796627">
                  <w:marLeft w:val="0"/>
                  <w:marRight w:val="0"/>
                  <w:marTop w:val="0"/>
                  <w:marBottom w:val="0"/>
                  <w:divBdr>
                    <w:top w:val="none" w:sz="0" w:space="0" w:color="auto"/>
                    <w:left w:val="none" w:sz="0" w:space="0" w:color="auto"/>
                    <w:bottom w:val="none" w:sz="0" w:space="0" w:color="auto"/>
                    <w:right w:val="none" w:sz="0" w:space="0" w:color="auto"/>
                  </w:divBdr>
                  <w:divsChild>
                    <w:div w:id="1623074529">
                      <w:marLeft w:val="0"/>
                      <w:marRight w:val="0"/>
                      <w:marTop w:val="0"/>
                      <w:marBottom w:val="0"/>
                      <w:divBdr>
                        <w:top w:val="none" w:sz="0" w:space="0" w:color="auto"/>
                        <w:left w:val="none" w:sz="0" w:space="0" w:color="auto"/>
                        <w:bottom w:val="none" w:sz="0" w:space="0" w:color="auto"/>
                        <w:right w:val="none" w:sz="0" w:space="0" w:color="auto"/>
                      </w:divBdr>
                    </w:div>
                  </w:divsChild>
                </w:div>
                <w:div w:id="707219762">
                  <w:marLeft w:val="0"/>
                  <w:marRight w:val="0"/>
                  <w:marTop w:val="0"/>
                  <w:marBottom w:val="0"/>
                  <w:divBdr>
                    <w:top w:val="none" w:sz="0" w:space="0" w:color="auto"/>
                    <w:left w:val="none" w:sz="0" w:space="0" w:color="auto"/>
                    <w:bottom w:val="none" w:sz="0" w:space="0" w:color="auto"/>
                    <w:right w:val="none" w:sz="0" w:space="0" w:color="auto"/>
                  </w:divBdr>
                  <w:divsChild>
                    <w:div w:id="21052815">
                      <w:marLeft w:val="0"/>
                      <w:marRight w:val="0"/>
                      <w:marTop w:val="0"/>
                      <w:marBottom w:val="0"/>
                      <w:divBdr>
                        <w:top w:val="none" w:sz="0" w:space="0" w:color="auto"/>
                        <w:left w:val="none" w:sz="0" w:space="0" w:color="auto"/>
                        <w:bottom w:val="none" w:sz="0" w:space="0" w:color="auto"/>
                        <w:right w:val="none" w:sz="0" w:space="0" w:color="auto"/>
                      </w:divBdr>
                    </w:div>
                  </w:divsChild>
                </w:div>
                <w:div w:id="738017399">
                  <w:marLeft w:val="0"/>
                  <w:marRight w:val="0"/>
                  <w:marTop w:val="0"/>
                  <w:marBottom w:val="0"/>
                  <w:divBdr>
                    <w:top w:val="none" w:sz="0" w:space="0" w:color="auto"/>
                    <w:left w:val="none" w:sz="0" w:space="0" w:color="auto"/>
                    <w:bottom w:val="none" w:sz="0" w:space="0" w:color="auto"/>
                    <w:right w:val="none" w:sz="0" w:space="0" w:color="auto"/>
                  </w:divBdr>
                  <w:divsChild>
                    <w:div w:id="1183737587">
                      <w:marLeft w:val="0"/>
                      <w:marRight w:val="0"/>
                      <w:marTop w:val="0"/>
                      <w:marBottom w:val="0"/>
                      <w:divBdr>
                        <w:top w:val="none" w:sz="0" w:space="0" w:color="auto"/>
                        <w:left w:val="none" w:sz="0" w:space="0" w:color="auto"/>
                        <w:bottom w:val="none" w:sz="0" w:space="0" w:color="auto"/>
                        <w:right w:val="none" w:sz="0" w:space="0" w:color="auto"/>
                      </w:divBdr>
                    </w:div>
                  </w:divsChild>
                </w:div>
                <w:div w:id="774253690">
                  <w:marLeft w:val="0"/>
                  <w:marRight w:val="0"/>
                  <w:marTop w:val="0"/>
                  <w:marBottom w:val="0"/>
                  <w:divBdr>
                    <w:top w:val="none" w:sz="0" w:space="0" w:color="auto"/>
                    <w:left w:val="none" w:sz="0" w:space="0" w:color="auto"/>
                    <w:bottom w:val="none" w:sz="0" w:space="0" w:color="auto"/>
                    <w:right w:val="none" w:sz="0" w:space="0" w:color="auto"/>
                  </w:divBdr>
                  <w:divsChild>
                    <w:div w:id="977540362">
                      <w:marLeft w:val="0"/>
                      <w:marRight w:val="0"/>
                      <w:marTop w:val="0"/>
                      <w:marBottom w:val="0"/>
                      <w:divBdr>
                        <w:top w:val="none" w:sz="0" w:space="0" w:color="auto"/>
                        <w:left w:val="none" w:sz="0" w:space="0" w:color="auto"/>
                        <w:bottom w:val="none" w:sz="0" w:space="0" w:color="auto"/>
                        <w:right w:val="none" w:sz="0" w:space="0" w:color="auto"/>
                      </w:divBdr>
                    </w:div>
                  </w:divsChild>
                </w:div>
                <w:div w:id="838621846">
                  <w:marLeft w:val="0"/>
                  <w:marRight w:val="0"/>
                  <w:marTop w:val="0"/>
                  <w:marBottom w:val="0"/>
                  <w:divBdr>
                    <w:top w:val="none" w:sz="0" w:space="0" w:color="auto"/>
                    <w:left w:val="none" w:sz="0" w:space="0" w:color="auto"/>
                    <w:bottom w:val="none" w:sz="0" w:space="0" w:color="auto"/>
                    <w:right w:val="none" w:sz="0" w:space="0" w:color="auto"/>
                  </w:divBdr>
                  <w:divsChild>
                    <w:div w:id="583031846">
                      <w:marLeft w:val="0"/>
                      <w:marRight w:val="0"/>
                      <w:marTop w:val="0"/>
                      <w:marBottom w:val="0"/>
                      <w:divBdr>
                        <w:top w:val="none" w:sz="0" w:space="0" w:color="auto"/>
                        <w:left w:val="none" w:sz="0" w:space="0" w:color="auto"/>
                        <w:bottom w:val="none" w:sz="0" w:space="0" w:color="auto"/>
                        <w:right w:val="none" w:sz="0" w:space="0" w:color="auto"/>
                      </w:divBdr>
                    </w:div>
                  </w:divsChild>
                </w:div>
                <w:div w:id="850097523">
                  <w:marLeft w:val="0"/>
                  <w:marRight w:val="0"/>
                  <w:marTop w:val="0"/>
                  <w:marBottom w:val="0"/>
                  <w:divBdr>
                    <w:top w:val="none" w:sz="0" w:space="0" w:color="auto"/>
                    <w:left w:val="none" w:sz="0" w:space="0" w:color="auto"/>
                    <w:bottom w:val="none" w:sz="0" w:space="0" w:color="auto"/>
                    <w:right w:val="none" w:sz="0" w:space="0" w:color="auto"/>
                  </w:divBdr>
                  <w:divsChild>
                    <w:div w:id="2116364165">
                      <w:marLeft w:val="0"/>
                      <w:marRight w:val="0"/>
                      <w:marTop w:val="0"/>
                      <w:marBottom w:val="0"/>
                      <w:divBdr>
                        <w:top w:val="none" w:sz="0" w:space="0" w:color="auto"/>
                        <w:left w:val="none" w:sz="0" w:space="0" w:color="auto"/>
                        <w:bottom w:val="none" w:sz="0" w:space="0" w:color="auto"/>
                        <w:right w:val="none" w:sz="0" w:space="0" w:color="auto"/>
                      </w:divBdr>
                    </w:div>
                  </w:divsChild>
                </w:div>
                <w:div w:id="866717725">
                  <w:marLeft w:val="0"/>
                  <w:marRight w:val="0"/>
                  <w:marTop w:val="0"/>
                  <w:marBottom w:val="0"/>
                  <w:divBdr>
                    <w:top w:val="none" w:sz="0" w:space="0" w:color="auto"/>
                    <w:left w:val="none" w:sz="0" w:space="0" w:color="auto"/>
                    <w:bottom w:val="none" w:sz="0" w:space="0" w:color="auto"/>
                    <w:right w:val="none" w:sz="0" w:space="0" w:color="auto"/>
                  </w:divBdr>
                  <w:divsChild>
                    <w:div w:id="607784348">
                      <w:marLeft w:val="0"/>
                      <w:marRight w:val="0"/>
                      <w:marTop w:val="0"/>
                      <w:marBottom w:val="0"/>
                      <w:divBdr>
                        <w:top w:val="none" w:sz="0" w:space="0" w:color="auto"/>
                        <w:left w:val="none" w:sz="0" w:space="0" w:color="auto"/>
                        <w:bottom w:val="none" w:sz="0" w:space="0" w:color="auto"/>
                        <w:right w:val="none" w:sz="0" w:space="0" w:color="auto"/>
                      </w:divBdr>
                    </w:div>
                  </w:divsChild>
                </w:div>
                <w:div w:id="885028689">
                  <w:marLeft w:val="0"/>
                  <w:marRight w:val="0"/>
                  <w:marTop w:val="0"/>
                  <w:marBottom w:val="0"/>
                  <w:divBdr>
                    <w:top w:val="none" w:sz="0" w:space="0" w:color="auto"/>
                    <w:left w:val="none" w:sz="0" w:space="0" w:color="auto"/>
                    <w:bottom w:val="none" w:sz="0" w:space="0" w:color="auto"/>
                    <w:right w:val="none" w:sz="0" w:space="0" w:color="auto"/>
                  </w:divBdr>
                  <w:divsChild>
                    <w:div w:id="522015064">
                      <w:marLeft w:val="0"/>
                      <w:marRight w:val="0"/>
                      <w:marTop w:val="0"/>
                      <w:marBottom w:val="0"/>
                      <w:divBdr>
                        <w:top w:val="none" w:sz="0" w:space="0" w:color="auto"/>
                        <w:left w:val="none" w:sz="0" w:space="0" w:color="auto"/>
                        <w:bottom w:val="none" w:sz="0" w:space="0" w:color="auto"/>
                        <w:right w:val="none" w:sz="0" w:space="0" w:color="auto"/>
                      </w:divBdr>
                    </w:div>
                  </w:divsChild>
                </w:div>
                <w:div w:id="921916406">
                  <w:marLeft w:val="0"/>
                  <w:marRight w:val="0"/>
                  <w:marTop w:val="0"/>
                  <w:marBottom w:val="0"/>
                  <w:divBdr>
                    <w:top w:val="none" w:sz="0" w:space="0" w:color="auto"/>
                    <w:left w:val="none" w:sz="0" w:space="0" w:color="auto"/>
                    <w:bottom w:val="none" w:sz="0" w:space="0" w:color="auto"/>
                    <w:right w:val="none" w:sz="0" w:space="0" w:color="auto"/>
                  </w:divBdr>
                  <w:divsChild>
                    <w:div w:id="1075862436">
                      <w:marLeft w:val="0"/>
                      <w:marRight w:val="0"/>
                      <w:marTop w:val="0"/>
                      <w:marBottom w:val="0"/>
                      <w:divBdr>
                        <w:top w:val="none" w:sz="0" w:space="0" w:color="auto"/>
                        <w:left w:val="none" w:sz="0" w:space="0" w:color="auto"/>
                        <w:bottom w:val="none" w:sz="0" w:space="0" w:color="auto"/>
                        <w:right w:val="none" w:sz="0" w:space="0" w:color="auto"/>
                      </w:divBdr>
                    </w:div>
                  </w:divsChild>
                </w:div>
                <w:div w:id="937257374">
                  <w:marLeft w:val="0"/>
                  <w:marRight w:val="0"/>
                  <w:marTop w:val="0"/>
                  <w:marBottom w:val="0"/>
                  <w:divBdr>
                    <w:top w:val="none" w:sz="0" w:space="0" w:color="auto"/>
                    <w:left w:val="none" w:sz="0" w:space="0" w:color="auto"/>
                    <w:bottom w:val="none" w:sz="0" w:space="0" w:color="auto"/>
                    <w:right w:val="none" w:sz="0" w:space="0" w:color="auto"/>
                  </w:divBdr>
                  <w:divsChild>
                    <w:div w:id="2013875393">
                      <w:marLeft w:val="0"/>
                      <w:marRight w:val="0"/>
                      <w:marTop w:val="0"/>
                      <w:marBottom w:val="0"/>
                      <w:divBdr>
                        <w:top w:val="none" w:sz="0" w:space="0" w:color="auto"/>
                        <w:left w:val="none" w:sz="0" w:space="0" w:color="auto"/>
                        <w:bottom w:val="none" w:sz="0" w:space="0" w:color="auto"/>
                        <w:right w:val="none" w:sz="0" w:space="0" w:color="auto"/>
                      </w:divBdr>
                    </w:div>
                  </w:divsChild>
                </w:div>
                <w:div w:id="944116922">
                  <w:marLeft w:val="0"/>
                  <w:marRight w:val="0"/>
                  <w:marTop w:val="0"/>
                  <w:marBottom w:val="0"/>
                  <w:divBdr>
                    <w:top w:val="none" w:sz="0" w:space="0" w:color="auto"/>
                    <w:left w:val="none" w:sz="0" w:space="0" w:color="auto"/>
                    <w:bottom w:val="none" w:sz="0" w:space="0" w:color="auto"/>
                    <w:right w:val="none" w:sz="0" w:space="0" w:color="auto"/>
                  </w:divBdr>
                  <w:divsChild>
                    <w:div w:id="1432160862">
                      <w:marLeft w:val="0"/>
                      <w:marRight w:val="0"/>
                      <w:marTop w:val="0"/>
                      <w:marBottom w:val="0"/>
                      <w:divBdr>
                        <w:top w:val="none" w:sz="0" w:space="0" w:color="auto"/>
                        <w:left w:val="none" w:sz="0" w:space="0" w:color="auto"/>
                        <w:bottom w:val="none" w:sz="0" w:space="0" w:color="auto"/>
                        <w:right w:val="none" w:sz="0" w:space="0" w:color="auto"/>
                      </w:divBdr>
                    </w:div>
                  </w:divsChild>
                </w:div>
                <w:div w:id="950669704">
                  <w:marLeft w:val="0"/>
                  <w:marRight w:val="0"/>
                  <w:marTop w:val="0"/>
                  <w:marBottom w:val="0"/>
                  <w:divBdr>
                    <w:top w:val="none" w:sz="0" w:space="0" w:color="auto"/>
                    <w:left w:val="none" w:sz="0" w:space="0" w:color="auto"/>
                    <w:bottom w:val="none" w:sz="0" w:space="0" w:color="auto"/>
                    <w:right w:val="none" w:sz="0" w:space="0" w:color="auto"/>
                  </w:divBdr>
                  <w:divsChild>
                    <w:div w:id="608702790">
                      <w:marLeft w:val="0"/>
                      <w:marRight w:val="0"/>
                      <w:marTop w:val="0"/>
                      <w:marBottom w:val="0"/>
                      <w:divBdr>
                        <w:top w:val="none" w:sz="0" w:space="0" w:color="auto"/>
                        <w:left w:val="none" w:sz="0" w:space="0" w:color="auto"/>
                        <w:bottom w:val="none" w:sz="0" w:space="0" w:color="auto"/>
                        <w:right w:val="none" w:sz="0" w:space="0" w:color="auto"/>
                      </w:divBdr>
                    </w:div>
                  </w:divsChild>
                </w:div>
                <w:div w:id="992876707">
                  <w:marLeft w:val="0"/>
                  <w:marRight w:val="0"/>
                  <w:marTop w:val="0"/>
                  <w:marBottom w:val="0"/>
                  <w:divBdr>
                    <w:top w:val="none" w:sz="0" w:space="0" w:color="auto"/>
                    <w:left w:val="none" w:sz="0" w:space="0" w:color="auto"/>
                    <w:bottom w:val="none" w:sz="0" w:space="0" w:color="auto"/>
                    <w:right w:val="none" w:sz="0" w:space="0" w:color="auto"/>
                  </w:divBdr>
                  <w:divsChild>
                    <w:div w:id="2078286738">
                      <w:marLeft w:val="0"/>
                      <w:marRight w:val="0"/>
                      <w:marTop w:val="0"/>
                      <w:marBottom w:val="0"/>
                      <w:divBdr>
                        <w:top w:val="none" w:sz="0" w:space="0" w:color="auto"/>
                        <w:left w:val="none" w:sz="0" w:space="0" w:color="auto"/>
                        <w:bottom w:val="none" w:sz="0" w:space="0" w:color="auto"/>
                        <w:right w:val="none" w:sz="0" w:space="0" w:color="auto"/>
                      </w:divBdr>
                    </w:div>
                  </w:divsChild>
                </w:div>
                <w:div w:id="1002899628">
                  <w:marLeft w:val="0"/>
                  <w:marRight w:val="0"/>
                  <w:marTop w:val="0"/>
                  <w:marBottom w:val="0"/>
                  <w:divBdr>
                    <w:top w:val="none" w:sz="0" w:space="0" w:color="auto"/>
                    <w:left w:val="none" w:sz="0" w:space="0" w:color="auto"/>
                    <w:bottom w:val="none" w:sz="0" w:space="0" w:color="auto"/>
                    <w:right w:val="none" w:sz="0" w:space="0" w:color="auto"/>
                  </w:divBdr>
                  <w:divsChild>
                    <w:div w:id="457261826">
                      <w:marLeft w:val="0"/>
                      <w:marRight w:val="0"/>
                      <w:marTop w:val="0"/>
                      <w:marBottom w:val="0"/>
                      <w:divBdr>
                        <w:top w:val="none" w:sz="0" w:space="0" w:color="auto"/>
                        <w:left w:val="none" w:sz="0" w:space="0" w:color="auto"/>
                        <w:bottom w:val="none" w:sz="0" w:space="0" w:color="auto"/>
                        <w:right w:val="none" w:sz="0" w:space="0" w:color="auto"/>
                      </w:divBdr>
                    </w:div>
                  </w:divsChild>
                </w:div>
                <w:div w:id="1017731501">
                  <w:marLeft w:val="0"/>
                  <w:marRight w:val="0"/>
                  <w:marTop w:val="0"/>
                  <w:marBottom w:val="0"/>
                  <w:divBdr>
                    <w:top w:val="none" w:sz="0" w:space="0" w:color="auto"/>
                    <w:left w:val="none" w:sz="0" w:space="0" w:color="auto"/>
                    <w:bottom w:val="none" w:sz="0" w:space="0" w:color="auto"/>
                    <w:right w:val="none" w:sz="0" w:space="0" w:color="auto"/>
                  </w:divBdr>
                  <w:divsChild>
                    <w:div w:id="692153997">
                      <w:marLeft w:val="0"/>
                      <w:marRight w:val="0"/>
                      <w:marTop w:val="0"/>
                      <w:marBottom w:val="0"/>
                      <w:divBdr>
                        <w:top w:val="none" w:sz="0" w:space="0" w:color="auto"/>
                        <w:left w:val="none" w:sz="0" w:space="0" w:color="auto"/>
                        <w:bottom w:val="none" w:sz="0" w:space="0" w:color="auto"/>
                        <w:right w:val="none" w:sz="0" w:space="0" w:color="auto"/>
                      </w:divBdr>
                    </w:div>
                  </w:divsChild>
                </w:div>
                <w:div w:id="1029572858">
                  <w:marLeft w:val="0"/>
                  <w:marRight w:val="0"/>
                  <w:marTop w:val="0"/>
                  <w:marBottom w:val="0"/>
                  <w:divBdr>
                    <w:top w:val="none" w:sz="0" w:space="0" w:color="auto"/>
                    <w:left w:val="none" w:sz="0" w:space="0" w:color="auto"/>
                    <w:bottom w:val="none" w:sz="0" w:space="0" w:color="auto"/>
                    <w:right w:val="none" w:sz="0" w:space="0" w:color="auto"/>
                  </w:divBdr>
                  <w:divsChild>
                    <w:div w:id="1055200249">
                      <w:marLeft w:val="0"/>
                      <w:marRight w:val="0"/>
                      <w:marTop w:val="0"/>
                      <w:marBottom w:val="0"/>
                      <w:divBdr>
                        <w:top w:val="none" w:sz="0" w:space="0" w:color="auto"/>
                        <w:left w:val="none" w:sz="0" w:space="0" w:color="auto"/>
                        <w:bottom w:val="none" w:sz="0" w:space="0" w:color="auto"/>
                        <w:right w:val="none" w:sz="0" w:space="0" w:color="auto"/>
                      </w:divBdr>
                    </w:div>
                  </w:divsChild>
                </w:div>
                <w:div w:id="1063329042">
                  <w:marLeft w:val="0"/>
                  <w:marRight w:val="0"/>
                  <w:marTop w:val="0"/>
                  <w:marBottom w:val="0"/>
                  <w:divBdr>
                    <w:top w:val="none" w:sz="0" w:space="0" w:color="auto"/>
                    <w:left w:val="none" w:sz="0" w:space="0" w:color="auto"/>
                    <w:bottom w:val="none" w:sz="0" w:space="0" w:color="auto"/>
                    <w:right w:val="none" w:sz="0" w:space="0" w:color="auto"/>
                  </w:divBdr>
                  <w:divsChild>
                    <w:div w:id="1802111795">
                      <w:marLeft w:val="0"/>
                      <w:marRight w:val="0"/>
                      <w:marTop w:val="0"/>
                      <w:marBottom w:val="0"/>
                      <w:divBdr>
                        <w:top w:val="none" w:sz="0" w:space="0" w:color="auto"/>
                        <w:left w:val="none" w:sz="0" w:space="0" w:color="auto"/>
                        <w:bottom w:val="none" w:sz="0" w:space="0" w:color="auto"/>
                        <w:right w:val="none" w:sz="0" w:space="0" w:color="auto"/>
                      </w:divBdr>
                    </w:div>
                  </w:divsChild>
                </w:div>
                <w:div w:id="1091851394">
                  <w:marLeft w:val="0"/>
                  <w:marRight w:val="0"/>
                  <w:marTop w:val="0"/>
                  <w:marBottom w:val="0"/>
                  <w:divBdr>
                    <w:top w:val="none" w:sz="0" w:space="0" w:color="auto"/>
                    <w:left w:val="none" w:sz="0" w:space="0" w:color="auto"/>
                    <w:bottom w:val="none" w:sz="0" w:space="0" w:color="auto"/>
                    <w:right w:val="none" w:sz="0" w:space="0" w:color="auto"/>
                  </w:divBdr>
                  <w:divsChild>
                    <w:div w:id="1296376302">
                      <w:marLeft w:val="0"/>
                      <w:marRight w:val="0"/>
                      <w:marTop w:val="0"/>
                      <w:marBottom w:val="0"/>
                      <w:divBdr>
                        <w:top w:val="none" w:sz="0" w:space="0" w:color="auto"/>
                        <w:left w:val="none" w:sz="0" w:space="0" w:color="auto"/>
                        <w:bottom w:val="none" w:sz="0" w:space="0" w:color="auto"/>
                        <w:right w:val="none" w:sz="0" w:space="0" w:color="auto"/>
                      </w:divBdr>
                    </w:div>
                  </w:divsChild>
                </w:div>
                <w:div w:id="1125149758">
                  <w:marLeft w:val="0"/>
                  <w:marRight w:val="0"/>
                  <w:marTop w:val="0"/>
                  <w:marBottom w:val="0"/>
                  <w:divBdr>
                    <w:top w:val="none" w:sz="0" w:space="0" w:color="auto"/>
                    <w:left w:val="none" w:sz="0" w:space="0" w:color="auto"/>
                    <w:bottom w:val="none" w:sz="0" w:space="0" w:color="auto"/>
                    <w:right w:val="none" w:sz="0" w:space="0" w:color="auto"/>
                  </w:divBdr>
                  <w:divsChild>
                    <w:div w:id="1578397352">
                      <w:marLeft w:val="0"/>
                      <w:marRight w:val="0"/>
                      <w:marTop w:val="0"/>
                      <w:marBottom w:val="0"/>
                      <w:divBdr>
                        <w:top w:val="none" w:sz="0" w:space="0" w:color="auto"/>
                        <w:left w:val="none" w:sz="0" w:space="0" w:color="auto"/>
                        <w:bottom w:val="none" w:sz="0" w:space="0" w:color="auto"/>
                        <w:right w:val="none" w:sz="0" w:space="0" w:color="auto"/>
                      </w:divBdr>
                    </w:div>
                  </w:divsChild>
                </w:div>
                <w:div w:id="1178542990">
                  <w:marLeft w:val="0"/>
                  <w:marRight w:val="0"/>
                  <w:marTop w:val="0"/>
                  <w:marBottom w:val="0"/>
                  <w:divBdr>
                    <w:top w:val="none" w:sz="0" w:space="0" w:color="auto"/>
                    <w:left w:val="none" w:sz="0" w:space="0" w:color="auto"/>
                    <w:bottom w:val="none" w:sz="0" w:space="0" w:color="auto"/>
                    <w:right w:val="none" w:sz="0" w:space="0" w:color="auto"/>
                  </w:divBdr>
                  <w:divsChild>
                    <w:div w:id="331761581">
                      <w:marLeft w:val="0"/>
                      <w:marRight w:val="0"/>
                      <w:marTop w:val="0"/>
                      <w:marBottom w:val="0"/>
                      <w:divBdr>
                        <w:top w:val="none" w:sz="0" w:space="0" w:color="auto"/>
                        <w:left w:val="none" w:sz="0" w:space="0" w:color="auto"/>
                        <w:bottom w:val="none" w:sz="0" w:space="0" w:color="auto"/>
                        <w:right w:val="none" w:sz="0" w:space="0" w:color="auto"/>
                      </w:divBdr>
                    </w:div>
                  </w:divsChild>
                </w:div>
                <w:div w:id="1211652730">
                  <w:marLeft w:val="0"/>
                  <w:marRight w:val="0"/>
                  <w:marTop w:val="0"/>
                  <w:marBottom w:val="0"/>
                  <w:divBdr>
                    <w:top w:val="none" w:sz="0" w:space="0" w:color="auto"/>
                    <w:left w:val="none" w:sz="0" w:space="0" w:color="auto"/>
                    <w:bottom w:val="none" w:sz="0" w:space="0" w:color="auto"/>
                    <w:right w:val="none" w:sz="0" w:space="0" w:color="auto"/>
                  </w:divBdr>
                  <w:divsChild>
                    <w:div w:id="1863781529">
                      <w:marLeft w:val="0"/>
                      <w:marRight w:val="0"/>
                      <w:marTop w:val="0"/>
                      <w:marBottom w:val="0"/>
                      <w:divBdr>
                        <w:top w:val="none" w:sz="0" w:space="0" w:color="auto"/>
                        <w:left w:val="none" w:sz="0" w:space="0" w:color="auto"/>
                        <w:bottom w:val="none" w:sz="0" w:space="0" w:color="auto"/>
                        <w:right w:val="none" w:sz="0" w:space="0" w:color="auto"/>
                      </w:divBdr>
                    </w:div>
                  </w:divsChild>
                </w:div>
                <w:div w:id="1236745217">
                  <w:marLeft w:val="0"/>
                  <w:marRight w:val="0"/>
                  <w:marTop w:val="0"/>
                  <w:marBottom w:val="0"/>
                  <w:divBdr>
                    <w:top w:val="none" w:sz="0" w:space="0" w:color="auto"/>
                    <w:left w:val="none" w:sz="0" w:space="0" w:color="auto"/>
                    <w:bottom w:val="none" w:sz="0" w:space="0" w:color="auto"/>
                    <w:right w:val="none" w:sz="0" w:space="0" w:color="auto"/>
                  </w:divBdr>
                  <w:divsChild>
                    <w:div w:id="1635940739">
                      <w:marLeft w:val="0"/>
                      <w:marRight w:val="0"/>
                      <w:marTop w:val="0"/>
                      <w:marBottom w:val="0"/>
                      <w:divBdr>
                        <w:top w:val="none" w:sz="0" w:space="0" w:color="auto"/>
                        <w:left w:val="none" w:sz="0" w:space="0" w:color="auto"/>
                        <w:bottom w:val="none" w:sz="0" w:space="0" w:color="auto"/>
                        <w:right w:val="none" w:sz="0" w:space="0" w:color="auto"/>
                      </w:divBdr>
                    </w:div>
                  </w:divsChild>
                </w:div>
                <w:div w:id="1237743139">
                  <w:marLeft w:val="0"/>
                  <w:marRight w:val="0"/>
                  <w:marTop w:val="0"/>
                  <w:marBottom w:val="0"/>
                  <w:divBdr>
                    <w:top w:val="none" w:sz="0" w:space="0" w:color="auto"/>
                    <w:left w:val="none" w:sz="0" w:space="0" w:color="auto"/>
                    <w:bottom w:val="none" w:sz="0" w:space="0" w:color="auto"/>
                    <w:right w:val="none" w:sz="0" w:space="0" w:color="auto"/>
                  </w:divBdr>
                  <w:divsChild>
                    <w:div w:id="117653490">
                      <w:marLeft w:val="0"/>
                      <w:marRight w:val="0"/>
                      <w:marTop w:val="0"/>
                      <w:marBottom w:val="0"/>
                      <w:divBdr>
                        <w:top w:val="none" w:sz="0" w:space="0" w:color="auto"/>
                        <w:left w:val="none" w:sz="0" w:space="0" w:color="auto"/>
                        <w:bottom w:val="none" w:sz="0" w:space="0" w:color="auto"/>
                        <w:right w:val="none" w:sz="0" w:space="0" w:color="auto"/>
                      </w:divBdr>
                    </w:div>
                  </w:divsChild>
                </w:div>
                <w:div w:id="1279486734">
                  <w:marLeft w:val="0"/>
                  <w:marRight w:val="0"/>
                  <w:marTop w:val="0"/>
                  <w:marBottom w:val="0"/>
                  <w:divBdr>
                    <w:top w:val="none" w:sz="0" w:space="0" w:color="auto"/>
                    <w:left w:val="none" w:sz="0" w:space="0" w:color="auto"/>
                    <w:bottom w:val="none" w:sz="0" w:space="0" w:color="auto"/>
                    <w:right w:val="none" w:sz="0" w:space="0" w:color="auto"/>
                  </w:divBdr>
                  <w:divsChild>
                    <w:div w:id="2018340810">
                      <w:marLeft w:val="0"/>
                      <w:marRight w:val="0"/>
                      <w:marTop w:val="0"/>
                      <w:marBottom w:val="0"/>
                      <w:divBdr>
                        <w:top w:val="none" w:sz="0" w:space="0" w:color="auto"/>
                        <w:left w:val="none" w:sz="0" w:space="0" w:color="auto"/>
                        <w:bottom w:val="none" w:sz="0" w:space="0" w:color="auto"/>
                        <w:right w:val="none" w:sz="0" w:space="0" w:color="auto"/>
                      </w:divBdr>
                    </w:div>
                  </w:divsChild>
                </w:div>
                <w:div w:id="1294824231">
                  <w:marLeft w:val="0"/>
                  <w:marRight w:val="0"/>
                  <w:marTop w:val="0"/>
                  <w:marBottom w:val="0"/>
                  <w:divBdr>
                    <w:top w:val="none" w:sz="0" w:space="0" w:color="auto"/>
                    <w:left w:val="none" w:sz="0" w:space="0" w:color="auto"/>
                    <w:bottom w:val="none" w:sz="0" w:space="0" w:color="auto"/>
                    <w:right w:val="none" w:sz="0" w:space="0" w:color="auto"/>
                  </w:divBdr>
                  <w:divsChild>
                    <w:div w:id="1789353562">
                      <w:marLeft w:val="0"/>
                      <w:marRight w:val="0"/>
                      <w:marTop w:val="0"/>
                      <w:marBottom w:val="0"/>
                      <w:divBdr>
                        <w:top w:val="none" w:sz="0" w:space="0" w:color="auto"/>
                        <w:left w:val="none" w:sz="0" w:space="0" w:color="auto"/>
                        <w:bottom w:val="none" w:sz="0" w:space="0" w:color="auto"/>
                        <w:right w:val="none" w:sz="0" w:space="0" w:color="auto"/>
                      </w:divBdr>
                    </w:div>
                  </w:divsChild>
                </w:div>
                <w:div w:id="1338845101">
                  <w:marLeft w:val="0"/>
                  <w:marRight w:val="0"/>
                  <w:marTop w:val="0"/>
                  <w:marBottom w:val="0"/>
                  <w:divBdr>
                    <w:top w:val="none" w:sz="0" w:space="0" w:color="auto"/>
                    <w:left w:val="none" w:sz="0" w:space="0" w:color="auto"/>
                    <w:bottom w:val="none" w:sz="0" w:space="0" w:color="auto"/>
                    <w:right w:val="none" w:sz="0" w:space="0" w:color="auto"/>
                  </w:divBdr>
                  <w:divsChild>
                    <w:div w:id="659886664">
                      <w:marLeft w:val="0"/>
                      <w:marRight w:val="0"/>
                      <w:marTop w:val="0"/>
                      <w:marBottom w:val="0"/>
                      <w:divBdr>
                        <w:top w:val="none" w:sz="0" w:space="0" w:color="auto"/>
                        <w:left w:val="none" w:sz="0" w:space="0" w:color="auto"/>
                        <w:bottom w:val="none" w:sz="0" w:space="0" w:color="auto"/>
                        <w:right w:val="none" w:sz="0" w:space="0" w:color="auto"/>
                      </w:divBdr>
                    </w:div>
                  </w:divsChild>
                </w:div>
                <w:div w:id="1351296176">
                  <w:marLeft w:val="0"/>
                  <w:marRight w:val="0"/>
                  <w:marTop w:val="0"/>
                  <w:marBottom w:val="0"/>
                  <w:divBdr>
                    <w:top w:val="none" w:sz="0" w:space="0" w:color="auto"/>
                    <w:left w:val="none" w:sz="0" w:space="0" w:color="auto"/>
                    <w:bottom w:val="none" w:sz="0" w:space="0" w:color="auto"/>
                    <w:right w:val="none" w:sz="0" w:space="0" w:color="auto"/>
                  </w:divBdr>
                  <w:divsChild>
                    <w:div w:id="1755661232">
                      <w:marLeft w:val="0"/>
                      <w:marRight w:val="0"/>
                      <w:marTop w:val="0"/>
                      <w:marBottom w:val="0"/>
                      <w:divBdr>
                        <w:top w:val="none" w:sz="0" w:space="0" w:color="auto"/>
                        <w:left w:val="none" w:sz="0" w:space="0" w:color="auto"/>
                        <w:bottom w:val="none" w:sz="0" w:space="0" w:color="auto"/>
                        <w:right w:val="none" w:sz="0" w:space="0" w:color="auto"/>
                      </w:divBdr>
                    </w:div>
                  </w:divsChild>
                </w:div>
                <w:div w:id="1362171349">
                  <w:marLeft w:val="0"/>
                  <w:marRight w:val="0"/>
                  <w:marTop w:val="0"/>
                  <w:marBottom w:val="0"/>
                  <w:divBdr>
                    <w:top w:val="none" w:sz="0" w:space="0" w:color="auto"/>
                    <w:left w:val="none" w:sz="0" w:space="0" w:color="auto"/>
                    <w:bottom w:val="none" w:sz="0" w:space="0" w:color="auto"/>
                    <w:right w:val="none" w:sz="0" w:space="0" w:color="auto"/>
                  </w:divBdr>
                  <w:divsChild>
                    <w:div w:id="1056316667">
                      <w:marLeft w:val="0"/>
                      <w:marRight w:val="0"/>
                      <w:marTop w:val="0"/>
                      <w:marBottom w:val="0"/>
                      <w:divBdr>
                        <w:top w:val="none" w:sz="0" w:space="0" w:color="auto"/>
                        <w:left w:val="none" w:sz="0" w:space="0" w:color="auto"/>
                        <w:bottom w:val="none" w:sz="0" w:space="0" w:color="auto"/>
                        <w:right w:val="none" w:sz="0" w:space="0" w:color="auto"/>
                      </w:divBdr>
                    </w:div>
                  </w:divsChild>
                </w:div>
                <w:div w:id="1380714215">
                  <w:marLeft w:val="0"/>
                  <w:marRight w:val="0"/>
                  <w:marTop w:val="0"/>
                  <w:marBottom w:val="0"/>
                  <w:divBdr>
                    <w:top w:val="none" w:sz="0" w:space="0" w:color="auto"/>
                    <w:left w:val="none" w:sz="0" w:space="0" w:color="auto"/>
                    <w:bottom w:val="none" w:sz="0" w:space="0" w:color="auto"/>
                    <w:right w:val="none" w:sz="0" w:space="0" w:color="auto"/>
                  </w:divBdr>
                  <w:divsChild>
                    <w:div w:id="372005940">
                      <w:marLeft w:val="0"/>
                      <w:marRight w:val="0"/>
                      <w:marTop w:val="0"/>
                      <w:marBottom w:val="0"/>
                      <w:divBdr>
                        <w:top w:val="none" w:sz="0" w:space="0" w:color="auto"/>
                        <w:left w:val="none" w:sz="0" w:space="0" w:color="auto"/>
                        <w:bottom w:val="none" w:sz="0" w:space="0" w:color="auto"/>
                        <w:right w:val="none" w:sz="0" w:space="0" w:color="auto"/>
                      </w:divBdr>
                    </w:div>
                  </w:divsChild>
                </w:div>
                <w:div w:id="1391422888">
                  <w:marLeft w:val="0"/>
                  <w:marRight w:val="0"/>
                  <w:marTop w:val="0"/>
                  <w:marBottom w:val="0"/>
                  <w:divBdr>
                    <w:top w:val="none" w:sz="0" w:space="0" w:color="auto"/>
                    <w:left w:val="none" w:sz="0" w:space="0" w:color="auto"/>
                    <w:bottom w:val="none" w:sz="0" w:space="0" w:color="auto"/>
                    <w:right w:val="none" w:sz="0" w:space="0" w:color="auto"/>
                  </w:divBdr>
                  <w:divsChild>
                    <w:div w:id="1981763331">
                      <w:marLeft w:val="0"/>
                      <w:marRight w:val="0"/>
                      <w:marTop w:val="0"/>
                      <w:marBottom w:val="0"/>
                      <w:divBdr>
                        <w:top w:val="none" w:sz="0" w:space="0" w:color="auto"/>
                        <w:left w:val="none" w:sz="0" w:space="0" w:color="auto"/>
                        <w:bottom w:val="none" w:sz="0" w:space="0" w:color="auto"/>
                        <w:right w:val="none" w:sz="0" w:space="0" w:color="auto"/>
                      </w:divBdr>
                    </w:div>
                  </w:divsChild>
                </w:div>
                <w:div w:id="1393848385">
                  <w:marLeft w:val="0"/>
                  <w:marRight w:val="0"/>
                  <w:marTop w:val="0"/>
                  <w:marBottom w:val="0"/>
                  <w:divBdr>
                    <w:top w:val="none" w:sz="0" w:space="0" w:color="auto"/>
                    <w:left w:val="none" w:sz="0" w:space="0" w:color="auto"/>
                    <w:bottom w:val="none" w:sz="0" w:space="0" w:color="auto"/>
                    <w:right w:val="none" w:sz="0" w:space="0" w:color="auto"/>
                  </w:divBdr>
                  <w:divsChild>
                    <w:div w:id="902570158">
                      <w:marLeft w:val="0"/>
                      <w:marRight w:val="0"/>
                      <w:marTop w:val="0"/>
                      <w:marBottom w:val="0"/>
                      <w:divBdr>
                        <w:top w:val="none" w:sz="0" w:space="0" w:color="auto"/>
                        <w:left w:val="none" w:sz="0" w:space="0" w:color="auto"/>
                        <w:bottom w:val="none" w:sz="0" w:space="0" w:color="auto"/>
                        <w:right w:val="none" w:sz="0" w:space="0" w:color="auto"/>
                      </w:divBdr>
                    </w:div>
                  </w:divsChild>
                </w:div>
                <w:div w:id="1394547794">
                  <w:marLeft w:val="0"/>
                  <w:marRight w:val="0"/>
                  <w:marTop w:val="0"/>
                  <w:marBottom w:val="0"/>
                  <w:divBdr>
                    <w:top w:val="none" w:sz="0" w:space="0" w:color="auto"/>
                    <w:left w:val="none" w:sz="0" w:space="0" w:color="auto"/>
                    <w:bottom w:val="none" w:sz="0" w:space="0" w:color="auto"/>
                    <w:right w:val="none" w:sz="0" w:space="0" w:color="auto"/>
                  </w:divBdr>
                  <w:divsChild>
                    <w:div w:id="1049381932">
                      <w:marLeft w:val="0"/>
                      <w:marRight w:val="0"/>
                      <w:marTop w:val="0"/>
                      <w:marBottom w:val="0"/>
                      <w:divBdr>
                        <w:top w:val="none" w:sz="0" w:space="0" w:color="auto"/>
                        <w:left w:val="none" w:sz="0" w:space="0" w:color="auto"/>
                        <w:bottom w:val="none" w:sz="0" w:space="0" w:color="auto"/>
                        <w:right w:val="none" w:sz="0" w:space="0" w:color="auto"/>
                      </w:divBdr>
                    </w:div>
                  </w:divsChild>
                </w:div>
                <w:div w:id="1454250806">
                  <w:marLeft w:val="0"/>
                  <w:marRight w:val="0"/>
                  <w:marTop w:val="0"/>
                  <w:marBottom w:val="0"/>
                  <w:divBdr>
                    <w:top w:val="none" w:sz="0" w:space="0" w:color="auto"/>
                    <w:left w:val="none" w:sz="0" w:space="0" w:color="auto"/>
                    <w:bottom w:val="none" w:sz="0" w:space="0" w:color="auto"/>
                    <w:right w:val="none" w:sz="0" w:space="0" w:color="auto"/>
                  </w:divBdr>
                  <w:divsChild>
                    <w:div w:id="137114810">
                      <w:marLeft w:val="0"/>
                      <w:marRight w:val="0"/>
                      <w:marTop w:val="0"/>
                      <w:marBottom w:val="0"/>
                      <w:divBdr>
                        <w:top w:val="none" w:sz="0" w:space="0" w:color="auto"/>
                        <w:left w:val="none" w:sz="0" w:space="0" w:color="auto"/>
                        <w:bottom w:val="none" w:sz="0" w:space="0" w:color="auto"/>
                        <w:right w:val="none" w:sz="0" w:space="0" w:color="auto"/>
                      </w:divBdr>
                    </w:div>
                  </w:divsChild>
                </w:div>
                <w:div w:id="1478112606">
                  <w:marLeft w:val="0"/>
                  <w:marRight w:val="0"/>
                  <w:marTop w:val="0"/>
                  <w:marBottom w:val="0"/>
                  <w:divBdr>
                    <w:top w:val="none" w:sz="0" w:space="0" w:color="auto"/>
                    <w:left w:val="none" w:sz="0" w:space="0" w:color="auto"/>
                    <w:bottom w:val="none" w:sz="0" w:space="0" w:color="auto"/>
                    <w:right w:val="none" w:sz="0" w:space="0" w:color="auto"/>
                  </w:divBdr>
                  <w:divsChild>
                    <w:div w:id="1041176286">
                      <w:marLeft w:val="0"/>
                      <w:marRight w:val="0"/>
                      <w:marTop w:val="0"/>
                      <w:marBottom w:val="0"/>
                      <w:divBdr>
                        <w:top w:val="none" w:sz="0" w:space="0" w:color="auto"/>
                        <w:left w:val="none" w:sz="0" w:space="0" w:color="auto"/>
                        <w:bottom w:val="none" w:sz="0" w:space="0" w:color="auto"/>
                        <w:right w:val="none" w:sz="0" w:space="0" w:color="auto"/>
                      </w:divBdr>
                    </w:div>
                  </w:divsChild>
                </w:div>
                <w:div w:id="1616519179">
                  <w:marLeft w:val="0"/>
                  <w:marRight w:val="0"/>
                  <w:marTop w:val="0"/>
                  <w:marBottom w:val="0"/>
                  <w:divBdr>
                    <w:top w:val="none" w:sz="0" w:space="0" w:color="auto"/>
                    <w:left w:val="none" w:sz="0" w:space="0" w:color="auto"/>
                    <w:bottom w:val="none" w:sz="0" w:space="0" w:color="auto"/>
                    <w:right w:val="none" w:sz="0" w:space="0" w:color="auto"/>
                  </w:divBdr>
                  <w:divsChild>
                    <w:div w:id="275648058">
                      <w:marLeft w:val="0"/>
                      <w:marRight w:val="0"/>
                      <w:marTop w:val="0"/>
                      <w:marBottom w:val="0"/>
                      <w:divBdr>
                        <w:top w:val="none" w:sz="0" w:space="0" w:color="auto"/>
                        <w:left w:val="none" w:sz="0" w:space="0" w:color="auto"/>
                        <w:bottom w:val="none" w:sz="0" w:space="0" w:color="auto"/>
                        <w:right w:val="none" w:sz="0" w:space="0" w:color="auto"/>
                      </w:divBdr>
                    </w:div>
                  </w:divsChild>
                </w:div>
                <w:div w:id="1661349437">
                  <w:marLeft w:val="0"/>
                  <w:marRight w:val="0"/>
                  <w:marTop w:val="0"/>
                  <w:marBottom w:val="0"/>
                  <w:divBdr>
                    <w:top w:val="none" w:sz="0" w:space="0" w:color="auto"/>
                    <w:left w:val="none" w:sz="0" w:space="0" w:color="auto"/>
                    <w:bottom w:val="none" w:sz="0" w:space="0" w:color="auto"/>
                    <w:right w:val="none" w:sz="0" w:space="0" w:color="auto"/>
                  </w:divBdr>
                  <w:divsChild>
                    <w:div w:id="1258631504">
                      <w:marLeft w:val="0"/>
                      <w:marRight w:val="0"/>
                      <w:marTop w:val="0"/>
                      <w:marBottom w:val="0"/>
                      <w:divBdr>
                        <w:top w:val="none" w:sz="0" w:space="0" w:color="auto"/>
                        <w:left w:val="none" w:sz="0" w:space="0" w:color="auto"/>
                        <w:bottom w:val="none" w:sz="0" w:space="0" w:color="auto"/>
                        <w:right w:val="none" w:sz="0" w:space="0" w:color="auto"/>
                      </w:divBdr>
                    </w:div>
                  </w:divsChild>
                </w:div>
                <w:div w:id="1670600917">
                  <w:marLeft w:val="0"/>
                  <w:marRight w:val="0"/>
                  <w:marTop w:val="0"/>
                  <w:marBottom w:val="0"/>
                  <w:divBdr>
                    <w:top w:val="none" w:sz="0" w:space="0" w:color="auto"/>
                    <w:left w:val="none" w:sz="0" w:space="0" w:color="auto"/>
                    <w:bottom w:val="none" w:sz="0" w:space="0" w:color="auto"/>
                    <w:right w:val="none" w:sz="0" w:space="0" w:color="auto"/>
                  </w:divBdr>
                  <w:divsChild>
                    <w:div w:id="729614072">
                      <w:marLeft w:val="0"/>
                      <w:marRight w:val="0"/>
                      <w:marTop w:val="0"/>
                      <w:marBottom w:val="0"/>
                      <w:divBdr>
                        <w:top w:val="none" w:sz="0" w:space="0" w:color="auto"/>
                        <w:left w:val="none" w:sz="0" w:space="0" w:color="auto"/>
                        <w:bottom w:val="none" w:sz="0" w:space="0" w:color="auto"/>
                        <w:right w:val="none" w:sz="0" w:space="0" w:color="auto"/>
                      </w:divBdr>
                    </w:div>
                  </w:divsChild>
                </w:div>
                <w:div w:id="1678728807">
                  <w:marLeft w:val="0"/>
                  <w:marRight w:val="0"/>
                  <w:marTop w:val="0"/>
                  <w:marBottom w:val="0"/>
                  <w:divBdr>
                    <w:top w:val="none" w:sz="0" w:space="0" w:color="auto"/>
                    <w:left w:val="none" w:sz="0" w:space="0" w:color="auto"/>
                    <w:bottom w:val="none" w:sz="0" w:space="0" w:color="auto"/>
                    <w:right w:val="none" w:sz="0" w:space="0" w:color="auto"/>
                  </w:divBdr>
                  <w:divsChild>
                    <w:div w:id="235942771">
                      <w:marLeft w:val="0"/>
                      <w:marRight w:val="0"/>
                      <w:marTop w:val="0"/>
                      <w:marBottom w:val="0"/>
                      <w:divBdr>
                        <w:top w:val="none" w:sz="0" w:space="0" w:color="auto"/>
                        <w:left w:val="none" w:sz="0" w:space="0" w:color="auto"/>
                        <w:bottom w:val="none" w:sz="0" w:space="0" w:color="auto"/>
                        <w:right w:val="none" w:sz="0" w:space="0" w:color="auto"/>
                      </w:divBdr>
                    </w:div>
                  </w:divsChild>
                </w:div>
                <w:div w:id="1688677032">
                  <w:marLeft w:val="0"/>
                  <w:marRight w:val="0"/>
                  <w:marTop w:val="0"/>
                  <w:marBottom w:val="0"/>
                  <w:divBdr>
                    <w:top w:val="none" w:sz="0" w:space="0" w:color="auto"/>
                    <w:left w:val="none" w:sz="0" w:space="0" w:color="auto"/>
                    <w:bottom w:val="none" w:sz="0" w:space="0" w:color="auto"/>
                    <w:right w:val="none" w:sz="0" w:space="0" w:color="auto"/>
                  </w:divBdr>
                  <w:divsChild>
                    <w:div w:id="446856947">
                      <w:marLeft w:val="0"/>
                      <w:marRight w:val="0"/>
                      <w:marTop w:val="0"/>
                      <w:marBottom w:val="0"/>
                      <w:divBdr>
                        <w:top w:val="none" w:sz="0" w:space="0" w:color="auto"/>
                        <w:left w:val="none" w:sz="0" w:space="0" w:color="auto"/>
                        <w:bottom w:val="none" w:sz="0" w:space="0" w:color="auto"/>
                        <w:right w:val="none" w:sz="0" w:space="0" w:color="auto"/>
                      </w:divBdr>
                    </w:div>
                  </w:divsChild>
                </w:div>
                <w:div w:id="1709524963">
                  <w:marLeft w:val="0"/>
                  <w:marRight w:val="0"/>
                  <w:marTop w:val="0"/>
                  <w:marBottom w:val="0"/>
                  <w:divBdr>
                    <w:top w:val="none" w:sz="0" w:space="0" w:color="auto"/>
                    <w:left w:val="none" w:sz="0" w:space="0" w:color="auto"/>
                    <w:bottom w:val="none" w:sz="0" w:space="0" w:color="auto"/>
                    <w:right w:val="none" w:sz="0" w:space="0" w:color="auto"/>
                  </w:divBdr>
                  <w:divsChild>
                    <w:div w:id="1556311000">
                      <w:marLeft w:val="0"/>
                      <w:marRight w:val="0"/>
                      <w:marTop w:val="0"/>
                      <w:marBottom w:val="0"/>
                      <w:divBdr>
                        <w:top w:val="none" w:sz="0" w:space="0" w:color="auto"/>
                        <w:left w:val="none" w:sz="0" w:space="0" w:color="auto"/>
                        <w:bottom w:val="none" w:sz="0" w:space="0" w:color="auto"/>
                        <w:right w:val="none" w:sz="0" w:space="0" w:color="auto"/>
                      </w:divBdr>
                    </w:div>
                  </w:divsChild>
                </w:div>
                <w:div w:id="1767725803">
                  <w:marLeft w:val="0"/>
                  <w:marRight w:val="0"/>
                  <w:marTop w:val="0"/>
                  <w:marBottom w:val="0"/>
                  <w:divBdr>
                    <w:top w:val="none" w:sz="0" w:space="0" w:color="auto"/>
                    <w:left w:val="none" w:sz="0" w:space="0" w:color="auto"/>
                    <w:bottom w:val="none" w:sz="0" w:space="0" w:color="auto"/>
                    <w:right w:val="none" w:sz="0" w:space="0" w:color="auto"/>
                  </w:divBdr>
                  <w:divsChild>
                    <w:div w:id="16666509">
                      <w:marLeft w:val="0"/>
                      <w:marRight w:val="0"/>
                      <w:marTop w:val="0"/>
                      <w:marBottom w:val="0"/>
                      <w:divBdr>
                        <w:top w:val="none" w:sz="0" w:space="0" w:color="auto"/>
                        <w:left w:val="none" w:sz="0" w:space="0" w:color="auto"/>
                        <w:bottom w:val="none" w:sz="0" w:space="0" w:color="auto"/>
                        <w:right w:val="none" w:sz="0" w:space="0" w:color="auto"/>
                      </w:divBdr>
                    </w:div>
                  </w:divsChild>
                </w:div>
                <w:div w:id="1788157225">
                  <w:marLeft w:val="0"/>
                  <w:marRight w:val="0"/>
                  <w:marTop w:val="0"/>
                  <w:marBottom w:val="0"/>
                  <w:divBdr>
                    <w:top w:val="none" w:sz="0" w:space="0" w:color="auto"/>
                    <w:left w:val="none" w:sz="0" w:space="0" w:color="auto"/>
                    <w:bottom w:val="none" w:sz="0" w:space="0" w:color="auto"/>
                    <w:right w:val="none" w:sz="0" w:space="0" w:color="auto"/>
                  </w:divBdr>
                  <w:divsChild>
                    <w:div w:id="1773210210">
                      <w:marLeft w:val="0"/>
                      <w:marRight w:val="0"/>
                      <w:marTop w:val="0"/>
                      <w:marBottom w:val="0"/>
                      <w:divBdr>
                        <w:top w:val="none" w:sz="0" w:space="0" w:color="auto"/>
                        <w:left w:val="none" w:sz="0" w:space="0" w:color="auto"/>
                        <w:bottom w:val="none" w:sz="0" w:space="0" w:color="auto"/>
                        <w:right w:val="none" w:sz="0" w:space="0" w:color="auto"/>
                      </w:divBdr>
                    </w:div>
                  </w:divsChild>
                </w:div>
                <w:div w:id="1813450724">
                  <w:marLeft w:val="0"/>
                  <w:marRight w:val="0"/>
                  <w:marTop w:val="0"/>
                  <w:marBottom w:val="0"/>
                  <w:divBdr>
                    <w:top w:val="none" w:sz="0" w:space="0" w:color="auto"/>
                    <w:left w:val="none" w:sz="0" w:space="0" w:color="auto"/>
                    <w:bottom w:val="none" w:sz="0" w:space="0" w:color="auto"/>
                    <w:right w:val="none" w:sz="0" w:space="0" w:color="auto"/>
                  </w:divBdr>
                  <w:divsChild>
                    <w:div w:id="1079521249">
                      <w:marLeft w:val="0"/>
                      <w:marRight w:val="0"/>
                      <w:marTop w:val="0"/>
                      <w:marBottom w:val="0"/>
                      <w:divBdr>
                        <w:top w:val="none" w:sz="0" w:space="0" w:color="auto"/>
                        <w:left w:val="none" w:sz="0" w:space="0" w:color="auto"/>
                        <w:bottom w:val="none" w:sz="0" w:space="0" w:color="auto"/>
                        <w:right w:val="none" w:sz="0" w:space="0" w:color="auto"/>
                      </w:divBdr>
                    </w:div>
                  </w:divsChild>
                </w:div>
                <w:div w:id="1835221969">
                  <w:marLeft w:val="0"/>
                  <w:marRight w:val="0"/>
                  <w:marTop w:val="0"/>
                  <w:marBottom w:val="0"/>
                  <w:divBdr>
                    <w:top w:val="none" w:sz="0" w:space="0" w:color="auto"/>
                    <w:left w:val="none" w:sz="0" w:space="0" w:color="auto"/>
                    <w:bottom w:val="none" w:sz="0" w:space="0" w:color="auto"/>
                    <w:right w:val="none" w:sz="0" w:space="0" w:color="auto"/>
                  </w:divBdr>
                  <w:divsChild>
                    <w:div w:id="836462392">
                      <w:marLeft w:val="0"/>
                      <w:marRight w:val="0"/>
                      <w:marTop w:val="0"/>
                      <w:marBottom w:val="0"/>
                      <w:divBdr>
                        <w:top w:val="none" w:sz="0" w:space="0" w:color="auto"/>
                        <w:left w:val="none" w:sz="0" w:space="0" w:color="auto"/>
                        <w:bottom w:val="none" w:sz="0" w:space="0" w:color="auto"/>
                        <w:right w:val="none" w:sz="0" w:space="0" w:color="auto"/>
                      </w:divBdr>
                    </w:div>
                  </w:divsChild>
                </w:div>
                <w:div w:id="1868711154">
                  <w:marLeft w:val="0"/>
                  <w:marRight w:val="0"/>
                  <w:marTop w:val="0"/>
                  <w:marBottom w:val="0"/>
                  <w:divBdr>
                    <w:top w:val="none" w:sz="0" w:space="0" w:color="auto"/>
                    <w:left w:val="none" w:sz="0" w:space="0" w:color="auto"/>
                    <w:bottom w:val="none" w:sz="0" w:space="0" w:color="auto"/>
                    <w:right w:val="none" w:sz="0" w:space="0" w:color="auto"/>
                  </w:divBdr>
                  <w:divsChild>
                    <w:div w:id="978649911">
                      <w:marLeft w:val="0"/>
                      <w:marRight w:val="0"/>
                      <w:marTop w:val="0"/>
                      <w:marBottom w:val="0"/>
                      <w:divBdr>
                        <w:top w:val="none" w:sz="0" w:space="0" w:color="auto"/>
                        <w:left w:val="none" w:sz="0" w:space="0" w:color="auto"/>
                        <w:bottom w:val="none" w:sz="0" w:space="0" w:color="auto"/>
                        <w:right w:val="none" w:sz="0" w:space="0" w:color="auto"/>
                      </w:divBdr>
                    </w:div>
                  </w:divsChild>
                </w:div>
                <w:div w:id="1880892552">
                  <w:marLeft w:val="0"/>
                  <w:marRight w:val="0"/>
                  <w:marTop w:val="0"/>
                  <w:marBottom w:val="0"/>
                  <w:divBdr>
                    <w:top w:val="none" w:sz="0" w:space="0" w:color="auto"/>
                    <w:left w:val="none" w:sz="0" w:space="0" w:color="auto"/>
                    <w:bottom w:val="none" w:sz="0" w:space="0" w:color="auto"/>
                    <w:right w:val="none" w:sz="0" w:space="0" w:color="auto"/>
                  </w:divBdr>
                  <w:divsChild>
                    <w:div w:id="1704287365">
                      <w:marLeft w:val="0"/>
                      <w:marRight w:val="0"/>
                      <w:marTop w:val="0"/>
                      <w:marBottom w:val="0"/>
                      <w:divBdr>
                        <w:top w:val="none" w:sz="0" w:space="0" w:color="auto"/>
                        <w:left w:val="none" w:sz="0" w:space="0" w:color="auto"/>
                        <w:bottom w:val="none" w:sz="0" w:space="0" w:color="auto"/>
                        <w:right w:val="none" w:sz="0" w:space="0" w:color="auto"/>
                      </w:divBdr>
                    </w:div>
                  </w:divsChild>
                </w:div>
                <w:div w:id="1890263667">
                  <w:marLeft w:val="0"/>
                  <w:marRight w:val="0"/>
                  <w:marTop w:val="0"/>
                  <w:marBottom w:val="0"/>
                  <w:divBdr>
                    <w:top w:val="none" w:sz="0" w:space="0" w:color="auto"/>
                    <w:left w:val="none" w:sz="0" w:space="0" w:color="auto"/>
                    <w:bottom w:val="none" w:sz="0" w:space="0" w:color="auto"/>
                    <w:right w:val="none" w:sz="0" w:space="0" w:color="auto"/>
                  </w:divBdr>
                  <w:divsChild>
                    <w:div w:id="147794363">
                      <w:marLeft w:val="0"/>
                      <w:marRight w:val="0"/>
                      <w:marTop w:val="0"/>
                      <w:marBottom w:val="0"/>
                      <w:divBdr>
                        <w:top w:val="none" w:sz="0" w:space="0" w:color="auto"/>
                        <w:left w:val="none" w:sz="0" w:space="0" w:color="auto"/>
                        <w:bottom w:val="none" w:sz="0" w:space="0" w:color="auto"/>
                        <w:right w:val="none" w:sz="0" w:space="0" w:color="auto"/>
                      </w:divBdr>
                    </w:div>
                  </w:divsChild>
                </w:div>
                <w:div w:id="1909532372">
                  <w:marLeft w:val="0"/>
                  <w:marRight w:val="0"/>
                  <w:marTop w:val="0"/>
                  <w:marBottom w:val="0"/>
                  <w:divBdr>
                    <w:top w:val="none" w:sz="0" w:space="0" w:color="auto"/>
                    <w:left w:val="none" w:sz="0" w:space="0" w:color="auto"/>
                    <w:bottom w:val="none" w:sz="0" w:space="0" w:color="auto"/>
                    <w:right w:val="none" w:sz="0" w:space="0" w:color="auto"/>
                  </w:divBdr>
                  <w:divsChild>
                    <w:div w:id="1840851847">
                      <w:marLeft w:val="0"/>
                      <w:marRight w:val="0"/>
                      <w:marTop w:val="0"/>
                      <w:marBottom w:val="0"/>
                      <w:divBdr>
                        <w:top w:val="none" w:sz="0" w:space="0" w:color="auto"/>
                        <w:left w:val="none" w:sz="0" w:space="0" w:color="auto"/>
                        <w:bottom w:val="none" w:sz="0" w:space="0" w:color="auto"/>
                        <w:right w:val="none" w:sz="0" w:space="0" w:color="auto"/>
                      </w:divBdr>
                    </w:div>
                  </w:divsChild>
                </w:div>
                <w:div w:id="1915772356">
                  <w:marLeft w:val="0"/>
                  <w:marRight w:val="0"/>
                  <w:marTop w:val="0"/>
                  <w:marBottom w:val="0"/>
                  <w:divBdr>
                    <w:top w:val="none" w:sz="0" w:space="0" w:color="auto"/>
                    <w:left w:val="none" w:sz="0" w:space="0" w:color="auto"/>
                    <w:bottom w:val="none" w:sz="0" w:space="0" w:color="auto"/>
                    <w:right w:val="none" w:sz="0" w:space="0" w:color="auto"/>
                  </w:divBdr>
                  <w:divsChild>
                    <w:div w:id="623735218">
                      <w:marLeft w:val="0"/>
                      <w:marRight w:val="0"/>
                      <w:marTop w:val="0"/>
                      <w:marBottom w:val="0"/>
                      <w:divBdr>
                        <w:top w:val="none" w:sz="0" w:space="0" w:color="auto"/>
                        <w:left w:val="none" w:sz="0" w:space="0" w:color="auto"/>
                        <w:bottom w:val="none" w:sz="0" w:space="0" w:color="auto"/>
                        <w:right w:val="none" w:sz="0" w:space="0" w:color="auto"/>
                      </w:divBdr>
                    </w:div>
                  </w:divsChild>
                </w:div>
                <w:div w:id="1918712185">
                  <w:marLeft w:val="0"/>
                  <w:marRight w:val="0"/>
                  <w:marTop w:val="0"/>
                  <w:marBottom w:val="0"/>
                  <w:divBdr>
                    <w:top w:val="none" w:sz="0" w:space="0" w:color="auto"/>
                    <w:left w:val="none" w:sz="0" w:space="0" w:color="auto"/>
                    <w:bottom w:val="none" w:sz="0" w:space="0" w:color="auto"/>
                    <w:right w:val="none" w:sz="0" w:space="0" w:color="auto"/>
                  </w:divBdr>
                  <w:divsChild>
                    <w:div w:id="421754918">
                      <w:marLeft w:val="0"/>
                      <w:marRight w:val="0"/>
                      <w:marTop w:val="0"/>
                      <w:marBottom w:val="0"/>
                      <w:divBdr>
                        <w:top w:val="none" w:sz="0" w:space="0" w:color="auto"/>
                        <w:left w:val="none" w:sz="0" w:space="0" w:color="auto"/>
                        <w:bottom w:val="none" w:sz="0" w:space="0" w:color="auto"/>
                        <w:right w:val="none" w:sz="0" w:space="0" w:color="auto"/>
                      </w:divBdr>
                    </w:div>
                  </w:divsChild>
                </w:div>
                <w:div w:id="1924797643">
                  <w:marLeft w:val="0"/>
                  <w:marRight w:val="0"/>
                  <w:marTop w:val="0"/>
                  <w:marBottom w:val="0"/>
                  <w:divBdr>
                    <w:top w:val="none" w:sz="0" w:space="0" w:color="auto"/>
                    <w:left w:val="none" w:sz="0" w:space="0" w:color="auto"/>
                    <w:bottom w:val="none" w:sz="0" w:space="0" w:color="auto"/>
                    <w:right w:val="none" w:sz="0" w:space="0" w:color="auto"/>
                  </w:divBdr>
                  <w:divsChild>
                    <w:div w:id="1899508706">
                      <w:marLeft w:val="0"/>
                      <w:marRight w:val="0"/>
                      <w:marTop w:val="0"/>
                      <w:marBottom w:val="0"/>
                      <w:divBdr>
                        <w:top w:val="none" w:sz="0" w:space="0" w:color="auto"/>
                        <w:left w:val="none" w:sz="0" w:space="0" w:color="auto"/>
                        <w:bottom w:val="none" w:sz="0" w:space="0" w:color="auto"/>
                        <w:right w:val="none" w:sz="0" w:space="0" w:color="auto"/>
                      </w:divBdr>
                    </w:div>
                  </w:divsChild>
                </w:div>
                <w:div w:id="1968318395">
                  <w:marLeft w:val="0"/>
                  <w:marRight w:val="0"/>
                  <w:marTop w:val="0"/>
                  <w:marBottom w:val="0"/>
                  <w:divBdr>
                    <w:top w:val="none" w:sz="0" w:space="0" w:color="auto"/>
                    <w:left w:val="none" w:sz="0" w:space="0" w:color="auto"/>
                    <w:bottom w:val="none" w:sz="0" w:space="0" w:color="auto"/>
                    <w:right w:val="none" w:sz="0" w:space="0" w:color="auto"/>
                  </w:divBdr>
                  <w:divsChild>
                    <w:div w:id="186601938">
                      <w:marLeft w:val="0"/>
                      <w:marRight w:val="0"/>
                      <w:marTop w:val="0"/>
                      <w:marBottom w:val="0"/>
                      <w:divBdr>
                        <w:top w:val="none" w:sz="0" w:space="0" w:color="auto"/>
                        <w:left w:val="none" w:sz="0" w:space="0" w:color="auto"/>
                        <w:bottom w:val="none" w:sz="0" w:space="0" w:color="auto"/>
                        <w:right w:val="none" w:sz="0" w:space="0" w:color="auto"/>
                      </w:divBdr>
                    </w:div>
                  </w:divsChild>
                </w:div>
                <w:div w:id="1971006971">
                  <w:marLeft w:val="0"/>
                  <w:marRight w:val="0"/>
                  <w:marTop w:val="0"/>
                  <w:marBottom w:val="0"/>
                  <w:divBdr>
                    <w:top w:val="none" w:sz="0" w:space="0" w:color="auto"/>
                    <w:left w:val="none" w:sz="0" w:space="0" w:color="auto"/>
                    <w:bottom w:val="none" w:sz="0" w:space="0" w:color="auto"/>
                    <w:right w:val="none" w:sz="0" w:space="0" w:color="auto"/>
                  </w:divBdr>
                  <w:divsChild>
                    <w:div w:id="1323317648">
                      <w:marLeft w:val="0"/>
                      <w:marRight w:val="0"/>
                      <w:marTop w:val="0"/>
                      <w:marBottom w:val="0"/>
                      <w:divBdr>
                        <w:top w:val="none" w:sz="0" w:space="0" w:color="auto"/>
                        <w:left w:val="none" w:sz="0" w:space="0" w:color="auto"/>
                        <w:bottom w:val="none" w:sz="0" w:space="0" w:color="auto"/>
                        <w:right w:val="none" w:sz="0" w:space="0" w:color="auto"/>
                      </w:divBdr>
                    </w:div>
                  </w:divsChild>
                </w:div>
                <w:div w:id="2000226271">
                  <w:marLeft w:val="0"/>
                  <w:marRight w:val="0"/>
                  <w:marTop w:val="0"/>
                  <w:marBottom w:val="0"/>
                  <w:divBdr>
                    <w:top w:val="none" w:sz="0" w:space="0" w:color="auto"/>
                    <w:left w:val="none" w:sz="0" w:space="0" w:color="auto"/>
                    <w:bottom w:val="none" w:sz="0" w:space="0" w:color="auto"/>
                    <w:right w:val="none" w:sz="0" w:space="0" w:color="auto"/>
                  </w:divBdr>
                  <w:divsChild>
                    <w:div w:id="1317341448">
                      <w:marLeft w:val="0"/>
                      <w:marRight w:val="0"/>
                      <w:marTop w:val="0"/>
                      <w:marBottom w:val="0"/>
                      <w:divBdr>
                        <w:top w:val="none" w:sz="0" w:space="0" w:color="auto"/>
                        <w:left w:val="none" w:sz="0" w:space="0" w:color="auto"/>
                        <w:bottom w:val="none" w:sz="0" w:space="0" w:color="auto"/>
                        <w:right w:val="none" w:sz="0" w:space="0" w:color="auto"/>
                      </w:divBdr>
                    </w:div>
                  </w:divsChild>
                </w:div>
                <w:div w:id="2031100355">
                  <w:marLeft w:val="0"/>
                  <w:marRight w:val="0"/>
                  <w:marTop w:val="0"/>
                  <w:marBottom w:val="0"/>
                  <w:divBdr>
                    <w:top w:val="none" w:sz="0" w:space="0" w:color="auto"/>
                    <w:left w:val="none" w:sz="0" w:space="0" w:color="auto"/>
                    <w:bottom w:val="none" w:sz="0" w:space="0" w:color="auto"/>
                    <w:right w:val="none" w:sz="0" w:space="0" w:color="auto"/>
                  </w:divBdr>
                  <w:divsChild>
                    <w:div w:id="530728761">
                      <w:marLeft w:val="0"/>
                      <w:marRight w:val="0"/>
                      <w:marTop w:val="0"/>
                      <w:marBottom w:val="0"/>
                      <w:divBdr>
                        <w:top w:val="none" w:sz="0" w:space="0" w:color="auto"/>
                        <w:left w:val="none" w:sz="0" w:space="0" w:color="auto"/>
                        <w:bottom w:val="none" w:sz="0" w:space="0" w:color="auto"/>
                        <w:right w:val="none" w:sz="0" w:space="0" w:color="auto"/>
                      </w:divBdr>
                    </w:div>
                  </w:divsChild>
                </w:div>
                <w:div w:id="2038657790">
                  <w:marLeft w:val="0"/>
                  <w:marRight w:val="0"/>
                  <w:marTop w:val="0"/>
                  <w:marBottom w:val="0"/>
                  <w:divBdr>
                    <w:top w:val="none" w:sz="0" w:space="0" w:color="auto"/>
                    <w:left w:val="none" w:sz="0" w:space="0" w:color="auto"/>
                    <w:bottom w:val="none" w:sz="0" w:space="0" w:color="auto"/>
                    <w:right w:val="none" w:sz="0" w:space="0" w:color="auto"/>
                  </w:divBdr>
                  <w:divsChild>
                    <w:div w:id="1628389393">
                      <w:marLeft w:val="0"/>
                      <w:marRight w:val="0"/>
                      <w:marTop w:val="0"/>
                      <w:marBottom w:val="0"/>
                      <w:divBdr>
                        <w:top w:val="none" w:sz="0" w:space="0" w:color="auto"/>
                        <w:left w:val="none" w:sz="0" w:space="0" w:color="auto"/>
                        <w:bottom w:val="none" w:sz="0" w:space="0" w:color="auto"/>
                        <w:right w:val="none" w:sz="0" w:space="0" w:color="auto"/>
                      </w:divBdr>
                    </w:div>
                  </w:divsChild>
                </w:div>
                <w:div w:id="2044010611">
                  <w:marLeft w:val="0"/>
                  <w:marRight w:val="0"/>
                  <w:marTop w:val="0"/>
                  <w:marBottom w:val="0"/>
                  <w:divBdr>
                    <w:top w:val="none" w:sz="0" w:space="0" w:color="auto"/>
                    <w:left w:val="none" w:sz="0" w:space="0" w:color="auto"/>
                    <w:bottom w:val="none" w:sz="0" w:space="0" w:color="auto"/>
                    <w:right w:val="none" w:sz="0" w:space="0" w:color="auto"/>
                  </w:divBdr>
                  <w:divsChild>
                    <w:div w:id="1029643019">
                      <w:marLeft w:val="0"/>
                      <w:marRight w:val="0"/>
                      <w:marTop w:val="0"/>
                      <w:marBottom w:val="0"/>
                      <w:divBdr>
                        <w:top w:val="none" w:sz="0" w:space="0" w:color="auto"/>
                        <w:left w:val="none" w:sz="0" w:space="0" w:color="auto"/>
                        <w:bottom w:val="none" w:sz="0" w:space="0" w:color="auto"/>
                        <w:right w:val="none" w:sz="0" w:space="0" w:color="auto"/>
                      </w:divBdr>
                    </w:div>
                  </w:divsChild>
                </w:div>
                <w:div w:id="2050689870">
                  <w:marLeft w:val="0"/>
                  <w:marRight w:val="0"/>
                  <w:marTop w:val="0"/>
                  <w:marBottom w:val="0"/>
                  <w:divBdr>
                    <w:top w:val="none" w:sz="0" w:space="0" w:color="auto"/>
                    <w:left w:val="none" w:sz="0" w:space="0" w:color="auto"/>
                    <w:bottom w:val="none" w:sz="0" w:space="0" w:color="auto"/>
                    <w:right w:val="none" w:sz="0" w:space="0" w:color="auto"/>
                  </w:divBdr>
                  <w:divsChild>
                    <w:div w:id="904536196">
                      <w:marLeft w:val="0"/>
                      <w:marRight w:val="0"/>
                      <w:marTop w:val="0"/>
                      <w:marBottom w:val="0"/>
                      <w:divBdr>
                        <w:top w:val="none" w:sz="0" w:space="0" w:color="auto"/>
                        <w:left w:val="none" w:sz="0" w:space="0" w:color="auto"/>
                        <w:bottom w:val="none" w:sz="0" w:space="0" w:color="auto"/>
                        <w:right w:val="none" w:sz="0" w:space="0" w:color="auto"/>
                      </w:divBdr>
                    </w:div>
                  </w:divsChild>
                </w:div>
                <w:div w:id="2074808805">
                  <w:marLeft w:val="0"/>
                  <w:marRight w:val="0"/>
                  <w:marTop w:val="0"/>
                  <w:marBottom w:val="0"/>
                  <w:divBdr>
                    <w:top w:val="none" w:sz="0" w:space="0" w:color="auto"/>
                    <w:left w:val="none" w:sz="0" w:space="0" w:color="auto"/>
                    <w:bottom w:val="none" w:sz="0" w:space="0" w:color="auto"/>
                    <w:right w:val="none" w:sz="0" w:space="0" w:color="auto"/>
                  </w:divBdr>
                  <w:divsChild>
                    <w:div w:id="503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0287">
      <w:bodyDiv w:val="1"/>
      <w:marLeft w:val="0"/>
      <w:marRight w:val="0"/>
      <w:marTop w:val="0"/>
      <w:marBottom w:val="0"/>
      <w:divBdr>
        <w:top w:val="none" w:sz="0" w:space="0" w:color="auto"/>
        <w:left w:val="none" w:sz="0" w:space="0" w:color="auto"/>
        <w:bottom w:val="none" w:sz="0" w:space="0" w:color="auto"/>
        <w:right w:val="none" w:sz="0" w:space="0" w:color="auto"/>
      </w:divBdr>
    </w:div>
    <w:div w:id="610018824">
      <w:bodyDiv w:val="1"/>
      <w:marLeft w:val="0"/>
      <w:marRight w:val="0"/>
      <w:marTop w:val="0"/>
      <w:marBottom w:val="0"/>
      <w:divBdr>
        <w:top w:val="none" w:sz="0" w:space="0" w:color="auto"/>
        <w:left w:val="none" w:sz="0" w:space="0" w:color="auto"/>
        <w:bottom w:val="none" w:sz="0" w:space="0" w:color="auto"/>
        <w:right w:val="none" w:sz="0" w:space="0" w:color="auto"/>
      </w:divBdr>
    </w:div>
    <w:div w:id="618415853">
      <w:bodyDiv w:val="1"/>
      <w:marLeft w:val="0"/>
      <w:marRight w:val="0"/>
      <w:marTop w:val="0"/>
      <w:marBottom w:val="0"/>
      <w:divBdr>
        <w:top w:val="none" w:sz="0" w:space="0" w:color="auto"/>
        <w:left w:val="none" w:sz="0" w:space="0" w:color="auto"/>
        <w:bottom w:val="none" w:sz="0" w:space="0" w:color="auto"/>
        <w:right w:val="none" w:sz="0" w:space="0" w:color="auto"/>
      </w:divBdr>
    </w:div>
    <w:div w:id="638998585">
      <w:bodyDiv w:val="1"/>
      <w:marLeft w:val="0"/>
      <w:marRight w:val="0"/>
      <w:marTop w:val="0"/>
      <w:marBottom w:val="0"/>
      <w:divBdr>
        <w:top w:val="none" w:sz="0" w:space="0" w:color="auto"/>
        <w:left w:val="none" w:sz="0" w:space="0" w:color="auto"/>
        <w:bottom w:val="none" w:sz="0" w:space="0" w:color="auto"/>
        <w:right w:val="none" w:sz="0" w:space="0" w:color="auto"/>
      </w:divBdr>
    </w:div>
    <w:div w:id="642463427">
      <w:bodyDiv w:val="1"/>
      <w:marLeft w:val="0"/>
      <w:marRight w:val="0"/>
      <w:marTop w:val="0"/>
      <w:marBottom w:val="0"/>
      <w:divBdr>
        <w:top w:val="none" w:sz="0" w:space="0" w:color="auto"/>
        <w:left w:val="none" w:sz="0" w:space="0" w:color="auto"/>
        <w:bottom w:val="none" w:sz="0" w:space="0" w:color="auto"/>
        <w:right w:val="none" w:sz="0" w:space="0" w:color="auto"/>
      </w:divBdr>
    </w:div>
    <w:div w:id="673147700">
      <w:bodyDiv w:val="1"/>
      <w:marLeft w:val="0"/>
      <w:marRight w:val="0"/>
      <w:marTop w:val="0"/>
      <w:marBottom w:val="0"/>
      <w:divBdr>
        <w:top w:val="none" w:sz="0" w:space="0" w:color="auto"/>
        <w:left w:val="none" w:sz="0" w:space="0" w:color="auto"/>
        <w:bottom w:val="none" w:sz="0" w:space="0" w:color="auto"/>
        <w:right w:val="none" w:sz="0" w:space="0" w:color="auto"/>
      </w:divBdr>
    </w:div>
    <w:div w:id="685712574">
      <w:bodyDiv w:val="1"/>
      <w:marLeft w:val="0"/>
      <w:marRight w:val="0"/>
      <w:marTop w:val="0"/>
      <w:marBottom w:val="0"/>
      <w:divBdr>
        <w:top w:val="none" w:sz="0" w:space="0" w:color="auto"/>
        <w:left w:val="none" w:sz="0" w:space="0" w:color="auto"/>
        <w:bottom w:val="none" w:sz="0" w:space="0" w:color="auto"/>
        <w:right w:val="none" w:sz="0" w:space="0" w:color="auto"/>
      </w:divBdr>
    </w:div>
    <w:div w:id="710233230">
      <w:bodyDiv w:val="1"/>
      <w:marLeft w:val="0"/>
      <w:marRight w:val="0"/>
      <w:marTop w:val="0"/>
      <w:marBottom w:val="0"/>
      <w:divBdr>
        <w:top w:val="none" w:sz="0" w:space="0" w:color="auto"/>
        <w:left w:val="none" w:sz="0" w:space="0" w:color="auto"/>
        <w:bottom w:val="none" w:sz="0" w:space="0" w:color="auto"/>
        <w:right w:val="none" w:sz="0" w:space="0" w:color="auto"/>
      </w:divBdr>
    </w:div>
    <w:div w:id="711423378">
      <w:bodyDiv w:val="1"/>
      <w:marLeft w:val="0"/>
      <w:marRight w:val="0"/>
      <w:marTop w:val="0"/>
      <w:marBottom w:val="0"/>
      <w:divBdr>
        <w:top w:val="none" w:sz="0" w:space="0" w:color="auto"/>
        <w:left w:val="none" w:sz="0" w:space="0" w:color="auto"/>
        <w:bottom w:val="none" w:sz="0" w:space="0" w:color="auto"/>
        <w:right w:val="none" w:sz="0" w:space="0" w:color="auto"/>
      </w:divBdr>
    </w:div>
    <w:div w:id="740566784">
      <w:bodyDiv w:val="1"/>
      <w:marLeft w:val="0"/>
      <w:marRight w:val="0"/>
      <w:marTop w:val="0"/>
      <w:marBottom w:val="0"/>
      <w:divBdr>
        <w:top w:val="none" w:sz="0" w:space="0" w:color="auto"/>
        <w:left w:val="none" w:sz="0" w:space="0" w:color="auto"/>
        <w:bottom w:val="none" w:sz="0" w:space="0" w:color="auto"/>
        <w:right w:val="none" w:sz="0" w:space="0" w:color="auto"/>
      </w:divBdr>
    </w:div>
    <w:div w:id="742023364">
      <w:bodyDiv w:val="1"/>
      <w:marLeft w:val="0"/>
      <w:marRight w:val="0"/>
      <w:marTop w:val="0"/>
      <w:marBottom w:val="0"/>
      <w:divBdr>
        <w:top w:val="none" w:sz="0" w:space="0" w:color="auto"/>
        <w:left w:val="none" w:sz="0" w:space="0" w:color="auto"/>
        <w:bottom w:val="none" w:sz="0" w:space="0" w:color="auto"/>
        <w:right w:val="none" w:sz="0" w:space="0" w:color="auto"/>
      </w:divBdr>
    </w:div>
    <w:div w:id="792556279">
      <w:bodyDiv w:val="1"/>
      <w:marLeft w:val="0"/>
      <w:marRight w:val="0"/>
      <w:marTop w:val="0"/>
      <w:marBottom w:val="0"/>
      <w:divBdr>
        <w:top w:val="none" w:sz="0" w:space="0" w:color="auto"/>
        <w:left w:val="none" w:sz="0" w:space="0" w:color="auto"/>
        <w:bottom w:val="none" w:sz="0" w:space="0" w:color="auto"/>
        <w:right w:val="none" w:sz="0" w:space="0" w:color="auto"/>
      </w:divBdr>
    </w:div>
    <w:div w:id="819345943">
      <w:bodyDiv w:val="1"/>
      <w:marLeft w:val="0"/>
      <w:marRight w:val="0"/>
      <w:marTop w:val="0"/>
      <w:marBottom w:val="0"/>
      <w:divBdr>
        <w:top w:val="none" w:sz="0" w:space="0" w:color="auto"/>
        <w:left w:val="none" w:sz="0" w:space="0" w:color="auto"/>
        <w:bottom w:val="none" w:sz="0" w:space="0" w:color="auto"/>
        <w:right w:val="none" w:sz="0" w:space="0" w:color="auto"/>
      </w:divBdr>
    </w:div>
    <w:div w:id="8255095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8181206">
      <w:bodyDiv w:val="1"/>
      <w:marLeft w:val="0"/>
      <w:marRight w:val="0"/>
      <w:marTop w:val="0"/>
      <w:marBottom w:val="0"/>
      <w:divBdr>
        <w:top w:val="none" w:sz="0" w:space="0" w:color="auto"/>
        <w:left w:val="none" w:sz="0" w:space="0" w:color="auto"/>
        <w:bottom w:val="none" w:sz="0" w:space="0" w:color="auto"/>
        <w:right w:val="none" w:sz="0" w:space="0" w:color="auto"/>
      </w:divBdr>
    </w:div>
    <w:div w:id="896940087">
      <w:bodyDiv w:val="1"/>
      <w:marLeft w:val="0"/>
      <w:marRight w:val="0"/>
      <w:marTop w:val="0"/>
      <w:marBottom w:val="0"/>
      <w:divBdr>
        <w:top w:val="none" w:sz="0" w:space="0" w:color="auto"/>
        <w:left w:val="none" w:sz="0" w:space="0" w:color="auto"/>
        <w:bottom w:val="none" w:sz="0" w:space="0" w:color="auto"/>
        <w:right w:val="none" w:sz="0" w:space="0" w:color="auto"/>
      </w:divBdr>
    </w:div>
    <w:div w:id="898903168">
      <w:bodyDiv w:val="1"/>
      <w:marLeft w:val="0"/>
      <w:marRight w:val="0"/>
      <w:marTop w:val="0"/>
      <w:marBottom w:val="0"/>
      <w:divBdr>
        <w:top w:val="none" w:sz="0" w:space="0" w:color="auto"/>
        <w:left w:val="none" w:sz="0" w:space="0" w:color="auto"/>
        <w:bottom w:val="none" w:sz="0" w:space="0" w:color="auto"/>
        <w:right w:val="none" w:sz="0" w:space="0" w:color="auto"/>
      </w:divBdr>
    </w:div>
    <w:div w:id="913398582">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947273428">
      <w:bodyDiv w:val="1"/>
      <w:marLeft w:val="0"/>
      <w:marRight w:val="0"/>
      <w:marTop w:val="0"/>
      <w:marBottom w:val="0"/>
      <w:divBdr>
        <w:top w:val="none" w:sz="0" w:space="0" w:color="auto"/>
        <w:left w:val="none" w:sz="0" w:space="0" w:color="auto"/>
        <w:bottom w:val="none" w:sz="0" w:space="0" w:color="auto"/>
        <w:right w:val="none" w:sz="0" w:space="0" w:color="auto"/>
      </w:divBdr>
    </w:div>
    <w:div w:id="957372458">
      <w:bodyDiv w:val="1"/>
      <w:marLeft w:val="0"/>
      <w:marRight w:val="0"/>
      <w:marTop w:val="0"/>
      <w:marBottom w:val="0"/>
      <w:divBdr>
        <w:top w:val="none" w:sz="0" w:space="0" w:color="auto"/>
        <w:left w:val="none" w:sz="0" w:space="0" w:color="auto"/>
        <w:bottom w:val="none" w:sz="0" w:space="0" w:color="auto"/>
        <w:right w:val="none" w:sz="0" w:space="0" w:color="auto"/>
      </w:divBdr>
      <w:divsChild>
        <w:div w:id="1314141719">
          <w:marLeft w:val="0"/>
          <w:marRight w:val="0"/>
          <w:marTop w:val="0"/>
          <w:marBottom w:val="0"/>
          <w:divBdr>
            <w:top w:val="none" w:sz="0" w:space="0" w:color="auto"/>
            <w:left w:val="none" w:sz="0" w:space="0" w:color="auto"/>
            <w:bottom w:val="none" w:sz="0" w:space="0" w:color="auto"/>
            <w:right w:val="none" w:sz="0" w:space="0" w:color="auto"/>
          </w:divBdr>
        </w:div>
        <w:div w:id="1491017856">
          <w:marLeft w:val="0"/>
          <w:marRight w:val="0"/>
          <w:marTop w:val="0"/>
          <w:marBottom w:val="0"/>
          <w:divBdr>
            <w:top w:val="none" w:sz="0" w:space="0" w:color="auto"/>
            <w:left w:val="none" w:sz="0" w:space="0" w:color="auto"/>
            <w:bottom w:val="none" w:sz="0" w:space="0" w:color="auto"/>
            <w:right w:val="none" w:sz="0" w:space="0" w:color="auto"/>
          </w:divBdr>
          <w:divsChild>
            <w:div w:id="705259506">
              <w:marLeft w:val="-75"/>
              <w:marRight w:val="0"/>
              <w:marTop w:val="30"/>
              <w:marBottom w:val="30"/>
              <w:divBdr>
                <w:top w:val="none" w:sz="0" w:space="0" w:color="auto"/>
                <w:left w:val="none" w:sz="0" w:space="0" w:color="auto"/>
                <w:bottom w:val="none" w:sz="0" w:space="0" w:color="auto"/>
                <w:right w:val="none" w:sz="0" w:space="0" w:color="auto"/>
              </w:divBdr>
              <w:divsChild>
                <w:div w:id="53744109">
                  <w:marLeft w:val="0"/>
                  <w:marRight w:val="0"/>
                  <w:marTop w:val="0"/>
                  <w:marBottom w:val="0"/>
                  <w:divBdr>
                    <w:top w:val="none" w:sz="0" w:space="0" w:color="auto"/>
                    <w:left w:val="none" w:sz="0" w:space="0" w:color="auto"/>
                    <w:bottom w:val="none" w:sz="0" w:space="0" w:color="auto"/>
                    <w:right w:val="none" w:sz="0" w:space="0" w:color="auto"/>
                  </w:divBdr>
                  <w:divsChild>
                    <w:div w:id="2047633001">
                      <w:marLeft w:val="0"/>
                      <w:marRight w:val="0"/>
                      <w:marTop w:val="0"/>
                      <w:marBottom w:val="0"/>
                      <w:divBdr>
                        <w:top w:val="none" w:sz="0" w:space="0" w:color="auto"/>
                        <w:left w:val="none" w:sz="0" w:space="0" w:color="auto"/>
                        <w:bottom w:val="none" w:sz="0" w:space="0" w:color="auto"/>
                        <w:right w:val="none" w:sz="0" w:space="0" w:color="auto"/>
                      </w:divBdr>
                    </w:div>
                  </w:divsChild>
                </w:div>
                <w:div w:id="85351243">
                  <w:marLeft w:val="0"/>
                  <w:marRight w:val="0"/>
                  <w:marTop w:val="0"/>
                  <w:marBottom w:val="0"/>
                  <w:divBdr>
                    <w:top w:val="none" w:sz="0" w:space="0" w:color="auto"/>
                    <w:left w:val="none" w:sz="0" w:space="0" w:color="auto"/>
                    <w:bottom w:val="none" w:sz="0" w:space="0" w:color="auto"/>
                    <w:right w:val="none" w:sz="0" w:space="0" w:color="auto"/>
                  </w:divBdr>
                  <w:divsChild>
                    <w:div w:id="2130083535">
                      <w:marLeft w:val="0"/>
                      <w:marRight w:val="0"/>
                      <w:marTop w:val="0"/>
                      <w:marBottom w:val="0"/>
                      <w:divBdr>
                        <w:top w:val="none" w:sz="0" w:space="0" w:color="auto"/>
                        <w:left w:val="none" w:sz="0" w:space="0" w:color="auto"/>
                        <w:bottom w:val="none" w:sz="0" w:space="0" w:color="auto"/>
                        <w:right w:val="none" w:sz="0" w:space="0" w:color="auto"/>
                      </w:divBdr>
                    </w:div>
                  </w:divsChild>
                </w:div>
                <w:div w:id="92674974">
                  <w:marLeft w:val="0"/>
                  <w:marRight w:val="0"/>
                  <w:marTop w:val="0"/>
                  <w:marBottom w:val="0"/>
                  <w:divBdr>
                    <w:top w:val="none" w:sz="0" w:space="0" w:color="auto"/>
                    <w:left w:val="none" w:sz="0" w:space="0" w:color="auto"/>
                    <w:bottom w:val="none" w:sz="0" w:space="0" w:color="auto"/>
                    <w:right w:val="none" w:sz="0" w:space="0" w:color="auto"/>
                  </w:divBdr>
                  <w:divsChild>
                    <w:div w:id="1663970487">
                      <w:marLeft w:val="0"/>
                      <w:marRight w:val="0"/>
                      <w:marTop w:val="0"/>
                      <w:marBottom w:val="0"/>
                      <w:divBdr>
                        <w:top w:val="none" w:sz="0" w:space="0" w:color="auto"/>
                        <w:left w:val="none" w:sz="0" w:space="0" w:color="auto"/>
                        <w:bottom w:val="none" w:sz="0" w:space="0" w:color="auto"/>
                        <w:right w:val="none" w:sz="0" w:space="0" w:color="auto"/>
                      </w:divBdr>
                    </w:div>
                  </w:divsChild>
                </w:div>
                <w:div w:id="93090989">
                  <w:marLeft w:val="0"/>
                  <w:marRight w:val="0"/>
                  <w:marTop w:val="0"/>
                  <w:marBottom w:val="0"/>
                  <w:divBdr>
                    <w:top w:val="none" w:sz="0" w:space="0" w:color="auto"/>
                    <w:left w:val="none" w:sz="0" w:space="0" w:color="auto"/>
                    <w:bottom w:val="none" w:sz="0" w:space="0" w:color="auto"/>
                    <w:right w:val="none" w:sz="0" w:space="0" w:color="auto"/>
                  </w:divBdr>
                  <w:divsChild>
                    <w:div w:id="198401157">
                      <w:marLeft w:val="0"/>
                      <w:marRight w:val="0"/>
                      <w:marTop w:val="0"/>
                      <w:marBottom w:val="0"/>
                      <w:divBdr>
                        <w:top w:val="none" w:sz="0" w:space="0" w:color="auto"/>
                        <w:left w:val="none" w:sz="0" w:space="0" w:color="auto"/>
                        <w:bottom w:val="none" w:sz="0" w:space="0" w:color="auto"/>
                        <w:right w:val="none" w:sz="0" w:space="0" w:color="auto"/>
                      </w:divBdr>
                    </w:div>
                  </w:divsChild>
                </w:div>
                <w:div w:id="124930063">
                  <w:marLeft w:val="0"/>
                  <w:marRight w:val="0"/>
                  <w:marTop w:val="0"/>
                  <w:marBottom w:val="0"/>
                  <w:divBdr>
                    <w:top w:val="none" w:sz="0" w:space="0" w:color="auto"/>
                    <w:left w:val="none" w:sz="0" w:space="0" w:color="auto"/>
                    <w:bottom w:val="none" w:sz="0" w:space="0" w:color="auto"/>
                    <w:right w:val="none" w:sz="0" w:space="0" w:color="auto"/>
                  </w:divBdr>
                  <w:divsChild>
                    <w:div w:id="1800413557">
                      <w:marLeft w:val="0"/>
                      <w:marRight w:val="0"/>
                      <w:marTop w:val="0"/>
                      <w:marBottom w:val="0"/>
                      <w:divBdr>
                        <w:top w:val="none" w:sz="0" w:space="0" w:color="auto"/>
                        <w:left w:val="none" w:sz="0" w:space="0" w:color="auto"/>
                        <w:bottom w:val="none" w:sz="0" w:space="0" w:color="auto"/>
                        <w:right w:val="none" w:sz="0" w:space="0" w:color="auto"/>
                      </w:divBdr>
                    </w:div>
                  </w:divsChild>
                </w:div>
                <w:div w:id="195317569">
                  <w:marLeft w:val="0"/>
                  <w:marRight w:val="0"/>
                  <w:marTop w:val="0"/>
                  <w:marBottom w:val="0"/>
                  <w:divBdr>
                    <w:top w:val="none" w:sz="0" w:space="0" w:color="auto"/>
                    <w:left w:val="none" w:sz="0" w:space="0" w:color="auto"/>
                    <w:bottom w:val="none" w:sz="0" w:space="0" w:color="auto"/>
                    <w:right w:val="none" w:sz="0" w:space="0" w:color="auto"/>
                  </w:divBdr>
                  <w:divsChild>
                    <w:div w:id="1892882224">
                      <w:marLeft w:val="0"/>
                      <w:marRight w:val="0"/>
                      <w:marTop w:val="0"/>
                      <w:marBottom w:val="0"/>
                      <w:divBdr>
                        <w:top w:val="none" w:sz="0" w:space="0" w:color="auto"/>
                        <w:left w:val="none" w:sz="0" w:space="0" w:color="auto"/>
                        <w:bottom w:val="none" w:sz="0" w:space="0" w:color="auto"/>
                        <w:right w:val="none" w:sz="0" w:space="0" w:color="auto"/>
                      </w:divBdr>
                    </w:div>
                  </w:divsChild>
                </w:div>
                <w:div w:id="224802409">
                  <w:marLeft w:val="0"/>
                  <w:marRight w:val="0"/>
                  <w:marTop w:val="0"/>
                  <w:marBottom w:val="0"/>
                  <w:divBdr>
                    <w:top w:val="none" w:sz="0" w:space="0" w:color="auto"/>
                    <w:left w:val="none" w:sz="0" w:space="0" w:color="auto"/>
                    <w:bottom w:val="none" w:sz="0" w:space="0" w:color="auto"/>
                    <w:right w:val="none" w:sz="0" w:space="0" w:color="auto"/>
                  </w:divBdr>
                  <w:divsChild>
                    <w:div w:id="1179730408">
                      <w:marLeft w:val="0"/>
                      <w:marRight w:val="0"/>
                      <w:marTop w:val="0"/>
                      <w:marBottom w:val="0"/>
                      <w:divBdr>
                        <w:top w:val="none" w:sz="0" w:space="0" w:color="auto"/>
                        <w:left w:val="none" w:sz="0" w:space="0" w:color="auto"/>
                        <w:bottom w:val="none" w:sz="0" w:space="0" w:color="auto"/>
                        <w:right w:val="none" w:sz="0" w:space="0" w:color="auto"/>
                      </w:divBdr>
                    </w:div>
                  </w:divsChild>
                </w:div>
                <w:div w:id="236289036">
                  <w:marLeft w:val="0"/>
                  <w:marRight w:val="0"/>
                  <w:marTop w:val="0"/>
                  <w:marBottom w:val="0"/>
                  <w:divBdr>
                    <w:top w:val="none" w:sz="0" w:space="0" w:color="auto"/>
                    <w:left w:val="none" w:sz="0" w:space="0" w:color="auto"/>
                    <w:bottom w:val="none" w:sz="0" w:space="0" w:color="auto"/>
                    <w:right w:val="none" w:sz="0" w:space="0" w:color="auto"/>
                  </w:divBdr>
                  <w:divsChild>
                    <w:div w:id="2067754519">
                      <w:marLeft w:val="0"/>
                      <w:marRight w:val="0"/>
                      <w:marTop w:val="0"/>
                      <w:marBottom w:val="0"/>
                      <w:divBdr>
                        <w:top w:val="none" w:sz="0" w:space="0" w:color="auto"/>
                        <w:left w:val="none" w:sz="0" w:space="0" w:color="auto"/>
                        <w:bottom w:val="none" w:sz="0" w:space="0" w:color="auto"/>
                        <w:right w:val="none" w:sz="0" w:space="0" w:color="auto"/>
                      </w:divBdr>
                    </w:div>
                  </w:divsChild>
                </w:div>
                <w:div w:id="283967489">
                  <w:marLeft w:val="0"/>
                  <w:marRight w:val="0"/>
                  <w:marTop w:val="0"/>
                  <w:marBottom w:val="0"/>
                  <w:divBdr>
                    <w:top w:val="none" w:sz="0" w:space="0" w:color="auto"/>
                    <w:left w:val="none" w:sz="0" w:space="0" w:color="auto"/>
                    <w:bottom w:val="none" w:sz="0" w:space="0" w:color="auto"/>
                    <w:right w:val="none" w:sz="0" w:space="0" w:color="auto"/>
                  </w:divBdr>
                  <w:divsChild>
                    <w:div w:id="1558709702">
                      <w:marLeft w:val="0"/>
                      <w:marRight w:val="0"/>
                      <w:marTop w:val="0"/>
                      <w:marBottom w:val="0"/>
                      <w:divBdr>
                        <w:top w:val="none" w:sz="0" w:space="0" w:color="auto"/>
                        <w:left w:val="none" w:sz="0" w:space="0" w:color="auto"/>
                        <w:bottom w:val="none" w:sz="0" w:space="0" w:color="auto"/>
                        <w:right w:val="none" w:sz="0" w:space="0" w:color="auto"/>
                      </w:divBdr>
                    </w:div>
                  </w:divsChild>
                </w:div>
                <w:div w:id="316232138">
                  <w:marLeft w:val="0"/>
                  <w:marRight w:val="0"/>
                  <w:marTop w:val="0"/>
                  <w:marBottom w:val="0"/>
                  <w:divBdr>
                    <w:top w:val="none" w:sz="0" w:space="0" w:color="auto"/>
                    <w:left w:val="none" w:sz="0" w:space="0" w:color="auto"/>
                    <w:bottom w:val="none" w:sz="0" w:space="0" w:color="auto"/>
                    <w:right w:val="none" w:sz="0" w:space="0" w:color="auto"/>
                  </w:divBdr>
                  <w:divsChild>
                    <w:div w:id="1918128364">
                      <w:marLeft w:val="0"/>
                      <w:marRight w:val="0"/>
                      <w:marTop w:val="0"/>
                      <w:marBottom w:val="0"/>
                      <w:divBdr>
                        <w:top w:val="none" w:sz="0" w:space="0" w:color="auto"/>
                        <w:left w:val="none" w:sz="0" w:space="0" w:color="auto"/>
                        <w:bottom w:val="none" w:sz="0" w:space="0" w:color="auto"/>
                        <w:right w:val="none" w:sz="0" w:space="0" w:color="auto"/>
                      </w:divBdr>
                    </w:div>
                  </w:divsChild>
                </w:div>
                <w:div w:id="330648531">
                  <w:marLeft w:val="0"/>
                  <w:marRight w:val="0"/>
                  <w:marTop w:val="0"/>
                  <w:marBottom w:val="0"/>
                  <w:divBdr>
                    <w:top w:val="none" w:sz="0" w:space="0" w:color="auto"/>
                    <w:left w:val="none" w:sz="0" w:space="0" w:color="auto"/>
                    <w:bottom w:val="none" w:sz="0" w:space="0" w:color="auto"/>
                    <w:right w:val="none" w:sz="0" w:space="0" w:color="auto"/>
                  </w:divBdr>
                  <w:divsChild>
                    <w:div w:id="228423579">
                      <w:marLeft w:val="0"/>
                      <w:marRight w:val="0"/>
                      <w:marTop w:val="0"/>
                      <w:marBottom w:val="0"/>
                      <w:divBdr>
                        <w:top w:val="none" w:sz="0" w:space="0" w:color="auto"/>
                        <w:left w:val="none" w:sz="0" w:space="0" w:color="auto"/>
                        <w:bottom w:val="none" w:sz="0" w:space="0" w:color="auto"/>
                        <w:right w:val="none" w:sz="0" w:space="0" w:color="auto"/>
                      </w:divBdr>
                    </w:div>
                  </w:divsChild>
                </w:div>
                <w:div w:id="331881818">
                  <w:marLeft w:val="0"/>
                  <w:marRight w:val="0"/>
                  <w:marTop w:val="0"/>
                  <w:marBottom w:val="0"/>
                  <w:divBdr>
                    <w:top w:val="none" w:sz="0" w:space="0" w:color="auto"/>
                    <w:left w:val="none" w:sz="0" w:space="0" w:color="auto"/>
                    <w:bottom w:val="none" w:sz="0" w:space="0" w:color="auto"/>
                    <w:right w:val="none" w:sz="0" w:space="0" w:color="auto"/>
                  </w:divBdr>
                  <w:divsChild>
                    <w:div w:id="392971546">
                      <w:marLeft w:val="0"/>
                      <w:marRight w:val="0"/>
                      <w:marTop w:val="0"/>
                      <w:marBottom w:val="0"/>
                      <w:divBdr>
                        <w:top w:val="none" w:sz="0" w:space="0" w:color="auto"/>
                        <w:left w:val="none" w:sz="0" w:space="0" w:color="auto"/>
                        <w:bottom w:val="none" w:sz="0" w:space="0" w:color="auto"/>
                        <w:right w:val="none" w:sz="0" w:space="0" w:color="auto"/>
                      </w:divBdr>
                    </w:div>
                  </w:divsChild>
                </w:div>
                <w:div w:id="344943844">
                  <w:marLeft w:val="0"/>
                  <w:marRight w:val="0"/>
                  <w:marTop w:val="0"/>
                  <w:marBottom w:val="0"/>
                  <w:divBdr>
                    <w:top w:val="none" w:sz="0" w:space="0" w:color="auto"/>
                    <w:left w:val="none" w:sz="0" w:space="0" w:color="auto"/>
                    <w:bottom w:val="none" w:sz="0" w:space="0" w:color="auto"/>
                    <w:right w:val="none" w:sz="0" w:space="0" w:color="auto"/>
                  </w:divBdr>
                  <w:divsChild>
                    <w:div w:id="578248081">
                      <w:marLeft w:val="0"/>
                      <w:marRight w:val="0"/>
                      <w:marTop w:val="0"/>
                      <w:marBottom w:val="0"/>
                      <w:divBdr>
                        <w:top w:val="none" w:sz="0" w:space="0" w:color="auto"/>
                        <w:left w:val="none" w:sz="0" w:space="0" w:color="auto"/>
                        <w:bottom w:val="none" w:sz="0" w:space="0" w:color="auto"/>
                        <w:right w:val="none" w:sz="0" w:space="0" w:color="auto"/>
                      </w:divBdr>
                    </w:div>
                  </w:divsChild>
                </w:div>
                <w:div w:id="368532092">
                  <w:marLeft w:val="0"/>
                  <w:marRight w:val="0"/>
                  <w:marTop w:val="0"/>
                  <w:marBottom w:val="0"/>
                  <w:divBdr>
                    <w:top w:val="none" w:sz="0" w:space="0" w:color="auto"/>
                    <w:left w:val="none" w:sz="0" w:space="0" w:color="auto"/>
                    <w:bottom w:val="none" w:sz="0" w:space="0" w:color="auto"/>
                    <w:right w:val="none" w:sz="0" w:space="0" w:color="auto"/>
                  </w:divBdr>
                  <w:divsChild>
                    <w:div w:id="616108747">
                      <w:marLeft w:val="0"/>
                      <w:marRight w:val="0"/>
                      <w:marTop w:val="0"/>
                      <w:marBottom w:val="0"/>
                      <w:divBdr>
                        <w:top w:val="none" w:sz="0" w:space="0" w:color="auto"/>
                        <w:left w:val="none" w:sz="0" w:space="0" w:color="auto"/>
                        <w:bottom w:val="none" w:sz="0" w:space="0" w:color="auto"/>
                        <w:right w:val="none" w:sz="0" w:space="0" w:color="auto"/>
                      </w:divBdr>
                    </w:div>
                  </w:divsChild>
                </w:div>
                <w:div w:id="390154781">
                  <w:marLeft w:val="0"/>
                  <w:marRight w:val="0"/>
                  <w:marTop w:val="0"/>
                  <w:marBottom w:val="0"/>
                  <w:divBdr>
                    <w:top w:val="none" w:sz="0" w:space="0" w:color="auto"/>
                    <w:left w:val="none" w:sz="0" w:space="0" w:color="auto"/>
                    <w:bottom w:val="none" w:sz="0" w:space="0" w:color="auto"/>
                    <w:right w:val="none" w:sz="0" w:space="0" w:color="auto"/>
                  </w:divBdr>
                  <w:divsChild>
                    <w:div w:id="1955091029">
                      <w:marLeft w:val="0"/>
                      <w:marRight w:val="0"/>
                      <w:marTop w:val="0"/>
                      <w:marBottom w:val="0"/>
                      <w:divBdr>
                        <w:top w:val="none" w:sz="0" w:space="0" w:color="auto"/>
                        <w:left w:val="none" w:sz="0" w:space="0" w:color="auto"/>
                        <w:bottom w:val="none" w:sz="0" w:space="0" w:color="auto"/>
                        <w:right w:val="none" w:sz="0" w:space="0" w:color="auto"/>
                      </w:divBdr>
                    </w:div>
                  </w:divsChild>
                </w:div>
                <w:div w:id="392897270">
                  <w:marLeft w:val="0"/>
                  <w:marRight w:val="0"/>
                  <w:marTop w:val="0"/>
                  <w:marBottom w:val="0"/>
                  <w:divBdr>
                    <w:top w:val="none" w:sz="0" w:space="0" w:color="auto"/>
                    <w:left w:val="none" w:sz="0" w:space="0" w:color="auto"/>
                    <w:bottom w:val="none" w:sz="0" w:space="0" w:color="auto"/>
                    <w:right w:val="none" w:sz="0" w:space="0" w:color="auto"/>
                  </w:divBdr>
                  <w:divsChild>
                    <w:div w:id="102264006">
                      <w:marLeft w:val="0"/>
                      <w:marRight w:val="0"/>
                      <w:marTop w:val="0"/>
                      <w:marBottom w:val="0"/>
                      <w:divBdr>
                        <w:top w:val="none" w:sz="0" w:space="0" w:color="auto"/>
                        <w:left w:val="none" w:sz="0" w:space="0" w:color="auto"/>
                        <w:bottom w:val="none" w:sz="0" w:space="0" w:color="auto"/>
                        <w:right w:val="none" w:sz="0" w:space="0" w:color="auto"/>
                      </w:divBdr>
                    </w:div>
                  </w:divsChild>
                </w:div>
                <w:div w:id="418524883">
                  <w:marLeft w:val="0"/>
                  <w:marRight w:val="0"/>
                  <w:marTop w:val="0"/>
                  <w:marBottom w:val="0"/>
                  <w:divBdr>
                    <w:top w:val="none" w:sz="0" w:space="0" w:color="auto"/>
                    <w:left w:val="none" w:sz="0" w:space="0" w:color="auto"/>
                    <w:bottom w:val="none" w:sz="0" w:space="0" w:color="auto"/>
                    <w:right w:val="none" w:sz="0" w:space="0" w:color="auto"/>
                  </w:divBdr>
                  <w:divsChild>
                    <w:div w:id="958954345">
                      <w:marLeft w:val="0"/>
                      <w:marRight w:val="0"/>
                      <w:marTop w:val="0"/>
                      <w:marBottom w:val="0"/>
                      <w:divBdr>
                        <w:top w:val="none" w:sz="0" w:space="0" w:color="auto"/>
                        <w:left w:val="none" w:sz="0" w:space="0" w:color="auto"/>
                        <w:bottom w:val="none" w:sz="0" w:space="0" w:color="auto"/>
                        <w:right w:val="none" w:sz="0" w:space="0" w:color="auto"/>
                      </w:divBdr>
                    </w:div>
                  </w:divsChild>
                </w:div>
                <w:div w:id="464203655">
                  <w:marLeft w:val="0"/>
                  <w:marRight w:val="0"/>
                  <w:marTop w:val="0"/>
                  <w:marBottom w:val="0"/>
                  <w:divBdr>
                    <w:top w:val="none" w:sz="0" w:space="0" w:color="auto"/>
                    <w:left w:val="none" w:sz="0" w:space="0" w:color="auto"/>
                    <w:bottom w:val="none" w:sz="0" w:space="0" w:color="auto"/>
                    <w:right w:val="none" w:sz="0" w:space="0" w:color="auto"/>
                  </w:divBdr>
                  <w:divsChild>
                    <w:div w:id="2042704840">
                      <w:marLeft w:val="0"/>
                      <w:marRight w:val="0"/>
                      <w:marTop w:val="0"/>
                      <w:marBottom w:val="0"/>
                      <w:divBdr>
                        <w:top w:val="none" w:sz="0" w:space="0" w:color="auto"/>
                        <w:left w:val="none" w:sz="0" w:space="0" w:color="auto"/>
                        <w:bottom w:val="none" w:sz="0" w:space="0" w:color="auto"/>
                        <w:right w:val="none" w:sz="0" w:space="0" w:color="auto"/>
                      </w:divBdr>
                    </w:div>
                  </w:divsChild>
                </w:div>
                <w:div w:id="491335258">
                  <w:marLeft w:val="0"/>
                  <w:marRight w:val="0"/>
                  <w:marTop w:val="0"/>
                  <w:marBottom w:val="0"/>
                  <w:divBdr>
                    <w:top w:val="none" w:sz="0" w:space="0" w:color="auto"/>
                    <w:left w:val="none" w:sz="0" w:space="0" w:color="auto"/>
                    <w:bottom w:val="none" w:sz="0" w:space="0" w:color="auto"/>
                    <w:right w:val="none" w:sz="0" w:space="0" w:color="auto"/>
                  </w:divBdr>
                  <w:divsChild>
                    <w:div w:id="2042708093">
                      <w:marLeft w:val="0"/>
                      <w:marRight w:val="0"/>
                      <w:marTop w:val="0"/>
                      <w:marBottom w:val="0"/>
                      <w:divBdr>
                        <w:top w:val="none" w:sz="0" w:space="0" w:color="auto"/>
                        <w:left w:val="none" w:sz="0" w:space="0" w:color="auto"/>
                        <w:bottom w:val="none" w:sz="0" w:space="0" w:color="auto"/>
                        <w:right w:val="none" w:sz="0" w:space="0" w:color="auto"/>
                      </w:divBdr>
                    </w:div>
                  </w:divsChild>
                </w:div>
                <w:div w:id="500195554">
                  <w:marLeft w:val="0"/>
                  <w:marRight w:val="0"/>
                  <w:marTop w:val="0"/>
                  <w:marBottom w:val="0"/>
                  <w:divBdr>
                    <w:top w:val="none" w:sz="0" w:space="0" w:color="auto"/>
                    <w:left w:val="none" w:sz="0" w:space="0" w:color="auto"/>
                    <w:bottom w:val="none" w:sz="0" w:space="0" w:color="auto"/>
                    <w:right w:val="none" w:sz="0" w:space="0" w:color="auto"/>
                  </w:divBdr>
                  <w:divsChild>
                    <w:div w:id="397629110">
                      <w:marLeft w:val="0"/>
                      <w:marRight w:val="0"/>
                      <w:marTop w:val="0"/>
                      <w:marBottom w:val="0"/>
                      <w:divBdr>
                        <w:top w:val="none" w:sz="0" w:space="0" w:color="auto"/>
                        <w:left w:val="none" w:sz="0" w:space="0" w:color="auto"/>
                        <w:bottom w:val="none" w:sz="0" w:space="0" w:color="auto"/>
                        <w:right w:val="none" w:sz="0" w:space="0" w:color="auto"/>
                      </w:divBdr>
                    </w:div>
                  </w:divsChild>
                </w:div>
                <w:div w:id="501966704">
                  <w:marLeft w:val="0"/>
                  <w:marRight w:val="0"/>
                  <w:marTop w:val="0"/>
                  <w:marBottom w:val="0"/>
                  <w:divBdr>
                    <w:top w:val="none" w:sz="0" w:space="0" w:color="auto"/>
                    <w:left w:val="none" w:sz="0" w:space="0" w:color="auto"/>
                    <w:bottom w:val="none" w:sz="0" w:space="0" w:color="auto"/>
                    <w:right w:val="none" w:sz="0" w:space="0" w:color="auto"/>
                  </w:divBdr>
                  <w:divsChild>
                    <w:div w:id="667829467">
                      <w:marLeft w:val="0"/>
                      <w:marRight w:val="0"/>
                      <w:marTop w:val="0"/>
                      <w:marBottom w:val="0"/>
                      <w:divBdr>
                        <w:top w:val="none" w:sz="0" w:space="0" w:color="auto"/>
                        <w:left w:val="none" w:sz="0" w:space="0" w:color="auto"/>
                        <w:bottom w:val="none" w:sz="0" w:space="0" w:color="auto"/>
                        <w:right w:val="none" w:sz="0" w:space="0" w:color="auto"/>
                      </w:divBdr>
                    </w:div>
                  </w:divsChild>
                </w:div>
                <w:div w:id="511265125">
                  <w:marLeft w:val="0"/>
                  <w:marRight w:val="0"/>
                  <w:marTop w:val="0"/>
                  <w:marBottom w:val="0"/>
                  <w:divBdr>
                    <w:top w:val="none" w:sz="0" w:space="0" w:color="auto"/>
                    <w:left w:val="none" w:sz="0" w:space="0" w:color="auto"/>
                    <w:bottom w:val="none" w:sz="0" w:space="0" w:color="auto"/>
                    <w:right w:val="none" w:sz="0" w:space="0" w:color="auto"/>
                  </w:divBdr>
                  <w:divsChild>
                    <w:div w:id="506333385">
                      <w:marLeft w:val="0"/>
                      <w:marRight w:val="0"/>
                      <w:marTop w:val="0"/>
                      <w:marBottom w:val="0"/>
                      <w:divBdr>
                        <w:top w:val="none" w:sz="0" w:space="0" w:color="auto"/>
                        <w:left w:val="none" w:sz="0" w:space="0" w:color="auto"/>
                        <w:bottom w:val="none" w:sz="0" w:space="0" w:color="auto"/>
                        <w:right w:val="none" w:sz="0" w:space="0" w:color="auto"/>
                      </w:divBdr>
                    </w:div>
                  </w:divsChild>
                </w:div>
                <w:div w:id="542133583">
                  <w:marLeft w:val="0"/>
                  <w:marRight w:val="0"/>
                  <w:marTop w:val="0"/>
                  <w:marBottom w:val="0"/>
                  <w:divBdr>
                    <w:top w:val="none" w:sz="0" w:space="0" w:color="auto"/>
                    <w:left w:val="none" w:sz="0" w:space="0" w:color="auto"/>
                    <w:bottom w:val="none" w:sz="0" w:space="0" w:color="auto"/>
                    <w:right w:val="none" w:sz="0" w:space="0" w:color="auto"/>
                  </w:divBdr>
                  <w:divsChild>
                    <w:div w:id="1112432094">
                      <w:marLeft w:val="0"/>
                      <w:marRight w:val="0"/>
                      <w:marTop w:val="0"/>
                      <w:marBottom w:val="0"/>
                      <w:divBdr>
                        <w:top w:val="none" w:sz="0" w:space="0" w:color="auto"/>
                        <w:left w:val="none" w:sz="0" w:space="0" w:color="auto"/>
                        <w:bottom w:val="none" w:sz="0" w:space="0" w:color="auto"/>
                        <w:right w:val="none" w:sz="0" w:space="0" w:color="auto"/>
                      </w:divBdr>
                    </w:div>
                  </w:divsChild>
                </w:div>
                <w:div w:id="555818422">
                  <w:marLeft w:val="0"/>
                  <w:marRight w:val="0"/>
                  <w:marTop w:val="0"/>
                  <w:marBottom w:val="0"/>
                  <w:divBdr>
                    <w:top w:val="none" w:sz="0" w:space="0" w:color="auto"/>
                    <w:left w:val="none" w:sz="0" w:space="0" w:color="auto"/>
                    <w:bottom w:val="none" w:sz="0" w:space="0" w:color="auto"/>
                    <w:right w:val="none" w:sz="0" w:space="0" w:color="auto"/>
                  </w:divBdr>
                  <w:divsChild>
                    <w:div w:id="910626925">
                      <w:marLeft w:val="0"/>
                      <w:marRight w:val="0"/>
                      <w:marTop w:val="0"/>
                      <w:marBottom w:val="0"/>
                      <w:divBdr>
                        <w:top w:val="none" w:sz="0" w:space="0" w:color="auto"/>
                        <w:left w:val="none" w:sz="0" w:space="0" w:color="auto"/>
                        <w:bottom w:val="none" w:sz="0" w:space="0" w:color="auto"/>
                        <w:right w:val="none" w:sz="0" w:space="0" w:color="auto"/>
                      </w:divBdr>
                    </w:div>
                  </w:divsChild>
                </w:div>
                <w:div w:id="575432915">
                  <w:marLeft w:val="0"/>
                  <w:marRight w:val="0"/>
                  <w:marTop w:val="0"/>
                  <w:marBottom w:val="0"/>
                  <w:divBdr>
                    <w:top w:val="none" w:sz="0" w:space="0" w:color="auto"/>
                    <w:left w:val="none" w:sz="0" w:space="0" w:color="auto"/>
                    <w:bottom w:val="none" w:sz="0" w:space="0" w:color="auto"/>
                    <w:right w:val="none" w:sz="0" w:space="0" w:color="auto"/>
                  </w:divBdr>
                  <w:divsChild>
                    <w:div w:id="1505126902">
                      <w:marLeft w:val="0"/>
                      <w:marRight w:val="0"/>
                      <w:marTop w:val="0"/>
                      <w:marBottom w:val="0"/>
                      <w:divBdr>
                        <w:top w:val="none" w:sz="0" w:space="0" w:color="auto"/>
                        <w:left w:val="none" w:sz="0" w:space="0" w:color="auto"/>
                        <w:bottom w:val="none" w:sz="0" w:space="0" w:color="auto"/>
                        <w:right w:val="none" w:sz="0" w:space="0" w:color="auto"/>
                      </w:divBdr>
                    </w:div>
                  </w:divsChild>
                </w:div>
                <w:div w:id="582035053">
                  <w:marLeft w:val="0"/>
                  <w:marRight w:val="0"/>
                  <w:marTop w:val="0"/>
                  <w:marBottom w:val="0"/>
                  <w:divBdr>
                    <w:top w:val="none" w:sz="0" w:space="0" w:color="auto"/>
                    <w:left w:val="none" w:sz="0" w:space="0" w:color="auto"/>
                    <w:bottom w:val="none" w:sz="0" w:space="0" w:color="auto"/>
                    <w:right w:val="none" w:sz="0" w:space="0" w:color="auto"/>
                  </w:divBdr>
                  <w:divsChild>
                    <w:div w:id="316963062">
                      <w:marLeft w:val="0"/>
                      <w:marRight w:val="0"/>
                      <w:marTop w:val="0"/>
                      <w:marBottom w:val="0"/>
                      <w:divBdr>
                        <w:top w:val="none" w:sz="0" w:space="0" w:color="auto"/>
                        <w:left w:val="none" w:sz="0" w:space="0" w:color="auto"/>
                        <w:bottom w:val="none" w:sz="0" w:space="0" w:color="auto"/>
                        <w:right w:val="none" w:sz="0" w:space="0" w:color="auto"/>
                      </w:divBdr>
                    </w:div>
                  </w:divsChild>
                </w:div>
                <w:div w:id="617180488">
                  <w:marLeft w:val="0"/>
                  <w:marRight w:val="0"/>
                  <w:marTop w:val="0"/>
                  <w:marBottom w:val="0"/>
                  <w:divBdr>
                    <w:top w:val="none" w:sz="0" w:space="0" w:color="auto"/>
                    <w:left w:val="none" w:sz="0" w:space="0" w:color="auto"/>
                    <w:bottom w:val="none" w:sz="0" w:space="0" w:color="auto"/>
                    <w:right w:val="none" w:sz="0" w:space="0" w:color="auto"/>
                  </w:divBdr>
                  <w:divsChild>
                    <w:div w:id="1423145266">
                      <w:marLeft w:val="0"/>
                      <w:marRight w:val="0"/>
                      <w:marTop w:val="0"/>
                      <w:marBottom w:val="0"/>
                      <w:divBdr>
                        <w:top w:val="none" w:sz="0" w:space="0" w:color="auto"/>
                        <w:left w:val="none" w:sz="0" w:space="0" w:color="auto"/>
                        <w:bottom w:val="none" w:sz="0" w:space="0" w:color="auto"/>
                        <w:right w:val="none" w:sz="0" w:space="0" w:color="auto"/>
                      </w:divBdr>
                    </w:div>
                  </w:divsChild>
                </w:div>
                <w:div w:id="625233911">
                  <w:marLeft w:val="0"/>
                  <w:marRight w:val="0"/>
                  <w:marTop w:val="0"/>
                  <w:marBottom w:val="0"/>
                  <w:divBdr>
                    <w:top w:val="none" w:sz="0" w:space="0" w:color="auto"/>
                    <w:left w:val="none" w:sz="0" w:space="0" w:color="auto"/>
                    <w:bottom w:val="none" w:sz="0" w:space="0" w:color="auto"/>
                    <w:right w:val="none" w:sz="0" w:space="0" w:color="auto"/>
                  </w:divBdr>
                  <w:divsChild>
                    <w:div w:id="326180076">
                      <w:marLeft w:val="0"/>
                      <w:marRight w:val="0"/>
                      <w:marTop w:val="0"/>
                      <w:marBottom w:val="0"/>
                      <w:divBdr>
                        <w:top w:val="none" w:sz="0" w:space="0" w:color="auto"/>
                        <w:left w:val="none" w:sz="0" w:space="0" w:color="auto"/>
                        <w:bottom w:val="none" w:sz="0" w:space="0" w:color="auto"/>
                        <w:right w:val="none" w:sz="0" w:space="0" w:color="auto"/>
                      </w:divBdr>
                    </w:div>
                  </w:divsChild>
                </w:div>
                <w:div w:id="651063608">
                  <w:marLeft w:val="0"/>
                  <w:marRight w:val="0"/>
                  <w:marTop w:val="0"/>
                  <w:marBottom w:val="0"/>
                  <w:divBdr>
                    <w:top w:val="none" w:sz="0" w:space="0" w:color="auto"/>
                    <w:left w:val="none" w:sz="0" w:space="0" w:color="auto"/>
                    <w:bottom w:val="none" w:sz="0" w:space="0" w:color="auto"/>
                    <w:right w:val="none" w:sz="0" w:space="0" w:color="auto"/>
                  </w:divBdr>
                  <w:divsChild>
                    <w:div w:id="99685882">
                      <w:marLeft w:val="0"/>
                      <w:marRight w:val="0"/>
                      <w:marTop w:val="0"/>
                      <w:marBottom w:val="0"/>
                      <w:divBdr>
                        <w:top w:val="none" w:sz="0" w:space="0" w:color="auto"/>
                        <w:left w:val="none" w:sz="0" w:space="0" w:color="auto"/>
                        <w:bottom w:val="none" w:sz="0" w:space="0" w:color="auto"/>
                        <w:right w:val="none" w:sz="0" w:space="0" w:color="auto"/>
                      </w:divBdr>
                    </w:div>
                  </w:divsChild>
                </w:div>
                <w:div w:id="775561915">
                  <w:marLeft w:val="0"/>
                  <w:marRight w:val="0"/>
                  <w:marTop w:val="0"/>
                  <w:marBottom w:val="0"/>
                  <w:divBdr>
                    <w:top w:val="none" w:sz="0" w:space="0" w:color="auto"/>
                    <w:left w:val="none" w:sz="0" w:space="0" w:color="auto"/>
                    <w:bottom w:val="none" w:sz="0" w:space="0" w:color="auto"/>
                    <w:right w:val="none" w:sz="0" w:space="0" w:color="auto"/>
                  </w:divBdr>
                  <w:divsChild>
                    <w:div w:id="1725179995">
                      <w:marLeft w:val="0"/>
                      <w:marRight w:val="0"/>
                      <w:marTop w:val="0"/>
                      <w:marBottom w:val="0"/>
                      <w:divBdr>
                        <w:top w:val="none" w:sz="0" w:space="0" w:color="auto"/>
                        <w:left w:val="none" w:sz="0" w:space="0" w:color="auto"/>
                        <w:bottom w:val="none" w:sz="0" w:space="0" w:color="auto"/>
                        <w:right w:val="none" w:sz="0" w:space="0" w:color="auto"/>
                      </w:divBdr>
                    </w:div>
                  </w:divsChild>
                </w:div>
                <w:div w:id="796485456">
                  <w:marLeft w:val="0"/>
                  <w:marRight w:val="0"/>
                  <w:marTop w:val="0"/>
                  <w:marBottom w:val="0"/>
                  <w:divBdr>
                    <w:top w:val="none" w:sz="0" w:space="0" w:color="auto"/>
                    <w:left w:val="none" w:sz="0" w:space="0" w:color="auto"/>
                    <w:bottom w:val="none" w:sz="0" w:space="0" w:color="auto"/>
                    <w:right w:val="none" w:sz="0" w:space="0" w:color="auto"/>
                  </w:divBdr>
                  <w:divsChild>
                    <w:div w:id="2067216316">
                      <w:marLeft w:val="0"/>
                      <w:marRight w:val="0"/>
                      <w:marTop w:val="0"/>
                      <w:marBottom w:val="0"/>
                      <w:divBdr>
                        <w:top w:val="none" w:sz="0" w:space="0" w:color="auto"/>
                        <w:left w:val="none" w:sz="0" w:space="0" w:color="auto"/>
                        <w:bottom w:val="none" w:sz="0" w:space="0" w:color="auto"/>
                        <w:right w:val="none" w:sz="0" w:space="0" w:color="auto"/>
                      </w:divBdr>
                    </w:div>
                  </w:divsChild>
                </w:div>
                <w:div w:id="811216685">
                  <w:marLeft w:val="0"/>
                  <w:marRight w:val="0"/>
                  <w:marTop w:val="0"/>
                  <w:marBottom w:val="0"/>
                  <w:divBdr>
                    <w:top w:val="none" w:sz="0" w:space="0" w:color="auto"/>
                    <w:left w:val="none" w:sz="0" w:space="0" w:color="auto"/>
                    <w:bottom w:val="none" w:sz="0" w:space="0" w:color="auto"/>
                    <w:right w:val="none" w:sz="0" w:space="0" w:color="auto"/>
                  </w:divBdr>
                  <w:divsChild>
                    <w:div w:id="526256310">
                      <w:marLeft w:val="0"/>
                      <w:marRight w:val="0"/>
                      <w:marTop w:val="0"/>
                      <w:marBottom w:val="0"/>
                      <w:divBdr>
                        <w:top w:val="none" w:sz="0" w:space="0" w:color="auto"/>
                        <w:left w:val="none" w:sz="0" w:space="0" w:color="auto"/>
                        <w:bottom w:val="none" w:sz="0" w:space="0" w:color="auto"/>
                        <w:right w:val="none" w:sz="0" w:space="0" w:color="auto"/>
                      </w:divBdr>
                    </w:div>
                  </w:divsChild>
                </w:div>
                <w:div w:id="854459992">
                  <w:marLeft w:val="0"/>
                  <w:marRight w:val="0"/>
                  <w:marTop w:val="0"/>
                  <w:marBottom w:val="0"/>
                  <w:divBdr>
                    <w:top w:val="none" w:sz="0" w:space="0" w:color="auto"/>
                    <w:left w:val="none" w:sz="0" w:space="0" w:color="auto"/>
                    <w:bottom w:val="none" w:sz="0" w:space="0" w:color="auto"/>
                    <w:right w:val="none" w:sz="0" w:space="0" w:color="auto"/>
                  </w:divBdr>
                  <w:divsChild>
                    <w:div w:id="487206643">
                      <w:marLeft w:val="0"/>
                      <w:marRight w:val="0"/>
                      <w:marTop w:val="0"/>
                      <w:marBottom w:val="0"/>
                      <w:divBdr>
                        <w:top w:val="none" w:sz="0" w:space="0" w:color="auto"/>
                        <w:left w:val="none" w:sz="0" w:space="0" w:color="auto"/>
                        <w:bottom w:val="none" w:sz="0" w:space="0" w:color="auto"/>
                        <w:right w:val="none" w:sz="0" w:space="0" w:color="auto"/>
                      </w:divBdr>
                    </w:div>
                  </w:divsChild>
                </w:div>
                <w:div w:id="867959517">
                  <w:marLeft w:val="0"/>
                  <w:marRight w:val="0"/>
                  <w:marTop w:val="0"/>
                  <w:marBottom w:val="0"/>
                  <w:divBdr>
                    <w:top w:val="none" w:sz="0" w:space="0" w:color="auto"/>
                    <w:left w:val="none" w:sz="0" w:space="0" w:color="auto"/>
                    <w:bottom w:val="none" w:sz="0" w:space="0" w:color="auto"/>
                    <w:right w:val="none" w:sz="0" w:space="0" w:color="auto"/>
                  </w:divBdr>
                  <w:divsChild>
                    <w:div w:id="2014602655">
                      <w:marLeft w:val="0"/>
                      <w:marRight w:val="0"/>
                      <w:marTop w:val="0"/>
                      <w:marBottom w:val="0"/>
                      <w:divBdr>
                        <w:top w:val="none" w:sz="0" w:space="0" w:color="auto"/>
                        <w:left w:val="none" w:sz="0" w:space="0" w:color="auto"/>
                        <w:bottom w:val="none" w:sz="0" w:space="0" w:color="auto"/>
                        <w:right w:val="none" w:sz="0" w:space="0" w:color="auto"/>
                      </w:divBdr>
                    </w:div>
                  </w:divsChild>
                </w:div>
                <w:div w:id="886259835">
                  <w:marLeft w:val="0"/>
                  <w:marRight w:val="0"/>
                  <w:marTop w:val="0"/>
                  <w:marBottom w:val="0"/>
                  <w:divBdr>
                    <w:top w:val="none" w:sz="0" w:space="0" w:color="auto"/>
                    <w:left w:val="none" w:sz="0" w:space="0" w:color="auto"/>
                    <w:bottom w:val="none" w:sz="0" w:space="0" w:color="auto"/>
                    <w:right w:val="none" w:sz="0" w:space="0" w:color="auto"/>
                  </w:divBdr>
                  <w:divsChild>
                    <w:div w:id="538931996">
                      <w:marLeft w:val="0"/>
                      <w:marRight w:val="0"/>
                      <w:marTop w:val="0"/>
                      <w:marBottom w:val="0"/>
                      <w:divBdr>
                        <w:top w:val="none" w:sz="0" w:space="0" w:color="auto"/>
                        <w:left w:val="none" w:sz="0" w:space="0" w:color="auto"/>
                        <w:bottom w:val="none" w:sz="0" w:space="0" w:color="auto"/>
                        <w:right w:val="none" w:sz="0" w:space="0" w:color="auto"/>
                      </w:divBdr>
                    </w:div>
                  </w:divsChild>
                </w:div>
                <w:div w:id="899680494">
                  <w:marLeft w:val="0"/>
                  <w:marRight w:val="0"/>
                  <w:marTop w:val="0"/>
                  <w:marBottom w:val="0"/>
                  <w:divBdr>
                    <w:top w:val="none" w:sz="0" w:space="0" w:color="auto"/>
                    <w:left w:val="none" w:sz="0" w:space="0" w:color="auto"/>
                    <w:bottom w:val="none" w:sz="0" w:space="0" w:color="auto"/>
                    <w:right w:val="none" w:sz="0" w:space="0" w:color="auto"/>
                  </w:divBdr>
                  <w:divsChild>
                    <w:div w:id="393355161">
                      <w:marLeft w:val="0"/>
                      <w:marRight w:val="0"/>
                      <w:marTop w:val="0"/>
                      <w:marBottom w:val="0"/>
                      <w:divBdr>
                        <w:top w:val="none" w:sz="0" w:space="0" w:color="auto"/>
                        <w:left w:val="none" w:sz="0" w:space="0" w:color="auto"/>
                        <w:bottom w:val="none" w:sz="0" w:space="0" w:color="auto"/>
                        <w:right w:val="none" w:sz="0" w:space="0" w:color="auto"/>
                      </w:divBdr>
                    </w:div>
                  </w:divsChild>
                </w:div>
                <w:div w:id="924610765">
                  <w:marLeft w:val="0"/>
                  <w:marRight w:val="0"/>
                  <w:marTop w:val="0"/>
                  <w:marBottom w:val="0"/>
                  <w:divBdr>
                    <w:top w:val="none" w:sz="0" w:space="0" w:color="auto"/>
                    <w:left w:val="none" w:sz="0" w:space="0" w:color="auto"/>
                    <w:bottom w:val="none" w:sz="0" w:space="0" w:color="auto"/>
                    <w:right w:val="none" w:sz="0" w:space="0" w:color="auto"/>
                  </w:divBdr>
                  <w:divsChild>
                    <w:div w:id="1561745873">
                      <w:marLeft w:val="0"/>
                      <w:marRight w:val="0"/>
                      <w:marTop w:val="0"/>
                      <w:marBottom w:val="0"/>
                      <w:divBdr>
                        <w:top w:val="none" w:sz="0" w:space="0" w:color="auto"/>
                        <w:left w:val="none" w:sz="0" w:space="0" w:color="auto"/>
                        <w:bottom w:val="none" w:sz="0" w:space="0" w:color="auto"/>
                        <w:right w:val="none" w:sz="0" w:space="0" w:color="auto"/>
                      </w:divBdr>
                    </w:div>
                  </w:divsChild>
                </w:div>
                <w:div w:id="927618137">
                  <w:marLeft w:val="0"/>
                  <w:marRight w:val="0"/>
                  <w:marTop w:val="0"/>
                  <w:marBottom w:val="0"/>
                  <w:divBdr>
                    <w:top w:val="none" w:sz="0" w:space="0" w:color="auto"/>
                    <w:left w:val="none" w:sz="0" w:space="0" w:color="auto"/>
                    <w:bottom w:val="none" w:sz="0" w:space="0" w:color="auto"/>
                    <w:right w:val="none" w:sz="0" w:space="0" w:color="auto"/>
                  </w:divBdr>
                  <w:divsChild>
                    <w:div w:id="1597985062">
                      <w:marLeft w:val="0"/>
                      <w:marRight w:val="0"/>
                      <w:marTop w:val="0"/>
                      <w:marBottom w:val="0"/>
                      <w:divBdr>
                        <w:top w:val="none" w:sz="0" w:space="0" w:color="auto"/>
                        <w:left w:val="none" w:sz="0" w:space="0" w:color="auto"/>
                        <w:bottom w:val="none" w:sz="0" w:space="0" w:color="auto"/>
                        <w:right w:val="none" w:sz="0" w:space="0" w:color="auto"/>
                      </w:divBdr>
                    </w:div>
                  </w:divsChild>
                </w:div>
                <w:div w:id="943925927">
                  <w:marLeft w:val="0"/>
                  <w:marRight w:val="0"/>
                  <w:marTop w:val="0"/>
                  <w:marBottom w:val="0"/>
                  <w:divBdr>
                    <w:top w:val="none" w:sz="0" w:space="0" w:color="auto"/>
                    <w:left w:val="none" w:sz="0" w:space="0" w:color="auto"/>
                    <w:bottom w:val="none" w:sz="0" w:space="0" w:color="auto"/>
                    <w:right w:val="none" w:sz="0" w:space="0" w:color="auto"/>
                  </w:divBdr>
                  <w:divsChild>
                    <w:div w:id="672802373">
                      <w:marLeft w:val="0"/>
                      <w:marRight w:val="0"/>
                      <w:marTop w:val="0"/>
                      <w:marBottom w:val="0"/>
                      <w:divBdr>
                        <w:top w:val="none" w:sz="0" w:space="0" w:color="auto"/>
                        <w:left w:val="none" w:sz="0" w:space="0" w:color="auto"/>
                        <w:bottom w:val="none" w:sz="0" w:space="0" w:color="auto"/>
                        <w:right w:val="none" w:sz="0" w:space="0" w:color="auto"/>
                      </w:divBdr>
                    </w:div>
                  </w:divsChild>
                </w:div>
                <w:div w:id="1043287162">
                  <w:marLeft w:val="0"/>
                  <w:marRight w:val="0"/>
                  <w:marTop w:val="0"/>
                  <w:marBottom w:val="0"/>
                  <w:divBdr>
                    <w:top w:val="none" w:sz="0" w:space="0" w:color="auto"/>
                    <w:left w:val="none" w:sz="0" w:space="0" w:color="auto"/>
                    <w:bottom w:val="none" w:sz="0" w:space="0" w:color="auto"/>
                    <w:right w:val="none" w:sz="0" w:space="0" w:color="auto"/>
                  </w:divBdr>
                  <w:divsChild>
                    <w:div w:id="1173422498">
                      <w:marLeft w:val="0"/>
                      <w:marRight w:val="0"/>
                      <w:marTop w:val="0"/>
                      <w:marBottom w:val="0"/>
                      <w:divBdr>
                        <w:top w:val="none" w:sz="0" w:space="0" w:color="auto"/>
                        <w:left w:val="none" w:sz="0" w:space="0" w:color="auto"/>
                        <w:bottom w:val="none" w:sz="0" w:space="0" w:color="auto"/>
                        <w:right w:val="none" w:sz="0" w:space="0" w:color="auto"/>
                      </w:divBdr>
                    </w:div>
                  </w:divsChild>
                </w:div>
                <w:div w:id="1072657650">
                  <w:marLeft w:val="0"/>
                  <w:marRight w:val="0"/>
                  <w:marTop w:val="0"/>
                  <w:marBottom w:val="0"/>
                  <w:divBdr>
                    <w:top w:val="none" w:sz="0" w:space="0" w:color="auto"/>
                    <w:left w:val="none" w:sz="0" w:space="0" w:color="auto"/>
                    <w:bottom w:val="none" w:sz="0" w:space="0" w:color="auto"/>
                    <w:right w:val="none" w:sz="0" w:space="0" w:color="auto"/>
                  </w:divBdr>
                  <w:divsChild>
                    <w:div w:id="412165588">
                      <w:marLeft w:val="0"/>
                      <w:marRight w:val="0"/>
                      <w:marTop w:val="0"/>
                      <w:marBottom w:val="0"/>
                      <w:divBdr>
                        <w:top w:val="none" w:sz="0" w:space="0" w:color="auto"/>
                        <w:left w:val="none" w:sz="0" w:space="0" w:color="auto"/>
                        <w:bottom w:val="none" w:sz="0" w:space="0" w:color="auto"/>
                        <w:right w:val="none" w:sz="0" w:space="0" w:color="auto"/>
                      </w:divBdr>
                    </w:div>
                  </w:divsChild>
                </w:div>
                <w:div w:id="1094859476">
                  <w:marLeft w:val="0"/>
                  <w:marRight w:val="0"/>
                  <w:marTop w:val="0"/>
                  <w:marBottom w:val="0"/>
                  <w:divBdr>
                    <w:top w:val="none" w:sz="0" w:space="0" w:color="auto"/>
                    <w:left w:val="none" w:sz="0" w:space="0" w:color="auto"/>
                    <w:bottom w:val="none" w:sz="0" w:space="0" w:color="auto"/>
                    <w:right w:val="none" w:sz="0" w:space="0" w:color="auto"/>
                  </w:divBdr>
                  <w:divsChild>
                    <w:div w:id="199054203">
                      <w:marLeft w:val="0"/>
                      <w:marRight w:val="0"/>
                      <w:marTop w:val="0"/>
                      <w:marBottom w:val="0"/>
                      <w:divBdr>
                        <w:top w:val="none" w:sz="0" w:space="0" w:color="auto"/>
                        <w:left w:val="none" w:sz="0" w:space="0" w:color="auto"/>
                        <w:bottom w:val="none" w:sz="0" w:space="0" w:color="auto"/>
                        <w:right w:val="none" w:sz="0" w:space="0" w:color="auto"/>
                      </w:divBdr>
                    </w:div>
                  </w:divsChild>
                </w:div>
                <w:div w:id="1100685644">
                  <w:marLeft w:val="0"/>
                  <w:marRight w:val="0"/>
                  <w:marTop w:val="0"/>
                  <w:marBottom w:val="0"/>
                  <w:divBdr>
                    <w:top w:val="none" w:sz="0" w:space="0" w:color="auto"/>
                    <w:left w:val="none" w:sz="0" w:space="0" w:color="auto"/>
                    <w:bottom w:val="none" w:sz="0" w:space="0" w:color="auto"/>
                    <w:right w:val="none" w:sz="0" w:space="0" w:color="auto"/>
                  </w:divBdr>
                  <w:divsChild>
                    <w:div w:id="896935740">
                      <w:marLeft w:val="0"/>
                      <w:marRight w:val="0"/>
                      <w:marTop w:val="0"/>
                      <w:marBottom w:val="0"/>
                      <w:divBdr>
                        <w:top w:val="none" w:sz="0" w:space="0" w:color="auto"/>
                        <w:left w:val="none" w:sz="0" w:space="0" w:color="auto"/>
                        <w:bottom w:val="none" w:sz="0" w:space="0" w:color="auto"/>
                        <w:right w:val="none" w:sz="0" w:space="0" w:color="auto"/>
                      </w:divBdr>
                    </w:div>
                  </w:divsChild>
                </w:div>
                <w:div w:id="1118570972">
                  <w:marLeft w:val="0"/>
                  <w:marRight w:val="0"/>
                  <w:marTop w:val="0"/>
                  <w:marBottom w:val="0"/>
                  <w:divBdr>
                    <w:top w:val="none" w:sz="0" w:space="0" w:color="auto"/>
                    <w:left w:val="none" w:sz="0" w:space="0" w:color="auto"/>
                    <w:bottom w:val="none" w:sz="0" w:space="0" w:color="auto"/>
                    <w:right w:val="none" w:sz="0" w:space="0" w:color="auto"/>
                  </w:divBdr>
                  <w:divsChild>
                    <w:div w:id="402725705">
                      <w:marLeft w:val="0"/>
                      <w:marRight w:val="0"/>
                      <w:marTop w:val="0"/>
                      <w:marBottom w:val="0"/>
                      <w:divBdr>
                        <w:top w:val="none" w:sz="0" w:space="0" w:color="auto"/>
                        <w:left w:val="none" w:sz="0" w:space="0" w:color="auto"/>
                        <w:bottom w:val="none" w:sz="0" w:space="0" w:color="auto"/>
                        <w:right w:val="none" w:sz="0" w:space="0" w:color="auto"/>
                      </w:divBdr>
                    </w:div>
                  </w:divsChild>
                </w:div>
                <w:div w:id="1167134428">
                  <w:marLeft w:val="0"/>
                  <w:marRight w:val="0"/>
                  <w:marTop w:val="0"/>
                  <w:marBottom w:val="0"/>
                  <w:divBdr>
                    <w:top w:val="none" w:sz="0" w:space="0" w:color="auto"/>
                    <w:left w:val="none" w:sz="0" w:space="0" w:color="auto"/>
                    <w:bottom w:val="none" w:sz="0" w:space="0" w:color="auto"/>
                    <w:right w:val="none" w:sz="0" w:space="0" w:color="auto"/>
                  </w:divBdr>
                  <w:divsChild>
                    <w:div w:id="1163468554">
                      <w:marLeft w:val="0"/>
                      <w:marRight w:val="0"/>
                      <w:marTop w:val="0"/>
                      <w:marBottom w:val="0"/>
                      <w:divBdr>
                        <w:top w:val="none" w:sz="0" w:space="0" w:color="auto"/>
                        <w:left w:val="none" w:sz="0" w:space="0" w:color="auto"/>
                        <w:bottom w:val="none" w:sz="0" w:space="0" w:color="auto"/>
                        <w:right w:val="none" w:sz="0" w:space="0" w:color="auto"/>
                      </w:divBdr>
                    </w:div>
                  </w:divsChild>
                </w:div>
                <w:div w:id="1196581980">
                  <w:marLeft w:val="0"/>
                  <w:marRight w:val="0"/>
                  <w:marTop w:val="0"/>
                  <w:marBottom w:val="0"/>
                  <w:divBdr>
                    <w:top w:val="none" w:sz="0" w:space="0" w:color="auto"/>
                    <w:left w:val="none" w:sz="0" w:space="0" w:color="auto"/>
                    <w:bottom w:val="none" w:sz="0" w:space="0" w:color="auto"/>
                    <w:right w:val="none" w:sz="0" w:space="0" w:color="auto"/>
                  </w:divBdr>
                  <w:divsChild>
                    <w:div w:id="1652249377">
                      <w:marLeft w:val="0"/>
                      <w:marRight w:val="0"/>
                      <w:marTop w:val="0"/>
                      <w:marBottom w:val="0"/>
                      <w:divBdr>
                        <w:top w:val="none" w:sz="0" w:space="0" w:color="auto"/>
                        <w:left w:val="none" w:sz="0" w:space="0" w:color="auto"/>
                        <w:bottom w:val="none" w:sz="0" w:space="0" w:color="auto"/>
                        <w:right w:val="none" w:sz="0" w:space="0" w:color="auto"/>
                      </w:divBdr>
                    </w:div>
                  </w:divsChild>
                </w:div>
                <w:div w:id="1233353109">
                  <w:marLeft w:val="0"/>
                  <w:marRight w:val="0"/>
                  <w:marTop w:val="0"/>
                  <w:marBottom w:val="0"/>
                  <w:divBdr>
                    <w:top w:val="none" w:sz="0" w:space="0" w:color="auto"/>
                    <w:left w:val="none" w:sz="0" w:space="0" w:color="auto"/>
                    <w:bottom w:val="none" w:sz="0" w:space="0" w:color="auto"/>
                    <w:right w:val="none" w:sz="0" w:space="0" w:color="auto"/>
                  </w:divBdr>
                  <w:divsChild>
                    <w:div w:id="1626692960">
                      <w:marLeft w:val="0"/>
                      <w:marRight w:val="0"/>
                      <w:marTop w:val="0"/>
                      <w:marBottom w:val="0"/>
                      <w:divBdr>
                        <w:top w:val="none" w:sz="0" w:space="0" w:color="auto"/>
                        <w:left w:val="none" w:sz="0" w:space="0" w:color="auto"/>
                        <w:bottom w:val="none" w:sz="0" w:space="0" w:color="auto"/>
                        <w:right w:val="none" w:sz="0" w:space="0" w:color="auto"/>
                      </w:divBdr>
                    </w:div>
                  </w:divsChild>
                </w:div>
                <w:div w:id="1267733876">
                  <w:marLeft w:val="0"/>
                  <w:marRight w:val="0"/>
                  <w:marTop w:val="0"/>
                  <w:marBottom w:val="0"/>
                  <w:divBdr>
                    <w:top w:val="none" w:sz="0" w:space="0" w:color="auto"/>
                    <w:left w:val="none" w:sz="0" w:space="0" w:color="auto"/>
                    <w:bottom w:val="none" w:sz="0" w:space="0" w:color="auto"/>
                    <w:right w:val="none" w:sz="0" w:space="0" w:color="auto"/>
                  </w:divBdr>
                  <w:divsChild>
                    <w:div w:id="1959872452">
                      <w:marLeft w:val="0"/>
                      <w:marRight w:val="0"/>
                      <w:marTop w:val="0"/>
                      <w:marBottom w:val="0"/>
                      <w:divBdr>
                        <w:top w:val="none" w:sz="0" w:space="0" w:color="auto"/>
                        <w:left w:val="none" w:sz="0" w:space="0" w:color="auto"/>
                        <w:bottom w:val="none" w:sz="0" w:space="0" w:color="auto"/>
                        <w:right w:val="none" w:sz="0" w:space="0" w:color="auto"/>
                      </w:divBdr>
                    </w:div>
                  </w:divsChild>
                </w:div>
                <w:div w:id="1327127243">
                  <w:marLeft w:val="0"/>
                  <w:marRight w:val="0"/>
                  <w:marTop w:val="0"/>
                  <w:marBottom w:val="0"/>
                  <w:divBdr>
                    <w:top w:val="none" w:sz="0" w:space="0" w:color="auto"/>
                    <w:left w:val="none" w:sz="0" w:space="0" w:color="auto"/>
                    <w:bottom w:val="none" w:sz="0" w:space="0" w:color="auto"/>
                    <w:right w:val="none" w:sz="0" w:space="0" w:color="auto"/>
                  </w:divBdr>
                  <w:divsChild>
                    <w:div w:id="2087191714">
                      <w:marLeft w:val="0"/>
                      <w:marRight w:val="0"/>
                      <w:marTop w:val="0"/>
                      <w:marBottom w:val="0"/>
                      <w:divBdr>
                        <w:top w:val="none" w:sz="0" w:space="0" w:color="auto"/>
                        <w:left w:val="none" w:sz="0" w:space="0" w:color="auto"/>
                        <w:bottom w:val="none" w:sz="0" w:space="0" w:color="auto"/>
                        <w:right w:val="none" w:sz="0" w:space="0" w:color="auto"/>
                      </w:divBdr>
                    </w:div>
                  </w:divsChild>
                </w:div>
                <w:div w:id="1341933460">
                  <w:marLeft w:val="0"/>
                  <w:marRight w:val="0"/>
                  <w:marTop w:val="0"/>
                  <w:marBottom w:val="0"/>
                  <w:divBdr>
                    <w:top w:val="none" w:sz="0" w:space="0" w:color="auto"/>
                    <w:left w:val="none" w:sz="0" w:space="0" w:color="auto"/>
                    <w:bottom w:val="none" w:sz="0" w:space="0" w:color="auto"/>
                    <w:right w:val="none" w:sz="0" w:space="0" w:color="auto"/>
                  </w:divBdr>
                  <w:divsChild>
                    <w:div w:id="2076665425">
                      <w:marLeft w:val="0"/>
                      <w:marRight w:val="0"/>
                      <w:marTop w:val="0"/>
                      <w:marBottom w:val="0"/>
                      <w:divBdr>
                        <w:top w:val="none" w:sz="0" w:space="0" w:color="auto"/>
                        <w:left w:val="none" w:sz="0" w:space="0" w:color="auto"/>
                        <w:bottom w:val="none" w:sz="0" w:space="0" w:color="auto"/>
                        <w:right w:val="none" w:sz="0" w:space="0" w:color="auto"/>
                      </w:divBdr>
                    </w:div>
                  </w:divsChild>
                </w:div>
                <w:div w:id="1345085810">
                  <w:marLeft w:val="0"/>
                  <w:marRight w:val="0"/>
                  <w:marTop w:val="0"/>
                  <w:marBottom w:val="0"/>
                  <w:divBdr>
                    <w:top w:val="none" w:sz="0" w:space="0" w:color="auto"/>
                    <w:left w:val="none" w:sz="0" w:space="0" w:color="auto"/>
                    <w:bottom w:val="none" w:sz="0" w:space="0" w:color="auto"/>
                    <w:right w:val="none" w:sz="0" w:space="0" w:color="auto"/>
                  </w:divBdr>
                  <w:divsChild>
                    <w:div w:id="434984351">
                      <w:marLeft w:val="0"/>
                      <w:marRight w:val="0"/>
                      <w:marTop w:val="0"/>
                      <w:marBottom w:val="0"/>
                      <w:divBdr>
                        <w:top w:val="none" w:sz="0" w:space="0" w:color="auto"/>
                        <w:left w:val="none" w:sz="0" w:space="0" w:color="auto"/>
                        <w:bottom w:val="none" w:sz="0" w:space="0" w:color="auto"/>
                        <w:right w:val="none" w:sz="0" w:space="0" w:color="auto"/>
                      </w:divBdr>
                    </w:div>
                  </w:divsChild>
                </w:div>
                <w:div w:id="1353915041">
                  <w:marLeft w:val="0"/>
                  <w:marRight w:val="0"/>
                  <w:marTop w:val="0"/>
                  <w:marBottom w:val="0"/>
                  <w:divBdr>
                    <w:top w:val="none" w:sz="0" w:space="0" w:color="auto"/>
                    <w:left w:val="none" w:sz="0" w:space="0" w:color="auto"/>
                    <w:bottom w:val="none" w:sz="0" w:space="0" w:color="auto"/>
                    <w:right w:val="none" w:sz="0" w:space="0" w:color="auto"/>
                  </w:divBdr>
                  <w:divsChild>
                    <w:div w:id="2087921765">
                      <w:marLeft w:val="0"/>
                      <w:marRight w:val="0"/>
                      <w:marTop w:val="0"/>
                      <w:marBottom w:val="0"/>
                      <w:divBdr>
                        <w:top w:val="none" w:sz="0" w:space="0" w:color="auto"/>
                        <w:left w:val="none" w:sz="0" w:space="0" w:color="auto"/>
                        <w:bottom w:val="none" w:sz="0" w:space="0" w:color="auto"/>
                        <w:right w:val="none" w:sz="0" w:space="0" w:color="auto"/>
                      </w:divBdr>
                    </w:div>
                  </w:divsChild>
                </w:div>
                <w:div w:id="1358237605">
                  <w:marLeft w:val="0"/>
                  <w:marRight w:val="0"/>
                  <w:marTop w:val="0"/>
                  <w:marBottom w:val="0"/>
                  <w:divBdr>
                    <w:top w:val="none" w:sz="0" w:space="0" w:color="auto"/>
                    <w:left w:val="none" w:sz="0" w:space="0" w:color="auto"/>
                    <w:bottom w:val="none" w:sz="0" w:space="0" w:color="auto"/>
                    <w:right w:val="none" w:sz="0" w:space="0" w:color="auto"/>
                  </w:divBdr>
                  <w:divsChild>
                    <w:div w:id="939139116">
                      <w:marLeft w:val="0"/>
                      <w:marRight w:val="0"/>
                      <w:marTop w:val="0"/>
                      <w:marBottom w:val="0"/>
                      <w:divBdr>
                        <w:top w:val="none" w:sz="0" w:space="0" w:color="auto"/>
                        <w:left w:val="none" w:sz="0" w:space="0" w:color="auto"/>
                        <w:bottom w:val="none" w:sz="0" w:space="0" w:color="auto"/>
                        <w:right w:val="none" w:sz="0" w:space="0" w:color="auto"/>
                      </w:divBdr>
                    </w:div>
                  </w:divsChild>
                </w:div>
                <w:div w:id="1400900593">
                  <w:marLeft w:val="0"/>
                  <w:marRight w:val="0"/>
                  <w:marTop w:val="0"/>
                  <w:marBottom w:val="0"/>
                  <w:divBdr>
                    <w:top w:val="none" w:sz="0" w:space="0" w:color="auto"/>
                    <w:left w:val="none" w:sz="0" w:space="0" w:color="auto"/>
                    <w:bottom w:val="none" w:sz="0" w:space="0" w:color="auto"/>
                    <w:right w:val="none" w:sz="0" w:space="0" w:color="auto"/>
                  </w:divBdr>
                  <w:divsChild>
                    <w:div w:id="1708027000">
                      <w:marLeft w:val="0"/>
                      <w:marRight w:val="0"/>
                      <w:marTop w:val="0"/>
                      <w:marBottom w:val="0"/>
                      <w:divBdr>
                        <w:top w:val="none" w:sz="0" w:space="0" w:color="auto"/>
                        <w:left w:val="none" w:sz="0" w:space="0" w:color="auto"/>
                        <w:bottom w:val="none" w:sz="0" w:space="0" w:color="auto"/>
                        <w:right w:val="none" w:sz="0" w:space="0" w:color="auto"/>
                      </w:divBdr>
                    </w:div>
                  </w:divsChild>
                </w:div>
                <w:div w:id="1496340262">
                  <w:marLeft w:val="0"/>
                  <w:marRight w:val="0"/>
                  <w:marTop w:val="0"/>
                  <w:marBottom w:val="0"/>
                  <w:divBdr>
                    <w:top w:val="none" w:sz="0" w:space="0" w:color="auto"/>
                    <w:left w:val="none" w:sz="0" w:space="0" w:color="auto"/>
                    <w:bottom w:val="none" w:sz="0" w:space="0" w:color="auto"/>
                    <w:right w:val="none" w:sz="0" w:space="0" w:color="auto"/>
                  </w:divBdr>
                  <w:divsChild>
                    <w:div w:id="1633562506">
                      <w:marLeft w:val="0"/>
                      <w:marRight w:val="0"/>
                      <w:marTop w:val="0"/>
                      <w:marBottom w:val="0"/>
                      <w:divBdr>
                        <w:top w:val="none" w:sz="0" w:space="0" w:color="auto"/>
                        <w:left w:val="none" w:sz="0" w:space="0" w:color="auto"/>
                        <w:bottom w:val="none" w:sz="0" w:space="0" w:color="auto"/>
                        <w:right w:val="none" w:sz="0" w:space="0" w:color="auto"/>
                      </w:divBdr>
                    </w:div>
                  </w:divsChild>
                </w:div>
                <w:div w:id="1518350702">
                  <w:marLeft w:val="0"/>
                  <w:marRight w:val="0"/>
                  <w:marTop w:val="0"/>
                  <w:marBottom w:val="0"/>
                  <w:divBdr>
                    <w:top w:val="none" w:sz="0" w:space="0" w:color="auto"/>
                    <w:left w:val="none" w:sz="0" w:space="0" w:color="auto"/>
                    <w:bottom w:val="none" w:sz="0" w:space="0" w:color="auto"/>
                    <w:right w:val="none" w:sz="0" w:space="0" w:color="auto"/>
                  </w:divBdr>
                  <w:divsChild>
                    <w:div w:id="1595474960">
                      <w:marLeft w:val="0"/>
                      <w:marRight w:val="0"/>
                      <w:marTop w:val="0"/>
                      <w:marBottom w:val="0"/>
                      <w:divBdr>
                        <w:top w:val="none" w:sz="0" w:space="0" w:color="auto"/>
                        <w:left w:val="none" w:sz="0" w:space="0" w:color="auto"/>
                        <w:bottom w:val="none" w:sz="0" w:space="0" w:color="auto"/>
                        <w:right w:val="none" w:sz="0" w:space="0" w:color="auto"/>
                      </w:divBdr>
                    </w:div>
                  </w:divsChild>
                </w:div>
                <w:div w:id="1556353472">
                  <w:marLeft w:val="0"/>
                  <w:marRight w:val="0"/>
                  <w:marTop w:val="0"/>
                  <w:marBottom w:val="0"/>
                  <w:divBdr>
                    <w:top w:val="none" w:sz="0" w:space="0" w:color="auto"/>
                    <w:left w:val="none" w:sz="0" w:space="0" w:color="auto"/>
                    <w:bottom w:val="none" w:sz="0" w:space="0" w:color="auto"/>
                    <w:right w:val="none" w:sz="0" w:space="0" w:color="auto"/>
                  </w:divBdr>
                  <w:divsChild>
                    <w:div w:id="1147699144">
                      <w:marLeft w:val="0"/>
                      <w:marRight w:val="0"/>
                      <w:marTop w:val="0"/>
                      <w:marBottom w:val="0"/>
                      <w:divBdr>
                        <w:top w:val="none" w:sz="0" w:space="0" w:color="auto"/>
                        <w:left w:val="none" w:sz="0" w:space="0" w:color="auto"/>
                        <w:bottom w:val="none" w:sz="0" w:space="0" w:color="auto"/>
                        <w:right w:val="none" w:sz="0" w:space="0" w:color="auto"/>
                      </w:divBdr>
                    </w:div>
                  </w:divsChild>
                </w:div>
                <w:div w:id="1577938169">
                  <w:marLeft w:val="0"/>
                  <w:marRight w:val="0"/>
                  <w:marTop w:val="0"/>
                  <w:marBottom w:val="0"/>
                  <w:divBdr>
                    <w:top w:val="none" w:sz="0" w:space="0" w:color="auto"/>
                    <w:left w:val="none" w:sz="0" w:space="0" w:color="auto"/>
                    <w:bottom w:val="none" w:sz="0" w:space="0" w:color="auto"/>
                    <w:right w:val="none" w:sz="0" w:space="0" w:color="auto"/>
                  </w:divBdr>
                  <w:divsChild>
                    <w:div w:id="1086616326">
                      <w:marLeft w:val="0"/>
                      <w:marRight w:val="0"/>
                      <w:marTop w:val="0"/>
                      <w:marBottom w:val="0"/>
                      <w:divBdr>
                        <w:top w:val="none" w:sz="0" w:space="0" w:color="auto"/>
                        <w:left w:val="none" w:sz="0" w:space="0" w:color="auto"/>
                        <w:bottom w:val="none" w:sz="0" w:space="0" w:color="auto"/>
                        <w:right w:val="none" w:sz="0" w:space="0" w:color="auto"/>
                      </w:divBdr>
                    </w:div>
                  </w:divsChild>
                </w:div>
                <w:div w:id="1582643374">
                  <w:marLeft w:val="0"/>
                  <w:marRight w:val="0"/>
                  <w:marTop w:val="0"/>
                  <w:marBottom w:val="0"/>
                  <w:divBdr>
                    <w:top w:val="none" w:sz="0" w:space="0" w:color="auto"/>
                    <w:left w:val="none" w:sz="0" w:space="0" w:color="auto"/>
                    <w:bottom w:val="none" w:sz="0" w:space="0" w:color="auto"/>
                    <w:right w:val="none" w:sz="0" w:space="0" w:color="auto"/>
                  </w:divBdr>
                  <w:divsChild>
                    <w:div w:id="896090789">
                      <w:marLeft w:val="0"/>
                      <w:marRight w:val="0"/>
                      <w:marTop w:val="0"/>
                      <w:marBottom w:val="0"/>
                      <w:divBdr>
                        <w:top w:val="none" w:sz="0" w:space="0" w:color="auto"/>
                        <w:left w:val="none" w:sz="0" w:space="0" w:color="auto"/>
                        <w:bottom w:val="none" w:sz="0" w:space="0" w:color="auto"/>
                        <w:right w:val="none" w:sz="0" w:space="0" w:color="auto"/>
                      </w:divBdr>
                    </w:div>
                  </w:divsChild>
                </w:div>
                <w:div w:id="1583641684">
                  <w:marLeft w:val="0"/>
                  <w:marRight w:val="0"/>
                  <w:marTop w:val="0"/>
                  <w:marBottom w:val="0"/>
                  <w:divBdr>
                    <w:top w:val="none" w:sz="0" w:space="0" w:color="auto"/>
                    <w:left w:val="none" w:sz="0" w:space="0" w:color="auto"/>
                    <w:bottom w:val="none" w:sz="0" w:space="0" w:color="auto"/>
                    <w:right w:val="none" w:sz="0" w:space="0" w:color="auto"/>
                  </w:divBdr>
                  <w:divsChild>
                    <w:div w:id="1192066206">
                      <w:marLeft w:val="0"/>
                      <w:marRight w:val="0"/>
                      <w:marTop w:val="0"/>
                      <w:marBottom w:val="0"/>
                      <w:divBdr>
                        <w:top w:val="none" w:sz="0" w:space="0" w:color="auto"/>
                        <w:left w:val="none" w:sz="0" w:space="0" w:color="auto"/>
                        <w:bottom w:val="none" w:sz="0" w:space="0" w:color="auto"/>
                        <w:right w:val="none" w:sz="0" w:space="0" w:color="auto"/>
                      </w:divBdr>
                    </w:div>
                  </w:divsChild>
                </w:div>
                <w:div w:id="1606572596">
                  <w:marLeft w:val="0"/>
                  <w:marRight w:val="0"/>
                  <w:marTop w:val="0"/>
                  <w:marBottom w:val="0"/>
                  <w:divBdr>
                    <w:top w:val="none" w:sz="0" w:space="0" w:color="auto"/>
                    <w:left w:val="none" w:sz="0" w:space="0" w:color="auto"/>
                    <w:bottom w:val="none" w:sz="0" w:space="0" w:color="auto"/>
                    <w:right w:val="none" w:sz="0" w:space="0" w:color="auto"/>
                  </w:divBdr>
                  <w:divsChild>
                    <w:div w:id="1709723756">
                      <w:marLeft w:val="0"/>
                      <w:marRight w:val="0"/>
                      <w:marTop w:val="0"/>
                      <w:marBottom w:val="0"/>
                      <w:divBdr>
                        <w:top w:val="none" w:sz="0" w:space="0" w:color="auto"/>
                        <w:left w:val="none" w:sz="0" w:space="0" w:color="auto"/>
                        <w:bottom w:val="none" w:sz="0" w:space="0" w:color="auto"/>
                        <w:right w:val="none" w:sz="0" w:space="0" w:color="auto"/>
                      </w:divBdr>
                    </w:div>
                  </w:divsChild>
                </w:div>
                <w:div w:id="1665861786">
                  <w:marLeft w:val="0"/>
                  <w:marRight w:val="0"/>
                  <w:marTop w:val="0"/>
                  <w:marBottom w:val="0"/>
                  <w:divBdr>
                    <w:top w:val="none" w:sz="0" w:space="0" w:color="auto"/>
                    <w:left w:val="none" w:sz="0" w:space="0" w:color="auto"/>
                    <w:bottom w:val="none" w:sz="0" w:space="0" w:color="auto"/>
                    <w:right w:val="none" w:sz="0" w:space="0" w:color="auto"/>
                  </w:divBdr>
                  <w:divsChild>
                    <w:div w:id="15930072">
                      <w:marLeft w:val="0"/>
                      <w:marRight w:val="0"/>
                      <w:marTop w:val="0"/>
                      <w:marBottom w:val="0"/>
                      <w:divBdr>
                        <w:top w:val="none" w:sz="0" w:space="0" w:color="auto"/>
                        <w:left w:val="none" w:sz="0" w:space="0" w:color="auto"/>
                        <w:bottom w:val="none" w:sz="0" w:space="0" w:color="auto"/>
                        <w:right w:val="none" w:sz="0" w:space="0" w:color="auto"/>
                      </w:divBdr>
                    </w:div>
                  </w:divsChild>
                </w:div>
                <w:div w:id="1713117656">
                  <w:marLeft w:val="0"/>
                  <w:marRight w:val="0"/>
                  <w:marTop w:val="0"/>
                  <w:marBottom w:val="0"/>
                  <w:divBdr>
                    <w:top w:val="none" w:sz="0" w:space="0" w:color="auto"/>
                    <w:left w:val="none" w:sz="0" w:space="0" w:color="auto"/>
                    <w:bottom w:val="none" w:sz="0" w:space="0" w:color="auto"/>
                    <w:right w:val="none" w:sz="0" w:space="0" w:color="auto"/>
                  </w:divBdr>
                  <w:divsChild>
                    <w:div w:id="1969890906">
                      <w:marLeft w:val="0"/>
                      <w:marRight w:val="0"/>
                      <w:marTop w:val="0"/>
                      <w:marBottom w:val="0"/>
                      <w:divBdr>
                        <w:top w:val="none" w:sz="0" w:space="0" w:color="auto"/>
                        <w:left w:val="none" w:sz="0" w:space="0" w:color="auto"/>
                        <w:bottom w:val="none" w:sz="0" w:space="0" w:color="auto"/>
                        <w:right w:val="none" w:sz="0" w:space="0" w:color="auto"/>
                      </w:divBdr>
                    </w:div>
                  </w:divsChild>
                </w:div>
                <w:div w:id="1734087403">
                  <w:marLeft w:val="0"/>
                  <w:marRight w:val="0"/>
                  <w:marTop w:val="0"/>
                  <w:marBottom w:val="0"/>
                  <w:divBdr>
                    <w:top w:val="none" w:sz="0" w:space="0" w:color="auto"/>
                    <w:left w:val="none" w:sz="0" w:space="0" w:color="auto"/>
                    <w:bottom w:val="none" w:sz="0" w:space="0" w:color="auto"/>
                    <w:right w:val="none" w:sz="0" w:space="0" w:color="auto"/>
                  </w:divBdr>
                  <w:divsChild>
                    <w:div w:id="1419255196">
                      <w:marLeft w:val="0"/>
                      <w:marRight w:val="0"/>
                      <w:marTop w:val="0"/>
                      <w:marBottom w:val="0"/>
                      <w:divBdr>
                        <w:top w:val="none" w:sz="0" w:space="0" w:color="auto"/>
                        <w:left w:val="none" w:sz="0" w:space="0" w:color="auto"/>
                        <w:bottom w:val="none" w:sz="0" w:space="0" w:color="auto"/>
                        <w:right w:val="none" w:sz="0" w:space="0" w:color="auto"/>
                      </w:divBdr>
                    </w:div>
                  </w:divsChild>
                </w:div>
                <w:div w:id="1784762867">
                  <w:marLeft w:val="0"/>
                  <w:marRight w:val="0"/>
                  <w:marTop w:val="0"/>
                  <w:marBottom w:val="0"/>
                  <w:divBdr>
                    <w:top w:val="none" w:sz="0" w:space="0" w:color="auto"/>
                    <w:left w:val="none" w:sz="0" w:space="0" w:color="auto"/>
                    <w:bottom w:val="none" w:sz="0" w:space="0" w:color="auto"/>
                    <w:right w:val="none" w:sz="0" w:space="0" w:color="auto"/>
                  </w:divBdr>
                  <w:divsChild>
                    <w:div w:id="1866598450">
                      <w:marLeft w:val="0"/>
                      <w:marRight w:val="0"/>
                      <w:marTop w:val="0"/>
                      <w:marBottom w:val="0"/>
                      <w:divBdr>
                        <w:top w:val="none" w:sz="0" w:space="0" w:color="auto"/>
                        <w:left w:val="none" w:sz="0" w:space="0" w:color="auto"/>
                        <w:bottom w:val="none" w:sz="0" w:space="0" w:color="auto"/>
                        <w:right w:val="none" w:sz="0" w:space="0" w:color="auto"/>
                      </w:divBdr>
                    </w:div>
                  </w:divsChild>
                </w:div>
                <w:div w:id="1784878813">
                  <w:marLeft w:val="0"/>
                  <w:marRight w:val="0"/>
                  <w:marTop w:val="0"/>
                  <w:marBottom w:val="0"/>
                  <w:divBdr>
                    <w:top w:val="none" w:sz="0" w:space="0" w:color="auto"/>
                    <w:left w:val="none" w:sz="0" w:space="0" w:color="auto"/>
                    <w:bottom w:val="none" w:sz="0" w:space="0" w:color="auto"/>
                    <w:right w:val="none" w:sz="0" w:space="0" w:color="auto"/>
                  </w:divBdr>
                  <w:divsChild>
                    <w:div w:id="1436904712">
                      <w:marLeft w:val="0"/>
                      <w:marRight w:val="0"/>
                      <w:marTop w:val="0"/>
                      <w:marBottom w:val="0"/>
                      <w:divBdr>
                        <w:top w:val="none" w:sz="0" w:space="0" w:color="auto"/>
                        <w:left w:val="none" w:sz="0" w:space="0" w:color="auto"/>
                        <w:bottom w:val="none" w:sz="0" w:space="0" w:color="auto"/>
                        <w:right w:val="none" w:sz="0" w:space="0" w:color="auto"/>
                      </w:divBdr>
                    </w:div>
                  </w:divsChild>
                </w:div>
                <w:div w:id="1789396128">
                  <w:marLeft w:val="0"/>
                  <w:marRight w:val="0"/>
                  <w:marTop w:val="0"/>
                  <w:marBottom w:val="0"/>
                  <w:divBdr>
                    <w:top w:val="none" w:sz="0" w:space="0" w:color="auto"/>
                    <w:left w:val="none" w:sz="0" w:space="0" w:color="auto"/>
                    <w:bottom w:val="none" w:sz="0" w:space="0" w:color="auto"/>
                    <w:right w:val="none" w:sz="0" w:space="0" w:color="auto"/>
                  </w:divBdr>
                  <w:divsChild>
                    <w:div w:id="1980256481">
                      <w:marLeft w:val="0"/>
                      <w:marRight w:val="0"/>
                      <w:marTop w:val="0"/>
                      <w:marBottom w:val="0"/>
                      <w:divBdr>
                        <w:top w:val="none" w:sz="0" w:space="0" w:color="auto"/>
                        <w:left w:val="none" w:sz="0" w:space="0" w:color="auto"/>
                        <w:bottom w:val="none" w:sz="0" w:space="0" w:color="auto"/>
                        <w:right w:val="none" w:sz="0" w:space="0" w:color="auto"/>
                      </w:divBdr>
                    </w:div>
                  </w:divsChild>
                </w:div>
                <w:div w:id="1831091919">
                  <w:marLeft w:val="0"/>
                  <w:marRight w:val="0"/>
                  <w:marTop w:val="0"/>
                  <w:marBottom w:val="0"/>
                  <w:divBdr>
                    <w:top w:val="none" w:sz="0" w:space="0" w:color="auto"/>
                    <w:left w:val="none" w:sz="0" w:space="0" w:color="auto"/>
                    <w:bottom w:val="none" w:sz="0" w:space="0" w:color="auto"/>
                    <w:right w:val="none" w:sz="0" w:space="0" w:color="auto"/>
                  </w:divBdr>
                  <w:divsChild>
                    <w:div w:id="1772116671">
                      <w:marLeft w:val="0"/>
                      <w:marRight w:val="0"/>
                      <w:marTop w:val="0"/>
                      <w:marBottom w:val="0"/>
                      <w:divBdr>
                        <w:top w:val="none" w:sz="0" w:space="0" w:color="auto"/>
                        <w:left w:val="none" w:sz="0" w:space="0" w:color="auto"/>
                        <w:bottom w:val="none" w:sz="0" w:space="0" w:color="auto"/>
                        <w:right w:val="none" w:sz="0" w:space="0" w:color="auto"/>
                      </w:divBdr>
                    </w:div>
                  </w:divsChild>
                </w:div>
                <w:div w:id="1876427105">
                  <w:marLeft w:val="0"/>
                  <w:marRight w:val="0"/>
                  <w:marTop w:val="0"/>
                  <w:marBottom w:val="0"/>
                  <w:divBdr>
                    <w:top w:val="none" w:sz="0" w:space="0" w:color="auto"/>
                    <w:left w:val="none" w:sz="0" w:space="0" w:color="auto"/>
                    <w:bottom w:val="none" w:sz="0" w:space="0" w:color="auto"/>
                    <w:right w:val="none" w:sz="0" w:space="0" w:color="auto"/>
                  </w:divBdr>
                  <w:divsChild>
                    <w:div w:id="665783620">
                      <w:marLeft w:val="0"/>
                      <w:marRight w:val="0"/>
                      <w:marTop w:val="0"/>
                      <w:marBottom w:val="0"/>
                      <w:divBdr>
                        <w:top w:val="none" w:sz="0" w:space="0" w:color="auto"/>
                        <w:left w:val="none" w:sz="0" w:space="0" w:color="auto"/>
                        <w:bottom w:val="none" w:sz="0" w:space="0" w:color="auto"/>
                        <w:right w:val="none" w:sz="0" w:space="0" w:color="auto"/>
                      </w:divBdr>
                    </w:div>
                  </w:divsChild>
                </w:div>
                <w:div w:id="1917275361">
                  <w:marLeft w:val="0"/>
                  <w:marRight w:val="0"/>
                  <w:marTop w:val="0"/>
                  <w:marBottom w:val="0"/>
                  <w:divBdr>
                    <w:top w:val="none" w:sz="0" w:space="0" w:color="auto"/>
                    <w:left w:val="none" w:sz="0" w:space="0" w:color="auto"/>
                    <w:bottom w:val="none" w:sz="0" w:space="0" w:color="auto"/>
                    <w:right w:val="none" w:sz="0" w:space="0" w:color="auto"/>
                  </w:divBdr>
                  <w:divsChild>
                    <w:div w:id="611713807">
                      <w:marLeft w:val="0"/>
                      <w:marRight w:val="0"/>
                      <w:marTop w:val="0"/>
                      <w:marBottom w:val="0"/>
                      <w:divBdr>
                        <w:top w:val="none" w:sz="0" w:space="0" w:color="auto"/>
                        <w:left w:val="none" w:sz="0" w:space="0" w:color="auto"/>
                        <w:bottom w:val="none" w:sz="0" w:space="0" w:color="auto"/>
                        <w:right w:val="none" w:sz="0" w:space="0" w:color="auto"/>
                      </w:divBdr>
                    </w:div>
                  </w:divsChild>
                </w:div>
                <w:div w:id="1922834636">
                  <w:marLeft w:val="0"/>
                  <w:marRight w:val="0"/>
                  <w:marTop w:val="0"/>
                  <w:marBottom w:val="0"/>
                  <w:divBdr>
                    <w:top w:val="none" w:sz="0" w:space="0" w:color="auto"/>
                    <w:left w:val="none" w:sz="0" w:space="0" w:color="auto"/>
                    <w:bottom w:val="none" w:sz="0" w:space="0" w:color="auto"/>
                    <w:right w:val="none" w:sz="0" w:space="0" w:color="auto"/>
                  </w:divBdr>
                  <w:divsChild>
                    <w:div w:id="912619044">
                      <w:marLeft w:val="0"/>
                      <w:marRight w:val="0"/>
                      <w:marTop w:val="0"/>
                      <w:marBottom w:val="0"/>
                      <w:divBdr>
                        <w:top w:val="none" w:sz="0" w:space="0" w:color="auto"/>
                        <w:left w:val="none" w:sz="0" w:space="0" w:color="auto"/>
                        <w:bottom w:val="none" w:sz="0" w:space="0" w:color="auto"/>
                        <w:right w:val="none" w:sz="0" w:space="0" w:color="auto"/>
                      </w:divBdr>
                    </w:div>
                  </w:divsChild>
                </w:div>
                <w:div w:id="1954897193">
                  <w:marLeft w:val="0"/>
                  <w:marRight w:val="0"/>
                  <w:marTop w:val="0"/>
                  <w:marBottom w:val="0"/>
                  <w:divBdr>
                    <w:top w:val="none" w:sz="0" w:space="0" w:color="auto"/>
                    <w:left w:val="none" w:sz="0" w:space="0" w:color="auto"/>
                    <w:bottom w:val="none" w:sz="0" w:space="0" w:color="auto"/>
                    <w:right w:val="none" w:sz="0" w:space="0" w:color="auto"/>
                  </w:divBdr>
                  <w:divsChild>
                    <w:div w:id="44526202">
                      <w:marLeft w:val="0"/>
                      <w:marRight w:val="0"/>
                      <w:marTop w:val="0"/>
                      <w:marBottom w:val="0"/>
                      <w:divBdr>
                        <w:top w:val="none" w:sz="0" w:space="0" w:color="auto"/>
                        <w:left w:val="none" w:sz="0" w:space="0" w:color="auto"/>
                        <w:bottom w:val="none" w:sz="0" w:space="0" w:color="auto"/>
                        <w:right w:val="none" w:sz="0" w:space="0" w:color="auto"/>
                      </w:divBdr>
                    </w:div>
                  </w:divsChild>
                </w:div>
                <w:div w:id="1955401632">
                  <w:marLeft w:val="0"/>
                  <w:marRight w:val="0"/>
                  <w:marTop w:val="0"/>
                  <w:marBottom w:val="0"/>
                  <w:divBdr>
                    <w:top w:val="none" w:sz="0" w:space="0" w:color="auto"/>
                    <w:left w:val="none" w:sz="0" w:space="0" w:color="auto"/>
                    <w:bottom w:val="none" w:sz="0" w:space="0" w:color="auto"/>
                    <w:right w:val="none" w:sz="0" w:space="0" w:color="auto"/>
                  </w:divBdr>
                  <w:divsChild>
                    <w:div w:id="707030010">
                      <w:marLeft w:val="0"/>
                      <w:marRight w:val="0"/>
                      <w:marTop w:val="0"/>
                      <w:marBottom w:val="0"/>
                      <w:divBdr>
                        <w:top w:val="none" w:sz="0" w:space="0" w:color="auto"/>
                        <w:left w:val="none" w:sz="0" w:space="0" w:color="auto"/>
                        <w:bottom w:val="none" w:sz="0" w:space="0" w:color="auto"/>
                        <w:right w:val="none" w:sz="0" w:space="0" w:color="auto"/>
                      </w:divBdr>
                    </w:div>
                  </w:divsChild>
                </w:div>
                <w:div w:id="1956597817">
                  <w:marLeft w:val="0"/>
                  <w:marRight w:val="0"/>
                  <w:marTop w:val="0"/>
                  <w:marBottom w:val="0"/>
                  <w:divBdr>
                    <w:top w:val="none" w:sz="0" w:space="0" w:color="auto"/>
                    <w:left w:val="none" w:sz="0" w:space="0" w:color="auto"/>
                    <w:bottom w:val="none" w:sz="0" w:space="0" w:color="auto"/>
                    <w:right w:val="none" w:sz="0" w:space="0" w:color="auto"/>
                  </w:divBdr>
                  <w:divsChild>
                    <w:div w:id="2137260722">
                      <w:marLeft w:val="0"/>
                      <w:marRight w:val="0"/>
                      <w:marTop w:val="0"/>
                      <w:marBottom w:val="0"/>
                      <w:divBdr>
                        <w:top w:val="none" w:sz="0" w:space="0" w:color="auto"/>
                        <w:left w:val="none" w:sz="0" w:space="0" w:color="auto"/>
                        <w:bottom w:val="none" w:sz="0" w:space="0" w:color="auto"/>
                        <w:right w:val="none" w:sz="0" w:space="0" w:color="auto"/>
                      </w:divBdr>
                    </w:div>
                  </w:divsChild>
                </w:div>
                <w:div w:id="1982810186">
                  <w:marLeft w:val="0"/>
                  <w:marRight w:val="0"/>
                  <w:marTop w:val="0"/>
                  <w:marBottom w:val="0"/>
                  <w:divBdr>
                    <w:top w:val="none" w:sz="0" w:space="0" w:color="auto"/>
                    <w:left w:val="none" w:sz="0" w:space="0" w:color="auto"/>
                    <w:bottom w:val="none" w:sz="0" w:space="0" w:color="auto"/>
                    <w:right w:val="none" w:sz="0" w:space="0" w:color="auto"/>
                  </w:divBdr>
                  <w:divsChild>
                    <w:div w:id="2002192511">
                      <w:marLeft w:val="0"/>
                      <w:marRight w:val="0"/>
                      <w:marTop w:val="0"/>
                      <w:marBottom w:val="0"/>
                      <w:divBdr>
                        <w:top w:val="none" w:sz="0" w:space="0" w:color="auto"/>
                        <w:left w:val="none" w:sz="0" w:space="0" w:color="auto"/>
                        <w:bottom w:val="none" w:sz="0" w:space="0" w:color="auto"/>
                        <w:right w:val="none" w:sz="0" w:space="0" w:color="auto"/>
                      </w:divBdr>
                    </w:div>
                  </w:divsChild>
                </w:div>
                <w:div w:id="2001079031">
                  <w:marLeft w:val="0"/>
                  <w:marRight w:val="0"/>
                  <w:marTop w:val="0"/>
                  <w:marBottom w:val="0"/>
                  <w:divBdr>
                    <w:top w:val="none" w:sz="0" w:space="0" w:color="auto"/>
                    <w:left w:val="none" w:sz="0" w:space="0" w:color="auto"/>
                    <w:bottom w:val="none" w:sz="0" w:space="0" w:color="auto"/>
                    <w:right w:val="none" w:sz="0" w:space="0" w:color="auto"/>
                  </w:divBdr>
                  <w:divsChild>
                    <w:div w:id="846480722">
                      <w:marLeft w:val="0"/>
                      <w:marRight w:val="0"/>
                      <w:marTop w:val="0"/>
                      <w:marBottom w:val="0"/>
                      <w:divBdr>
                        <w:top w:val="none" w:sz="0" w:space="0" w:color="auto"/>
                        <w:left w:val="none" w:sz="0" w:space="0" w:color="auto"/>
                        <w:bottom w:val="none" w:sz="0" w:space="0" w:color="auto"/>
                        <w:right w:val="none" w:sz="0" w:space="0" w:color="auto"/>
                      </w:divBdr>
                    </w:div>
                  </w:divsChild>
                </w:div>
                <w:div w:id="2040466386">
                  <w:marLeft w:val="0"/>
                  <w:marRight w:val="0"/>
                  <w:marTop w:val="0"/>
                  <w:marBottom w:val="0"/>
                  <w:divBdr>
                    <w:top w:val="none" w:sz="0" w:space="0" w:color="auto"/>
                    <w:left w:val="none" w:sz="0" w:space="0" w:color="auto"/>
                    <w:bottom w:val="none" w:sz="0" w:space="0" w:color="auto"/>
                    <w:right w:val="none" w:sz="0" w:space="0" w:color="auto"/>
                  </w:divBdr>
                  <w:divsChild>
                    <w:div w:id="911235952">
                      <w:marLeft w:val="0"/>
                      <w:marRight w:val="0"/>
                      <w:marTop w:val="0"/>
                      <w:marBottom w:val="0"/>
                      <w:divBdr>
                        <w:top w:val="none" w:sz="0" w:space="0" w:color="auto"/>
                        <w:left w:val="none" w:sz="0" w:space="0" w:color="auto"/>
                        <w:bottom w:val="none" w:sz="0" w:space="0" w:color="auto"/>
                        <w:right w:val="none" w:sz="0" w:space="0" w:color="auto"/>
                      </w:divBdr>
                    </w:div>
                  </w:divsChild>
                </w:div>
                <w:div w:id="2040738271">
                  <w:marLeft w:val="0"/>
                  <w:marRight w:val="0"/>
                  <w:marTop w:val="0"/>
                  <w:marBottom w:val="0"/>
                  <w:divBdr>
                    <w:top w:val="none" w:sz="0" w:space="0" w:color="auto"/>
                    <w:left w:val="none" w:sz="0" w:space="0" w:color="auto"/>
                    <w:bottom w:val="none" w:sz="0" w:space="0" w:color="auto"/>
                    <w:right w:val="none" w:sz="0" w:space="0" w:color="auto"/>
                  </w:divBdr>
                  <w:divsChild>
                    <w:div w:id="1235358694">
                      <w:marLeft w:val="0"/>
                      <w:marRight w:val="0"/>
                      <w:marTop w:val="0"/>
                      <w:marBottom w:val="0"/>
                      <w:divBdr>
                        <w:top w:val="none" w:sz="0" w:space="0" w:color="auto"/>
                        <w:left w:val="none" w:sz="0" w:space="0" w:color="auto"/>
                        <w:bottom w:val="none" w:sz="0" w:space="0" w:color="auto"/>
                        <w:right w:val="none" w:sz="0" w:space="0" w:color="auto"/>
                      </w:divBdr>
                    </w:div>
                  </w:divsChild>
                </w:div>
                <w:div w:id="2101483205">
                  <w:marLeft w:val="0"/>
                  <w:marRight w:val="0"/>
                  <w:marTop w:val="0"/>
                  <w:marBottom w:val="0"/>
                  <w:divBdr>
                    <w:top w:val="none" w:sz="0" w:space="0" w:color="auto"/>
                    <w:left w:val="none" w:sz="0" w:space="0" w:color="auto"/>
                    <w:bottom w:val="none" w:sz="0" w:space="0" w:color="auto"/>
                    <w:right w:val="none" w:sz="0" w:space="0" w:color="auto"/>
                  </w:divBdr>
                  <w:divsChild>
                    <w:div w:id="19137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2226">
          <w:marLeft w:val="0"/>
          <w:marRight w:val="0"/>
          <w:marTop w:val="0"/>
          <w:marBottom w:val="0"/>
          <w:divBdr>
            <w:top w:val="none" w:sz="0" w:space="0" w:color="auto"/>
            <w:left w:val="none" w:sz="0" w:space="0" w:color="auto"/>
            <w:bottom w:val="none" w:sz="0" w:space="0" w:color="auto"/>
            <w:right w:val="none" w:sz="0" w:space="0" w:color="auto"/>
          </w:divBdr>
        </w:div>
      </w:divsChild>
    </w:div>
    <w:div w:id="972521025">
      <w:bodyDiv w:val="1"/>
      <w:marLeft w:val="0"/>
      <w:marRight w:val="0"/>
      <w:marTop w:val="0"/>
      <w:marBottom w:val="0"/>
      <w:divBdr>
        <w:top w:val="none" w:sz="0" w:space="0" w:color="auto"/>
        <w:left w:val="none" w:sz="0" w:space="0" w:color="auto"/>
        <w:bottom w:val="none" w:sz="0" w:space="0" w:color="auto"/>
        <w:right w:val="none" w:sz="0" w:space="0" w:color="auto"/>
      </w:divBdr>
    </w:div>
    <w:div w:id="975336838">
      <w:bodyDiv w:val="1"/>
      <w:marLeft w:val="0"/>
      <w:marRight w:val="0"/>
      <w:marTop w:val="0"/>
      <w:marBottom w:val="0"/>
      <w:divBdr>
        <w:top w:val="none" w:sz="0" w:space="0" w:color="auto"/>
        <w:left w:val="none" w:sz="0" w:space="0" w:color="auto"/>
        <w:bottom w:val="none" w:sz="0" w:space="0" w:color="auto"/>
        <w:right w:val="none" w:sz="0" w:space="0" w:color="auto"/>
      </w:divBdr>
    </w:div>
    <w:div w:id="979924319">
      <w:bodyDiv w:val="1"/>
      <w:marLeft w:val="0"/>
      <w:marRight w:val="0"/>
      <w:marTop w:val="0"/>
      <w:marBottom w:val="0"/>
      <w:divBdr>
        <w:top w:val="none" w:sz="0" w:space="0" w:color="auto"/>
        <w:left w:val="none" w:sz="0" w:space="0" w:color="auto"/>
        <w:bottom w:val="none" w:sz="0" w:space="0" w:color="auto"/>
        <w:right w:val="none" w:sz="0" w:space="0" w:color="auto"/>
      </w:divBdr>
    </w:div>
    <w:div w:id="1003044053">
      <w:bodyDiv w:val="1"/>
      <w:marLeft w:val="0"/>
      <w:marRight w:val="0"/>
      <w:marTop w:val="0"/>
      <w:marBottom w:val="0"/>
      <w:divBdr>
        <w:top w:val="none" w:sz="0" w:space="0" w:color="auto"/>
        <w:left w:val="none" w:sz="0" w:space="0" w:color="auto"/>
        <w:bottom w:val="none" w:sz="0" w:space="0" w:color="auto"/>
        <w:right w:val="none" w:sz="0" w:space="0" w:color="auto"/>
      </w:divBdr>
    </w:div>
    <w:div w:id="1005401317">
      <w:bodyDiv w:val="1"/>
      <w:marLeft w:val="0"/>
      <w:marRight w:val="0"/>
      <w:marTop w:val="0"/>
      <w:marBottom w:val="0"/>
      <w:divBdr>
        <w:top w:val="none" w:sz="0" w:space="0" w:color="auto"/>
        <w:left w:val="none" w:sz="0" w:space="0" w:color="auto"/>
        <w:bottom w:val="none" w:sz="0" w:space="0" w:color="auto"/>
        <w:right w:val="none" w:sz="0" w:space="0" w:color="auto"/>
      </w:divBdr>
    </w:div>
    <w:div w:id="1015114041">
      <w:bodyDiv w:val="1"/>
      <w:marLeft w:val="0"/>
      <w:marRight w:val="0"/>
      <w:marTop w:val="0"/>
      <w:marBottom w:val="0"/>
      <w:divBdr>
        <w:top w:val="none" w:sz="0" w:space="0" w:color="auto"/>
        <w:left w:val="none" w:sz="0" w:space="0" w:color="auto"/>
        <w:bottom w:val="none" w:sz="0" w:space="0" w:color="auto"/>
        <w:right w:val="none" w:sz="0" w:space="0" w:color="auto"/>
      </w:divBdr>
      <w:divsChild>
        <w:div w:id="234433487">
          <w:marLeft w:val="0"/>
          <w:marRight w:val="0"/>
          <w:marTop w:val="0"/>
          <w:marBottom w:val="0"/>
          <w:divBdr>
            <w:top w:val="none" w:sz="0" w:space="0" w:color="auto"/>
            <w:left w:val="none" w:sz="0" w:space="0" w:color="auto"/>
            <w:bottom w:val="none" w:sz="0" w:space="0" w:color="auto"/>
            <w:right w:val="none" w:sz="0" w:space="0" w:color="auto"/>
          </w:divBdr>
          <w:divsChild>
            <w:div w:id="210382238">
              <w:marLeft w:val="-75"/>
              <w:marRight w:val="0"/>
              <w:marTop w:val="30"/>
              <w:marBottom w:val="30"/>
              <w:divBdr>
                <w:top w:val="none" w:sz="0" w:space="0" w:color="auto"/>
                <w:left w:val="none" w:sz="0" w:space="0" w:color="auto"/>
                <w:bottom w:val="none" w:sz="0" w:space="0" w:color="auto"/>
                <w:right w:val="none" w:sz="0" w:space="0" w:color="auto"/>
              </w:divBdr>
              <w:divsChild>
                <w:div w:id="9262763">
                  <w:marLeft w:val="0"/>
                  <w:marRight w:val="0"/>
                  <w:marTop w:val="0"/>
                  <w:marBottom w:val="0"/>
                  <w:divBdr>
                    <w:top w:val="none" w:sz="0" w:space="0" w:color="auto"/>
                    <w:left w:val="none" w:sz="0" w:space="0" w:color="auto"/>
                    <w:bottom w:val="none" w:sz="0" w:space="0" w:color="auto"/>
                    <w:right w:val="none" w:sz="0" w:space="0" w:color="auto"/>
                  </w:divBdr>
                  <w:divsChild>
                    <w:div w:id="2074960299">
                      <w:marLeft w:val="0"/>
                      <w:marRight w:val="0"/>
                      <w:marTop w:val="0"/>
                      <w:marBottom w:val="0"/>
                      <w:divBdr>
                        <w:top w:val="none" w:sz="0" w:space="0" w:color="auto"/>
                        <w:left w:val="none" w:sz="0" w:space="0" w:color="auto"/>
                        <w:bottom w:val="none" w:sz="0" w:space="0" w:color="auto"/>
                        <w:right w:val="none" w:sz="0" w:space="0" w:color="auto"/>
                      </w:divBdr>
                    </w:div>
                  </w:divsChild>
                </w:div>
                <w:div w:id="72431911">
                  <w:marLeft w:val="0"/>
                  <w:marRight w:val="0"/>
                  <w:marTop w:val="0"/>
                  <w:marBottom w:val="0"/>
                  <w:divBdr>
                    <w:top w:val="none" w:sz="0" w:space="0" w:color="auto"/>
                    <w:left w:val="none" w:sz="0" w:space="0" w:color="auto"/>
                    <w:bottom w:val="none" w:sz="0" w:space="0" w:color="auto"/>
                    <w:right w:val="none" w:sz="0" w:space="0" w:color="auto"/>
                  </w:divBdr>
                  <w:divsChild>
                    <w:div w:id="698317903">
                      <w:marLeft w:val="0"/>
                      <w:marRight w:val="0"/>
                      <w:marTop w:val="0"/>
                      <w:marBottom w:val="0"/>
                      <w:divBdr>
                        <w:top w:val="none" w:sz="0" w:space="0" w:color="auto"/>
                        <w:left w:val="none" w:sz="0" w:space="0" w:color="auto"/>
                        <w:bottom w:val="none" w:sz="0" w:space="0" w:color="auto"/>
                        <w:right w:val="none" w:sz="0" w:space="0" w:color="auto"/>
                      </w:divBdr>
                    </w:div>
                  </w:divsChild>
                </w:div>
                <w:div w:id="151993623">
                  <w:marLeft w:val="0"/>
                  <w:marRight w:val="0"/>
                  <w:marTop w:val="0"/>
                  <w:marBottom w:val="0"/>
                  <w:divBdr>
                    <w:top w:val="none" w:sz="0" w:space="0" w:color="auto"/>
                    <w:left w:val="none" w:sz="0" w:space="0" w:color="auto"/>
                    <w:bottom w:val="none" w:sz="0" w:space="0" w:color="auto"/>
                    <w:right w:val="none" w:sz="0" w:space="0" w:color="auto"/>
                  </w:divBdr>
                  <w:divsChild>
                    <w:div w:id="1432815343">
                      <w:marLeft w:val="0"/>
                      <w:marRight w:val="0"/>
                      <w:marTop w:val="0"/>
                      <w:marBottom w:val="0"/>
                      <w:divBdr>
                        <w:top w:val="none" w:sz="0" w:space="0" w:color="auto"/>
                        <w:left w:val="none" w:sz="0" w:space="0" w:color="auto"/>
                        <w:bottom w:val="none" w:sz="0" w:space="0" w:color="auto"/>
                        <w:right w:val="none" w:sz="0" w:space="0" w:color="auto"/>
                      </w:divBdr>
                    </w:div>
                  </w:divsChild>
                </w:div>
                <w:div w:id="164050498">
                  <w:marLeft w:val="0"/>
                  <w:marRight w:val="0"/>
                  <w:marTop w:val="0"/>
                  <w:marBottom w:val="0"/>
                  <w:divBdr>
                    <w:top w:val="none" w:sz="0" w:space="0" w:color="auto"/>
                    <w:left w:val="none" w:sz="0" w:space="0" w:color="auto"/>
                    <w:bottom w:val="none" w:sz="0" w:space="0" w:color="auto"/>
                    <w:right w:val="none" w:sz="0" w:space="0" w:color="auto"/>
                  </w:divBdr>
                  <w:divsChild>
                    <w:div w:id="2052144756">
                      <w:marLeft w:val="0"/>
                      <w:marRight w:val="0"/>
                      <w:marTop w:val="0"/>
                      <w:marBottom w:val="0"/>
                      <w:divBdr>
                        <w:top w:val="none" w:sz="0" w:space="0" w:color="auto"/>
                        <w:left w:val="none" w:sz="0" w:space="0" w:color="auto"/>
                        <w:bottom w:val="none" w:sz="0" w:space="0" w:color="auto"/>
                        <w:right w:val="none" w:sz="0" w:space="0" w:color="auto"/>
                      </w:divBdr>
                    </w:div>
                  </w:divsChild>
                </w:div>
                <w:div w:id="191578488">
                  <w:marLeft w:val="0"/>
                  <w:marRight w:val="0"/>
                  <w:marTop w:val="0"/>
                  <w:marBottom w:val="0"/>
                  <w:divBdr>
                    <w:top w:val="none" w:sz="0" w:space="0" w:color="auto"/>
                    <w:left w:val="none" w:sz="0" w:space="0" w:color="auto"/>
                    <w:bottom w:val="none" w:sz="0" w:space="0" w:color="auto"/>
                    <w:right w:val="none" w:sz="0" w:space="0" w:color="auto"/>
                  </w:divBdr>
                  <w:divsChild>
                    <w:div w:id="752318356">
                      <w:marLeft w:val="0"/>
                      <w:marRight w:val="0"/>
                      <w:marTop w:val="0"/>
                      <w:marBottom w:val="0"/>
                      <w:divBdr>
                        <w:top w:val="none" w:sz="0" w:space="0" w:color="auto"/>
                        <w:left w:val="none" w:sz="0" w:space="0" w:color="auto"/>
                        <w:bottom w:val="none" w:sz="0" w:space="0" w:color="auto"/>
                        <w:right w:val="none" w:sz="0" w:space="0" w:color="auto"/>
                      </w:divBdr>
                    </w:div>
                  </w:divsChild>
                </w:div>
                <w:div w:id="191917683">
                  <w:marLeft w:val="0"/>
                  <w:marRight w:val="0"/>
                  <w:marTop w:val="0"/>
                  <w:marBottom w:val="0"/>
                  <w:divBdr>
                    <w:top w:val="none" w:sz="0" w:space="0" w:color="auto"/>
                    <w:left w:val="none" w:sz="0" w:space="0" w:color="auto"/>
                    <w:bottom w:val="none" w:sz="0" w:space="0" w:color="auto"/>
                    <w:right w:val="none" w:sz="0" w:space="0" w:color="auto"/>
                  </w:divBdr>
                  <w:divsChild>
                    <w:div w:id="149561206">
                      <w:marLeft w:val="0"/>
                      <w:marRight w:val="0"/>
                      <w:marTop w:val="0"/>
                      <w:marBottom w:val="0"/>
                      <w:divBdr>
                        <w:top w:val="none" w:sz="0" w:space="0" w:color="auto"/>
                        <w:left w:val="none" w:sz="0" w:space="0" w:color="auto"/>
                        <w:bottom w:val="none" w:sz="0" w:space="0" w:color="auto"/>
                        <w:right w:val="none" w:sz="0" w:space="0" w:color="auto"/>
                      </w:divBdr>
                    </w:div>
                  </w:divsChild>
                </w:div>
                <w:div w:id="192501789">
                  <w:marLeft w:val="0"/>
                  <w:marRight w:val="0"/>
                  <w:marTop w:val="0"/>
                  <w:marBottom w:val="0"/>
                  <w:divBdr>
                    <w:top w:val="none" w:sz="0" w:space="0" w:color="auto"/>
                    <w:left w:val="none" w:sz="0" w:space="0" w:color="auto"/>
                    <w:bottom w:val="none" w:sz="0" w:space="0" w:color="auto"/>
                    <w:right w:val="none" w:sz="0" w:space="0" w:color="auto"/>
                  </w:divBdr>
                  <w:divsChild>
                    <w:div w:id="1422408381">
                      <w:marLeft w:val="0"/>
                      <w:marRight w:val="0"/>
                      <w:marTop w:val="0"/>
                      <w:marBottom w:val="0"/>
                      <w:divBdr>
                        <w:top w:val="none" w:sz="0" w:space="0" w:color="auto"/>
                        <w:left w:val="none" w:sz="0" w:space="0" w:color="auto"/>
                        <w:bottom w:val="none" w:sz="0" w:space="0" w:color="auto"/>
                        <w:right w:val="none" w:sz="0" w:space="0" w:color="auto"/>
                      </w:divBdr>
                    </w:div>
                  </w:divsChild>
                </w:div>
                <w:div w:id="206067602">
                  <w:marLeft w:val="0"/>
                  <w:marRight w:val="0"/>
                  <w:marTop w:val="0"/>
                  <w:marBottom w:val="0"/>
                  <w:divBdr>
                    <w:top w:val="none" w:sz="0" w:space="0" w:color="auto"/>
                    <w:left w:val="none" w:sz="0" w:space="0" w:color="auto"/>
                    <w:bottom w:val="none" w:sz="0" w:space="0" w:color="auto"/>
                    <w:right w:val="none" w:sz="0" w:space="0" w:color="auto"/>
                  </w:divBdr>
                  <w:divsChild>
                    <w:div w:id="539175355">
                      <w:marLeft w:val="0"/>
                      <w:marRight w:val="0"/>
                      <w:marTop w:val="0"/>
                      <w:marBottom w:val="0"/>
                      <w:divBdr>
                        <w:top w:val="none" w:sz="0" w:space="0" w:color="auto"/>
                        <w:left w:val="none" w:sz="0" w:space="0" w:color="auto"/>
                        <w:bottom w:val="none" w:sz="0" w:space="0" w:color="auto"/>
                        <w:right w:val="none" w:sz="0" w:space="0" w:color="auto"/>
                      </w:divBdr>
                    </w:div>
                  </w:divsChild>
                </w:div>
                <w:div w:id="263074941">
                  <w:marLeft w:val="0"/>
                  <w:marRight w:val="0"/>
                  <w:marTop w:val="0"/>
                  <w:marBottom w:val="0"/>
                  <w:divBdr>
                    <w:top w:val="none" w:sz="0" w:space="0" w:color="auto"/>
                    <w:left w:val="none" w:sz="0" w:space="0" w:color="auto"/>
                    <w:bottom w:val="none" w:sz="0" w:space="0" w:color="auto"/>
                    <w:right w:val="none" w:sz="0" w:space="0" w:color="auto"/>
                  </w:divBdr>
                  <w:divsChild>
                    <w:div w:id="615715438">
                      <w:marLeft w:val="0"/>
                      <w:marRight w:val="0"/>
                      <w:marTop w:val="0"/>
                      <w:marBottom w:val="0"/>
                      <w:divBdr>
                        <w:top w:val="none" w:sz="0" w:space="0" w:color="auto"/>
                        <w:left w:val="none" w:sz="0" w:space="0" w:color="auto"/>
                        <w:bottom w:val="none" w:sz="0" w:space="0" w:color="auto"/>
                        <w:right w:val="none" w:sz="0" w:space="0" w:color="auto"/>
                      </w:divBdr>
                    </w:div>
                  </w:divsChild>
                </w:div>
                <w:div w:id="283930893">
                  <w:marLeft w:val="0"/>
                  <w:marRight w:val="0"/>
                  <w:marTop w:val="0"/>
                  <w:marBottom w:val="0"/>
                  <w:divBdr>
                    <w:top w:val="none" w:sz="0" w:space="0" w:color="auto"/>
                    <w:left w:val="none" w:sz="0" w:space="0" w:color="auto"/>
                    <w:bottom w:val="none" w:sz="0" w:space="0" w:color="auto"/>
                    <w:right w:val="none" w:sz="0" w:space="0" w:color="auto"/>
                  </w:divBdr>
                  <w:divsChild>
                    <w:div w:id="562638178">
                      <w:marLeft w:val="0"/>
                      <w:marRight w:val="0"/>
                      <w:marTop w:val="0"/>
                      <w:marBottom w:val="0"/>
                      <w:divBdr>
                        <w:top w:val="none" w:sz="0" w:space="0" w:color="auto"/>
                        <w:left w:val="none" w:sz="0" w:space="0" w:color="auto"/>
                        <w:bottom w:val="none" w:sz="0" w:space="0" w:color="auto"/>
                        <w:right w:val="none" w:sz="0" w:space="0" w:color="auto"/>
                      </w:divBdr>
                    </w:div>
                  </w:divsChild>
                </w:div>
                <w:div w:id="312805553">
                  <w:marLeft w:val="0"/>
                  <w:marRight w:val="0"/>
                  <w:marTop w:val="0"/>
                  <w:marBottom w:val="0"/>
                  <w:divBdr>
                    <w:top w:val="none" w:sz="0" w:space="0" w:color="auto"/>
                    <w:left w:val="none" w:sz="0" w:space="0" w:color="auto"/>
                    <w:bottom w:val="none" w:sz="0" w:space="0" w:color="auto"/>
                    <w:right w:val="none" w:sz="0" w:space="0" w:color="auto"/>
                  </w:divBdr>
                  <w:divsChild>
                    <w:div w:id="142891965">
                      <w:marLeft w:val="0"/>
                      <w:marRight w:val="0"/>
                      <w:marTop w:val="0"/>
                      <w:marBottom w:val="0"/>
                      <w:divBdr>
                        <w:top w:val="none" w:sz="0" w:space="0" w:color="auto"/>
                        <w:left w:val="none" w:sz="0" w:space="0" w:color="auto"/>
                        <w:bottom w:val="none" w:sz="0" w:space="0" w:color="auto"/>
                        <w:right w:val="none" w:sz="0" w:space="0" w:color="auto"/>
                      </w:divBdr>
                    </w:div>
                  </w:divsChild>
                </w:div>
                <w:div w:id="331642533">
                  <w:marLeft w:val="0"/>
                  <w:marRight w:val="0"/>
                  <w:marTop w:val="0"/>
                  <w:marBottom w:val="0"/>
                  <w:divBdr>
                    <w:top w:val="none" w:sz="0" w:space="0" w:color="auto"/>
                    <w:left w:val="none" w:sz="0" w:space="0" w:color="auto"/>
                    <w:bottom w:val="none" w:sz="0" w:space="0" w:color="auto"/>
                    <w:right w:val="none" w:sz="0" w:space="0" w:color="auto"/>
                  </w:divBdr>
                  <w:divsChild>
                    <w:div w:id="699234987">
                      <w:marLeft w:val="0"/>
                      <w:marRight w:val="0"/>
                      <w:marTop w:val="0"/>
                      <w:marBottom w:val="0"/>
                      <w:divBdr>
                        <w:top w:val="none" w:sz="0" w:space="0" w:color="auto"/>
                        <w:left w:val="none" w:sz="0" w:space="0" w:color="auto"/>
                        <w:bottom w:val="none" w:sz="0" w:space="0" w:color="auto"/>
                        <w:right w:val="none" w:sz="0" w:space="0" w:color="auto"/>
                      </w:divBdr>
                    </w:div>
                  </w:divsChild>
                </w:div>
                <w:div w:id="338891533">
                  <w:marLeft w:val="0"/>
                  <w:marRight w:val="0"/>
                  <w:marTop w:val="0"/>
                  <w:marBottom w:val="0"/>
                  <w:divBdr>
                    <w:top w:val="none" w:sz="0" w:space="0" w:color="auto"/>
                    <w:left w:val="none" w:sz="0" w:space="0" w:color="auto"/>
                    <w:bottom w:val="none" w:sz="0" w:space="0" w:color="auto"/>
                    <w:right w:val="none" w:sz="0" w:space="0" w:color="auto"/>
                  </w:divBdr>
                  <w:divsChild>
                    <w:div w:id="1055542391">
                      <w:marLeft w:val="0"/>
                      <w:marRight w:val="0"/>
                      <w:marTop w:val="0"/>
                      <w:marBottom w:val="0"/>
                      <w:divBdr>
                        <w:top w:val="none" w:sz="0" w:space="0" w:color="auto"/>
                        <w:left w:val="none" w:sz="0" w:space="0" w:color="auto"/>
                        <w:bottom w:val="none" w:sz="0" w:space="0" w:color="auto"/>
                        <w:right w:val="none" w:sz="0" w:space="0" w:color="auto"/>
                      </w:divBdr>
                    </w:div>
                  </w:divsChild>
                </w:div>
                <w:div w:id="369109259">
                  <w:marLeft w:val="0"/>
                  <w:marRight w:val="0"/>
                  <w:marTop w:val="0"/>
                  <w:marBottom w:val="0"/>
                  <w:divBdr>
                    <w:top w:val="none" w:sz="0" w:space="0" w:color="auto"/>
                    <w:left w:val="none" w:sz="0" w:space="0" w:color="auto"/>
                    <w:bottom w:val="none" w:sz="0" w:space="0" w:color="auto"/>
                    <w:right w:val="none" w:sz="0" w:space="0" w:color="auto"/>
                  </w:divBdr>
                  <w:divsChild>
                    <w:div w:id="1756318742">
                      <w:marLeft w:val="0"/>
                      <w:marRight w:val="0"/>
                      <w:marTop w:val="0"/>
                      <w:marBottom w:val="0"/>
                      <w:divBdr>
                        <w:top w:val="none" w:sz="0" w:space="0" w:color="auto"/>
                        <w:left w:val="none" w:sz="0" w:space="0" w:color="auto"/>
                        <w:bottom w:val="none" w:sz="0" w:space="0" w:color="auto"/>
                        <w:right w:val="none" w:sz="0" w:space="0" w:color="auto"/>
                      </w:divBdr>
                    </w:div>
                  </w:divsChild>
                </w:div>
                <w:div w:id="375548968">
                  <w:marLeft w:val="0"/>
                  <w:marRight w:val="0"/>
                  <w:marTop w:val="0"/>
                  <w:marBottom w:val="0"/>
                  <w:divBdr>
                    <w:top w:val="none" w:sz="0" w:space="0" w:color="auto"/>
                    <w:left w:val="none" w:sz="0" w:space="0" w:color="auto"/>
                    <w:bottom w:val="none" w:sz="0" w:space="0" w:color="auto"/>
                    <w:right w:val="none" w:sz="0" w:space="0" w:color="auto"/>
                  </w:divBdr>
                  <w:divsChild>
                    <w:div w:id="598832050">
                      <w:marLeft w:val="0"/>
                      <w:marRight w:val="0"/>
                      <w:marTop w:val="0"/>
                      <w:marBottom w:val="0"/>
                      <w:divBdr>
                        <w:top w:val="none" w:sz="0" w:space="0" w:color="auto"/>
                        <w:left w:val="none" w:sz="0" w:space="0" w:color="auto"/>
                        <w:bottom w:val="none" w:sz="0" w:space="0" w:color="auto"/>
                        <w:right w:val="none" w:sz="0" w:space="0" w:color="auto"/>
                      </w:divBdr>
                    </w:div>
                  </w:divsChild>
                </w:div>
                <w:div w:id="400106128">
                  <w:marLeft w:val="0"/>
                  <w:marRight w:val="0"/>
                  <w:marTop w:val="0"/>
                  <w:marBottom w:val="0"/>
                  <w:divBdr>
                    <w:top w:val="none" w:sz="0" w:space="0" w:color="auto"/>
                    <w:left w:val="none" w:sz="0" w:space="0" w:color="auto"/>
                    <w:bottom w:val="none" w:sz="0" w:space="0" w:color="auto"/>
                    <w:right w:val="none" w:sz="0" w:space="0" w:color="auto"/>
                  </w:divBdr>
                  <w:divsChild>
                    <w:div w:id="724644604">
                      <w:marLeft w:val="0"/>
                      <w:marRight w:val="0"/>
                      <w:marTop w:val="0"/>
                      <w:marBottom w:val="0"/>
                      <w:divBdr>
                        <w:top w:val="none" w:sz="0" w:space="0" w:color="auto"/>
                        <w:left w:val="none" w:sz="0" w:space="0" w:color="auto"/>
                        <w:bottom w:val="none" w:sz="0" w:space="0" w:color="auto"/>
                        <w:right w:val="none" w:sz="0" w:space="0" w:color="auto"/>
                      </w:divBdr>
                    </w:div>
                  </w:divsChild>
                </w:div>
                <w:div w:id="433594964">
                  <w:marLeft w:val="0"/>
                  <w:marRight w:val="0"/>
                  <w:marTop w:val="0"/>
                  <w:marBottom w:val="0"/>
                  <w:divBdr>
                    <w:top w:val="none" w:sz="0" w:space="0" w:color="auto"/>
                    <w:left w:val="none" w:sz="0" w:space="0" w:color="auto"/>
                    <w:bottom w:val="none" w:sz="0" w:space="0" w:color="auto"/>
                    <w:right w:val="none" w:sz="0" w:space="0" w:color="auto"/>
                  </w:divBdr>
                  <w:divsChild>
                    <w:div w:id="1425150234">
                      <w:marLeft w:val="0"/>
                      <w:marRight w:val="0"/>
                      <w:marTop w:val="0"/>
                      <w:marBottom w:val="0"/>
                      <w:divBdr>
                        <w:top w:val="none" w:sz="0" w:space="0" w:color="auto"/>
                        <w:left w:val="none" w:sz="0" w:space="0" w:color="auto"/>
                        <w:bottom w:val="none" w:sz="0" w:space="0" w:color="auto"/>
                        <w:right w:val="none" w:sz="0" w:space="0" w:color="auto"/>
                      </w:divBdr>
                    </w:div>
                  </w:divsChild>
                </w:div>
                <w:div w:id="445389808">
                  <w:marLeft w:val="0"/>
                  <w:marRight w:val="0"/>
                  <w:marTop w:val="0"/>
                  <w:marBottom w:val="0"/>
                  <w:divBdr>
                    <w:top w:val="none" w:sz="0" w:space="0" w:color="auto"/>
                    <w:left w:val="none" w:sz="0" w:space="0" w:color="auto"/>
                    <w:bottom w:val="none" w:sz="0" w:space="0" w:color="auto"/>
                    <w:right w:val="none" w:sz="0" w:space="0" w:color="auto"/>
                  </w:divBdr>
                  <w:divsChild>
                    <w:div w:id="1452283579">
                      <w:marLeft w:val="0"/>
                      <w:marRight w:val="0"/>
                      <w:marTop w:val="0"/>
                      <w:marBottom w:val="0"/>
                      <w:divBdr>
                        <w:top w:val="none" w:sz="0" w:space="0" w:color="auto"/>
                        <w:left w:val="none" w:sz="0" w:space="0" w:color="auto"/>
                        <w:bottom w:val="none" w:sz="0" w:space="0" w:color="auto"/>
                        <w:right w:val="none" w:sz="0" w:space="0" w:color="auto"/>
                      </w:divBdr>
                    </w:div>
                  </w:divsChild>
                </w:div>
                <w:div w:id="501820155">
                  <w:marLeft w:val="0"/>
                  <w:marRight w:val="0"/>
                  <w:marTop w:val="0"/>
                  <w:marBottom w:val="0"/>
                  <w:divBdr>
                    <w:top w:val="none" w:sz="0" w:space="0" w:color="auto"/>
                    <w:left w:val="none" w:sz="0" w:space="0" w:color="auto"/>
                    <w:bottom w:val="none" w:sz="0" w:space="0" w:color="auto"/>
                    <w:right w:val="none" w:sz="0" w:space="0" w:color="auto"/>
                  </w:divBdr>
                  <w:divsChild>
                    <w:div w:id="301231776">
                      <w:marLeft w:val="0"/>
                      <w:marRight w:val="0"/>
                      <w:marTop w:val="0"/>
                      <w:marBottom w:val="0"/>
                      <w:divBdr>
                        <w:top w:val="none" w:sz="0" w:space="0" w:color="auto"/>
                        <w:left w:val="none" w:sz="0" w:space="0" w:color="auto"/>
                        <w:bottom w:val="none" w:sz="0" w:space="0" w:color="auto"/>
                        <w:right w:val="none" w:sz="0" w:space="0" w:color="auto"/>
                      </w:divBdr>
                    </w:div>
                  </w:divsChild>
                </w:div>
                <w:div w:id="520704941">
                  <w:marLeft w:val="0"/>
                  <w:marRight w:val="0"/>
                  <w:marTop w:val="0"/>
                  <w:marBottom w:val="0"/>
                  <w:divBdr>
                    <w:top w:val="none" w:sz="0" w:space="0" w:color="auto"/>
                    <w:left w:val="none" w:sz="0" w:space="0" w:color="auto"/>
                    <w:bottom w:val="none" w:sz="0" w:space="0" w:color="auto"/>
                    <w:right w:val="none" w:sz="0" w:space="0" w:color="auto"/>
                  </w:divBdr>
                  <w:divsChild>
                    <w:div w:id="574315290">
                      <w:marLeft w:val="0"/>
                      <w:marRight w:val="0"/>
                      <w:marTop w:val="0"/>
                      <w:marBottom w:val="0"/>
                      <w:divBdr>
                        <w:top w:val="none" w:sz="0" w:space="0" w:color="auto"/>
                        <w:left w:val="none" w:sz="0" w:space="0" w:color="auto"/>
                        <w:bottom w:val="none" w:sz="0" w:space="0" w:color="auto"/>
                        <w:right w:val="none" w:sz="0" w:space="0" w:color="auto"/>
                      </w:divBdr>
                    </w:div>
                  </w:divsChild>
                </w:div>
                <w:div w:id="559369928">
                  <w:marLeft w:val="0"/>
                  <w:marRight w:val="0"/>
                  <w:marTop w:val="0"/>
                  <w:marBottom w:val="0"/>
                  <w:divBdr>
                    <w:top w:val="none" w:sz="0" w:space="0" w:color="auto"/>
                    <w:left w:val="none" w:sz="0" w:space="0" w:color="auto"/>
                    <w:bottom w:val="none" w:sz="0" w:space="0" w:color="auto"/>
                    <w:right w:val="none" w:sz="0" w:space="0" w:color="auto"/>
                  </w:divBdr>
                  <w:divsChild>
                    <w:div w:id="1673024722">
                      <w:marLeft w:val="0"/>
                      <w:marRight w:val="0"/>
                      <w:marTop w:val="0"/>
                      <w:marBottom w:val="0"/>
                      <w:divBdr>
                        <w:top w:val="none" w:sz="0" w:space="0" w:color="auto"/>
                        <w:left w:val="none" w:sz="0" w:space="0" w:color="auto"/>
                        <w:bottom w:val="none" w:sz="0" w:space="0" w:color="auto"/>
                        <w:right w:val="none" w:sz="0" w:space="0" w:color="auto"/>
                      </w:divBdr>
                    </w:div>
                  </w:divsChild>
                </w:div>
                <w:div w:id="659891472">
                  <w:marLeft w:val="0"/>
                  <w:marRight w:val="0"/>
                  <w:marTop w:val="0"/>
                  <w:marBottom w:val="0"/>
                  <w:divBdr>
                    <w:top w:val="none" w:sz="0" w:space="0" w:color="auto"/>
                    <w:left w:val="none" w:sz="0" w:space="0" w:color="auto"/>
                    <w:bottom w:val="none" w:sz="0" w:space="0" w:color="auto"/>
                    <w:right w:val="none" w:sz="0" w:space="0" w:color="auto"/>
                  </w:divBdr>
                  <w:divsChild>
                    <w:div w:id="1725447627">
                      <w:marLeft w:val="0"/>
                      <w:marRight w:val="0"/>
                      <w:marTop w:val="0"/>
                      <w:marBottom w:val="0"/>
                      <w:divBdr>
                        <w:top w:val="none" w:sz="0" w:space="0" w:color="auto"/>
                        <w:left w:val="none" w:sz="0" w:space="0" w:color="auto"/>
                        <w:bottom w:val="none" w:sz="0" w:space="0" w:color="auto"/>
                        <w:right w:val="none" w:sz="0" w:space="0" w:color="auto"/>
                      </w:divBdr>
                    </w:div>
                  </w:divsChild>
                </w:div>
                <w:div w:id="701245060">
                  <w:marLeft w:val="0"/>
                  <w:marRight w:val="0"/>
                  <w:marTop w:val="0"/>
                  <w:marBottom w:val="0"/>
                  <w:divBdr>
                    <w:top w:val="none" w:sz="0" w:space="0" w:color="auto"/>
                    <w:left w:val="none" w:sz="0" w:space="0" w:color="auto"/>
                    <w:bottom w:val="none" w:sz="0" w:space="0" w:color="auto"/>
                    <w:right w:val="none" w:sz="0" w:space="0" w:color="auto"/>
                  </w:divBdr>
                  <w:divsChild>
                    <w:div w:id="485828151">
                      <w:marLeft w:val="0"/>
                      <w:marRight w:val="0"/>
                      <w:marTop w:val="0"/>
                      <w:marBottom w:val="0"/>
                      <w:divBdr>
                        <w:top w:val="none" w:sz="0" w:space="0" w:color="auto"/>
                        <w:left w:val="none" w:sz="0" w:space="0" w:color="auto"/>
                        <w:bottom w:val="none" w:sz="0" w:space="0" w:color="auto"/>
                        <w:right w:val="none" w:sz="0" w:space="0" w:color="auto"/>
                      </w:divBdr>
                    </w:div>
                  </w:divsChild>
                </w:div>
                <w:div w:id="739980703">
                  <w:marLeft w:val="0"/>
                  <w:marRight w:val="0"/>
                  <w:marTop w:val="0"/>
                  <w:marBottom w:val="0"/>
                  <w:divBdr>
                    <w:top w:val="none" w:sz="0" w:space="0" w:color="auto"/>
                    <w:left w:val="none" w:sz="0" w:space="0" w:color="auto"/>
                    <w:bottom w:val="none" w:sz="0" w:space="0" w:color="auto"/>
                    <w:right w:val="none" w:sz="0" w:space="0" w:color="auto"/>
                  </w:divBdr>
                  <w:divsChild>
                    <w:div w:id="1524241537">
                      <w:marLeft w:val="0"/>
                      <w:marRight w:val="0"/>
                      <w:marTop w:val="0"/>
                      <w:marBottom w:val="0"/>
                      <w:divBdr>
                        <w:top w:val="none" w:sz="0" w:space="0" w:color="auto"/>
                        <w:left w:val="none" w:sz="0" w:space="0" w:color="auto"/>
                        <w:bottom w:val="none" w:sz="0" w:space="0" w:color="auto"/>
                        <w:right w:val="none" w:sz="0" w:space="0" w:color="auto"/>
                      </w:divBdr>
                    </w:div>
                  </w:divsChild>
                </w:div>
                <w:div w:id="755445683">
                  <w:marLeft w:val="0"/>
                  <w:marRight w:val="0"/>
                  <w:marTop w:val="0"/>
                  <w:marBottom w:val="0"/>
                  <w:divBdr>
                    <w:top w:val="none" w:sz="0" w:space="0" w:color="auto"/>
                    <w:left w:val="none" w:sz="0" w:space="0" w:color="auto"/>
                    <w:bottom w:val="none" w:sz="0" w:space="0" w:color="auto"/>
                    <w:right w:val="none" w:sz="0" w:space="0" w:color="auto"/>
                  </w:divBdr>
                  <w:divsChild>
                    <w:div w:id="979304906">
                      <w:marLeft w:val="0"/>
                      <w:marRight w:val="0"/>
                      <w:marTop w:val="0"/>
                      <w:marBottom w:val="0"/>
                      <w:divBdr>
                        <w:top w:val="none" w:sz="0" w:space="0" w:color="auto"/>
                        <w:left w:val="none" w:sz="0" w:space="0" w:color="auto"/>
                        <w:bottom w:val="none" w:sz="0" w:space="0" w:color="auto"/>
                        <w:right w:val="none" w:sz="0" w:space="0" w:color="auto"/>
                      </w:divBdr>
                    </w:div>
                  </w:divsChild>
                </w:div>
                <w:div w:id="764225973">
                  <w:marLeft w:val="0"/>
                  <w:marRight w:val="0"/>
                  <w:marTop w:val="0"/>
                  <w:marBottom w:val="0"/>
                  <w:divBdr>
                    <w:top w:val="none" w:sz="0" w:space="0" w:color="auto"/>
                    <w:left w:val="none" w:sz="0" w:space="0" w:color="auto"/>
                    <w:bottom w:val="none" w:sz="0" w:space="0" w:color="auto"/>
                    <w:right w:val="none" w:sz="0" w:space="0" w:color="auto"/>
                  </w:divBdr>
                  <w:divsChild>
                    <w:div w:id="313611064">
                      <w:marLeft w:val="0"/>
                      <w:marRight w:val="0"/>
                      <w:marTop w:val="0"/>
                      <w:marBottom w:val="0"/>
                      <w:divBdr>
                        <w:top w:val="none" w:sz="0" w:space="0" w:color="auto"/>
                        <w:left w:val="none" w:sz="0" w:space="0" w:color="auto"/>
                        <w:bottom w:val="none" w:sz="0" w:space="0" w:color="auto"/>
                        <w:right w:val="none" w:sz="0" w:space="0" w:color="auto"/>
                      </w:divBdr>
                    </w:div>
                  </w:divsChild>
                </w:div>
                <w:div w:id="871386844">
                  <w:marLeft w:val="0"/>
                  <w:marRight w:val="0"/>
                  <w:marTop w:val="0"/>
                  <w:marBottom w:val="0"/>
                  <w:divBdr>
                    <w:top w:val="none" w:sz="0" w:space="0" w:color="auto"/>
                    <w:left w:val="none" w:sz="0" w:space="0" w:color="auto"/>
                    <w:bottom w:val="none" w:sz="0" w:space="0" w:color="auto"/>
                    <w:right w:val="none" w:sz="0" w:space="0" w:color="auto"/>
                  </w:divBdr>
                  <w:divsChild>
                    <w:div w:id="1473982355">
                      <w:marLeft w:val="0"/>
                      <w:marRight w:val="0"/>
                      <w:marTop w:val="0"/>
                      <w:marBottom w:val="0"/>
                      <w:divBdr>
                        <w:top w:val="none" w:sz="0" w:space="0" w:color="auto"/>
                        <w:left w:val="none" w:sz="0" w:space="0" w:color="auto"/>
                        <w:bottom w:val="none" w:sz="0" w:space="0" w:color="auto"/>
                        <w:right w:val="none" w:sz="0" w:space="0" w:color="auto"/>
                      </w:divBdr>
                    </w:div>
                  </w:divsChild>
                </w:div>
                <w:div w:id="886263224">
                  <w:marLeft w:val="0"/>
                  <w:marRight w:val="0"/>
                  <w:marTop w:val="0"/>
                  <w:marBottom w:val="0"/>
                  <w:divBdr>
                    <w:top w:val="none" w:sz="0" w:space="0" w:color="auto"/>
                    <w:left w:val="none" w:sz="0" w:space="0" w:color="auto"/>
                    <w:bottom w:val="none" w:sz="0" w:space="0" w:color="auto"/>
                    <w:right w:val="none" w:sz="0" w:space="0" w:color="auto"/>
                  </w:divBdr>
                  <w:divsChild>
                    <w:div w:id="124743155">
                      <w:marLeft w:val="0"/>
                      <w:marRight w:val="0"/>
                      <w:marTop w:val="0"/>
                      <w:marBottom w:val="0"/>
                      <w:divBdr>
                        <w:top w:val="none" w:sz="0" w:space="0" w:color="auto"/>
                        <w:left w:val="none" w:sz="0" w:space="0" w:color="auto"/>
                        <w:bottom w:val="none" w:sz="0" w:space="0" w:color="auto"/>
                        <w:right w:val="none" w:sz="0" w:space="0" w:color="auto"/>
                      </w:divBdr>
                    </w:div>
                  </w:divsChild>
                </w:div>
                <w:div w:id="910431949">
                  <w:marLeft w:val="0"/>
                  <w:marRight w:val="0"/>
                  <w:marTop w:val="0"/>
                  <w:marBottom w:val="0"/>
                  <w:divBdr>
                    <w:top w:val="none" w:sz="0" w:space="0" w:color="auto"/>
                    <w:left w:val="none" w:sz="0" w:space="0" w:color="auto"/>
                    <w:bottom w:val="none" w:sz="0" w:space="0" w:color="auto"/>
                    <w:right w:val="none" w:sz="0" w:space="0" w:color="auto"/>
                  </w:divBdr>
                  <w:divsChild>
                    <w:div w:id="1743404228">
                      <w:marLeft w:val="0"/>
                      <w:marRight w:val="0"/>
                      <w:marTop w:val="0"/>
                      <w:marBottom w:val="0"/>
                      <w:divBdr>
                        <w:top w:val="none" w:sz="0" w:space="0" w:color="auto"/>
                        <w:left w:val="none" w:sz="0" w:space="0" w:color="auto"/>
                        <w:bottom w:val="none" w:sz="0" w:space="0" w:color="auto"/>
                        <w:right w:val="none" w:sz="0" w:space="0" w:color="auto"/>
                      </w:divBdr>
                    </w:div>
                  </w:divsChild>
                </w:div>
                <w:div w:id="915090255">
                  <w:marLeft w:val="0"/>
                  <w:marRight w:val="0"/>
                  <w:marTop w:val="0"/>
                  <w:marBottom w:val="0"/>
                  <w:divBdr>
                    <w:top w:val="none" w:sz="0" w:space="0" w:color="auto"/>
                    <w:left w:val="none" w:sz="0" w:space="0" w:color="auto"/>
                    <w:bottom w:val="none" w:sz="0" w:space="0" w:color="auto"/>
                    <w:right w:val="none" w:sz="0" w:space="0" w:color="auto"/>
                  </w:divBdr>
                  <w:divsChild>
                    <w:div w:id="942961633">
                      <w:marLeft w:val="0"/>
                      <w:marRight w:val="0"/>
                      <w:marTop w:val="0"/>
                      <w:marBottom w:val="0"/>
                      <w:divBdr>
                        <w:top w:val="none" w:sz="0" w:space="0" w:color="auto"/>
                        <w:left w:val="none" w:sz="0" w:space="0" w:color="auto"/>
                        <w:bottom w:val="none" w:sz="0" w:space="0" w:color="auto"/>
                        <w:right w:val="none" w:sz="0" w:space="0" w:color="auto"/>
                      </w:divBdr>
                    </w:div>
                  </w:divsChild>
                </w:div>
                <w:div w:id="951664446">
                  <w:marLeft w:val="0"/>
                  <w:marRight w:val="0"/>
                  <w:marTop w:val="0"/>
                  <w:marBottom w:val="0"/>
                  <w:divBdr>
                    <w:top w:val="none" w:sz="0" w:space="0" w:color="auto"/>
                    <w:left w:val="none" w:sz="0" w:space="0" w:color="auto"/>
                    <w:bottom w:val="none" w:sz="0" w:space="0" w:color="auto"/>
                    <w:right w:val="none" w:sz="0" w:space="0" w:color="auto"/>
                  </w:divBdr>
                  <w:divsChild>
                    <w:div w:id="983193284">
                      <w:marLeft w:val="0"/>
                      <w:marRight w:val="0"/>
                      <w:marTop w:val="0"/>
                      <w:marBottom w:val="0"/>
                      <w:divBdr>
                        <w:top w:val="none" w:sz="0" w:space="0" w:color="auto"/>
                        <w:left w:val="none" w:sz="0" w:space="0" w:color="auto"/>
                        <w:bottom w:val="none" w:sz="0" w:space="0" w:color="auto"/>
                        <w:right w:val="none" w:sz="0" w:space="0" w:color="auto"/>
                      </w:divBdr>
                    </w:div>
                  </w:divsChild>
                </w:div>
                <w:div w:id="953827359">
                  <w:marLeft w:val="0"/>
                  <w:marRight w:val="0"/>
                  <w:marTop w:val="0"/>
                  <w:marBottom w:val="0"/>
                  <w:divBdr>
                    <w:top w:val="none" w:sz="0" w:space="0" w:color="auto"/>
                    <w:left w:val="none" w:sz="0" w:space="0" w:color="auto"/>
                    <w:bottom w:val="none" w:sz="0" w:space="0" w:color="auto"/>
                    <w:right w:val="none" w:sz="0" w:space="0" w:color="auto"/>
                  </w:divBdr>
                  <w:divsChild>
                    <w:div w:id="660474699">
                      <w:marLeft w:val="0"/>
                      <w:marRight w:val="0"/>
                      <w:marTop w:val="0"/>
                      <w:marBottom w:val="0"/>
                      <w:divBdr>
                        <w:top w:val="none" w:sz="0" w:space="0" w:color="auto"/>
                        <w:left w:val="none" w:sz="0" w:space="0" w:color="auto"/>
                        <w:bottom w:val="none" w:sz="0" w:space="0" w:color="auto"/>
                        <w:right w:val="none" w:sz="0" w:space="0" w:color="auto"/>
                      </w:divBdr>
                    </w:div>
                  </w:divsChild>
                </w:div>
                <w:div w:id="958146155">
                  <w:marLeft w:val="0"/>
                  <w:marRight w:val="0"/>
                  <w:marTop w:val="0"/>
                  <w:marBottom w:val="0"/>
                  <w:divBdr>
                    <w:top w:val="none" w:sz="0" w:space="0" w:color="auto"/>
                    <w:left w:val="none" w:sz="0" w:space="0" w:color="auto"/>
                    <w:bottom w:val="none" w:sz="0" w:space="0" w:color="auto"/>
                    <w:right w:val="none" w:sz="0" w:space="0" w:color="auto"/>
                  </w:divBdr>
                  <w:divsChild>
                    <w:div w:id="1715304011">
                      <w:marLeft w:val="0"/>
                      <w:marRight w:val="0"/>
                      <w:marTop w:val="0"/>
                      <w:marBottom w:val="0"/>
                      <w:divBdr>
                        <w:top w:val="none" w:sz="0" w:space="0" w:color="auto"/>
                        <w:left w:val="none" w:sz="0" w:space="0" w:color="auto"/>
                        <w:bottom w:val="none" w:sz="0" w:space="0" w:color="auto"/>
                        <w:right w:val="none" w:sz="0" w:space="0" w:color="auto"/>
                      </w:divBdr>
                    </w:div>
                  </w:divsChild>
                </w:div>
                <w:div w:id="959729395">
                  <w:marLeft w:val="0"/>
                  <w:marRight w:val="0"/>
                  <w:marTop w:val="0"/>
                  <w:marBottom w:val="0"/>
                  <w:divBdr>
                    <w:top w:val="none" w:sz="0" w:space="0" w:color="auto"/>
                    <w:left w:val="none" w:sz="0" w:space="0" w:color="auto"/>
                    <w:bottom w:val="none" w:sz="0" w:space="0" w:color="auto"/>
                    <w:right w:val="none" w:sz="0" w:space="0" w:color="auto"/>
                  </w:divBdr>
                  <w:divsChild>
                    <w:div w:id="1908957529">
                      <w:marLeft w:val="0"/>
                      <w:marRight w:val="0"/>
                      <w:marTop w:val="0"/>
                      <w:marBottom w:val="0"/>
                      <w:divBdr>
                        <w:top w:val="none" w:sz="0" w:space="0" w:color="auto"/>
                        <w:left w:val="none" w:sz="0" w:space="0" w:color="auto"/>
                        <w:bottom w:val="none" w:sz="0" w:space="0" w:color="auto"/>
                        <w:right w:val="none" w:sz="0" w:space="0" w:color="auto"/>
                      </w:divBdr>
                    </w:div>
                  </w:divsChild>
                </w:div>
                <w:div w:id="1000504023">
                  <w:marLeft w:val="0"/>
                  <w:marRight w:val="0"/>
                  <w:marTop w:val="0"/>
                  <w:marBottom w:val="0"/>
                  <w:divBdr>
                    <w:top w:val="none" w:sz="0" w:space="0" w:color="auto"/>
                    <w:left w:val="none" w:sz="0" w:space="0" w:color="auto"/>
                    <w:bottom w:val="none" w:sz="0" w:space="0" w:color="auto"/>
                    <w:right w:val="none" w:sz="0" w:space="0" w:color="auto"/>
                  </w:divBdr>
                  <w:divsChild>
                    <w:div w:id="823200780">
                      <w:marLeft w:val="0"/>
                      <w:marRight w:val="0"/>
                      <w:marTop w:val="0"/>
                      <w:marBottom w:val="0"/>
                      <w:divBdr>
                        <w:top w:val="none" w:sz="0" w:space="0" w:color="auto"/>
                        <w:left w:val="none" w:sz="0" w:space="0" w:color="auto"/>
                        <w:bottom w:val="none" w:sz="0" w:space="0" w:color="auto"/>
                        <w:right w:val="none" w:sz="0" w:space="0" w:color="auto"/>
                      </w:divBdr>
                    </w:div>
                  </w:divsChild>
                </w:div>
                <w:div w:id="1081223409">
                  <w:marLeft w:val="0"/>
                  <w:marRight w:val="0"/>
                  <w:marTop w:val="0"/>
                  <w:marBottom w:val="0"/>
                  <w:divBdr>
                    <w:top w:val="none" w:sz="0" w:space="0" w:color="auto"/>
                    <w:left w:val="none" w:sz="0" w:space="0" w:color="auto"/>
                    <w:bottom w:val="none" w:sz="0" w:space="0" w:color="auto"/>
                    <w:right w:val="none" w:sz="0" w:space="0" w:color="auto"/>
                  </w:divBdr>
                  <w:divsChild>
                    <w:div w:id="714230717">
                      <w:marLeft w:val="0"/>
                      <w:marRight w:val="0"/>
                      <w:marTop w:val="0"/>
                      <w:marBottom w:val="0"/>
                      <w:divBdr>
                        <w:top w:val="none" w:sz="0" w:space="0" w:color="auto"/>
                        <w:left w:val="none" w:sz="0" w:space="0" w:color="auto"/>
                        <w:bottom w:val="none" w:sz="0" w:space="0" w:color="auto"/>
                        <w:right w:val="none" w:sz="0" w:space="0" w:color="auto"/>
                      </w:divBdr>
                    </w:div>
                  </w:divsChild>
                </w:div>
                <w:div w:id="1117139464">
                  <w:marLeft w:val="0"/>
                  <w:marRight w:val="0"/>
                  <w:marTop w:val="0"/>
                  <w:marBottom w:val="0"/>
                  <w:divBdr>
                    <w:top w:val="none" w:sz="0" w:space="0" w:color="auto"/>
                    <w:left w:val="none" w:sz="0" w:space="0" w:color="auto"/>
                    <w:bottom w:val="none" w:sz="0" w:space="0" w:color="auto"/>
                    <w:right w:val="none" w:sz="0" w:space="0" w:color="auto"/>
                  </w:divBdr>
                  <w:divsChild>
                    <w:div w:id="732701233">
                      <w:marLeft w:val="0"/>
                      <w:marRight w:val="0"/>
                      <w:marTop w:val="0"/>
                      <w:marBottom w:val="0"/>
                      <w:divBdr>
                        <w:top w:val="none" w:sz="0" w:space="0" w:color="auto"/>
                        <w:left w:val="none" w:sz="0" w:space="0" w:color="auto"/>
                        <w:bottom w:val="none" w:sz="0" w:space="0" w:color="auto"/>
                        <w:right w:val="none" w:sz="0" w:space="0" w:color="auto"/>
                      </w:divBdr>
                    </w:div>
                  </w:divsChild>
                </w:div>
                <w:div w:id="1139305537">
                  <w:marLeft w:val="0"/>
                  <w:marRight w:val="0"/>
                  <w:marTop w:val="0"/>
                  <w:marBottom w:val="0"/>
                  <w:divBdr>
                    <w:top w:val="none" w:sz="0" w:space="0" w:color="auto"/>
                    <w:left w:val="none" w:sz="0" w:space="0" w:color="auto"/>
                    <w:bottom w:val="none" w:sz="0" w:space="0" w:color="auto"/>
                    <w:right w:val="none" w:sz="0" w:space="0" w:color="auto"/>
                  </w:divBdr>
                  <w:divsChild>
                    <w:div w:id="264535334">
                      <w:marLeft w:val="0"/>
                      <w:marRight w:val="0"/>
                      <w:marTop w:val="0"/>
                      <w:marBottom w:val="0"/>
                      <w:divBdr>
                        <w:top w:val="none" w:sz="0" w:space="0" w:color="auto"/>
                        <w:left w:val="none" w:sz="0" w:space="0" w:color="auto"/>
                        <w:bottom w:val="none" w:sz="0" w:space="0" w:color="auto"/>
                        <w:right w:val="none" w:sz="0" w:space="0" w:color="auto"/>
                      </w:divBdr>
                    </w:div>
                  </w:divsChild>
                </w:div>
                <w:div w:id="1144733177">
                  <w:marLeft w:val="0"/>
                  <w:marRight w:val="0"/>
                  <w:marTop w:val="0"/>
                  <w:marBottom w:val="0"/>
                  <w:divBdr>
                    <w:top w:val="none" w:sz="0" w:space="0" w:color="auto"/>
                    <w:left w:val="none" w:sz="0" w:space="0" w:color="auto"/>
                    <w:bottom w:val="none" w:sz="0" w:space="0" w:color="auto"/>
                    <w:right w:val="none" w:sz="0" w:space="0" w:color="auto"/>
                  </w:divBdr>
                  <w:divsChild>
                    <w:div w:id="2102676787">
                      <w:marLeft w:val="0"/>
                      <w:marRight w:val="0"/>
                      <w:marTop w:val="0"/>
                      <w:marBottom w:val="0"/>
                      <w:divBdr>
                        <w:top w:val="none" w:sz="0" w:space="0" w:color="auto"/>
                        <w:left w:val="none" w:sz="0" w:space="0" w:color="auto"/>
                        <w:bottom w:val="none" w:sz="0" w:space="0" w:color="auto"/>
                        <w:right w:val="none" w:sz="0" w:space="0" w:color="auto"/>
                      </w:divBdr>
                    </w:div>
                  </w:divsChild>
                </w:div>
                <w:div w:id="1150051186">
                  <w:marLeft w:val="0"/>
                  <w:marRight w:val="0"/>
                  <w:marTop w:val="0"/>
                  <w:marBottom w:val="0"/>
                  <w:divBdr>
                    <w:top w:val="none" w:sz="0" w:space="0" w:color="auto"/>
                    <w:left w:val="none" w:sz="0" w:space="0" w:color="auto"/>
                    <w:bottom w:val="none" w:sz="0" w:space="0" w:color="auto"/>
                    <w:right w:val="none" w:sz="0" w:space="0" w:color="auto"/>
                  </w:divBdr>
                  <w:divsChild>
                    <w:div w:id="469829020">
                      <w:marLeft w:val="0"/>
                      <w:marRight w:val="0"/>
                      <w:marTop w:val="0"/>
                      <w:marBottom w:val="0"/>
                      <w:divBdr>
                        <w:top w:val="none" w:sz="0" w:space="0" w:color="auto"/>
                        <w:left w:val="none" w:sz="0" w:space="0" w:color="auto"/>
                        <w:bottom w:val="none" w:sz="0" w:space="0" w:color="auto"/>
                        <w:right w:val="none" w:sz="0" w:space="0" w:color="auto"/>
                      </w:divBdr>
                    </w:div>
                  </w:divsChild>
                </w:div>
                <w:div w:id="1168328312">
                  <w:marLeft w:val="0"/>
                  <w:marRight w:val="0"/>
                  <w:marTop w:val="0"/>
                  <w:marBottom w:val="0"/>
                  <w:divBdr>
                    <w:top w:val="none" w:sz="0" w:space="0" w:color="auto"/>
                    <w:left w:val="none" w:sz="0" w:space="0" w:color="auto"/>
                    <w:bottom w:val="none" w:sz="0" w:space="0" w:color="auto"/>
                    <w:right w:val="none" w:sz="0" w:space="0" w:color="auto"/>
                  </w:divBdr>
                  <w:divsChild>
                    <w:div w:id="1465653678">
                      <w:marLeft w:val="0"/>
                      <w:marRight w:val="0"/>
                      <w:marTop w:val="0"/>
                      <w:marBottom w:val="0"/>
                      <w:divBdr>
                        <w:top w:val="none" w:sz="0" w:space="0" w:color="auto"/>
                        <w:left w:val="none" w:sz="0" w:space="0" w:color="auto"/>
                        <w:bottom w:val="none" w:sz="0" w:space="0" w:color="auto"/>
                        <w:right w:val="none" w:sz="0" w:space="0" w:color="auto"/>
                      </w:divBdr>
                    </w:div>
                  </w:divsChild>
                </w:div>
                <w:div w:id="1183663839">
                  <w:marLeft w:val="0"/>
                  <w:marRight w:val="0"/>
                  <w:marTop w:val="0"/>
                  <w:marBottom w:val="0"/>
                  <w:divBdr>
                    <w:top w:val="none" w:sz="0" w:space="0" w:color="auto"/>
                    <w:left w:val="none" w:sz="0" w:space="0" w:color="auto"/>
                    <w:bottom w:val="none" w:sz="0" w:space="0" w:color="auto"/>
                    <w:right w:val="none" w:sz="0" w:space="0" w:color="auto"/>
                  </w:divBdr>
                  <w:divsChild>
                    <w:div w:id="1287079489">
                      <w:marLeft w:val="0"/>
                      <w:marRight w:val="0"/>
                      <w:marTop w:val="0"/>
                      <w:marBottom w:val="0"/>
                      <w:divBdr>
                        <w:top w:val="none" w:sz="0" w:space="0" w:color="auto"/>
                        <w:left w:val="none" w:sz="0" w:space="0" w:color="auto"/>
                        <w:bottom w:val="none" w:sz="0" w:space="0" w:color="auto"/>
                        <w:right w:val="none" w:sz="0" w:space="0" w:color="auto"/>
                      </w:divBdr>
                    </w:div>
                  </w:divsChild>
                </w:div>
                <w:div w:id="1214273552">
                  <w:marLeft w:val="0"/>
                  <w:marRight w:val="0"/>
                  <w:marTop w:val="0"/>
                  <w:marBottom w:val="0"/>
                  <w:divBdr>
                    <w:top w:val="none" w:sz="0" w:space="0" w:color="auto"/>
                    <w:left w:val="none" w:sz="0" w:space="0" w:color="auto"/>
                    <w:bottom w:val="none" w:sz="0" w:space="0" w:color="auto"/>
                    <w:right w:val="none" w:sz="0" w:space="0" w:color="auto"/>
                  </w:divBdr>
                  <w:divsChild>
                    <w:div w:id="98523484">
                      <w:marLeft w:val="0"/>
                      <w:marRight w:val="0"/>
                      <w:marTop w:val="0"/>
                      <w:marBottom w:val="0"/>
                      <w:divBdr>
                        <w:top w:val="none" w:sz="0" w:space="0" w:color="auto"/>
                        <w:left w:val="none" w:sz="0" w:space="0" w:color="auto"/>
                        <w:bottom w:val="none" w:sz="0" w:space="0" w:color="auto"/>
                        <w:right w:val="none" w:sz="0" w:space="0" w:color="auto"/>
                      </w:divBdr>
                    </w:div>
                  </w:divsChild>
                </w:div>
                <w:div w:id="1261135182">
                  <w:marLeft w:val="0"/>
                  <w:marRight w:val="0"/>
                  <w:marTop w:val="0"/>
                  <w:marBottom w:val="0"/>
                  <w:divBdr>
                    <w:top w:val="none" w:sz="0" w:space="0" w:color="auto"/>
                    <w:left w:val="none" w:sz="0" w:space="0" w:color="auto"/>
                    <w:bottom w:val="none" w:sz="0" w:space="0" w:color="auto"/>
                    <w:right w:val="none" w:sz="0" w:space="0" w:color="auto"/>
                  </w:divBdr>
                  <w:divsChild>
                    <w:div w:id="1962422030">
                      <w:marLeft w:val="0"/>
                      <w:marRight w:val="0"/>
                      <w:marTop w:val="0"/>
                      <w:marBottom w:val="0"/>
                      <w:divBdr>
                        <w:top w:val="none" w:sz="0" w:space="0" w:color="auto"/>
                        <w:left w:val="none" w:sz="0" w:space="0" w:color="auto"/>
                        <w:bottom w:val="none" w:sz="0" w:space="0" w:color="auto"/>
                        <w:right w:val="none" w:sz="0" w:space="0" w:color="auto"/>
                      </w:divBdr>
                    </w:div>
                  </w:divsChild>
                </w:div>
                <w:div w:id="1272277577">
                  <w:marLeft w:val="0"/>
                  <w:marRight w:val="0"/>
                  <w:marTop w:val="0"/>
                  <w:marBottom w:val="0"/>
                  <w:divBdr>
                    <w:top w:val="none" w:sz="0" w:space="0" w:color="auto"/>
                    <w:left w:val="none" w:sz="0" w:space="0" w:color="auto"/>
                    <w:bottom w:val="none" w:sz="0" w:space="0" w:color="auto"/>
                    <w:right w:val="none" w:sz="0" w:space="0" w:color="auto"/>
                  </w:divBdr>
                  <w:divsChild>
                    <w:div w:id="1381591796">
                      <w:marLeft w:val="0"/>
                      <w:marRight w:val="0"/>
                      <w:marTop w:val="0"/>
                      <w:marBottom w:val="0"/>
                      <w:divBdr>
                        <w:top w:val="none" w:sz="0" w:space="0" w:color="auto"/>
                        <w:left w:val="none" w:sz="0" w:space="0" w:color="auto"/>
                        <w:bottom w:val="none" w:sz="0" w:space="0" w:color="auto"/>
                        <w:right w:val="none" w:sz="0" w:space="0" w:color="auto"/>
                      </w:divBdr>
                    </w:div>
                  </w:divsChild>
                </w:div>
                <w:div w:id="1312563015">
                  <w:marLeft w:val="0"/>
                  <w:marRight w:val="0"/>
                  <w:marTop w:val="0"/>
                  <w:marBottom w:val="0"/>
                  <w:divBdr>
                    <w:top w:val="none" w:sz="0" w:space="0" w:color="auto"/>
                    <w:left w:val="none" w:sz="0" w:space="0" w:color="auto"/>
                    <w:bottom w:val="none" w:sz="0" w:space="0" w:color="auto"/>
                    <w:right w:val="none" w:sz="0" w:space="0" w:color="auto"/>
                  </w:divBdr>
                  <w:divsChild>
                    <w:div w:id="1586763029">
                      <w:marLeft w:val="0"/>
                      <w:marRight w:val="0"/>
                      <w:marTop w:val="0"/>
                      <w:marBottom w:val="0"/>
                      <w:divBdr>
                        <w:top w:val="none" w:sz="0" w:space="0" w:color="auto"/>
                        <w:left w:val="none" w:sz="0" w:space="0" w:color="auto"/>
                        <w:bottom w:val="none" w:sz="0" w:space="0" w:color="auto"/>
                        <w:right w:val="none" w:sz="0" w:space="0" w:color="auto"/>
                      </w:divBdr>
                    </w:div>
                  </w:divsChild>
                </w:div>
                <w:div w:id="1347442025">
                  <w:marLeft w:val="0"/>
                  <w:marRight w:val="0"/>
                  <w:marTop w:val="0"/>
                  <w:marBottom w:val="0"/>
                  <w:divBdr>
                    <w:top w:val="none" w:sz="0" w:space="0" w:color="auto"/>
                    <w:left w:val="none" w:sz="0" w:space="0" w:color="auto"/>
                    <w:bottom w:val="none" w:sz="0" w:space="0" w:color="auto"/>
                    <w:right w:val="none" w:sz="0" w:space="0" w:color="auto"/>
                  </w:divBdr>
                  <w:divsChild>
                    <w:div w:id="240677905">
                      <w:marLeft w:val="0"/>
                      <w:marRight w:val="0"/>
                      <w:marTop w:val="0"/>
                      <w:marBottom w:val="0"/>
                      <w:divBdr>
                        <w:top w:val="none" w:sz="0" w:space="0" w:color="auto"/>
                        <w:left w:val="none" w:sz="0" w:space="0" w:color="auto"/>
                        <w:bottom w:val="none" w:sz="0" w:space="0" w:color="auto"/>
                        <w:right w:val="none" w:sz="0" w:space="0" w:color="auto"/>
                      </w:divBdr>
                    </w:div>
                  </w:divsChild>
                </w:div>
                <w:div w:id="1370062718">
                  <w:marLeft w:val="0"/>
                  <w:marRight w:val="0"/>
                  <w:marTop w:val="0"/>
                  <w:marBottom w:val="0"/>
                  <w:divBdr>
                    <w:top w:val="none" w:sz="0" w:space="0" w:color="auto"/>
                    <w:left w:val="none" w:sz="0" w:space="0" w:color="auto"/>
                    <w:bottom w:val="none" w:sz="0" w:space="0" w:color="auto"/>
                    <w:right w:val="none" w:sz="0" w:space="0" w:color="auto"/>
                  </w:divBdr>
                  <w:divsChild>
                    <w:div w:id="1134636648">
                      <w:marLeft w:val="0"/>
                      <w:marRight w:val="0"/>
                      <w:marTop w:val="0"/>
                      <w:marBottom w:val="0"/>
                      <w:divBdr>
                        <w:top w:val="none" w:sz="0" w:space="0" w:color="auto"/>
                        <w:left w:val="none" w:sz="0" w:space="0" w:color="auto"/>
                        <w:bottom w:val="none" w:sz="0" w:space="0" w:color="auto"/>
                        <w:right w:val="none" w:sz="0" w:space="0" w:color="auto"/>
                      </w:divBdr>
                    </w:div>
                  </w:divsChild>
                </w:div>
                <w:div w:id="1373529617">
                  <w:marLeft w:val="0"/>
                  <w:marRight w:val="0"/>
                  <w:marTop w:val="0"/>
                  <w:marBottom w:val="0"/>
                  <w:divBdr>
                    <w:top w:val="none" w:sz="0" w:space="0" w:color="auto"/>
                    <w:left w:val="none" w:sz="0" w:space="0" w:color="auto"/>
                    <w:bottom w:val="none" w:sz="0" w:space="0" w:color="auto"/>
                    <w:right w:val="none" w:sz="0" w:space="0" w:color="auto"/>
                  </w:divBdr>
                  <w:divsChild>
                    <w:div w:id="985469895">
                      <w:marLeft w:val="0"/>
                      <w:marRight w:val="0"/>
                      <w:marTop w:val="0"/>
                      <w:marBottom w:val="0"/>
                      <w:divBdr>
                        <w:top w:val="none" w:sz="0" w:space="0" w:color="auto"/>
                        <w:left w:val="none" w:sz="0" w:space="0" w:color="auto"/>
                        <w:bottom w:val="none" w:sz="0" w:space="0" w:color="auto"/>
                        <w:right w:val="none" w:sz="0" w:space="0" w:color="auto"/>
                      </w:divBdr>
                    </w:div>
                  </w:divsChild>
                </w:div>
                <w:div w:id="1398212664">
                  <w:marLeft w:val="0"/>
                  <w:marRight w:val="0"/>
                  <w:marTop w:val="0"/>
                  <w:marBottom w:val="0"/>
                  <w:divBdr>
                    <w:top w:val="none" w:sz="0" w:space="0" w:color="auto"/>
                    <w:left w:val="none" w:sz="0" w:space="0" w:color="auto"/>
                    <w:bottom w:val="none" w:sz="0" w:space="0" w:color="auto"/>
                    <w:right w:val="none" w:sz="0" w:space="0" w:color="auto"/>
                  </w:divBdr>
                  <w:divsChild>
                    <w:div w:id="287442429">
                      <w:marLeft w:val="0"/>
                      <w:marRight w:val="0"/>
                      <w:marTop w:val="0"/>
                      <w:marBottom w:val="0"/>
                      <w:divBdr>
                        <w:top w:val="none" w:sz="0" w:space="0" w:color="auto"/>
                        <w:left w:val="none" w:sz="0" w:space="0" w:color="auto"/>
                        <w:bottom w:val="none" w:sz="0" w:space="0" w:color="auto"/>
                        <w:right w:val="none" w:sz="0" w:space="0" w:color="auto"/>
                      </w:divBdr>
                    </w:div>
                  </w:divsChild>
                </w:div>
                <w:div w:id="1415129197">
                  <w:marLeft w:val="0"/>
                  <w:marRight w:val="0"/>
                  <w:marTop w:val="0"/>
                  <w:marBottom w:val="0"/>
                  <w:divBdr>
                    <w:top w:val="none" w:sz="0" w:space="0" w:color="auto"/>
                    <w:left w:val="none" w:sz="0" w:space="0" w:color="auto"/>
                    <w:bottom w:val="none" w:sz="0" w:space="0" w:color="auto"/>
                    <w:right w:val="none" w:sz="0" w:space="0" w:color="auto"/>
                  </w:divBdr>
                  <w:divsChild>
                    <w:div w:id="1869683649">
                      <w:marLeft w:val="0"/>
                      <w:marRight w:val="0"/>
                      <w:marTop w:val="0"/>
                      <w:marBottom w:val="0"/>
                      <w:divBdr>
                        <w:top w:val="none" w:sz="0" w:space="0" w:color="auto"/>
                        <w:left w:val="none" w:sz="0" w:space="0" w:color="auto"/>
                        <w:bottom w:val="none" w:sz="0" w:space="0" w:color="auto"/>
                        <w:right w:val="none" w:sz="0" w:space="0" w:color="auto"/>
                      </w:divBdr>
                    </w:div>
                  </w:divsChild>
                </w:div>
                <w:div w:id="1433010206">
                  <w:marLeft w:val="0"/>
                  <w:marRight w:val="0"/>
                  <w:marTop w:val="0"/>
                  <w:marBottom w:val="0"/>
                  <w:divBdr>
                    <w:top w:val="none" w:sz="0" w:space="0" w:color="auto"/>
                    <w:left w:val="none" w:sz="0" w:space="0" w:color="auto"/>
                    <w:bottom w:val="none" w:sz="0" w:space="0" w:color="auto"/>
                    <w:right w:val="none" w:sz="0" w:space="0" w:color="auto"/>
                  </w:divBdr>
                  <w:divsChild>
                    <w:div w:id="501894041">
                      <w:marLeft w:val="0"/>
                      <w:marRight w:val="0"/>
                      <w:marTop w:val="0"/>
                      <w:marBottom w:val="0"/>
                      <w:divBdr>
                        <w:top w:val="none" w:sz="0" w:space="0" w:color="auto"/>
                        <w:left w:val="none" w:sz="0" w:space="0" w:color="auto"/>
                        <w:bottom w:val="none" w:sz="0" w:space="0" w:color="auto"/>
                        <w:right w:val="none" w:sz="0" w:space="0" w:color="auto"/>
                      </w:divBdr>
                    </w:div>
                  </w:divsChild>
                </w:div>
                <w:div w:id="1487159863">
                  <w:marLeft w:val="0"/>
                  <w:marRight w:val="0"/>
                  <w:marTop w:val="0"/>
                  <w:marBottom w:val="0"/>
                  <w:divBdr>
                    <w:top w:val="none" w:sz="0" w:space="0" w:color="auto"/>
                    <w:left w:val="none" w:sz="0" w:space="0" w:color="auto"/>
                    <w:bottom w:val="none" w:sz="0" w:space="0" w:color="auto"/>
                    <w:right w:val="none" w:sz="0" w:space="0" w:color="auto"/>
                  </w:divBdr>
                  <w:divsChild>
                    <w:div w:id="410735777">
                      <w:marLeft w:val="0"/>
                      <w:marRight w:val="0"/>
                      <w:marTop w:val="0"/>
                      <w:marBottom w:val="0"/>
                      <w:divBdr>
                        <w:top w:val="none" w:sz="0" w:space="0" w:color="auto"/>
                        <w:left w:val="none" w:sz="0" w:space="0" w:color="auto"/>
                        <w:bottom w:val="none" w:sz="0" w:space="0" w:color="auto"/>
                        <w:right w:val="none" w:sz="0" w:space="0" w:color="auto"/>
                      </w:divBdr>
                    </w:div>
                  </w:divsChild>
                </w:div>
                <w:div w:id="1490364596">
                  <w:marLeft w:val="0"/>
                  <w:marRight w:val="0"/>
                  <w:marTop w:val="0"/>
                  <w:marBottom w:val="0"/>
                  <w:divBdr>
                    <w:top w:val="none" w:sz="0" w:space="0" w:color="auto"/>
                    <w:left w:val="none" w:sz="0" w:space="0" w:color="auto"/>
                    <w:bottom w:val="none" w:sz="0" w:space="0" w:color="auto"/>
                    <w:right w:val="none" w:sz="0" w:space="0" w:color="auto"/>
                  </w:divBdr>
                  <w:divsChild>
                    <w:div w:id="81725840">
                      <w:marLeft w:val="0"/>
                      <w:marRight w:val="0"/>
                      <w:marTop w:val="0"/>
                      <w:marBottom w:val="0"/>
                      <w:divBdr>
                        <w:top w:val="none" w:sz="0" w:space="0" w:color="auto"/>
                        <w:left w:val="none" w:sz="0" w:space="0" w:color="auto"/>
                        <w:bottom w:val="none" w:sz="0" w:space="0" w:color="auto"/>
                        <w:right w:val="none" w:sz="0" w:space="0" w:color="auto"/>
                      </w:divBdr>
                    </w:div>
                  </w:divsChild>
                </w:div>
                <w:div w:id="1491486812">
                  <w:marLeft w:val="0"/>
                  <w:marRight w:val="0"/>
                  <w:marTop w:val="0"/>
                  <w:marBottom w:val="0"/>
                  <w:divBdr>
                    <w:top w:val="none" w:sz="0" w:space="0" w:color="auto"/>
                    <w:left w:val="none" w:sz="0" w:space="0" w:color="auto"/>
                    <w:bottom w:val="none" w:sz="0" w:space="0" w:color="auto"/>
                    <w:right w:val="none" w:sz="0" w:space="0" w:color="auto"/>
                  </w:divBdr>
                  <w:divsChild>
                    <w:div w:id="1020937947">
                      <w:marLeft w:val="0"/>
                      <w:marRight w:val="0"/>
                      <w:marTop w:val="0"/>
                      <w:marBottom w:val="0"/>
                      <w:divBdr>
                        <w:top w:val="none" w:sz="0" w:space="0" w:color="auto"/>
                        <w:left w:val="none" w:sz="0" w:space="0" w:color="auto"/>
                        <w:bottom w:val="none" w:sz="0" w:space="0" w:color="auto"/>
                        <w:right w:val="none" w:sz="0" w:space="0" w:color="auto"/>
                      </w:divBdr>
                    </w:div>
                  </w:divsChild>
                </w:div>
                <w:div w:id="1522401317">
                  <w:marLeft w:val="0"/>
                  <w:marRight w:val="0"/>
                  <w:marTop w:val="0"/>
                  <w:marBottom w:val="0"/>
                  <w:divBdr>
                    <w:top w:val="none" w:sz="0" w:space="0" w:color="auto"/>
                    <w:left w:val="none" w:sz="0" w:space="0" w:color="auto"/>
                    <w:bottom w:val="none" w:sz="0" w:space="0" w:color="auto"/>
                    <w:right w:val="none" w:sz="0" w:space="0" w:color="auto"/>
                  </w:divBdr>
                  <w:divsChild>
                    <w:div w:id="340359079">
                      <w:marLeft w:val="0"/>
                      <w:marRight w:val="0"/>
                      <w:marTop w:val="0"/>
                      <w:marBottom w:val="0"/>
                      <w:divBdr>
                        <w:top w:val="none" w:sz="0" w:space="0" w:color="auto"/>
                        <w:left w:val="none" w:sz="0" w:space="0" w:color="auto"/>
                        <w:bottom w:val="none" w:sz="0" w:space="0" w:color="auto"/>
                        <w:right w:val="none" w:sz="0" w:space="0" w:color="auto"/>
                      </w:divBdr>
                    </w:div>
                  </w:divsChild>
                </w:div>
                <w:div w:id="1566716265">
                  <w:marLeft w:val="0"/>
                  <w:marRight w:val="0"/>
                  <w:marTop w:val="0"/>
                  <w:marBottom w:val="0"/>
                  <w:divBdr>
                    <w:top w:val="none" w:sz="0" w:space="0" w:color="auto"/>
                    <w:left w:val="none" w:sz="0" w:space="0" w:color="auto"/>
                    <w:bottom w:val="none" w:sz="0" w:space="0" w:color="auto"/>
                    <w:right w:val="none" w:sz="0" w:space="0" w:color="auto"/>
                  </w:divBdr>
                  <w:divsChild>
                    <w:div w:id="2009865037">
                      <w:marLeft w:val="0"/>
                      <w:marRight w:val="0"/>
                      <w:marTop w:val="0"/>
                      <w:marBottom w:val="0"/>
                      <w:divBdr>
                        <w:top w:val="none" w:sz="0" w:space="0" w:color="auto"/>
                        <w:left w:val="none" w:sz="0" w:space="0" w:color="auto"/>
                        <w:bottom w:val="none" w:sz="0" w:space="0" w:color="auto"/>
                        <w:right w:val="none" w:sz="0" w:space="0" w:color="auto"/>
                      </w:divBdr>
                    </w:div>
                  </w:divsChild>
                </w:div>
                <w:div w:id="1622880355">
                  <w:marLeft w:val="0"/>
                  <w:marRight w:val="0"/>
                  <w:marTop w:val="0"/>
                  <w:marBottom w:val="0"/>
                  <w:divBdr>
                    <w:top w:val="none" w:sz="0" w:space="0" w:color="auto"/>
                    <w:left w:val="none" w:sz="0" w:space="0" w:color="auto"/>
                    <w:bottom w:val="none" w:sz="0" w:space="0" w:color="auto"/>
                    <w:right w:val="none" w:sz="0" w:space="0" w:color="auto"/>
                  </w:divBdr>
                  <w:divsChild>
                    <w:div w:id="1681353878">
                      <w:marLeft w:val="0"/>
                      <w:marRight w:val="0"/>
                      <w:marTop w:val="0"/>
                      <w:marBottom w:val="0"/>
                      <w:divBdr>
                        <w:top w:val="none" w:sz="0" w:space="0" w:color="auto"/>
                        <w:left w:val="none" w:sz="0" w:space="0" w:color="auto"/>
                        <w:bottom w:val="none" w:sz="0" w:space="0" w:color="auto"/>
                        <w:right w:val="none" w:sz="0" w:space="0" w:color="auto"/>
                      </w:divBdr>
                    </w:div>
                  </w:divsChild>
                </w:div>
                <w:div w:id="1629429849">
                  <w:marLeft w:val="0"/>
                  <w:marRight w:val="0"/>
                  <w:marTop w:val="0"/>
                  <w:marBottom w:val="0"/>
                  <w:divBdr>
                    <w:top w:val="none" w:sz="0" w:space="0" w:color="auto"/>
                    <w:left w:val="none" w:sz="0" w:space="0" w:color="auto"/>
                    <w:bottom w:val="none" w:sz="0" w:space="0" w:color="auto"/>
                    <w:right w:val="none" w:sz="0" w:space="0" w:color="auto"/>
                  </w:divBdr>
                  <w:divsChild>
                    <w:div w:id="287014743">
                      <w:marLeft w:val="0"/>
                      <w:marRight w:val="0"/>
                      <w:marTop w:val="0"/>
                      <w:marBottom w:val="0"/>
                      <w:divBdr>
                        <w:top w:val="none" w:sz="0" w:space="0" w:color="auto"/>
                        <w:left w:val="none" w:sz="0" w:space="0" w:color="auto"/>
                        <w:bottom w:val="none" w:sz="0" w:space="0" w:color="auto"/>
                        <w:right w:val="none" w:sz="0" w:space="0" w:color="auto"/>
                      </w:divBdr>
                    </w:div>
                  </w:divsChild>
                </w:div>
                <w:div w:id="1685328391">
                  <w:marLeft w:val="0"/>
                  <w:marRight w:val="0"/>
                  <w:marTop w:val="0"/>
                  <w:marBottom w:val="0"/>
                  <w:divBdr>
                    <w:top w:val="none" w:sz="0" w:space="0" w:color="auto"/>
                    <w:left w:val="none" w:sz="0" w:space="0" w:color="auto"/>
                    <w:bottom w:val="none" w:sz="0" w:space="0" w:color="auto"/>
                    <w:right w:val="none" w:sz="0" w:space="0" w:color="auto"/>
                  </w:divBdr>
                  <w:divsChild>
                    <w:div w:id="62914943">
                      <w:marLeft w:val="0"/>
                      <w:marRight w:val="0"/>
                      <w:marTop w:val="0"/>
                      <w:marBottom w:val="0"/>
                      <w:divBdr>
                        <w:top w:val="none" w:sz="0" w:space="0" w:color="auto"/>
                        <w:left w:val="none" w:sz="0" w:space="0" w:color="auto"/>
                        <w:bottom w:val="none" w:sz="0" w:space="0" w:color="auto"/>
                        <w:right w:val="none" w:sz="0" w:space="0" w:color="auto"/>
                      </w:divBdr>
                    </w:div>
                  </w:divsChild>
                </w:div>
                <w:div w:id="1686245999">
                  <w:marLeft w:val="0"/>
                  <w:marRight w:val="0"/>
                  <w:marTop w:val="0"/>
                  <w:marBottom w:val="0"/>
                  <w:divBdr>
                    <w:top w:val="none" w:sz="0" w:space="0" w:color="auto"/>
                    <w:left w:val="none" w:sz="0" w:space="0" w:color="auto"/>
                    <w:bottom w:val="none" w:sz="0" w:space="0" w:color="auto"/>
                    <w:right w:val="none" w:sz="0" w:space="0" w:color="auto"/>
                  </w:divBdr>
                  <w:divsChild>
                    <w:div w:id="1674795440">
                      <w:marLeft w:val="0"/>
                      <w:marRight w:val="0"/>
                      <w:marTop w:val="0"/>
                      <w:marBottom w:val="0"/>
                      <w:divBdr>
                        <w:top w:val="none" w:sz="0" w:space="0" w:color="auto"/>
                        <w:left w:val="none" w:sz="0" w:space="0" w:color="auto"/>
                        <w:bottom w:val="none" w:sz="0" w:space="0" w:color="auto"/>
                        <w:right w:val="none" w:sz="0" w:space="0" w:color="auto"/>
                      </w:divBdr>
                    </w:div>
                  </w:divsChild>
                </w:div>
                <w:div w:id="1688216231">
                  <w:marLeft w:val="0"/>
                  <w:marRight w:val="0"/>
                  <w:marTop w:val="0"/>
                  <w:marBottom w:val="0"/>
                  <w:divBdr>
                    <w:top w:val="none" w:sz="0" w:space="0" w:color="auto"/>
                    <w:left w:val="none" w:sz="0" w:space="0" w:color="auto"/>
                    <w:bottom w:val="none" w:sz="0" w:space="0" w:color="auto"/>
                    <w:right w:val="none" w:sz="0" w:space="0" w:color="auto"/>
                  </w:divBdr>
                  <w:divsChild>
                    <w:div w:id="488206066">
                      <w:marLeft w:val="0"/>
                      <w:marRight w:val="0"/>
                      <w:marTop w:val="0"/>
                      <w:marBottom w:val="0"/>
                      <w:divBdr>
                        <w:top w:val="none" w:sz="0" w:space="0" w:color="auto"/>
                        <w:left w:val="none" w:sz="0" w:space="0" w:color="auto"/>
                        <w:bottom w:val="none" w:sz="0" w:space="0" w:color="auto"/>
                        <w:right w:val="none" w:sz="0" w:space="0" w:color="auto"/>
                      </w:divBdr>
                    </w:div>
                  </w:divsChild>
                </w:div>
                <w:div w:id="1694304990">
                  <w:marLeft w:val="0"/>
                  <w:marRight w:val="0"/>
                  <w:marTop w:val="0"/>
                  <w:marBottom w:val="0"/>
                  <w:divBdr>
                    <w:top w:val="none" w:sz="0" w:space="0" w:color="auto"/>
                    <w:left w:val="none" w:sz="0" w:space="0" w:color="auto"/>
                    <w:bottom w:val="none" w:sz="0" w:space="0" w:color="auto"/>
                    <w:right w:val="none" w:sz="0" w:space="0" w:color="auto"/>
                  </w:divBdr>
                  <w:divsChild>
                    <w:div w:id="267351815">
                      <w:marLeft w:val="0"/>
                      <w:marRight w:val="0"/>
                      <w:marTop w:val="0"/>
                      <w:marBottom w:val="0"/>
                      <w:divBdr>
                        <w:top w:val="none" w:sz="0" w:space="0" w:color="auto"/>
                        <w:left w:val="none" w:sz="0" w:space="0" w:color="auto"/>
                        <w:bottom w:val="none" w:sz="0" w:space="0" w:color="auto"/>
                        <w:right w:val="none" w:sz="0" w:space="0" w:color="auto"/>
                      </w:divBdr>
                    </w:div>
                  </w:divsChild>
                </w:div>
                <w:div w:id="1709143312">
                  <w:marLeft w:val="0"/>
                  <w:marRight w:val="0"/>
                  <w:marTop w:val="0"/>
                  <w:marBottom w:val="0"/>
                  <w:divBdr>
                    <w:top w:val="none" w:sz="0" w:space="0" w:color="auto"/>
                    <w:left w:val="none" w:sz="0" w:space="0" w:color="auto"/>
                    <w:bottom w:val="none" w:sz="0" w:space="0" w:color="auto"/>
                    <w:right w:val="none" w:sz="0" w:space="0" w:color="auto"/>
                  </w:divBdr>
                  <w:divsChild>
                    <w:div w:id="2015566669">
                      <w:marLeft w:val="0"/>
                      <w:marRight w:val="0"/>
                      <w:marTop w:val="0"/>
                      <w:marBottom w:val="0"/>
                      <w:divBdr>
                        <w:top w:val="none" w:sz="0" w:space="0" w:color="auto"/>
                        <w:left w:val="none" w:sz="0" w:space="0" w:color="auto"/>
                        <w:bottom w:val="none" w:sz="0" w:space="0" w:color="auto"/>
                        <w:right w:val="none" w:sz="0" w:space="0" w:color="auto"/>
                      </w:divBdr>
                    </w:div>
                  </w:divsChild>
                </w:div>
                <w:div w:id="1717271845">
                  <w:marLeft w:val="0"/>
                  <w:marRight w:val="0"/>
                  <w:marTop w:val="0"/>
                  <w:marBottom w:val="0"/>
                  <w:divBdr>
                    <w:top w:val="none" w:sz="0" w:space="0" w:color="auto"/>
                    <w:left w:val="none" w:sz="0" w:space="0" w:color="auto"/>
                    <w:bottom w:val="none" w:sz="0" w:space="0" w:color="auto"/>
                    <w:right w:val="none" w:sz="0" w:space="0" w:color="auto"/>
                  </w:divBdr>
                  <w:divsChild>
                    <w:div w:id="183137554">
                      <w:marLeft w:val="0"/>
                      <w:marRight w:val="0"/>
                      <w:marTop w:val="0"/>
                      <w:marBottom w:val="0"/>
                      <w:divBdr>
                        <w:top w:val="none" w:sz="0" w:space="0" w:color="auto"/>
                        <w:left w:val="none" w:sz="0" w:space="0" w:color="auto"/>
                        <w:bottom w:val="none" w:sz="0" w:space="0" w:color="auto"/>
                        <w:right w:val="none" w:sz="0" w:space="0" w:color="auto"/>
                      </w:divBdr>
                    </w:div>
                  </w:divsChild>
                </w:div>
                <w:div w:id="1802529326">
                  <w:marLeft w:val="0"/>
                  <w:marRight w:val="0"/>
                  <w:marTop w:val="0"/>
                  <w:marBottom w:val="0"/>
                  <w:divBdr>
                    <w:top w:val="none" w:sz="0" w:space="0" w:color="auto"/>
                    <w:left w:val="none" w:sz="0" w:space="0" w:color="auto"/>
                    <w:bottom w:val="none" w:sz="0" w:space="0" w:color="auto"/>
                    <w:right w:val="none" w:sz="0" w:space="0" w:color="auto"/>
                  </w:divBdr>
                  <w:divsChild>
                    <w:div w:id="171728695">
                      <w:marLeft w:val="0"/>
                      <w:marRight w:val="0"/>
                      <w:marTop w:val="0"/>
                      <w:marBottom w:val="0"/>
                      <w:divBdr>
                        <w:top w:val="none" w:sz="0" w:space="0" w:color="auto"/>
                        <w:left w:val="none" w:sz="0" w:space="0" w:color="auto"/>
                        <w:bottom w:val="none" w:sz="0" w:space="0" w:color="auto"/>
                        <w:right w:val="none" w:sz="0" w:space="0" w:color="auto"/>
                      </w:divBdr>
                    </w:div>
                  </w:divsChild>
                </w:div>
                <w:div w:id="1816796972">
                  <w:marLeft w:val="0"/>
                  <w:marRight w:val="0"/>
                  <w:marTop w:val="0"/>
                  <w:marBottom w:val="0"/>
                  <w:divBdr>
                    <w:top w:val="none" w:sz="0" w:space="0" w:color="auto"/>
                    <w:left w:val="none" w:sz="0" w:space="0" w:color="auto"/>
                    <w:bottom w:val="none" w:sz="0" w:space="0" w:color="auto"/>
                    <w:right w:val="none" w:sz="0" w:space="0" w:color="auto"/>
                  </w:divBdr>
                  <w:divsChild>
                    <w:div w:id="1907453152">
                      <w:marLeft w:val="0"/>
                      <w:marRight w:val="0"/>
                      <w:marTop w:val="0"/>
                      <w:marBottom w:val="0"/>
                      <w:divBdr>
                        <w:top w:val="none" w:sz="0" w:space="0" w:color="auto"/>
                        <w:left w:val="none" w:sz="0" w:space="0" w:color="auto"/>
                        <w:bottom w:val="none" w:sz="0" w:space="0" w:color="auto"/>
                        <w:right w:val="none" w:sz="0" w:space="0" w:color="auto"/>
                      </w:divBdr>
                    </w:div>
                  </w:divsChild>
                </w:div>
                <w:div w:id="1863351022">
                  <w:marLeft w:val="0"/>
                  <w:marRight w:val="0"/>
                  <w:marTop w:val="0"/>
                  <w:marBottom w:val="0"/>
                  <w:divBdr>
                    <w:top w:val="none" w:sz="0" w:space="0" w:color="auto"/>
                    <w:left w:val="none" w:sz="0" w:space="0" w:color="auto"/>
                    <w:bottom w:val="none" w:sz="0" w:space="0" w:color="auto"/>
                    <w:right w:val="none" w:sz="0" w:space="0" w:color="auto"/>
                  </w:divBdr>
                  <w:divsChild>
                    <w:div w:id="2036077535">
                      <w:marLeft w:val="0"/>
                      <w:marRight w:val="0"/>
                      <w:marTop w:val="0"/>
                      <w:marBottom w:val="0"/>
                      <w:divBdr>
                        <w:top w:val="none" w:sz="0" w:space="0" w:color="auto"/>
                        <w:left w:val="none" w:sz="0" w:space="0" w:color="auto"/>
                        <w:bottom w:val="none" w:sz="0" w:space="0" w:color="auto"/>
                        <w:right w:val="none" w:sz="0" w:space="0" w:color="auto"/>
                      </w:divBdr>
                    </w:div>
                  </w:divsChild>
                </w:div>
                <w:div w:id="1901207592">
                  <w:marLeft w:val="0"/>
                  <w:marRight w:val="0"/>
                  <w:marTop w:val="0"/>
                  <w:marBottom w:val="0"/>
                  <w:divBdr>
                    <w:top w:val="none" w:sz="0" w:space="0" w:color="auto"/>
                    <w:left w:val="none" w:sz="0" w:space="0" w:color="auto"/>
                    <w:bottom w:val="none" w:sz="0" w:space="0" w:color="auto"/>
                    <w:right w:val="none" w:sz="0" w:space="0" w:color="auto"/>
                  </w:divBdr>
                  <w:divsChild>
                    <w:div w:id="752317651">
                      <w:marLeft w:val="0"/>
                      <w:marRight w:val="0"/>
                      <w:marTop w:val="0"/>
                      <w:marBottom w:val="0"/>
                      <w:divBdr>
                        <w:top w:val="none" w:sz="0" w:space="0" w:color="auto"/>
                        <w:left w:val="none" w:sz="0" w:space="0" w:color="auto"/>
                        <w:bottom w:val="none" w:sz="0" w:space="0" w:color="auto"/>
                        <w:right w:val="none" w:sz="0" w:space="0" w:color="auto"/>
                      </w:divBdr>
                    </w:div>
                  </w:divsChild>
                </w:div>
                <w:div w:id="1942370609">
                  <w:marLeft w:val="0"/>
                  <w:marRight w:val="0"/>
                  <w:marTop w:val="0"/>
                  <w:marBottom w:val="0"/>
                  <w:divBdr>
                    <w:top w:val="none" w:sz="0" w:space="0" w:color="auto"/>
                    <w:left w:val="none" w:sz="0" w:space="0" w:color="auto"/>
                    <w:bottom w:val="none" w:sz="0" w:space="0" w:color="auto"/>
                    <w:right w:val="none" w:sz="0" w:space="0" w:color="auto"/>
                  </w:divBdr>
                  <w:divsChild>
                    <w:div w:id="2080248496">
                      <w:marLeft w:val="0"/>
                      <w:marRight w:val="0"/>
                      <w:marTop w:val="0"/>
                      <w:marBottom w:val="0"/>
                      <w:divBdr>
                        <w:top w:val="none" w:sz="0" w:space="0" w:color="auto"/>
                        <w:left w:val="none" w:sz="0" w:space="0" w:color="auto"/>
                        <w:bottom w:val="none" w:sz="0" w:space="0" w:color="auto"/>
                        <w:right w:val="none" w:sz="0" w:space="0" w:color="auto"/>
                      </w:divBdr>
                    </w:div>
                  </w:divsChild>
                </w:div>
                <w:div w:id="1946694005">
                  <w:marLeft w:val="0"/>
                  <w:marRight w:val="0"/>
                  <w:marTop w:val="0"/>
                  <w:marBottom w:val="0"/>
                  <w:divBdr>
                    <w:top w:val="none" w:sz="0" w:space="0" w:color="auto"/>
                    <w:left w:val="none" w:sz="0" w:space="0" w:color="auto"/>
                    <w:bottom w:val="none" w:sz="0" w:space="0" w:color="auto"/>
                    <w:right w:val="none" w:sz="0" w:space="0" w:color="auto"/>
                  </w:divBdr>
                  <w:divsChild>
                    <w:div w:id="152337650">
                      <w:marLeft w:val="0"/>
                      <w:marRight w:val="0"/>
                      <w:marTop w:val="0"/>
                      <w:marBottom w:val="0"/>
                      <w:divBdr>
                        <w:top w:val="none" w:sz="0" w:space="0" w:color="auto"/>
                        <w:left w:val="none" w:sz="0" w:space="0" w:color="auto"/>
                        <w:bottom w:val="none" w:sz="0" w:space="0" w:color="auto"/>
                        <w:right w:val="none" w:sz="0" w:space="0" w:color="auto"/>
                      </w:divBdr>
                    </w:div>
                  </w:divsChild>
                </w:div>
                <w:div w:id="1954827491">
                  <w:marLeft w:val="0"/>
                  <w:marRight w:val="0"/>
                  <w:marTop w:val="0"/>
                  <w:marBottom w:val="0"/>
                  <w:divBdr>
                    <w:top w:val="none" w:sz="0" w:space="0" w:color="auto"/>
                    <w:left w:val="none" w:sz="0" w:space="0" w:color="auto"/>
                    <w:bottom w:val="none" w:sz="0" w:space="0" w:color="auto"/>
                    <w:right w:val="none" w:sz="0" w:space="0" w:color="auto"/>
                  </w:divBdr>
                  <w:divsChild>
                    <w:div w:id="1540164575">
                      <w:marLeft w:val="0"/>
                      <w:marRight w:val="0"/>
                      <w:marTop w:val="0"/>
                      <w:marBottom w:val="0"/>
                      <w:divBdr>
                        <w:top w:val="none" w:sz="0" w:space="0" w:color="auto"/>
                        <w:left w:val="none" w:sz="0" w:space="0" w:color="auto"/>
                        <w:bottom w:val="none" w:sz="0" w:space="0" w:color="auto"/>
                        <w:right w:val="none" w:sz="0" w:space="0" w:color="auto"/>
                      </w:divBdr>
                    </w:div>
                  </w:divsChild>
                </w:div>
                <w:div w:id="1987466413">
                  <w:marLeft w:val="0"/>
                  <w:marRight w:val="0"/>
                  <w:marTop w:val="0"/>
                  <w:marBottom w:val="0"/>
                  <w:divBdr>
                    <w:top w:val="none" w:sz="0" w:space="0" w:color="auto"/>
                    <w:left w:val="none" w:sz="0" w:space="0" w:color="auto"/>
                    <w:bottom w:val="none" w:sz="0" w:space="0" w:color="auto"/>
                    <w:right w:val="none" w:sz="0" w:space="0" w:color="auto"/>
                  </w:divBdr>
                  <w:divsChild>
                    <w:div w:id="2079286312">
                      <w:marLeft w:val="0"/>
                      <w:marRight w:val="0"/>
                      <w:marTop w:val="0"/>
                      <w:marBottom w:val="0"/>
                      <w:divBdr>
                        <w:top w:val="none" w:sz="0" w:space="0" w:color="auto"/>
                        <w:left w:val="none" w:sz="0" w:space="0" w:color="auto"/>
                        <w:bottom w:val="none" w:sz="0" w:space="0" w:color="auto"/>
                        <w:right w:val="none" w:sz="0" w:space="0" w:color="auto"/>
                      </w:divBdr>
                    </w:div>
                  </w:divsChild>
                </w:div>
                <w:div w:id="1997876687">
                  <w:marLeft w:val="0"/>
                  <w:marRight w:val="0"/>
                  <w:marTop w:val="0"/>
                  <w:marBottom w:val="0"/>
                  <w:divBdr>
                    <w:top w:val="none" w:sz="0" w:space="0" w:color="auto"/>
                    <w:left w:val="none" w:sz="0" w:space="0" w:color="auto"/>
                    <w:bottom w:val="none" w:sz="0" w:space="0" w:color="auto"/>
                    <w:right w:val="none" w:sz="0" w:space="0" w:color="auto"/>
                  </w:divBdr>
                  <w:divsChild>
                    <w:div w:id="2070611314">
                      <w:marLeft w:val="0"/>
                      <w:marRight w:val="0"/>
                      <w:marTop w:val="0"/>
                      <w:marBottom w:val="0"/>
                      <w:divBdr>
                        <w:top w:val="none" w:sz="0" w:space="0" w:color="auto"/>
                        <w:left w:val="none" w:sz="0" w:space="0" w:color="auto"/>
                        <w:bottom w:val="none" w:sz="0" w:space="0" w:color="auto"/>
                        <w:right w:val="none" w:sz="0" w:space="0" w:color="auto"/>
                      </w:divBdr>
                    </w:div>
                  </w:divsChild>
                </w:div>
                <w:div w:id="2004041014">
                  <w:marLeft w:val="0"/>
                  <w:marRight w:val="0"/>
                  <w:marTop w:val="0"/>
                  <w:marBottom w:val="0"/>
                  <w:divBdr>
                    <w:top w:val="none" w:sz="0" w:space="0" w:color="auto"/>
                    <w:left w:val="none" w:sz="0" w:space="0" w:color="auto"/>
                    <w:bottom w:val="none" w:sz="0" w:space="0" w:color="auto"/>
                    <w:right w:val="none" w:sz="0" w:space="0" w:color="auto"/>
                  </w:divBdr>
                  <w:divsChild>
                    <w:div w:id="520436847">
                      <w:marLeft w:val="0"/>
                      <w:marRight w:val="0"/>
                      <w:marTop w:val="0"/>
                      <w:marBottom w:val="0"/>
                      <w:divBdr>
                        <w:top w:val="none" w:sz="0" w:space="0" w:color="auto"/>
                        <w:left w:val="none" w:sz="0" w:space="0" w:color="auto"/>
                        <w:bottom w:val="none" w:sz="0" w:space="0" w:color="auto"/>
                        <w:right w:val="none" w:sz="0" w:space="0" w:color="auto"/>
                      </w:divBdr>
                    </w:div>
                  </w:divsChild>
                </w:div>
                <w:div w:id="2053190806">
                  <w:marLeft w:val="0"/>
                  <w:marRight w:val="0"/>
                  <w:marTop w:val="0"/>
                  <w:marBottom w:val="0"/>
                  <w:divBdr>
                    <w:top w:val="none" w:sz="0" w:space="0" w:color="auto"/>
                    <w:left w:val="none" w:sz="0" w:space="0" w:color="auto"/>
                    <w:bottom w:val="none" w:sz="0" w:space="0" w:color="auto"/>
                    <w:right w:val="none" w:sz="0" w:space="0" w:color="auto"/>
                  </w:divBdr>
                  <w:divsChild>
                    <w:div w:id="16544993">
                      <w:marLeft w:val="0"/>
                      <w:marRight w:val="0"/>
                      <w:marTop w:val="0"/>
                      <w:marBottom w:val="0"/>
                      <w:divBdr>
                        <w:top w:val="none" w:sz="0" w:space="0" w:color="auto"/>
                        <w:left w:val="none" w:sz="0" w:space="0" w:color="auto"/>
                        <w:bottom w:val="none" w:sz="0" w:space="0" w:color="auto"/>
                        <w:right w:val="none" w:sz="0" w:space="0" w:color="auto"/>
                      </w:divBdr>
                    </w:div>
                  </w:divsChild>
                </w:div>
                <w:div w:id="2072848200">
                  <w:marLeft w:val="0"/>
                  <w:marRight w:val="0"/>
                  <w:marTop w:val="0"/>
                  <w:marBottom w:val="0"/>
                  <w:divBdr>
                    <w:top w:val="none" w:sz="0" w:space="0" w:color="auto"/>
                    <w:left w:val="none" w:sz="0" w:space="0" w:color="auto"/>
                    <w:bottom w:val="none" w:sz="0" w:space="0" w:color="auto"/>
                    <w:right w:val="none" w:sz="0" w:space="0" w:color="auto"/>
                  </w:divBdr>
                  <w:divsChild>
                    <w:div w:id="1845703136">
                      <w:marLeft w:val="0"/>
                      <w:marRight w:val="0"/>
                      <w:marTop w:val="0"/>
                      <w:marBottom w:val="0"/>
                      <w:divBdr>
                        <w:top w:val="none" w:sz="0" w:space="0" w:color="auto"/>
                        <w:left w:val="none" w:sz="0" w:space="0" w:color="auto"/>
                        <w:bottom w:val="none" w:sz="0" w:space="0" w:color="auto"/>
                        <w:right w:val="none" w:sz="0" w:space="0" w:color="auto"/>
                      </w:divBdr>
                    </w:div>
                  </w:divsChild>
                </w:div>
                <w:div w:id="2090344807">
                  <w:marLeft w:val="0"/>
                  <w:marRight w:val="0"/>
                  <w:marTop w:val="0"/>
                  <w:marBottom w:val="0"/>
                  <w:divBdr>
                    <w:top w:val="none" w:sz="0" w:space="0" w:color="auto"/>
                    <w:left w:val="none" w:sz="0" w:space="0" w:color="auto"/>
                    <w:bottom w:val="none" w:sz="0" w:space="0" w:color="auto"/>
                    <w:right w:val="none" w:sz="0" w:space="0" w:color="auto"/>
                  </w:divBdr>
                  <w:divsChild>
                    <w:div w:id="382869476">
                      <w:marLeft w:val="0"/>
                      <w:marRight w:val="0"/>
                      <w:marTop w:val="0"/>
                      <w:marBottom w:val="0"/>
                      <w:divBdr>
                        <w:top w:val="none" w:sz="0" w:space="0" w:color="auto"/>
                        <w:left w:val="none" w:sz="0" w:space="0" w:color="auto"/>
                        <w:bottom w:val="none" w:sz="0" w:space="0" w:color="auto"/>
                        <w:right w:val="none" w:sz="0" w:space="0" w:color="auto"/>
                      </w:divBdr>
                    </w:div>
                  </w:divsChild>
                </w:div>
                <w:div w:id="2126120653">
                  <w:marLeft w:val="0"/>
                  <w:marRight w:val="0"/>
                  <w:marTop w:val="0"/>
                  <w:marBottom w:val="0"/>
                  <w:divBdr>
                    <w:top w:val="none" w:sz="0" w:space="0" w:color="auto"/>
                    <w:left w:val="none" w:sz="0" w:space="0" w:color="auto"/>
                    <w:bottom w:val="none" w:sz="0" w:space="0" w:color="auto"/>
                    <w:right w:val="none" w:sz="0" w:space="0" w:color="auto"/>
                  </w:divBdr>
                  <w:divsChild>
                    <w:div w:id="1078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2540">
          <w:marLeft w:val="0"/>
          <w:marRight w:val="0"/>
          <w:marTop w:val="0"/>
          <w:marBottom w:val="0"/>
          <w:divBdr>
            <w:top w:val="none" w:sz="0" w:space="0" w:color="auto"/>
            <w:left w:val="none" w:sz="0" w:space="0" w:color="auto"/>
            <w:bottom w:val="none" w:sz="0" w:space="0" w:color="auto"/>
            <w:right w:val="none" w:sz="0" w:space="0" w:color="auto"/>
          </w:divBdr>
        </w:div>
        <w:div w:id="1269849167">
          <w:marLeft w:val="0"/>
          <w:marRight w:val="0"/>
          <w:marTop w:val="0"/>
          <w:marBottom w:val="0"/>
          <w:divBdr>
            <w:top w:val="none" w:sz="0" w:space="0" w:color="auto"/>
            <w:left w:val="none" w:sz="0" w:space="0" w:color="auto"/>
            <w:bottom w:val="none" w:sz="0" w:space="0" w:color="auto"/>
            <w:right w:val="none" w:sz="0" w:space="0" w:color="auto"/>
          </w:divBdr>
        </w:div>
      </w:divsChild>
    </w:div>
    <w:div w:id="1067413574">
      <w:bodyDiv w:val="1"/>
      <w:marLeft w:val="0"/>
      <w:marRight w:val="0"/>
      <w:marTop w:val="0"/>
      <w:marBottom w:val="0"/>
      <w:divBdr>
        <w:top w:val="none" w:sz="0" w:space="0" w:color="auto"/>
        <w:left w:val="none" w:sz="0" w:space="0" w:color="auto"/>
        <w:bottom w:val="none" w:sz="0" w:space="0" w:color="auto"/>
        <w:right w:val="none" w:sz="0" w:space="0" w:color="auto"/>
      </w:divBdr>
    </w:div>
    <w:div w:id="1075736694">
      <w:bodyDiv w:val="1"/>
      <w:marLeft w:val="0"/>
      <w:marRight w:val="0"/>
      <w:marTop w:val="0"/>
      <w:marBottom w:val="0"/>
      <w:divBdr>
        <w:top w:val="none" w:sz="0" w:space="0" w:color="auto"/>
        <w:left w:val="none" w:sz="0" w:space="0" w:color="auto"/>
        <w:bottom w:val="none" w:sz="0" w:space="0" w:color="auto"/>
        <w:right w:val="none" w:sz="0" w:space="0" w:color="auto"/>
      </w:divBdr>
    </w:div>
    <w:div w:id="1090420693">
      <w:bodyDiv w:val="1"/>
      <w:marLeft w:val="0"/>
      <w:marRight w:val="0"/>
      <w:marTop w:val="0"/>
      <w:marBottom w:val="0"/>
      <w:divBdr>
        <w:top w:val="none" w:sz="0" w:space="0" w:color="auto"/>
        <w:left w:val="none" w:sz="0" w:space="0" w:color="auto"/>
        <w:bottom w:val="none" w:sz="0" w:space="0" w:color="auto"/>
        <w:right w:val="none" w:sz="0" w:space="0" w:color="auto"/>
      </w:divBdr>
    </w:div>
    <w:div w:id="1094738921">
      <w:bodyDiv w:val="1"/>
      <w:marLeft w:val="0"/>
      <w:marRight w:val="0"/>
      <w:marTop w:val="0"/>
      <w:marBottom w:val="0"/>
      <w:divBdr>
        <w:top w:val="none" w:sz="0" w:space="0" w:color="auto"/>
        <w:left w:val="none" w:sz="0" w:space="0" w:color="auto"/>
        <w:bottom w:val="none" w:sz="0" w:space="0" w:color="auto"/>
        <w:right w:val="none" w:sz="0" w:space="0" w:color="auto"/>
      </w:divBdr>
    </w:div>
    <w:div w:id="1095707864">
      <w:bodyDiv w:val="1"/>
      <w:marLeft w:val="0"/>
      <w:marRight w:val="0"/>
      <w:marTop w:val="0"/>
      <w:marBottom w:val="0"/>
      <w:divBdr>
        <w:top w:val="none" w:sz="0" w:space="0" w:color="auto"/>
        <w:left w:val="none" w:sz="0" w:space="0" w:color="auto"/>
        <w:bottom w:val="none" w:sz="0" w:space="0" w:color="auto"/>
        <w:right w:val="none" w:sz="0" w:space="0" w:color="auto"/>
      </w:divBdr>
    </w:div>
    <w:div w:id="1101529642">
      <w:bodyDiv w:val="1"/>
      <w:marLeft w:val="0"/>
      <w:marRight w:val="0"/>
      <w:marTop w:val="0"/>
      <w:marBottom w:val="0"/>
      <w:divBdr>
        <w:top w:val="none" w:sz="0" w:space="0" w:color="auto"/>
        <w:left w:val="none" w:sz="0" w:space="0" w:color="auto"/>
        <w:bottom w:val="none" w:sz="0" w:space="0" w:color="auto"/>
        <w:right w:val="none" w:sz="0" w:space="0" w:color="auto"/>
      </w:divBdr>
    </w:div>
    <w:div w:id="1110465746">
      <w:bodyDiv w:val="1"/>
      <w:marLeft w:val="0"/>
      <w:marRight w:val="0"/>
      <w:marTop w:val="0"/>
      <w:marBottom w:val="0"/>
      <w:divBdr>
        <w:top w:val="none" w:sz="0" w:space="0" w:color="auto"/>
        <w:left w:val="none" w:sz="0" w:space="0" w:color="auto"/>
        <w:bottom w:val="none" w:sz="0" w:space="0" w:color="auto"/>
        <w:right w:val="none" w:sz="0" w:space="0" w:color="auto"/>
      </w:divBdr>
    </w:div>
    <w:div w:id="1130823999">
      <w:bodyDiv w:val="1"/>
      <w:marLeft w:val="0"/>
      <w:marRight w:val="0"/>
      <w:marTop w:val="0"/>
      <w:marBottom w:val="0"/>
      <w:divBdr>
        <w:top w:val="none" w:sz="0" w:space="0" w:color="auto"/>
        <w:left w:val="none" w:sz="0" w:space="0" w:color="auto"/>
        <w:bottom w:val="none" w:sz="0" w:space="0" w:color="auto"/>
        <w:right w:val="none" w:sz="0" w:space="0" w:color="auto"/>
      </w:divBdr>
    </w:div>
    <w:div w:id="1132676235">
      <w:bodyDiv w:val="1"/>
      <w:marLeft w:val="0"/>
      <w:marRight w:val="0"/>
      <w:marTop w:val="0"/>
      <w:marBottom w:val="0"/>
      <w:divBdr>
        <w:top w:val="none" w:sz="0" w:space="0" w:color="auto"/>
        <w:left w:val="none" w:sz="0" w:space="0" w:color="auto"/>
        <w:bottom w:val="none" w:sz="0" w:space="0" w:color="auto"/>
        <w:right w:val="none" w:sz="0" w:space="0" w:color="auto"/>
      </w:divBdr>
    </w:div>
    <w:div w:id="113320976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5373">
      <w:bodyDiv w:val="1"/>
      <w:marLeft w:val="0"/>
      <w:marRight w:val="0"/>
      <w:marTop w:val="0"/>
      <w:marBottom w:val="0"/>
      <w:divBdr>
        <w:top w:val="none" w:sz="0" w:space="0" w:color="auto"/>
        <w:left w:val="none" w:sz="0" w:space="0" w:color="auto"/>
        <w:bottom w:val="none" w:sz="0" w:space="0" w:color="auto"/>
        <w:right w:val="none" w:sz="0" w:space="0" w:color="auto"/>
      </w:divBdr>
    </w:div>
    <w:div w:id="1180313991">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1315547">
      <w:bodyDiv w:val="1"/>
      <w:marLeft w:val="0"/>
      <w:marRight w:val="0"/>
      <w:marTop w:val="0"/>
      <w:marBottom w:val="0"/>
      <w:divBdr>
        <w:top w:val="none" w:sz="0" w:space="0" w:color="auto"/>
        <w:left w:val="none" w:sz="0" w:space="0" w:color="auto"/>
        <w:bottom w:val="none" w:sz="0" w:space="0" w:color="auto"/>
        <w:right w:val="none" w:sz="0" w:space="0" w:color="auto"/>
      </w:divBdr>
    </w:div>
    <w:div w:id="1188298770">
      <w:bodyDiv w:val="1"/>
      <w:marLeft w:val="0"/>
      <w:marRight w:val="0"/>
      <w:marTop w:val="0"/>
      <w:marBottom w:val="0"/>
      <w:divBdr>
        <w:top w:val="none" w:sz="0" w:space="0" w:color="auto"/>
        <w:left w:val="none" w:sz="0" w:space="0" w:color="auto"/>
        <w:bottom w:val="none" w:sz="0" w:space="0" w:color="auto"/>
        <w:right w:val="none" w:sz="0" w:space="0" w:color="auto"/>
      </w:divBdr>
    </w:div>
    <w:div w:id="1189181307">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8250135">
      <w:bodyDiv w:val="1"/>
      <w:marLeft w:val="0"/>
      <w:marRight w:val="0"/>
      <w:marTop w:val="0"/>
      <w:marBottom w:val="0"/>
      <w:divBdr>
        <w:top w:val="none" w:sz="0" w:space="0" w:color="auto"/>
        <w:left w:val="none" w:sz="0" w:space="0" w:color="auto"/>
        <w:bottom w:val="none" w:sz="0" w:space="0" w:color="auto"/>
        <w:right w:val="none" w:sz="0" w:space="0" w:color="auto"/>
      </w:divBdr>
    </w:div>
    <w:div w:id="1264151100">
      <w:bodyDiv w:val="1"/>
      <w:marLeft w:val="0"/>
      <w:marRight w:val="0"/>
      <w:marTop w:val="0"/>
      <w:marBottom w:val="0"/>
      <w:divBdr>
        <w:top w:val="none" w:sz="0" w:space="0" w:color="auto"/>
        <w:left w:val="none" w:sz="0" w:space="0" w:color="auto"/>
        <w:bottom w:val="none" w:sz="0" w:space="0" w:color="auto"/>
        <w:right w:val="none" w:sz="0" w:space="0" w:color="auto"/>
      </w:divBdr>
    </w:div>
    <w:div w:id="1272325361">
      <w:bodyDiv w:val="1"/>
      <w:marLeft w:val="0"/>
      <w:marRight w:val="0"/>
      <w:marTop w:val="0"/>
      <w:marBottom w:val="0"/>
      <w:divBdr>
        <w:top w:val="none" w:sz="0" w:space="0" w:color="auto"/>
        <w:left w:val="none" w:sz="0" w:space="0" w:color="auto"/>
        <w:bottom w:val="none" w:sz="0" w:space="0" w:color="auto"/>
        <w:right w:val="none" w:sz="0" w:space="0" w:color="auto"/>
      </w:divBdr>
    </w:div>
    <w:div w:id="1277784830">
      <w:bodyDiv w:val="1"/>
      <w:marLeft w:val="0"/>
      <w:marRight w:val="0"/>
      <w:marTop w:val="0"/>
      <w:marBottom w:val="0"/>
      <w:divBdr>
        <w:top w:val="none" w:sz="0" w:space="0" w:color="auto"/>
        <w:left w:val="none" w:sz="0" w:space="0" w:color="auto"/>
        <w:bottom w:val="none" w:sz="0" w:space="0" w:color="auto"/>
        <w:right w:val="none" w:sz="0" w:space="0" w:color="auto"/>
      </w:divBdr>
    </w:div>
    <w:div w:id="1293630083">
      <w:bodyDiv w:val="1"/>
      <w:marLeft w:val="0"/>
      <w:marRight w:val="0"/>
      <w:marTop w:val="0"/>
      <w:marBottom w:val="0"/>
      <w:divBdr>
        <w:top w:val="none" w:sz="0" w:space="0" w:color="auto"/>
        <w:left w:val="none" w:sz="0" w:space="0" w:color="auto"/>
        <w:bottom w:val="none" w:sz="0" w:space="0" w:color="auto"/>
        <w:right w:val="none" w:sz="0" w:space="0" w:color="auto"/>
      </w:divBdr>
      <w:divsChild>
        <w:div w:id="465513780">
          <w:marLeft w:val="0"/>
          <w:marRight w:val="0"/>
          <w:marTop w:val="0"/>
          <w:marBottom w:val="0"/>
          <w:divBdr>
            <w:top w:val="none" w:sz="0" w:space="0" w:color="auto"/>
            <w:left w:val="none" w:sz="0" w:space="0" w:color="auto"/>
            <w:bottom w:val="none" w:sz="0" w:space="0" w:color="auto"/>
            <w:right w:val="none" w:sz="0" w:space="0" w:color="auto"/>
          </w:divBdr>
        </w:div>
        <w:div w:id="828331239">
          <w:marLeft w:val="0"/>
          <w:marRight w:val="0"/>
          <w:marTop w:val="0"/>
          <w:marBottom w:val="0"/>
          <w:divBdr>
            <w:top w:val="none" w:sz="0" w:space="0" w:color="auto"/>
            <w:left w:val="none" w:sz="0" w:space="0" w:color="auto"/>
            <w:bottom w:val="none" w:sz="0" w:space="0" w:color="auto"/>
            <w:right w:val="none" w:sz="0" w:space="0" w:color="auto"/>
          </w:divBdr>
        </w:div>
        <w:div w:id="1472282292">
          <w:marLeft w:val="0"/>
          <w:marRight w:val="0"/>
          <w:marTop w:val="0"/>
          <w:marBottom w:val="0"/>
          <w:divBdr>
            <w:top w:val="none" w:sz="0" w:space="0" w:color="auto"/>
            <w:left w:val="none" w:sz="0" w:space="0" w:color="auto"/>
            <w:bottom w:val="none" w:sz="0" w:space="0" w:color="auto"/>
            <w:right w:val="none" w:sz="0" w:space="0" w:color="auto"/>
          </w:divBdr>
        </w:div>
      </w:divsChild>
    </w:div>
    <w:div w:id="1294022259">
      <w:bodyDiv w:val="1"/>
      <w:marLeft w:val="0"/>
      <w:marRight w:val="0"/>
      <w:marTop w:val="0"/>
      <w:marBottom w:val="0"/>
      <w:divBdr>
        <w:top w:val="none" w:sz="0" w:space="0" w:color="auto"/>
        <w:left w:val="none" w:sz="0" w:space="0" w:color="auto"/>
        <w:bottom w:val="none" w:sz="0" w:space="0" w:color="auto"/>
        <w:right w:val="none" w:sz="0" w:space="0" w:color="auto"/>
      </w:divBdr>
    </w:div>
    <w:div w:id="1302538380">
      <w:bodyDiv w:val="1"/>
      <w:marLeft w:val="0"/>
      <w:marRight w:val="0"/>
      <w:marTop w:val="0"/>
      <w:marBottom w:val="0"/>
      <w:divBdr>
        <w:top w:val="none" w:sz="0" w:space="0" w:color="auto"/>
        <w:left w:val="none" w:sz="0" w:space="0" w:color="auto"/>
        <w:bottom w:val="none" w:sz="0" w:space="0" w:color="auto"/>
        <w:right w:val="none" w:sz="0" w:space="0" w:color="auto"/>
      </w:divBdr>
    </w:div>
    <w:div w:id="1340424042">
      <w:bodyDiv w:val="1"/>
      <w:marLeft w:val="0"/>
      <w:marRight w:val="0"/>
      <w:marTop w:val="0"/>
      <w:marBottom w:val="0"/>
      <w:divBdr>
        <w:top w:val="none" w:sz="0" w:space="0" w:color="auto"/>
        <w:left w:val="none" w:sz="0" w:space="0" w:color="auto"/>
        <w:bottom w:val="none" w:sz="0" w:space="0" w:color="auto"/>
        <w:right w:val="none" w:sz="0" w:space="0" w:color="auto"/>
      </w:divBdr>
    </w:div>
    <w:div w:id="1353460154">
      <w:bodyDiv w:val="1"/>
      <w:marLeft w:val="0"/>
      <w:marRight w:val="0"/>
      <w:marTop w:val="0"/>
      <w:marBottom w:val="0"/>
      <w:divBdr>
        <w:top w:val="none" w:sz="0" w:space="0" w:color="auto"/>
        <w:left w:val="none" w:sz="0" w:space="0" w:color="auto"/>
        <w:bottom w:val="none" w:sz="0" w:space="0" w:color="auto"/>
        <w:right w:val="none" w:sz="0" w:space="0" w:color="auto"/>
      </w:divBdr>
    </w:div>
    <w:div w:id="1409578129">
      <w:bodyDiv w:val="1"/>
      <w:marLeft w:val="0"/>
      <w:marRight w:val="0"/>
      <w:marTop w:val="0"/>
      <w:marBottom w:val="0"/>
      <w:divBdr>
        <w:top w:val="none" w:sz="0" w:space="0" w:color="auto"/>
        <w:left w:val="none" w:sz="0" w:space="0" w:color="auto"/>
        <w:bottom w:val="none" w:sz="0" w:space="0" w:color="auto"/>
        <w:right w:val="none" w:sz="0" w:space="0" w:color="auto"/>
      </w:divBdr>
    </w:div>
    <w:div w:id="1429423252">
      <w:bodyDiv w:val="1"/>
      <w:marLeft w:val="0"/>
      <w:marRight w:val="0"/>
      <w:marTop w:val="0"/>
      <w:marBottom w:val="0"/>
      <w:divBdr>
        <w:top w:val="none" w:sz="0" w:space="0" w:color="auto"/>
        <w:left w:val="none" w:sz="0" w:space="0" w:color="auto"/>
        <w:bottom w:val="none" w:sz="0" w:space="0" w:color="auto"/>
        <w:right w:val="none" w:sz="0" w:space="0" w:color="auto"/>
      </w:divBdr>
    </w:div>
    <w:div w:id="1434011590">
      <w:bodyDiv w:val="1"/>
      <w:marLeft w:val="0"/>
      <w:marRight w:val="0"/>
      <w:marTop w:val="0"/>
      <w:marBottom w:val="0"/>
      <w:divBdr>
        <w:top w:val="none" w:sz="0" w:space="0" w:color="auto"/>
        <w:left w:val="none" w:sz="0" w:space="0" w:color="auto"/>
        <w:bottom w:val="none" w:sz="0" w:space="0" w:color="auto"/>
        <w:right w:val="none" w:sz="0" w:space="0" w:color="auto"/>
      </w:divBdr>
    </w:div>
    <w:div w:id="1435708661">
      <w:bodyDiv w:val="1"/>
      <w:marLeft w:val="0"/>
      <w:marRight w:val="0"/>
      <w:marTop w:val="0"/>
      <w:marBottom w:val="0"/>
      <w:divBdr>
        <w:top w:val="none" w:sz="0" w:space="0" w:color="auto"/>
        <w:left w:val="none" w:sz="0" w:space="0" w:color="auto"/>
        <w:bottom w:val="none" w:sz="0" w:space="0" w:color="auto"/>
        <w:right w:val="none" w:sz="0" w:space="0" w:color="auto"/>
      </w:divBdr>
    </w:div>
    <w:div w:id="1448543089">
      <w:bodyDiv w:val="1"/>
      <w:marLeft w:val="0"/>
      <w:marRight w:val="0"/>
      <w:marTop w:val="0"/>
      <w:marBottom w:val="0"/>
      <w:divBdr>
        <w:top w:val="none" w:sz="0" w:space="0" w:color="auto"/>
        <w:left w:val="none" w:sz="0" w:space="0" w:color="auto"/>
        <w:bottom w:val="none" w:sz="0" w:space="0" w:color="auto"/>
        <w:right w:val="none" w:sz="0" w:space="0" w:color="auto"/>
      </w:divBdr>
    </w:div>
    <w:div w:id="1471283666">
      <w:bodyDiv w:val="1"/>
      <w:marLeft w:val="0"/>
      <w:marRight w:val="0"/>
      <w:marTop w:val="0"/>
      <w:marBottom w:val="0"/>
      <w:divBdr>
        <w:top w:val="none" w:sz="0" w:space="0" w:color="auto"/>
        <w:left w:val="none" w:sz="0" w:space="0" w:color="auto"/>
        <w:bottom w:val="none" w:sz="0" w:space="0" w:color="auto"/>
        <w:right w:val="none" w:sz="0" w:space="0" w:color="auto"/>
      </w:divBdr>
    </w:div>
    <w:div w:id="1485775556">
      <w:bodyDiv w:val="1"/>
      <w:marLeft w:val="0"/>
      <w:marRight w:val="0"/>
      <w:marTop w:val="0"/>
      <w:marBottom w:val="0"/>
      <w:divBdr>
        <w:top w:val="none" w:sz="0" w:space="0" w:color="auto"/>
        <w:left w:val="none" w:sz="0" w:space="0" w:color="auto"/>
        <w:bottom w:val="none" w:sz="0" w:space="0" w:color="auto"/>
        <w:right w:val="none" w:sz="0" w:space="0" w:color="auto"/>
      </w:divBdr>
    </w:div>
    <w:div w:id="1554729692">
      <w:bodyDiv w:val="1"/>
      <w:marLeft w:val="0"/>
      <w:marRight w:val="0"/>
      <w:marTop w:val="0"/>
      <w:marBottom w:val="0"/>
      <w:divBdr>
        <w:top w:val="none" w:sz="0" w:space="0" w:color="auto"/>
        <w:left w:val="none" w:sz="0" w:space="0" w:color="auto"/>
        <w:bottom w:val="none" w:sz="0" w:space="0" w:color="auto"/>
        <w:right w:val="none" w:sz="0" w:space="0" w:color="auto"/>
      </w:divBdr>
    </w:div>
    <w:div w:id="1557275011">
      <w:bodyDiv w:val="1"/>
      <w:marLeft w:val="0"/>
      <w:marRight w:val="0"/>
      <w:marTop w:val="0"/>
      <w:marBottom w:val="0"/>
      <w:divBdr>
        <w:top w:val="none" w:sz="0" w:space="0" w:color="auto"/>
        <w:left w:val="none" w:sz="0" w:space="0" w:color="auto"/>
        <w:bottom w:val="none" w:sz="0" w:space="0" w:color="auto"/>
        <w:right w:val="none" w:sz="0" w:space="0" w:color="auto"/>
      </w:divBdr>
    </w:div>
    <w:div w:id="1569537965">
      <w:bodyDiv w:val="1"/>
      <w:marLeft w:val="0"/>
      <w:marRight w:val="0"/>
      <w:marTop w:val="0"/>
      <w:marBottom w:val="0"/>
      <w:divBdr>
        <w:top w:val="none" w:sz="0" w:space="0" w:color="auto"/>
        <w:left w:val="none" w:sz="0" w:space="0" w:color="auto"/>
        <w:bottom w:val="none" w:sz="0" w:space="0" w:color="auto"/>
        <w:right w:val="none" w:sz="0" w:space="0" w:color="auto"/>
      </w:divBdr>
    </w:div>
    <w:div w:id="1582370054">
      <w:bodyDiv w:val="1"/>
      <w:marLeft w:val="0"/>
      <w:marRight w:val="0"/>
      <w:marTop w:val="0"/>
      <w:marBottom w:val="0"/>
      <w:divBdr>
        <w:top w:val="none" w:sz="0" w:space="0" w:color="auto"/>
        <w:left w:val="none" w:sz="0" w:space="0" w:color="auto"/>
        <w:bottom w:val="none" w:sz="0" w:space="0" w:color="auto"/>
        <w:right w:val="none" w:sz="0" w:space="0" w:color="auto"/>
      </w:divBdr>
    </w:div>
    <w:div w:id="1587113761">
      <w:bodyDiv w:val="1"/>
      <w:marLeft w:val="0"/>
      <w:marRight w:val="0"/>
      <w:marTop w:val="0"/>
      <w:marBottom w:val="0"/>
      <w:divBdr>
        <w:top w:val="none" w:sz="0" w:space="0" w:color="auto"/>
        <w:left w:val="none" w:sz="0" w:space="0" w:color="auto"/>
        <w:bottom w:val="none" w:sz="0" w:space="0" w:color="auto"/>
        <w:right w:val="none" w:sz="0" w:space="0" w:color="auto"/>
      </w:divBdr>
    </w:div>
    <w:div w:id="1601720464">
      <w:bodyDiv w:val="1"/>
      <w:marLeft w:val="0"/>
      <w:marRight w:val="0"/>
      <w:marTop w:val="0"/>
      <w:marBottom w:val="0"/>
      <w:divBdr>
        <w:top w:val="none" w:sz="0" w:space="0" w:color="auto"/>
        <w:left w:val="none" w:sz="0" w:space="0" w:color="auto"/>
        <w:bottom w:val="none" w:sz="0" w:space="0" w:color="auto"/>
        <w:right w:val="none" w:sz="0" w:space="0" w:color="auto"/>
      </w:divBdr>
    </w:div>
    <w:div w:id="1633169126">
      <w:bodyDiv w:val="1"/>
      <w:marLeft w:val="0"/>
      <w:marRight w:val="0"/>
      <w:marTop w:val="0"/>
      <w:marBottom w:val="0"/>
      <w:divBdr>
        <w:top w:val="none" w:sz="0" w:space="0" w:color="auto"/>
        <w:left w:val="none" w:sz="0" w:space="0" w:color="auto"/>
        <w:bottom w:val="none" w:sz="0" w:space="0" w:color="auto"/>
        <w:right w:val="none" w:sz="0" w:space="0" w:color="auto"/>
      </w:divBdr>
    </w:div>
    <w:div w:id="1637684757">
      <w:bodyDiv w:val="1"/>
      <w:marLeft w:val="0"/>
      <w:marRight w:val="0"/>
      <w:marTop w:val="0"/>
      <w:marBottom w:val="0"/>
      <w:divBdr>
        <w:top w:val="none" w:sz="0" w:space="0" w:color="auto"/>
        <w:left w:val="none" w:sz="0" w:space="0" w:color="auto"/>
        <w:bottom w:val="none" w:sz="0" w:space="0" w:color="auto"/>
        <w:right w:val="none" w:sz="0" w:space="0" w:color="auto"/>
      </w:divBdr>
    </w:div>
    <w:div w:id="1654525149">
      <w:bodyDiv w:val="1"/>
      <w:marLeft w:val="0"/>
      <w:marRight w:val="0"/>
      <w:marTop w:val="0"/>
      <w:marBottom w:val="0"/>
      <w:divBdr>
        <w:top w:val="none" w:sz="0" w:space="0" w:color="auto"/>
        <w:left w:val="none" w:sz="0" w:space="0" w:color="auto"/>
        <w:bottom w:val="none" w:sz="0" w:space="0" w:color="auto"/>
        <w:right w:val="none" w:sz="0" w:space="0" w:color="auto"/>
      </w:divBdr>
    </w:div>
    <w:div w:id="1666861985">
      <w:bodyDiv w:val="1"/>
      <w:marLeft w:val="0"/>
      <w:marRight w:val="0"/>
      <w:marTop w:val="0"/>
      <w:marBottom w:val="0"/>
      <w:divBdr>
        <w:top w:val="none" w:sz="0" w:space="0" w:color="auto"/>
        <w:left w:val="none" w:sz="0" w:space="0" w:color="auto"/>
        <w:bottom w:val="none" w:sz="0" w:space="0" w:color="auto"/>
        <w:right w:val="none" w:sz="0" w:space="0" w:color="auto"/>
      </w:divBdr>
    </w:div>
    <w:div w:id="1667005702">
      <w:bodyDiv w:val="1"/>
      <w:marLeft w:val="0"/>
      <w:marRight w:val="0"/>
      <w:marTop w:val="0"/>
      <w:marBottom w:val="0"/>
      <w:divBdr>
        <w:top w:val="none" w:sz="0" w:space="0" w:color="auto"/>
        <w:left w:val="none" w:sz="0" w:space="0" w:color="auto"/>
        <w:bottom w:val="none" w:sz="0" w:space="0" w:color="auto"/>
        <w:right w:val="none" w:sz="0" w:space="0" w:color="auto"/>
      </w:divBdr>
    </w:div>
    <w:div w:id="1669286466">
      <w:bodyDiv w:val="1"/>
      <w:marLeft w:val="0"/>
      <w:marRight w:val="0"/>
      <w:marTop w:val="0"/>
      <w:marBottom w:val="0"/>
      <w:divBdr>
        <w:top w:val="none" w:sz="0" w:space="0" w:color="auto"/>
        <w:left w:val="none" w:sz="0" w:space="0" w:color="auto"/>
        <w:bottom w:val="none" w:sz="0" w:space="0" w:color="auto"/>
        <w:right w:val="none" w:sz="0" w:space="0" w:color="auto"/>
      </w:divBdr>
    </w:div>
    <w:div w:id="1714117807">
      <w:bodyDiv w:val="1"/>
      <w:marLeft w:val="0"/>
      <w:marRight w:val="0"/>
      <w:marTop w:val="0"/>
      <w:marBottom w:val="0"/>
      <w:divBdr>
        <w:top w:val="none" w:sz="0" w:space="0" w:color="auto"/>
        <w:left w:val="none" w:sz="0" w:space="0" w:color="auto"/>
        <w:bottom w:val="none" w:sz="0" w:space="0" w:color="auto"/>
        <w:right w:val="none" w:sz="0" w:space="0" w:color="auto"/>
      </w:divBdr>
    </w:div>
    <w:div w:id="1745490809">
      <w:bodyDiv w:val="1"/>
      <w:marLeft w:val="0"/>
      <w:marRight w:val="0"/>
      <w:marTop w:val="0"/>
      <w:marBottom w:val="0"/>
      <w:divBdr>
        <w:top w:val="none" w:sz="0" w:space="0" w:color="auto"/>
        <w:left w:val="none" w:sz="0" w:space="0" w:color="auto"/>
        <w:bottom w:val="none" w:sz="0" w:space="0" w:color="auto"/>
        <w:right w:val="none" w:sz="0" w:space="0" w:color="auto"/>
      </w:divBdr>
    </w:div>
    <w:div w:id="1769810343">
      <w:bodyDiv w:val="1"/>
      <w:marLeft w:val="0"/>
      <w:marRight w:val="0"/>
      <w:marTop w:val="0"/>
      <w:marBottom w:val="0"/>
      <w:divBdr>
        <w:top w:val="none" w:sz="0" w:space="0" w:color="auto"/>
        <w:left w:val="none" w:sz="0" w:space="0" w:color="auto"/>
        <w:bottom w:val="none" w:sz="0" w:space="0" w:color="auto"/>
        <w:right w:val="none" w:sz="0" w:space="0" w:color="auto"/>
      </w:divBdr>
    </w:div>
    <w:div w:id="1790666856">
      <w:bodyDiv w:val="1"/>
      <w:marLeft w:val="0"/>
      <w:marRight w:val="0"/>
      <w:marTop w:val="0"/>
      <w:marBottom w:val="0"/>
      <w:divBdr>
        <w:top w:val="none" w:sz="0" w:space="0" w:color="auto"/>
        <w:left w:val="none" w:sz="0" w:space="0" w:color="auto"/>
        <w:bottom w:val="none" w:sz="0" w:space="0" w:color="auto"/>
        <w:right w:val="none" w:sz="0" w:space="0" w:color="auto"/>
      </w:divBdr>
    </w:div>
    <w:div w:id="1792432531">
      <w:bodyDiv w:val="1"/>
      <w:marLeft w:val="0"/>
      <w:marRight w:val="0"/>
      <w:marTop w:val="0"/>
      <w:marBottom w:val="0"/>
      <w:divBdr>
        <w:top w:val="none" w:sz="0" w:space="0" w:color="auto"/>
        <w:left w:val="none" w:sz="0" w:space="0" w:color="auto"/>
        <w:bottom w:val="none" w:sz="0" w:space="0" w:color="auto"/>
        <w:right w:val="none" w:sz="0" w:space="0" w:color="auto"/>
      </w:divBdr>
    </w:div>
    <w:div w:id="1804498913">
      <w:bodyDiv w:val="1"/>
      <w:marLeft w:val="0"/>
      <w:marRight w:val="0"/>
      <w:marTop w:val="0"/>
      <w:marBottom w:val="0"/>
      <w:divBdr>
        <w:top w:val="none" w:sz="0" w:space="0" w:color="auto"/>
        <w:left w:val="none" w:sz="0" w:space="0" w:color="auto"/>
        <w:bottom w:val="none" w:sz="0" w:space="0" w:color="auto"/>
        <w:right w:val="none" w:sz="0" w:space="0" w:color="auto"/>
      </w:divBdr>
    </w:div>
    <w:div w:id="1810706723">
      <w:bodyDiv w:val="1"/>
      <w:marLeft w:val="0"/>
      <w:marRight w:val="0"/>
      <w:marTop w:val="0"/>
      <w:marBottom w:val="0"/>
      <w:divBdr>
        <w:top w:val="none" w:sz="0" w:space="0" w:color="auto"/>
        <w:left w:val="none" w:sz="0" w:space="0" w:color="auto"/>
        <w:bottom w:val="none" w:sz="0" w:space="0" w:color="auto"/>
        <w:right w:val="none" w:sz="0" w:space="0" w:color="auto"/>
      </w:divBdr>
    </w:div>
    <w:div w:id="1865091803">
      <w:bodyDiv w:val="1"/>
      <w:marLeft w:val="0"/>
      <w:marRight w:val="0"/>
      <w:marTop w:val="0"/>
      <w:marBottom w:val="0"/>
      <w:divBdr>
        <w:top w:val="none" w:sz="0" w:space="0" w:color="auto"/>
        <w:left w:val="none" w:sz="0" w:space="0" w:color="auto"/>
        <w:bottom w:val="none" w:sz="0" w:space="0" w:color="auto"/>
        <w:right w:val="none" w:sz="0" w:space="0" w:color="auto"/>
      </w:divBdr>
    </w:div>
    <w:div w:id="1916041006">
      <w:bodyDiv w:val="1"/>
      <w:marLeft w:val="0"/>
      <w:marRight w:val="0"/>
      <w:marTop w:val="0"/>
      <w:marBottom w:val="0"/>
      <w:divBdr>
        <w:top w:val="none" w:sz="0" w:space="0" w:color="auto"/>
        <w:left w:val="none" w:sz="0" w:space="0" w:color="auto"/>
        <w:bottom w:val="none" w:sz="0" w:space="0" w:color="auto"/>
        <w:right w:val="none" w:sz="0" w:space="0" w:color="auto"/>
      </w:divBdr>
    </w:div>
    <w:div w:id="1932010909">
      <w:bodyDiv w:val="1"/>
      <w:marLeft w:val="0"/>
      <w:marRight w:val="0"/>
      <w:marTop w:val="0"/>
      <w:marBottom w:val="0"/>
      <w:divBdr>
        <w:top w:val="none" w:sz="0" w:space="0" w:color="auto"/>
        <w:left w:val="none" w:sz="0" w:space="0" w:color="auto"/>
        <w:bottom w:val="none" w:sz="0" w:space="0" w:color="auto"/>
        <w:right w:val="none" w:sz="0" w:space="0" w:color="auto"/>
      </w:divBdr>
    </w:div>
    <w:div w:id="1943411903">
      <w:bodyDiv w:val="1"/>
      <w:marLeft w:val="0"/>
      <w:marRight w:val="0"/>
      <w:marTop w:val="0"/>
      <w:marBottom w:val="0"/>
      <w:divBdr>
        <w:top w:val="none" w:sz="0" w:space="0" w:color="auto"/>
        <w:left w:val="none" w:sz="0" w:space="0" w:color="auto"/>
        <w:bottom w:val="none" w:sz="0" w:space="0" w:color="auto"/>
        <w:right w:val="none" w:sz="0" w:space="0" w:color="auto"/>
      </w:divBdr>
    </w:div>
    <w:div w:id="194642597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3029086">
      <w:bodyDiv w:val="1"/>
      <w:marLeft w:val="0"/>
      <w:marRight w:val="0"/>
      <w:marTop w:val="0"/>
      <w:marBottom w:val="0"/>
      <w:divBdr>
        <w:top w:val="none" w:sz="0" w:space="0" w:color="auto"/>
        <w:left w:val="none" w:sz="0" w:space="0" w:color="auto"/>
        <w:bottom w:val="none" w:sz="0" w:space="0" w:color="auto"/>
        <w:right w:val="none" w:sz="0" w:space="0" w:color="auto"/>
      </w:divBdr>
    </w:div>
    <w:div w:id="1963418094">
      <w:bodyDiv w:val="1"/>
      <w:marLeft w:val="0"/>
      <w:marRight w:val="0"/>
      <w:marTop w:val="0"/>
      <w:marBottom w:val="0"/>
      <w:divBdr>
        <w:top w:val="none" w:sz="0" w:space="0" w:color="auto"/>
        <w:left w:val="none" w:sz="0" w:space="0" w:color="auto"/>
        <w:bottom w:val="none" w:sz="0" w:space="0" w:color="auto"/>
        <w:right w:val="none" w:sz="0" w:space="0" w:color="auto"/>
      </w:divBdr>
    </w:div>
    <w:div w:id="1964189322">
      <w:bodyDiv w:val="1"/>
      <w:marLeft w:val="0"/>
      <w:marRight w:val="0"/>
      <w:marTop w:val="0"/>
      <w:marBottom w:val="0"/>
      <w:divBdr>
        <w:top w:val="none" w:sz="0" w:space="0" w:color="auto"/>
        <w:left w:val="none" w:sz="0" w:space="0" w:color="auto"/>
        <w:bottom w:val="none" w:sz="0" w:space="0" w:color="auto"/>
        <w:right w:val="none" w:sz="0" w:space="0" w:color="auto"/>
      </w:divBdr>
    </w:div>
    <w:div w:id="1987661506">
      <w:bodyDiv w:val="1"/>
      <w:marLeft w:val="0"/>
      <w:marRight w:val="0"/>
      <w:marTop w:val="0"/>
      <w:marBottom w:val="0"/>
      <w:divBdr>
        <w:top w:val="none" w:sz="0" w:space="0" w:color="auto"/>
        <w:left w:val="none" w:sz="0" w:space="0" w:color="auto"/>
        <w:bottom w:val="none" w:sz="0" w:space="0" w:color="auto"/>
        <w:right w:val="none" w:sz="0" w:space="0" w:color="auto"/>
      </w:divBdr>
    </w:div>
    <w:div w:id="1992832998">
      <w:bodyDiv w:val="1"/>
      <w:marLeft w:val="0"/>
      <w:marRight w:val="0"/>
      <w:marTop w:val="0"/>
      <w:marBottom w:val="0"/>
      <w:divBdr>
        <w:top w:val="none" w:sz="0" w:space="0" w:color="auto"/>
        <w:left w:val="none" w:sz="0" w:space="0" w:color="auto"/>
        <w:bottom w:val="none" w:sz="0" w:space="0" w:color="auto"/>
        <w:right w:val="none" w:sz="0" w:space="0" w:color="auto"/>
      </w:divBdr>
    </w:div>
    <w:div w:id="2017223010">
      <w:bodyDiv w:val="1"/>
      <w:marLeft w:val="0"/>
      <w:marRight w:val="0"/>
      <w:marTop w:val="0"/>
      <w:marBottom w:val="0"/>
      <w:divBdr>
        <w:top w:val="none" w:sz="0" w:space="0" w:color="auto"/>
        <w:left w:val="none" w:sz="0" w:space="0" w:color="auto"/>
        <w:bottom w:val="none" w:sz="0" w:space="0" w:color="auto"/>
        <w:right w:val="none" w:sz="0" w:space="0" w:color="auto"/>
      </w:divBdr>
    </w:div>
    <w:div w:id="2023507531">
      <w:bodyDiv w:val="1"/>
      <w:marLeft w:val="0"/>
      <w:marRight w:val="0"/>
      <w:marTop w:val="0"/>
      <w:marBottom w:val="0"/>
      <w:divBdr>
        <w:top w:val="none" w:sz="0" w:space="0" w:color="auto"/>
        <w:left w:val="none" w:sz="0" w:space="0" w:color="auto"/>
        <w:bottom w:val="none" w:sz="0" w:space="0" w:color="auto"/>
        <w:right w:val="none" w:sz="0" w:space="0" w:color="auto"/>
      </w:divBdr>
    </w:div>
    <w:div w:id="2026898655">
      <w:bodyDiv w:val="1"/>
      <w:marLeft w:val="0"/>
      <w:marRight w:val="0"/>
      <w:marTop w:val="0"/>
      <w:marBottom w:val="0"/>
      <w:divBdr>
        <w:top w:val="none" w:sz="0" w:space="0" w:color="auto"/>
        <w:left w:val="none" w:sz="0" w:space="0" w:color="auto"/>
        <w:bottom w:val="none" w:sz="0" w:space="0" w:color="auto"/>
        <w:right w:val="none" w:sz="0" w:space="0" w:color="auto"/>
      </w:divBdr>
    </w:div>
    <w:div w:id="2068337270">
      <w:bodyDiv w:val="1"/>
      <w:marLeft w:val="0"/>
      <w:marRight w:val="0"/>
      <w:marTop w:val="0"/>
      <w:marBottom w:val="0"/>
      <w:divBdr>
        <w:top w:val="none" w:sz="0" w:space="0" w:color="auto"/>
        <w:left w:val="none" w:sz="0" w:space="0" w:color="auto"/>
        <w:bottom w:val="none" w:sz="0" w:space="0" w:color="auto"/>
        <w:right w:val="none" w:sz="0" w:space="0" w:color="auto"/>
      </w:divBdr>
    </w:div>
    <w:div w:id="2079355373">
      <w:bodyDiv w:val="1"/>
      <w:marLeft w:val="0"/>
      <w:marRight w:val="0"/>
      <w:marTop w:val="0"/>
      <w:marBottom w:val="0"/>
      <w:divBdr>
        <w:top w:val="none" w:sz="0" w:space="0" w:color="auto"/>
        <w:left w:val="none" w:sz="0" w:space="0" w:color="auto"/>
        <w:bottom w:val="none" w:sz="0" w:space="0" w:color="auto"/>
        <w:right w:val="none" w:sz="0" w:space="0" w:color="auto"/>
      </w:divBdr>
    </w:div>
    <w:div w:id="2081171982">
      <w:bodyDiv w:val="1"/>
      <w:marLeft w:val="0"/>
      <w:marRight w:val="0"/>
      <w:marTop w:val="0"/>
      <w:marBottom w:val="0"/>
      <w:divBdr>
        <w:top w:val="none" w:sz="0" w:space="0" w:color="auto"/>
        <w:left w:val="none" w:sz="0" w:space="0" w:color="auto"/>
        <w:bottom w:val="none" w:sz="0" w:space="0" w:color="auto"/>
        <w:right w:val="none" w:sz="0" w:space="0" w:color="auto"/>
      </w:divBdr>
    </w:div>
    <w:div w:id="2092508824">
      <w:bodyDiv w:val="1"/>
      <w:marLeft w:val="0"/>
      <w:marRight w:val="0"/>
      <w:marTop w:val="0"/>
      <w:marBottom w:val="0"/>
      <w:divBdr>
        <w:top w:val="none" w:sz="0" w:space="0" w:color="auto"/>
        <w:left w:val="none" w:sz="0" w:space="0" w:color="auto"/>
        <w:bottom w:val="none" w:sz="0" w:space="0" w:color="auto"/>
        <w:right w:val="none" w:sz="0" w:space="0" w:color="auto"/>
      </w:divBdr>
    </w:div>
    <w:div w:id="2112582159">
      <w:bodyDiv w:val="1"/>
      <w:marLeft w:val="0"/>
      <w:marRight w:val="0"/>
      <w:marTop w:val="0"/>
      <w:marBottom w:val="0"/>
      <w:divBdr>
        <w:top w:val="none" w:sz="0" w:space="0" w:color="auto"/>
        <w:left w:val="none" w:sz="0" w:space="0" w:color="auto"/>
        <w:bottom w:val="none" w:sz="0" w:space="0" w:color="auto"/>
        <w:right w:val="none" w:sz="0" w:space="0" w:color="auto"/>
      </w:divBdr>
    </w:div>
    <w:div w:id="21217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da-amc.ca/sites/default/files/DRR/2021/SR0679-Givlaari%20combined-meta.pdf" TargetMode="External"/><Relationship Id="rId1" Type="http://schemas.openxmlformats.org/officeDocument/2006/relationships/hyperlink" Target="https://www.orpha.net/en/disease/detail/95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369BB045-F983-44D0-8A24-F9929E077BC9}">
  <ds:schemaRefs>
    <ds:schemaRef ds:uri="http://schemas.microsoft.com/sharepoint/v3/contenttype/forms"/>
  </ds:schemaRefs>
</ds:datastoreItem>
</file>

<file path=customXml/itemProps3.xml><?xml version="1.0" encoding="utf-8"?>
<ds:datastoreItem xmlns:ds="http://schemas.openxmlformats.org/officeDocument/2006/customXml" ds:itemID="{35254719-440B-49F0-82D2-79AA3BC2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31026-3A03-460A-A4FC-8AEA81FB915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397cd41d-f0df-44e5-aea8-cb12e7ea80cd}" enabled="0" method="" siteId="{397cd41d-f0df-44e5-aea8-cb12e7ea80c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26602</Words>
  <Characters>148693</Characters>
  <Application>Microsoft Office Word</Application>
  <DocSecurity>0</DocSecurity>
  <Lines>4018</Lines>
  <Paragraphs>2191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2026-02-19T22:24:00Z</dcterms:created>
  <dcterms:modified xsi:type="dcterms:W3CDTF">2026-02-25T06:00:00Z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37c674cd,2fbb5fe3,622c108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df5ea3c,2b5a0b73,33308538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2026-02-03T05:43:09Z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521403f4-1beb-4a09-853a-9ed604146c7e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43826900</vt:r8>
  </property>
  <property fmtid="{D5CDD505-2E9C-101B-9397-08002B2CF9AE}" pid="17" name="xd_ProgID">
    <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