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4F16" w14:textId="23449AC6" w:rsidR="00FC0E1F" w:rsidRPr="008F055C" w:rsidRDefault="002F5872" w:rsidP="00AD44B1">
      <w:pPr>
        <w:rPr>
          <w:rFonts w:cs="Calibri"/>
          <w:color w:val="FF0000"/>
        </w:rPr>
      </w:pPr>
      <w:bookmarkStart w:id="0" w:name="_Hlk76375180"/>
      <w:r>
        <w:rPr>
          <w:rFonts w:cs="Calibri"/>
          <w:color w:val="FF0000"/>
        </w:rPr>
        <w:t xml:space="preserve"> Addenda</w:t>
      </w:r>
      <w:r w:rsidR="00FC0E1F" w:rsidRPr="0610BB74">
        <w:rPr>
          <w:rFonts w:cs="Calibri"/>
          <w:color w:val="FF0000"/>
        </w:rPr>
        <w:t xml:space="preserve"> to </w:t>
      </w:r>
      <w:r w:rsidR="006D05C2">
        <w:rPr>
          <w:rFonts w:cs="Calibri"/>
          <w:color w:val="FF0000"/>
        </w:rPr>
        <w:t xml:space="preserve">this </w:t>
      </w:r>
      <w:r w:rsidR="004A4A18">
        <w:rPr>
          <w:rFonts w:cs="Calibri"/>
          <w:color w:val="FF0000"/>
        </w:rPr>
        <w:t>Public Summary Document</w:t>
      </w:r>
      <w:r w:rsidR="00FC0E1F" w:rsidRPr="0610BB74">
        <w:rPr>
          <w:rFonts w:cs="Calibri"/>
          <w:color w:val="FF0000"/>
        </w:rPr>
        <w:t xml:space="preserve"> has been included at the end of the document.</w:t>
      </w:r>
    </w:p>
    <w:p w14:paraId="0DDC29EC" w14:textId="77777777" w:rsidR="00FC0E1F" w:rsidRDefault="00FC0E1F" w:rsidP="00AD44B1">
      <w:pPr>
        <w:rPr>
          <w:rFonts w:cs="Calibri"/>
          <w:b/>
          <w:u w:val="single"/>
        </w:rPr>
      </w:pPr>
    </w:p>
    <w:bookmarkEnd w:id="0"/>
    <w:p w14:paraId="21BBE178" w14:textId="77777777" w:rsidR="00DA3E06" w:rsidRPr="00DA3E06" w:rsidRDefault="00DA3E06" w:rsidP="00DA3E06">
      <w:pPr>
        <w:keepNext/>
        <w:spacing w:before="120"/>
        <w:ind w:left="720" w:hanging="720"/>
        <w:jc w:val="left"/>
        <w:outlineLvl w:val="0"/>
        <w:rPr>
          <w:rFonts w:eastAsia="MS Gothic"/>
          <w:b/>
          <w:spacing w:val="5"/>
          <w:kern w:val="28"/>
          <w:sz w:val="36"/>
          <w:szCs w:val="36"/>
        </w:rPr>
      </w:pPr>
      <w:r w:rsidRPr="00DA3E06">
        <w:rPr>
          <w:rFonts w:eastAsia="MS Gothic"/>
          <w:b/>
          <w:spacing w:val="5"/>
          <w:kern w:val="28"/>
          <w:sz w:val="36"/>
          <w:szCs w:val="36"/>
        </w:rPr>
        <w:t>7.05</w:t>
      </w:r>
      <w:r w:rsidRPr="00DA3E06">
        <w:rPr>
          <w:rFonts w:eastAsia="MS Gothic"/>
          <w:b/>
          <w:spacing w:val="5"/>
          <w:kern w:val="28"/>
          <w:sz w:val="36"/>
          <w:szCs w:val="36"/>
        </w:rPr>
        <w:tab/>
      </w:r>
      <w:r w:rsidRPr="00DA3E06">
        <w:rPr>
          <w:rFonts w:eastAsia="MS Gothic"/>
          <w:b/>
          <w:bCs/>
          <w:spacing w:val="5"/>
          <w:kern w:val="28"/>
          <w:sz w:val="36"/>
          <w:szCs w:val="36"/>
        </w:rPr>
        <w:t xml:space="preserve">Futibatinib, </w:t>
      </w:r>
    </w:p>
    <w:p w14:paraId="3FC57283" w14:textId="77777777" w:rsidR="00DA3E06" w:rsidRPr="00DA3E06" w:rsidRDefault="00DA3E06" w:rsidP="00DA3E06">
      <w:pPr>
        <w:keepNext/>
        <w:ind w:left="720"/>
        <w:jc w:val="left"/>
        <w:outlineLvl w:val="0"/>
        <w:rPr>
          <w:rFonts w:eastAsia="MS Gothic"/>
          <w:b/>
          <w:spacing w:val="5"/>
          <w:kern w:val="28"/>
          <w:sz w:val="36"/>
          <w:szCs w:val="36"/>
        </w:rPr>
      </w:pPr>
      <w:r w:rsidRPr="00DA3E06">
        <w:rPr>
          <w:rFonts w:eastAsia="MS Gothic"/>
          <w:b/>
          <w:spacing w:val="5"/>
          <w:kern w:val="28"/>
          <w:sz w:val="36"/>
          <w:szCs w:val="36"/>
        </w:rPr>
        <w:t xml:space="preserve">Tablet 4 mg, </w:t>
      </w:r>
    </w:p>
    <w:p w14:paraId="14C6F518" w14:textId="77777777" w:rsidR="00DA3E06" w:rsidRPr="00DA3E06" w:rsidRDefault="00DA3E06" w:rsidP="00DA3E06">
      <w:pPr>
        <w:keepNext/>
        <w:ind w:left="720" w:hanging="720"/>
        <w:jc w:val="left"/>
        <w:outlineLvl w:val="0"/>
        <w:rPr>
          <w:rFonts w:eastAsia="MS Gothic"/>
          <w:b/>
          <w:spacing w:val="5"/>
          <w:kern w:val="28"/>
          <w:sz w:val="36"/>
          <w:szCs w:val="36"/>
        </w:rPr>
      </w:pPr>
      <w:r w:rsidRPr="00DA3E06">
        <w:rPr>
          <w:rFonts w:eastAsia="MS Gothic"/>
          <w:b/>
          <w:spacing w:val="5"/>
          <w:kern w:val="28"/>
          <w:sz w:val="36"/>
          <w:szCs w:val="36"/>
        </w:rPr>
        <w:tab/>
        <w:t>Lytgobi ®,</w:t>
      </w:r>
    </w:p>
    <w:p w14:paraId="2FB5439B" w14:textId="77777777" w:rsidR="00DA3E06" w:rsidRPr="00DA3E06" w:rsidRDefault="00DA3E06" w:rsidP="00DA3E06">
      <w:pPr>
        <w:keepNext/>
        <w:spacing w:after="160"/>
        <w:ind w:left="720" w:hanging="720"/>
        <w:jc w:val="left"/>
        <w:outlineLvl w:val="0"/>
        <w:rPr>
          <w:rFonts w:eastAsia="MS Gothic"/>
          <w:bCs/>
          <w:spacing w:val="5"/>
          <w:kern w:val="28"/>
          <w:sz w:val="36"/>
          <w:szCs w:val="36"/>
        </w:rPr>
      </w:pPr>
      <w:r w:rsidRPr="00DA3E06">
        <w:rPr>
          <w:rFonts w:eastAsia="MS Gothic"/>
          <w:b/>
          <w:spacing w:val="5"/>
          <w:kern w:val="28"/>
          <w:sz w:val="36"/>
          <w:szCs w:val="36"/>
        </w:rPr>
        <w:tab/>
        <w:t>Taiho</w:t>
      </w:r>
      <w:r w:rsidRPr="00DA3E06">
        <w:rPr>
          <w:rFonts w:eastAsia="MS Gothic"/>
          <w:b/>
          <w:bCs/>
          <w:spacing w:val="5"/>
          <w:kern w:val="28"/>
          <w:sz w:val="36"/>
          <w:szCs w:val="36"/>
        </w:rPr>
        <w:t xml:space="preserve"> Pharma Oceania Pty Ltd</w:t>
      </w:r>
    </w:p>
    <w:p w14:paraId="57EF5963" w14:textId="77777777" w:rsidR="00DA3E06" w:rsidRPr="00DA3E06" w:rsidRDefault="00DA3E06" w:rsidP="00DA3E06">
      <w:pPr>
        <w:keepNext/>
        <w:numPr>
          <w:ilvl w:val="0"/>
          <w:numId w:val="9"/>
        </w:numPr>
        <w:snapToGrid w:val="0"/>
        <w:spacing w:before="240" w:after="120"/>
        <w:jc w:val="left"/>
        <w:outlineLvl w:val="0"/>
        <w:rPr>
          <w:rFonts w:eastAsia="Calibri" w:cs="Arial"/>
          <w:b/>
          <w:sz w:val="32"/>
          <w:szCs w:val="32"/>
        </w:rPr>
      </w:pPr>
      <w:r w:rsidRPr="00DA3E06">
        <w:rPr>
          <w:rFonts w:cs="Arial"/>
          <w:b/>
          <w:sz w:val="32"/>
          <w:szCs w:val="32"/>
        </w:rPr>
        <w:t>Purpose</w:t>
      </w:r>
    </w:p>
    <w:p w14:paraId="14452121" w14:textId="77777777"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t>The early re-entry resubmission sought the PBS listing of futibatinib for the treatment of locally advanced or metastatic cholangiocarcinoma (CCA) in patients with fibroblast growth factor receptor 2 (</w:t>
      </w:r>
      <w:r w:rsidRPr="00DA3E06">
        <w:rPr>
          <w:rFonts w:eastAsia="Calibri" w:cs="Arial"/>
          <w:i/>
          <w:iCs/>
          <w:snapToGrid w:val="0"/>
          <w:szCs w:val="22"/>
        </w:rPr>
        <w:t>FGFR2</w:t>
      </w:r>
      <w:r w:rsidRPr="00DA3E06">
        <w:rPr>
          <w:rFonts w:eastAsia="Calibri" w:cs="Arial"/>
          <w:snapToGrid w:val="0"/>
          <w:szCs w:val="22"/>
        </w:rPr>
        <w:t>) fusion or rearrangement.</w:t>
      </w:r>
    </w:p>
    <w:p w14:paraId="3B14B3A0" w14:textId="4773EF7B" w:rsidR="00DA3E06" w:rsidRPr="00DA3E06" w:rsidRDefault="00DA3E06" w:rsidP="00DA3E06">
      <w:pPr>
        <w:numPr>
          <w:ilvl w:val="1"/>
          <w:numId w:val="9"/>
        </w:numPr>
        <w:spacing w:after="120"/>
        <w:rPr>
          <w:rFonts w:eastAsia="MS Mincho" w:cs="Arial"/>
          <w:snapToGrid w:val="0"/>
          <w:szCs w:val="22"/>
        </w:rPr>
      </w:pPr>
      <w:r w:rsidRPr="00DA3E06">
        <w:rPr>
          <w:rFonts w:eastAsia="Calibri" w:cs="Arial"/>
          <w:snapToGrid w:val="0"/>
          <w:szCs w:val="22"/>
        </w:rPr>
        <w:t xml:space="preserve">The resubmission was based on the PBAC decision to not recommend futibatinib for this indication from its March 2025 meeting. A summary of the key matters that were to be addressed in the resubmission is provided in </w:t>
      </w:r>
      <w:r w:rsidRPr="00DA3E06">
        <w:rPr>
          <w:rFonts w:eastAsia="Calibri" w:cs="Arial"/>
          <w:snapToGrid w:val="0"/>
          <w:szCs w:val="22"/>
        </w:rPr>
        <w:fldChar w:fldCharType="begin"/>
      </w:r>
      <w:r w:rsidRPr="00DA3E06">
        <w:rPr>
          <w:rFonts w:eastAsia="Calibri" w:cs="Arial"/>
          <w:snapToGrid w:val="0"/>
          <w:szCs w:val="22"/>
        </w:rPr>
        <w:instrText xml:space="preserve"> REF _Ref201737484 \h </w:instrText>
      </w:r>
      <w:r w:rsidRPr="00DA3E06">
        <w:rPr>
          <w:rFonts w:eastAsia="Calibri" w:cs="Arial"/>
          <w:snapToGrid w:val="0"/>
          <w:szCs w:val="22"/>
        </w:rPr>
      </w:r>
      <w:r w:rsidRPr="00DA3E06">
        <w:rPr>
          <w:rFonts w:eastAsia="Calibri" w:cs="Arial"/>
          <w:snapToGrid w:val="0"/>
          <w:szCs w:val="22"/>
        </w:rPr>
        <w:fldChar w:fldCharType="separate"/>
      </w:r>
      <w:r w:rsidR="00971CD5" w:rsidRPr="00DA3E06">
        <w:rPr>
          <w:rFonts w:ascii="Arial Narrow" w:eastAsia="MS Gothic" w:hAnsi="Arial Narrow"/>
          <w:b/>
          <w:bCs/>
          <w:sz w:val="20"/>
        </w:rPr>
        <w:t xml:space="preserve">Table </w:t>
      </w:r>
      <w:r w:rsidR="00971CD5">
        <w:rPr>
          <w:rFonts w:ascii="Arial Narrow" w:eastAsia="MS Gothic" w:hAnsi="Arial Narrow"/>
          <w:b/>
          <w:bCs/>
          <w:noProof/>
          <w:sz w:val="20"/>
        </w:rPr>
        <w:t>1</w:t>
      </w:r>
      <w:r w:rsidRPr="00DA3E06">
        <w:rPr>
          <w:rFonts w:eastAsia="Calibri" w:cs="Arial"/>
          <w:snapToGrid w:val="0"/>
          <w:szCs w:val="22"/>
        </w:rPr>
        <w:fldChar w:fldCharType="end"/>
      </w:r>
      <w:r w:rsidRPr="00DA3E06">
        <w:rPr>
          <w:rFonts w:eastAsia="Calibri" w:cs="Arial"/>
          <w:snapToGrid w:val="0"/>
          <w:szCs w:val="22"/>
        </w:rPr>
        <w:t xml:space="preserve">. </w:t>
      </w:r>
    </w:p>
    <w:p w14:paraId="243BC34A" w14:textId="24655B48" w:rsidR="00DA3E06" w:rsidRPr="00DA3E06" w:rsidRDefault="00DA3E06" w:rsidP="00DA3E06">
      <w:pPr>
        <w:keepNext/>
        <w:jc w:val="left"/>
        <w:rPr>
          <w:rFonts w:ascii="Arial Narrow" w:eastAsia="MS Gothic" w:hAnsi="Arial Narrow"/>
          <w:b/>
          <w:bCs/>
          <w:sz w:val="20"/>
        </w:rPr>
      </w:pPr>
      <w:bookmarkStart w:id="1" w:name="_Ref201737484"/>
      <w:r w:rsidRPr="00DA3E06">
        <w:rPr>
          <w:rFonts w:ascii="Arial Narrow" w:eastAsia="MS Gothic" w:hAnsi="Arial Narrow"/>
          <w:b/>
          <w:bCs/>
          <w:sz w:val="20"/>
        </w:rPr>
        <w:lastRenderedPageBreak/>
        <w:t xml:space="preserve">Table </w:t>
      </w:r>
      <w:r w:rsidRPr="00DA3E06">
        <w:rPr>
          <w:rFonts w:ascii="Arial Narrow" w:eastAsia="MS Gothic" w:hAnsi="Arial Narrow"/>
          <w:b/>
          <w:bCs/>
          <w:sz w:val="20"/>
        </w:rPr>
        <w:fldChar w:fldCharType="begin"/>
      </w:r>
      <w:r w:rsidRPr="00DA3E06">
        <w:rPr>
          <w:rFonts w:ascii="Arial Narrow" w:eastAsia="MS Gothic" w:hAnsi="Arial Narrow"/>
          <w:b/>
          <w:bCs/>
          <w:sz w:val="20"/>
        </w:rPr>
        <w:instrText xml:space="preserve"> SEQ Table \* ARABIC </w:instrText>
      </w:r>
      <w:r w:rsidRPr="00DA3E06">
        <w:rPr>
          <w:rFonts w:ascii="Arial Narrow" w:eastAsia="MS Gothic" w:hAnsi="Arial Narrow"/>
          <w:b/>
          <w:bCs/>
          <w:sz w:val="20"/>
        </w:rPr>
        <w:fldChar w:fldCharType="separate"/>
      </w:r>
      <w:r w:rsidR="00971CD5">
        <w:rPr>
          <w:rFonts w:ascii="Arial Narrow" w:eastAsia="MS Gothic" w:hAnsi="Arial Narrow"/>
          <w:b/>
          <w:bCs/>
          <w:noProof/>
          <w:sz w:val="20"/>
        </w:rPr>
        <w:t>1</w:t>
      </w:r>
      <w:r w:rsidRPr="00DA3E06">
        <w:rPr>
          <w:rFonts w:ascii="Arial Narrow" w:eastAsia="MS Gothic" w:hAnsi="Arial Narrow"/>
          <w:b/>
          <w:bCs/>
          <w:sz w:val="20"/>
        </w:rPr>
        <w:fldChar w:fldCharType="end"/>
      </w:r>
      <w:bookmarkEnd w:id="1"/>
      <w:r w:rsidRPr="00DA3E06">
        <w:rPr>
          <w:rFonts w:ascii="Arial Narrow" w:eastAsia="MS Gothic" w:hAnsi="Arial Narrow"/>
          <w:b/>
          <w:bCs/>
          <w:sz w:val="20"/>
        </w:rPr>
        <w:t>: Summary of key matters to be addressed</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key matters to be addressed"/>
      </w:tblPr>
      <w:tblGrid>
        <w:gridCol w:w="3838"/>
        <w:gridCol w:w="3924"/>
        <w:gridCol w:w="1164"/>
      </w:tblGrid>
      <w:tr w:rsidR="00DA3E06" w:rsidRPr="00DA3E06" w14:paraId="1E219AC0" w14:textId="77777777">
        <w:trPr>
          <w:cantSplit/>
          <w:tblHeader/>
        </w:trPr>
        <w:tc>
          <w:tcPr>
            <w:tcW w:w="2176" w:type="pct"/>
            <w:tcBorders>
              <w:top w:val="single" w:sz="4" w:space="0" w:color="auto"/>
              <w:left w:val="single" w:sz="4" w:space="0" w:color="auto"/>
              <w:bottom w:val="single" w:sz="4" w:space="0" w:color="auto"/>
              <w:right w:val="single" w:sz="4" w:space="0" w:color="auto"/>
            </w:tcBorders>
            <w:vAlign w:val="center"/>
            <w:hideMark/>
          </w:tcPr>
          <w:p w14:paraId="23BFB045" w14:textId="77777777" w:rsidR="00DA3E06" w:rsidRPr="00DA3E06" w:rsidRDefault="00DA3E06" w:rsidP="00DA3E06">
            <w:pPr>
              <w:keepNext/>
              <w:jc w:val="left"/>
              <w:rPr>
                <w:rFonts w:ascii="Arial Narrow" w:eastAsia="MS Gothic" w:hAnsi="Arial Narrow"/>
                <w:b/>
                <w:sz w:val="20"/>
              </w:rPr>
            </w:pPr>
            <w:r w:rsidRPr="00DA3E06">
              <w:rPr>
                <w:rFonts w:ascii="Arial Narrow" w:eastAsia="MS Gothic" w:hAnsi="Arial Narrow"/>
                <w:b/>
                <w:sz w:val="20"/>
              </w:rPr>
              <w:t>Matter of concern</w:t>
            </w:r>
          </w:p>
        </w:tc>
        <w:tc>
          <w:tcPr>
            <w:tcW w:w="2224" w:type="pct"/>
            <w:tcBorders>
              <w:top w:val="single" w:sz="4" w:space="0" w:color="auto"/>
              <w:left w:val="single" w:sz="4" w:space="0" w:color="auto"/>
              <w:bottom w:val="single" w:sz="4" w:space="0" w:color="auto"/>
              <w:right w:val="single" w:sz="4" w:space="0" w:color="auto"/>
            </w:tcBorders>
            <w:vAlign w:val="center"/>
            <w:hideMark/>
          </w:tcPr>
          <w:p w14:paraId="0BDA1E5D" w14:textId="77777777" w:rsidR="00DA3E06" w:rsidRPr="00DA3E06" w:rsidRDefault="00DA3E06" w:rsidP="00DA3E06">
            <w:pPr>
              <w:keepNext/>
              <w:jc w:val="left"/>
              <w:rPr>
                <w:rFonts w:ascii="Arial Narrow" w:eastAsia="MS Gothic" w:hAnsi="Arial Narrow"/>
                <w:b/>
                <w:sz w:val="20"/>
              </w:rPr>
            </w:pPr>
            <w:r w:rsidRPr="00DA3E06">
              <w:rPr>
                <w:rFonts w:ascii="Arial Narrow" w:eastAsia="MS Gothic" w:hAnsi="Arial Narrow"/>
                <w:b/>
                <w:sz w:val="20"/>
              </w:rPr>
              <w:t>Response</w:t>
            </w:r>
          </w:p>
        </w:tc>
        <w:tc>
          <w:tcPr>
            <w:tcW w:w="600" w:type="pct"/>
            <w:tcBorders>
              <w:top w:val="single" w:sz="4" w:space="0" w:color="auto"/>
              <w:left w:val="single" w:sz="4" w:space="0" w:color="auto"/>
              <w:bottom w:val="single" w:sz="4" w:space="0" w:color="auto"/>
              <w:right w:val="single" w:sz="4" w:space="0" w:color="auto"/>
            </w:tcBorders>
            <w:vAlign w:val="center"/>
            <w:hideMark/>
          </w:tcPr>
          <w:p w14:paraId="49CB7A5A" w14:textId="77777777" w:rsidR="00DA3E06" w:rsidRPr="00DA3E06" w:rsidRDefault="00DA3E06" w:rsidP="00DA3E06">
            <w:pPr>
              <w:keepNext/>
              <w:jc w:val="left"/>
              <w:rPr>
                <w:rFonts w:ascii="Arial Narrow" w:eastAsia="MS Gothic" w:hAnsi="Arial Narrow"/>
                <w:b/>
                <w:sz w:val="20"/>
              </w:rPr>
            </w:pPr>
            <w:r w:rsidRPr="00DA3E06">
              <w:rPr>
                <w:rFonts w:ascii="Arial Narrow" w:eastAsia="MS Gothic" w:hAnsi="Arial Narrow"/>
                <w:b/>
                <w:sz w:val="20"/>
              </w:rPr>
              <w:t>Addressed?</w:t>
            </w:r>
          </w:p>
        </w:tc>
      </w:tr>
      <w:tr w:rsidR="00DA3E06" w:rsidRPr="00DA3E06" w14:paraId="2E91E8F8" w14:textId="77777777">
        <w:trPr>
          <w:cantSplit/>
        </w:trPr>
        <w:tc>
          <w:tcPr>
            <w:tcW w:w="4400" w:type="pct"/>
            <w:gridSpan w:val="2"/>
            <w:tcBorders>
              <w:top w:val="single" w:sz="4" w:space="0" w:color="auto"/>
              <w:left w:val="single" w:sz="4" w:space="0" w:color="auto"/>
              <w:bottom w:val="single" w:sz="4" w:space="0" w:color="auto"/>
              <w:right w:val="single" w:sz="4" w:space="0" w:color="auto"/>
            </w:tcBorders>
            <w:vAlign w:val="center"/>
            <w:hideMark/>
          </w:tcPr>
          <w:p w14:paraId="0A3A793E"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
                <w:sz w:val="20"/>
              </w:rPr>
              <w:t>Economic Model</w:t>
            </w:r>
          </w:p>
        </w:tc>
        <w:tc>
          <w:tcPr>
            <w:tcW w:w="600" w:type="pct"/>
            <w:tcBorders>
              <w:top w:val="single" w:sz="4" w:space="0" w:color="auto"/>
              <w:left w:val="single" w:sz="4" w:space="0" w:color="auto"/>
              <w:bottom w:val="single" w:sz="4" w:space="0" w:color="auto"/>
              <w:right w:val="single" w:sz="4" w:space="0" w:color="auto"/>
            </w:tcBorders>
            <w:vAlign w:val="center"/>
            <w:hideMark/>
          </w:tcPr>
          <w:p w14:paraId="0049E990"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Y/N</w:t>
            </w:r>
          </w:p>
        </w:tc>
      </w:tr>
      <w:tr w:rsidR="00DA3E06" w:rsidRPr="00DA3E06" w14:paraId="6C8156B6" w14:textId="77777777">
        <w:trPr>
          <w:cantSplit/>
        </w:trPr>
        <w:tc>
          <w:tcPr>
            <w:tcW w:w="2176" w:type="pct"/>
            <w:tcBorders>
              <w:top w:val="single" w:sz="4" w:space="0" w:color="auto"/>
              <w:left w:val="single" w:sz="4" w:space="0" w:color="auto"/>
              <w:bottom w:val="single" w:sz="4" w:space="0" w:color="auto"/>
              <w:right w:val="single" w:sz="4" w:space="0" w:color="auto"/>
            </w:tcBorders>
            <w:vAlign w:val="center"/>
            <w:hideMark/>
          </w:tcPr>
          <w:p w14:paraId="2EA339A7"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 xml:space="preserve">The submission presented an economic evaluation based on the results of the MAIC. The PBAC agreed with the ESCs that as the underlying clinical benefit used to inform the economic evaluation was uncertain, the economic model presented was likely not reflective of the true cost effectiveness of futibatinib. The PBAC noted the economic model resulted in an undiscounted life year gain of 2.48 over the 10 year time horizon of the model and considered that was implausibly large. The PBAC agreed with the ESC that the economic model should include a more conservative estimate of the modelled clinical benefit but noted the model did not include this operability. The PBAC noted that the MAIC results from Paine 2022 or Borad 2022 were more conservative, and considered that the model should be aligned with that OS HR: 0.48-0.49 (vs 0.24). (para 7.12). </w:t>
            </w:r>
          </w:p>
        </w:tc>
        <w:tc>
          <w:tcPr>
            <w:tcW w:w="2224" w:type="pct"/>
            <w:tcBorders>
              <w:top w:val="single" w:sz="4" w:space="0" w:color="auto"/>
              <w:left w:val="single" w:sz="4" w:space="0" w:color="auto"/>
              <w:bottom w:val="single" w:sz="4" w:space="0" w:color="auto"/>
              <w:right w:val="single" w:sz="4" w:space="0" w:color="auto"/>
            </w:tcBorders>
            <w:vAlign w:val="center"/>
          </w:tcPr>
          <w:p w14:paraId="46E78F70" w14:textId="77777777" w:rsidR="00DA3E06" w:rsidRPr="00DA3E06" w:rsidRDefault="00DA3E06" w:rsidP="00DA3E06">
            <w:pPr>
              <w:keepNext/>
              <w:spacing w:after="240"/>
              <w:jc w:val="left"/>
              <w:rPr>
                <w:rFonts w:ascii="Arial Narrow" w:eastAsia="MS Gothic" w:hAnsi="Arial Narrow"/>
                <w:bCs/>
                <w:sz w:val="20"/>
              </w:rPr>
            </w:pPr>
            <w:r w:rsidRPr="00DA3E06">
              <w:rPr>
                <w:rFonts w:ascii="Arial Narrow" w:eastAsia="MS Gothic" w:hAnsi="Arial Narrow"/>
                <w:bCs/>
                <w:sz w:val="20"/>
              </w:rPr>
              <w:t xml:space="preserve">The OS HR in the economic evaluation has been amended to 0.32, to align with the upper OS HR CI limit from the March 2025 submission, claiming this value represents the highest plausible value for the HR given the observed data from the submission’s MAIC. </w:t>
            </w:r>
          </w:p>
          <w:p w14:paraId="3C769860" w14:textId="77777777" w:rsidR="00DA3E06" w:rsidRPr="00DA3E06" w:rsidRDefault="00DA3E06" w:rsidP="00DA3E06">
            <w:pPr>
              <w:keepNext/>
              <w:jc w:val="left"/>
              <w:rPr>
                <w:rFonts w:ascii="Arial Narrow" w:eastAsia="MS Gothic" w:hAnsi="Arial Narrow"/>
                <w:bCs/>
                <w:sz w:val="20"/>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2CC068CD"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N</w:t>
            </w:r>
          </w:p>
        </w:tc>
      </w:tr>
      <w:tr w:rsidR="00DA3E06" w:rsidRPr="00DA3E06" w14:paraId="753B65F6" w14:textId="77777777">
        <w:trPr>
          <w:cantSplit/>
        </w:trPr>
        <w:tc>
          <w:tcPr>
            <w:tcW w:w="2176" w:type="pct"/>
            <w:tcBorders>
              <w:top w:val="single" w:sz="4" w:space="0" w:color="auto"/>
              <w:left w:val="single" w:sz="4" w:space="0" w:color="auto"/>
              <w:bottom w:val="single" w:sz="4" w:space="0" w:color="auto"/>
              <w:right w:val="single" w:sz="4" w:space="0" w:color="auto"/>
            </w:tcBorders>
            <w:vAlign w:val="center"/>
            <w:hideMark/>
          </w:tcPr>
          <w:p w14:paraId="38E886F1" w14:textId="3847E36F"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The PBAC noted the economic model assumed a time horizon of 10 years with no convergence of OS modelled. The PBAC agreed with the evaluation that a 10-year time horizon increased the uncertainty in the model results given the limited duration of follow-up of the two studies and the general uncertainty regarding the incremental survival. The PBAC considered that a 5-year time horizon, in line with the PBAC’s consideration of ivosidenib for IDH1 positive CCA (paragraph 7.11, ivosidenib PSD, July 2024 PBAC meeting), would result in a more reliable estimate of the benefits. (para 7.13)</w:t>
            </w:r>
          </w:p>
        </w:tc>
        <w:tc>
          <w:tcPr>
            <w:tcW w:w="2224" w:type="pct"/>
            <w:tcBorders>
              <w:top w:val="single" w:sz="4" w:space="0" w:color="auto"/>
              <w:left w:val="single" w:sz="4" w:space="0" w:color="auto"/>
              <w:bottom w:val="single" w:sz="4" w:space="0" w:color="auto"/>
              <w:right w:val="single" w:sz="4" w:space="0" w:color="auto"/>
            </w:tcBorders>
            <w:vAlign w:val="center"/>
          </w:tcPr>
          <w:p w14:paraId="4B8DAB15" w14:textId="77777777" w:rsidR="00DA3E06" w:rsidRPr="00DA3E06" w:rsidRDefault="00DA3E06" w:rsidP="00DA3E06">
            <w:pPr>
              <w:keepNext/>
              <w:spacing w:after="240"/>
              <w:jc w:val="left"/>
              <w:rPr>
                <w:rFonts w:ascii="Arial Narrow" w:eastAsia="MS Gothic" w:hAnsi="Arial Narrow"/>
                <w:bCs/>
                <w:sz w:val="20"/>
              </w:rPr>
            </w:pPr>
            <w:r w:rsidRPr="00DA3E06">
              <w:rPr>
                <w:rFonts w:ascii="Arial Narrow" w:eastAsia="MS Gothic" w:hAnsi="Arial Narrow"/>
                <w:bCs/>
                <w:sz w:val="20"/>
              </w:rPr>
              <w:t xml:space="preserve">The time horizon of the economic evaluation has been reduced from 10 years to 7 years. The resubmission claims that OS benefit does converge in the base case of the economic model through the application of the parametric models. The resubmission stated that a 5 year time horizon, in line with ivosidenib, would not be appropriate. </w:t>
            </w:r>
          </w:p>
          <w:p w14:paraId="14E9352D" w14:textId="77777777" w:rsidR="00DA3E06" w:rsidRPr="00DA3E06" w:rsidRDefault="00DA3E06" w:rsidP="00DA3E06">
            <w:pPr>
              <w:keepNext/>
              <w:jc w:val="left"/>
              <w:rPr>
                <w:rFonts w:ascii="Arial Narrow" w:eastAsia="MS Gothic" w:hAnsi="Arial Narrow"/>
                <w:bCs/>
                <w:sz w:val="20"/>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51A9AC14"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N</w:t>
            </w:r>
          </w:p>
        </w:tc>
      </w:tr>
      <w:tr w:rsidR="00DA3E06" w:rsidRPr="00DA3E06" w14:paraId="53C32973" w14:textId="77777777">
        <w:trPr>
          <w:cantSplit/>
        </w:trPr>
        <w:tc>
          <w:tcPr>
            <w:tcW w:w="2176" w:type="pct"/>
            <w:tcBorders>
              <w:top w:val="single" w:sz="4" w:space="0" w:color="auto"/>
              <w:left w:val="single" w:sz="4" w:space="0" w:color="auto"/>
              <w:bottom w:val="single" w:sz="4" w:space="0" w:color="auto"/>
              <w:right w:val="single" w:sz="4" w:space="0" w:color="auto"/>
            </w:tcBorders>
            <w:vAlign w:val="center"/>
            <w:hideMark/>
          </w:tcPr>
          <w:p w14:paraId="02C38163" w14:textId="77777777" w:rsidR="00DA3E06" w:rsidRPr="00DA3E06" w:rsidRDefault="00DA3E06" w:rsidP="00DA3E06">
            <w:pPr>
              <w:jc w:val="left"/>
              <w:rPr>
                <w:rFonts w:ascii="Arial Narrow" w:eastAsia="MS Gothic" w:hAnsi="Arial Narrow"/>
                <w:bCs/>
                <w:sz w:val="20"/>
              </w:rPr>
            </w:pPr>
            <w:r w:rsidRPr="00DA3E06">
              <w:rPr>
                <w:rFonts w:ascii="Arial Narrow" w:eastAsia="MS Gothic" w:hAnsi="Arial Narrow"/>
                <w:bCs/>
                <w:sz w:val="20"/>
              </w:rPr>
              <w:t>The submission estimated treatment-specific health state utilities, with different progression free (PF) and progressive disease (PD) health state utilities based on the assumption of greater toxicity associated with FOLFOX. However, the PBAC agreed with the evaluation and the ESCs that that difference between treatment arms in post-progression utilities was not supported given both futibatinib and FOLFOX would have been ceased, and this biased the results in favour of futibatinib. The PBAC considered it would be more appropriate to apply the same utilities to the PF and PD health states in each treatment arm. (para 7.14)</w:t>
            </w:r>
          </w:p>
        </w:tc>
        <w:tc>
          <w:tcPr>
            <w:tcW w:w="2224" w:type="pct"/>
            <w:tcBorders>
              <w:top w:val="single" w:sz="4" w:space="0" w:color="auto"/>
              <w:left w:val="single" w:sz="4" w:space="0" w:color="auto"/>
              <w:bottom w:val="single" w:sz="4" w:space="0" w:color="auto"/>
              <w:right w:val="single" w:sz="4" w:space="0" w:color="auto"/>
            </w:tcBorders>
            <w:vAlign w:val="center"/>
          </w:tcPr>
          <w:p w14:paraId="21475F8D" w14:textId="77777777" w:rsidR="00DA3E06" w:rsidRPr="00DA3E06" w:rsidRDefault="00DA3E06" w:rsidP="00DA3E06">
            <w:pPr>
              <w:spacing w:after="240"/>
              <w:jc w:val="left"/>
              <w:rPr>
                <w:rFonts w:ascii="Arial Narrow" w:eastAsia="MS Gothic" w:hAnsi="Arial Narrow"/>
                <w:bCs/>
                <w:sz w:val="20"/>
              </w:rPr>
            </w:pPr>
            <w:r w:rsidRPr="00DA3E06">
              <w:rPr>
                <w:rFonts w:ascii="Arial Narrow" w:eastAsia="MS Gothic" w:hAnsi="Arial Narrow"/>
                <w:bCs/>
                <w:sz w:val="20"/>
              </w:rPr>
              <w:t xml:space="preserve">Although the resubmission applied the same utilities in each arm, it applied an additional IV disutility of 0.025 to FOLFOX administrations. </w:t>
            </w:r>
          </w:p>
          <w:p w14:paraId="4A295A9F" w14:textId="77777777" w:rsidR="00DA3E06" w:rsidRPr="00DA3E06" w:rsidRDefault="00DA3E06" w:rsidP="00DA3E06">
            <w:pPr>
              <w:jc w:val="left"/>
              <w:rPr>
                <w:rFonts w:ascii="Arial Narrow" w:eastAsia="MS Gothic" w:hAnsi="Arial Narrow"/>
                <w:bCs/>
                <w:sz w:val="20"/>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2F8671A9" w14:textId="77777777" w:rsidR="00DA3E06" w:rsidRPr="00DA3E06" w:rsidRDefault="00DA3E06" w:rsidP="00DA3E06">
            <w:pPr>
              <w:jc w:val="left"/>
              <w:rPr>
                <w:rFonts w:ascii="Arial Narrow" w:eastAsia="MS Gothic" w:hAnsi="Arial Narrow"/>
                <w:bCs/>
                <w:sz w:val="20"/>
              </w:rPr>
            </w:pPr>
            <w:r w:rsidRPr="00DA3E06">
              <w:rPr>
                <w:rFonts w:ascii="Arial Narrow" w:eastAsia="MS Gothic" w:hAnsi="Arial Narrow"/>
                <w:bCs/>
                <w:sz w:val="20"/>
              </w:rPr>
              <w:t>N</w:t>
            </w:r>
          </w:p>
        </w:tc>
      </w:tr>
      <w:tr w:rsidR="00DA3E06" w:rsidRPr="00DA3E06" w14:paraId="5D42EA79" w14:textId="77777777">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119FE71"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
                <w:sz w:val="20"/>
              </w:rPr>
              <w:lastRenderedPageBreak/>
              <w:t>Price</w:t>
            </w:r>
          </w:p>
        </w:tc>
      </w:tr>
      <w:tr w:rsidR="00DA3E06" w:rsidRPr="00DA3E06" w14:paraId="7CA8A8E6" w14:textId="77777777">
        <w:trPr>
          <w:cantSplit/>
        </w:trPr>
        <w:tc>
          <w:tcPr>
            <w:tcW w:w="2176" w:type="pct"/>
            <w:tcBorders>
              <w:top w:val="single" w:sz="4" w:space="0" w:color="auto"/>
              <w:left w:val="single" w:sz="4" w:space="0" w:color="auto"/>
              <w:bottom w:val="single" w:sz="4" w:space="0" w:color="auto"/>
              <w:right w:val="single" w:sz="4" w:space="0" w:color="auto"/>
            </w:tcBorders>
            <w:vAlign w:val="center"/>
            <w:hideMark/>
          </w:tcPr>
          <w:p w14:paraId="6B2A115A" w14:textId="77777777" w:rsidR="00DA3E06" w:rsidRPr="00DA3E06" w:rsidRDefault="00DA3E06" w:rsidP="00DA3E06">
            <w:pPr>
              <w:jc w:val="left"/>
              <w:rPr>
                <w:rFonts w:ascii="Arial Narrow" w:eastAsia="MS Gothic" w:hAnsi="Arial Narrow"/>
                <w:bCs/>
                <w:sz w:val="20"/>
              </w:rPr>
            </w:pPr>
            <w:r w:rsidRPr="00DA3E06">
              <w:rPr>
                <w:rFonts w:ascii="Arial Narrow" w:eastAsia="MS Gothic" w:hAnsi="Arial Narrow"/>
                <w:bCs/>
                <w:sz w:val="20"/>
              </w:rPr>
              <w:t>The PBAC considered that futibatinib would be acceptably cost-effective with an ICER no more than $</w:t>
            </w:r>
            <w:r w:rsidRPr="00DA3E06">
              <w:rPr>
                <w:rFonts w:ascii="Arial Narrow" w:eastAsia="MS Gothic" w:hAnsi="Arial Narrow"/>
                <w:bCs/>
                <w:color w:val="000000"/>
                <w:spacing w:val="51"/>
                <w:sz w:val="20"/>
                <w:shd w:val="solid" w:color="000000" w:fill="000000"/>
                <w:fitText w:val="324" w:id="-509906162"/>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62"/>
                <w14:textFill>
                  <w14:solidFill>
                    <w14:srgbClr w14:val="000000">
                      <w14:alpha w14:val="100000"/>
                    </w14:srgbClr>
                  </w14:solidFill>
                </w14:textFill>
              </w:rPr>
              <w:t>|</w:t>
            </w:r>
            <w:r w:rsidRPr="00DA3E06">
              <w:rPr>
                <w:rFonts w:ascii="Arial Narrow" w:eastAsia="MS Gothic" w:hAnsi="Arial Narrow"/>
                <w:bCs/>
                <w:sz w:val="20"/>
                <w:vertAlign w:val="superscript"/>
              </w:rPr>
              <w:t>1</w:t>
            </w:r>
            <w:r w:rsidRPr="00DA3E06">
              <w:rPr>
                <w:rFonts w:ascii="Arial Narrow" w:eastAsia="MS Gothic" w:hAnsi="Arial Narrow"/>
                <w:bCs/>
                <w:sz w:val="20"/>
              </w:rPr>
              <w:t>/QALY gained (consistent with other treatments for CCA) (para 7.17)</w:t>
            </w:r>
          </w:p>
        </w:tc>
        <w:tc>
          <w:tcPr>
            <w:tcW w:w="2224" w:type="pct"/>
            <w:tcBorders>
              <w:top w:val="single" w:sz="4" w:space="0" w:color="auto"/>
              <w:left w:val="single" w:sz="4" w:space="0" w:color="auto"/>
              <w:bottom w:val="single" w:sz="4" w:space="0" w:color="auto"/>
              <w:right w:val="single" w:sz="4" w:space="0" w:color="auto"/>
            </w:tcBorders>
            <w:vAlign w:val="center"/>
          </w:tcPr>
          <w:p w14:paraId="47E8967E" w14:textId="77777777" w:rsidR="00DA3E06" w:rsidRPr="00DA3E06" w:rsidRDefault="00DA3E06" w:rsidP="00DA3E06">
            <w:pPr>
              <w:spacing w:after="240"/>
              <w:jc w:val="left"/>
              <w:rPr>
                <w:rFonts w:ascii="Arial Narrow" w:eastAsia="MS Gothic" w:hAnsi="Arial Narrow"/>
                <w:bCs/>
                <w:sz w:val="20"/>
              </w:rPr>
            </w:pPr>
            <w:r w:rsidRPr="00DA3E06">
              <w:rPr>
                <w:rFonts w:ascii="Arial Narrow" w:eastAsia="MS Gothic" w:hAnsi="Arial Narrow"/>
                <w:bCs/>
                <w:sz w:val="20"/>
              </w:rPr>
              <w:t>The resubmission targeted an ICER of $</w:t>
            </w:r>
            <w:r w:rsidRPr="00DA3E06">
              <w:rPr>
                <w:rFonts w:ascii="Arial Narrow" w:eastAsia="MS Gothic" w:hAnsi="Arial Narrow"/>
                <w:bCs/>
                <w:color w:val="000000"/>
                <w:spacing w:val="51"/>
                <w:sz w:val="20"/>
                <w:shd w:val="solid" w:color="000000" w:fill="000000"/>
                <w:fitText w:val="324" w:id="-509906161"/>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61"/>
                <w14:textFill>
                  <w14:solidFill>
                    <w14:srgbClr w14:val="000000">
                      <w14:alpha w14:val="100000"/>
                    </w14:srgbClr>
                  </w14:solidFill>
                </w14:textFill>
              </w:rPr>
              <w:t>|</w:t>
            </w:r>
            <w:r w:rsidRPr="00DA3E06">
              <w:rPr>
                <w:rFonts w:ascii="Arial Narrow" w:eastAsia="MS Gothic" w:hAnsi="Arial Narrow"/>
                <w:bCs/>
                <w:sz w:val="20"/>
                <w:vertAlign w:val="superscript"/>
              </w:rPr>
              <w:t>2</w:t>
            </w:r>
            <w:r w:rsidRPr="00DA3E06">
              <w:rPr>
                <w:rFonts w:ascii="Arial Narrow" w:eastAsia="MS Gothic" w:hAnsi="Arial Narrow"/>
                <w:bCs/>
                <w:sz w:val="20"/>
              </w:rPr>
              <w:t>/QALY, arguing that this is a small and well-defined population with a high clinical need, and ICER threshold of less than $</w:t>
            </w:r>
            <w:r w:rsidRPr="00DA3E06">
              <w:rPr>
                <w:rFonts w:ascii="Arial Narrow" w:eastAsia="MS Gothic" w:hAnsi="Arial Narrow"/>
                <w:bCs/>
                <w:color w:val="000000"/>
                <w:spacing w:val="51"/>
                <w:sz w:val="20"/>
                <w:shd w:val="solid" w:color="000000" w:fill="000000"/>
                <w:fitText w:val="324" w:id="-509906160"/>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60"/>
                <w14:textFill>
                  <w14:solidFill>
                    <w14:srgbClr w14:val="000000">
                      <w14:alpha w14:val="100000"/>
                    </w14:srgbClr>
                  </w14:solidFill>
                </w14:textFill>
              </w:rPr>
              <w:t>|</w:t>
            </w:r>
            <w:r w:rsidRPr="00DA3E06">
              <w:rPr>
                <w:rFonts w:ascii="Arial Narrow" w:eastAsia="MS Gothic" w:hAnsi="Arial Narrow"/>
                <w:bCs/>
                <w:sz w:val="20"/>
                <w:vertAlign w:val="superscript"/>
              </w:rPr>
              <w:t>1</w:t>
            </w:r>
            <w:r w:rsidRPr="00DA3E06">
              <w:rPr>
                <w:rFonts w:ascii="Arial Narrow" w:eastAsia="MS Gothic" w:hAnsi="Arial Narrow"/>
                <w:bCs/>
                <w:sz w:val="20"/>
              </w:rPr>
              <w:t xml:space="preserve"> per QALY is overly conservative. </w:t>
            </w:r>
          </w:p>
          <w:p w14:paraId="40E22FB9" w14:textId="77777777" w:rsidR="00DA3E06" w:rsidRPr="00DA3E06" w:rsidRDefault="00DA3E06" w:rsidP="00DA3E06">
            <w:pPr>
              <w:jc w:val="left"/>
              <w:rPr>
                <w:rFonts w:ascii="Arial Narrow" w:eastAsia="MS Gothic" w:hAnsi="Arial Narrow"/>
                <w:bCs/>
                <w:sz w:val="20"/>
              </w:rPr>
            </w:pPr>
            <w:r w:rsidRPr="00DA3E06">
              <w:rPr>
                <w:rFonts w:ascii="Arial Narrow" w:eastAsia="MS Gothic" w:hAnsi="Arial Narrow"/>
                <w:bCs/>
                <w:sz w:val="20"/>
              </w:rPr>
              <w:t>The Pre-PBAC response (Table 1) proposed a further price reduction to $</w:t>
            </w:r>
            <w:r w:rsidRPr="00DA3E06">
              <w:rPr>
                <w:rFonts w:ascii="Arial Narrow" w:eastAsia="MS Gothic" w:hAnsi="Arial Narrow"/>
                <w:bCs/>
                <w:color w:val="000000"/>
                <w:spacing w:val="51"/>
                <w:sz w:val="20"/>
                <w:shd w:val="solid" w:color="000000" w:fill="000000"/>
                <w:fitText w:val="324" w:id="-509906176"/>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76"/>
                <w14:textFill>
                  <w14:solidFill>
                    <w14:srgbClr w14:val="000000">
                      <w14:alpha w14:val="100000"/>
                    </w14:srgbClr>
                  </w14:solidFill>
                </w14:textFill>
              </w:rPr>
              <w:t>|</w:t>
            </w:r>
            <w:r w:rsidRPr="00DA3E06">
              <w:rPr>
                <w:rFonts w:ascii="Arial Narrow" w:eastAsia="MS Gothic" w:hAnsi="Arial Narrow"/>
                <w:bCs/>
                <w:sz w:val="20"/>
              </w:rPr>
              <w:t>, resulting in an ICER of $</w:t>
            </w:r>
            <w:r w:rsidRPr="00DA3E06">
              <w:rPr>
                <w:rFonts w:ascii="Arial Narrow" w:eastAsia="MS Gothic" w:hAnsi="Arial Narrow"/>
                <w:bCs/>
                <w:color w:val="000000"/>
                <w:spacing w:val="55"/>
                <w:sz w:val="20"/>
                <w:shd w:val="solid" w:color="000000" w:fill="000000"/>
                <w:fitText w:val="336" w:id="-509906175"/>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36" w:id="-509906175"/>
                <w14:textFill>
                  <w14:solidFill>
                    <w14:srgbClr w14:val="000000">
                      <w14:alpha w14:val="100000"/>
                    </w14:srgbClr>
                  </w14:solidFill>
                </w14:textFill>
              </w:rPr>
              <w:t>|</w:t>
            </w:r>
            <w:r w:rsidRPr="00DA3E06">
              <w:rPr>
                <w:rFonts w:ascii="Arial Narrow" w:eastAsia="MS Gothic" w:hAnsi="Arial Narrow"/>
                <w:bCs/>
                <w:sz w:val="20"/>
                <w:vertAlign w:val="superscript"/>
              </w:rPr>
              <w:t>2</w:t>
            </w:r>
            <w:r w:rsidRPr="00DA3E06">
              <w:rPr>
                <w:rFonts w:ascii="Arial Narrow" w:eastAsia="MS Gothic" w:hAnsi="Arial Narrow"/>
                <w:bCs/>
                <w:sz w:val="20"/>
              </w:rPr>
              <w:t xml:space="preserve"> for the resubmission’s base case. </w:t>
            </w:r>
          </w:p>
          <w:p w14:paraId="404D9EC7" w14:textId="77777777" w:rsidR="00DA3E06" w:rsidRPr="00DA3E06" w:rsidRDefault="00DA3E06" w:rsidP="00DA3E06">
            <w:pPr>
              <w:jc w:val="left"/>
              <w:rPr>
                <w:rFonts w:ascii="Arial Narrow" w:eastAsia="MS Gothic" w:hAnsi="Arial Narrow"/>
                <w:bCs/>
                <w:sz w:val="20"/>
              </w:rPr>
            </w:pPr>
          </w:p>
        </w:tc>
        <w:tc>
          <w:tcPr>
            <w:tcW w:w="600" w:type="pct"/>
            <w:tcBorders>
              <w:top w:val="single" w:sz="4" w:space="0" w:color="auto"/>
              <w:left w:val="single" w:sz="4" w:space="0" w:color="auto"/>
              <w:bottom w:val="single" w:sz="4" w:space="0" w:color="auto"/>
              <w:right w:val="single" w:sz="4" w:space="0" w:color="auto"/>
            </w:tcBorders>
            <w:vAlign w:val="center"/>
            <w:hideMark/>
          </w:tcPr>
          <w:p w14:paraId="7CD11893" w14:textId="77777777" w:rsidR="00DA3E06" w:rsidRPr="00DA3E06" w:rsidRDefault="00DA3E06" w:rsidP="00DA3E06">
            <w:pPr>
              <w:jc w:val="left"/>
              <w:rPr>
                <w:rFonts w:ascii="Arial Narrow" w:eastAsia="MS Gothic" w:hAnsi="Arial Narrow"/>
                <w:bCs/>
                <w:sz w:val="20"/>
              </w:rPr>
            </w:pPr>
            <w:r w:rsidRPr="00DA3E06">
              <w:rPr>
                <w:rFonts w:ascii="Arial Narrow" w:eastAsia="MS Gothic" w:hAnsi="Arial Narrow"/>
                <w:bCs/>
                <w:sz w:val="20"/>
              </w:rPr>
              <w:t>N</w:t>
            </w:r>
          </w:p>
        </w:tc>
      </w:tr>
      <w:tr w:rsidR="00DA3E06" w:rsidRPr="00DA3E06" w14:paraId="421617C7" w14:textId="77777777">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D64762A" w14:textId="77777777" w:rsidR="00DA3E06" w:rsidRPr="00DA3E06" w:rsidRDefault="00DA3E06" w:rsidP="00DA3E06">
            <w:pPr>
              <w:jc w:val="left"/>
              <w:rPr>
                <w:rFonts w:ascii="Arial Narrow" w:eastAsia="MS Gothic" w:hAnsi="Arial Narrow"/>
                <w:bCs/>
                <w:sz w:val="20"/>
              </w:rPr>
            </w:pPr>
            <w:r w:rsidRPr="00DA3E06">
              <w:rPr>
                <w:rFonts w:ascii="Arial Narrow" w:eastAsia="MS Gothic" w:hAnsi="Arial Narrow"/>
                <w:b/>
                <w:sz w:val="20"/>
              </w:rPr>
              <w:t>Financial Estimates</w:t>
            </w:r>
          </w:p>
        </w:tc>
      </w:tr>
      <w:tr w:rsidR="00DA3E06" w:rsidRPr="00DA3E06" w14:paraId="56B0A3E4" w14:textId="77777777">
        <w:trPr>
          <w:cantSplit/>
        </w:trPr>
        <w:tc>
          <w:tcPr>
            <w:tcW w:w="2176" w:type="pct"/>
            <w:tcBorders>
              <w:top w:val="single" w:sz="4" w:space="0" w:color="auto"/>
              <w:left w:val="single" w:sz="4" w:space="0" w:color="auto"/>
              <w:bottom w:val="single" w:sz="4" w:space="0" w:color="auto"/>
              <w:right w:val="single" w:sz="4" w:space="0" w:color="auto"/>
            </w:tcBorders>
            <w:vAlign w:val="center"/>
            <w:hideMark/>
          </w:tcPr>
          <w:p w14:paraId="649B0422" w14:textId="77777777" w:rsidR="00DA3E06" w:rsidRPr="00DA3E06" w:rsidRDefault="00DA3E06" w:rsidP="00DA3E06">
            <w:pPr>
              <w:jc w:val="left"/>
              <w:rPr>
                <w:rFonts w:ascii="Arial Narrow" w:eastAsia="MS Gothic" w:hAnsi="Arial Narrow"/>
                <w:bCs/>
                <w:sz w:val="20"/>
              </w:rPr>
            </w:pPr>
            <w:r w:rsidRPr="00DA3E06">
              <w:rPr>
                <w:rFonts w:ascii="Arial Narrow" w:eastAsia="MS Gothic" w:hAnsi="Arial Narrow"/>
                <w:bCs/>
                <w:sz w:val="20"/>
              </w:rPr>
              <w:t xml:space="preserve">The submission took an epidemiological approach to derive the financial estimates. The PBAC agreed with the DUSC that </w:t>
            </w:r>
            <w:proofErr w:type="gramStart"/>
            <w:r w:rsidRPr="00DA3E06">
              <w:rPr>
                <w:rFonts w:ascii="Arial Narrow" w:eastAsia="MS Gothic" w:hAnsi="Arial Narrow"/>
                <w:bCs/>
                <w:sz w:val="20"/>
              </w:rPr>
              <w:t>a number of</w:t>
            </w:r>
            <w:proofErr w:type="gramEnd"/>
            <w:r w:rsidRPr="00DA3E06">
              <w:rPr>
                <w:rFonts w:ascii="Arial Narrow" w:eastAsia="MS Gothic" w:hAnsi="Arial Narrow"/>
                <w:bCs/>
                <w:sz w:val="20"/>
              </w:rPr>
              <w:t xml:space="preserve"> inputs needed to be revised as outlined in paragraph 6.119. (</w:t>
            </w:r>
            <w:proofErr w:type="spellStart"/>
            <w:r w:rsidRPr="00DA3E06">
              <w:rPr>
                <w:rFonts w:ascii="Arial Narrow" w:eastAsia="MS Gothic" w:hAnsi="Arial Narrow"/>
                <w:bCs/>
                <w:sz w:val="20"/>
              </w:rPr>
              <w:t>ie</w:t>
            </w:r>
            <w:proofErr w:type="spellEnd"/>
            <w:r w:rsidRPr="00DA3E06">
              <w:rPr>
                <w:rFonts w:ascii="Arial Narrow" w:eastAsia="MS Gothic" w:hAnsi="Arial Narrow"/>
                <w:bCs/>
                <w:sz w:val="20"/>
              </w:rPr>
              <w:t>:</w:t>
            </w:r>
          </w:p>
          <w:p w14:paraId="29FA7A33" w14:textId="77777777" w:rsidR="00DA3E06" w:rsidRPr="00DA3E06" w:rsidRDefault="00DA3E06" w:rsidP="00DA3E06">
            <w:pPr>
              <w:numPr>
                <w:ilvl w:val="0"/>
                <w:numId w:val="11"/>
              </w:numPr>
              <w:ind w:left="368" w:hanging="240"/>
              <w:jc w:val="left"/>
              <w:rPr>
                <w:rFonts w:ascii="Arial Narrow" w:eastAsia="MS Gothic" w:hAnsi="Arial Narrow"/>
                <w:bCs/>
                <w:sz w:val="20"/>
              </w:rPr>
            </w:pPr>
            <w:r w:rsidRPr="00DA3E06">
              <w:rPr>
                <w:rFonts w:ascii="Arial Narrow" w:eastAsia="MS Gothic" w:hAnsi="Arial Narrow"/>
                <w:bCs/>
                <w:sz w:val="20"/>
              </w:rPr>
              <w:t xml:space="preserve">more granular information regarding the incidence estimates available from the AIHW. </w:t>
            </w:r>
          </w:p>
          <w:p w14:paraId="092EB4F2" w14:textId="77777777" w:rsidR="00DA3E06" w:rsidRPr="00DA3E06" w:rsidRDefault="00DA3E06" w:rsidP="00DA3E06">
            <w:pPr>
              <w:keepNext/>
              <w:numPr>
                <w:ilvl w:val="0"/>
                <w:numId w:val="11"/>
              </w:numPr>
              <w:ind w:left="368" w:hanging="240"/>
              <w:jc w:val="left"/>
              <w:rPr>
                <w:rFonts w:ascii="Arial Narrow" w:eastAsia="MS Gothic" w:hAnsi="Arial Narrow"/>
                <w:bCs/>
                <w:sz w:val="20"/>
              </w:rPr>
            </w:pPr>
            <w:r w:rsidRPr="00DA3E06">
              <w:rPr>
                <w:rFonts w:ascii="Arial Narrow" w:eastAsia="MS Gothic" w:hAnsi="Arial Narrow"/>
                <w:bCs/>
                <w:sz w:val="20"/>
              </w:rPr>
              <w:t xml:space="preserve">number of patients progressing to second line therapy overestimated. </w:t>
            </w:r>
          </w:p>
          <w:p w14:paraId="5FE06727" w14:textId="77777777" w:rsidR="00DA3E06" w:rsidRPr="00DA3E06" w:rsidRDefault="00DA3E06" w:rsidP="00DA3E06">
            <w:pPr>
              <w:keepNext/>
              <w:numPr>
                <w:ilvl w:val="0"/>
                <w:numId w:val="11"/>
              </w:numPr>
              <w:ind w:left="368" w:hanging="240"/>
              <w:jc w:val="left"/>
              <w:rPr>
                <w:rFonts w:ascii="Arial Narrow" w:eastAsia="MS Gothic" w:hAnsi="Arial Narrow"/>
                <w:bCs/>
                <w:sz w:val="20"/>
              </w:rPr>
            </w:pPr>
            <w:r w:rsidRPr="00DA3E06">
              <w:rPr>
                <w:rFonts w:ascii="Arial Narrow" w:eastAsia="MS Gothic" w:hAnsi="Arial Narrow"/>
                <w:bCs/>
                <w:sz w:val="20"/>
              </w:rPr>
              <w:t>number of tests per patient underestimated.</w:t>
            </w:r>
          </w:p>
          <w:p w14:paraId="3EE228B2" w14:textId="77777777" w:rsidR="00DA3E06" w:rsidRPr="00DA3E06" w:rsidRDefault="00DA3E06" w:rsidP="00DA3E06">
            <w:pPr>
              <w:keepNext/>
              <w:numPr>
                <w:ilvl w:val="0"/>
                <w:numId w:val="11"/>
              </w:numPr>
              <w:ind w:left="368" w:hanging="240"/>
              <w:jc w:val="left"/>
              <w:rPr>
                <w:rFonts w:ascii="Arial Narrow" w:eastAsia="MS Gothic" w:hAnsi="Arial Narrow"/>
                <w:bCs/>
                <w:sz w:val="20"/>
              </w:rPr>
            </w:pPr>
            <w:r w:rsidRPr="00DA3E06">
              <w:rPr>
                <w:rFonts w:ascii="Arial Narrow" w:eastAsia="MS Gothic" w:hAnsi="Arial Narrow"/>
                <w:bCs/>
                <w:sz w:val="20"/>
              </w:rPr>
              <w:t>inclusion of treatment uptake rate for futibatinib patients double counts the proportion of patients who progress to second line therapy with ECOG PS 0 or 1.</w:t>
            </w:r>
          </w:p>
          <w:p w14:paraId="0540133A" w14:textId="77777777" w:rsidR="00DA3E06" w:rsidRPr="00DA3E06" w:rsidRDefault="00DA3E06" w:rsidP="00DA3E06">
            <w:pPr>
              <w:numPr>
                <w:ilvl w:val="0"/>
                <w:numId w:val="11"/>
              </w:numPr>
              <w:ind w:left="368" w:hanging="240"/>
              <w:jc w:val="left"/>
              <w:rPr>
                <w:rFonts w:ascii="Arial Narrow" w:eastAsia="MS Gothic" w:hAnsi="Arial Narrow"/>
                <w:bCs/>
                <w:sz w:val="20"/>
              </w:rPr>
            </w:pPr>
            <w:r w:rsidRPr="00DA3E06">
              <w:rPr>
                <w:rFonts w:ascii="Arial Narrow" w:eastAsia="MS Gothic" w:hAnsi="Arial Narrow"/>
                <w:bCs/>
                <w:sz w:val="20"/>
              </w:rPr>
              <w:t>treatment duration applied in the economic model and financial estimates should align.)</w:t>
            </w:r>
          </w:p>
          <w:p w14:paraId="062E5464" w14:textId="77777777" w:rsidR="00DA3E06" w:rsidRPr="00DA3E06" w:rsidRDefault="00DA3E06" w:rsidP="00DA3E06">
            <w:pPr>
              <w:jc w:val="left"/>
              <w:rPr>
                <w:rFonts w:ascii="Arial Narrow" w:eastAsia="MS Gothic" w:hAnsi="Arial Narrow"/>
                <w:bCs/>
                <w:sz w:val="20"/>
              </w:rPr>
            </w:pPr>
            <w:r w:rsidRPr="00DA3E06">
              <w:rPr>
                <w:rFonts w:ascii="Arial Narrow" w:eastAsia="MS Gothic" w:hAnsi="Arial Narrow"/>
                <w:bCs/>
                <w:sz w:val="20"/>
              </w:rPr>
              <w:t>Additionally, the PBAC considered the prevalence of FGFR2 fusion or rearrangements was likely overestimated and should be revised to account for the low prevalence (≤1%) in eCCA patients. (para 7.16)</w:t>
            </w:r>
          </w:p>
        </w:tc>
        <w:tc>
          <w:tcPr>
            <w:tcW w:w="2224" w:type="pct"/>
            <w:tcBorders>
              <w:top w:val="single" w:sz="4" w:space="0" w:color="auto"/>
              <w:left w:val="single" w:sz="4" w:space="0" w:color="auto"/>
              <w:bottom w:val="single" w:sz="4" w:space="0" w:color="auto"/>
              <w:right w:val="single" w:sz="4" w:space="0" w:color="auto"/>
            </w:tcBorders>
            <w:vAlign w:val="center"/>
            <w:hideMark/>
          </w:tcPr>
          <w:p w14:paraId="3A683C45" w14:textId="77777777" w:rsidR="00DA3E06" w:rsidRPr="00DA3E06" w:rsidRDefault="00DA3E06" w:rsidP="00DA3E06">
            <w:pPr>
              <w:jc w:val="left"/>
              <w:rPr>
                <w:rFonts w:ascii="Arial Narrow" w:eastAsia="MS Gothic" w:hAnsi="Arial Narrow"/>
                <w:bCs/>
                <w:sz w:val="20"/>
              </w:rPr>
            </w:pPr>
            <w:r w:rsidRPr="00DA3E06">
              <w:rPr>
                <w:rFonts w:ascii="Arial Narrow" w:eastAsia="MS Gothic" w:hAnsi="Arial Narrow"/>
                <w:bCs/>
                <w:sz w:val="20"/>
              </w:rPr>
              <w:t>Inputs noted by DUSC were revised as follows:</w:t>
            </w:r>
          </w:p>
          <w:p w14:paraId="4BDD08E5" w14:textId="77777777" w:rsidR="00DA3E06" w:rsidRPr="00DA3E06" w:rsidRDefault="00DA3E06" w:rsidP="00DA3E06">
            <w:pPr>
              <w:numPr>
                <w:ilvl w:val="0"/>
                <w:numId w:val="11"/>
              </w:numPr>
              <w:ind w:left="368" w:hanging="240"/>
              <w:jc w:val="left"/>
              <w:rPr>
                <w:rFonts w:ascii="Arial Narrow" w:eastAsia="MS Gothic" w:hAnsi="Arial Narrow"/>
                <w:bCs/>
                <w:sz w:val="20"/>
              </w:rPr>
            </w:pPr>
            <w:r w:rsidRPr="00DA3E06">
              <w:rPr>
                <w:rFonts w:ascii="Arial Narrow" w:eastAsia="MS Gothic" w:hAnsi="Arial Narrow"/>
                <w:bCs/>
                <w:sz w:val="20"/>
              </w:rPr>
              <w:t>AIHW incidence utilised.</w:t>
            </w:r>
          </w:p>
          <w:p w14:paraId="79AB0D42" w14:textId="77777777" w:rsidR="00DA3E06" w:rsidRPr="00DA3E06" w:rsidRDefault="00DA3E06" w:rsidP="00DA3E06">
            <w:pPr>
              <w:numPr>
                <w:ilvl w:val="0"/>
                <w:numId w:val="11"/>
              </w:numPr>
              <w:ind w:left="368" w:hanging="240"/>
              <w:jc w:val="left"/>
              <w:rPr>
                <w:rFonts w:ascii="Arial Narrow" w:eastAsia="MS Gothic" w:hAnsi="Arial Narrow"/>
                <w:bCs/>
                <w:sz w:val="20"/>
              </w:rPr>
            </w:pPr>
            <w:r w:rsidRPr="00DA3E06">
              <w:rPr>
                <w:rFonts w:ascii="Arial Narrow" w:eastAsia="MS Gothic" w:hAnsi="Arial Narrow"/>
                <w:bCs/>
                <w:sz w:val="20"/>
              </w:rPr>
              <w:t>number of patients progressing to second-line therapy reduced from 60% to 50%.</w:t>
            </w:r>
          </w:p>
          <w:p w14:paraId="3228958A" w14:textId="77777777" w:rsidR="00DA3E06" w:rsidRPr="00DA3E06" w:rsidRDefault="00DA3E06" w:rsidP="00DA3E06">
            <w:pPr>
              <w:numPr>
                <w:ilvl w:val="0"/>
                <w:numId w:val="11"/>
              </w:numPr>
              <w:ind w:left="368" w:hanging="240"/>
              <w:jc w:val="left"/>
              <w:rPr>
                <w:rFonts w:ascii="Arial Narrow" w:eastAsia="MS Gothic" w:hAnsi="Arial Narrow"/>
                <w:bCs/>
                <w:sz w:val="20"/>
              </w:rPr>
            </w:pPr>
            <w:r w:rsidRPr="00DA3E06">
              <w:rPr>
                <w:rFonts w:ascii="Arial Narrow" w:eastAsia="MS Gothic" w:hAnsi="Arial Narrow"/>
                <w:bCs/>
                <w:sz w:val="20"/>
              </w:rPr>
              <w:t xml:space="preserve">number of tests increased per treated patient, and doubled test numbers to reflect testing patients in the first line treatment setting. </w:t>
            </w:r>
          </w:p>
          <w:p w14:paraId="59FD8CA6" w14:textId="77777777" w:rsidR="00DA3E06" w:rsidRPr="00DA3E06" w:rsidRDefault="00DA3E06" w:rsidP="00DA3E06">
            <w:pPr>
              <w:numPr>
                <w:ilvl w:val="0"/>
                <w:numId w:val="11"/>
              </w:numPr>
              <w:ind w:left="368" w:hanging="240"/>
              <w:jc w:val="left"/>
              <w:rPr>
                <w:rFonts w:ascii="Arial Narrow" w:eastAsia="MS Gothic" w:hAnsi="Arial Narrow"/>
                <w:bCs/>
                <w:sz w:val="20"/>
              </w:rPr>
            </w:pPr>
            <w:r w:rsidRPr="00DA3E06">
              <w:rPr>
                <w:rFonts w:ascii="Arial Narrow" w:eastAsia="MS Gothic" w:hAnsi="Arial Narrow"/>
                <w:bCs/>
                <w:sz w:val="20"/>
              </w:rPr>
              <w:t xml:space="preserve">Treatment duration of 57.78 weeks applied (vs 12.5 months). </w:t>
            </w:r>
          </w:p>
          <w:p w14:paraId="6F099B03" w14:textId="77777777" w:rsidR="00DA3E06" w:rsidRPr="00DA3E06" w:rsidRDefault="00DA3E06" w:rsidP="00DA3E06">
            <w:pPr>
              <w:numPr>
                <w:ilvl w:val="0"/>
                <w:numId w:val="11"/>
              </w:numPr>
              <w:ind w:left="368" w:hanging="240"/>
              <w:jc w:val="left"/>
              <w:rPr>
                <w:rFonts w:ascii="Arial Narrow" w:eastAsia="MS Gothic" w:hAnsi="Arial Narrow"/>
                <w:bCs/>
                <w:sz w:val="20"/>
              </w:rPr>
            </w:pPr>
            <w:r w:rsidRPr="00DA3E06">
              <w:rPr>
                <w:rFonts w:ascii="Arial Narrow" w:eastAsia="MS Gothic" w:hAnsi="Arial Narrow"/>
                <w:bCs/>
                <w:sz w:val="20"/>
              </w:rPr>
              <w:t xml:space="preserve">Reduced prevalence of </w:t>
            </w:r>
            <w:r w:rsidRPr="00DA3E06">
              <w:rPr>
                <w:rFonts w:ascii="Arial Narrow" w:eastAsia="MS Gothic" w:hAnsi="Arial Narrow"/>
                <w:bCs/>
                <w:i/>
                <w:iCs/>
                <w:sz w:val="20"/>
              </w:rPr>
              <w:t>FGFR2</w:t>
            </w:r>
            <w:r w:rsidRPr="00DA3E06">
              <w:rPr>
                <w:rFonts w:ascii="Arial Narrow" w:eastAsia="MS Gothic" w:hAnsi="Arial Narrow"/>
                <w:bCs/>
                <w:sz w:val="20"/>
              </w:rPr>
              <w:t xml:space="preserve"> fusion or rearrangements from 20% to 13.86%.</w:t>
            </w:r>
          </w:p>
        </w:tc>
        <w:tc>
          <w:tcPr>
            <w:tcW w:w="600" w:type="pct"/>
            <w:tcBorders>
              <w:top w:val="single" w:sz="4" w:space="0" w:color="auto"/>
              <w:left w:val="single" w:sz="4" w:space="0" w:color="auto"/>
              <w:bottom w:val="single" w:sz="4" w:space="0" w:color="auto"/>
              <w:right w:val="single" w:sz="4" w:space="0" w:color="auto"/>
            </w:tcBorders>
            <w:vAlign w:val="center"/>
            <w:hideMark/>
          </w:tcPr>
          <w:p w14:paraId="5E8CB2B5" w14:textId="77777777" w:rsidR="00DA3E06" w:rsidRPr="00DA3E06" w:rsidRDefault="00DA3E06" w:rsidP="00DA3E06">
            <w:pPr>
              <w:jc w:val="left"/>
              <w:rPr>
                <w:rFonts w:ascii="Arial Narrow" w:eastAsia="MS Gothic" w:hAnsi="Arial Narrow"/>
                <w:bCs/>
                <w:sz w:val="20"/>
              </w:rPr>
            </w:pPr>
            <w:r w:rsidRPr="00DA3E06">
              <w:rPr>
                <w:rFonts w:ascii="Arial Narrow" w:eastAsia="MS Gothic" w:hAnsi="Arial Narrow"/>
                <w:bCs/>
                <w:sz w:val="20"/>
              </w:rPr>
              <w:t>Y</w:t>
            </w:r>
          </w:p>
        </w:tc>
      </w:tr>
    </w:tbl>
    <w:p w14:paraId="518C4F5F" w14:textId="77777777" w:rsidR="00DA3E06" w:rsidRPr="00DA3E06" w:rsidRDefault="00DA3E06" w:rsidP="00DA3E06">
      <w:pPr>
        <w:snapToGrid w:val="0"/>
        <w:spacing w:after="120"/>
        <w:contextualSpacing/>
        <w:rPr>
          <w:rFonts w:ascii="Arial Narrow" w:hAnsi="Arial Narrow" w:cs="Arial"/>
          <w:sz w:val="18"/>
          <w:szCs w:val="22"/>
        </w:rPr>
      </w:pPr>
      <w:r w:rsidRPr="00DA3E06">
        <w:rPr>
          <w:rFonts w:ascii="Arial Narrow" w:hAnsi="Arial Narrow" w:cs="Arial"/>
          <w:sz w:val="18"/>
          <w:szCs w:val="22"/>
        </w:rPr>
        <w:t>AIHW = Australian Institute of Health and Welfare; eCCA = extracellular cholangiocarcinoma; ECOG PS = Eastern Cooperative Oncology Group Performance Status; FGFR2 = fibroblast growth factor receptor 2; HR = hazard ratio; iCCA = intracellular cholangiocarcinoma; MAIC = matched adjusted indirect comparison; OS = overall survival; PFS = progression free survival; QALY = quality adjusted life year</w:t>
      </w:r>
    </w:p>
    <w:p w14:paraId="0ECDDEC9" w14:textId="77777777" w:rsidR="00DA3E06" w:rsidRPr="00DA3E06" w:rsidRDefault="00DA3E06" w:rsidP="00DA3E06">
      <w:pPr>
        <w:snapToGrid w:val="0"/>
        <w:spacing w:after="120"/>
        <w:contextualSpacing/>
        <w:rPr>
          <w:rFonts w:ascii="Arial Narrow" w:hAnsi="Arial Narrow" w:cs="Arial"/>
          <w:i/>
          <w:sz w:val="18"/>
          <w:szCs w:val="22"/>
        </w:rPr>
      </w:pPr>
      <w:r w:rsidRPr="00DA3E06">
        <w:rPr>
          <w:rFonts w:ascii="Arial Narrow" w:hAnsi="Arial Narrow" w:cs="Arial"/>
          <w:i/>
          <w:sz w:val="18"/>
          <w:szCs w:val="22"/>
        </w:rPr>
        <w:t xml:space="preserve">The redacted values correspond to the following ranges: </w:t>
      </w:r>
    </w:p>
    <w:p w14:paraId="0AE86E62" w14:textId="77777777" w:rsidR="00DA3E06" w:rsidRPr="00DA3E06" w:rsidRDefault="00DA3E06" w:rsidP="00DA3E06">
      <w:pPr>
        <w:snapToGrid w:val="0"/>
        <w:spacing w:after="120"/>
        <w:contextualSpacing/>
        <w:rPr>
          <w:rFonts w:ascii="Arial Narrow" w:hAnsi="Arial Narrow" w:cs="Arial"/>
          <w:i/>
          <w:sz w:val="18"/>
          <w:szCs w:val="22"/>
        </w:rPr>
      </w:pPr>
      <w:r w:rsidRPr="00DA3E06">
        <w:rPr>
          <w:rFonts w:ascii="Arial Narrow" w:hAnsi="Arial Narrow" w:cs="Arial"/>
          <w:i/>
          <w:sz w:val="18"/>
          <w:szCs w:val="22"/>
          <w:vertAlign w:val="superscript"/>
        </w:rPr>
        <w:t>1</w:t>
      </w:r>
      <w:r w:rsidRPr="00DA3E06">
        <w:rPr>
          <w:rFonts w:ascii="Arial Narrow" w:hAnsi="Arial Narrow" w:cs="Arial"/>
          <w:i/>
          <w:sz w:val="18"/>
          <w:szCs w:val="22"/>
        </w:rPr>
        <w:t xml:space="preserve"> $55,000 to &lt; $75,000</w:t>
      </w:r>
    </w:p>
    <w:p w14:paraId="11DF6345" w14:textId="77777777" w:rsidR="00DA3E06" w:rsidRPr="00DA3E06" w:rsidRDefault="00DA3E06" w:rsidP="00DA3E06">
      <w:pPr>
        <w:snapToGrid w:val="0"/>
        <w:spacing w:after="120"/>
        <w:contextualSpacing/>
        <w:rPr>
          <w:rFonts w:ascii="Arial Narrow" w:hAnsi="Arial Narrow" w:cs="Arial"/>
          <w:i/>
          <w:sz w:val="18"/>
          <w:szCs w:val="22"/>
        </w:rPr>
      </w:pPr>
      <w:r w:rsidRPr="00DA3E06">
        <w:rPr>
          <w:rFonts w:ascii="Arial Narrow" w:hAnsi="Arial Narrow" w:cs="Arial"/>
          <w:i/>
          <w:sz w:val="18"/>
          <w:szCs w:val="22"/>
          <w:vertAlign w:val="superscript"/>
        </w:rPr>
        <w:t>2</w:t>
      </w:r>
      <w:r w:rsidRPr="00DA3E06">
        <w:rPr>
          <w:rFonts w:ascii="Arial Narrow" w:hAnsi="Arial Narrow" w:cs="Arial"/>
          <w:i/>
          <w:sz w:val="18"/>
          <w:szCs w:val="22"/>
        </w:rPr>
        <w:t xml:space="preserve"> $75,000 to &lt; $95,000</w:t>
      </w:r>
    </w:p>
    <w:p w14:paraId="41F01459" w14:textId="77777777" w:rsidR="00DA3E06" w:rsidRPr="00DA3E06" w:rsidRDefault="00DA3E06" w:rsidP="00DA3E06">
      <w:pPr>
        <w:snapToGrid w:val="0"/>
        <w:spacing w:after="120"/>
        <w:contextualSpacing/>
        <w:rPr>
          <w:rFonts w:ascii="Arial Narrow" w:hAnsi="Arial Narrow" w:cs="Arial"/>
          <w:sz w:val="18"/>
          <w:szCs w:val="22"/>
        </w:rPr>
      </w:pPr>
    </w:p>
    <w:p w14:paraId="324982B5" w14:textId="77777777"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t xml:space="preserve">The pre-PBAC response argued the early re-entry submission had made significant concessions compared to the previous submission and provided further arguments to support the base case economic model. </w:t>
      </w:r>
    </w:p>
    <w:p w14:paraId="49283491" w14:textId="77777777" w:rsidR="00DA3E06" w:rsidRPr="00DA3E06" w:rsidRDefault="00DA3E06" w:rsidP="00DA3E06">
      <w:pPr>
        <w:keepNext/>
        <w:numPr>
          <w:ilvl w:val="0"/>
          <w:numId w:val="9"/>
        </w:numPr>
        <w:snapToGrid w:val="0"/>
        <w:spacing w:before="240" w:after="120"/>
        <w:jc w:val="left"/>
        <w:outlineLvl w:val="0"/>
        <w:rPr>
          <w:rFonts w:eastAsia="MS Mincho" w:cs="Arial"/>
          <w:b/>
          <w:sz w:val="32"/>
          <w:szCs w:val="32"/>
        </w:rPr>
      </w:pPr>
      <w:r w:rsidRPr="00DA3E06">
        <w:rPr>
          <w:rFonts w:cs="Arial"/>
          <w:b/>
          <w:sz w:val="32"/>
          <w:szCs w:val="32"/>
        </w:rPr>
        <w:t>Background</w:t>
      </w:r>
    </w:p>
    <w:p w14:paraId="26757E36" w14:textId="77777777"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t xml:space="preserve">Futibatinib was included on the ARTG on 17 April 2025 for the following indication: </w:t>
      </w:r>
    </w:p>
    <w:p w14:paraId="0477A7CD" w14:textId="77777777" w:rsidR="00DA3E06" w:rsidRPr="00DA3E06" w:rsidRDefault="00DA3E06" w:rsidP="00DA3E06">
      <w:pPr>
        <w:spacing w:after="120"/>
        <w:ind w:left="720"/>
        <w:rPr>
          <w:rFonts w:eastAsia="Calibri" w:cs="Arial"/>
          <w:snapToGrid w:val="0"/>
          <w:szCs w:val="22"/>
        </w:rPr>
      </w:pPr>
      <w:r w:rsidRPr="00DA3E06">
        <w:rPr>
          <w:rFonts w:eastAsia="Calibri" w:cs="Arial"/>
          <w:snapToGrid w:val="0"/>
          <w:szCs w:val="22"/>
        </w:rPr>
        <w:t xml:space="preserve">“LYTGOBI monotherapy has provisional approval in Australia for the treatment of adult patients with locally advanced or metastatic intrahepatic cholangiocarcinoma with a fibroblast growth factor receptor 2 (FGFR2) fusion or rearrangement that have </w:t>
      </w:r>
      <w:r w:rsidRPr="00DA3E06">
        <w:rPr>
          <w:rFonts w:eastAsia="Calibri" w:cs="Arial"/>
          <w:snapToGrid w:val="0"/>
          <w:szCs w:val="22"/>
        </w:rPr>
        <w:lastRenderedPageBreak/>
        <w:t xml:space="preserve">progressed after at least one prior line of systemic therapy. The decision to approve this indication has been made </w:t>
      </w:r>
      <w:proofErr w:type="gramStart"/>
      <w:r w:rsidRPr="00DA3E06">
        <w:rPr>
          <w:rFonts w:eastAsia="Calibri" w:cs="Arial"/>
          <w:snapToGrid w:val="0"/>
          <w:szCs w:val="22"/>
        </w:rPr>
        <w:t>on the basis of</w:t>
      </w:r>
      <w:proofErr w:type="gramEnd"/>
      <w:r w:rsidRPr="00DA3E06">
        <w:rPr>
          <w:rFonts w:eastAsia="Calibri" w:cs="Arial"/>
          <w:snapToGrid w:val="0"/>
          <w:szCs w:val="22"/>
        </w:rPr>
        <w:t xml:space="preserve"> the favourable objective response rate and duration of response in a single arm trial. Continued approval of this indication depends on verification and description of benefit in confirmatory trials”.</w:t>
      </w:r>
    </w:p>
    <w:p w14:paraId="7D6D1034" w14:textId="77777777"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t>The PICO from the previous submission is presented below.</w:t>
      </w:r>
    </w:p>
    <w:p w14:paraId="5C138596" w14:textId="2FA5A149" w:rsidR="00DA3E06" w:rsidRPr="00DA3E06" w:rsidRDefault="00DA3E06" w:rsidP="00DA3E06">
      <w:pPr>
        <w:keepNext/>
        <w:jc w:val="left"/>
        <w:rPr>
          <w:rFonts w:ascii="Arial Narrow" w:eastAsia="MS Gothic" w:hAnsi="Arial Narrow"/>
          <w:b/>
          <w:bCs/>
          <w:sz w:val="20"/>
        </w:rPr>
      </w:pPr>
      <w:r w:rsidRPr="00DA3E06">
        <w:rPr>
          <w:rFonts w:ascii="Arial Narrow" w:eastAsia="MS Gothic" w:hAnsi="Arial Narrow"/>
          <w:b/>
          <w:bCs/>
          <w:sz w:val="20"/>
        </w:rPr>
        <w:t xml:space="preserve">Table </w:t>
      </w:r>
      <w:r w:rsidRPr="00DA3E06">
        <w:rPr>
          <w:rFonts w:ascii="Arial Narrow" w:eastAsia="MS Gothic" w:hAnsi="Arial Narrow"/>
          <w:b/>
          <w:bCs/>
          <w:sz w:val="20"/>
        </w:rPr>
        <w:fldChar w:fldCharType="begin"/>
      </w:r>
      <w:r w:rsidRPr="00DA3E06">
        <w:rPr>
          <w:rFonts w:ascii="Arial Narrow" w:eastAsia="MS Gothic" w:hAnsi="Arial Narrow"/>
          <w:b/>
          <w:bCs/>
          <w:sz w:val="20"/>
        </w:rPr>
        <w:instrText xml:space="preserve"> SEQ Table \* ARABIC </w:instrText>
      </w:r>
      <w:r w:rsidRPr="00DA3E06">
        <w:rPr>
          <w:rFonts w:ascii="Arial Narrow" w:eastAsia="MS Gothic" w:hAnsi="Arial Narrow"/>
          <w:b/>
          <w:bCs/>
          <w:sz w:val="20"/>
        </w:rPr>
        <w:fldChar w:fldCharType="separate"/>
      </w:r>
      <w:r w:rsidR="00971CD5">
        <w:rPr>
          <w:rFonts w:ascii="Arial Narrow" w:eastAsia="MS Gothic" w:hAnsi="Arial Narrow"/>
          <w:b/>
          <w:bCs/>
          <w:noProof/>
          <w:sz w:val="20"/>
        </w:rPr>
        <w:t>2</w:t>
      </w:r>
      <w:r w:rsidRPr="00DA3E06">
        <w:rPr>
          <w:rFonts w:ascii="Arial Narrow" w:eastAsia="MS Gothic" w:hAnsi="Arial Narrow"/>
          <w:b/>
          <w:bCs/>
          <w:noProof/>
          <w:sz w:val="20"/>
        </w:rPr>
        <w:fldChar w:fldCharType="end"/>
      </w:r>
      <w:r w:rsidRPr="00DA3E06">
        <w:rPr>
          <w:rFonts w:ascii="Arial Narrow" w:eastAsia="MS Gothic" w:hAnsi="Arial Narrow"/>
          <w:b/>
          <w:bCs/>
          <w:sz w:val="20"/>
        </w:rPr>
        <w:t>: Key components of the clinical issue addressed by the submission (as stated in the previous submission)</w:t>
      </w:r>
    </w:p>
    <w:tbl>
      <w:tblPr>
        <w:tblStyle w:val="PBACTableStyle1"/>
        <w:tblW w:w="0" w:type="auto"/>
        <w:tblInd w:w="0" w:type="dxa"/>
        <w:tblLook w:val="04A0" w:firstRow="1" w:lastRow="0" w:firstColumn="1" w:lastColumn="0" w:noHBand="0" w:noVBand="1"/>
        <w:tblCaption w:val="Key components of the clinical issue addressed by the submission (as stated in the previous submission)"/>
      </w:tblPr>
      <w:tblGrid>
        <w:gridCol w:w="1184"/>
        <w:gridCol w:w="7832"/>
      </w:tblGrid>
      <w:tr w:rsidR="00DA3E06" w:rsidRPr="00DA3E06" w14:paraId="35F4190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hideMark/>
          </w:tcPr>
          <w:p w14:paraId="73F8BE81" w14:textId="77777777" w:rsidR="00DA3E06" w:rsidRPr="00DA3E06" w:rsidRDefault="00DA3E06" w:rsidP="00DA3E06">
            <w:pPr>
              <w:keepNext/>
              <w:keepLines/>
              <w:ind w:right="57"/>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Component</w:t>
            </w:r>
          </w:p>
        </w:tc>
        <w:tc>
          <w:tcPr>
            <w:tcW w:w="7832" w:type="dxa"/>
            <w:tcBorders>
              <w:top w:val="single" w:sz="4" w:space="0" w:color="auto"/>
              <w:left w:val="single" w:sz="4" w:space="0" w:color="auto"/>
              <w:bottom w:val="single" w:sz="4" w:space="0" w:color="auto"/>
              <w:right w:val="single" w:sz="4" w:space="0" w:color="auto"/>
            </w:tcBorders>
            <w:hideMark/>
          </w:tcPr>
          <w:p w14:paraId="28B15419" w14:textId="77777777" w:rsidR="00DA3E06" w:rsidRPr="00DA3E06" w:rsidRDefault="00DA3E06" w:rsidP="00DA3E06">
            <w:pPr>
              <w:keepNext/>
              <w:keepLines/>
              <w:ind w:right="57"/>
              <w:jc w:val="center"/>
              <w:cnfStyle w:val="100000000000" w:firstRow="1" w:lastRow="0" w:firstColumn="0" w:lastColumn="0" w:oddVBand="0" w:evenVBand="0" w:oddHBand="0" w:evenHBand="0" w:firstRowFirstColumn="0" w:firstRowLastColumn="0" w:lastRowFirstColumn="0" w:lastRowLastColumn="0"/>
              <w:rPr>
                <w:rFonts w:ascii="Arial Narrow" w:eastAsia="MS Gothic" w:hAnsi="Arial Narrow" w:cs="Times New Roman" w:hint="default"/>
                <w:bCs/>
                <w:sz w:val="20"/>
              </w:rPr>
            </w:pPr>
            <w:r w:rsidRPr="00DA3E06">
              <w:rPr>
                <w:rFonts w:ascii="Arial Narrow" w:eastAsia="MS Gothic" w:hAnsi="Arial Narrow" w:cs="Times New Roman" w:hint="default"/>
                <w:bCs/>
                <w:sz w:val="20"/>
              </w:rPr>
              <w:t>Description</w:t>
            </w:r>
          </w:p>
        </w:tc>
      </w:tr>
      <w:tr w:rsidR="00DA3E06" w:rsidRPr="00DA3E06" w14:paraId="3F1A000E" w14:textId="77777777">
        <w:trPr>
          <w:trHeight w:val="636"/>
        </w:trPr>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hideMark/>
          </w:tcPr>
          <w:p w14:paraId="7070E221"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Population</w:t>
            </w:r>
          </w:p>
        </w:tc>
        <w:tc>
          <w:tcPr>
            <w:tcW w:w="7832" w:type="dxa"/>
            <w:tcBorders>
              <w:top w:val="single" w:sz="4" w:space="0" w:color="auto"/>
              <w:left w:val="single" w:sz="4" w:space="0" w:color="auto"/>
              <w:bottom w:val="single" w:sz="4" w:space="0" w:color="auto"/>
              <w:right w:val="single" w:sz="4" w:space="0" w:color="auto"/>
            </w:tcBorders>
            <w:hideMark/>
          </w:tcPr>
          <w:p w14:paraId="359FFBDB" w14:textId="77777777" w:rsidR="00DA3E06" w:rsidRPr="00DA3E06" w:rsidRDefault="00DA3E06" w:rsidP="00DA3E06">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sz w:val="20"/>
              </w:rPr>
            </w:pPr>
            <w:r w:rsidRPr="00DA3E06">
              <w:rPr>
                <w:rFonts w:ascii="Arial Narrow" w:eastAsia="MS Gothic" w:hAnsi="Arial Narrow" w:cs="Times New Roman"/>
                <w:bCs/>
                <w:sz w:val="20"/>
              </w:rPr>
              <w:t>Test: adult patients with locally advanced or metastatic CCA.</w:t>
            </w:r>
          </w:p>
          <w:p w14:paraId="558DE1BD" w14:textId="77777777" w:rsidR="00DA3E06" w:rsidRPr="00DA3E06" w:rsidRDefault="00DA3E06" w:rsidP="00DA3E06">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sz w:val="20"/>
              </w:rPr>
            </w:pPr>
            <w:r w:rsidRPr="00DA3E06">
              <w:rPr>
                <w:rFonts w:ascii="Arial Narrow" w:eastAsia="MS Gothic" w:hAnsi="Arial Narrow" w:cs="Times New Roman"/>
                <w:bCs/>
                <w:sz w:val="20"/>
              </w:rPr>
              <w:t xml:space="preserve">Drug: adult patients with locally advanced or metastatic CCA with a </w:t>
            </w:r>
            <w:r w:rsidRPr="00DA3E06">
              <w:rPr>
                <w:rFonts w:ascii="Arial Narrow" w:eastAsia="MS Gothic" w:hAnsi="Arial Narrow" w:cs="Times New Roman"/>
                <w:bCs/>
                <w:i/>
                <w:iCs/>
                <w:sz w:val="20"/>
              </w:rPr>
              <w:t>FGFR2</w:t>
            </w:r>
            <w:r w:rsidRPr="00DA3E06">
              <w:rPr>
                <w:rFonts w:ascii="Arial Narrow" w:eastAsia="MS Gothic" w:hAnsi="Arial Narrow" w:cs="Times New Roman"/>
                <w:bCs/>
                <w:sz w:val="20"/>
              </w:rPr>
              <w:t xml:space="preserve"> fusion or rearrangement that have progressed after at least one prior line of systemic therapy.</w:t>
            </w:r>
          </w:p>
        </w:tc>
      </w:tr>
      <w:tr w:rsidR="00DA3E06" w:rsidRPr="00DA3E06" w14:paraId="250FCB58" w14:textId="77777777">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hideMark/>
          </w:tcPr>
          <w:p w14:paraId="6380DE3E"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Intervention</w:t>
            </w:r>
          </w:p>
        </w:tc>
        <w:tc>
          <w:tcPr>
            <w:tcW w:w="7832" w:type="dxa"/>
            <w:tcBorders>
              <w:top w:val="single" w:sz="4" w:space="0" w:color="auto"/>
              <w:left w:val="single" w:sz="4" w:space="0" w:color="auto"/>
              <w:bottom w:val="single" w:sz="4" w:space="0" w:color="auto"/>
              <w:right w:val="single" w:sz="4" w:space="0" w:color="auto"/>
            </w:tcBorders>
            <w:hideMark/>
          </w:tcPr>
          <w:p w14:paraId="61DAE376" w14:textId="77777777" w:rsidR="00DA3E06" w:rsidRPr="00DA3E06" w:rsidRDefault="00DA3E06" w:rsidP="00DA3E06">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sz w:val="20"/>
              </w:rPr>
            </w:pPr>
            <w:r w:rsidRPr="00DA3E06">
              <w:rPr>
                <w:rFonts w:ascii="Arial Narrow" w:eastAsia="MS Gothic" w:hAnsi="Arial Narrow" w:cs="Times New Roman"/>
                <w:bCs/>
                <w:sz w:val="20"/>
              </w:rPr>
              <w:t xml:space="preserve">Test: </w:t>
            </w:r>
            <w:proofErr w:type="spellStart"/>
            <w:r w:rsidRPr="00DA3E06">
              <w:rPr>
                <w:rFonts w:ascii="Arial Narrow" w:eastAsia="MS Gothic" w:hAnsi="Arial Narrow" w:cs="Times New Roman"/>
                <w:bCs/>
                <w:sz w:val="20"/>
              </w:rPr>
              <w:t>tumour</w:t>
            </w:r>
            <w:proofErr w:type="spellEnd"/>
            <w:r w:rsidRPr="00DA3E06">
              <w:rPr>
                <w:rFonts w:ascii="Arial Narrow" w:eastAsia="MS Gothic" w:hAnsi="Arial Narrow" w:cs="Times New Roman"/>
                <w:bCs/>
                <w:sz w:val="20"/>
              </w:rPr>
              <w:t xml:space="preserve"> tissue testing for </w:t>
            </w:r>
            <w:r w:rsidRPr="00DA3E06">
              <w:rPr>
                <w:rFonts w:ascii="Arial Narrow" w:eastAsia="MS Gothic" w:hAnsi="Arial Narrow" w:cs="Times New Roman"/>
                <w:bCs/>
                <w:i/>
                <w:iCs/>
                <w:sz w:val="20"/>
              </w:rPr>
              <w:t>FGFR2</w:t>
            </w:r>
            <w:r w:rsidRPr="00DA3E06">
              <w:rPr>
                <w:rFonts w:ascii="Arial Narrow" w:eastAsia="MS Gothic" w:hAnsi="Arial Narrow" w:cs="Times New Roman"/>
                <w:bCs/>
                <w:sz w:val="20"/>
              </w:rPr>
              <w:t xml:space="preserve"> fusions or rearrangements using RNA NGS.</w:t>
            </w:r>
          </w:p>
          <w:p w14:paraId="25551823" w14:textId="77777777" w:rsidR="00DA3E06" w:rsidRPr="00DA3E06" w:rsidRDefault="00DA3E06" w:rsidP="00DA3E06">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sz w:val="20"/>
              </w:rPr>
            </w:pPr>
            <w:r w:rsidRPr="00DA3E06">
              <w:rPr>
                <w:rFonts w:ascii="Arial Narrow" w:eastAsia="MS Gothic" w:hAnsi="Arial Narrow" w:cs="Times New Roman"/>
                <w:bCs/>
                <w:sz w:val="20"/>
              </w:rPr>
              <w:t xml:space="preserve">Alternative test: </w:t>
            </w:r>
            <w:proofErr w:type="spellStart"/>
            <w:r w:rsidRPr="00DA3E06">
              <w:rPr>
                <w:rFonts w:ascii="Arial Narrow" w:eastAsia="MS Gothic" w:hAnsi="Arial Narrow" w:cs="Times New Roman"/>
                <w:bCs/>
                <w:sz w:val="20"/>
              </w:rPr>
              <w:t>tumour</w:t>
            </w:r>
            <w:proofErr w:type="spellEnd"/>
            <w:r w:rsidRPr="00DA3E06">
              <w:rPr>
                <w:rFonts w:ascii="Arial Narrow" w:eastAsia="MS Gothic" w:hAnsi="Arial Narrow" w:cs="Times New Roman"/>
                <w:bCs/>
                <w:sz w:val="20"/>
              </w:rPr>
              <w:t xml:space="preserve"> tissue testing for </w:t>
            </w:r>
            <w:r w:rsidRPr="00DA3E06">
              <w:rPr>
                <w:rFonts w:ascii="Arial Narrow" w:eastAsia="MS Gothic" w:hAnsi="Arial Narrow" w:cs="Times New Roman"/>
                <w:bCs/>
                <w:i/>
                <w:iCs/>
                <w:sz w:val="20"/>
              </w:rPr>
              <w:t>FGFR2</w:t>
            </w:r>
            <w:r w:rsidRPr="00DA3E06">
              <w:rPr>
                <w:rFonts w:ascii="Arial Narrow" w:eastAsia="MS Gothic" w:hAnsi="Arial Narrow" w:cs="Times New Roman"/>
                <w:bCs/>
                <w:sz w:val="20"/>
              </w:rPr>
              <w:t xml:space="preserve"> gene fusions or rearrangements using FISH testing on DNA.</w:t>
            </w:r>
          </w:p>
          <w:p w14:paraId="4C8BAA44" w14:textId="77777777" w:rsidR="00DA3E06" w:rsidRPr="00DA3E06" w:rsidRDefault="00DA3E06" w:rsidP="00DA3E06">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sz w:val="20"/>
              </w:rPr>
            </w:pPr>
            <w:r w:rsidRPr="00DA3E06">
              <w:rPr>
                <w:rFonts w:ascii="Arial Narrow" w:eastAsia="MS Gothic" w:hAnsi="Arial Narrow" w:cs="Times New Roman"/>
                <w:bCs/>
                <w:sz w:val="20"/>
              </w:rPr>
              <w:t>Drug: futibatinib 20 mg (5*4 mg tablets) taken orally once daily until disease progression or unacceptable toxicity.</w:t>
            </w:r>
          </w:p>
        </w:tc>
      </w:tr>
      <w:tr w:rsidR="00DA3E06" w:rsidRPr="00DA3E06" w14:paraId="7779EF58" w14:textId="77777777">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hideMark/>
          </w:tcPr>
          <w:p w14:paraId="69F8C43C"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Comparator</w:t>
            </w:r>
          </w:p>
        </w:tc>
        <w:tc>
          <w:tcPr>
            <w:tcW w:w="7832" w:type="dxa"/>
            <w:tcBorders>
              <w:top w:val="single" w:sz="4" w:space="0" w:color="auto"/>
              <w:left w:val="single" w:sz="4" w:space="0" w:color="auto"/>
              <w:bottom w:val="single" w:sz="4" w:space="0" w:color="auto"/>
              <w:right w:val="single" w:sz="4" w:space="0" w:color="auto"/>
            </w:tcBorders>
            <w:hideMark/>
          </w:tcPr>
          <w:p w14:paraId="078D26C4" w14:textId="77777777" w:rsidR="00DA3E06" w:rsidRPr="00DA3E06" w:rsidRDefault="00DA3E06" w:rsidP="00DA3E06">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sz w:val="20"/>
              </w:rPr>
            </w:pPr>
            <w:r w:rsidRPr="00DA3E06">
              <w:rPr>
                <w:rFonts w:ascii="Arial Narrow" w:eastAsia="MS Gothic" w:hAnsi="Arial Narrow" w:cs="Times New Roman"/>
                <w:bCs/>
                <w:sz w:val="20"/>
              </w:rPr>
              <w:t xml:space="preserve">Test: no testing for </w:t>
            </w:r>
            <w:r w:rsidRPr="00DA3E06">
              <w:rPr>
                <w:rFonts w:ascii="Arial Narrow" w:eastAsia="MS Gothic" w:hAnsi="Arial Narrow" w:cs="Times New Roman"/>
                <w:bCs/>
                <w:i/>
                <w:iCs/>
                <w:sz w:val="20"/>
              </w:rPr>
              <w:t>FGFR2</w:t>
            </w:r>
            <w:r w:rsidRPr="00DA3E06">
              <w:rPr>
                <w:rFonts w:ascii="Arial Narrow" w:eastAsia="MS Gothic" w:hAnsi="Arial Narrow" w:cs="Times New Roman"/>
                <w:bCs/>
                <w:sz w:val="20"/>
              </w:rPr>
              <w:t xml:space="preserve"> fusions or rearrangements</w:t>
            </w:r>
          </w:p>
          <w:p w14:paraId="4D14CF12" w14:textId="77777777" w:rsidR="00DA3E06" w:rsidRPr="00DA3E06" w:rsidRDefault="00DA3E06" w:rsidP="00DA3E06">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sz w:val="20"/>
              </w:rPr>
            </w:pPr>
            <w:r w:rsidRPr="00DA3E06">
              <w:rPr>
                <w:rFonts w:ascii="Arial Narrow" w:eastAsia="MS Gothic" w:hAnsi="Arial Narrow" w:cs="Times New Roman"/>
                <w:bCs/>
                <w:sz w:val="20"/>
              </w:rPr>
              <w:t xml:space="preserve">Drug: </w:t>
            </w:r>
          </w:p>
          <w:p w14:paraId="3258C347" w14:textId="77777777" w:rsidR="00DA3E06" w:rsidRPr="00DA3E06" w:rsidRDefault="00DA3E06" w:rsidP="00DA3E06">
            <w:pPr>
              <w:numPr>
                <w:ilvl w:val="0"/>
                <w:numId w:val="12"/>
              </w:numPr>
              <w:ind w:left="386"/>
              <w:jc w:val="left"/>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color w:val="0D0D0D" w:themeColor="text1" w:themeTint="F2"/>
                <w:sz w:val="20"/>
              </w:rPr>
            </w:pPr>
            <w:r w:rsidRPr="00DA3E06">
              <w:rPr>
                <w:rFonts w:ascii="Arial Narrow" w:eastAsia="MS Gothic" w:hAnsi="Arial Narrow" w:cs="Times New Roman"/>
                <w:bCs/>
                <w:color w:val="0D0D0D" w:themeColor="text1" w:themeTint="F2"/>
                <w:sz w:val="20"/>
              </w:rPr>
              <w:t>primary comparator: SoC chemotherapy, represented by FOLFOX (modified FOLFOX 6 chemotherapy (oxaliplatin 85 mg/m</w:t>
            </w:r>
            <w:r w:rsidRPr="00DA3E06">
              <w:rPr>
                <w:rFonts w:ascii="Arial Narrow" w:eastAsia="MS Gothic" w:hAnsi="Arial Narrow" w:cs="Times New Roman"/>
                <w:bCs/>
                <w:color w:val="0D0D0D" w:themeColor="text1" w:themeTint="F2"/>
                <w:sz w:val="20"/>
                <w:vertAlign w:val="superscript"/>
              </w:rPr>
              <w:t>2</w:t>
            </w:r>
            <w:r w:rsidRPr="00DA3E06">
              <w:rPr>
                <w:rFonts w:ascii="Arial Narrow" w:eastAsia="MS Gothic" w:hAnsi="Arial Narrow" w:cs="Times New Roman"/>
                <w:bCs/>
                <w:color w:val="0D0D0D" w:themeColor="text1" w:themeTint="F2"/>
                <w:sz w:val="20"/>
              </w:rPr>
              <w:t>, calcium folinate 50 mg*, fluorouracil 400 mg/m</w:t>
            </w:r>
            <w:r w:rsidRPr="00DA3E06">
              <w:rPr>
                <w:rFonts w:ascii="Arial Narrow" w:eastAsia="MS Gothic" w:hAnsi="Arial Narrow" w:cs="Times New Roman"/>
                <w:bCs/>
                <w:color w:val="0D0D0D" w:themeColor="text1" w:themeTint="F2"/>
                <w:sz w:val="20"/>
                <w:vertAlign w:val="superscript"/>
              </w:rPr>
              <w:t xml:space="preserve">2 </w:t>
            </w:r>
            <w:r w:rsidRPr="00DA3E06">
              <w:rPr>
                <w:rFonts w:ascii="Arial Narrow" w:eastAsia="MS Gothic" w:hAnsi="Arial Narrow" w:cs="Times New Roman"/>
                <w:bCs/>
                <w:color w:val="0D0D0D" w:themeColor="text1" w:themeTint="F2"/>
                <w:sz w:val="20"/>
              </w:rPr>
              <w:t>bolus and 2400 mg/m2 continuous infusion over 46 hours; every 14 days for up to 12 cycles).</w:t>
            </w:r>
          </w:p>
          <w:p w14:paraId="12483730" w14:textId="77777777" w:rsidR="00DA3E06" w:rsidRPr="00DA3E06" w:rsidRDefault="00DA3E06" w:rsidP="00DA3E06">
            <w:pPr>
              <w:numPr>
                <w:ilvl w:val="0"/>
                <w:numId w:val="12"/>
              </w:numPr>
              <w:ind w:left="386"/>
              <w:jc w:val="left"/>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sz w:val="20"/>
              </w:rPr>
            </w:pPr>
            <w:r w:rsidRPr="00DA3E06">
              <w:rPr>
                <w:rFonts w:ascii="Arial Narrow" w:eastAsia="MS Gothic" w:hAnsi="Arial Narrow" w:cs="Times New Roman"/>
                <w:bCs/>
                <w:color w:val="0D0D0D" w:themeColor="text1" w:themeTint="F2"/>
                <w:sz w:val="20"/>
              </w:rPr>
              <w:t>Secondary comparator: palliative care (with active symptom control).</w:t>
            </w:r>
          </w:p>
        </w:tc>
      </w:tr>
      <w:tr w:rsidR="00DA3E06" w:rsidRPr="00DA3E06" w14:paraId="6B9890E6" w14:textId="77777777">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hideMark/>
          </w:tcPr>
          <w:p w14:paraId="1BE00B0B"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Outcomes</w:t>
            </w:r>
          </w:p>
        </w:tc>
        <w:tc>
          <w:tcPr>
            <w:tcW w:w="7832" w:type="dxa"/>
            <w:tcBorders>
              <w:top w:val="single" w:sz="4" w:space="0" w:color="auto"/>
              <w:left w:val="single" w:sz="4" w:space="0" w:color="auto"/>
              <w:bottom w:val="single" w:sz="4" w:space="0" w:color="auto"/>
              <w:right w:val="single" w:sz="4" w:space="0" w:color="auto"/>
            </w:tcBorders>
            <w:hideMark/>
          </w:tcPr>
          <w:p w14:paraId="7D145313" w14:textId="77777777" w:rsidR="00DA3E06" w:rsidRPr="00DA3E06" w:rsidRDefault="00DA3E06" w:rsidP="00DA3E06">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sz w:val="20"/>
              </w:rPr>
            </w:pPr>
            <w:r w:rsidRPr="00DA3E06">
              <w:rPr>
                <w:rFonts w:ascii="Arial Narrow" w:eastAsia="MS Gothic" w:hAnsi="Arial Narrow" w:cs="Times New Roman"/>
                <w:bCs/>
                <w:sz w:val="20"/>
              </w:rPr>
              <w:t>Test: diagnostic yield, prognostic impact, treatment effect modification, reliability of testing, concordance between proposed testing method and clinical utility standard.</w:t>
            </w:r>
          </w:p>
          <w:p w14:paraId="0FC3F4F2" w14:textId="77777777" w:rsidR="00DA3E06" w:rsidRPr="00DA3E06" w:rsidRDefault="00DA3E06" w:rsidP="00DA3E06">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sz w:val="20"/>
              </w:rPr>
            </w:pPr>
            <w:r w:rsidRPr="00DA3E06">
              <w:rPr>
                <w:rFonts w:ascii="Arial Narrow" w:eastAsia="MS Gothic" w:hAnsi="Arial Narrow" w:cs="Times New Roman"/>
                <w:bCs/>
                <w:sz w:val="20"/>
              </w:rPr>
              <w:t>Drug: PFS, OS, ORR, HRQoL, safety.</w:t>
            </w:r>
          </w:p>
        </w:tc>
      </w:tr>
      <w:tr w:rsidR="00DA3E06" w:rsidRPr="00DA3E06" w14:paraId="19877377" w14:textId="77777777">
        <w:tc>
          <w:tcPr>
            <w:cnfStyle w:val="001000000000" w:firstRow="0" w:lastRow="0" w:firstColumn="1" w:lastColumn="0" w:oddVBand="0" w:evenVBand="0" w:oddHBand="0" w:evenHBand="0" w:firstRowFirstColumn="0" w:firstRowLastColumn="0" w:lastRowFirstColumn="0" w:lastRowLastColumn="0"/>
            <w:tcW w:w="1184" w:type="dxa"/>
            <w:tcBorders>
              <w:top w:val="single" w:sz="4" w:space="0" w:color="auto"/>
              <w:left w:val="single" w:sz="4" w:space="0" w:color="auto"/>
              <w:bottom w:val="single" w:sz="4" w:space="0" w:color="auto"/>
              <w:right w:val="single" w:sz="4" w:space="0" w:color="auto"/>
            </w:tcBorders>
            <w:hideMark/>
          </w:tcPr>
          <w:p w14:paraId="56FBAF1B"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Clinical claim</w:t>
            </w:r>
          </w:p>
        </w:tc>
        <w:tc>
          <w:tcPr>
            <w:tcW w:w="7832" w:type="dxa"/>
            <w:tcBorders>
              <w:top w:val="single" w:sz="4" w:space="0" w:color="auto"/>
              <w:left w:val="single" w:sz="4" w:space="0" w:color="auto"/>
              <w:bottom w:val="single" w:sz="4" w:space="0" w:color="auto"/>
              <w:right w:val="single" w:sz="4" w:space="0" w:color="auto"/>
            </w:tcBorders>
            <w:hideMark/>
          </w:tcPr>
          <w:p w14:paraId="107979DA" w14:textId="77777777" w:rsidR="00DA3E06" w:rsidRPr="00DA3E06" w:rsidRDefault="00DA3E06" w:rsidP="00DA3E06">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sz w:val="20"/>
              </w:rPr>
            </w:pPr>
            <w:r w:rsidRPr="00DA3E06">
              <w:rPr>
                <w:rFonts w:ascii="Arial Narrow" w:eastAsia="MS Gothic" w:hAnsi="Arial Narrow" w:cs="Times New Roman"/>
                <w:bCs/>
                <w:sz w:val="20"/>
              </w:rPr>
              <w:t xml:space="preserve">Main claim: in patients with locally advanced or metastatic CCA with a </w:t>
            </w:r>
            <w:r w:rsidRPr="00DA3E06">
              <w:rPr>
                <w:rFonts w:ascii="Arial Narrow" w:eastAsia="MS Gothic" w:hAnsi="Arial Narrow" w:cs="Times New Roman"/>
                <w:bCs/>
                <w:i/>
                <w:iCs/>
                <w:sz w:val="20"/>
              </w:rPr>
              <w:t>FGFR2</w:t>
            </w:r>
            <w:r w:rsidRPr="00DA3E06">
              <w:rPr>
                <w:rFonts w:ascii="Arial Narrow" w:eastAsia="MS Gothic" w:hAnsi="Arial Narrow" w:cs="Times New Roman"/>
                <w:bCs/>
                <w:sz w:val="20"/>
              </w:rPr>
              <w:t xml:space="preserve"> fusion or rearrangement, identified by </w:t>
            </w:r>
            <w:proofErr w:type="spellStart"/>
            <w:r w:rsidRPr="00DA3E06">
              <w:rPr>
                <w:rFonts w:ascii="Arial Narrow" w:eastAsia="MS Gothic" w:hAnsi="Arial Narrow" w:cs="Times New Roman"/>
                <w:bCs/>
                <w:sz w:val="20"/>
              </w:rPr>
              <w:t>tumour</w:t>
            </w:r>
            <w:proofErr w:type="spellEnd"/>
            <w:r w:rsidRPr="00DA3E06">
              <w:rPr>
                <w:rFonts w:ascii="Arial Narrow" w:eastAsia="MS Gothic" w:hAnsi="Arial Narrow" w:cs="Times New Roman"/>
                <w:bCs/>
                <w:sz w:val="20"/>
              </w:rPr>
              <w:t xml:space="preserve"> tissue testing, that have progressed after at least one prior line of systemic therapy, futibatinib is superior in terms of efficacy (OS, PFS and ORR) and safety, compared to FOLFOX.</w:t>
            </w:r>
          </w:p>
          <w:p w14:paraId="1F4447E9" w14:textId="77777777" w:rsidR="00DA3E06" w:rsidRPr="00DA3E06" w:rsidRDefault="00DA3E06" w:rsidP="00DA3E06">
            <w:pPr>
              <w:keepNext/>
              <w:keepLines/>
              <w:jc w:val="left"/>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sz w:val="20"/>
              </w:rPr>
            </w:pPr>
            <w:r w:rsidRPr="00DA3E06">
              <w:rPr>
                <w:rFonts w:ascii="Arial Narrow" w:eastAsia="MS Gothic" w:hAnsi="Arial Narrow" w:cs="Times New Roman"/>
                <w:bCs/>
                <w:sz w:val="20"/>
              </w:rPr>
              <w:t xml:space="preserve">Secondary claim: In adult patients with locally advanced or metastatic CCA with </w:t>
            </w:r>
            <w:r w:rsidRPr="00DA3E06">
              <w:rPr>
                <w:rFonts w:ascii="Arial Narrow" w:eastAsia="MS Gothic" w:hAnsi="Arial Narrow" w:cs="Times New Roman"/>
                <w:bCs/>
                <w:i/>
                <w:iCs/>
                <w:sz w:val="20"/>
              </w:rPr>
              <w:t>FGFR2</w:t>
            </w:r>
            <w:r w:rsidRPr="00DA3E06">
              <w:rPr>
                <w:rFonts w:ascii="Arial Narrow" w:eastAsia="MS Gothic" w:hAnsi="Arial Narrow" w:cs="Times New Roman"/>
                <w:bCs/>
                <w:sz w:val="20"/>
              </w:rPr>
              <w:t xml:space="preserve"> fusions or rearrangements, identified by </w:t>
            </w:r>
            <w:proofErr w:type="spellStart"/>
            <w:r w:rsidRPr="00DA3E06">
              <w:rPr>
                <w:rFonts w:ascii="Arial Narrow" w:eastAsia="MS Gothic" w:hAnsi="Arial Narrow" w:cs="Times New Roman"/>
                <w:bCs/>
                <w:sz w:val="20"/>
              </w:rPr>
              <w:t>tumour</w:t>
            </w:r>
            <w:proofErr w:type="spellEnd"/>
            <w:r w:rsidRPr="00DA3E06">
              <w:rPr>
                <w:rFonts w:ascii="Arial Narrow" w:eastAsia="MS Gothic" w:hAnsi="Arial Narrow" w:cs="Times New Roman"/>
                <w:bCs/>
                <w:sz w:val="20"/>
              </w:rPr>
              <w:t xml:space="preserve"> tissue testing, that have progressed after at least one prior line of systemic therapy, futibatinib is superior in terms of efficacy (OS, PFS and ORR), compared to palliative care (with ASC), with a different safety profile that is manageable.</w:t>
            </w:r>
          </w:p>
        </w:tc>
      </w:tr>
    </w:tbl>
    <w:p w14:paraId="7C654A15" w14:textId="0220EF2B" w:rsidR="00DA3E06" w:rsidRPr="00DA3E06" w:rsidRDefault="00DA3E06" w:rsidP="00DA3E06">
      <w:pPr>
        <w:snapToGrid w:val="0"/>
        <w:spacing w:after="120"/>
        <w:contextualSpacing/>
        <w:rPr>
          <w:rFonts w:ascii="Arial Narrow" w:hAnsi="Arial Narrow" w:cs="Arial"/>
          <w:sz w:val="18"/>
          <w:szCs w:val="22"/>
        </w:rPr>
      </w:pPr>
      <w:r w:rsidRPr="00DA3E06">
        <w:rPr>
          <w:rFonts w:ascii="Arial Narrow" w:hAnsi="Arial Narrow" w:cs="Arial"/>
          <w:sz w:val="18"/>
          <w:szCs w:val="22"/>
        </w:rPr>
        <w:t>Source: Table 1, futibatinib minutes, March 2025 PBAC meeting</w:t>
      </w:r>
    </w:p>
    <w:p w14:paraId="54D80E20" w14:textId="77777777" w:rsidR="00DA3E06" w:rsidRPr="00DA3E06" w:rsidRDefault="00DA3E06" w:rsidP="00DA3E06">
      <w:pPr>
        <w:snapToGrid w:val="0"/>
        <w:spacing w:after="120"/>
        <w:contextualSpacing/>
        <w:rPr>
          <w:rFonts w:ascii="Arial Narrow" w:hAnsi="Arial Narrow" w:cs="Arial"/>
          <w:sz w:val="18"/>
          <w:szCs w:val="22"/>
        </w:rPr>
      </w:pPr>
      <w:r w:rsidRPr="00DA3E06">
        <w:rPr>
          <w:rFonts w:ascii="Arial Narrow" w:hAnsi="Arial Narrow" w:cs="Arial"/>
          <w:sz w:val="18"/>
          <w:szCs w:val="22"/>
        </w:rPr>
        <w:t xml:space="preserve">DNA = deoxyribonucleic acid; CCA = cholangiocarcinoma; </w:t>
      </w:r>
      <w:r w:rsidRPr="00DA3E06">
        <w:rPr>
          <w:rFonts w:ascii="Arial Narrow" w:hAnsi="Arial Narrow" w:cs="Arial"/>
          <w:i/>
          <w:iCs/>
          <w:sz w:val="18"/>
          <w:szCs w:val="22"/>
        </w:rPr>
        <w:t>FGFR2</w:t>
      </w:r>
      <w:r w:rsidRPr="00DA3E06">
        <w:rPr>
          <w:rFonts w:ascii="Arial Narrow" w:hAnsi="Arial Narrow" w:cs="Arial"/>
          <w:sz w:val="18"/>
          <w:szCs w:val="22"/>
        </w:rPr>
        <w:t xml:space="preserve"> = fibroblast growth factor receptor 2; FISH = fluorescence in situ hybridisation; HRQoL= health related quality of life; NGS = with next-generation sequencing; ORR = objective response rate: OS = overall survival; PFS = progression free survival; RNA = ribonucleic acid; SoC = standard of care</w:t>
      </w:r>
    </w:p>
    <w:p w14:paraId="7FA2BD42" w14:textId="77777777" w:rsidR="00DA3E06" w:rsidRPr="00DA3E06" w:rsidRDefault="00DA3E06" w:rsidP="00DA3E06">
      <w:pPr>
        <w:snapToGrid w:val="0"/>
        <w:spacing w:after="120"/>
        <w:contextualSpacing/>
        <w:rPr>
          <w:rFonts w:ascii="Arial Narrow" w:hAnsi="Arial Narrow" w:cs="Arial"/>
          <w:sz w:val="18"/>
          <w:szCs w:val="22"/>
        </w:rPr>
      </w:pPr>
    </w:p>
    <w:p w14:paraId="214392CD" w14:textId="77777777" w:rsidR="00DA3E06" w:rsidRPr="00DA3E06" w:rsidRDefault="00DA3E06" w:rsidP="00DA3E06">
      <w:pPr>
        <w:rPr>
          <w:i/>
        </w:rPr>
      </w:pPr>
      <w:bookmarkStart w:id="2" w:name="_Hlk76375324"/>
      <w:r w:rsidRPr="00DA3E06">
        <w:rPr>
          <w:i/>
        </w:rPr>
        <w:t>For more detail on PBAC’s view, see section 5 PBAC outcome.</w:t>
      </w:r>
    </w:p>
    <w:bookmarkEnd w:id="2"/>
    <w:p w14:paraId="386385D5" w14:textId="77777777" w:rsidR="00DA3E06" w:rsidRPr="00DA3E06" w:rsidRDefault="00DA3E06" w:rsidP="00DA3E06">
      <w:pPr>
        <w:snapToGrid w:val="0"/>
        <w:spacing w:after="120"/>
        <w:contextualSpacing/>
        <w:rPr>
          <w:rFonts w:ascii="Arial Narrow" w:hAnsi="Arial Narrow" w:cs="Arial"/>
          <w:sz w:val="18"/>
          <w:szCs w:val="22"/>
        </w:rPr>
      </w:pPr>
    </w:p>
    <w:p w14:paraId="5D122188" w14:textId="77777777" w:rsidR="00DA3E06" w:rsidRPr="00DA3E06" w:rsidRDefault="00DA3E06" w:rsidP="00DA3E06">
      <w:pPr>
        <w:keepNext/>
        <w:numPr>
          <w:ilvl w:val="0"/>
          <w:numId w:val="9"/>
        </w:numPr>
        <w:snapToGrid w:val="0"/>
        <w:spacing w:before="240" w:after="120"/>
        <w:jc w:val="left"/>
        <w:outlineLvl w:val="0"/>
        <w:rPr>
          <w:rFonts w:cs="Arial"/>
          <w:b/>
          <w:sz w:val="32"/>
          <w:szCs w:val="32"/>
        </w:rPr>
      </w:pPr>
      <w:bookmarkStart w:id="3" w:name="_Ref222404506"/>
      <w:r w:rsidRPr="00DA3E06">
        <w:rPr>
          <w:rFonts w:cs="Arial"/>
          <w:b/>
          <w:sz w:val="32"/>
          <w:szCs w:val="32"/>
        </w:rPr>
        <w:t>Requested listing</w:t>
      </w:r>
      <w:bookmarkEnd w:id="3"/>
      <w:r w:rsidRPr="00DA3E06">
        <w:rPr>
          <w:rFonts w:cs="Arial"/>
          <w:b/>
          <w:sz w:val="32"/>
          <w:szCs w:val="32"/>
        </w:rPr>
        <w:t xml:space="preserve"> </w:t>
      </w:r>
    </w:p>
    <w:p w14:paraId="1B9D407D" w14:textId="77777777" w:rsidR="00DA3E06" w:rsidRPr="00DA3E06" w:rsidRDefault="00DA3E06" w:rsidP="00DA3E06">
      <w:pPr>
        <w:numPr>
          <w:ilvl w:val="1"/>
          <w:numId w:val="9"/>
        </w:numPr>
        <w:spacing w:after="120"/>
        <w:rPr>
          <w:rFonts w:eastAsia="Calibri" w:cs="Arial"/>
          <w:snapToGrid w:val="0"/>
          <w:color w:val="0D0D0D" w:themeColor="text1" w:themeTint="F2"/>
          <w:szCs w:val="22"/>
        </w:rPr>
      </w:pPr>
      <w:r w:rsidRPr="00DA3E06">
        <w:rPr>
          <w:rFonts w:eastAsia="Calibri" w:cs="Arial"/>
          <w:snapToGrid w:val="0"/>
          <w:szCs w:val="22"/>
        </w:rPr>
        <w:t xml:space="preserve">The resubmission accepted amendments to the PBS restriction as proposed by the Secretariat. </w:t>
      </w:r>
    </w:p>
    <w:tbl>
      <w:tblPr>
        <w:tblStyle w:val="PBACTableStyle1"/>
        <w:tblW w:w="5000" w:type="pct"/>
        <w:tblInd w:w="0" w:type="dxa"/>
        <w:tblLook w:val="04A0" w:firstRow="1" w:lastRow="0" w:firstColumn="1" w:lastColumn="0" w:noHBand="0" w:noVBand="1"/>
        <w:tblCaption w:val="Requested listing"/>
      </w:tblPr>
      <w:tblGrid>
        <w:gridCol w:w="2112"/>
        <w:gridCol w:w="1352"/>
        <w:gridCol w:w="1334"/>
        <w:gridCol w:w="983"/>
        <w:gridCol w:w="1645"/>
        <w:gridCol w:w="1590"/>
      </w:tblGrid>
      <w:tr w:rsidR="00DA3E06" w:rsidRPr="00DA3E06" w14:paraId="7C9B344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Borders>
              <w:top w:val="single" w:sz="4" w:space="0" w:color="auto"/>
              <w:left w:val="single" w:sz="4" w:space="0" w:color="auto"/>
              <w:bottom w:val="single" w:sz="4" w:space="0" w:color="auto"/>
              <w:right w:val="single" w:sz="4" w:space="0" w:color="auto"/>
            </w:tcBorders>
            <w:hideMark/>
          </w:tcPr>
          <w:p w14:paraId="7ABFCC54" w14:textId="77777777" w:rsidR="00DA3E06" w:rsidRPr="00DA3E06" w:rsidRDefault="00DA3E06" w:rsidP="00DA3E06">
            <w:pPr>
              <w:keepNext/>
              <w:keepLines/>
              <w:ind w:right="57"/>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lastRenderedPageBreak/>
              <w:t>Name, restriction, manner of administration, form</w:t>
            </w:r>
          </w:p>
        </w:tc>
        <w:tc>
          <w:tcPr>
            <w:tcW w:w="750" w:type="pct"/>
            <w:tcBorders>
              <w:top w:val="single" w:sz="4" w:space="0" w:color="auto"/>
              <w:left w:val="single" w:sz="4" w:space="0" w:color="auto"/>
              <w:bottom w:val="single" w:sz="4" w:space="0" w:color="auto"/>
              <w:right w:val="single" w:sz="4" w:space="0" w:color="auto"/>
            </w:tcBorders>
            <w:hideMark/>
          </w:tcPr>
          <w:p w14:paraId="2B0EB950" w14:textId="77777777" w:rsidR="00DA3E06" w:rsidRPr="00DA3E06" w:rsidRDefault="00DA3E06" w:rsidP="00DA3E06">
            <w:pPr>
              <w:keepNext/>
              <w:keepLines/>
              <w:ind w:right="57"/>
              <w:jc w:val="center"/>
              <w:cnfStyle w:val="100000000000" w:firstRow="1" w:lastRow="0" w:firstColumn="0" w:lastColumn="0" w:oddVBand="0" w:evenVBand="0" w:oddHBand="0" w:evenHBand="0" w:firstRowFirstColumn="0" w:firstRowLastColumn="0" w:lastRowFirstColumn="0" w:lastRowLastColumn="0"/>
              <w:rPr>
                <w:rFonts w:ascii="Arial Narrow" w:eastAsia="MS Gothic" w:hAnsi="Arial Narrow" w:cs="Times New Roman" w:hint="default"/>
                <w:bCs/>
                <w:sz w:val="20"/>
              </w:rPr>
            </w:pPr>
            <w:r w:rsidRPr="00DA3E06">
              <w:rPr>
                <w:rFonts w:ascii="Arial Narrow" w:eastAsia="MS Gothic" w:hAnsi="Arial Narrow" w:cs="Times New Roman" w:hint="default"/>
                <w:bCs/>
                <w:sz w:val="20"/>
              </w:rPr>
              <w:t>Maximum quantity (packs)</w:t>
            </w:r>
          </w:p>
        </w:tc>
        <w:tc>
          <w:tcPr>
            <w:tcW w:w="740" w:type="pct"/>
            <w:tcBorders>
              <w:top w:val="single" w:sz="4" w:space="0" w:color="auto"/>
              <w:left w:val="single" w:sz="4" w:space="0" w:color="auto"/>
              <w:bottom w:val="single" w:sz="4" w:space="0" w:color="auto"/>
              <w:right w:val="single" w:sz="4" w:space="0" w:color="auto"/>
            </w:tcBorders>
            <w:hideMark/>
          </w:tcPr>
          <w:p w14:paraId="6EE80335" w14:textId="77777777" w:rsidR="00DA3E06" w:rsidRPr="00DA3E06" w:rsidRDefault="00DA3E06" w:rsidP="00DA3E06">
            <w:pPr>
              <w:keepNext/>
              <w:keepLines/>
              <w:ind w:right="57"/>
              <w:jc w:val="center"/>
              <w:cnfStyle w:val="100000000000" w:firstRow="1" w:lastRow="0" w:firstColumn="0" w:lastColumn="0" w:oddVBand="0" w:evenVBand="0" w:oddHBand="0" w:evenHBand="0" w:firstRowFirstColumn="0" w:firstRowLastColumn="0" w:lastRowFirstColumn="0" w:lastRowLastColumn="0"/>
              <w:rPr>
                <w:rFonts w:ascii="Arial Narrow" w:eastAsia="MS Gothic" w:hAnsi="Arial Narrow" w:cs="Times New Roman" w:hint="default"/>
                <w:bCs/>
                <w:sz w:val="20"/>
              </w:rPr>
            </w:pPr>
            <w:r w:rsidRPr="00DA3E06">
              <w:rPr>
                <w:rFonts w:ascii="Arial Narrow" w:eastAsia="MS Gothic" w:hAnsi="Arial Narrow" w:cs="Times New Roman" w:hint="default"/>
                <w:bCs/>
                <w:sz w:val="20"/>
              </w:rPr>
              <w:t>Maximum quantity (units)</w:t>
            </w:r>
          </w:p>
        </w:tc>
        <w:tc>
          <w:tcPr>
            <w:tcW w:w="545" w:type="pct"/>
            <w:tcBorders>
              <w:top w:val="single" w:sz="4" w:space="0" w:color="auto"/>
              <w:left w:val="single" w:sz="4" w:space="0" w:color="auto"/>
              <w:bottom w:val="single" w:sz="4" w:space="0" w:color="auto"/>
              <w:right w:val="single" w:sz="4" w:space="0" w:color="auto"/>
            </w:tcBorders>
            <w:hideMark/>
          </w:tcPr>
          <w:p w14:paraId="55CFFD97" w14:textId="77777777" w:rsidR="00DA3E06" w:rsidRPr="00DA3E06" w:rsidRDefault="00DA3E06" w:rsidP="00DA3E06">
            <w:pPr>
              <w:keepNext/>
              <w:keepLines/>
              <w:ind w:right="57"/>
              <w:jc w:val="center"/>
              <w:cnfStyle w:val="100000000000" w:firstRow="1" w:lastRow="0" w:firstColumn="0" w:lastColumn="0" w:oddVBand="0" w:evenVBand="0" w:oddHBand="0" w:evenHBand="0" w:firstRowFirstColumn="0" w:firstRowLastColumn="0" w:lastRowFirstColumn="0" w:lastRowLastColumn="0"/>
              <w:rPr>
                <w:rFonts w:ascii="Arial Narrow" w:eastAsia="MS Gothic" w:hAnsi="Arial Narrow" w:cs="Times New Roman" w:hint="default"/>
                <w:bCs/>
                <w:sz w:val="20"/>
              </w:rPr>
            </w:pPr>
            <w:r w:rsidRPr="00DA3E06">
              <w:rPr>
                <w:rFonts w:ascii="Arial Narrow" w:eastAsia="MS Gothic" w:hAnsi="Arial Narrow" w:cs="Times New Roman" w:hint="default"/>
                <w:bCs/>
                <w:sz w:val="20"/>
              </w:rPr>
              <w:t>No. of repeats</w:t>
            </w:r>
          </w:p>
        </w:tc>
        <w:tc>
          <w:tcPr>
            <w:tcW w:w="912" w:type="pct"/>
            <w:tcBorders>
              <w:top w:val="single" w:sz="4" w:space="0" w:color="auto"/>
              <w:left w:val="single" w:sz="4" w:space="0" w:color="auto"/>
              <w:bottom w:val="single" w:sz="4" w:space="0" w:color="auto"/>
              <w:right w:val="single" w:sz="4" w:space="0" w:color="auto"/>
            </w:tcBorders>
            <w:hideMark/>
          </w:tcPr>
          <w:p w14:paraId="27407514" w14:textId="77777777" w:rsidR="00DA3E06" w:rsidRPr="00DA3E06" w:rsidRDefault="00DA3E06" w:rsidP="00DA3E06">
            <w:pPr>
              <w:keepNext/>
              <w:keepLines/>
              <w:ind w:right="57"/>
              <w:jc w:val="center"/>
              <w:cnfStyle w:val="100000000000" w:firstRow="1" w:lastRow="0" w:firstColumn="0" w:lastColumn="0" w:oddVBand="0" w:evenVBand="0" w:oddHBand="0" w:evenHBand="0" w:firstRowFirstColumn="0" w:firstRowLastColumn="0" w:lastRowFirstColumn="0" w:lastRowLastColumn="0"/>
              <w:rPr>
                <w:rFonts w:ascii="Arial Narrow" w:eastAsia="MS Gothic" w:hAnsi="Arial Narrow" w:cs="Times New Roman" w:hint="default"/>
                <w:bCs/>
                <w:sz w:val="20"/>
              </w:rPr>
            </w:pPr>
            <w:r w:rsidRPr="00DA3E06">
              <w:rPr>
                <w:rFonts w:ascii="Arial Narrow" w:eastAsia="MS Gothic" w:hAnsi="Arial Narrow" w:cs="Times New Roman" w:hint="default"/>
                <w:bCs/>
                <w:sz w:val="20"/>
              </w:rPr>
              <w:t>Dispensed price for maximum quantity</w:t>
            </w:r>
          </w:p>
        </w:tc>
        <w:tc>
          <w:tcPr>
            <w:tcW w:w="882" w:type="pct"/>
            <w:tcBorders>
              <w:top w:val="single" w:sz="4" w:space="0" w:color="auto"/>
              <w:left w:val="single" w:sz="4" w:space="0" w:color="auto"/>
              <w:bottom w:val="single" w:sz="4" w:space="0" w:color="auto"/>
              <w:right w:val="single" w:sz="4" w:space="0" w:color="auto"/>
            </w:tcBorders>
            <w:hideMark/>
          </w:tcPr>
          <w:p w14:paraId="6ED85754" w14:textId="77777777" w:rsidR="00DA3E06" w:rsidRPr="00DA3E06" w:rsidRDefault="00DA3E06" w:rsidP="00DA3E06">
            <w:pPr>
              <w:keepNext/>
              <w:keepLines/>
              <w:ind w:right="57"/>
              <w:jc w:val="center"/>
              <w:cnfStyle w:val="100000000000" w:firstRow="1" w:lastRow="0" w:firstColumn="0" w:lastColumn="0" w:oddVBand="0" w:evenVBand="0" w:oddHBand="0" w:evenHBand="0" w:firstRowFirstColumn="0" w:firstRowLastColumn="0" w:lastRowFirstColumn="0" w:lastRowLastColumn="0"/>
              <w:rPr>
                <w:rFonts w:ascii="Arial Narrow" w:eastAsia="MS Gothic" w:hAnsi="Arial Narrow" w:cs="Times New Roman" w:hint="default"/>
                <w:bCs/>
                <w:sz w:val="20"/>
              </w:rPr>
            </w:pPr>
            <w:r w:rsidRPr="00DA3E06">
              <w:rPr>
                <w:rFonts w:ascii="Arial Narrow" w:eastAsia="MS Gothic" w:hAnsi="Arial Narrow" w:cs="Times New Roman" w:hint="default"/>
                <w:bCs/>
                <w:sz w:val="20"/>
              </w:rPr>
              <w:t>Proprietary name and manufacturer</w:t>
            </w:r>
          </w:p>
        </w:tc>
      </w:tr>
      <w:tr w:rsidR="00DA3E06" w:rsidRPr="00DA3E06" w14:paraId="15D0D5F0" w14:textId="77777777">
        <w:tc>
          <w:tcPr>
            <w:cnfStyle w:val="001000000000" w:firstRow="0" w:lastRow="0" w:firstColumn="1" w:lastColumn="0" w:oddVBand="0" w:evenVBand="0" w:oddHBand="0" w:evenHBand="0" w:firstRowFirstColumn="0" w:firstRowLastColumn="0" w:lastRowFirstColumn="0" w:lastRowLastColumn="0"/>
            <w:tcW w:w="1171" w:type="pct"/>
            <w:tcBorders>
              <w:top w:val="single" w:sz="4" w:space="0" w:color="auto"/>
              <w:left w:val="single" w:sz="4" w:space="0" w:color="auto"/>
              <w:bottom w:val="single" w:sz="4" w:space="0" w:color="auto"/>
              <w:right w:val="single" w:sz="4" w:space="0" w:color="auto"/>
            </w:tcBorders>
            <w:hideMark/>
          </w:tcPr>
          <w:p w14:paraId="6930ED31"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FUTIBATINIB</w:t>
            </w:r>
          </w:p>
          <w:p w14:paraId="15085E93" w14:textId="77777777" w:rsidR="00DA3E06" w:rsidRPr="00DA3E06" w:rsidRDefault="00DA3E06" w:rsidP="00DA3E06">
            <w:pPr>
              <w:keepNext/>
              <w:keepLines/>
              <w:jc w:val="center"/>
              <w:rPr>
                <w:rFonts w:ascii="Arial Narrow" w:eastAsia="MS Gothic" w:hAnsi="Arial Narrow" w:cs="Times New Roman" w:hint="default"/>
                <w:sz w:val="20"/>
              </w:rPr>
            </w:pPr>
            <w:r w:rsidRPr="00DA3E06">
              <w:rPr>
                <w:rFonts w:ascii="Arial Narrow" w:eastAsia="MS Gothic" w:hAnsi="Arial Narrow" w:cs="Times New Roman" w:hint="default"/>
                <w:bCs/>
                <w:sz w:val="20"/>
              </w:rPr>
              <w:t>4 mg tablets, 35</w:t>
            </w:r>
          </w:p>
        </w:tc>
        <w:tc>
          <w:tcPr>
            <w:tcW w:w="750" w:type="pct"/>
            <w:tcBorders>
              <w:top w:val="single" w:sz="4" w:space="0" w:color="auto"/>
              <w:left w:val="single" w:sz="4" w:space="0" w:color="auto"/>
              <w:bottom w:val="single" w:sz="4" w:space="0" w:color="auto"/>
              <w:right w:val="single" w:sz="4" w:space="0" w:color="auto"/>
            </w:tcBorders>
            <w:hideMark/>
          </w:tcPr>
          <w:p w14:paraId="7D20E4D9" w14:textId="77777777" w:rsidR="00DA3E06" w:rsidRPr="00DA3E06" w:rsidRDefault="00DA3E06" w:rsidP="00DA3E06">
            <w:pPr>
              <w:keepNext/>
              <w:keepLines/>
              <w:jc w:val="center"/>
              <w:cnfStyle w:val="000000000000" w:firstRow="0" w:lastRow="0" w:firstColumn="0" w:lastColumn="0" w:oddVBand="0" w:evenVBand="0" w:oddHBand="0" w:evenHBand="0" w:firstRowFirstColumn="0" w:firstRowLastColumn="0" w:lastRowFirstColumn="0" w:lastRowLastColumn="0"/>
              <w:rPr>
                <w:rFonts w:ascii="Times" w:eastAsia="MS Gothic" w:hAnsi="Times" w:cs="Times New Roman"/>
                <w:bCs/>
                <w:sz w:val="20"/>
              </w:rPr>
            </w:pPr>
            <w:r w:rsidRPr="00DA3E06">
              <w:rPr>
                <w:rFonts w:ascii="Arial Narrow" w:eastAsia="MS Gothic" w:hAnsi="Arial Narrow" w:cs="Times New Roman"/>
                <w:bCs/>
                <w:sz w:val="20"/>
              </w:rPr>
              <w:t>4</w:t>
            </w:r>
          </w:p>
        </w:tc>
        <w:tc>
          <w:tcPr>
            <w:tcW w:w="740" w:type="pct"/>
            <w:tcBorders>
              <w:top w:val="single" w:sz="4" w:space="0" w:color="auto"/>
              <w:left w:val="single" w:sz="4" w:space="0" w:color="auto"/>
              <w:bottom w:val="single" w:sz="4" w:space="0" w:color="auto"/>
              <w:right w:val="single" w:sz="4" w:space="0" w:color="auto"/>
            </w:tcBorders>
            <w:hideMark/>
          </w:tcPr>
          <w:p w14:paraId="71F8428E" w14:textId="77777777" w:rsidR="00DA3E06" w:rsidRPr="00DA3E06" w:rsidRDefault="00DA3E06" w:rsidP="00DA3E06">
            <w:pPr>
              <w:keepNext/>
              <w:keepLines/>
              <w:jc w:val="center"/>
              <w:cnfStyle w:val="000000000000" w:firstRow="0" w:lastRow="0" w:firstColumn="0" w:lastColumn="0" w:oddVBand="0" w:evenVBand="0" w:oddHBand="0" w:evenHBand="0" w:firstRowFirstColumn="0" w:firstRowLastColumn="0" w:lastRowFirstColumn="0" w:lastRowLastColumn="0"/>
              <w:rPr>
                <w:rFonts w:ascii="Times" w:eastAsia="MS Gothic" w:hAnsi="Times" w:cs="Times New Roman"/>
                <w:bCs/>
                <w:sz w:val="20"/>
              </w:rPr>
            </w:pPr>
            <w:r w:rsidRPr="00DA3E06">
              <w:rPr>
                <w:rFonts w:ascii="Arial Narrow" w:eastAsia="MS Gothic" w:hAnsi="Arial Narrow" w:cs="Times New Roman"/>
                <w:bCs/>
                <w:sz w:val="20"/>
              </w:rPr>
              <w:t>140</w:t>
            </w:r>
          </w:p>
        </w:tc>
        <w:tc>
          <w:tcPr>
            <w:tcW w:w="545" w:type="pct"/>
            <w:tcBorders>
              <w:top w:val="single" w:sz="4" w:space="0" w:color="auto"/>
              <w:left w:val="single" w:sz="4" w:space="0" w:color="auto"/>
              <w:bottom w:val="single" w:sz="4" w:space="0" w:color="auto"/>
              <w:right w:val="single" w:sz="4" w:space="0" w:color="auto"/>
            </w:tcBorders>
            <w:hideMark/>
          </w:tcPr>
          <w:p w14:paraId="5C1E26D0" w14:textId="77777777" w:rsidR="00DA3E06" w:rsidRPr="00DA3E06" w:rsidRDefault="00DA3E06" w:rsidP="00DA3E06">
            <w:pPr>
              <w:keepNext/>
              <w:keepLines/>
              <w:jc w:val="center"/>
              <w:cnfStyle w:val="000000000000" w:firstRow="0" w:lastRow="0" w:firstColumn="0" w:lastColumn="0" w:oddVBand="0" w:evenVBand="0" w:oddHBand="0" w:evenHBand="0" w:firstRowFirstColumn="0" w:firstRowLastColumn="0" w:lastRowFirstColumn="0" w:lastRowLastColumn="0"/>
              <w:rPr>
                <w:rFonts w:ascii="Times" w:eastAsia="MS Gothic" w:hAnsi="Times" w:cs="Times New Roman"/>
                <w:bCs/>
                <w:sz w:val="20"/>
              </w:rPr>
            </w:pPr>
            <w:r w:rsidRPr="00DA3E06">
              <w:rPr>
                <w:rFonts w:ascii="Arial Narrow" w:eastAsia="MS Gothic" w:hAnsi="Arial Narrow" w:cs="Times New Roman"/>
                <w:bCs/>
                <w:sz w:val="20"/>
              </w:rPr>
              <w:t>5</w:t>
            </w:r>
          </w:p>
        </w:tc>
        <w:tc>
          <w:tcPr>
            <w:tcW w:w="912" w:type="pct"/>
            <w:tcBorders>
              <w:top w:val="single" w:sz="4" w:space="0" w:color="auto"/>
              <w:left w:val="single" w:sz="4" w:space="0" w:color="auto"/>
              <w:bottom w:val="single" w:sz="4" w:space="0" w:color="auto"/>
              <w:right w:val="single" w:sz="4" w:space="0" w:color="auto"/>
            </w:tcBorders>
            <w:hideMark/>
          </w:tcPr>
          <w:p w14:paraId="0BC3E2B1" w14:textId="77777777" w:rsidR="00DA3E06" w:rsidRPr="00DA3E06" w:rsidRDefault="00DA3E06" w:rsidP="00DA3E06">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sz w:val="20"/>
              </w:rPr>
            </w:pPr>
            <w:r w:rsidRPr="00DA3E06">
              <w:rPr>
                <w:rFonts w:ascii="Arial Narrow" w:eastAsia="MS Gothic" w:hAnsi="Arial Narrow" w:cs="Times New Roman"/>
                <w:bCs/>
                <w:sz w:val="20"/>
              </w:rPr>
              <w:t>Published: $</w:t>
            </w:r>
            <w:r w:rsidRPr="00DA3E06">
              <w:rPr>
                <w:rFonts w:ascii="Arial Narrow" w:eastAsia="MS Gothic" w:hAnsi="Arial Narrow" w:cs="Times New Roman"/>
                <w:bCs/>
                <w:color w:val="000000"/>
                <w:spacing w:val="51"/>
                <w:sz w:val="20"/>
                <w:shd w:val="solid" w:color="000000" w:fill="000000"/>
                <w:fitText w:val="324" w:id="-509906174"/>
                <w14:textFill>
                  <w14:solidFill>
                    <w14:srgbClr w14:val="000000">
                      <w14:alpha w14:val="100000"/>
                    </w14:srgbClr>
                  </w14:solidFill>
                </w14:textFill>
              </w:rPr>
              <w:t>|||</w:t>
            </w:r>
            <w:r w:rsidRPr="00DA3E06">
              <w:rPr>
                <w:rFonts w:ascii="Arial Narrow" w:eastAsia="MS Gothic" w:hAnsi="Arial Narrow" w:cs="Times New Roman"/>
                <w:bCs/>
                <w:color w:val="000000"/>
                <w:spacing w:val="1"/>
                <w:sz w:val="20"/>
                <w:shd w:val="solid" w:color="000000" w:fill="000000"/>
                <w:fitText w:val="324" w:id="-509906174"/>
                <w14:textFill>
                  <w14:solidFill>
                    <w14:srgbClr w14:val="000000">
                      <w14:alpha w14:val="100000"/>
                    </w14:srgbClr>
                  </w14:solidFill>
                </w14:textFill>
              </w:rPr>
              <w:t>|</w:t>
            </w:r>
          </w:p>
          <w:p w14:paraId="74DC4DB4" w14:textId="77777777" w:rsidR="00DA3E06" w:rsidRPr="00DA3E06" w:rsidRDefault="00DA3E06" w:rsidP="00DA3E06">
            <w:pPr>
              <w:keepNext/>
              <w:keepLines/>
              <w:jc w:val="center"/>
              <w:cnfStyle w:val="000000000000" w:firstRow="0" w:lastRow="0" w:firstColumn="0" w:lastColumn="0" w:oddVBand="0" w:evenVBand="0" w:oddHBand="0" w:evenHBand="0" w:firstRowFirstColumn="0" w:firstRowLastColumn="0" w:lastRowFirstColumn="0" w:lastRowLastColumn="0"/>
              <w:rPr>
                <w:rFonts w:ascii="Times" w:eastAsia="MS Gothic" w:hAnsi="Times" w:cs="Times New Roman"/>
                <w:bCs/>
                <w:sz w:val="20"/>
              </w:rPr>
            </w:pPr>
            <w:r w:rsidRPr="00DA3E06">
              <w:rPr>
                <w:rFonts w:ascii="Arial Narrow" w:eastAsia="MS Gothic" w:hAnsi="Arial Narrow" w:cs="Times New Roman"/>
                <w:bCs/>
                <w:sz w:val="20"/>
              </w:rPr>
              <w:t>Effective: $</w:t>
            </w:r>
            <w:r w:rsidRPr="00DA3E06">
              <w:rPr>
                <w:rFonts w:ascii="Arial Narrow" w:eastAsia="MS Gothic" w:hAnsi="Arial Narrow" w:cs="Times New Roman"/>
                <w:bCs/>
                <w:color w:val="000000"/>
                <w:spacing w:val="55"/>
                <w:sz w:val="20"/>
                <w:shd w:val="solid" w:color="000000" w:fill="000000"/>
                <w:fitText w:val="336" w:id="-509906173"/>
                <w14:textFill>
                  <w14:solidFill>
                    <w14:srgbClr w14:val="000000">
                      <w14:alpha w14:val="100000"/>
                    </w14:srgbClr>
                  </w14:solidFill>
                </w14:textFill>
              </w:rPr>
              <w:t>|||</w:t>
            </w:r>
            <w:r w:rsidRPr="00DA3E06">
              <w:rPr>
                <w:rFonts w:ascii="Arial Narrow" w:eastAsia="MS Gothic" w:hAnsi="Arial Narrow" w:cs="Times New Roman"/>
                <w:bCs/>
                <w:color w:val="000000"/>
                <w:spacing w:val="1"/>
                <w:sz w:val="20"/>
                <w:shd w:val="solid" w:color="000000" w:fill="000000"/>
                <w:fitText w:val="336" w:id="-509906173"/>
                <w14:textFill>
                  <w14:solidFill>
                    <w14:srgbClr w14:val="000000">
                      <w14:alpha w14:val="100000"/>
                    </w14:srgbClr>
                  </w14:solidFill>
                </w14:textFill>
              </w:rPr>
              <w:t>|</w:t>
            </w:r>
          </w:p>
        </w:tc>
        <w:tc>
          <w:tcPr>
            <w:tcW w:w="882" w:type="pct"/>
            <w:tcBorders>
              <w:top w:val="single" w:sz="4" w:space="0" w:color="auto"/>
              <w:left w:val="single" w:sz="4" w:space="0" w:color="auto"/>
              <w:bottom w:val="single" w:sz="4" w:space="0" w:color="auto"/>
              <w:right w:val="single" w:sz="4" w:space="0" w:color="auto"/>
            </w:tcBorders>
            <w:hideMark/>
          </w:tcPr>
          <w:p w14:paraId="429DF571" w14:textId="77777777" w:rsidR="00DA3E06" w:rsidRPr="00DA3E06" w:rsidRDefault="00DA3E06" w:rsidP="00DA3E06">
            <w:pPr>
              <w:keepNext/>
              <w:keepLines/>
              <w:jc w:val="center"/>
              <w:cnfStyle w:val="000000000000" w:firstRow="0" w:lastRow="0" w:firstColumn="0" w:lastColumn="0" w:oddVBand="0" w:evenVBand="0" w:oddHBand="0" w:evenHBand="0" w:firstRowFirstColumn="0" w:firstRowLastColumn="0" w:lastRowFirstColumn="0" w:lastRowLastColumn="0"/>
              <w:rPr>
                <w:rFonts w:ascii="Arial Narrow" w:eastAsia="MS Gothic" w:hAnsi="Arial Narrow" w:cs="Times New Roman"/>
                <w:bCs/>
                <w:sz w:val="20"/>
              </w:rPr>
            </w:pPr>
            <w:r w:rsidRPr="00DA3E06">
              <w:rPr>
                <w:rFonts w:ascii="Arial Narrow" w:eastAsia="MS Gothic" w:hAnsi="Arial Narrow" w:cs="Times New Roman"/>
                <w:bCs/>
                <w:sz w:val="20"/>
              </w:rPr>
              <w:t>LYGTOBI</w:t>
            </w:r>
          </w:p>
          <w:p w14:paraId="40DDBE0D" w14:textId="77777777" w:rsidR="00DA3E06" w:rsidRPr="00DA3E06" w:rsidRDefault="00DA3E06" w:rsidP="00DA3E06">
            <w:pPr>
              <w:keepNext/>
              <w:keepLines/>
              <w:jc w:val="center"/>
              <w:cnfStyle w:val="000000000000" w:firstRow="0" w:lastRow="0" w:firstColumn="0" w:lastColumn="0" w:oddVBand="0" w:evenVBand="0" w:oddHBand="0" w:evenHBand="0" w:firstRowFirstColumn="0" w:firstRowLastColumn="0" w:lastRowFirstColumn="0" w:lastRowLastColumn="0"/>
              <w:rPr>
                <w:rFonts w:ascii="Times" w:eastAsia="MS Gothic" w:hAnsi="Times" w:cs="Times New Roman"/>
                <w:bCs/>
                <w:sz w:val="20"/>
              </w:rPr>
            </w:pPr>
            <w:r w:rsidRPr="00DA3E06">
              <w:rPr>
                <w:rFonts w:ascii="Arial Narrow" w:eastAsia="MS Gothic" w:hAnsi="Arial Narrow" w:cs="Times New Roman"/>
                <w:bCs/>
                <w:sz w:val="20"/>
              </w:rPr>
              <w:t xml:space="preserve">Taiho Pharma Oceania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quested listing"/>
      </w:tblPr>
      <w:tblGrid>
        <w:gridCol w:w="9016"/>
      </w:tblGrid>
      <w:tr w:rsidR="00DA3E06" w:rsidRPr="00DA3E06" w14:paraId="48DBF189" w14:textId="77777777">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AC0A2B" w14:textId="77777777" w:rsidR="00DA3E06" w:rsidRPr="00DA3E06" w:rsidRDefault="00DA3E06" w:rsidP="00DA3E06">
            <w:pPr>
              <w:keepNext/>
              <w:keepLines/>
              <w:rPr>
                <w:rFonts w:ascii="Arial Narrow" w:hAnsi="Arial Narrow" w:cs="Arial"/>
                <w:sz w:val="20"/>
                <w:szCs w:val="20"/>
              </w:rPr>
            </w:pPr>
            <w:r w:rsidRPr="00DA3E06">
              <w:rPr>
                <w:rFonts w:ascii="Arial Narrow" w:hAnsi="Arial Narrow" w:cs="Arial"/>
                <w:b/>
                <w:sz w:val="20"/>
                <w:szCs w:val="20"/>
              </w:rPr>
              <w:t>Category / Program:</w:t>
            </w:r>
            <w:r w:rsidRPr="00DA3E06">
              <w:rPr>
                <w:rFonts w:ascii="Arial Narrow" w:hAnsi="Arial Narrow" w:cs="Arial"/>
                <w:color w:val="FF0000"/>
                <w:sz w:val="20"/>
                <w:szCs w:val="20"/>
              </w:rPr>
              <w:t xml:space="preserve"> </w:t>
            </w:r>
          </w:p>
          <w:p w14:paraId="6E0ECD04" w14:textId="77777777" w:rsidR="00DA3E06" w:rsidRPr="00DA3E06" w:rsidRDefault="00DA3E06" w:rsidP="00DA3E06">
            <w:pPr>
              <w:keepNext/>
              <w:keepLines/>
              <w:rPr>
                <w:rFonts w:ascii="Arial Narrow" w:hAnsi="Arial Narrow" w:cs="Arial"/>
                <w:sz w:val="20"/>
                <w:szCs w:val="20"/>
              </w:rPr>
            </w:pPr>
            <w:r w:rsidRPr="00DA3E06">
              <w:rPr>
                <w:rFonts w:ascii="Arial Narrow" w:eastAsia="Calibri" w:hAnsi="Arial Narrow" w:cs="Arial"/>
                <w:sz w:val="20"/>
                <w:szCs w:val="20"/>
              </w:rPr>
              <w:fldChar w:fldCharType="begin">
                <w:ffData>
                  <w:name w:val="Check1"/>
                  <w:enabled/>
                  <w:calcOnExit w:val="0"/>
                  <w:checkBox>
                    <w:sizeAuto/>
                    <w:default w:val="1"/>
                  </w:checkBox>
                </w:ffData>
              </w:fldChar>
            </w:r>
            <w:r w:rsidRPr="00DA3E06">
              <w:rPr>
                <w:rFonts w:ascii="Arial Narrow" w:eastAsia="Calibri" w:hAnsi="Arial Narrow" w:cs="Arial"/>
                <w:sz w:val="20"/>
                <w:szCs w:val="20"/>
              </w:rPr>
              <w:instrText xml:space="preserve"> FORMCHECKBOX </w:instrText>
            </w:r>
            <w:r w:rsidRPr="00DA3E06">
              <w:rPr>
                <w:rFonts w:ascii="Arial Narrow" w:eastAsia="Calibri" w:hAnsi="Arial Narrow" w:cs="Arial"/>
                <w:sz w:val="20"/>
                <w:szCs w:val="20"/>
              </w:rPr>
            </w:r>
            <w:r w:rsidRPr="00DA3E06">
              <w:rPr>
                <w:rFonts w:ascii="Arial Narrow" w:eastAsia="Calibri" w:hAnsi="Arial Narrow" w:cs="Arial"/>
                <w:sz w:val="20"/>
                <w:szCs w:val="20"/>
              </w:rPr>
              <w:fldChar w:fldCharType="separate"/>
            </w:r>
            <w:r w:rsidRPr="00DA3E06">
              <w:rPr>
                <w:rFonts w:ascii="Arial Narrow" w:eastAsia="Calibri" w:hAnsi="Arial Narrow" w:cs="Arial"/>
                <w:sz w:val="20"/>
                <w:szCs w:val="20"/>
              </w:rPr>
              <w:fldChar w:fldCharType="end"/>
            </w:r>
            <w:r w:rsidRPr="00DA3E06">
              <w:rPr>
                <w:rFonts w:ascii="Arial Narrow" w:eastAsia="Calibri" w:hAnsi="Arial Narrow" w:cs="Arial"/>
                <w:sz w:val="20"/>
                <w:szCs w:val="20"/>
              </w:rPr>
              <w:t xml:space="preserve"> GENERAL - General Schedule (Code GE) </w:t>
            </w:r>
          </w:p>
        </w:tc>
      </w:tr>
      <w:tr w:rsidR="00DA3E06" w:rsidRPr="00DA3E06" w14:paraId="2E08C927" w14:textId="77777777">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CE01F1" w14:textId="77777777" w:rsidR="00DA3E06" w:rsidRPr="00DA3E06" w:rsidRDefault="00DA3E06" w:rsidP="00DA3E06">
            <w:pPr>
              <w:keepNext/>
              <w:keepLines/>
              <w:rPr>
                <w:rFonts w:ascii="Arial Narrow" w:hAnsi="Arial Narrow" w:cs="Arial"/>
                <w:b/>
                <w:sz w:val="20"/>
                <w:szCs w:val="20"/>
              </w:rPr>
            </w:pPr>
            <w:r w:rsidRPr="00DA3E06">
              <w:rPr>
                <w:rFonts w:ascii="Arial Narrow" w:hAnsi="Arial Narrow" w:cs="Arial"/>
                <w:b/>
                <w:sz w:val="20"/>
                <w:szCs w:val="20"/>
              </w:rPr>
              <w:t xml:space="preserve">Prescriber type: </w:t>
            </w:r>
          </w:p>
          <w:p w14:paraId="522D46FA" w14:textId="77777777" w:rsidR="00DA3E06" w:rsidRPr="00DA3E06" w:rsidRDefault="00DA3E06" w:rsidP="00DA3E06">
            <w:pPr>
              <w:keepNext/>
              <w:keepLines/>
              <w:rPr>
                <w:rFonts w:ascii="Arial Narrow" w:hAnsi="Arial Narrow" w:cs="Arial"/>
                <w:b/>
                <w:sz w:val="20"/>
                <w:szCs w:val="20"/>
              </w:rPr>
            </w:pPr>
            <w:r w:rsidRPr="00DA3E06">
              <w:rPr>
                <w:rFonts w:ascii="Arial Narrow" w:hAnsi="Arial Narrow" w:cs="Arial"/>
                <w:sz w:val="20"/>
                <w:szCs w:val="20"/>
              </w:rPr>
              <w:fldChar w:fldCharType="begin">
                <w:ffData>
                  <w:name w:val=""/>
                  <w:enabled/>
                  <w:calcOnExit w:val="0"/>
                  <w:checkBox>
                    <w:sizeAuto/>
                    <w:default w:val="1"/>
                  </w:checkBox>
                </w:ffData>
              </w:fldChar>
            </w:r>
            <w:r w:rsidRPr="00DA3E06">
              <w:rPr>
                <w:rFonts w:ascii="Arial Narrow" w:hAnsi="Arial Narrow" w:cs="Arial"/>
                <w:sz w:val="20"/>
                <w:szCs w:val="20"/>
              </w:rPr>
              <w:instrText xml:space="preserve"> FORMCHECKBOX </w:instrText>
            </w:r>
            <w:r w:rsidRPr="00DA3E06">
              <w:rPr>
                <w:rFonts w:ascii="Arial Narrow" w:hAnsi="Arial Narrow" w:cs="Arial"/>
                <w:sz w:val="20"/>
                <w:szCs w:val="20"/>
              </w:rPr>
            </w:r>
            <w:r w:rsidRPr="00DA3E06">
              <w:rPr>
                <w:rFonts w:ascii="Arial Narrow" w:hAnsi="Arial Narrow" w:cs="Arial"/>
                <w:sz w:val="20"/>
                <w:szCs w:val="20"/>
              </w:rPr>
              <w:fldChar w:fldCharType="separate"/>
            </w:r>
            <w:r w:rsidRPr="00DA3E06">
              <w:rPr>
                <w:rFonts w:ascii="Arial Narrow" w:hAnsi="Arial Narrow" w:cs="Arial"/>
                <w:sz w:val="20"/>
                <w:szCs w:val="20"/>
              </w:rPr>
              <w:fldChar w:fldCharType="end"/>
            </w:r>
            <w:r w:rsidRPr="00DA3E06">
              <w:rPr>
                <w:rFonts w:ascii="Arial Narrow" w:hAnsi="Arial Narrow" w:cs="Arial"/>
                <w:sz w:val="20"/>
                <w:szCs w:val="20"/>
              </w:rPr>
              <w:t xml:space="preserve">Medical Practitioners </w:t>
            </w:r>
          </w:p>
        </w:tc>
      </w:tr>
      <w:tr w:rsidR="00DA3E06" w:rsidRPr="00DA3E06" w14:paraId="7053D949" w14:textId="77777777">
        <w:trPr>
          <w:trHeight w:val="20"/>
        </w:trPr>
        <w:tc>
          <w:tcPr>
            <w:tcW w:w="5000" w:type="pc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1998F7" w14:textId="77777777" w:rsidR="00DA3E06" w:rsidRPr="00DA3E06" w:rsidRDefault="00DA3E06" w:rsidP="00DA3E06">
            <w:pPr>
              <w:keepNext/>
              <w:keepLines/>
              <w:rPr>
                <w:rFonts w:ascii="Arial Narrow" w:hAnsi="Arial Narrow" w:cs="Arial"/>
                <w:b/>
                <w:sz w:val="20"/>
                <w:szCs w:val="20"/>
              </w:rPr>
            </w:pPr>
            <w:r w:rsidRPr="00DA3E06">
              <w:rPr>
                <w:rFonts w:ascii="Arial Narrow" w:hAnsi="Arial Narrow" w:cs="Arial"/>
                <w:b/>
                <w:sz w:val="20"/>
                <w:szCs w:val="20"/>
              </w:rPr>
              <w:t xml:space="preserve">Restriction type: </w:t>
            </w:r>
          </w:p>
          <w:p w14:paraId="4B0DED42" w14:textId="77777777" w:rsidR="00DA3E06" w:rsidRPr="00DA3E06" w:rsidRDefault="00DA3E06" w:rsidP="00DA3E06">
            <w:pPr>
              <w:keepNext/>
              <w:keepLines/>
              <w:rPr>
                <w:rFonts w:ascii="Arial Narrow" w:eastAsia="Calibri" w:hAnsi="Arial Narrow" w:cs="Arial"/>
                <w:color w:val="FF0000"/>
                <w:sz w:val="20"/>
                <w:szCs w:val="20"/>
              </w:rPr>
            </w:pPr>
            <w:r w:rsidRPr="00DA3E06">
              <w:rPr>
                <w:rFonts w:ascii="Arial Narrow" w:eastAsia="Calibri" w:hAnsi="Arial Narrow" w:cs="Arial"/>
                <w:sz w:val="20"/>
                <w:szCs w:val="20"/>
              </w:rPr>
              <w:fldChar w:fldCharType="begin">
                <w:ffData>
                  <w:name w:val=""/>
                  <w:enabled/>
                  <w:calcOnExit w:val="0"/>
                  <w:checkBox>
                    <w:sizeAuto/>
                    <w:default w:val="1"/>
                  </w:checkBox>
                </w:ffData>
              </w:fldChar>
            </w:r>
            <w:r w:rsidRPr="00DA3E06">
              <w:rPr>
                <w:rFonts w:ascii="Arial Narrow" w:eastAsia="Calibri" w:hAnsi="Arial Narrow" w:cs="Arial"/>
                <w:sz w:val="20"/>
                <w:szCs w:val="20"/>
              </w:rPr>
              <w:instrText xml:space="preserve"> FORMCHECKBOX </w:instrText>
            </w:r>
            <w:r w:rsidRPr="00DA3E06">
              <w:rPr>
                <w:rFonts w:ascii="Arial Narrow" w:eastAsia="Calibri" w:hAnsi="Arial Narrow" w:cs="Arial"/>
                <w:sz w:val="20"/>
                <w:szCs w:val="20"/>
              </w:rPr>
            </w:r>
            <w:r w:rsidRPr="00DA3E06">
              <w:rPr>
                <w:rFonts w:ascii="Arial Narrow" w:eastAsia="Calibri" w:hAnsi="Arial Narrow" w:cs="Arial"/>
                <w:sz w:val="20"/>
                <w:szCs w:val="20"/>
              </w:rPr>
              <w:fldChar w:fldCharType="separate"/>
            </w:r>
            <w:r w:rsidRPr="00DA3E06">
              <w:rPr>
                <w:rFonts w:ascii="Arial Narrow" w:eastAsia="Calibri" w:hAnsi="Arial Narrow" w:cs="Arial"/>
                <w:sz w:val="20"/>
                <w:szCs w:val="20"/>
              </w:rPr>
              <w:fldChar w:fldCharType="end"/>
            </w:r>
            <w:r w:rsidRPr="00DA3E06">
              <w:rPr>
                <w:rFonts w:ascii="Arial Narrow" w:eastAsia="Calibri" w:hAnsi="Arial Narrow" w:cs="Arial"/>
                <w:sz w:val="20"/>
                <w:szCs w:val="20"/>
              </w:rPr>
              <w:t xml:space="preserve">Authority Required (Streamlined) [new/existing code] </w:t>
            </w:r>
          </w:p>
        </w:tc>
      </w:tr>
      <w:tr w:rsidR="00DA3E06" w:rsidRPr="00DA3E06" w14:paraId="7F432A6F"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C3BD54" w14:textId="77777777" w:rsidR="00DA3E06" w:rsidRPr="00DA3E06" w:rsidRDefault="00DA3E06" w:rsidP="00DA3E06">
            <w:pPr>
              <w:keepNext/>
              <w:keepLines/>
              <w:rPr>
                <w:rFonts w:ascii="Arial Narrow" w:hAnsi="Arial Narrow"/>
                <w:sz w:val="20"/>
                <w:szCs w:val="20"/>
              </w:rPr>
            </w:pPr>
            <w:r w:rsidRPr="00DA3E06">
              <w:rPr>
                <w:rFonts w:ascii="Arial Narrow" w:hAnsi="Arial Narrow"/>
                <w:b/>
                <w:bCs/>
                <w:sz w:val="20"/>
                <w:szCs w:val="20"/>
              </w:rPr>
              <w:t>Indication:</w:t>
            </w:r>
            <w:r w:rsidRPr="00DA3E06">
              <w:rPr>
                <w:rFonts w:ascii="Arial Narrow" w:hAnsi="Arial Narrow"/>
                <w:sz w:val="20"/>
                <w:szCs w:val="20"/>
              </w:rPr>
              <w:t xml:space="preserve"> Locally advanced or metastatic cholangiocarcinoma</w:t>
            </w:r>
          </w:p>
        </w:tc>
      </w:tr>
      <w:tr w:rsidR="00DA3E06" w:rsidRPr="00DA3E06" w14:paraId="33D6F38C"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BFEC3E" w14:textId="77777777" w:rsidR="00DA3E06" w:rsidRPr="00DA3E06" w:rsidRDefault="00DA3E06" w:rsidP="00DA3E06">
            <w:pPr>
              <w:keepNext/>
              <w:keepLines/>
              <w:rPr>
                <w:rFonts w:ascii="Arial Narrow" w:hAnsi="Arial Narrow"/>
                <w:sz w:val="20"/>
                <w:szCs w:val="20"/>
              </w:rPr>
            </w:pPr>
            <w:r w:rsidRPr="00DA3E06">
              <w:rPr>
                <w:rFonts w:ascii="Arial Narrow" w:hAnsi="Arial Narrow"/>
                <w:b/>
                <w:bCs/>
                <w:sz w:val="20"/>
                <w:szCs w:val="20"/>
              </w:rPr>
              <w:t>Clinical criteria:</w:t>
            </w:r>
          </w:p>
        </w:tc>
      </w:tr>
      <w:tr w:rsidR="00DA3E06" w:rsidRPr="00DA3E06" w14:paraId="29FC42E8"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4A0059" w14:textId="77777777" w:rsidR="00DA3E06" w:rsidRPr="00DA3E06" w:rsidRDefault="00DA3E06" w:rsidP="00DA3E06">
            <w:pPr>
              <w:keepNext/>
              <w:keepLines/>
              <w:rPr>
                <w:rFonts w:ascii="Arial Narrow" w:hAnsi="Arial Narrow"/>
                <w:sz w:val="20"/>
                <w:szCs w:val="20"/>
              </w:rPr>
            </w:pPr>
            <w:r w:rsidRPr="00DA3E06">
              <w:rPr>
                <w:rFonts w:ascii="Arial Narrow" w:hAnsi="Arial Narrow"/>
                <w:sz w:val="20"/>
                <w:szCs w:val="20"/>
              </w:rPr>
              <w:t>Patient must have evidence of a fibroblast growth factor receptor 2 (</w:t>
            </w:r>
            <w:r w:rsidRPr="00DA3E06">
              <w:rPr>
                <w:rFonts w:ascii="Arial Narrow" w:hAnsi="Arial Narrow"/>
                <w:i/>
                <w:iCs/>
                <w:sz w:val="20"/>
                <w:szCs w:val="20"/>
              </w:rPr>
              <w:t>FGFR2</w:t>
            </w:r>
            <w:r w:rsidRPr="00DA3E06">
              <w:rPr>
                <w:rFonts w:ascii="Arial Narrow" w:hAnsi="Arial Narrow"/>
                <w:sz w:val="20"/>
                <w:szCs w:val="20"/>
              </w:rPr>
              <w:t xml:space="preserve">) fusion or rearrangement </w:t>
            </w:r>
          </w:p>
        </w:tc>
      </w:tr>
      <w:tr w:rsidR="00DA3E06" w:rsidRPr="00DA3E06" w14:paraId="79FE4415"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9F7953" w14:textId="77777777" w:rsidR="00DA3E06" w:rsidRPr="00DA3E06" w:rsidRDefault="00DA3E06" w:rsidP="00DA3E06">
            <w:pPr>
              <w:keepNext/>
              <w:keepLines/>
              <w:rPr>
                <w:rFonts w:ascii="Arial Narrow" w:hAnsi="Arial Narrow"/>
                <w:sz w:val="20"/>
                <w:szCs w:val="20"/>
              </w:rPr>
            </w:pPr>
            <w:r w:rsidRPr="00DA3E06">
              <w:rPr>
                <w:rFonts w:ascii="Arial Narrow" w:hAnsi="Arial Narrow"/>
                <w:b/>
                <w:bCs/>
                <w:sz w:val="20"/>
                <w:szCs w:val="20"/>
              </w:rPr>
              <w:t>AND</w:t>
            </w:r>
          </w:p>
        </w:tc>
      </w:tr>
      <w:tr w:rsidR="00DA3E06" w:rsidRPr="00DA3E06" w14:paraId="132BA906"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86DF27" w14:textId="77777777" w:rsidR="00DA3E06" w:rsidRPr="00DA3E06" w:rsidRDefault="00DA3E06" w:rsidP="00DA3E06">
            <w:pPr>
              <w:keepNext/>
              <w:keepLines/>
              <w:rPr>
                <w:rFonts w:ascii="Arial Narrow" w:hAnsi="Arial Narrow"/>
                <w:sz w:val="20"/>
                <w:szCs w:val="20"/>
              </w:rPr>
            </w:pPr>
            <w:r w:rsidRPr="00DA3E06">
              <w:rPr>
                <w:rFonts w:ascii="Arial Narrow" w:hAnsi="Arial Narrow"/>
                <w:b/>
                <w:bCs/>
                <w:sz w:val="20"/>
                <w:szCs w:val="20"/>
              </w:rPr>
              <w:t>Clinical criteria:</w:t>
            </w:r>
          </w:p>
        </w:tc>
      </w:tr>
      <w:tr w:rsidR="00DA3E06" w:rsidRPr="00DA3E06" w14:paraId="5243F6F0"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FFF418" w14:textId="77777777" w:rsidR="00DA3E06" w:rsidRPr="00DA3E06" w:rsidRDefault="00DA3E06" w:rsidP="00DA3E06">
            <w:pPr>
              <w:keepNext/>
              <w:keepLines/>
              <w:rPr>
                <w:rFonts w:ascii="Arial Narrow" w:hAnsi="Arial Narrow"/>
                <w:sz w:val="20"/>
                <w:szCs w:val="20"/>
              </w:rPr>
            </w:pPr>
            <w:r w:rsidRPr="00DA3E06">
              <w:rPr>
                <w:rFonts w:ascii="Arial Narrow" w:hAnsi="Arial Narrow"/>
                <w:sz w:val="20"/>
                <w:szCs w:val="20"/>
              </w:rPr>
              <w:t>Patient must have received at least one prior line of systemic therapy</w:t>
            </w:r>
          </w:p>
        </w:tc>
      </w:tr>
      <w:tr w:rsidR="00DA3E06" w:rsidRPr="00DA3E06" w14:paraId="0990484C"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653433" w14:textId="77777777" w:rsidR="00DA3E06" w:rsidRPr="00DA3E06" w:rsidRDefault="00DA3E06" w:rsidP="00DA3E06">
            <w:pPr>
              <w:keepNext/>
              <w:keepLines/>
              <w:rPr>
                <w:rFonts w:ascii="Arial Narrow" w:hAnsi="Arial Narrow"/>
                <w:sz w:val="20"/>
                <w:szCs w:val="20"/>
              </w:rPr>
            </w:pPr>
            <w:r w:rsidRPr="00DA3E06">
              <w:rPr>
                <w:rFonts w:ascii="Arial Narrow" w:hAnsi="Arial Narrow"/>
                <w:b/>
                <w:bCs/>
                <w:sz w:val="20"/>
                <w:szCs w:val="20"/>
              </w:rPr>
              <w:t>AND</w:t>
            </w:r>
          </w:p>
        </w:tc>
      </w:tr>
      <w:tr w:rsidR="00DA3E06" w:rsidRPr="00DA3E06" w14:paraId="433B3CBA"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322ED2" w14:textId="77777777" w:rsidR="00DA3E06" w:rsidRPr="00DA3E06" w:rsidRDefault="00DA3E06" w:rsidP="00DA3E06">
            <w:pPr>
              <w:keepNext/>
              <w:keepLines/>
              <w:rPr>
                <w:rFonts w:ascii="Arial Narrow" w:hAnsi="Arial Narrow"/>
                <w:sz w:val="20"/>
                <w:szCs w:val="20"/>
              </w:rPr>
            </w:pPr>
            <w:r w:rsidRPr="00DA3E06">
              <w:rPr>
                <w:rFonts w:ascii="Arial Narrow" w:hAnsi="Arial Narrow"/>
                <w:b/>
                <w:bCs/>
                <w:sz w:val="20"/>
                <w:szCs w:val="20"/>
              </w:rPr>
              <w:t>Clinical criteria:</w:t>
            </w:r>
          </w:p>
        </w:tc>
      </w:tr>
      <w:tr w:rsidR="00DA3E06" w:rsidRPr="00DA3E06" w14:paraId="4EE68AE6"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9590F3" w14:textId="77777777" w:rsidR="00DA3E06" w:rsidRPr="00DA3E06" w:rsidRDefault="00DA3E06" w:rsidP="00DA3E06">
            <w:pPr>
              <w:keepNext/>
              <w:keepLines/>
              <w:rPr>
                <w:rFonts w:ascii="Arial Narrow" w:hAnsi="Arial Narrow"/>
                <w:sz w:val="20"/>
                <w:szCs w:val="20"/>
              </w:rPr>
            </w:pPr>
            <w:r w:rsidRPr="00DA3E06">
              <w:rPr>
                <w:rFonts w:ascii="Arial Narrow" w:hAnsi="Arial Narrow"/>
                <w:color w:val="333333"/>
                <w:sz w:val="20"/>
                <w:szCs w:val="20"/>
                <w:lang w:bidi="en-US"/>
              </w:rPr>
              <w:t>Patient must have a</w:t>
            </w:r>
            <w:r w:rsidRPr="00DA3E06">
              <w:rPr>
                <w:rFonts w:ascii="Arial Narrow" w:hAnsi="Arial Narrow"/>
                <w:strike/>
                <w:color w:val="333333"/>
                <w:sz w:val="20"/>
                <w:szCs w:val="20"/>
                <w:lang w:bidi="en-US"/>
              </w:rPr>
              <w:t>n</w:t>
            </w:r>
            <w:r w:rsidRPr="00DA3E06">
              <w:rPr>
                <w:rFonts w:ascii="Arial Narrow" w:hAnsi="Arial Narrow"/>
                <w:color w:val="333333"/>
                <w:sz w:val="20"/>
                <w:szCs w:val="20"/>
                <w:lang w:bidi="en-US"/>
              </w:rPr>
              <w:t xml:space="preserve"> </w:t>
            </w:r>
            <w:r w:rsidRPr="00DA3E06">
              <w:rPr>
                <w:rFonts w:ascii="Arial Narrow" w:hAnsi="Arial Narrow"/>
                <w:i/>
                <w:iCs/>
                <w:color w:val="333333"/>
                <w:sz w:val="20"/>
                <w:szCs w:val="20"/>
                <w:lang w:bidi="en-US"/>
              </w:rPr>
              <w:t>World Health Organisation (WHO) Eastern Cooperative Oncology Group (</w:t>
            </w:r>
            <w:r w:rsidRPr="00DA3E06">
              <w:rPr>
                <w:rFonts w:ascii="Arial Narrow" w:hAnsi="Arial Narrow"/>
                <w:color w:val="333333"/>
                <w:sz w:val="20"/>
                <w:szCs w:val="20"/>
                <w:lang w:bidi="en-US"/>
              </w:rPr>
              <w:t>ECOG</w:t>
            </w:r>
            <w:r w:rsidRPr="00DA3E06">
              <w:rPr>
                <w:rFonts w:ascii="Arial Narrow" w:hAnsi="Arial Narrow"/>
                <w:i/>
                <w:iCs/>
                <w:color w:val="333333"/>
                <w:sz w:val="20"/>
                <w:szCs w:val="20"/>
                <w:lang w:bidi="en-US"/>
              </w:rPr>
              <w:t>)</w:t>
            </w:r>
            <w:r w:rsidRPr="00DA3E06">
              <w:rPr>
                <w:rFonts w:ascii="Arial Narrow" w:hAnsi="Arial Narrow"/>
                <w:color w:val="333333"/>
                <w:sz w:val="20"/>
                <w:szCs w:val="20"/>
                <w:lang w:bidi="en-US"/>
              </w:rPr>
              <w:t xml:space="preserve"> performance status score</w:t>
            </w:r>
            <w:r w:rsidRPr="00DA3E06">
              <w:rPr>
                <w:rFonts w:ascii="Arial Narrow" w:hAnsi="Arial Narrow"/>
                <w:strike/>
                <w:color w:val="333333"/>
                <w:sz w:val="20"/>
                <w:szCs w:val="20"/>
                <w:lang w:bidi="en-US"/>
              </w:rPr>
              <w:t xml:space="preserve"> of</w:t>
            </w:r>
            <w:r w:rsidRPr="00DA3E06">
              <w:rPr>
                <w:rFonts w:ascii="Arial Narrow" w:hAnsi="Arial Narrow"/>
                <w:color w:val="333333"/>
                <w:sz w:val="20"/>
                <w:szCs w:val="20"/>
                <w:lang w:bidi="en-US"/>
              </w:rPr>
              <w:t xml:space="preserve"> no </w:t>
            </w:r>
            <w:r w:rsidRPr="00DA3E06">
              <w:rPr>
                <w:rFonts w:ascii="Arial Narrow" w:hAnsi="Arial Narrow"/>
                <w:strike/>
                <w:color w:val="333333"/>
                <w:sz w:val="20"/>
                <w:szCs w:val="20"/>
                <w:lang w:bidi="en-US"/>
              </w:rPr>
              <w:t>greater</w:t>
            </w:r>
            <w:r w:rsidRPr="00DA3E06">
              <w:rPr>
                <w:rFonts w:ascii="Arial Narrow" w:hAnsi="Arial Narrow"/>
                <w:color w:val="333333"/>
                <w:sz w:val="20"/>
                <w:szCs w:val="20"/>
                <w:lang w:bidi="en-US"/>
              </w:rPr>
              <w:t xml:space="preserve"> </w:t>
            </w:r>
            <w:r w:rsidRPr="00DA3E06">
              <w:rPr>
                <w:rFonts w:ascii="Arial Narrow" w:hAnsi="Arial Narrow"/>
                <w:i/>
                <w:iCs/>
                <w:color w:val="333333"/>
                <w:sz w:val="20"/>
                <w:szCs w:val="20"/>
                <w:lang w:bidi="en-US"/>
              </w:rPr>
              <w:t xml:space="preserve">higher </w:t>
            </w:r>
            <w:r w:rsidRPr="00DA3E06">
              <w:rPr>
                <w:rFonts w:ascii="Arial Narrow" w:hAnsi="Arial Narrow"/>
                <w:color w:val="333333"/>
                <w:sz w:val="20"/>
                <w:szCs w:val="20"/>
                <w:lang w:bidi="en-US"/>
              </w:rPr>
              <w:t xml:space="preserve">than 1 </w:t>
            </w:r>
            <w:r w:rsidRPr="00DA3E06">
              <w:rPr>
                <w:rFonts w:ascii="Arial Narrow" w:hAnsi="Arial Narrow"/>
                <w:strike/>
                <w:color w:val="333333"/>
                <w:sz w:val="20"/>
                <w:szCs w:val="20"/>
                <w:lang w:bidi="en-US"/>
              </w:rPr>
              <w:t xml:space="preserve">at </w:t>
            </w:r>
            <w:r w:rsidRPr="00DA3E06">
              <w:rPr>
                <w:rFonts w:ascii="Arial Narrow" w:hAnsi="Arial Narrow"/>
                <w:i/>
                <w:iCs/>
                <w:color w:val="333333"/>
                <w:sz w:val="20"/>
                <w:szCs w:val="20"/>
                <w:lang w:bidi="en-US"/>
              </w:rPr>
              <w:t xml:space="preserve">prior to </w:t>
            </w:r>
            <w:r w:rsidRPr="00DA3E06">
              <w:rPr>
                <w:rFonts w:ascii="Arial Narrow" w:hAnsi="Arial Narrow"/>
                <w:color w:val="333333"/>
                <w:sz w:val="20"/>
                <w:szCs w:val="20"/>
                <w:lang w:bidi="en-US"/>
              </w:rPr>
              <w:t>treatment initiation with this drug</w:t>
            </w:r>
          </w:p>
        </w:tc>
      </w:tr>
      <w:tr w:rsidR="00DA3E06" w:rsidRPr="00DA3E06" w14:paraId="20C61DE1"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6B8479" w14:textId="77777777" w:rsidR="00DA3E06" w:rsidRPr="00DA3E06" w:rsidRDefault="00DA3E06" w:rsidP="00DA3E06">
            <w:pPr>
              <w:keepNext/>
              <w:keepLines/>
              <w:rPr>
                <w:rFonts w:ascii="Arial Narrow" w:hAnsi="Arial Narrow"/>
                <w:sz w:val="20"/>
                <w:szCs w:val="20"/>
              </w:rPr>
            </w:pPr>
            <w:r w:rsidRPr="00DA3E06">
              <w:rPr>
                <w:rFonts w:ascii="Arial Narrow" w:hAnsi="Arial Narrow"/>
                <w:b/>
                <w:bCs/>
                <w:sz w:val="20"/>
                <w:szCs w:val="20"/>
              </w:rPr>
              <w:t>AND</w:t>
            </w:r>
          </w:p>
        </w:tc>
      </w:tr>
      <w:tr w:rsidR="00DA3E06" w:rsidRPr="00DA3E06" w14:paraId="03A9928D"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750765" w14:textId="77777777" w:rsidR="00DA3E06" w:rsidRPr="00DA3E06" w:rsidRDefault="00DA3E06" w:rsidP="00DA3E06">
            <w:pPr>
              <w:keepNext/>
              <w:keepLines/>
              <w:rPr>
                <w:rFonts w:ascii="Arial Narrow" w:hAnsi="Arial Narrow"/>
                <w:sz w:val="20"/>
                <w:szCs w:val="20"/>
              </w:rPr>
            </w:pPr>
            <w:r w:rsidRPr="00DA3E06">
              <w:rPr>
                <w:rFonts w:ascii="Arial Narrow" w:hAnsi="Arial Narrow"/>
                <w:b/>
                <w:bCs/>
                <w:sz w:val="20"/>
                <w:szCs w:val="20"/>
              </w:rPr>
              <w:t>Clinical criteria:</w:t>
            </w:r>
          </w:p>
        </w:tc>
      </w:tr>
      <w:tr w:rsidR="00DA3E06" w:rsidRPr="00DA3E06" w14:paraId="77EBEC52"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67CB38" w14:textId="77777777" w:rsidR="00DA3E06" w:rsidRPr="00DA3E06" w:rsidRDefault="00DA3E06" w:rsidP="00DA3E06">
            <w:pPr>
              <w:keepNext/>
              <w:keepLines/>
              <w:rPr>
                <w:rFonts w:ascii="Arial Narrow" w:hAnsi="Arial Narrow"/>
                <w:sz w:val="20"/>
                <w:szCs w:val="20"/>
              </w:rPr>
            </w:pPr>
            <w:r w:rsidRPr="00DA3E06">
              <w:rPr>
                <w:rFonts w:ascii="Arial Narrow" w:hAnsi="Arial Narrow"/>
                <w:sz w:val="20"/>
                <w:szCs w:val="20"/>
              </w:rPr>
              <w:t>The treatment must be the sole PBS-subsidised therapy for this condition</w:t>
            </w:r>
          </w:p>
        </w:tc>
      </w:tr>
      <w:tr w:rsidR="00DA3E06" w:rsidRPr="00DA3E06" w14:paraId="1D37F874"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D602D8" w14:textId="77777777" w:rsidR="00DA3E06" w:rsidRPr="00DA3E06" w:rsidRDefault="00DA3E06" w:rsidP="00DA3E06">
            <w:pPr>
              <w:keepNext/>
              <w:keepLines/>
              <w:rPr>
                <w:rFonts w:ascii="Arial Narrow" w:hAnsi="Arial Narrow"/>
                <w:b/>
                <w:bCs/>
                <w:sz w:val="20"/>
                <w:szCs w:val="20"/>
              </w:rPr>
            </w:pPr>
            <w:r w:rsidRPr="00DA3E06">
              <w:rPr>
                <w:rFonts w:ascii="Arial Narrow" w:hAnsi="Arial Narrow"/>
                <w:b/>
                <w:bCs/>
                <w:sz w:val="20"/>
                <w:szCs w:val="20"/>
              </w:rPr>
              <w:t>AND</w:t>
            </w:r>
          </w:p>
        </w:tc>
      </w:tr>
      <w:tr w:rsidR="00DA3E06" w:rsidRPr="00DA3E06" w14:paraId="3B250AF0"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4347C5" w14:textId="77777777" w:rsidR="00DA3E06" w:rsidRPr="00DA3E06" w:rsidRDefault="00DA3E06" w:rsidP="00DA3E06">
            <w:pPr>
              <w:keepNext/>
              <w:keepLines/>
              <w:rPr>
                <w:rFonts w:ascii="Arial Narrow" w:hAnsi="Arial Narrow"/>
                <w:b/>
                <w:bCs/>
                <w:sz w:val="20"/>
                <w:szCs w:val="20"/>
              </w:rPr>
            </w:pPr>
            <w:r w:rsidRPr="00DA3E06">
              <w:rPr>
                <w:rFonts w:ascii="Arial Narrow" w:hAnsi="Arial Narrow"/>
                <w:b/>
                <w:bCs/>
                <w:sz w:val="20"/>
                <w:szCs w:val="20"/>
              </w:rPr>
              <w:t>Clinical criteria:</w:t>
            </w:r>
          </w:p>
        </w:tc>
      </w:tr>
      <w:tr w:rsidR="00DA3E06" w:rsidRPr="00DA3E06" w14:paraId="7663E673"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215FC6" w14:textId="77777777" w:rsidR="00DA3E06" w:rsidRPr="00DA3E06" w:rsidRDefault="00DA3E06" w:rsidP="00DA3E06">
            <w:pPr>
              <w:keepNext/>
              <w:keepLines/>
              <w:rPr>
                <w:rFonts w:ascii="Arial Narrow" w:hAnsi="Arial Narrow"/>
                <w:b/>
                <w:bCs/>
                <w:sz w:val="20"/>
                <w:szCs w:val="20"/>
              </w:rPr>
            </w:pPr>
            <w:r w:rsidRPr="00DA3E06">
              <w:rPr>
                <w:rFonts w:ascii="Arial Narrow" w:hAnsi="Arial Narrow"/>
                <w:sz w:val="20"/>
                <w:szCs w:val="20"/>
              </w:rPr>
              <w:t>Patient must not have developed disease progression while being treated with this drug for this condition.</w:t>
            </w:r>
          </w:p>
        </w:tc>
      </w:tr>
      <w:tr w:rsidR="00DA3E06" w:rsidRPr="00DA3E06" w14:paraId="3EDA6EA0"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8CBA77" w14:textId="77777777" w:rsidR="00DA3E06" w:rsidRPr="00DA3E06" w:rsidRDefault="00DA3E06" w:rsidP="00DA3E06">
            <w:pPr>
              <w:keepNext/>
              <w:keepLines/>
              <w:rPr>
                <w:rFonts w:ascii="Arial Narrow" w:hAnsi="Arial Narrow"/>
                <w:sz w:val="20"/>
                <w:szCs w:val="20"/>
              </w:rPr>
            </w:pPr>
          </w:p>
        </w:tc>
      </w:tr>
      <w:tr w:rsidR="00DA3E06" w:rsidRPr="00DA3E06" w14:paraId="1EE84B67"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CD2D2A7" w14:textId="77777777" w:rsidR="00DA3E06" w:rsidRPr="00DA3E06" w:rsidRDefault="00DA3E06" w:rsidP="00DA3E06">
            <w:pPr>
              <w:keepNext/>
              <w:keepLines/>
              <w:rPr>
                <w:rFonts w:ascii="Arial Narrow" w:hAnsi="Arial Narrow"/>
                <w:b/>
                <w:bCs/>
                <w:sz w:val="20"/>
                <w:szCs w:val="20"/>
              </w:rPr>
            </w:pPr>
            <w:r w:rsidRPr="00DA3E06">
              <w:rPr>
                <w:rFonts w:ascii="Arial Narrow" w:hAnsi="Arial Narrow" w:cs="Open Sans"/>
                <w:b/>
                <w:bCs/>
                <w:sz w:val="20"/>
                <w:szCs w:val="20"/>
                <w:bdr w:val="none" w:sz="0" w:space="0" w:color="auto" w:frame="1"/>
              </w:rPr>
              <w:t>Administrative Advice:</w:t>
            </w:r>
            <w:r w:rsidRPr="00DA3E06">
              <w:rPr>
                <w:rFonts w:ascii="Arial Narrow" w:hAnsi="Arial Narrow" w:cs="Open Sans"/>
                <w:sz w:val="20"/>
                <w:szCs w:val="20"/>
                <w:bdr w:val="none" w:sz="0" w:space="0" w:color="auto" w:frame="1"/>
              </w:rPr>
              <w:t xml:space="preserve"> No increase in the maximum amount or number of units may be authorised.</w:t>
            </w:r>
          </w:p>
        </w:tc>
      </w:tr>
      <w:tr w:rsidR="00DA3E06" w:rsidRPr="00DA3E06" w14:paraId="5D3D7CF2"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0A17620" w14:textId="77777777" w:rsidR="00DA3E06" w:rsidRPr="00DA3E06" w:rsidRDefault="00DA3E06" w:rsidP="00DA3E06">
            <w:pPr>
              <w:keepNext/>
              <w:keepLines/>
              <w:rPr>
                <w:rFonts w:ascii="Arial Narrow" w:hAnsi="Arial Narrow"/>
                <w:b/>
                <w:bCs/>
                <w:sz w:val="20"/>
                <w:szCs w:val="20"/>
              </w:rPr>
            </w:pPr>
            <w:r w:rsidRPr="00DA3E06">
              <w:rPr>
                <w:rFonts w:ascii="Arial Narrow" w:hAnsi="Arial Narrow" w:cs="Open Sans"/>
                <w:b/>
                <w:bCs/>
                <w:sz w:val="20"/>
                <w:szCs w:val="20"/>
              </w:rPr>
              <w:t>Administrative Advice:</w:t>
            </w:r>
            <w:r w:rsidRPr="00DA3E06">
              <w:rPr>
                <w:rFonts w:ascii="Arial Narrow" w:hAnsi="Arial Narrow" w:cs="Open Sans"/>
                <w:sz w:val="20"/>
                <w:szCs w:val="20"/>
              </w:rPr>
              <w:t xml:space="preserve"> No increase in the maximum number of repeats may be authorised.</w:t>
            </w:r>
          </w:p>
        </w:tc>
      </w:tr>
      <w:tr w:rsidR="00DA3E06" w:rsidRPr="00DA3E06" w14:paraId="640AA3D1"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EF2928" w14:textId="77777777" w:rsidR="00DA3E06" w:rsidRPr="00DA3E06" w:rsidRDefault="00DA3E06" w:rsidP="00DA3E06">
            <w:pPr>
              <w:keepNext/>
              <w:keepLines/>
              <w:rPr>
                <w:rFonts w:ascii="Arial Narrow" w:hAnsi="Arial Narrow"/>
                <w:color w:val="0D0D0D" w:themeColor="text1" w:themeTint="F2"/>
                <w:sz w:val="20"/>
                <w:szCs w:val="20"/>
              </w:rPr>
            </w:pPr>
            <w:r w:rsidRPr="00DA3E06">
              <w:rPr>
                <w:rFonts w:ascii="Arial Narrow" w:hAnsi="Arial Narrow" w:cs="Open Sans"/>
                <w:b/>
                <w:bCs/>
                <w:color w:val="0D0D0D" w:themeColor="text1" w:themeTint="F2"/>
                <w:sz w:val="20"/>
                <w:szCs w:val="20"/>
              </w:rPr>
              <w:t>Administrative Advice:</w:t>
            </w:r>
            <w:r w:rsidRPr="00DA3E06">
              <w:rPr>
                <w:rFonts w:ascii="Arial Narrow" w:hAnsi="Arial Narrow" w:cs="Open Sans"/>
                <w:color w:val="0D0D0D" w:themeColor="text1" w:themeTint="F2"/>
                <w:sz w:val="20"/>
                <w:szCs w:val="20"/>
              </w:rPr>
              <w:t xml:space="preserve"> Special Pricing Arrangements apply.</w:t>
            </w:r>
          </w:p>
        </w:tc>
      </w:tr>
      <w:tr w:rsidR="00DA3E06" w:rsidRPr="00DA3E06" w14:paraId="112852C0" w14:textId="77777777">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3B834A" w14:textId="77777777" w:rsidR="00DA3E06" w:rsidRPr="00DA3E06" w:rsidRDefault="00DA3E06" w:rsidP="00DA3E06">
            <w:pPr>
              <w:keepNext/>
              <w:keepLines/>
              <w:rPr>
                <w:rFonts w:ascii="Arial Narrow" w:hAnsi="Arial Narrow"/>
                <w:bCs/>
                <w:i/>
                <w:iCs/>
                <w:color w:val="0D0D0D" w:themeColor="text1" w:themeTint="F2"/>
                <w:sz w:val="20"/>
                <w:szCs w:val="20"/>
              </w:rPr>
            </w:pPr>
            <w:r w:rsidRPr="00DA3E06">
              <w:rPr>
                <w:rFonts w:ascii="Arial Narrow" w:hAnsi="Arial Narrow"/>
                <w:b/>
                <w:bCs/>
                <w:i/>
                <w:iCs/>
                <w:color w:val="0D0D0D" w:themeColor="text1" w:themeTint="F2"/>
                <w:sz w:val="20"/>
                <w:szCs w:val="20"/>
              </w:rPr>
              <w:t xml:space="preserve">Administrative Advice: </w:t>
            </w:r>
            <w:r w:rsidRPr="00DA3E06">
              <w:rPr>
                <w:rFonts w:ascii="Arial Narrow" w:hAnsi="Arial Narrow"/>
                <w:bCs/>
                <w:i/>
                <w:iCs/>
                <w:color w:val="0D0D0D" w:themeColor="text1" w:themeTint="F2"/>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52FB5150" w14:textId="40B2B588" w:rsidR="00DA3E06" w:rsidRPr="00DA3E06" w:rsidRDefault="00DA3E06" w:rsidP="00DA3E06">
      <w:pPr>
        <w:snapToGrid w:val="0"/>
        <w:spacing w:after="120"/>
        <w:contextualSpacing/>
        <w:rPr>
          <w:rFonts w:ascii="Arial Narrow" w:hAnsi="Arial Narrow" w:cs="Arial"/>
          <w:sz w:val="18"/>
          <w:szCs w:val="22"/>
        </w:rPr>
      </w:pPr>
      <w:r w:rsidRPr="00DA3E06">
        <w:rPr>
          <w:rFonts w:ascii="Arial Narrow" w:hAnsi="Arial Narrow" w:cs="Arial"/>
          <w:sz w:val="18"/>
          <w:szCs w:val="22"/>
        </w:rPr>
        <w:t>Source: Table 2, futibatinib minutes, March 2025 PBAC meeting.</w:t>
      </w:r>
    </w:p>
    <w:p w14:paraId="0E6B416F" w14:textId="77777777" w:rsidR="00DA3E06" w:rsidRPr="00DA3E06" w:rsidRDefault="00DA3E06" w:rsidP="00DA3E06">
      <w:pPr>
        <w:snapToGrid w:val="0"/>
        <w:spacing w:after="120"/>
        <w:contextualSpacing/>
        <w:rPr>
          <w:rFonts w:ascii="Arial Narrow" w:hAnsi="Arial Narrow" w:cs="Arial"/>
          <w:sz w:val="18"/>
          <w:szCs w:val="22"/>
        </w:rPr>
      </w:pPr>
    </w:p>
    <w:p w14:paraId="43B9EADC" w14:textId="77777777" w:rsidR="00DA3E06" w:rsidRPr="00DA3E06" w:rsidRDefault="00DA3E06" w:rsidP="00DA3E06">
      <w:pPr>
        <w:rPr>
          <w:i/>
        </w:rPr>
      </w:pPr>
      <w:r w:rsidRPr="00DA3E06">
        <w:rPr>
          <w:i/>
        </w:rPr>
        <w:t>For more detail on PBAC’s view, see section 5 PBAC outcome.</w:t>
      </w:r>
    </w:p>
    <w:p w14:paraId="4E73C1DA" w14:textId="77777777" w:rsidR="00DA3E06" w:rsidRPr="00DA3E06" w:rsidRDefault="00DA3E06" w:rsidP="00DA3E06">
      <w:pPr>
        <w:keepNext/>
        <w:numPr>
          <w:ilvl w:val="0"/>
          <w:numId w:val="9"/>
        </w:numPr>
        <w:snapToGrid w:val="0"/>
        <w:spacing w:before="240" w:after="120"/>
        <w:jc w:val="left"/>
        <w:outlineLvl w:val="0"/>
        <w:rPr>
          <w:rFonts w:cs="Arial"/>
          <w:b/>
          <w:sz w:val="32"/>
          <w:szCs w:val="32"/>
        </w:rPr>
      </w:pPr>
      <w:r w:rsidRPr="00DA3E06">
        <w:rPr>
          <w:rFonts w:cs="Arial"/>
          <w:b/>
          <w:sz w:val="32"/>
          <w:szCs w:val="32"/>
        </w:rPr>
        <w:t>Consideration of the evidence</w:t>
      </w:r>
    </w:p>
    <w:p w14:paraId="49E0B06C" w14:textId="77777777" w:rsidR="00DA3E06" w:rsidRPr="005F4F77" w:rsidRDefault="00DA3E06" w:rsidP="00DA3E06">
      <w:pPr>
        <w:spacing w:before="120" w:after="120"/>
        <w:jc w:val="left"/>
        <w:outlineLvl w:val="1"/>
        <w:rPr>
          <w:rFonts w:eastAsia="MS Gothic"/>
          <w:b/>
          <w:i/>
          <w:color w:val="000000" w:themeColor="text1"/>
          <w:spacing w:val="5"/>
          <w:kern w:val="28"/>
          <w:sz w:val="28"/>
          <w:szCs w:val="36"/>
          <w:lang w:eastAsia="en-US"/>
        </w:rPr>
      </w:pPr>
      <w:bookmarkStart w:id="4" w:name="_Hlk76375935"/>
      <w:r w:rsidRPr="005F4F77">
        <w:rPr>
          <w:rFonts w:eastAsia="MS Gothic"/>
          <w:b/>
          <w:i/>
          <w:color w:val="000000" w:themeColor="text1"/>
          <w:spacing w:val="5"/>
          <w:kern w:val="28"/>
          <w:sz w:val="28"/>
          <w:szCs w:val="36"/>
          <w:lang w:eastAsia="en-US"/>
        </w:rPr>
        <w:t>Sponsor hearing</w:t>
      </w:r>
    </w:p>
    <w:p w14:paraId="4BDCEC1C" w14:textId="77777777" w:rsidR="00DA3E06" w:rsidRPr="00DA3E06" w:rsidRDefault="00DA3E06" w:rsidP="00DA3E06">
      <w:pPr>
        <w:numPr>
          <w:ilvl w:val="1"/>
          <w:numId w:val="9"/>
        </w:numPr>
        <w:spacing w:after="120"/>
        <w:rPr>
          <w:rFonts w:eastAsia="Calibri" w:cs="Calibri"/>
          <w:bCs/>
          <w:snapToGrid w:val="0"/>
          <w:szCs w:val="22"/>
        </w:rPr>
      </w:pPr>
      <w:r w:rsidRPr="00DA3E06">
        <w:rPr>
          <w:rFonts w:eastAsia="Calibri" w:cs="Arial"/>
          <w:snapToGrid w:val="0"/>
          <w:szCs w:val="22"/>
        </w:rPr>
        <w:t>There</w:t>
      </w:r>
      <w:r w:rsidRPr="00DA3E06">
        <w:rPr>
          <w:rFonts w:eastAsia="Calibri" w:cs="Calibri"/>
          <w:bCs/>
          <w:snapToGrid w:val="0"/>
          <w:szCs w:val="22"/>
        </w:rPr>
        <w:t xml:space="preserve"> </w:t>
      </w:r>
      <w:r w:rsidRPr="00DA3E06">
        <w:rPr>
          <w:rFonts w:eastAsia="Calibri" w:cs="Arial"/>
          <w:snapToGrid w:val="0"/>
          <w:szCs w:val="22"/>
        </w:rPr>
        <w:t>was</w:t>
      </w:r>
      <w:r w:rsidRPr="00DA3E06">
        <w:rPr>
          <w:rFonts w:eastAsia="Calibri" w:cs="Calibri"/>
          <w:bCs/>
          <w:snapToGrid w:val="0"/>
          <w:szCs w:val="22"/>
        </w:rPr>
        <w:t xml:space="preserve"> no hearing for this item.</w:t>
      </w:r>
    </w:p>
    <w:p w14:paraId="755AD5F2" w14:textId="77777777" w:rsidR="00DA3E06" w:rsidRPr="005F4F77" w:rsidRDefault="00DA3E06" w:rsidP="00DA3E06">
      <w:pPr>
        <w:keepNext/>
        <w:spacing w:before="120" w:after="120"/>
        <w:jc w:val="left"/>
        <w:outlineLvl w:val="1"/>
        <w:rPr>
          <w:rFonts w:eastAsia="MS Gothic"/>
          <w:b/>
          <w:i/>
          <w:color w:val="000000" w:themeColor="text1"/>
          <w:spacing w:val="5"/>
          <w:kern w:val="28"/>
          <w:sz w:val="28"/>
          <w:szCs w:val="36"/>
          <w:lang w:eastAsia="en-US"/>
        </w:rPr>
      </w:pPr>
      <w:r w:rsidRPr="005F4F77">
        <w:rPr>
          <w:rFonts w:eastAsia="MS Gothic"/>
          <w:b/>
          <w:i/>
          <w:color w:val="000000" w:themeColor="text1"/>
          <w:spacing w:val="5"/>
          <w:kern w:val="28"/>
          <w:sz w:val="28"/>
          <w:szCs w:val="36"/>
          <w:lang w:eastAsia="en-US"/>
        </w:rPr>
        <w:t>Consumer comments</w:t>
      </w:r>
    </w:p>
    <w:p w14:paraId="38CE94B5" w14:textId="77777777" w:rsidR="00DA3E06" w:rsidRPr="00DA3E06" w:rsidRDefault="00DA3E06" w:rsidP="00DA3E06">
      <w:pPr>
        <w:numPr>
          <w:ilvl w:val="1"/>
          <w:numId w:val="9"/>
        </w:numPr>
        <w:spacing w:after="120"/>
        <w:rPr>
          <w:rFonts w:eastAsia="Calibri" w:cs="Arial"/>
          <w:snapToGrid w:val="0"/>
          <w:szCs w:val="22"/>
        </w:rPr>
      </w:pPr>
      <w:bookmarkStart w:id="5" w:name="_Hlk76382618"/>
      <w:r w:rsidRPr="00DA3E06">
        <w:rPr>
          <w:rFonts w:eastAsia="Calibri" w:cs="Arial"/>
          <w:snapToGrid w:val="0"/>
          <w:szCs w:val="22"/>
        </w:rPr>
        <w:t xml:space="preserve">The PBAC noted and welcomed the input regarding the resubmission from organisations (2) via the Consumer comments facility on the PBS website. Rare </w:t>
      </w:r>
      <w:r w:rsidRPr="00DA3E06">
        <w:rPr>
          <w:rFonts w:eastAsia="Calibri" w:cs="Arial"/>
          <w:snapToGrid w:val="0"/>
          <w:szCs w:val="22"/>
        </w:rPr>
        <w:lastRenderedPageBreak/>
        <w:t>Cancers Australia described the severity of CCA, trade-offs associated with side-effects of current chemotherapy options and quality of life, and the benefits associated with futibatinib’s oral administration, particularly for rural and remote patients</w:t>
      </w:r>
      <w:bookmarkStart w:id="6" w:name="_Hlk97141379"/>
      <w:r w:rsidRPr="00DA3E06">
        <w:rPr>
          <w:rFonts w:eastAsia="Calibri" w:cs="Arial"/>
          <w:snapToGrid w:val="0"/>
          <w:szCs w:val="22"/>
        </w:rPr>
        <w:t>.</w:t>
      </w:r>
      <w:bookmarkEnd w:id="6"/>
      <w:r w:rsidRPr="00DA3E06">
        <w:rPr>
          <w:rFonts w:eastAsia="Calibri" w:cs="Arial"/>
          <w:snapToGrid w:val="0"/>
          <w:szCs w:val="22"/>
        </w:rPr>
        <w:t xml:space="preserve"> They noted the side-effect profile of futibatinib, but said this was manageable and the need for affordable access was a greater concern as cost and the need to travel to clinical trials were barriers to access at present. The PBAC also noted that supportive comments were received from the </w:t>
      </w:r>
      <w:proofErr w:type="spellStart"/>
      <w:r w:rsidRPr="00DA3E06">
        <w:rPr>
          <w:rFonts w:eastAsia="Calibri" w:cs="Arial"/>
          <w:snapToGrid w:val="0"/>
          <w:szCs w:val="22"/>
        </w:rPr>
        <w:t>Pancare</w:t>
      </w:r>
      <w:proofErr w:type="spellEnd"/>
      <w:r w:rsidRPr="00DA3E06">
        <w:rPr>
          <w:rFonts w:eastAsia="Calibri" w:cs="Arial"/>
          <w:snapToGrid w:val="0"/>
          <w:szCs w:val="22"/>
        </w:rPr>
        <w:t xml:space="preserve"> Foundation and the Liver Foundation in relation to the previous submission.</w:t>
      </w:r>
    </w:p>
    <w:bookmarkEnd w:id="4"/>
    <w:bookmarkEnd w:id="5"/>
    <w:p w14:paraId="682BBDE4" w14:textId="77777777"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t>The Medical Oncology Group of Australia (MOGA) also expressed its support for the futibatinib submission. The PBAC noted that the MOGA presented a European Society for Medical Oncology Magnitude of Clinical Benefit Scale (ESMO-MCBS) for futibatinib of 2 (out of a maximum of 5, where 5 and 4 represent the grades with substantial improvement)</w:t>
      </w:r>
      <w:r w:rsidRPr="00DA3E06">
        <w:rPr>
          <w:rFonts w:eastAsia="Calibri" w:cs="Arial"/>
          <w:snapToGrid w:val="0"/>
          <w:szCs w:val="22"/>
          <w:vertAlign w:val="superscript"/>
        </w:rPr>
        <w:footnoteReference w:id="2"/>
      </w:r>
      <w:r w:rsidRPr="00DA3E06">
        <w:rPr>
          <w:rFonts w:eastAsia="Calibri" w:cs="Arial"/>
          <w:snapToGrid w:val="0"/>
          <w:szCs w:val="22"/>
        </w:rPr>
        <w:t xml:space="preserve">, </w:t>
      </w:r>
      <w:proofErr w:type="gramStart"/>
      <w:r w:rsidRPr="00DA3E06">
        <w:rPr>
          <w:rFonts w:eastAsia="Calibri" w:cs="Arial"/>
          <w:snapToGrid w:val="0"/>
          <w:szCs w:val="22"/>
        </w:rPr>
        <w:t>on the basis of</w:t>
      </w:r>
      <w:proofErr w:type="gramEnd"/>
      <w:r w:rsidRPr="00DA3E06">
        <w:rPr>
          <w:rFonts w:eastAsia="Calibri" w:cs="Arial"/>
          <w:snapToGrid w:val="0"/>
          <w:szCs w:val="22"/>
        </w:rPr>
        <w:t xml:space="preserve"> objective response rate in the FOENIX-CCA2 trial. </w:t>
      </w:r>
    </w:p>
    <w:p w14:paraId="7120C15F" w14:textId="77777777" w:rsidR="00DA3E06" w:rsidRPr="005F4F77" w:rsidRDefault="00DA3E06" w:rsidP="00DA3E06">
      <w:pPr>
        <w:spacing w:before="120" w:after="120"/>
        <w:jc w:val="left"/>
        <w:outlineLvl w:val="1"/>
        <w:rPr>
          <w:rFonts w:eastAsia="MS Gothic"/>
          <w:b/>
          <w:i/>
          <w:color w:val="000000" w:themeColor="text1"/>
          <w:spacing w:val="5"/>
          <w:kern w:val="28"/>
          <w:sz w:val="28"/>
          <w:szCs w:val="36"/>
          <w:lang w:eastAsia="en-US"/>
        </w:rPr>
      </w:pPr>
      <w:r w:rsidRPr="005F4F77">
        <w:rPr>
          <w:rFonts w:eastAsia="MS Gothic"/>
          <w:b/>
          <w:i/>
          <w:color w:val="000000" w:themeColor="text1"/>
          <w:spacing w:val="5"/>
          <w:kern w:val="28"/>
          <w:sz w:val="28"/>
          <w:szCs w:val="36"/>
          <w:lang w:eastAsia="en-US"/>
        </w:rPr>
        <w:t>Comparative effectiveness</w:t>
      </w:r>
    </w:p>
    <w:p w14:paraId="10A748C9" w14:textId="77777777" w:rsidR="00DA3E06" w:rsidRPr="00DA3E06" w:rsidRDefault="00DA3E06" w:rsidP="00DA3E06">
      <w:pPr>
        <w:numPr>
          <w:ilvl w:val="1"/>
          <w:numId w:val="9"/>
        </w:numPr>
        <w:spacing w:after="120"/>
        <w:rPr>
          <w:rFonts w:eastAsia="Calibri" w:cs="Arial"/>
          <w:snapToGrid w:val="0"/>
          <w:szCs w:val="22"/>
          <w:lang w:eastAsia="en-US"/>
        </w:rPr>
      </w:pPr>
      <w:r w:rsidRPr="00DA3E06">
        <w:rPr>
          <w:rFonts w:eastAsia="Calibri" w:cs="Arial"/>
          <w:snapToGrid w:val="0"/>
          <w:szCs w:val="22"/>
        </w:rPr>
        <w:t>The resubmission did not provide any additional clinical data.</w:t>
      </w:r>
    </w:p>
    <w:p w14:paraId="7C9FF074" w14:textId="22CDA491" w:rsidR="00DA3E06" w:rsidRPr="00DA3E06" w:rsidRDefault="00DA3E06" w:rsidP="00DA3E06">
      <w:pPr>
        <w:numPr>
          <w:ilvl w:val="1"/>
          <w:numId w:val="9"/>
        </w:numPr>
        <w:spacing w:after="120"/>
        <w:rPr>
          <w:rFonts w:eastAsia="Calibri" w:cs="Arial"/>
          <w:snapToGrid w:val="0"/>
          <w:szCs w:val="22"/>
          <w:lang w:eastAsia="en-US"/>
        </w:rPr>
      </w:pPr>
      <w:r w:rsidRPr="00DA3E06">
        <w:rPr>
          <w:rFonts w:eastAsia="Calibri" w:cs="Arial"/>
          <w:snapToGrid w:val="0"/>
          <w:szCs w:val="22"/>
        </w:rPr>
        <w:t xml:space="preserve">The submission considered in March 2025 was based on FOENIX-CCA2 (n=103), an open-label, single-arm, phase 2 trial of futibatinib in patients with unresectable or metastatic </w:t>
      </w:r>
      <w:r w:rsidRPr="00DA3E06">
        <w:rPr>
          <w:rFonts w:eastAsia="Calibri" w:cs="Arial"/>
          <w:i/>
          <w:iCs/>
          <w:snapToGrid w:val="0"/>
          <w:szCs w:val="22"/>
        </w:rPr>
        <w:t>FGFR2</w:t>
      </w:r>
      <w:r w:rsidRPr="00DA3E06">
        <w:rPr>
          <w:rFonts w:eastAsia="Calibri" w:cs="Arial"/>
          <w:snapToGrid w:val="0"/>
          <w:szCs w:val="22"/>
        </w:rPr>
        <w:t xml:space="preserve"> fusion-positive or </w:t>
      </w:r>
      <w:r w:rsidRPr="00DA3E06">
        <w:rPr>
          <w:rFonts w:eastAsia="Calibri" w:cs="Arial"/>
          <w:i/>
          <w:iCs/>
          <w:snapToGrid w:val="0"/>
          <w:szCs w:val="22"/>
        </w:rPr>
        <w:t>FGFR2</w:t>
      </w:r>
      <w:r w:rsidRPr="00DA3E06">
        <w:rPr>
          <w:rFonts w:eastAsia="Calibri" w:cs="Arial"/>
          <w:snapToGrid w:val="0"/>
          <w:szCs w:val="22"/>
        </w:rPr>
        <w:t xml:space="preserve"> rearrangement-positive iCCA, and disease progression after one or more previous lines of systemic therapy; and ABC-06 (n=81), an open-label randomised phase 3 trial of ASC and FOLFOX in patients with locally advanced or metastatic biliary tract cancer (including CCA and gallbladder or ampullary carcinoma). These trials formed the basis of an unanchored matched adjusted indirect comparison (MAIC) of futibatinib versus FOLFOX. The PBAC noted the improvements in efficacy with futibatinib compared to FOLFOX based on the MAIC: adjusted progression free survival (PFS) hazard ratio (HR) = 0.30 (95% CI: 0.22, 0.41) and overall survival (OS) HR = 0.24 (95% CI: 0.18, 0.32</w:t>
      </w:r>
      <w:r w:rsidRPr="00DA3E06">
        <w:rPr>
          <w:rFonts w:eastAsia="Calibri" w:cs="Arial"/>
          <w:snapToGrid w:val="0"/>
          <w:szCs w:val="22"/>
          <w:vertAlign w:val="superscript"/>
        </w:rPr>
        <w:footnoteReference w:id="3"/>
      </w:r>
      <w:r w:rsidRPr="00DA3E06">
        <w:rPr>
          <w:rFonts w:eastAsia="Calibri" w:cs="Arial"/>
          <w:snapToGrid w:val="0"/>
          <w:szCs w:val="22"/>
        </w:rPr>
        <w:t>). However, the PBAC considered that the magnitude of clinical benefit was likely overestimated due to differences in baseline characteristics (</w:t>
      </w:r>
      <w:proofErr w:type="gramStart"/>
      <w:r w:rsidRPr="00DA3E06">
        <w:rPr>
          <w:rFonts w:eastAsia="Calibri" w:cs="Arial"/>
          <w:snapToGrid w:val="0"/>
          <w:szCs w:val="22"/>
        </w:rPr>
        <w:t xml:space="preserve">in particular </w:t>
      </w:r>
      <w:r w:rsidRPr="00DA3E06">
        <w:rPr>
          <w:rFonts w:eastAsia="Calibri" w:cs="Arial"/>
          <w:i/>
          <w:iCs/>
          <w:snapToGrid w:val="0"/>
          <w:szCs w:val="22"/>
        </w:rPr>
        <w:t>FGFR2</w:t>
      </w:r>
      <w:proofErr w:type="gramEnd"/>
      <w:r w:rsidRPr="00DA3E06">
        <w:rPr>
          <w:rFonts w:eastAsia="Calibri" w:cs="Arial"/>
          <w:snapToGrid w:val="0"/>
          <w:szCs w:val="22"/>
        </w:rPr>
        <w:t xml:space="preserve"> status which may be a prognostic factor), and the unanchored nature of the MAIC, which confers a high risk of bias to unknown treatment effect modifiers. The PBAC noted that the adjustments applied as part of the MAIC increased the estimated PFS and OS for futibatinib, despite accounting for the FOLFOX trial patients being older and having a worse performance status compared with the patients in the futibatinib trial, which further raised </w:t>
      </w:r>
      <w:r w:rsidRPr="00DA3E06">
        <w:rPr>
          <w:rFonts w:eastAsia="Calibri" w:cs="Arial"/>
          <w:snapToGrid w:val="0"/>
          <w:szCs w:val="22"/>
        </w:rPr>
        <w:lastRenderedPageBreak/>
        <w:t>questions regarding the reliability of the MAIC. The PBAC considered that the clinical claim of superiority for futibatinib compared to FOLFOX was reasonable, but that the magnitude of benefit was highly uncertain (paragraph 7.8. futibatinib</w:t>
      </w:r>
      <w:r w:rsidR="006D05C2">
        <w:rPr>
          <w:rFonts w:eastAsia="Calibri" w:cs="Arial"/>
          <w:snapToGrid w:val="0"/>
          <w:szCs w:val="22"/>
        </w:rPr>
        <w:t xml:space="preserve"> </w:t>
      </w:r>
      <w:r w:rsidR="009700B5">
        <w:rPr>
          <w:rFonts w:eastAsia="Calibri" w:cs="Arial"/>
          <w:snapToGrid w:val="0"/>
          <w:szCs w:val="22"/>
        </w:rPr>
        <w:t xml:space="preserve">Public </w:t>
      </w:r>
      <w:proofErr w:type="spellStart"/>
      <w:r w:rsidR="009700B5">
        <w:rPr>
          <w:rFonts w:eastAsia="Calibri" w:cs="Arial"/>
          <w:snapToGrid w:val="0"/>
          <w:szCs w:val="22"/>
        </w:rPr>
        <w:t>Summaru</w:t>
      </w:r>
      <w:proofErr w:type="spellEnd"/>
      <w:r w:rsidR="009700B5">
        <w:rPr>
          <w:rFonts w:eastAsia="Calibri" w:cs="Arial"/>
          <w:snapToGrid w:val="0"/>
          <w:szCs w:val="22"/>
        </w:rPr>
        <w:t xml:space="preserve"> Document [</w:t>
      </w:r>
      <w:r w:rsidR="006D05C2">
        <w:rPr>
          <w:rFonts w:eastAsia="Calibri" w:cs="Arial"/>
          <w:snapToGrid w:val="0"/>
          <w:szCs w:val="22"/>
        </w:rPr>
        <w:t>PSD</w:t>
      </w:r>
      <w:r w:rsidR="009700B5">
        <w:rPr>
          <w:rFonts w:eastAsia="Calibri" w:cs="Arial"/>
          <w:snapToGrid w:val="0"/>
          <w:szCs w:val="22"/>
        </w:rPr>
        <w:t>]</w:t>
      </w:r>
      <w:r w:rsidRPr="00DA3E06">
        <w:rPr>
          <w:rFonts w:eastAsia="Calibri" w:cs="Arial"/>
          <w:snapToGrid w:val="0"/>
          <w:szCs w:val="22"/>
        </w:rPr>
        <w:t>, March 2025 PBAC meeting).</w:t>
      </w:r>
    </w:p>
    <w:p w14:paraId="1ED87D24" w14:textId="7DA0D8BF" w:rsidR="00DA3E06" w:rsidRPr="00DA3E06" w:rsidRDefault="00DA3E06" w:rsidP="00DA3E06">
      <w:pPr>
        <w:numPr>
          <w:ilvl w:val="1"/>
          <w:numId w:val="9"/>
        </w:numPr>
        <w:spacing w:after="120"/>
        <w:rPr>
          <w:rFonts w:eastAsia="Calibri" w:cs="Arial"/>
          <w:i/>
          <w:iCs/>
          <w:snapToGrid w:val="0"/>
          <w:szCs w:val="22"/>
        </w:rPr>
      </w:pPr>
      <w:bookmarkStart w:id="7" w:name="_Ref201654818"/>
      <w:r w:rsidRPr="00DA3E06">
        <w:rPr>
          <w:rFonts w:eastAsia="Calibri" w:cs="Arial"/>
          <w:snapToGrid w:val="0"/>
          <w:szCs w:val="22"/>
        </w:rPr>
        <w:t xml:space="preserve">Additional indirect comparisons identified during the evaluation of the submission considered in March 2025 (Paine 2022, Borad 2022), comparing futibatinib and FOLFOX for patients with </w:t>
      </w:r>
      <w:r w:rsidRPr="00DA3E06">
        <w:rPr>
          <w:rFonts w:eastAsia="Calibri" w:cs="Arial"/>
          <w:i/>
          <w:iCs/>
          <w:snapToGrid w:val="0"/>
          <w:szCs w:val="22"/>
        </w:rPr>
        <w:t>FGFR2</w:t>
      </w:r>
      <w:r w:rsidRPr="00DA3E06">
        <w:rPr>
          <w:rFonts w:eastAsia="Calibri" w:cs="Arial"/>
          <w:snapToGrid w:val="0"/>
          <w:szCs w:val="22"/>
        </w:rPr>
        <w:t xml:space="preserve"> alterations (both arms, which accounted for the potential prognostic influence of </w:t>
      </w:r>
      <w:r w:rsidRPr="00DA3E06">
        <w:rPr>
          <w:rFonts w:eastAsia="Calibri" w:cs="Arial"/>
          <w:i/>
          <w:iCs/>
          <w:snapToGrid w:val="0"/>
          <w:szCs w:val="22"/>
        </w:rPr>
        <w:t>FGFR2</w:t>
      </w:r>
      <w:r w:rsidRPr="00DA3E06">
        <w:rPr>
          <w:rFonts w:eastAsia="Calibri" w:cs="Arial"/>
          <w:snapToGrid w:val="0"/>
          <w:szCs w:val="22"/>
        </w:rPr>
        <w:t xml:space="preserve"> status) reported a less favourable adjusted HR for PFS (0.48-0.53 vs 0.30) and OS (0.48-0.49 vs 0.24) for futibatinib compared to chemotherapy vs those presented in the submission (see </w:t>
      </w:r>
      <w:r w:rsidRPr="00DA3E06">
        <w:rPr>
          <w:rFonts w:eastAsia="Calibri" w:cs="Arial"/>
          <w:snapToGrid w:val="0"/>
          <w:szCs w:val="22"/>
        </w:rPr>
        <w:fldChar w:fldCharType="begin"/>
      </w:r>
      <w:r w:rsidRPr="00DA3E06">
        <w:rPr>
          <w:rFonts w:eastAsia="Calibri" w:cs="Arial"/>
          <w:snapToGrid w:val="0"/>
          <w:szCs w:val="22"/>
        </w:rPr>
        <w:instrText xml:space="preserve"> REF _Ref201653528 \h </w:instrText>
      </w:r>
      <w:r w:rsidRPr="00DA3E06">
        <w:rPr>
          <w:rFonts w:eastAsia="Calibri" w:cs="Arial"/>
          <w:snapToGrid w:val="0"/>
          <w:szCs w:val="22"/>
        </w:rPr>
      </w:r>
      <w:r w:rsidRPr="00DA3E06">
        <w:rPr>
          <w:rFonts w:eastAsia="Calibri" w:cs="Arial"/>
          <w:snapToGrid w:val="0"/>
          <w:szCs w:val="22"/>
        </w:rPr>
        <w:fldChar w:fldCharType="separate"/>
      </w:r>
      <w:r w:rsidR="00971CD5" w:rsidRPr="00DA3E06">
        <w:rPr>
          <w:rFonts w:ascii="Arial Narrow" w:eastAsia="MS Gothic" w:hAnsi="Arial Narrow"/>
          <w:b/>
          <w:bCs/>
          <w:sz w:val="20"/>
        </w:rPr>
        <w:t xml:space="preserve">Table </w:t>
      </w:r>
      <w:r w:rsidR="00971CD5">
        <w:rPr>
          <w:rFonts w:ascii="Arial Narrow" w:eastAsia="MS Gothic" w:hAnsi="Arial Narrow"/>
          <w:b/>
          <w:bCs/>
          <w:noProof/>
          <w:sz w:val="20"/>
        </w:rPr>
        <w:t>3</w:t>
      </w:r>
      <w:r w:rsidRPr="00DA3E06">
        <w:rPr>
          <w:rFonts w:eastAsia="Calibri" w:cs="Arial"/>
          <w:snapToGrid w:val="0"/>
          <w:szCs w:val="22"/>
        </w:rPr>
        <w:fldChar w:fldCharType="end"/>
      </w:r>
      <w:r w:rsidRPr="00DA3E06">
        <w:rPr>
          <w:rFonts w:eastAsia="Calibri" w:cs="Arial"/>
          <w:snapToGrid w:val="0"/>
          <w:szCs w:val="22"/>
        </w:rPr>
        <w:t>). The PBAC noted this supported its consideration that the MAIC likely overestimated the magnitude of clinical benefit of futibatinib (paragraph 7.8, futibatinib</w:t>
      </w:r>
      <w:r w:rsidR="006D05C2">
        <w:rPr>
          <w:rFonts w:eastAsia="Calibri" w:cs="Arial"/>
          <w:snapToGrid w:val="0"/>
          <w:szCs w:val="22"/>
        </w:rPr>
        <w:t xml:space="preserve"> PSD</w:t>
      </w:r>
      <w:r w:rsidRPr="00DA3E06">
        <w:rPr>
          <w:rFonts w:eastAsia="Calibri" w:cs="Arial"/>
          <w:snapToGrid w:val="0"/>
          <w:szCs w:val="22"/>
        </w:rPr>
        <w:t>, March 2025 PBAC meeting). The resubmission maintained that the ABC-06 trial remains the best available evidence, highlighting uncertainties due to limited details regarding methodologies and limitations of the approaches used by Paine 2022 and Borad 2022. The submission overview noted that the PBAC did not necessarily consider Paine 2022 and Borad 2022 to be better evidence; rather, they supported its consideration that the MAIC likely overestimated the magnitude of clinical benefit.</w:t>
      </w:r>
      <w:bookmarkEnd w:id="7"/>
      <w:r w:rsidRPr="00DA3E06">
        <w:rPr>
          <w:rFonts w:eastAsia="Calibri" w:cs="Arial"/>
          <w:i/>
          <w:iCs/>
          <w:snapToGrid w:val="0"/>
          <w:szCs w:val="22"/>
        </w:rPr>
        <w:t xml:space="preserve"> </w:t>
      </w:r>
    </w:p>
    <w:p w14:paraId="7245903D" w14:textId="77777777" w:rsidR="00DA3E06" w:rsidRPr="00DA3E06" w:rsidRDefault="00DA3E06" w:rsidP="00DA3E06">
      <w:pPr>
        <w:keepNext/>
        <w:jc w:val="left"/>
        <w:rPr>
          <w:rFonts w:ascii="Arial Narrow" w:eastAsia="MS Gothic" w:hAnsi="Arial Narrow"/>
          <w:b/>
          <w:bCs/>
          <w:sz w:val="20"/>
        </w:rPr>
      </w:pPr>
    </w:p>
    <w:p w14:paraId="71BB5CE8" w14:textId="422A9D35" w:rsidR="00DA3E06" w:rsidRPr="00DA3E06" w:rsidRDefault="00DA3E06" w:rsidP="00DA3E06">
      <w:pPr>
        <w:keepNext/>
        <w:jc w:val="left"/>
        <w:rPr>
          <w:rFonts w:ascii="Arial Narrow" w:eastAsia="MS Gothic" w:hAnsi="Arial Narrow"/>
          <w:b/>
          <w:bCs/>
          <w:sz w:val="20"/>
        </w:rPr>
      </w:pPr>
      <w:bookmarkStart w:id="8" w:name="_Ref201653528"/>
      <w:r w:rsidRPr="00DA3E06">
        <w:rPr>
          <w:rFonts w:ascii="Arial Narrow" w:eastAsia="MS Gothic" w:hAnsi="Arial Narrow"/>
          <w:b/>
          <w:bCs/>
          <w:sz w:val="20"/>
        </w:rPr>
        <w:t xml:space="preserve">Table </w:t>
      </w:r>
      <w:r w:rsidRPr="00DA3E06">
        <w:rPr>
          <w:rFonts w:ascii="Arial Narrow" w:eastAsia="MS Gothic" w:hAnsi="Arial Narrow"/>
          <w:b/>
          <w:bCs/>
          <w:sz w:val="20"/>
        </w:rPr>
        <w:fldChar w:fldCharType="begin"/>
      </w:r>
      <w:r w:rsidRPr="00DA3E06">
        <w:rPr>
          <w:rFonts w:ascii="Arial Narrow" w:eastAsia="MS Gothic" w:hAnsi="Arial Narrow"/>
          <w:b/>
          <w:bCs/>
          <w:sz w:val="20"/>
        </w:rPr>
        <w:instrText xml:space="preserve"> SEQ Table \* ARABIC </w:instrText>
      </w:r>
      <w:r w:rsidRPr="00DA3E06">
        <w:rPr>
          <w:rFonts w:ascii="Arial Narrow" w:eastAsia="MS Gothic" w:hAnsi="Arial Narrow"/>
          <w:b/>
          <w:bCs/>
          <w:sz w:val="20"/>
        </w:rPr>
        <w:fldChar w:fldCharType="separate"/>
      </w:r>
      <w:r w:rsidR="00971CD5">
        <w:rPr>
          <w:rFonts w:ascii="Arial Narrow" w:eastAsia="MS Gothic" w:hAnsi="Arial Narrow"/>
          <w:b/>
          <w:bCs/>
          <w:noProof/>
          <w:sz w:val="20"/>
        </w:rPr>
        <w:t>3</w:t>
      </w:r>
      <w:r w:rsidRPr="00DA3E06">
        <w:rPr>
          <w:rFonts w:ascii="Arial Narrow" w:eastAsia="MS Gothic" w:hAnsi="Arial Narrow"/>
          <w:b/>
          <w:bCs/>
          <w:sz w:val="20"/>
        </w:rPr>
        <w:fldChar w:fldCharType="end"/>
      </w:r>
      <w:bookmarkEnd w:id="8"/>
      <w:r w:rsidRPr="00DA3E06">
        <w:rPr>
          <w:rFonts w:ascii="Arial Narrow" w:eastAsia="MS Gothic" w:hAnsi="Arial Narrow"/>
          <w:b/>
          <w:bCs/>
          <w:sz w:val="20"/>
        </w:rPr>
        <w:t>: Indirect comparison results between futibatinib and chemotherapy in FGFR2 altered patients in Paine 2022 and Borad 2022</w:t>
      </w:r>
    </w:p>
    <w:tbl>
      <w:tblPr>
        <w:tblStyle w:val="TableGrid"/>
        <w:tblW w:w="0" w:type="auto"/>
        <w:tblLook w:val="04A0" w:firstRow="1" w:lastRow="0" w:firstColumn="1" w:lastColumn="0" w:noHBand="0" w:noVBand="1"/>
        <w:tblCaption w:val="Indirect comparison results between futibatinib and chemotherapy in FGFR2 altered patients in Paine 2022 and Borad 2022"/>
      </w:tblPr>
      <w:tblGrid>
        <w:gridCol w:w="3005"/>
        <w:gridCol w:w="3005"/>
        <w:gridCol w:w="3006"/>
      </w:tblGrid>
      <w:tr w:rsidR="00DA3E06" w:rsidRPr="00DA3E06" w14:paraId="3287716D" w14:textId="77777777">
        <w:tc>
          <w:tcPr>
            <w:tcW w:w="3005" w:type="dxa"/>
            <w:tcBorders>
              <w:top w:val="single" w:sz="4" w:space="0" w:color="auto"/>
              <w:left w:val="single" w:sz="4" w:space="0" w:color="auto"/>
              <w:bottom w:val="single" w:sz="4" w:space="0" w:color="auto"/>
              <w:right w:val="single" w:sz="4" w:space="0" w:color="auto"/>
            </w:tcBorders>
          </w:tcPr>
          <w:p w14:paraId="3BE82E16" w14:textId="77777777" w:rsidR="00DA3E06" w:rsidRPr="00DA3E06" w:rsidRDefault="00DA3E06" w:rsidP="00DA3E06">
            <w:pPr>
              <w:keepNext/>
              <w:jc w:val="left"/>
              <w:rPr>
                <w:rFonts w:ascii="Arial Narrow" w:eastAsia="MS Gothic" w:hAnsi="Arial Narrow"/>
                <w:bCs/>
                <w:sz w:val="20"/>
                <w:highlight w:val="yellow"/>
                <w:lang w:eastAsia="en-US"/>
              </w:rPr>
            </w:pPr>
          </w:p>
        </w:tc>
        <w:tc>
          <w:tcPr>
            <w:tcW w:w="3005" w:type="dxa"/>
            <w:tcBorders>
              <w:top w:val="single" w:sz="4" w:space="0" w:color="auto"/>
              <w:left w:val="single" w:sz="4" w:space="0" w:color="auto"/>
              <w:bottom w:val="single" w:sz="4" w:space="0" w:color="auto"/>
              <w:right w:val="single" w:sz="4" w:space="0" w:color="auto"/>
            </w:tcBorders>
            <w:hideMark/>
          </w:tcPr>
          <w:p w14:paraId="553CDAEE" w14:textId="77777777" w:rsidR="00DA3E06" w:rsidRPr="00DA3E06" w:rsidRDefault="00DA3E06" w:rsidP="00DA3E06">
            <w:pPr>
              <w:keepNext/>
              <w:jc w:val="left"/>
              <w:rPr>
                <w:rFonts w:ascii="Arial Narrow" w:eastAsia="MS Gothic" w:hAnsi="Arial Narrow"/>
                <w:b/>
                <w:sz w:val="20"/>
                <w:highlight w:val="yellow"/>
                <w:lang w:eastAsia="en-US"/>
              </w:rPr>
            </w:pPr>
            <w:r w:rsidRPr="00DA3E06">
              <w:rPr>
                <w:rFonts w:ascii="Arial Narrow" w:eastAsia="MS Gothic" w:hAnsi="Arial Narrow"/>
                <w:b/>
                <w:sz w:val="20"/>
              </w:rPr>
              <w:t>Unadjusted HR (95% CI, p value)</w:t>
            </w:r>
          </w:p>
        </w:tc>
        <w:tc>
          <w:tcPr>
            <w:tcW w:w="3006" w:type="dxa"/>
            <w:tcBorders>
              <w:top w:val="single" w:sz="4" w:space="0" w:color="auto"/>
              <w:left w:val="single" w:sz="4" w:space="0" w:color="auto"/>
              <w:bottom w:val="single" w:sz="4" w:space="0" w:color="auto"/>
              <w:right w:val="single" w:sz="4" w:space="0" w:color="auto"/>
            </w:tcBorders>
            <w:hideMark/>
          </w:tcPr>
          <w:p w14:paraId="1AA7CD9B" w14:textId="77777777" w:rsidR="00DA3E06" w:rsidRPr="00DA3E06" w:rsidRDefault="00DA3E06" w:rsidP="00DA3E06">
            <w:pPr>
              <w:keepNext/>
              <w:jc w:val="left"/>
              <w:rPr>
                <w:rFonts w:ascii="Arial Narrow" w:eastAsia="MS Gothic" w:hAnsi="Arial Narrow"/>
                <w:b/>
                <w:sz w:val="20"/>
                <w:highlight w:val="yellow"/>
                <w:lang w:eastAsia="en-US"/>
              </w:rPr>
            </w:pPr>
            <w:r w:rsidRPr="00DA3E06">
              <w:rPr>
                <w:rFonts w:ascii="Arial Narrow" w:eastAsia="MS Gothic" w:hAnsi="Arial Narrow"/>
                <w:b/>
                <w:sz w:val="20"/>
              </w:rPr>
              <w:t>Adjusted HR (95% CI, p value)</w:t>
            </w:r>
          </w:p>
        </w:tc>
      </w:tr>
      <w:tr w:rsidR="00DA3E06" w:rsidRPr="00DA3E06" w14:paraId="410C622A"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11172C55" w14:textId="77777777" w:rsidR="00DA3E06" w:rsidRPr="00DA3E06" w:rsidRDefault="00DA3E06" w:rsidP="00DA3E06">
            <w:pPr>
              <w:keepNext/>
              <w:jc w:val="left"/>
              <w:rPr>
                <w:rFonts w:ascii="Arial Narrow" w:eastAsia="MS Gothic" w:hAnsi="Arial Narrow"/>
                <w:b/>
                <w:sz w:val="20"/>
                <w:highlight w:val="yellow"/>
                <w:lang w:eastAsia="en-US"/>
              </w:rPr>
            </w:pPr>
            <w:r w:rsidRPr="00DA3E06">
              <w:rPr>
                <w:rFonts w:ascii="Arial Narrow" w:eastAsia="MS Gothic" w:hAnsi="Arial Narrow"/>
                <w:b/>
                <w:sz w:val="20"/>
              </w:rPr>
              <w:t>Paine 2022</w:t>
            </w:r>
          </w:p>
        </w:tc>
      </w:tr>
      <w:tr w:rsidR="00DA3E06" w:rsidRPr="00DA3E06" w14:paraId="767EF7CE" w14:textId="77777777">
        <w:tc>
          <w:tcPr>
            <w:tcW w:w="3005" w:type="dxa"/>
            <w:tcBorders>
              <w:top w:val="single" w:sz="4" w:space="0" w:color="auto"/>
              <w:left w:val="single" w:sz="4" w:space="0" w:color="auto"/>
              <w:bottom w:val="single" w:sz="4" w:space="0" w:color="auto"/>
              <w:right w:val="single" w:sz="4" w:space="0" w:color="auto"/>
            </w:tcBorders>
            <w:hideMark/>
          </w:tcPr>
          <w:p w14:paraId="131EC252"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 xml:space="preserve">PFS </w:t>
            </w:r>
          </w:p>
        </w:tc>
        <w:tc>
          <w:tcPr>
            <w:tcW w:w="3005" w:type="dxa"/>
            <w:tcBorders>
              <w:top w:val="single" w:sz="4" w:space="0" w:color="auto"/>
              <w:left w:val="single" w:sz="4" w:space="0" w:color="auto"/>
              <w:bottom w:val="single" w:sz="4" w:space="0" w:color="auto"/>
              <w:right w:val="single" w:sz="4" w:space="0" w:color="auto"/>
            </w:tcBorders>
            <w:hideMark/>
          </w:tcPr>
          <w:p w14:paraId="1E118E32"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0.40 (0.27-0.59, &lt;0.0001)</w:t>
            </w:r>
          </w:p>
        </w:tc>
        <w:tc>
          <w:tcPr>
            <w:tcW w:w="3006" w:type="dxa"/>
            <w:tcBorders>
              <w:top w:val="single" w:sz="4" w:space="0" w:color="auto"/>
              <w:left w:val="single" w:sz="4" w:space="0" w:color="auto"/>
              <w:bottom w:val="single" w:sz="4" w:space="0" w:color="auto"/>
              <w:right w:val="single" w:sz="4" w:space="0" w:color="auto"/>
            </w:tcBorders>
            <w:hideMark/>
          </w:tcPr>
          <w:p w14:paraId="2288D5CE"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 xml:space="preserve">0.48 (0.30-0.76, 0.002) </w:t>
            </w:r>
          </w:p>
        </w:tc>
      </w:tr>
      <w:tr w:rsidR="00DA3E06" w:rsidRPr="00DA3E06" w14:paraId="6E2050CD" w14:textId="77777777">
        <w:tc>
          <w:tcPr>
            <w:tcW w:w="3005" w:type="dxa"/>
            <w:tcBorders>
              <w:top w:val="single" w:sz="4" w:space="0" w:color="auto"/>
              <w:left w:val="single" w:sz="4" w:space="0" w:color="auto"/>
              <w:bottom w:val="single" w:sz="4" w:space="0" w:color="auto"/>
              <w:right w:val="single" w:sz="4" w:space="0" w:color="auto"/>
            </w:tcBorders>
            <w:hideMark/>
          </w:tcPr>
          <w:p w14:paraId="7FF58DF9"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OS</w:t>
            </w:r>
          </w:p>
        </w:tc>
        <w:tc>
          <w:tcPr>
            <w:tcW w:w="3005" w:type="dxa"/>
            <w:tcBorders>
              <w:top w:val="single" w:sz="4" w:space="0" w:color="auto"/>
              <w:left w:val="single" w:sz="4" w:space="0" w:color="auto"/>
              <w:bottom w:val="single" w:sz="4" w:space="0" w:color="auto"/>
              <w:right w:val="single" w:sz="4" w:space="0" w:color="auto"/>
            </w:tcBorders>
            <w:hideMark/>
          </w:tcPr>
          <w:p w14:paraId="0A547848"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0.54 (0.35-0.81, 0.003)</w:t>
            </w:r>
          </w:p>
        </w:tc>
        <w:tc>
          <w:tcPr>
            <w:tcW w:w="3006" w:type="dxa"/>
            <w:tcBorders>
              <w:top w:val="single" w:sz="4" w:space="0" w:color="auto"/>
              <w:left w:val="single" w:sz="4" w:space="0" w:color="auto"/>
              <w:bottom w:val="single" w:sz="4" w:space="0" w:color="auto"/>
              <w:right w:val="single" w:sz="4" w:space="0" w:color="auto"/>
            </w:tcBorders>
            <w:hideMark/>
          </w:tcPr>
          <w:p w14:paraId="65970825"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0.48 (0.31-0.74, 0.001)</w:t>
            </w:r>
          </w:p>
        </w:tc>
      </w:tr>
      <w:tr w:rsidR="00DA3E06" w:rsidRPr="00DA3E06" w14:paraId="75E4D357"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68C8AEBF"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
                <w:sz w:val="20"/>
              </w:rPr>
              <w:t>Borad</w:t>
            </w:r>
            <w:r w:rsidRPr="00DA3E06">
              <w:rPr>
                <w:rFonts w:ascii="Arial Narrow" w:eastAsia="MS Gothic" w:hAnsi="Arial Narrow"/>
                <w:bCs/>
                <w:sz w:val="20"/>
              </w:rPr>
              <w:t xml:space="preserve"> </w:t>
            </w:r>
            <w:r w:rsidRPr="00DA3E06">
              <w:rPr>
                <w:rFonts w:ascii="Arial Narrow" w:eastAsia="MS Gothic" w:hAnsi="Arial Narrow"/>
                <w:b/>
                <w:sz w:val="20"/>
              </w:rPr>
              <w:t>2022</w:t>
            </w:r>
          </w:p>
        </w:tc>
      </w:tr>
      <w:tr w:rsidR="00DA3E06" w:rsidRPr="00DA3E06" w14:paraId="519D32E8" w14:textId="77777777">
        <w:tc>
          <w:tcPr>
            <w:tcW w:w="3005" w:type="dxa"/>
            <w:tcBorders>
              <w:top w:val="single" w:sz="4" w:space="0" w:color="auto"/>
              <w:left w:val="single" w:sz="4" w:space="0" w:color="auto"/>
              <w:bottom w:val="single" w:sz="4" w:space="0" w:color="auto"/>
              <w:right w:val="single" w:sz="4" w:space="0" w:color="auto"/>
            </w:tcBorders>
            <w:hideMark/>
          </w:tcPr>
          <w:p w14:paraId="668C9768"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 xml:space="preserve">PFS </w:t>
            </w:r>
          </w:p>
        </w:tc>
        <w:tc>
          <w:tcPr>
            <w:tcW w:w="3005" w:type="dxa"/>
            <w:tcBorders>
              <w:top w:val="single" w:sz="4" w:space="0" w:color="auto"/>
              <w:left w:val="single" w:sz="4" w:space="0" w:color="auto"/>
              <w:bottom w:val="single" w:sz="4" w:space="0" w:color="auto"/>
              <w:right w:val="single" w:sz="4" w:space="0" w:color="auto"/>
            </w:tcBorders>
            <w:hideMark/>
          </w:tcPr>
          <w:p w14:paraId="3A9952B7"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0.40 (0.27-0.59, ≤0.01)</w:t>
            </w:r>
          </w:p>
        </w:tc>
        <w:tc>
          <w:tcPr>
            <w:tcW w:w="3006" w:type="dxa"/>
            <w:tcBorders>
              <w:top w:val="single" w:sz="4" w:space="0" w:color="auto"/>
              <w:left w:val="single" w:sz="4" w:space="0" w:color="auto"/>
              <w:bottom w:val="single" w:sz="4" w:space="0" w:color="auto"/>
              <w:right w:val="single" w:sz="4" w:space="0" w:color="auto"/>
            </w:tcBorders>
            <w:hideMark/>
          </w:tcPr>
          <w:p w14:paraId="2706F978"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0.53 (0.33-0.86, ≤0.01)</w:t>
            </w:r>
          </w:p>
        </w:tc>
      </w:tr>
      <w:tr w:rsidR="00DA3E06" w:rsidRPr="00DA3E06" w14:paraId="56C8929A" w14:textId="77777777">
        <w:tc>
          <w:tcPr>
            <w:tcW w:w="3005" w:type="dxa"/>
            <w:tcBorders>
              <w:top w:val="single" w:sz="4" w:space="0" w:color="auto"/>
              <w:left w:val="single" w:sz="4" w:space="0" w:color="auto"/>
              <w:bottom w:val="single" w:sz="4" w:space="0" w:color="auto"/>
              <w:right w:val="single" w:sz="4" w:space="0" w:color="auto"/>
            </w:tcBorders>
            <w:hideMark/>
          </w:tcPr>
          <w:p w14:paraId="16B6BE9B"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OS</w:t>
            </w:r>
          </w:p>
        </w:tc>
        <w:tc>
          <w:tcPr>
            <w:tcW w:w="3005" w:type="dxa"/>
            <w:tcBorders>
              <w:top w:val="single" w:sz="4" w:space="0" w:color="auto"/>
              <w:left w:val="single" w:sz="4" w:space="0" w:color="auto"/>
              <w:bottom w:val="single" w:sz="4" w:space="0" w:color="auto"/>
              <w:right w:val="single" w:sz="4" w:space="0" w:color="auto"/>
            </w:tcBorders>
            <w:hideMark/>
          </w:tcPr>
          <w:p w14:paraId="7BBB0F5B"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0.53 (0.35-0.81, ≤0.01)</w:t>
            </w:r>
          </w:p>
        </w:tc>
        <w:tc>
          <w:tcPr>
            <w:tcW w:w="3006" w:type="dxa"/>
            <w:tcBorders>
              <w:top w:val="single" w:sz="4" w:space="0" w:color="auto"/>
              <w:left w:val="single" w:sz="4" w:space="0" w:color="auto"/>
              <w:bottom w:val="single" w:sz="4" w:space="0" w:color="auto"/>
              <w:right w:val="single" w:sz="4" w:space="0" w:color="auto"/>
            </w:tcBorders>
            <w:hideMark/>
          </w:tcPr>
          <w:p w14:paraId="52490819"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0.49 (0.31-0.79, ≤0.01)</w:t>
            </w:r>
          </w:p>
        </w:tc>
      </w:tr>
      <w:tr w:rsidR="00DA3E06" w:rsidRPr="00DA3E06" w14:paraId="756DA05D" w14:textId="77777777">
        <w:tc>
          <w:tcPr>
            <w:tcW w:w="9016" w:type="dxa"/>
            <w:gridSpan w:val="3"/>
            <w:tcBorders>
              <w:top w:val="single" w:sz="4" w:space="0" w:color="auto"/>
              <w:left w:val="single" w:sz="4" w:space="0" w:color="auto"/>
              <w:bottom w:val="single" w:sz="4" w:space="0" w:color="auto"/>
              <w:right w:val="single" w:sz="4" w:space="0" w:color="auto"/>
            </w:tcBorders>
            <w:hideMark/>
          </w:tcPr>
          <w:p w14:paraId="67AD10E2" w14:textId="77777777" w:rsidR="00DA3E06" w:rsidRPr="00DA3E06" w:rsidRDefault="00DA3E06" w:rsidP="00DA3E06">
            <w:pPr>
              <w:keepNext/>
              <w:jc w:val="left"/>
              <w:rPr>
                <w:rFonts w:ascii="Arial Narrow" w:eastAsia="MS Gothic" w:hAnsi="Arial Narrow"/>
                <w:b/>
                <w:sz w:val="20"/>
                <w:highlight w:val="yellow"/>
                <w:lang w:eastAsia="en-US"/>
              </w:rPr>
            </w:pPr>
            <w:r w:rsidRPr="00DA3E06">
              <w:rPr>
                <w:rFonts w:ascii="Arial Narrow" w:eastAsia="MS Gothic" w:hAnsi="Arial Narrow"/>
                <w:b/>
                <w:sz w:val="20"/>
              </w:rPr>
              <w:t>March 2025 Submission</w:t>
            </w:r>
            <w:r w:rsidRPr="00DA3E06">
              <w:rPr>
                <w:rFonts w:ascii="Arial Narrow" w:eastAsia="MS Gothic" w:hAnsi="Arial Narrow"/>
                <w:b/>
                <w:sz w:val="20"/>
                <w:vertAlign w:val="superscript"/>
              </w:rPr>
              <w:footnoteReference w:id="4"/>
            </w:r>
          </w:p>
        </w:tc>
      </w:tr>
      <w:tr w:rsidR="00DA3E06" w:rsidRPr="00DA3E06" w14:paraId="0FE483E6" w14:textId="77777777">
        <w:tc>
          <w:tcPr>
            <w:tcW w:w="3005" w:type="dxa"/>
            <w:tcBorders>
              <w:top w:val="single" w:sz="4" w:space="0" w:color="auto"/>
              <w:left w:val="single" w:sz="4" w:space="0" w:color="auto"/>
              <w:bottom w:val="single" w:sz="4" w:space="0" w:color="auto"/>
              <w:right w:val="single" w:sz="4" w:space="0" w:color="auto"/>
            </w:tcBorders>
            <w:hideMark/>
          </w:tcPr>
          <w:p w14:paraId="09AE1011"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PFS</w:t>
            </w:r>
          </w:p>
        </w:tc>
        <w:tc>
          <w:tcPr>
            <w:tcW w:w="3005" w:type="dxa"/>
            <w:tcBorders>
              <w:top w:val="single" w:sz="4" w:space="0" w:color="auto"/>
              <w:left w:val="single" w:sz="4" w:space="0" w:color="auto"/>
              <w:bottom w:val="single" w:sz="4" w:space="0" w:color="auto"/>
              <w:right w:val="single" w:sz="4" w:space="0" w:color="auto"/>
            </w:tcBorders>
            <w:hideMark/>
          </w:tcPr>
          <w:p w14:paraId="75AB0E73"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0.43 (0.31-0.59, &lt;0.0001)</w:t>
            </w:r>
          </w:p>
        </w:tc>
        <w:tc>
          <w:tcPr>
            <w:tcW w:w="3006" w:type="dxa"/>
            <w:tcBorders>
              <w:top w:val="single" w:sz="4" w:space="0" w:color="auto"/>
              <w:left w:val="single" w:sz="4" w:space="0" w:color="auto"/>
              <w:bottom w:val="single" w:sz="4" w:space="0" w:color="auto"/>
              <w:right w:val="single" w:sz="4" w:space="0" w:color="auto"/>
            </w:tcBorders>
            <w:hideMark/>
          </w:tcPr>
          <w:p w14:paraId="3E564D69"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0.30 (0.22-0.41, &lt;0.0001)</w:t>
            </w:r>
          </w:p>
        </w:tc>
      </w:tr>
      <w:tr w:rsidR="00DA3E06" w:rsidRPr="00DA3E06" w14:paraId="37F7EBD2" w14:textId="77777777">
        <w:tc>
          <w:tcPr>
            <w:tcW w:w="3005" w:type="dxa"/>
            <w:tcBorders>
              <w:top w:val="single" w:sz="4" w:space="0" w:color="auto"/>
              <w:left w:val="single" w:sz="4" w:space="0" w:color="auto"/>
              <w:bottom w:val="single" w:sz="4" w:space="0" w:color="auto"/>
              <w:right w:val="single" w:sz="4" w:space="0" w:color="auto"/>
            </w:tcBorders>
            <w:hideMark/>
          </w:tcPr>
          <w:p w14:paraId="4CA4BE5C"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OS</w:t>
            </w:r>
          </w:p>
        </w:tc>
        <w:tc>
          <w:tcPr>
            <w:tcW w:w="3005" w:type="dxa"/>
            <w:tcBorders>
              <w:top w:val="single" w:sz="4" w:space="0" w:color="auto"/>
              <w:left w:val="single" w:sz="4" w:space="0" w:color="auto"/>
              <w:bottom w:val="single" w:sz="4" w:space="0" w:color="auto"/>
              <w:right w:val="single" w:sz="4" w:space="0" w:color="auto"/>
            </w:tcBorders>
            <w:hideMark/>
          </w:tcPr>
          <w:p w14:paraId="6727A4EA"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0.26 (0.18-0.37, &lt;0.0001)</w:t>
            </w:r>
          </w:p>
        </w:tc>
        <w:tc>
          <w:tcPr>
            <w:tcW w:w="3006" w:type="dxa"/>
            <w:tcBorders>
              <w:top w:val="single" w:sz="4" w:space="0" w:color="auto"/>
              <w:left w:val="single" w:sz="4" w:space="0" w:color="auto"/>
              <w:bottom w:val="single" w:sz="4" w:space="0" w:color="auto"/>
              <w:right w:val="single" w:sz="4" w:space="0" w:color="auto"/>
            </w:tcBorders>
            <w:hideMark/>
          </w:tcPr>
          <w:p w14:paraId="76EE8882" w14:textId="77777777" w:rsidR="00DA3E06" w:rsidRPr="00DA3E06" w:rsidRDefault="00DA3E06" w:rsidP="00DA3E06">
            <w:pPr>
              <w:keepNext/>
              <w:jc w:val="left"/>
              <w:rPr>
                <w:rFonts w:ascii="Arial Narrow" w:eastAsia="MS Gothic" w:hAnsi="Arial Narrow"/>
                <w:bCs/>
                <w:sz w:val="20"/>
                <w:highlight w:val="yellow"/>
                <w:lang w:eastAsia="en-US"/>
              </w:rPr>
            </w:pPr>
            <w:r w:rsidRPr="00DA3E06">
              <w:rPr>
                <w:rFonts w:ascii="Arial Narrow" w:eastAsia="MS Gothic" w:hAnsi="Arial Narrow"/>
                <w:bCs/>
                <w:sz w:val="20"/>
              </w:rPr>
              <w:t>0.24 (0.18-0.32, &lt;0.0001)</w:t>
            </w:r>
          </w:p>
        </w:tc>
      </w:tr>
    </w:tbl>
    <w:p w14:paraId="3D1EB639" w14:textId="77777777" w:rsidR="00DA3E06" w:rsidRPr="00DA3E06" w:rsidRDefault="00DA3E06" w:rsidP="00DA3E06">
      <w:pPr>
        <w:snapToGrid w:val="0"/>
        <w:contextualSpacing/>
        <w:rPr>
          <w:rFonts w:ascii="Arial Narrow" w:hAnsi="Arial Narrow" w:cs="Arial"/>
          <w:sz w:val="18"/>
          <w:szCs w:val="22"/>
          <w:lang w:eastAsia="en-US"/>
        </w:rPr>
      </w:pPr>
      <w:r w:rsidRPr="00DA3E06">
        <w:rPr>
          <w:rFonts w:ascii="Arial Narrow" w:hAnsi="Arial Narrow" w:cs="Arial"/>
          <w:sz w:val="18"/>
          <w:szCs w:val="22"/>
          <w:lang w:eastAsia="en-US"/>
        </w:rPr>
        <w:t>Source: Adapted from Table 2-1, Futibatinib Early Re-Entry Submission</w:t>
      </w:r>
    </w:p>
    <w:p w14:paraId="5E4187DD" w14:textId="77777777" w:rsidR="00DA3E06" w:rsidRPr="00DA3E06" w:rsidRDefault="00DA3E06" w:rsidP="00DA3E06">
      <w:pPr>
        <w:snapToGrid w:val="0"/>
        <w:contextualSpacing/>
        <w:rPr>
          <w:rFonts w:ascii="Arial Narrow" w:hAnsi="Arial Narrow" w:cs="Arial"/>
          <w:sz w:val="18"/>
          <w:szCs w:val="22"/>
          <w:lang w:eastAsia="en-US"/>
        </w:rPr>
      </w:pPr>
      <w:r w:rsidRPr="00DA3E06">
        <w:rPr>
          <w:rFonts w:ascii="Arial Narrow" w:hAnsi="Arial Narrow" w:cs="Arial"/>
          <w:sz w:val="18"/>
          <w:szCs w:val="22"/>
          <w:lang w:eastAsia="en-US"/>
        </w:rPr>
        <w:t>Abbreviations: CI = confidence interval, DOR = duration of response, HR = hazard ratio, NR = not reported, ORR = objective response rate, OS = overall survival, PFS = progression free survival</w:t>
      </w:r>
    </w:p>
    <w:p w14:paraId="13061D5A" w14:textId="77777777" w:rsidR="00DA3E06" w:rsidRPr="005F4F77" w:rsidRDefault="00DA3E06" w:rsidP="00DA3E06">
      <w:pPr>
        <w:keepNext/>
        <w:spacing w:before="120" w:after="120"/>
        <w:jc w:val="left"/>
        <w:outlineLvl w:val="1"/>
        <w:rPr>
          <w:rFonts w:eastAsia="MS Gothic"/>
          <w:b/>
          <w:i/>
          <w:color w:val="000000" w:themeColor="text1"/>
          <w:spacing w:val="5"/>
          <w:kern w:val="28"/>
          <w:sz w:val="28"/>
          <w:szCs w:val="36"/>
          <w:lang w:eastAsia="en-US"/>
        </w:rPr>
      </w:pPr>
      <w:r w:rsidRPr="005F4F77">
        <w:rPr>
          <w:rFonts w:eastAsia="MS Gothic"/>
          <w:b/>
          <w:i/>
          <w:color w:val="000000" w:themeColor="text1"/>
          <w:spacing w:val="5"/>
          <w:kern w:val="28"/>
          <w:sz w:val="28"/>
          <w:szCs w:val="36"/>
          <w:lang w:eastAsia="en-US"/>
        </w:rPr>
        <w:t>Clinical Claim</w:t>
      </w:r>
    </w:p>
    <w:p w14:paraId="6CA0C708" w14:textId="48F3A845" w:rsidR="00DA3E06" w:rsidRPr="00DA3E06" w:rsidRDefault="00DA3E06" w:rsidP="00DA3E06">
      <w:pPr>
        <w:numPr>
          <w:ilvl w:val="1"/>
          <w:numId w:val="9"/>
        </w:numPr>
        <w:spacing w:after="120"/>
        <w:rPr>
          <w:rFonts w:eastAsia="Calibri" w:cs="Arial"/>
          <w:snapToGrid w:val="0"/>
          <w:szCs w:val="22"/>
        </w:rPr>
      </w:pPr>
      <w:bookmarkStart w:id="9" w:name="_Hlk76376200"/>
      <w:r w:rsidRPr="00DA3E06">
        <w:rPr>
          <w:rFonts w:eastAsia="Calibri" w:cs="Arial"/>
          <w:snapToGrid w:val="0"/>
          <w:szCs w:val="22"/>
        </w:rPr>
        <w:t xml:space="preserve">The PBAC previously considered the clinical claim of superior comparative effectiveness versus the nominated comparator (FOLFOX) was reasonable; however the magnitude of effect is highly uncertain and likely overestimated due to differences </w:t>
      </w:r>
      <w:r w:rsidRPr="00DA3E06">
        <w:rPr>
          <w:rFonts w:eastAsia="Calibri" w:cs="Arial"/>
          <w:snapToGrid w:val="0"/>
          <w:szCs w:val="22"/>
        </w:rPr>
        <w:lastRenderedPageBreak/>
        <w:t xml:space="preserve">in baseline characteristics (tumour site, </w:t>
      </w:r>
      <w:r w:rsidRPr="00DA3E06">
        <w:rPr>
          <w:rFonts w:eastAsia="Calibri" w:cs="Arial"/>
          <w:i/>
          <w:iCs/>
          <w:snapToGrid w:val="0"/>
          <w:szCs w:val="22"/>
        </w:rPr>
        <w:t>FGFR2</w:t>
      </w:r>
      <w:r w:rsidRPr="00DA3E06">
        <w:rPr>
          <w:rFonts w:eastAsia="Calibri" w:cs="Arial"/>
          <w:snapToGrid w:val="0"/>
          <w:szCs w:val="22"/>
        </w:rPr>
        <w:t xml:space="preserve"> status), less favourable HR in other indirect comparisons, and the unanchored MAIC (paragraph 6.65, futibatinib</w:t>
      </w:r>
      <w:r w:rsidR="006D05C2">
        <w:rPr>
          <w:rFonts w:eastAsia="Calibri" w:cs="Arial"/>
          <w:snapToGrid w:val="0"/>
          <w:szCs w:val="22"/>
        </w:rPr>
        <w:t xml:space="preserve"> PSD</w:t>
      </w:r>
      <w:r w:rsidRPr="00DA3E06">
        <w:rPr>
          <w:rFonts w:eastAsia="Calibri" w:cs="Arial"/>
          <w:snapToGrid w:val="0"/>
          <w:szCs w:val="22"/>
        </w:rPr>
        <w:t xml:space="preserve">, March 2025 PBAC meeting). </w:t>
      </w:r>
    </w:p>
    <w:p w14:paraId="6F0066BA" w14:textId="08DA7487"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t xml:space="preserve">The </w:t>
      </w:r>
      <w:bookmarkEnd w:id="9"/>
      <w:r w:rsidRPr="00DA3E06">
        <w:rPr>
          <w:rFonts w:eastAsia="Calibri" w:cs="Arial"/>
          <w:snapToGrid w:val="0"/>
          <w:szCs w:val="22"/>
        </w:rPr>
        <w:t xml:space="preserve">PBAC previously considered the claim of superior comparative safety compared to FOLFOX was not adequately supported by the data, but that it is theoretically plausible (paragraph 6.66, futibatinib </w:t>
      </w:r>
      <w:r w:rsidR="006D05C2">
        <w:rPr>
          <w:rFonts w:eastAsia="Calibri" w:cs="Arial"/>
          <w:snapToGrid w:val="0"/>
          <w:szCs w:val="22"/>
        </w:rPr>
        <w:t>PSD</w:t>
      </w:r>
      <w:r w:rsidRPr="00DA3E06">
        <w:rPr>
          <w:rFonts w:eastAsia="Calibri" w:cs="Arial"/>
          <w:snapToGrid w:val="0"/>
          <w:szCs w:val="22"/>
        </w:rPr>
        <w:t xml:space="preserve">, March 2025 PBAC meeting). </w:t>
      </w:r>
    </w:p>
    <w:p w14:paraId="7D71F244" w14:textId="77777777" w:rsidR="00DA3E06" w:rsidRPr="005F4F77" w:rsidRDefault="00DA3E06" w:rsidP="00DA3E06">
      <w:pPr>
        <w:keepNext/>
        <w:spacing w:before="120" w:after="120"/>
        <w:jc w:val="left"/>
        <w:outlineLvl w:val="1"/>
        <w:rPr>
          <w:rFonts w:eastAsia="MS Gothic"/>
          <w:b/>
          <w:i/>
          <w:color w:val="000000" w:themeColor="text1"/>
          <w:spacing w:val="5"/>
          <w:kern w:val="28"/>
          <w:sz w:val="28"/>
          <w:szCs w:val="36"/>
          <w:lang w:eastAsia="en-US"/>
        </w:rPr>
      </w:pPr>
      <w:r w:rsidRPr="005F4F77">
        <w:rPr>
          <w:rFonts w:eastAsia="MS Gothic"/>
          <w:b/>
          <w:i/>
          <w:color w:val="000000" w:themeColor="text1"/>
          <w:spacing w:val="5"/>
          <w:kern w:val="28"/>
          <w:sz w:val="28"/>
          <w:szCs w:val="36"/>
          <w:lang w:eastAsia="en-US"/>
        </w:rPr>
        <w:t>Economic analysis</w:t>
      </w:r>
    </w:p>
    <w:p w14:paraId="17680EEB" w14:textId="72C0813B" w:rsidR="00DA3E06" w:rsidRPr="00DA3E06" w:rsidRDefault="00DA3E06" w:rsidP="00DA3E06">
      <w:pPr>
        <w:numPr>
          <w:ilvl w:val="1"/>
          <w:numId w:val="9"/>
        </w:numPr>
        <w:spacing w:after="120"/>
        <w:rPr>
          <w:rFonts w:eastAsia="Calibri" w:cs="Arial"/>
          <w:snapToGrid w:val="0"/>
          <w:szCs w:val="22"/>
        </w:rPr>
      </w:pPr>
      <w:bookmarkStart w:id="10" w:name="_Ref201736204"/>
      <w:r w:rsidRPr="00DA3E06">
        <w:rPr>
          <w:rFonts w:eastAsia="Calibri" w:cs="Arial"/>
          <w:snapToGrid w:val="0"/>
          <w:szCs w:val="22"/>
        </w:rPr>
        <w:t xml:space="preserve">The previous submission presented an economic analysis based on the results of the MAIC. The PBAC previously considered that as the underlying clinical benefit used to inform the economic evaluation was uncertain, the economic model presented was likely not reflective of the true cost effectiveness of futibatinib (paragraph 7.12, futibatinib </w:t>
      </w:r>
      <w:r w:rsidR="006D05C2">
        <w:rPr>
          <w:rFonts w:eastAsia="Calibri" w:cs="Arial"/>
          <w:snapToGrid w:val="0"/>
          <w:szCs w:val="22"/>
        </w:rPr>
        <w:t>PSD</w:t>
      </w:r>
      <w:r w:rsidRPr="00DA3E06">
        <w:rPr>
          <w:rFonts w:eastAsia="Calibri" w:cs="Arial"/>
          <w:snapToGrid w:val="0"/>
          <w:szCs w:val="22"/>
        </w:rPr>
        <w:t>, March 2025 PBAC meeting). The base case ICER in the previous submission was $95,000 to &lt; $115,000 per QALY.</w:t>
      </w:r>
      <w:bookmarkEnd w:id="10"/>
      <w:r w:rsidRPr="00DA3E06">
        <w:rPr>
          <w:rFonts w:eastAsia="Calibri" w:cs="Arial"/>
          <w:snapToGrid w:val="0"/>
          <w:szCs w:val="22"/>
        </w:rPr>
        <w:t xml:space="preserve"> </w:t>
      </w:r>
    </w:p>
    <w:p w14:paraId="0E111CB9" w14:textId="57BC68D9" w:rsidR="00DA3E06" w:rsidRPr="00DA3E06" w:rsidRDefault="00DA3E06" w:rsidP="00DA3E06">
      <w:pPr>
        <w:numPr>
          <w:ilvl w:val="1"/>
          <w:numId w:val="9"/>
        </w:numPr>
        <w:spacing w:after="120"/>
        <w:rPr>
          <w:rFonts w:eastAsia="Calibri" w:cs="Arial"/>
          <w:snapToGrid w:val="0"/>
          <w:szCs w:val="22"/>
        </w:rPr>
      </w:pPr>
      <w:bookmarkStart w:id="11" w:name="_Ref222405339"/>
      <w:r w:rsidRPr="00DA3E06">
        <w:rPr>
          <w:rFonts w:eastAsia="Calibri" w:cs="Arial"/>
          <w:snapToGrid w:val="0"/>
          <w:szCs w:val="22"/>
        </w:rPr>
        <w:t>To address the PBAC’s concerns regarding the cost-effectiveness of futibatinib the resubmission presented an economic evaluation with revised inputs and a reduced price for futibatinib (</w:t>
      </w:r>
      <w:r w:rsidRPr="00DD77BD">
        <w:rPr>
          <w:rFonts w:eastAsia="Calibri" w:cs="Arial"/>
          <w:snapToGrid w:val="0"/>
          <w:color w:val="000000"/>
          <w:w w:val="61"/>
          <w:szCs w:val="22"/>
          <w:shd w:val="solid" w:color="000000" w:fill="000000"/>
          <w:fitText w:val="472" w:id="-509906172"/>
          <w14:textFill>
            <w14:solidFill>
              <w14:srgbClr w14:val="000000">
                <w14:alpha w14:val="100000"/>
              </w14:srgbClr>
            </w14:solidFill>
          </w14:textFill>
        </w:rPr>
        <w:t>|||  ||</w:t>
      </w:r>
      <w:r w:rsidRPr="00DD77BD">
        <w:rPr>
          <w:rFonts w:eastAsia="Calibri" w:cs="Arial"/>
          <w:snapToGrid w:val="0"/>
          <w:color w:val="000000"/>
          <w:spacing w:val="2"/>
          <w:w w:val="61"/>
          <w:szCs w:val="22"/>
          <w:shd w:val="solid" w:color="000000" w:fill="000000"/>
          <w:fitText w:val="472" w:id="-509906172"/>
          <w14:textFill>
            <w14:solidFill>
              <w14:srgbClr w14:val="000000">
                <w14:alpha w14:val="100000"/>
              </w14:srgbClr>
            </w14:solidFill>
          </w14:textFill>
        </w:rPr>
        <w:t>|</w:t>
      </w:r>
      <w:r w:rsidRPr="00DA3E06">
        <w:rPr>
          <w:rFonts w:eastAsia="Calibri" w:cs="Arial"/>
          <w:snapToGrid w:val="0"/>
          <w:szCs w:val="22"/>
        </w:rPr>
        <w:t>% reduction in the ex-manufacturer price from $</w:t>
      </w:r>
      <w:r w:rsidRPr="00DD77BD">
        <w:rPr>
          <w:rFonts w:eastAsia="Calibri" w:cs="Arial"/>
          <w:snapToGrid w:val="0"/>
          <w:color w:val="000000"/>
          <w:w w:val="61"/>
          <w:szCs w:val="22"/>
          <w:shd w:val="solid" w:color="000000" w:fill="000000"/>
          <w:fitText w:val="472" w:id="-509906171"/>
          <w14:textFill>
            <w14:solidFill>
              <w14:srgbClr w14:val="000000">
                <w14:alpha w14:val="100000"/>
              </w14:srgbClr>
            </w14:solidFill>
          </w14:textFill>
        </w:rPr>
        <w:t>|||  ||</w:t>
      </w:r>
      <w:r w:rsidRPr="00DD77BD">
        <w:rPr>
          <w:rFonts w:eastAsia="Calibri" w:cs="Arial"/>
          <w:snapToGrid w:val="0"/>
          <w:color w:val="000000"/>
          <w:spacing w:val="2"/>
          <w:w w:val="61"/>
          <w:szCs w:val="22"/>
          <w:shd w:val="solid" w:color="000000" w:fill="000000"/>
          <w:fitText w:val="472" w:id="-509906171"/>
          <w14:textFill>
            <w14:solidFill>
              <w14:srgbClr w14:val="000000">
                <w14:alpha w14:val="100000"/>
              </w14:srgbClr>
            </w14:solidFill>
          </w14:textFill>
        </w:rPr>
        <w:t>|</w:t>
      </w:r>
      <w:r w:rsidRPr="00DA3E06">
        <w:rPr>
          <w:rFonts w:eastAsia="Calibri" w:cs="Arial"/>
          <w:snapToGrid w:val="0"/>
          <w:szCs w:val="22"/>
        </w:rPr>
        <w:t xml:space="preserve"> to $</w:t>
      </w:r>
      <w:r w:rsidRPr="00DD77BD">
        <w:rPr>
          <w:rFonts w:eastAsia="Calibri" w:cs="Arial"/>
          <w:snapToGrid w:val="0"/>
          <w:color w:val="000000"/>
          <w:w w:val="61"/>
          <w:szCs w:val="22"/>
          <w:shd w:val="solid" w:color="000000" w:fill="000000"/>
          <w:fitText w:val="472" w:id="-509906170"/>
          <w14:textFill>
            <w14:solidFill>
              <w14:srgbClr w14:val="000000">
                <w14:alpha w14:val="100000"/>
              </w14:srgbClr>
            </w14:solidFill>
          </w14:textFill>
        </w:rPr>
        <w:t>|||  ||</w:t>
      </w:r>
      <w:r w:rsidRPr="00DD77BD">
        <w:rPr>
          <w:rFonts w:eastAsia="Calibri" w:cs="Arial"/>
          <w:snapToGrid w:val="0"/>
          <w:color w:val="000000"/>
          <w:spacing w:val="2"/>
          <w:w w:val="61"/>
          <w:szCs w:val="22"/>
          <w:shd w:val="solid" w:color="000000" w:fill="000000"/>
          <w:fitText w:val="472" w:id="-509906170"/>
          <w14:textFill>
            <w14:solidFill>
              <w14:srgbClr w14:val="000000">
                <w14:alpha w14:val="100000"/>
              </w14:srgbClr>
            </w14:solidFill>
          </w14:textFill>
        </w:rPr>
        <w:t>|</w:t>
      </w:r>
      <w:r w:rsidRPr="00DA3E06">
        <w:rPr>
          <w:rFonts w:eastAsia="Calibri" w:cs="Arial"/>
          <w:snapToGrid w:val="0"/>
          <w:szCs w:val="22"/>
        </w:rPr>
        <w:t xml:space="preserve"> per pack). The PBAC previously considered the economic model should include a more conservative estimate of the modelled clinical benefit but noted the model did not include this operability (paragraph 7.12, futibatinib </w:t>
      </w:r>
      <w:r w:rsidR="006D05C2">
        <w:rPr>
          <w:rFonts w:eastAsia="Calibri" w:cs="Arial"/>
          <w:snapToGrid w:val="0"/>
          <w:szCs w:val="22"/>
        </w:rPr>
        <w:t>PSD</w:t>
      </w:r>
      <w:r w:rsidRPr="00DA3E06">
        <w:rPr>
          <w:rFonts w:eastAsia="Calibri" w:cs="Arial"/>
          <w:snapToGrid w:val="0"/>
          <w:szCs w:val="22"/>
        </w:rPr>
        <w:t>, March 2025 PBAC meeting). The model provided in the resubmission was adapted to include this operability and allow alternative hazard ratios to be used.</w:t>
      </w:r>
      <w:bookmarkEnd w:id="11"/>
      <w:r w:rsidRPr="00DA3E06">
        <w:rPr>
          <w:rFonts w:eastAsia="Calibri" w:cs="Arial"/>
          <w:snapToGrid w:val="0"/>
          <w:szCs w:val="22"/>
        </w:rPr>
        <w:t xml:space="preserve"> </w:t>
      </w:r>
    </w:p>
    <w:p w14:paraId="4187A665" w14:textId="04CE8762" w:rsidR="00DA3E06" w:rsidRPr="00DA3E06" w:rsidRDefault="00DA3E06" w:rsidP="00DA3E06">
      <w:pPr>
        <w:numPr>
          <w:ilvl w:val="1"/>
          <w:numId w:val="9"/>
        </w:numPr>
        <w:spacing w:after="120"/>
        <w:rPr>
          <w:rFonts w:eastAsia="Calibri" w:cs="Arial"/>
          <w:snapToGrid w:val="0"/>
          <w:szCs w:val="22"/>
        </w:rPr>
      </w:pPr>
      <w:bookmarkStart w:id="12" w:name="_Ref201736222"/>
      <w:bookmarkStart w:id="13" w:name="_Ref201653147"/>
      <w:r w:rsidRPr="00DA3E06">
        <w:rPr>
          <w:rFonts w:eastAsia="Calibri" w:cs="Arial"/>
          <w:snapToGrid w:val="0"/>
          <w:szCs w:val="22"/>
        </w:rPr>
        <w:t>To adapt the economic model, the resubmission started with the model provided in the previous pre-PBAC response. This model (i) corrected errors identified during the evaluation (ii) used health state utility values from the durvalumab PBAC submission for biliary tract cancer and (iii) applied an additional utility decrement for IV administration of FOLFOX. This model resulted in an ICER of $95,000 to &lt; $115,000</w:t>
      </w:r>
      <w:r w:rsidR="00DD77BD">
        <w:rPr>
          <w:rFonts w:eastAsia="Calibri" w:cs="Arial"/>
          <w:snapToGrid w:val="0"/>
          <w:szCs w:val="22"/>
        </w:rPr>
        <w:t xml:space="preserve"> </w:t>
      </w:r>
      <w:r w:rsidRPr="00DA3E06">
        <w:rPr>
          <w:rFonts w:eastAsia="Calibri" w:cs="Arial"/>
          <w:snapToGrid w:val="0"/>
          <w:szCs w:val="22"/>
        </w:rPr>
        <w:t xml:space="preserve">per quality adjusted life year (QALY). Although the PBAC did not specifically comment on the inclusion of a utility decrement for IV administration of FOLFOX as part of its March 2025 consideration, the submission overview noted that the PBAC previously considered that that it would be more appropriate to apply the same utilities to the PF and PD health states in each treatment arm (paragraph 7.14, futibatinib </w:t>
      </w:r>
      <w:r w:rsidR="006D05C2">
        <w:rPr>
          <w:rFonts w:eastAsia="Calibri" w:cs="Arial"/>
          <w:snapToGrid w:val="0"/>
          <w:szCs w:val="22"/>
        </w:rPr>
        <w:t>PSD</w:t>
      </w:r>
      <w:r w:rsidRPr="00DA3E06">
        <w:rPr>
          <w:rFonts w:eastAsia="Calibri" w:cs="Arial"/>
          <w:snapToGrid w:val="0"/>
          <w:szCs w:val="22"/>
        </w:rPr>
        <w:t>, March 2025 PBAC meeting). Therefore, the submission overview considered that inclusion of a disutility resulting in differing utilities between treatment arms may not be appropriate.</w:t>
      </w:r>
      <w:bookmarkEnd w:id="12"/>
      <w:r w:rsidRPr="00DA3E06">
        <w:rPr>
          <w:rFonts w:eastAsia="Calibri" w:cs="Arial"/>
          <w:snapToGrid w:val="0"/>
          <w:szCs w:val="22"/>
        </w:rPr>
        <w:t xml:space="preserve"> </w:t>
      </w:r>
      <w:bookmarkEnd w:id="13"/>
    </w:p>
    <w:p w14:paraId="0C074B95" w14:textId="1241C165" w:rsidR="00DA3E06" w:rsidRPr="00DA3E06" w:rsidRDefault="00DA3E06" w:rsidP="00DA3E06">
      <w:pPr>
        <w:numPr>
          <w:ilvl w:val="1"/>
          <w:numId w:val="9"/>
        </w:numPr>
        <w:spacing w:after="120"/>
        <w:rPr>
          <w:rFonts w:eastAsia="Calibri" w:cs="Arial"/>
          <w:snapToGrid w:val="0"/>
          <w:szCs w:val="22"/>
        </w:rPr>
      </w:pPr>
      <w:bookmarkStart w:id="14" w:name="_Ref201736241"/>
      <w:bookmarkStart w:id="15" w:name="_Ref201653166"/>
      <w:r w:rsidRPr="00DA3E06">
        <w:rPr>
          <w:rFonts w:eastAsia="Calibri" w:cs="Arial"/>
          <w:snapToGrid w:val="0"/>
          <w:szCs w:val="22"/>
        </w:rPr>
        <w:t>The economic model was adapted to allow the use of alternative hazard ratios. The adapted economic model resulted in an ICER of $95,000 to &lt; $115,000</w:t>
      </w:r>
      <w:r w:rsidR="00DD77BD">
        <w:rPr>
          <w:rFonts w:eastAsia="Calibri" w:cs="Arial"/>
          <w:snapToGrid w:val="0"/>
          <w:szCs w:val="22"/>
        </w:rPr>
        <w:t xml:space="preserve"> </w:t>
      </w:r>
      <w:r w:rsidRPr="00DA3E06">
        <w:rPr>
          <w:rFonts w:eastAsia="Calibri" w:cs="Arial"/>
          <w:snapToGrid w:val="0"/>
          <w:szCs w:val="22"/>
        </w:rPr>
        <w:t xml:space="preserve">per QALY (which was reasonably similar to the ICER in the previous pre-PBAC response, see paragraph </w:t>
      </w:r>
      <w:r w:rsidRPr="00DA3E06">
        <w:rPr>
          <w:rFonts w:eastAsia="Calibri" w:cs="Arial"/>
          <w:snapToGrid w:val="0"/>
          <w:szCs w:val="22"/>
        </w:rPr>
        <w:fldChar w:fldCharType="begin"/>
      </w:r>
      <w:r w:rsidRPr="00DA3E06">
        <w:rPr>
          <w:rFonts w:eastAsia="Calibri" w:cs="Arial"/>
          <w:snapToGrid w:val="0"/>
          <w:szCs w:val="22"/>
        </w:rPr>
        <w:instrText xml:space="preserve"> REF _Ref201736222 \r \h </w:instrText>
      </w:r>
      <w:r w:rsidRPr="00DA3E06">
        <w:rPr>
          <w:rFonts w:eastAsia="Calibri" w:cs="Arial"/>
          <w:snapToGrid w:val="0"/>
          <w:szCs w:val="22"/>
        </w:rPr>
      </w:r>
      <w:r w:rsidRPr="00DA3E06">
        <w:rPr>
          <w:rFonts w:eastAsia="Calibri" w:cs="Arial"/>
          <w:snapToGrid w:val="0"/>
          <w:szCs w:val="22"/>
        </w:rPr>
        <w:fldChar w:fldCharType="separate"/>
      </w:r>
      <w:r w:rsidR="00971CD5">
        <w:rPr>
          <w:rFonts w:eastAsia="Calibri" w:cs="Arial"/>
          <w:snapToGrid w:val="0"/>
          <w:szCs w:val="22"/>
        </w:rPr>
        <w:t>4.11</w:t>
      </w:r>
      <w:r w:rsidRPr="00DA3E06">
        <w:rPr>
          <w:rFonts w:eastAsia="Calibri" w:cs="Arial"/>
          <w:snapToGrid w:val="0"/>
          <w:szCs w:val="22"/>
        </w:rPr>
        <w:fldChar w:fldCharType="end"/>
      </w:r>
      <w:r w:rsidRPr="00DA3E06">
        <w:rPr>
          <w:rFonts w:eastAsia="Calibri" w:cs="Arial"/>
          <w:snapToGrid w:val="0"/>
          <w:szCs w:val="22"/>
        </w:rPr>
        <w:t>).</w:t>
      </w:r>
      <w:bookmarkEnd w:id="14"/>
      <w:r w:rsidRPr="00DA3E06">
        <w:rPr>
          <w:rFonts w:eastAsia="Calibri" w:cs="Arial"/>
          <w:snapToGrid w:val="0"/>
          <w:szCs w:val="22"/>
        </w:rPr>
        <w:t xml:space="preserve"> </w:t>
      </w:r>
      <w:bookmarkEnd w:id="15"/>
    </w:p>
    <w:p w14:paraId="0EEB5345" w14:textId="29750DAF"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lastRenderedPageBreak/>
        <w:t xml:space="preserve">Using the adapted economic model and (i) reducing the time horizon to 7 years and (ii) incorporating a HR for OS of 0.32 resulted in an ICER of $115,000 to &lt; $135,000 per QALY. The resubmission reduced the price of futibatinib to result in an ICER of $75,000 to &lt; $95,000 per QALY. The results of the economic evaluation and model traces are provided in </w:t>
      </w:r>
      <w:r w:rsidRPr="00DA3E06">
        <w:rPr>
          <w:rFonts w:eastAsia="Calibri" w:cs="Arial"/>
          <w:snapToGrid w:val="0"/>
          <w:szCs w:val="22"/>
        </w:rPr>
        <w:fldChar w:fldCharType="begin"/>
      </w:r>
      <w:r w:rsidRPr="00DA3E06">
        <w:rPr>
          <w:rFonts w:eastAsia="Calibri" w:cs="Arial"/>
          <w:snapToGrid w:val="0"/>
          <w:szCs w:val="22"/>
        </w:rPr>
        <w:instrText xml:space="preserve"> REF _Ref178864130 \h </w:instrText>
      </w:r>
      <w:r w:rsidRPr="00DA3E06">
        <w:rPr>
          <w:rFonts w:eastAsia="Calibri" w:cs="Arial"/>
          <w:snapToGrid w:val="0"/>
          <w:szCs w:val="22"/>
        </w:rPr>
      </w:r>
      <w:r w:rsidRPr="00DA3E06">
        <w:rPr>
          <w:rFonts w:eastAsia="Calibri" w:cs="Arial"/>
          <w:snapToGrid w:val="0"/>
          <w:szCs w:val="22"/>
        </w:rPr>
        <w:fldChar w:fldCharType="separate"/>
      </w:r>
      <w:r w:rsidR="00971CD5" w:rsidRPr="00DA3E06">
        <w:rPr>
          <w:rFonts w:ascii="Arial Narrow" w:eastAsia="MS Gothic" w:hAnsi="Arial Narrow"/>
          <w:b/>
          <w:bCs/>
          <w:sz w:val="20"/>
        </w:rPr>
        <w:t xml:space="preserve">Table </w:t>
      </w:r>
      <w:r w:rsidR="00971CD5">
        <w:rPr>
          <w:rFonts w:ascii="Arial Narrow" w:eastAsia="MS Gothic" w:hAnsi="Arial Narrow"/>
          <w:b/>
          <w:bCs/>
          <w:noProof/>
          <w:sz w:val="20"/>
        </w:rPr>
        <w:t>4</w:t>
      </w:r>
      <w:r w:rsidRPr="00DA3E06">
        <w:rPr>
          <w:rFonts w:eastAsia="Calibri" w:cs="Arial"/>
          <w:snapToGrid w:val="0"/>
          <w:szCs w:val="22"/>
        </w:rPr>
        <w:fldChar w:fldCharType="end"/>
      </w:r>
      <w:r w:rsidRPr="00DA3E06">
        <w:rPr>
          <w:rFonts w:eastAsia="Calibri" w:cs="Arial"/>
          <w:snapToGrid w:val="0"/>
          <w:szCs w:val="22"/>
        </w:rPr>
        <w:t xml:space="preserve"> and </w:t>
      </w:r>
      <w:r w:rsidRPr="00DA3E06">
        <w:rPr>
          <w:rFonts w:eastAsia="Calibri" w:cs="Arial"/>
          <w:snapToGrid w:val="0"/>
          <w:szCs w:val="22"/>
        </w:rPr>
        <w:fldChar w:fldCharType="begin"/>
      </w:r>
      <w:r w:rsidRPr="00DA3E06">
        <w:rPr>
          <w:rFonts w:eastAsia="Calibri" w:cs="Arial"/>
          <w:snapToGrid w:val="0"/>
          <w:szCs w:val="22"/>
        </w:rPr>
        <w:instrText xml:space="preserve"> REF _Ref201665582 \h  \* MERGEFORMAT </w:instrText>
      </w:r>
      <w:r w:rsidRPr="00DA3E06">
        <w:rPr>
          <w:rFonts w:eastAsia="Calibri" w:cs="Arial"/>
          <w:snapToGrid w:val="0"/>
          <w:szCs w:val="22"/>
        </w:rPr>
      </w:r>
      <w:r w:rsidRPr="00DA3E06">
        <w:rPr>
          <w:rFonts w:eastAsia="Calibri" w:cs="Arial"/>
          <w:snapToGrid w:val="0"/>
          <w:szCs w:val="22"/>
        </w:rPr>
        <w:fldChar w:fldCharType="separate"/>
      </w:r>
      <w:r w:rsidR="00971CD5" w:rsidRPr="00971CD5">
        <w:rPr>
          <w:rFonts w:eastAsia="Calibri" w:cs="Arial"/>
          <w:snapToGrid w:val="0"/>
          <w:szCs w:val="22"/>
        </w:rPr>
        <w:t>Figure 1</w:t>
      </w:r>
      <w:r w:rsidRPr="00DA3E06">
        <w:rPr>
          <w:rFonts w:eastAsia="Calibri" w:cs="Arial"/>
          <w:snapToGrid w:val="0"/>
          <w:szCs w:val="22"/>
        </w:rPr>
        <w:fldChar w:fldCharType="end"/>
      </w:r>
      <w:r w:rsidRPr="00DA3E06">
        <w:rPr>
          <w:rFonts w:eastAsia="Calibri" w:cs="Arial"/>
          <w:snapToGrid w:val="0"/>
          <w:szCs w:val="22"/>
        </w:rPr>
        <w:t>.</w:t>
      </w:r>
    </w:p>
    <w:p w14:paraId="74E6441F" w14:textId="77777777"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t xml:space="preserve">The resubmission proposed a 7-year time horizon, rather than the 5-year horizon as preferred by the PBAC. The resubmission noted the 5-year time horizon was based on what was considered reasonable for ivosidenib; however, it stated that given the PBAC considers patients with </w:t>
      </w:r>
      <w:r w:rsidRPr="00DA3E06">
        <w:rPr>
          <w:rFonts w:eastAsia="Calibri" w:cs="Arial"/>
          <w:i/>
          <w:iCs/>
          <w:snapToGrid w:val="0"/>
          <w:szCs w:val="22"/>
        </w:rPr>
        <w:t>FGFR2</w:t>
      </w:r>
      <w:r w:rsidRPr="00DA3E06">
        <w:rPr>
          <w:rFonts w:eastAsia="Calibri" w:cs="Arial"/>
          <w:snapToGrid w:val="0"/>
          <w:szCs w:val="22"/>
        </w:rPr>
        <w:t xml:space="preserve"> alterations have an improved prognosis and patients positive for </w:t>
      </w:r>
      <w:r w:rsidRPr="00DA3E06">
        <w:rPr>
          <w:rFonts w:eastAsia="Calibri" w:cs="Arial"/>
          <w:i/>
          <w:iCs/>
          <w:snapToGrid w:val="0"/>
          <w:szCs w:val="22"/>
        </w:rPr>
        <w:t>IDH1</w:t>
      </w:r>
      <w:r w:rsidRPr="00DA3E06">
        <w:rPr>
          <w:rFonts w:eastAsia="Calibri" w:cs="Arial"/>
          <w:snapToGrid w:val="0"/>
          <w:szCs w:val="22"/>
        </w:rPr>
        <w:t xml:space="preserve"> have a poorer prognosis, it is not reasonable for the futibatinib model to have the same time horizon (i.e., 5 years). </w:t>
      </w:r>
    </w:p>
    <w:p w14:paraId="40D05318" w14:textId="30007DBB" w:rsidR="00DA3E06" w:rsidRPr="00DA3E06" w:rsidRDefault="00DA3E06" w:rsidP="00DA3E06">
      <w:pPr>
        <w:numPr>
          <w:ilvl w:val="1"/>
          <w:numId w:val="9"/>
        </w:numPr>
        <w:spacing w:after="120"/>
        <w:rPr>
          <w:rFonts w:eastAsia="Calibri" w:cs="Arial"/>
          <w:i/>
          <w:iCs/>
          <w:snapToGrid w:val="0"/>
          <w:szCs w:val="22"/>
        </w:rPr>
      </w:pPr>
      <w:r w:rsidRPr="00DA3E06">
        <w:rPr>
          <w:rFonts w:eastAsia="Calibri" w:cs="Arial"/>
          <w:snapToGrid w:val="0"/>
          <w:szCs w:val="22"/>
        </w:rPr>
        <w:t xml:space="preserve">The model in the resubmission applied an OS HR of 0.32 (compared to 0.24 in the previous model) based on the upper limit of the OS HR 95% confidence interval (CI) from the submission’s MAIC, which the resubmission claimed represents the highest plausible value for the HR given the observed data. The resubmission noted this value falls within the range of the 95% CI for OS from Paine 2022 and Borad 2022 (see </w:t>
      </w:r>
      <w:r w:rsidRPr="00DA3E06">
        <w:rPr>
          <w:rFonts w:eastAsia="Calibri" w:cs="Arial"/>
          <w:snapToGrid w:val="0"/>
          <w:szCs w:val="22"/>
        </w:rPr>
        <w:fldChar w:fldCharType="begin"/>
      </w:r>
      <w:r w:rsidRPr="00DA3E06">
        <w:rPr>
          <w:rFonts w:eastAsia="Calibri" w:cs="Arial"/>
          <w:snapToGrid w:val="0"/>
          <w:szCs w:val="22"/>
        </w:rPr>
        <w:instrText xml:space="preserve"> REF _Ref201653528 \h </w:instrText>
      </w:r>
      <w:r w:rsidRPr="00DA3E06">
        <w:rPr>
          <w:rFonts w:eastAsia="Calibri" w:cs="Arial"/>
          <w:snapToGrid w:val="0"/>
          <w:szCs w:val="22"/>
        </w:rPr>
      </w:r>
      <w:r w:rsidRPr="00DA3E06">
        <w:rPr>
          <w:rFonts w:eastAsia="Calibri" w:cs="Arial"/>
          <w:snapToGrid w:val="0"/>
          <w:szCs w:val="22"/>
        </w:rPr>
        <w:fldChar w:fldCharType="separate"/>
      </w:r>
      <w:r w:rsidR="00971CD5" w:rsidRPr="00DA3E06">
        <w:rPr>
          <w:rFonts w:ascii="Arial Narrow" w:eastAsia="MS Gothic" w:hAnsi="Arial Narrow"/>
          <w:b/>
          <w:bCs/>
          <w:sz w:val="20"/>
        </w:rPr>
        <w:t xml:space="preserve">Table </w:t>
      </w:r>
      <w:r w:rsidR="00971CD5">
        <w:rPr>
          <w:rFonts w:ascii="Arial Narrow" w:eastAsia="MS Gothic" w:hAnsi="Arial Narrow"/>
          <w:b/>
          <w:bCs/>
          <w:noProof/>
          <w:sz w:val="20"/>
        </w:rPr>
        <w:t>3</w:t>
      </w:r>
      <w:r w:rsidRPr="00DA3E06">
        <w:rPr>
          <w:rFonts w:eastAsia="Calibri" w:cs="Arial"/>
          <w:snapToGrid w:val="0"/>
          <w:szCs w:val="22"/>
        </w:rPr>
        <w:fldChar w:fldCharType="end"/>
      </w:r>
      <w:r w:rsidRPr="00DA3E06">
        <w:rPr>
          <w:rFonts w:eastAsia="Calibri" w:cs="Arial"/>
          <w:snapToGrid w:val="0"/>
          <w:szCs w:val="22"/>
        </w:rPr>
        <w:t xml:space="preserve">). The PBAC previously considered that the economic model should be aligned with the more conservative OS HR of 0.48-0.49 from Paine 2022 or Borad 2022 (discussed in paragraph </w:t>
      </w:r>
      <w:r w:rsidRPr="00DA3E06">
        <w:rPr>
          <w:rFonts w:eastAsia="Calibri" w:cs="Arial"/>
          <w:snapToGrid w:val="0"/>
          <w:szCs w:val="22"/>
        </w:rPr>
        <w:fldChar w:fldCharType="begin"/>
      </w:r>
      <w:r w:rsidRPr="00DA3E06">
        <w:rPr>
          <w:rFonts w:eastAsia="Calibri" w:cs="Arial"/>
          <w:snapToGrid w:val="0"/>
          <w:szCs w:val="22"/>
        </w:rPr>
        <w:instrText xml:space="preserve"> REF _Ref201654818 \r \h  \* MERGEFORMAT </w:instrText>
      </w:r>
      <w:r w:rsidRPr="00DA3E06">
        <w:rPr>
          <w:rFonts w:eastAsia="Calibri" w:cs="Arial"/>
          <w:snapToGrid w:val="0"/>
          <w:szCs w:val="22"/>
        </w:rPr>
      </w:r>
      <w:r w:rsidRPr="00DA3E06">
        <w:rPr>
          <w:rFonts w:eastAsia="Calibri" w:cs="Arial"/>
          <w:snapToGrid w:val="0"/>
          <w:szCs w:val="22"/>
        </w:rPr>
        <w:fldChar w:fldCharType="separate"/>
      </w:r>
      <w:r w:rsidR="00971CD5">
        <w:rPr>
          <w:rFonts w:eastAsia="Calibri" w:cs="Arial"/>
          <w:snapToGrid w:val="0"/>
          <w:szCs w:val="22"/>
        </w:rPr>
        <w:t>4.6</w:t>
      </w:r>
      <w:r w:rsidRPr="00DA3E06">
        <w:rPr>
          <w:rFonts w:eastAsia="Calibri" w:cs="Arial"/>
          <w:snapToGrid w:val="0"/>
          <w:szCs w:val="22"/>
        </w:rPr>
        <w:fldChar w:fldCharType="end"/>
      </w:r>
      <w:r w:rsidRPr="00DA3E06">
        <w:rPr>
          <w:rFonts w:eastAsia="Calibri" w:cs="Arial"/>
          <w:snapToGrid w:val="0"/>
          <w:szCs w:val="22"/>
        </w:rPr>
        <w:t xml:space="preserve">). The Pre-PBAC response argued that the use of HRs above 0.32 result in a PFS that is higher than death and considered this is an implausible situation as it implies that deceased patients receive drug. The PBAC considered this was largely related to the structure and overall reliability of the economic model. </w:t>
      </w:r>
    </w:p>
    <w:p w14:paraId="1310A70C" w14:textId="77777777" w:rsidR="00DA3E06" w:rsidRPr="00DA3E06" w:rsidRDefault="00DA3E06" w:rsidP="00DA3E06">
      <w:pPr>
        <w:numPr>
          <w:ilvl w:val="1"/>
          <w:numId w:val="9"/>
        </w:numPr>
        <w:spacing w:after="120"/>
        <w:rPr>
          <w:rFonts w:eastAsia="Calibri" w:cs="Arial"/>
          <w:snapToGrid w:val="0"/>
          <w:szCs w:val="22"/>
        </w:rPr>
      </w:pPr>
      <w:bookmarkStart w:id="16" w:name="_Ref204165956"/>
      <w:r w:rsidRPr="00DA3E06">
        <w:rPr>
          <w:rFonts w:eastAsia="Calibri" w:cs="Arial"/>
          <w:snapToGrid w:val="0"/>
          <w:szCs w:val="22"/>
        </w:rPr>
        <w:t>The resubmission noted the PBAC had previously recommended an ICER less than $55,000 to &lt; $75,000 per QALY would be appropriate; however, the resubmission contended that as this is a small, well-defined population with a high clinical need, an ICER of $75,000 to &lt; $95,000 per QALY would be more appropriate. The Pre-PBAC response offered a further reduction in the proposed EMP to $</w:t>
      </w:r>
      <w:r w:rsidRPr="00DD77BD">
        <w:rPr>
          <w:rFonts w:eastAsia="Calibri" w:cs="Arial"/>
          <w:snapToGrid w:val="0"/>
          <w:color w:val="000000"/>
          <w:w w:val="61"/>
          <w:szCs w:val="22"/>
          <w:shd w:val="solid" w:color="000000" w:fill="000000"/>
          <w:fitText w:val="472" w:id="-509906169"/>
          <w14:textFill>
            <w14:solidFill>
              <w14:srgbClr w14:val="000000">
                <w14:alpha w14:val="100000"/>
              </w14:srgbClr>
            </w14:solidFill>
          </w14:textFill>
        </w:rPr>
        <w:t>|||  ||</w:t>
      </w:r>
      <w:r w:rsidRPr="00DD77BD">
        <w:rPr>
          <w:rFonts w:eastAsia="Calibri" w:cs="Arial"/>
          <w:snapToGrid w:val="0"/>
          <w:color w:val="000000"/>
          <w:spacing w:val="2"/>
          <w:w w:val="61"/>
          <w:szCs w:val="22"/>
          <w:shd w:val="solid" w:color="000000" w:fill="000000"/>
          <w:fitText w:val="472" w:id="-509906169"/>
          <w14:textFill>
            <w14:solidFill>
              <w14:srgbClr w14:val="000000">
                <w14:alpha w14:val="100000"/>
              </w14:srgbClr>
            </w14:solidFill>
          </w14:textFill>
        </w:rPr>
        <w:t>|</w:t>
      </w:r>
      <w:r w:rsidRPr="00DA3E06">
        <w:rPr>
          <w:rFonts w:eastAsia="Calibri" w:cs="Arial"/>
          <w:snapToGrid w:val="0"/>
          <w:szCs w:val="22"/>
        </w:rPr>
        <w:t xml:space="preserve"> per pack (from $</w:t>
      </w:r>
      <w:r w:rsidRPr="00DD77BD">
        <w:rPr>
          <w:rFonts w:eastAsia="Calibri" w:cs="Arial"/>
          <w:snapToGrid w:val="0"/>
          <w:color w:val="000000"/>
          <w:w w:val="61"/>
          <w:szCs w:val="22"/>
          <w:shd w:val="solid" w:color="000000" w:fill="000000"/>
          <w:fitText w:val="472" w:id="-509906168"/>
          <w14:textFill>
            <w14:solidFill>
              <w14:srgbClr w14:val="000000">
                <w14:alpha w14:val="100000"/>
              </w14:srgbClr>
            </w14:solidFill>
          </w14:textFill>
        </w:rPr>
        <w:t>|||  |||</w:t>
      </w:r>
      <w:r w:rsidRPr="00DA3E06">
        <w:rPr>
          <w:rFonts w:eastAsia="Calibri" w:cs="Arial"/>
          <w:snapToGrid w:val="0"/>
          <w:szCs w:val="22"/>
        </w:rPr>
        <w:t xml:space="preserve"> in the resubmission, and $</w:t>
      </w:r>
      <w:r w:rsidRPr="00DD77BD">
        <w:rPr>
          <w:rFonts w:eastAsia="Calibri" w:cs="Arial"/>
          <w:snapToGrid w:val="0"/>
          <w:color w:val="000000"/>
          <w:w w:val="61"/>
          <w:szCs w:val="22"/>
          <w:shd w:val="solid" w:color="000000" w:fill="000000"/>
          <w:fitText w:val="472" w:id="-509906167"/>
          <w14:textFill>
            <w14:solidFill>
              <w14:srgbClr w14:val="000000">
                <w14:alpha w14:val="100000"/>
              </w14:srgbClr>
            </w14:solidFill>
          </w14:textFill>
        </w:rPr>
        <w:t>|||  |||</w:t>
      </w:r>
      <w:r w:rsidRPr="00DA3E06">
        <w:rPr>
          <w:rFonts w:eastAsia="Calibri" w:cs="Arial"/>
          <w:snapToGrid w:val="0"/>
          <w:szCs w:val="22"/>
        </w:rPr>
        <w:t>in the initial submission), resulting in an ICER of $75,000 to &lt; $95,000 per QALY for the resubmission’s base case.</w:t>
      </w:r>
      <w:bookmarkEnd w:id="16"/>
      <w:r w:rsidRPr="00DA3E06">
        <w:rPr>
          <w:rFonts w:eastAsia="Calibri" w:cs="Arial"/>
          <w:snapToGrid w:val="0"/>
          <w:szCs w:val="22"/>
        </w:rPr>
        <w:t xml:space="preserve"> </w:t>
      </w:r>
    </w:p>
    <w:p w14:paraId="00E53D59" w14:textId="58D19376" w:rsidR="00DA3E06" w:rsidRPr="00DA3E06" w:rsidRDefault="00DA3E06" w:rsidP="00DA3E06">
      <w:pPr>
        <w:keepNext/>
        <w:keepLines/>
        <w:jc w:val="left"/>
        <w:rPr>
          <w:rFonts w:ascii="Arial Narrow" w:eastAsia="MS Gothic" w:hAnsi="Arial Narrow"/>
          <w:b/>
          <w:bCs/>
          <w:sz w:val="20"/>
        </w:rPr>
      </w:pPr>
      <w:bookmarkStart w:id="17" w:name="_Ref178864130"/>
      <w:r w:rsidRPr="00DA3E06">
        <w:rPr>
          <w:rFonts w:ascii="Arial Narrow" w:eastAsia="MS Gothic" w:hAnsi="Arial Narrow"/>
          <w:b/>
          <w:bCs/>
          <w:sz w:val="20"/>
        </w:rPr>
        <w:lastRenderedPageBreak/>
        <w:t xml:space="preserve">Table </w:t>
      </w:r>
      <w:r w:rsidRPr="00DA3E06">
        <w:rPr>
          <w:rFonts w:ascii="Arial Narrow" w:eastAsia="MS Gothic" w:hAnsi="Arial Narrow"/>
          <w:b/>
          <w:bCs/>
          <w:sz w:val="20"/>
        </w:rPr>
        <w:fldChar w:fldCharType="begin"/>
      </w:r>
      <w:r w:rsidRPr="00DA3E06">
        <w:rPr>
          <w:rFonts w:ascii="Arial Narrow" w:eastAsia="MS Gothic" w:hAnsi="Arial Narrow"/>
          <w:b/>
          <w:bCs/>
          <w:sz w:val="20"/>
        </w:rPr>
        <w:instrText xml:space="preserve"> SEQ Table \* ARABIC </w:instrText>
      </w:r>
      <w:r w:rsidRPr="00DA3E06">
        <w:rPr>
          <w:rFonts w:ascii="Arial Narrow" w:eastAsia="MS Gothic" w:hAnsi="Arial Narrow"/>
          <w:b/>
          <w:bCs/>
          <w:sz w:val="20"/>
        </w:rPr>
        <w:fldChar w:fldCharType="separate"/>
      </w:r>
      <w:r w:rsidR="00971CD5">
        <w:rPr>
          <w:rFonts w:ascii="Arial Narrow" w:eastAsia="MS Gothic" w:hAnsi="Arial Narrow"/>
          <w:b/>
          <w:bCs/>
          <w:noProof/>
          <w:sz w:val="20"/>
        </w:rPr>
        <w:t>4</w:t>
      </w:r>
      <w:r w:rsidRPr="00DA3E06">
        <w:rPr>
          <w:rFonts w:ascii="Arial Narrow" w:eastAsia="MS Gothic" w:hAnsi="Arial Narrow"/>
          <w:b/>
          <w:bCs/>
          <w:sz w:val="20"/>
        </w:rPr>
        <w:fldChar w:fldCharType="end"/>
      </w:r>
      <w:bookmarkEnd w:id="17"/>
      <w:r w:rsidRPr="00DA3E06">
        <w:rPr>
          <w:rFonts w:ascii="Arial Narrow" w:eastAsia="MS Gothic" w:hAnsi="Arial Narrow"/>
          <w:b/>
          <w:bCs/>
          <w:sz w:val="20"/>
        </w:rPr>
        <w:t>: Results of the economic evaluation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the economic evaluation presented in the resubmission"/>
      </w:tblPr>
      <w:tblGrid>
        <w:gridCol w:w="4048"/>
        <w:gridCol w:w="1520"/>
        <w:gridCol w:w="1486"/>
        <w:gridCol w:w="1962"/>
      </w:tblGrid>
      <w:tr w:rsidR="00DA3E06" w:rsidRPr="00DA3E06" w14:paraId="7B1DBC85" w14:textId="77777777">
        <w:trPr>
          <w:tblHeader/>
        </w:trPr>
        <w:tc>
          <w:tcPr>
            <w:tcW w:w="2245" w:type="pct"/>
            <w:tcBorders>
              <w:top w:val="single" w:sz="4" w:space="0" w:color="auto"/>
              <w:left w:val="single" w:sz="4" w:space="0" w:color="auto"/>
              <w:bottom w:val="single" w:sz="4" w:space="0" w:color="auto"/>
              <w:right w:val="single" w:sz="4" w:space="0" w:color="auto"/>
            </w:tcBorders>
          </w:tcPr>
          <w:p w14:paraId="756F2578" w14:textId="77777777" w:rsidR="00DA3E06" w:rsidRPr="00DA3E06" w:rsidRDefault="00DA3E06" w:rsidP="00DA3E06">
            <w:pPr>
              <w:keepNext/>
              <w:keepLines/>
              <w:jc w:val="left"/>
              <w:rPr>
                <w:rFonts w:ascii="Arial Narrow" w:eastAsia="MS Gothic" w:hAnsi="Arial Narrow"/>
                <w:b/>
                <w:bCs/>
                <w:color w:val="0D0D0D" w:themeColor="text1" w:themeTint="F2"/>
                <w:sz w:val="20"/>
                <w:szCs w:val="20"/>
              </w:rPr>
            </w:pPr>
          </w:p>
          <w:p w14:paraId="43FD57E4" w14:textId="77777777" w:rsidR="00DA3E06" w:rsidRPr="00DA3E06" w:rsidRDefault="00DA3E06" w:rsidP="00DA3E06">
            <w:pPr>
              <w:keepNext/>
              <w:keepLines/>
              <w:jc w:val="left"/>
              <w:rPr>
                <w:rFonts w:ascii="Arial Narrow" w:eastAsia="MS Gothic" w:hAnsi="Arial Narrow"/>
                <w:b/>
                <w:color w:val="0D0D0D" w:themeColor="text1" w:themeTint="F2"/>
                <w:sz w:val="20"/>
                <w:szCs w:val="20"/>
              </w:rPr>
            </w:pPr>
            <w:r w:rsidRPr="00DA3E06">
              <w:rPr>
                <w:rFonts w:ascii="Arial Narrow" w:eastAsia="MS Gothic" w:hAnsi="Arial Narrow"/>
                <w:b/>
                <w:bCs/>
                <w:color w:val="0D0D0D" w:themeColor="text1" w:themeTint="F2"/>
                <w:sz w:val="20"/>
                <w:szCs w:val="20"/>
              </w:rPr>
              <w:t>Analyses</w:t>
            </w:r>
          </w:p>
        </w:tc>
        <w:tc>
          <w:tcPr>
            <w:tcW w:w="843" w:type="pct"/>
            <w:tcBorders>
              <w:top w:val="single" w:sz="4" w:space="0" w:color="auto"/>
              <w:left w:val="single" w:sz="4" w:space="0" w:color="auto"/>
              <w:bottom w:val="single" w:sz="4" w:space="0" w:color="auto"/>
              <w:right w:val="single" w:sz="4" w:space="0" w:color="auto"/>
            </w:tcBorders>
            <w:hideMark/>
          </w:tcPr>
          <w:p w14:paraId="6921AF66" w14:textId="77777777" w:rsidR="00DA3E06" w:rsidRPr="00DA3E06" w:rsidRDefault="00DA3E06" w:rsidP="00DA3E06">
            <w:pPr>
              <w:keepNext/>
              <w:keepLines/>
              <w:jc w:val="center"/>
              <w:rPr>
                <w:rFonts w:ascii="Arial Narrow" w:eastAsia="MS Gothic" w:hAnsi="Arial Narrow"/>
                <w:b/>
                <w:color w:val="0D0D0D" w:themeColor="text1" w:themeTint="F2"/>
                <w:sz w:val="20"/>
                <w:szCs w:val="20"/>
              </w:rPr>
            </w:pPr>
            <w:r w:rsidRPr="00DA3E06">
              <w:rPr>
                <w:rFonts w:ascii="Arial Narrow" w:eastAsia="MS Gothic" w:hAnsi="Arial Narrow"/>
                <w:b/>
                <w:bCs/>
                <w:color w:val="0D0D0D" w:themeColor="text1" w:themeTint="F2"/>
                <w:sz w:val="20"/>
                <w:szCs w:val="20"/>
              </w:rPr>
              <w:t>Incremental cost</w:t>
            </w:r>
          </w:p>
        </w:tc>
        <w:tc>
          <w:tcPr>
            <w:tcW w:w="824" w:type="pct"/>
            <w:tcBorders>
              <w:top w:val="single" w:sz="4" w:space="0" w:color="auto"/>
              <w:left w:val="single" w:sz="4" w:space="0" w:color="auto"/>
              <w:bottom w:val="single" w:sz="4" w:space="0" w:color="auto"/>
              <w:right w:val="single" w:sz="4" w:space="0" w:color="auto"/>
            </w:tcBorders>
            <w:hideMark/>
          </w:tcPr>
          <w:p w14:paraId="4C52D9A2" w14:textId="77777777" w:rsidR="00DA3E06" w:rsidRPr="00DA3E06" w:rsidRDefault="00DA3E06" w:rsidP="00DA3E06">
            <w:pPr>
              <w:keepNext/>
              <w:keepLines/>
              <w:jc w:val="center"/>
              <w:rPr>
                <w:rFonts w:ascii="Arial Narrow" w:eastAsia="MS Gothic" w:hAnsi="Arial Narrow"/>
                <w:b/>
                <w:color w:val="0D0D0D" w:themeColor="text1" w:themeTint="F2"/>
                <w:sz w:val="20"/>
                <w:szCs w:val="20"/>
              </w:rPr>
            </w:pPr>
            <w:r w:rsidRPr="00DA3E06">
              <w:rPr>
                <w:rFonts w:ascii="Arial Narrow" w:eastAsia="MS Gothic" w:hAnsi="Arial Narrow"/>
                <w:b/>
                <w:bCs/>
                <w:color w:val="0D0D0D" w:themeColor="text1" w:themeTint="F2"/>
                <w:sz w:val="20"/>
                <w:szCs w:val="20"/>
              </w:rPr>
              <w:t>Incremental QALY</w:t>
            </w:r>
          </w:p>
        </w:tc>
        <w:tc>
          <w:tcPr>
            <w:tcW w:w="1088" w:type="pct"/>
            <w:tcBorders>
              <w:top w:val="single" w:sz="4" w:space="0" w:color="auto"/>
              <w:left w:val="single" w:sz="4" w:space="0" w:color="auto"/>
              <w:bottom w:val="single" w:sz="4" w:space="0" w:color="auto"/>
              <w:right w:val="single" w:sz="4" w:space="0" w:color="auto"/>
            </w:tcBorders>
            <w:hideMark/>
          </w:tcPr>
          <w:p w14:paraId="2174062D" w14:textId="77777777" w:rsidR="00DA3E06" w:rsidRPr="00DA3E06" w:rsidRDefault="00DA3E06" w:rsidP="00DA3E06">
            <w:pPr>
              <w:keepNext/>
              <w:keepLines/>
              <w:jc w:val="center"/>
              <w:rPr>
                <w:rFonts w:ascii="Arial Narrow" w:eastAsia="MS Gothic" w:hAnsi="Arial Narrow"/>
                <w:b/>
                <w:color w:val="0D0D0D" w:themeColor="text1" w:themeTint="F2"/>
                <w:sz w:val="20"/>
                <w:szCs w:val="20"/>
              </w:rPr>
            </w:pPr>
            <w:r w:rsidRPr="00DA3E06">
              <w:rPr>
                <w:rFonts w:ascii="Arial Narrow" w:eastAsia="MS Gothic" w:hAnsi="Arial Narrow"/>
                <w:b/>
                <w:bCs/>
                <w:color w:val="0D0D0D" w:themeColor="text1" w:themeTint="F2"/>
                <w:sz w:val="20"/>
                <w:szCs w:val="20"/>
              </w:rPr>
              <w:t>ICER</w:t>
            </w:r>
          </w:p>
        </w:tc>
      </w:tr>
      <w:tr w:rsidR="00DA3E06" w:rsidRPr="00DA3E06" w14:paraId="21DC48CB" w14:textId="77777777">
        <w:tc>
          <w:tcPr>
            <w:tcW w:w="2245" w:type="pct"/>
            <w:tcBorders>
              <w:top w:val="single" w:sz="4" w:space="0" w:color="auto"/>
              <w:left w:val="single" w:sz="4" w:space="0" w:color="auto"/>
              <w:bottom w:val="single" w:sz="4" w:space="0" w:color="auto"/>
              <w:right w:val="single" w:sz="4" w:space="0" w:color="auto"/>
            </w:tcBorders>
            <w:hideMark/>
          </w:tcPr>
          <w:p w14:paraId="3ED621CB" w14:textId="559E3595" w:rsidR="00DA3E06" w:rsidRPr="00DA3E06" w:rsidRDefault="00DA3E06" w:rsidP="00DA3E06">
            <w:pPr>
              <w:keepNext/>
              <w:keepLines/>
              <w:jc w:val="left"/>
              <w:rPr>
                <w:rFonts w:ascii="Arial Narrow" w:eastAsia="MS Gothic" w:hAnsi="Arial Narrow"/>
                <w:b/>
                <w:bCs/>
                <w:color w:val="0D0D0D" w:themeColor="text1" w:themeTint="F2"/>
                <w:sz w:val="20"/>
                <w:szCs w:val="20"/>
              </w:rPr>
            </w:pPr>
            <w:r w:rsidRPr="00DA3E06">
              <w:rPr>
                <w:rFonts w:ascii="Arial Narrow" w:eastAsia="MS Gothic" w:hAnsi="Arial Narrow"/>
                <w:b/>
                <w:bCs/>
                <w:color w:val="0D0D0D" w:themeColor="text1" w:themeTint="F2"/>
                <w:sz w:val="20"/>
                <w:szCs w:val="20"/>
              </w:rPr>
              <w:t xml:space="preserve">Base case (previous submission) (paragraph </w:t>
            </w:r>
            <w:r w:rsidRPr="00DA3E06">
              <w:rPr>
                <w:rFonts w:ascii="Arial Narrow" w:eastAsia="MS Gothic" w:hAnsi="Arial Narrow"/>
                <w:b/>
                <w:bCs/>
                <w:color w:val="0D0D0D" w:themeColor="text1" w:themeTint="F2"/>
                <w:sz w:val="20"/>
                <w:szCs w:val="20"/>
              </w:rPr>
              <w:fldChar w:fldCharType="begin"/>
            </w:r>
            <w:r w:rsidRPr="00DA3E06">
              <w:rPr>
                <w:rFonts w:ascii="Arial Narrow" w:eastAsia="MS Gothic" w:hAnsi="Arial Narrow"/>
                <w:b/>
                <w:bCs/>
                <w:color w:val="0D0D0D" w:themeColor="text1" w:themeTint="F2"/>
                <w:sz w:val="20"/>
                <w:szCs w:val="20"/>
              </w:rPr>
              <w:instrText xml:space="preserve"> REF _Ref201736204 \r \h </w:instrText>
            </w:r>
            <w:r w:rsidRPr="00DA3E06">
              <w:rPr>
                <w:rFonts w:ascii="Arial Narrow" w:eastAsia="MS Gothic" w:hAnsi="Arial Narrow"/>
                <w:b/>
                <w:bCs/>
                <w:color w:val="0D0D0D" w:themeColor="text1" w:themeTint="F2"/>
                <w:sz w:val="20"/>
                <w:szCs w:val="20"/>
              </w:rPr>
            </w:r>
            <w:r w:rsidRPr="00DA3E06">
              <w:rPr>
                <w:rFonts w:ascii="Arial Narrow" w:eastAsia="MS Gothic" w:hAnsi="Arial Narrow"/>
                <w:b/>
                <w:bCs/>
                <w:color w:val="0D0D0D" w:themeColor="text1" w:themeTint="F2"/>
                <w:sz w:val="20"/>
                <w:szCs w:val="20"/>
              </w:rPr>
              <w:fldChar w:fldCharType="separate"/>
            </w:r>
            <w:r w:rsidR="00971CD5">
              <w:rPr>
                <w:rFonts w:ascii="Arial Narrow" w:eastAsia="MS Gothic" w:hAnsi="Arial Narrow"/>
                <w:b/>
                <w:bCs/>
                <w:color w:val="0D0D0D" w:themeColor="text1" w:themeTint="F2"/>
                <w:sz w:val="20"/>
                <w:szCs w:val="20"/>
              </w:rPr>
              <w:t>4.9</w:t>
            </w:r>
            <w:r w:rsidRPr="00DA3E06">
              <w:rPr>
                <w:rFonts w:ascii="Arial Narrow" w:eastAsia="MS Gothic" w:hAnsi="Arial Narrow"/>
                <w:b/>
                <w:bCs/>
                <w:color w:val="0D0D0D" w:themeColor="text1" w:themeTint="F2"/>
                <w:sz w:val="20"/>
                <w:szCs w:val="20"/>
              </w:rPr>
              <w:fldChar w:fldCharType="end"/>
            </w:r>
            <w:r w:rsidRPr="00DA3E06">
              <w:rPr>
                <w:rFonts w:ascii="Arial Narrow" w:eastAsia="MS Gothic" w:hAnsi="Arial Narrow"/>
                <w:b/>
                <w:bCs/>
                <w:color w:val="0D0D0D" w:themeColor="text1" w:themeTint="F2"/>
                <w:sz w:val="20"/>
                <w:szCs w:val="20"/>
              </w:rPr>
              <w:t>)</w:t>
            </w:r>
          </w:p>
        </w:tc>
        <w:tc>
          <w:tcPr>
            <w:tcW w:w="843" w:type="pct"/>
            <w:tcBorders>
              <w:top w:val="single" w:sz="4" w:space="0" w:color="auto"/>
              <w:left w:val="single" w:sz="4" w:space="0" w:color="auto"/>
              <w:bottom w:val="single" w:sz="4" w:space="0" w:color="auto"/>
              <w:right w:val="single" w:sz="4" w:space="0" w:color="auto"/>
            </w:tcBorders>
            <w:hideMark/>
          </w:tcPr>
          <w:p w14:paraId="37DB3CBE"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bCs/>
                <w:sz w:val="20"/>
              </w:rPr>
              <w:t>$</w:t>
            </w:r>
            <w:r w:rsidRPr="00DA3E06">
              <w:rPr>
                <w:rFonts w:ascii="Arial Narrow" w:eastAsia="MS Gothic" w:hAnsi="Arial Narrow"/>
                <w:bCs/>
                <w:color w:val="000000"/>
                <w:spacing w:val="51"/>
                <w:sz w:val="20"/>
                <w:shd w:val="solid" w:color="000000" w:fill="000000"/>
                <w:fitText w:val="324" w:id="-509906166"/>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66"/>
                <w14:textFill>
                  <w14:solidFill>
                    <w14:srgbClr w14:val="000000">
                      <w14:alpha w14:val="100000"/>
                    </w14:srgbClr>
                  </w14:solidFill>
                </w14:textFill>
              </w:rPr>
              <w:t>|</w:t>
            </w:r>
          </w:p>
        </w:tc>
        <w:tc>
          <w:tcPr>
            <w:tcW w:w="824" w:type="pct"/>
            <w:tcBorders>
              <w:top w:val="single" w:sz="4" w:space="0" w:color="auto"/>
              <w:left w:val="single" w:sz="4" w:space="0" w:color="auto"/>
              <w:bottom w:val="single" w:sz="4" w:space="0" w:color="auto"/>
              <w:right w:val="single" w:sz="4" w:space="0" w:color="auto"/>
            </w:tcBorders>
            <w:hideMark/>
          </w:tcPr>
          <w:p w14:paraId="70B61040"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bCs/>
                <w:sz w:val="20"/>
              </w:rPr>
              <w:t>1.16</w:t>
            </w:r>
          </w:p>
        </w:tc>
        <w:tc>
          <w:tcPr>
            <w:tcW w:w="1088" w:type="pct"/>
            <w:tcBorders>
              <w:top w:val="single" w:sz="4" w:space="0" w:color="auto"/>
              <w:left w:val="single" w:sz="4" w:space="0" w:color="auto"/>
              <w:bottom w:val="single" w:sz="4" w:space="0" w:color="auto"/>
              <w:right w:val="single" w:sz="4" w:space="0" w:color="auto"/>
            </w:tcBorders>
            <w:hideMark/>
          </w:tcPr>
          <w:p w14:paraId="139A4F2E" w14:textId="77777777" w:rsidR="00DA3E06" w:rsidRPr="00DA3E06" w:rsidRDefault="00DA3E06" w:rsidP="00DA3E06">
            <w:pPr>
              <w:keepNext/>
              <w:keepLines/>
              <w:jc w:val="center"/>
              <w:rPr>
                <w:rFonts w:ascii="Arial Narrow" w:eastAsia="MS Gothic" w:hAnsi="Arial Narrow"/>
                <w:bCs/>
                <w:color w:val="0D0D0D" w:themeColor="text1" w:themeTint="F2"/>
                <w:sz w:val="20"/>
                <w:szCs w:val="20"/>
                <w:vertAlign w:val="superscript"/>
              </w:rPr>
            </w:pPr>
            <w:r w:rsidRPr="00DA3E06">
              <w:rPr>
                <w:rFonts w:ascii="Arial Narrow" w:eastAsia="MS Gothic" w:hAnsi="Arial Narrow" w:cs="Arial"/>
                <w:bCs/>
                <w:sz w:val="20"/>
                <w:szCs w:val="20"/>
              </w:rPr>
              <w:t>$</w:t>
            </w:r>
            <w:r w:rsidRPr="00DA3E06">
              <w:rPr>
                <w:rFonts w:ascii="Arial Narrow" w:eastAsia="MS Gothic" w:hAnsi="Arial Narrow" w:cs="Arial"/>
                <w:bCs/>
                <w:color w:val="000000"/>
                <w:spacing w:val="51"/>
                <w:sz w:val="20"/>
                <w:szCs w:val="20"/>
                <w:shd w:val="solid" w:color="000000" w:fill="000000"/>
                <w:fitText w:val="324" w:id="-509906165"/>
                <w14:textFill>
                  <w14:solidFill>
                    <w14:srgbClr w14:val="000000">
                      <w14:alpha w14:val="100000"/>
                    </w14:srgbClr>
                  </w14:solidFill>
                </w14:textFill>
              </w:rPr>
              <w:t>|||</w:t>
            </w:r>
            <w:r w:rsidRPr="00DA3E06">
              <w:rPr>
                <w:rFonts w:ascii="Arial Narrow" w:eastAsia="MS Gothic" w:hAnsi="Arial Narrow" w:cs="Arial"/>
                <w:bCs/>
                <w:color w:val="000000"/>
                <w:spacing w:val="1"/>
                <w:sz w:val="20"/>
                <w:szCs w:val="20"/>
                <w:shd w:val="solid" w:color="000000" w:fill="000000"/>
                <w:fitText w:val="324" w:id="-509906165"/>
                <w14:textFill>
                  <w14:solidFill>
                    <w14:srgbClr w14:val="000000">
                      <w14:alpha w14:val="100000"/>
                    </w14:srgbClr>
                  </w14:solidFill>
                </w14:textFill>
              </w:rPr>
              <w:t>|</w:t>
            </w:r>
            <w:r w:rsidRPr="00DA3E06">
              <w:rPr>
                <w:rFonts w:ascii="Arial Narrow" w:eastAsia="MS Gothic" w:hAnsi="Arial Narrow" w:cs="Arial"/>
                <w:bCs/>
                <w:sz w:val="20"/>
                <w:szCs w:val="20"/>
                <w:vertAlign w:val="superscript"/>
              </w:rPr>
              <w:t>1</w:t>
            </w:r>
          </w:p>
        </w:tc>
      </w:tr>
      <w:tr w:rsidR="00DA3E06" w:rsidRPr="00DA3E06" w14:paraId="4F50C90F" w14:textId="77777777">
        <w:tc>
          <w:tcPr>
            <w:tcW w:w="5000" w:type="pct"/>
            <w:gridSpan w:val="4"/>
            <w:tcBorders>
              <w:top w:val="single" w:sz="4" w:space="0" w:color="auto"/>
              <w:left w:val="single" w:sz="4" w:space="0" w:color="auto"/>
              <w:bottom w:val="single" w:sz="4" w:space="0" w:color="auto"/>
              <w:right w:val="single" w:sz="4" w:space="0" w:color="auto"/>
            </w:tcBorders>
          </w:tcPr>
          <w:p w14:paraId="1AE14640" w14:textId="77777777" w:rsidR="00DA3E06" w:rsidRPr="00DA3E06" w:rsidRDefault="00DA3E06" w:rsidP="00DA3E06">
            <w:pPr>
              <w:keepNext/>
              <w:keepLines/>
              <w:jc w:val="center"/>
              <w:rPr>
                <w:rFonts w:ascii="Arial Narrow" w:eastAsia="MS Gothic" w:hAnsi="Arial Narrow"/>
                <w:color w:val="0D0D0D" w:themeColor="text1" w:themeTint="F2"/>
                <w:sz w:val="20"/>
                <w:szCs w:val="20"/>
              </w:rPr>
            </w:pPr>
          </w:p>
        </w:tc>
      </w:tr>
      <w:tr w:rsidR="00DA3E06" w:rsidRPr="00DA3E06" w14:paraId="02408ACF" w14:textId="77777777">
        <w:tc>
          <w:tcPr>
            <w:tcW w:w="2245" w:type="pct"/>
            <w:tcBorders>
              <w:top w:val="single" w:sz="4" w:space="0" w:color="auto"/>
              <w:left w:val="single" w:sz="4" w:space="0" w:color="auto"/>
              <w:bottom w:val="single" w:sz="4" w:space="0" w:color="auto"/>
              <w:right w:val="single" w:sz="4" w:space="0" w:color="auto"/>
            </w:tcBorders>
            <w:hideMark/>
          </w:tcPr>
          <w:p w14:paraId="693E2D0C" w14:textId="7F85C604" w:rsidR="00DA3E06" w:rsidRPr="00DA3E06" w:rsidRDefault="00DA3E06" w:rsidP="00DA3E06">
            <w:pPr>
              <w:keepNext/>
              <w:keepLines/>
              <w:jc w:val="left"/>
              <w:rPr>
                <w:rFonts w:ascii="Arial Narrow" w:eastAsia="MS Gothic" w:hAnsi="Arial Narrow"/>
                <w:b/>
                <w:bCs/>
                <w:color w:val="0D0D0D" w:themeColor="text1" w:themeTint="F2"/>
                <w:sz w:val="20"/>
                <w:szCs w:val="20"/>
              </w:rPr>
            </w:pPr>
            <w:r w:rsidRPr="00DA3E06">
              <w:rPr>
                <w:rFonts w:ascii="Arial Narrow" w:eastAsia="MS Gothic" w:hAnsi="Arial Narrow"/>
                <w:b/>
                <w:bCs/>
                <w:color w:val="0D0D0D" w:themeColor="text1" w:themeTint="F2"/>
                <w:sz w:val="20"/>
                <w:szCs w:val="20"/>
              </w:rPr>
              <w:t xml:space="preserve">Model provided in previous pre-PBAC response (paragraph </w:t>
            </w:r>
            <w:r w:rsidRPr="00DA3E06">
              <w:rPr>
                <w:rFonts w:ascii="Arial Narrow" w:eastAsia="MS Gothic" w:hAnsi="Arial Narrow"/>
                <w:b/>
                <w:bCs/>
                <w:color w:val="0D0D0D" w:themeColor="text1" w:themeTint="F2"/>
                <w:sz w:val="20"/>
                <w:szCs w:val="20"/>
              </w:rPr>
              <w:fldChar w:fldCharType="begin"/>
            </w:r>
            <w:r w:rsidRPr="00DA3E06">
              <w:rPr>
                <w:rFonts w:ascii="Arial Narrow" w:eastAsia="MS Gothic" w:hAnsi="Arial Narrow"/>
                <w:b/>
                <w:bCs/>
                <w:color w:val="0D0D0D" w:themeColor="text1" w:themeTint="F2"/>
                <w:sz w:val="20"/>
                <w:szCs w:val="20"/>
              </w:rPr>
              <w:instrText xml:space="preserve"> REF _Ref201736222 \r \h </w:instrText>
            </w:r>
            <w:r w:rsidRPr="00DA3E06">
              <w:rPr>
                <w:rFonts w:ascii="Arial Narrow" w:eastAsia="MS Gothic" w:hAnsi="Arial Narrow"/>
                <w:b/>
                <w:bCs/>
                <w:color w:val="0D0D0D" w:themeColor="text1" w:themeTint="F2"/>
                <w:sz w:val="20"/>
                <w:szCs w:val="20"/>
              </w:rPr>
            </w:r>
            <w:r w:rsidRPr="00DA3E06">
              <w:rPr>
                <w:rFonts w:ascii="Arial Narrow" w:eastAsia="MS Gothic" w:hAnsi="Arial Narrow"/>
                <w:b/>
                <w:bCs/>
                <w:color w:val="0D0D0D" w:themeColor="text1" w:themeTint="F2"/>
                <w:sz w:val="20"/>
                <w:szCs w:val="20"/>
              </w:rPr>
              <w:fldChar w:fldCharType="separate"/>
            </w:r>
            <w:r w:rsidR="00971CD5">
              <w:rPr>
                <w:rFonts w:ascii="Arial Narrow" w:eastAsia="MS Gothic" w:hAnsi="Arial Narrow"/>
                <w:b/>
                <w:bCs/>
                <w:color w:val="0D0D0D" w:themeColor="text1" w:themeTint="F2"/>
                <w:sz w:val="20"/>
                <w:szCs w:val="20"/>
              </w:rPr>
              <w:t>4.11</w:t>
            </w:r>
            <w:r w:rsidRPr="00DA3E06">
              <w:rPr>
                <w:rFonts w:ascii="Arial Narrow" w:eastAsia="MS Gothic" w:hAnsi="Arial Narrow"/>
                <w:b/>
                <w:bCs/>
                <w:color w:val="0D0D0D" w:themeColor="text1" w:themeTint="F2"/>
                <w:sz w:val="20"/>
                <w:szCs w:val="20"/>
              </w:rPr>
              <w:fldChar w:fldCharType="end"/>
            </w:r>
            <w:r w:rsidRPr="00DA3E06">
              <w:rPr>
                <w:rFonts w:ascii="Arial Narrow" w:eastAsia="MS Gothic" w:hAnsi="Arial Narrow"/>
                <w:b/>
                <w:bCs/>
                <w:color w:val="0D0D0D" w:themeColor="text1" w:themeTint="F2"/>
                <w:sz w:val="20"/>
                <w:szCs w:val="20"/>
              </w:rPr>
              <w:fldChar w:fldCharType="begin"/>
            </w:r>
            <w:r w:rsidRPr="00DA3E06">
              <w:rPr>
                <w:rFonts w:ascii="Arial Narrow" w:eastAsia="MS Gothic" w:hAnsi="Arial Narrow"/>
                <w:b/>
                <w:bCs/>
                <w:color w:val="0D0D0D" w:themeColor="text1" w:themeTint="F2"/>
                <w:sz w:val="20"/>
                <w:szCs w:val="20"/>
              </w:rPr>
              <w:instrText xml:space="preserve"> REF _Ref201736222 \r \h </w:instrText>
            </w:r>
            <w:r w:rsidRPr="00DA3E06">
              <w:rPr>
                <w:rFonts w:ascii="Arial Narrow" w:eastAsia="MS Gothic" w:hAnsi="Arial Narrow"/>
                <w:b/>
                <w:bCs/>
                <w:color w:val="0D0D0D" w:themeColor="text1" w:themeTint="F2"/>
                <w:sz w:val="20"/>
                <w:szCs w:val="20"/>
              </w:rPr>
            </w:r>
            <w:r w:rsidRPr="00DA3E06">
              <w:rPr>
                <w:rFonts w:ascii="Arial Narrow" w:eastAsia="MS Gothic" w:hAnsi="Arial Narrow"/>
                <w:b/>
                <w:bCs/>
                <w:color w:val="0D0D0D" w:themeColor="text1" w:themeTint="F2"/>
                <w:sz w:val="20"/>
                <w:szCs w:val="20"/>
              </w:rPr>
              <w:fldChar w:fldCharType="separate"/>
            </w:r>
            <w:r w:rsidR="00971CD5">
              <w:rPr>
                <w:rFonts w:ascii="Arial Narrow" w:eastAsia="MS Gothic" w:hAnsi="Arial Narrow"/>
                <w:b/>
                <w:bCs/>
                <w:color w:val="0D0D0D" w:themeColor="text1" w:themeTint="F2"/>
                <w:sz w:val="20"/>
                <w:szCs w:val="20"/>
              </w:rPr>
              <w:t>4.11</w:t>
            </w:r>
            <w:r w:rsidRPr="00DA3E06">
              <w:rPr>
                <w:rFonts w:ascii="Arial Narrow" w:eastAsia="MS Gothic" w:hAnsi="Arial Narrow"/>
                <w:b/>
                <w:bCs/>
                <w:color w:val="0D0D0D" w:themeColor="text1" w:themeTint="F2"/>
                <w:sz w:val="20"/>
                <w:szCs w:val="20"/>
              </w:rPr>
              <w:fldChar w:fldCharType="end"/>
            </w:r>
            <w:r w:rsidRPr="00DA3E06">
              <w:rPr>
                <w:rFonts w:ascii="Arial Narrow" w:eastAsia="MS Gothic" w:hAnsi="Arial Narrow"/>
                <w:b/>
                <w:bCs/>
                <w:color w:val="0D0D0D" w:themeColor="text1" w:themeTint="F2"/>
                <w:sz w:val="20"/>
                <w:szCs w:val="20"/>
              </w:rPr>
              <w:t>)</w:t>
            </w:r>
          </w:p>
        </w:tc>
        <w:tc>
          <w:tcPr>
            <w:tcW w:w="843" w:type="pct"/>
            <w:tcBorders>
              <w:top w:val="single" w:sz="4" w:space="0" w:color="auto"/>
              <w:left w:val="single" w:sz="4" w:space="0" w:color="auto"/>
              <w:bottom w:val="single" w:sz="4" w:space="0" w:color="auto"/>
              <w:right w:val="single" w:sz="4" w:space="0" w:color="auto"/>
            </w:tcBorders>
            <w:hideMark/>
          </w:tcPr>
          <w:p w14:paraId="11531515"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color w:val="0D0D0D" w:themeColor="text1" w:themeTint="F2"/>
                <w:sz w:val="20"/>
              </w:rPr>
              <w:t>$</w:t>
            </w:r>
            <w:r w:rsidRPr="00DA3E06">
              <w:rPr>
                <w:rFonts w:ascii="Arial Narrow" w:eastAsia="MS Gothic" w:hAnsi="Arial Narrow"/>
                <w:color w:val="0D0D0D"/>
                <w:spacing w:val="51"/>
                <w:sz w:val="20"/>
                <w:shd w:val="solid" w:color="000000" w:fill="000000"/>
                <w:fitText w:val="324" w:id="-509906164"/>
                <w14:textFill>
                  <w14:solidFill>
                    <w14:srgbClr w14:val="0D0D0D">
                      <w14:alpha w14:val="100000"/>
                    </w14:srgbClr>
                  </w14:solidFill>
                </w14:textFill>
              </w:rPr>
              <w:t>|||</w:t>
            </w:r>
            <w:r w:rsidRPr="00DA3E06">
              <w:rPr>
                <w:rFonts w:ascii="Arial Narrow" w:eastAsia="MS Gothic" w:hAnsi="Arial Narrow"/>
                <w:color w:val="0D0D0D"/>
                <w:spacing w:val="1"/>
                <w:sz w:val="20"/>
                <w:shd w:val="solid" w:color="000000" w:fill="000000"/>
                <w:fitText w:val="324" w:id="-509906164"/>
                <w14:textFill>
                  <w14:solidFill>
                    <w14:srgbClr w14:val="0D0D0D">
                      <w14:alpha w14:val="100000"/>
                    </w14:srgbClr>
                  </w14:solidFill>
                </w14:textFill>
              </w:rPr>
              <w:t>|</w:t>
            </w:r>
          </w:p>
        </w:tc>
        <w:tc>
          <w:tcPr>
            <w:tcW w:w="824" w:type="pct"/>
            <w:tcBorders>
              <w:top w:val="single" w:sz="4" w:space="0" w:color="auto"/>
              <w:left w:val="single" w:sz="4" w:space="0" w:color="auto"/>
              <w:bottom w:val="single" w:sz="4" w:space="0" w:color="auto"/>
              <w:right w:val="single" w:sz="4" w:space="0" w:color="auto"/>
            </w:tcBorders>
            <w:hideMark/>
          </w:tcPr>
          <w:p w14:paraId="3B5C7370"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color w:val="0D0D0D" w:themeColor="text1" w:themeTint="F2"/>
                <w:sz w:val="20"/>
              </w:rPr>
              <w:t>1.22</w:t>
            </w:r>
          </w:p>
        </w:tc>
        <w:tc>
          <w:tcPr>
            <w:tcW w:w="1088" w:type="pct"/>
            <w:tcBorders>
              <w:top w:val="single" w:sz="4" w:space="0" w:color="auto"/>
              <w:left w:val="single" w:sz="4" w:space="0" w:color="auto"/>
              <w:bottom w:val="single" w:sz="4" w:space="0" w:color="auto"/>
              <w:right w:val="single" w:sz="4" w:space="0" w:color="auto"/>
            </w:tcBorders>
            <w:hideMark/>
          </w:tcPr>
          <w:p w14:paraId="64C55AFD" w14:textId="77777777" w:rsidR="00DA3E06" w:rsidRPr="00DA3E06" w:rsidRDefault="00DA3E06" w:rsidP="00DA3E06">
            <w:pPr>
              <w:keepNext/>
              <w:keepLines/>
              <w:jc w:val="center"/>
              <w:rPr>
                <w:rFonts w:ascii="Arial Narrow" w:eastAsia="MS Gothic" w:hAnsi="Arial Narrow"/>
                <w:color w:val="0D0D0D" w:themeColor="text1" w:themeTint="F2"/>
                <w:sz w:val="20"/>
                <w:szCs w:val="20"/>
                <w:vertAlign w:val="superscript"/>
              </w:rPr>
            </w:pPr>
            <w:r w:rsidRPr="00DA3E06">
              <w:rPr>
                <w:rFonts w:ascii="Arial Narrow" w:eastAsia="MS Gothic" w:hAnsi="Arial Narrow"/>
                <w:color w:val="0D0D0D" w:themeColor="text1" w:themeTint="F2"/>
                <w:sz w:val="20"/>
                <w:szCs w:val="20"/>
              </w:rPr>
              <w:t>$</w:t>
            </w:r>
            <w:r w:rsidRPr="00DA3E06">
              <w:rPr>
                <w:rFonts w:ascii="Arial Narrow" w:eastAsia="MS Gothic" w:hAnsi="Arial Narrow"/>
                <w:color w:val="0D0D0D"/>
                <w:spacing w:val="51"/>
                <w:sz w:val="20"/>
                <w:szCs w:val="20"/>
                <w:shd w:val="solid" w:color="000000" w:fill="000000"/>
                <w:fitText w:val="324" w:id="-509906163"/>
                <w14:textFill>
                  <w14:solidFill>
                    <w14:srgbClr w14:val="0D0D0D">
                      <w14:alpha w14:val="100000"/>
                    </w14:srgbClr>
                  </w14:solidFill>
                </w14:textFill>
              </w:rPr>
              <w:t>|||</w:t>
            </w:r>
            <w:r w:rsidRPr="00DA3E06">
              <w:rPr>
                <w:rFonts w:ascii="Arial Narrow" w:eastAsia="MS Gothic" w:hAnsi="Arial Narrow"/>
                <w:color w:val="0D0D0D"/>
                <w:spacing w:val="1"/>
                <w:sz w:val="20"/>
                <w:szCs w:val="20"/>
                <w:shd w:val="solid" w:color="000000" w:fill="000000"/>
                <w:fitText w:val="324" w:id="-509906163"/>
                <w14:textFill>
                  <w14:solidFill>
                    <w14:srgbClr w14:val="0D0D0D">
                      <w14:alpha w14:val="100000"/>
                    </w14:srgbClr>
                  </w14:solidFill>
                </w14:textFill>
              </w:rPr>
              <w:t>|</w:t>
            </w:r>
            <w:r w:rsidRPr="00DA3E06">
              <w:rPr>
                <w:rFonts w:ascii="Arial Narrow" w:eastAsia="MS Gothic" w:hAnsi="Arial Narrow"/>
                <w:color w:val="0D0D0D" w:themeColor="text1" w:themeTint="F2"/>
                <w:sz w:val="20"/>
                <w:szCs w:val="20"/>
                <w:vertAlign w:val="superscript"/>
              </w:rPr>
              <w:t>1</w:t>
            </w:r>
          </w:p>
        </w:tc>
      </w:tr>
      <w:tr w:rsidR="00DA3E06" w:rsidRPr="00DA3E06" w14:paraId="4015A817" w14:textId="77777777">
        <w:tc>
          <w:tcPr>
            <w:tcW w:w="2245" w:type="pct"/>
            <w:tcBorders>
              <w:top w:val="single" w:sz="4" w:space="0" w:color="auto"/>
              <w:left w:val="single" w:sz="4" w:space="0" w:color="auto"/>
              <w:bottom w:val="single" w:sz="4" w:space="0" w:color="auto"/>
              <w:right w:val="single" w:sz="4" w:space="0" w:color="auto"/>
            </w:tcBorders>
            <w:hideMark/>
          </w:tcPr>
          <w:p w14:paraId="0119D416" w14:textId="01D0ECC3" w:rsidR="00DA3E06" w:rsidRPr="00DA3E06" w:rsidRDefault="00DA3E06" w:rsidP="00DA3E06">
            <w:pPr>
              <w:keepNext/>
              <w:keepLines/>
              <w:jc w:val="left"/>
              <w:rPr>
                <w:rFonts w:ascii="Arial Narrow" w:eastAsia="MS Gothic" w:hAnsi="Arial Narrow"/>
                <w:b/>
                <w:bCs/>
                <w:color w:val="0D0D0D" w:themeColor="text1" w:themeTint="F2"/>
                <w:sz w:val="20"/>
                <w:szCs w:val="20"/>
              </w:rPr>
            </w:pPr>
            <w:r w:rsidRPr="00DA3E06">
              <w:rPr>
                <w:rFonts w:ascii="Arial Narrow" w:eastAsia="MS Gothic" w:hAnsi="Arial Narrow"/>
                <w:b/>
                <w:bCs/>
                <w:color w:val="0D0D0D" w:themeColor="text1" w:themeTint="F2"/>
                <w:sz w:val="20"/>
                <w:szCs w:val="20"/>
              </w:rPr>
              <w:t xml:space="preserve">Adaption of model to using HR approach (starting point in resubmission) (paragraph </w:t>
            </w:r>
            <w:r w:rsidRPr="00DA3E06">
              <w:rPr>
                <w:rFonts w:ascii="Arial Narrow" w:eastAsia="MS Gothic" w:hAnsi="Arial Narrow"/>
                <w:b/>
                <w:bCs/>
                <w:color w:val="0D0D0D" w:themeColor="text1" w:themeTint="F2"/>
                <w:sz w:val="20"/>
                <w:szCs w:val="20"/>
              </w:rPr>
              <w:fldChar w:fldCharType="begin"/>
            </w:r>
            <w:r w:rsidRPr="00DA3E06">
              <w:rPr>
                <w:rFonts w:ascii="Arial Narrow" w:eastAsia="MS Gothic" w:hAnsi="Arial Narrow"/>
                <w:b/>
                <w:bCs/>
                <w:color w:val="0D0D0D" w:themeColor="text1" w:themeTint="F2"/>
                <w:sz w:val="20"/>
                <w:szCs w:val="20"/>
              </w:rPr>
              <w:instrText xml:space="preserve"> REF _Ref201736241 \r \h </w:instrText>
            </w:r>
            <w:r w:rsidRPr="00DA3E06">
              <w:rPr>
                <w:rFonts w:ascii="Arial Narrow" w:eastAsia="MS Gothic" w:hAnsi="Arial Narrow"/>
                <w:b/>
                <w:bCs/>
                <w:color w:val="0D0D0D" w:themeColor="text1" w:themeTint="F2"/>
                <w:sz w:val="20"/>
                <w:szCs w:val="20"/>
              </w:rPr>
            </w:r>
            <w:r w:rsidRPr="00DA3E06">
              <w:rPr>
                <w:rFonts w:ascii="Arial Narrow" w:eastAsia="MS Gothic" w:hAnsi="Arial Narrow"/>
                <w:b/>
                <w:bCs/>
                <w:color w:val="0D0D0D" w:themeColor="text1" w:themeTint="F2"/>
                <w:sz w:val="20"/>
                <w:szCs w:val="20"/>
              </w:rPr>
              <w:fldChar w:fldCharType="separate"/>
            </w:r>
            <w:r w:rsidR="00971CD5">
              <w:rPr>
                <w:rFonts w:ascii="Arial Narrow" w:eastAsia="MS Gothic" w:hAnsi="Arial Narrow"/>
                <w:b/>
                <w:bCs/>
                <w:color w:val="0D0D0D" w:themeColor="text1" w:themeTint="F2"/>
                <w:sz w:val="20"/>
                <w:szCs w:val="20"/>
              </w:rPr>
              <w:t>4.12</w:t>
            </w:r>
            <w:r w:rsidRPr="00DA3E06">
              <w:rPr>
                <w:rFonts w:ascii="Arial Narrow" w:eastAsia="MS Gothic" w:hAnsi="Arial Narrow"/>
                <w:b/>
                <w:bCs/>
                <w:color w:val="0D0D0D" w:themeColor="text1" w:themeTint="F2"/>
                <w:sz w:val="20"/>
                <w:szCs w:val="20"/>
              </w:rPr>
              <w:fldChar w:fldCharType="end"/>
            </w:r>
            <w:r w:rsidRPr="00DA3E06">
              <w:rPr>
                <w:rFonts w:ascii="Arial Narrow" w:eastAsia="MS Gothic" w:hAnsi="Arial Narrow"/>
                <w:b/>
                <w:bCs/>
                <w:color w:val="0D0D0D" w:themeColor="text1" w:themeTint="F2"/>
                <w:sz w:val="20"/>
                <w:szCs w:val="20"/>
              </w:rPr>
              <w:t xml:space="preserve"> </w:t>
            </w:r>
            <w:r w:rsidRPr="00DA3E06">
              <w:rPr>
                <w:rFonts w:ascii="Arial Narrow" w:eastAsia="MS Gothic" w:hAnsi="Arial Narrow"/>
                <w:b/>
                <w:bCs/>
                <w:color w:val="0D0D0D" w:themeColor="text1" w:themeTint="F2"/>
                <w:sz w:val="20"/>
                <w:szCs w:val="20"/>
              </w:rPr>
              <w:fldChar w:fldCharType="begin"/>
            </w:r>
            <w:r w:rsidRPr="00DA3E06">
              <w:rPr>
                <w:rFonts w:ascii="Arial Narrow" w:eastAsia="MS Gothic" w:hAnsi="Arial Narrow"/>
                <w:b/>
                <w:bCs/>
                <w:color w:val="0D0D0D" w:themeColor="text1" w:themeTint="F2"/>
                <w:sz w:val="20"/>
                <w:szCs w:val="20"/>
              </w:rPr>
              <w:instrText xml:space="preserve"> REF _Ref201736241 \r \h </w:instrText>
            </w:r>
            <w:r w:rsidRPr="00DA3E06">
              <w:rPr>
                <w:rFonts w:ascii="Arial Narrow" w:eastAsia="MS Gothic" w:hAnsi="Arial Narrow"/>
                <w:b/>
                <w:bCs/>
                <w:color w:val="0D0D0D" w:themeColor="text1" w:themeTint="F2"/>
                <w:sz w:val="20"/>
                <w:szCs w:val="20"/>
              </w:rPr>
            </w:r>
            <w:r w:rsidRPr="00DA3E06">
              <w:rPr>
                <w:rFonts w:ascii="Arial Narrow" w:eastAsia="MS Gothic" w:hAnsi="Arial Narrow"/>
                <w:b/>
                <w:bCs/>
                <w:color w:val="0D0D0D" w:themeColor="text1" w:themeTint="F2"/>
                <w:sz w:val="20"/>
                <w:szCs w:val="20"/>
              </w:rPr>
              <w:fldChar w:fldCharType="separate"/>
            </w:r>
            <w:r w:rsidR="00971CD5">
              <w:rPr>
                <w:rFonts w:ascii="Arial Narrow" w:eastAsia="MS Gothic" w:hAnsi="Arial Narrow"/>
                <w:b/>
                <w:bCs/>
                <w:color w:val="0D0D0D" w:themeColor="text1" w:themeTint="F2"/>
                <w:sz w:val="20"/>
                <w:szCs w:val="20"/>
              </w:rPr>
              <w:t>4.12</w:t>
            </w:r>
            <w:r w:rsidRPr="00DA3E06">
              <w:rPr>
                <w:rFonts w:ascii="Arial Narrow" w:eastAsia="MS Gothic" w:hAnsi="Arial Narrow"/>
                <w:b/>
                <w:bCs/>
                <w:color w:val="0D0D0D" w:themeColor="text1" w:themeTint="F2"/>
                <w:sz w:val="20"/>
                <w:szCs w:val="20"/>
              </w:rPr>
              <w:fldChar w:fldCharType="end"/>
            </w:r>
            <w:r w:rsidRPr="00DA3E06">
              <w:rPr>
                <w:rFonts w:ascii="Arial Narrow" w:eastAsia="MS Gothic" w:hAnsi="Arial Narrow"/>
                <w:b/>
                <w:bCs/>
                <w:color w:val="0D0D0D" w:themeColor="text1" w:themeTint="F2"/>
                <w:sz w:val="20"/>
                <w:szCs w:val="20"/>
              </w:rPr>
              <w:t>)</w:t>
            </w:r>
          </w:p>
        </w:tc>
        <w:tc>
          <w:tcPr>
            <w:tcW w:w="843" w:type="pct"/>
            <w:tcBorders>
              <w:top w:val="single" w:sz="4" w:space="0" w:color="auto"/>
              <w:left w:val="single" w:sz="4" w:space="0" w:color="auto"/>
              <w:bottom w:val="single" w:sz="4" w:space="0" w:color="auto"/>
              <w:right w:val="single" w:sz="4" w:space="0" w:color="auto"/>
            </w:tcBorders>
            <w:hideMark/>
          </w:tcPr>
          <w:p w14:paraId="56E9FBE7"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color w:val="0D0D0D" w:themeColor="text1" w:themeTint="F2"/>
                <w:sz w:val="20"/>
              </w:rPr>
              <w:t>$</w:t>
            </w:r>
            <w:r w:rsidRPr="00DA3E06">
              <w:rPr>
                <w:rFonts w:ascii="Arial Narrow" w:eastAsia="MS Gothic" w:hAnsi="Arial Narrow"/>
                <w:color w:val="0D0D0D"/>
                <w:spacing w:val="51"/>
                <w:sz w:val="20"/>
                <w:shd w:val="solid" w:color="000000" w:fill="000000"/>
                <w:fitText w:val="324" w:id="-509906162"/>
                <w14:textFill>
                  <w14:solidFill>
                    <w14:srgbClr w14:val="0D0D0D">
                      <w14:alpha w14:val="100000"/>
                    </w14:srgbClr>
                  </w14:solidFill>
                </w14:textFill>
              </w:rPr>
              <w:t>|||</w:t>
            </w:r>
            <w:r w:rsidRPr="00DA3E06">
              <w:rPr>
                <w:rFonts w:ascii="Arial Narrow" w:eastAsia="MS Gothic" w:hAnsi="Arial Narrow"/>
                <w:color w:val="0D0D0D"/>
                <w:spacing w:val="1"/>
                <w:sz w:val="20"/>
                <w:shd w:val="solid" w:color="000000" w:fill="000000"/>
                <w:fitText w:val="324" w:id="-509906162"/>
                <w14:textFill>
                  <w14:solidFill>
                    <w14:srgbClr w14:val="0D0D0D">
                      <w14:alpha w14:val="100000"/>
                    </w14:srgbClr>
                  </w14:solidFill>
                </w14:textFill>
              </w:rPr>
              <w:t>|</w:t>
            </w:r>
          </w:p>
        </w:tc>
        <w:tc>
          <w:tcPr>
            <w:tcW w:w="824" w:type="pct"/>
            <w:tcBorders>
              <w:top w:val="single" w:sz="4" w:space="0" w:color="auto"/>
              <w:left w:val="single" w:sz="4" w:space="0" w:color="auto"/>
              <w:bottom w:val="single" w:sz="4" w:space="0" w:color="auto"/>
              <w:right w:val="single" w:sz="4" w:space="0" w:color="auto"/>
            </w:tcBorders>
            <w:hideMark/>
          </w:tcPr>
          <w:p w14:paraId="6971A853"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color w:val="0D0D0D" w:themeColor="text1" w:themeTint="F2"/>
                <w:sz w:val="20"/>
              </w:rPr>
              <w:t>1.17</w:t>
            </w:r>
          </w:p>
        </w:tc>
        <w:tc>
          <w:tcPr>
            <w:tcW w:w="1088" w:type="pct"/>
            <w:tcBorders>
              <w:top w:val="single" w:sz="4" w:space="0" w:color="auto"/>
              <w:left w:val="single" w:sz="4" w:space="0" w:color="auto"/>
              <w:bottom w:val="single" w:sz="4" w:space="0" w:color="auto"/>
              <w:right w:val="single" w:sz="4" w:space="0" w:color="auto"/>
            </w:tcBorders>
            <w:hideMark/>
          </w:tcPr>
          <w:p w14:paraId="485355F6" w14:textId="77777777" w:rsidR="00DA3E06" w:rsidRPr="00DA3E06" w:rsidRDefault="00DA3E06" w:rsidP="00DA3E06">
            <w:pPr>
              <w:keepNext/>
              <w:keepLines/>
              <w:jc w:val="center"/>
              <w:rPr>
                <w:rFonts w:ascii="Arial Narrow" w:eastAsia="MS Gothic" w:hAnsi="Arial Narrow"/>
                <w:color w:val="0D0D0D" w:themeColor="text1" w:themeTint="F2"/>
                <w:sz w:val="20"/>
                <w:szCs w:val="20"/>
                <w:vertAlign w:val="superscript"/>
              </w:rPr>
            </w:pPr>
            <w:r w:rsidRPr="00DA3E06">
              <w:rPr>
                <w:rFonts w:ascii="Arial Narrow" w:eastAsia="MS Gothic" w:hAnsi="Arial Narrow"/>
                <w:color w:val="0D0D0D" w:themeColor="text1" w:themeTint="F2"/>
                <w:sz w:val="20"/>
                <w:szCs w:val="20"/>
              </w:rPr>
              <w:t>$</w:t>
            </w:r>
            <w:r w:rsidRPr="00DA3E06">
              <w:rPr>
                <w:rFonts w:ascii="Arial Narrow" w:eastAsia="MS Gothic" w:hAnsi="Arial Narrow"/>
                <w:color w:val="0D0D0D"/>
                <w:spacing w:val="51"/>
                <w:sz w:val="20"/>
                <w:szCs w:val="20"/>
                <w:shd w:val="solid" w:color="000000" w:fill="000000"/>
                <w:fitText w:val="324" w:id="-509906161"/>
                <w14:textFill>
                  <w14:solidFill>
                    <w14:srgbClr w14:val="0D0D0D">
                      <w14:alpha w14:val="100000"/>
                    </w14:srgbClr>
                  </w14:solidFill>
                </w14:textFill>
              </w:rPr>
              <w:t>|||</w:t>
            </w:r>
            <w:r w:rsidRPr="00DA3E06">
              <w:rPr>
                <w:rFonts w:ascii="Arial Narrow" w:eastAsia="MS Gothic" w:hAnsi="Arial Narrow"/>
                <w:color w:val="0D0D0D"/>
                <w:spacing w:val="1"/>
                <w:sz w:val="20"/>
                <w:szCs w:val="20"/>
                <w:shd w:val="solid" w:color="000000" w:fill="000000"/>
                <w:fitText w:val="324" w:id="-509906161"/>
                <w14:textFill>
                  <w14:solidFill>
                    <w14:srgbClr w14:val="0D0D0D">
                      <w14:alpha w14:val="100000"/>
                    </w14:srgbClr>
                  </w14:solidFill>
                </w14:textFill>
              </w:rPr>
              <w:t>|</w:t>
            </w:r>
            <w:r w:rsidRPr="00DA3E06">
              <w:rPr>
                <w:rFonts w:ascii="Arial Narrow" w:eastAsia="MS Gothic" w:hAnsi="Arial Narrow"/>
                <w:color w:val="0D0D0D" w:themeColor="text1" w:themeTint="F2"/>
                <w:sz w:val="20"/>
                <w:szCs w:val="20"/>
                <w:vertAlign w:val="superscript"/>
              </w:rPr>
              <w:t>1</w:t>
            </w:r>
          </w:p>
        </w:tc>
      </w:tr>
      <w:tr w:rsidR="00DA3E06" w:rsidRPr="00DA3E06" w14:paraId="0302E050" w14:textId="77777777">
        <w:tc>
          <w:tcPr>
            <w:tcW w:w="5000" w:type="pct"/>
            <w:gridSpan w:val="4"/>
            <w:tcBorders>
              <w:top w:val="single" w:sz="4" w:space="0" w:color="auto"/>
              <w:left w:val="single" w:sz="4" w:space="0" w:color="auto"/>
              <w:bottom w:val="single" w:sz="4" w:space="0" w:color="auto"/>
              <w:right w:val="single" w:sz="4" w:space="0" w:color="auto"/>
            </w:tcBorders>
          </w:tcPr>
          <w:p w14:paraId="19DE5F83" w14:textId="77777777" w:rsidR="00DA3E06" w:rsidRPr="00DA3E06" w:rsidRDefault="00DA3E06" w:rsidP="00DA3E06">
            <w:pPr>
              <w:keepNext/>
              <w:keepLines/>
              <w:jc w:val="center"/>
              <w:rPr>
                <w:rFonts w:ascii="Arial Narrow" w:eastAsia="MS Gothic" w:hAnsi="Arial Narrow"/>
                <w:color w:val="0D0D0D" w:themeColor="text1" w:themeTint="F2"/>
                <w:sz w:val="20"/>
                <w:szCs w:val="20"/>
              </w:rPr>
            </w:pPr>
          </w:p>
        </w:tc>
      </w:tr>
      <w:tr w:rsidR="00DA3E06" w:rsidRPr="00DA3E06" w14:paraId="449A34E3" w14:textId="77777777">
        <w:tc>
          <w:tcPr>
            <w:tcW w:w="2245" w:type="pct"/>
            <w:tcBorders>
              <w:top w:val="single" w:sz="4" w:space="0" w:color="auto"/>
              <w:left w:val="single" w:sz="4" w:space="0" w:color="auto"/>
              <w:bottom w:val="single" w:sz="4" w:space="0" w:color="auto"/>
              <w:right w:val="single" w:sz="4" w:space="0" w:color="auto"/>
            </w:tcBorders>
            <w:hideMark/>
          </w:tcPr>
          <w:p w14:paraId="206407A0" w14:textId="77777777" w:rsidR="00DA3E06" w:rsidRPr="00DA3E06" w:rsidRDefault="00DA3E06" w:rsidP="00DA3E06">
            <w:pPr>
              <w:keepNext/>
              <w:keepLines/>
              <w:jc w:val="left"/>
              <w:rPr>
                <w:rFonts w:ascii="Arial Narrow" w:eastAsia="MS Gothic" w:hAnsi="Arial Narrow"/>
                <w:b/>
                <w:bCs/>
                <w:color w:val="0D0D0D" w:themeColor="text1" w:themeTint="F2"/>
                <w:sz w:val="20"/>
                <w:szCs w:val="20"/>
              </w:rPr>
            </w:pPr>
            <w:r w:rsidRPr="00DA3E06">
              <w:rPr>
                <w:rFonts w:ascii="Arial Narrow" w:eastAsia="MS Gothic" w:hAnsi="Arial Narrow"/>
                <w:b/>
                <w:bCs/>
                <w:color w:val="0D0D0D" w:themeColor="text1" w:themeTint="F2"/>
                <w:sz w:val="20"/>
                <w:szCs w:val="20"/>
              </w:rPr>
              <w:t>HR (0.24 in starting point model)</w:t>
            </w:r>
          </w:p>
        </w:tc>
        <w:tc>
          <w:tcPr>
            <w:tcW w:w="843" w:type="pct"/>
            <w:tcBorders>
              <w:top w:val="single" w:sz="4" w:space="0" w:color="auto"/>
              <w:left w:val="single" w:sz="4" w:space="0" w:color="auto"/>
              <w:bottom w:val="single" w:sz="4" w:space="0" w:color="auto"/>
              <w:right w:val="single" w:sz="4" w:space="0" w:color="auto"/>
            </w:tcBorders>
          </w:tcPr>
          <w:p w14:paraId="38853F33" w14:textId="77777777" w:rsidR="00DA3E06" w:rsidRPr="00DA3E06" w:rsidRDefault="00DA3E06" w:rsidP="00DA3E06">
            <w:pPr>
              <w:keepNext/>
              <w:keepLines/>
              <w:jc w:val="center"/>
              <w:rPr>
                <w:rFonts w:ascii="Arial Narrow" w:eastAsia="MS Gothic" w:hAnsi="Arial Narrow"/>
                <w:color w:val="0D0D0D" w:themeColor="text1" w:themeTint="F2"/>
                <w:sz w:val="20"/>
              </w:rPr>
            </w:pPr>
          </w:p>
        </w:tc>
        <w:tc>
          <w:tcPr>
            <w:tcW w:w="824" w:type="pct"/>
            <w:tcBorders>
              <w:top w:val="single" w:sz="4" w:space="0" w:color="auto"/>
              <w:left w:val="single" w:sz="4" w:space="0" w:color="auto"/>
              <w:bottom w:val="single" w:sz="4" w:space="0" w:color="auto"/>
              <w:right w:val="single" w:sz="4" w:space="0" w:color="auto"/>
            </w:tcBorders>
          </w:tcPr>
          <w:p w14:paraId="6AD6493D" w14:textId="77777777" w:rsidR="00DA3E06" w:rsidRPr="00DA3E06" w:rsidRDefault="00DA3E06" w:rsidP="00DA3E06">
            <w:pPr>
              <w:keepNext/>
              <w:keepLines/>
              <w:jc w:val="center"/>
              <w:rPr>
                <w:rFonts w:ascii="Arial Narrow" w:eastAsia="MS Gothic" w:hAnsi="Arial Narrow"/>
                <w:color w:val="0D0D0D" w:themeColor="text1" w:themeTint="F2"/>
                <w:sz w:val="20"/>
              </w:rPr>
            </w:pPr>
          </w:p>
        </w:tc>
        <w:tc>
          <w:tcPr>
            <w:tcW w:w="1088" w:type="pct"/>
            <w:tcBorders>
              <w:top w:val="single" w:sz="4" w:space="0" w:color="auto"/>
              <w:left w:val="single" w:sz="4" w:space="0" w:color="auto"/>
              <w:bottom w:val="single" w:sz="4" w:space="0" w:color="auto"/>
              <w:right w:val="single" w:sz="4" w:space="0" w:color="auto"/>
            </w:tcBorders>
          </w:tcPr>
          <w:p w14:paraId="39C48E77" w14:textId="77777777" w:rsidR="00DA3E06" w:rsidRPr="00DA3E06" w:rsidRDefault="00DA3E06" w:rsidP="00DA3E06">
            <w:pPr>
              <w:keepNext/>
              <w:keepLines/>
              <w:jc w:val="center"/>
              <w:rPr>
                <w:rFonts w:ascii="Arial Narrow" w:eastAsia="MS Gothic" w:hAnsi="Arial Narrow"/>
                <w:color w:val="0D0D0D" w:themeColor="text1" w:themeTint="F2"/>
                <w:sz w:val="20"/>
                <w:szCs w:val="20"/>
              </w:rPr>
            </w:pPr>
          </w:p>
        </w:tc>
      </w:tr>
      <w:tr w:rsidR="00DA3E06" w:rsidRPr="00DA3E06" w14:paraId="0723F4A5" w14:textId="77777777">
        <w:tc>
          <w:tcPr>
            <w:tcW w:w="2245" w:type="pct"/>
            <w:tcBorders>
              <w:top w:val="single" w:sz="4" w:space="0" w:color="auto"/>
              <w:left w:val="single" w:sz="4" w:space="0" w:color="auto"/>
              <w:bottom w:val="single" w:sz="4" w:space="0" w:color="auto"/>
              <w:right w:val="single" w:sz="4" w:space="0" w:color="auto"/>
            </w:tcBorders>
            <w:hideMark/>
          </w:tcPr>
          <w:p w14:paraId="6AEBB125" w14:textId="77777777" w:rsidR="00DA3E06" w:rsidRPr="00DA3E06" w:rsidRDefault="00DA3E06" w:rsidP="00DA3E06">
            <w:pPr>
              <w:keepNext/>
              <w:keepLines/>
              <w:jc w:val="left"/>
              <w:rPr>
                <w:rFonts w:ascii="Arial Narrow" w:eastAsia="MS Gothic" w:hAnsi="Arial Narrow"/>
                <w:color w:val="0D0D0D" w:themeColor="text1" w:themeTint="F2"/>
                <w:sz w:val="20"/>
                <w:szCs w:val="20"/>
              </w:rPr>
            </w:pPr>
            <w:r w:rsidRPr="00DA3E06">
              <w:rPr>
                <w:rFonts w:ascii="Arial Narrow" w:eastAsia="MS Gothic" w:hAnsi="Arial Narrow"/>
                <w:color w:val="0D0D0D" w:themeColor="text1" w:themeTint="F2"/>
                <w:sz w:val="20"/>
                <w:szCs w:val="20"/>
              </w:rPr>
              <w:t>HR = 0.32 #1</w:t>
            </w:r>
          </w:p>
        </w:tc>
        <w:tc>
          <w:tcPr>
            <w:tcW w:w="843" w:type="pct"/>
            <w:tcBorders>
              <w:top w:val="single" w:sz="4" w:space="0" w:color="auto"/>
              <w:left w:val="single" w:sz="4" w:space="0" w:color="auto"/>
              <w:bottom w:val="single" w:sz="4" w:space="0" w:color="auto"/>
              <w:right w:val="single" w:sz="4" w:space="0" w:color="auto"/>
            </w:tcBorders>
            <w:hideMark/>
          </w:tcPr>
          <w:p w14:paraId="6EF7B99F"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color w:val="0D0D0D" w:themeColor="text1" w:themeTint="F2"/>
                <w:sz w:val="20"/>
              </w:rPr>
              <w:t>$</w:t>
            </w:r>
            <w:r w:rsidRPr="00DA3E06">
              <w:rPr>
                <w:rFonts w:ascii="Arial Narrow" w:eastAsia="MS Gothic" w:hAnsi="Arial Narrow"/>
                <w:color w:val="0D0D0D"/>
                <w:spacing w:val="51"/>
                <w:sz w:val="20"/>
                <w:shd w:val="solid" w:color="000000" w:fill="000000"/>
                <w:fitText w:val="324" w:id="-509906160"/>
                <w14:textFill>
                  <w14:solidFill>
                    <w14:srgbClr w14:val="0D0D0D">
                      <w14:alpha w14:val="100000"/>
                    </w14:srgbClr>
                  </w14:solidFill>
                </w14:textFill>
              </w:rPr>
              <w:t>|||</w:t>
            </w:r>
            <w:r w:rsidRPr="00DA3E06">
              <w:rPr>
                <w:rFonts w:ascii="Arial Narrow" w:eastAsia="MS Gothic" w:hAnsi="Arial Narrow"/>
                <w:color w:val="0D0D0D"/>
                <w:spacing w:val="1"/>
                <w:sz w:val="20"/>
                <w:shd w:val="solid" w:color="000000" w:fill="000000"/>
                <w:fitText w:val="324" w:id="-509906160"/>
                <w14:textFill>
                  <w14:solidFill>
                    <w14:srgbClr w14:val="0D0D0D">
                      <w14:alpha w14:val="100000"/>
                    </w14:srgbClr>
                  </w14:solidFill>
                </w14:textFill>
              </w:rPr>
              <w:t>|</w:t>
            </w:r>
          </w:p>
        </w:tc>
        <w:tc>
          <w:tcPr>
            <w:tcW w:w="824" w:type="pct"/>
            <w:tcBorders>
              <w:top w:val="single" w:sz="4" w:space="0" w:color="auto"/>
              <w:left w:val="single" w:sz="4" w:space="0" w:color="auto"/>
              <w:bottom w:val="single" w:sz="4" w:space="0" w:color="auto"/>
              <w:right w:val="single" w:sz="4" w:space="0" w:color="auto"/>
            </w:tcBorders>
            <w:hideMark/>
          </w:tcPr>
          <w:p w14:paraId="3098F93B"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color w:val="0D0D0D" w:themeColor="text1" w:themeTint="F2"/>
                <w:sz w:val="20"/>
              </w:rPr>
              <w:t>0.95</w:t>
            </w:r>
          </w:p>
        </w:tc>
        <w:tc>
          <w:tcPr>
            <w:tcW w:w="1088" w:type="pct"/>
            <w:tcBorders>
              <w:top w:val="single" w:sz="4" w:space="0" w:color="auto"/>
              <w:left w:val="single" w:sz="4" w:space="0" w:color="auto"/>
              <w:bottom w:val="single" w:sz="4" w:space="0" w:color="auto"/>
              <w:right w:val="single" w:sz="4" w:space="0" w:color="auto"/>
            </w:tcBorders>
            <w:hideMark/>
          </w:tcPr>
          <w:p w14:paraId="779E18A2" w14:textId="77777777" w:rsidR="00DA3E06" w:rsidRPr="00DA3E06" w:rsidRDefault="00DA3E06" w:rsidP="00DA3E06">
            <w:pPr>
              <w:keepNext/>
              <w:keepLines/>
              <w:jc w:val="center"/>
              <w:rPr>
                <w:rFonts w:ascii="Arial Narrow" w:eastAsia="MS Gothic" w:hAnsi="Arial Narrow"/>
                <w:color w:val="0D0D0D" w:themeColor="text1" w:themeTint="F2"/>
                <w:sz w:val="20"/>
                <w:szCs w:val="20"/>
                <w:vertAlign w:val="superscript"/>
              </w:rPr>
            </w:pPr>
            <w:r w:rsidRPr="00DA3E06">
              <w:rPr>
                <w:rFonts w:ascii="Arial Narrow" w:eastAsia="MS Gothic" w:hAnsi="Arial Narrow"/>
                <w:color w:val="0D0D0D" w:themeColor="text1" w:themeTint="F2"/>
                <w:sz w:val="20"/>
                <w:szCs w:val="20"/>
              </w:rPr>
              <w:t>$</w:t>
            </w:r>
            <w:r w:rsidRPr="00DA3E06">
              <w:rPr>
                <w:rFonts w:ascii="Arial Narrow" w:eastAsia="MS Gothic" w:hAnsi="Arial Narrow"/>
                <w:color w:val="0D0D0D"/>
                <w:spacing w:val="51"/>
                <w:sz w:val="20"/>
                <w:szCs w:val="20"/>
                <w:shd w:val="solid" w:color="000000" w:fill="000000"/>
                <w:fitText w:val="324" w:id="-509906176"/>
                <w14:textFill>
                  <w14:solidFill>
                    <w14:srgbClr w14:val="0D0D0D">
                      <w14:alpha w14:val="100000"/>
                    </w14:srgbClr>
                  </w14:solidFill>
                </w14:textFill>
              </w:rPr>
              <w:t>|||</w:t>
            </w:r>
            <w:r w:rsidRPr="00DA3E06">
              <w:rPr>
                <w:rFonts w:ascii="Arial Narrow" w:eastAsia="MS Gothic" w:hAnsi="Arial Narrow"/>
                <w:color w:val="0D0D0D"/>
                <w:spacing w:val="1"/>
                <w:sz w:val="20"/>
                <w:szCs w:val="20"/>
                <w:shd w:val="solid" w:color="000000" w:fill="000000"/>
                <w:fitText w:val="324" w:id="-509906176"/>
                <w14:textFill>
                  <w14:solidFill>
                    <w14:srgbClr w14:val="0D0D0D">
                      <w14:alpha w14:val="100000"/>
                    </w14:srgbClr>
                  </w14:solidFill>
                </w14:textFill>
              </w:rPr>
              <w:t>|</w:t>
            </w:r>
            <w:r w:rsidRPr="00DA3E06">
              <w:rPr>
                <w:rFonts w:ascii="Arial Narrow" w:eastAsia="MS Gothic" w:hAnsi="Arial Narrow"/>
                <w:color w:val="0D0D0D" w:themeColor="text1" w:themeTint="F2"/>
                <w:sz w:val="20"/>
                <w:szCs w:val="20"/>
                <w:vertAlign w:val="superscript"/>
              </w:rPr>
              <w:t>2</w:t>
            </w:r>
          </w:p>
        </w:tc>
      </w:tr>
      <w:tr w:rsidR="00DA3E06" w:rsidRPr="00DA3E06" w14:paraId="02FB08F9" w14:textId="77777777">
        <w:tc>
          <w:tcPr>
            <w:tcW w:w="2245" w:type="pct"/>
            <w:tcBorders>
              <w:top w:val="single" w:sz="4" w:space="0" w:color="auto"/>
              <w:left w:val="single" w:sz="4" w:space="0" w:color="auto"/>
              <w:bottom w:val="single" w:sz="4" w:space="0" w:color="auto"/>
              <w:right w:val="single" w:sz="4" w:space="0" w:color="auto"/>
            </w:tcBorders>
            <w:hideMark/>
          </w:tcPr>
          <w:p w14:paraId="096CFFBD" w14:textId="77777777" w:rsidR="00DA3E06" w:rsidRPr="00DA3E06" w:rsidRDefault="00DA3E06" w:rsidP="00DA3E06">
            <w:pPr>
              <w:keepNext/>
              <w:keepLines/>
              <w:jc w:val="left"/>
              <w:rPr>
                <w:rFonts w:ascii="Arial Narrow" w:eastAsia="MS Gothic" w:hAnsi="Arial Narrow"/>
                <w:b/>
                <w:bCs/>
                <w:color w:val="0D0D0D" w:themeColor="text1" w:themeTint="F2"/>
                <w:sz w:val="20"/>
                <w:szCs w:val="20"/>
              </w:rPr>
            </w:pPr>
            <w:r w:rsidRPr="00DA3E06">
              <w:rPr>
                <w:rFonts w:ascii="Arial Narrow" w:eastAsia="MS Gothic" w:hAnsi="Arial Narrow"/>
                <w:b/>
                <w:bCs/>
                <w:color w:val="0D0D0D" w:themeColor="text1" w:themeTint="F2"/>
                <w:sz w:val="20"/>
                <w:szCs w:val="20"/>
              </w:rPr>
              <w:t>Time horizon (10 years in starting point model)</w:t>
            </w:r>
          </w:p>
        </w:tc>
        <w:tc>
          <w:tcPr>
            <w:tcW w:w="843" w:type="pct"/>
            <w:tcBorders>
              <w:top w:val="single" w:sz="4" w:space="0" w:color="auto"/>
              <w:left w:val="single" w:sz="4" w:space="0" w:color="auto"/>
              <w:bottom w:val="single" w:sz="4" w:space="0" w:color="auto"/>
              <w:right w:val="single" w:sz="4" w:space="0" w:color="auto"/>
            </w:tcBorders>
          </w:tcPr>
          <w:p w14:paraId="359BA611" w14:textId="77777777" w:rsidR="00DA3E06" w:rsidRPr="00DA3E06" w:rsidRDefault="00DA3E06" w:rsidP="00DA3E06">
            <w:pPr>
              <w:keepNext/>
              <w:keepLines/>
              <w:jc w:val="center"/>
              <w:rPr>
                <w:rFonts w:ascii="Arial Narrow" w:eastAsia="MS Gothic" w:hAnsi="Arial Narrow"/>
                <w:color w:val="0D0D0D" w:themeColor="text1" w:themeTint="F2"/>
                <w:sz w:val="20"/>
              </w:rPr>
            </w:pPr>
          </w:p>
        </w:tc>
        <w:tc>
          <w:tcPr>
            <w:tcW w:w="824" w:type="pct"/>
            <w:tcBorders>
              <w:top w:val="single" w:sz="4" w:space="0" w:color="auto"/>
              <w:left w:val="single" w:sz="4" w:space="0" w:color="auto"/>
              <w:bottom w:val="single" w:sz="4" w:space="0" w:color="auto"/>
              <w:right w:val="single" w:sz="4" w:space="0" w:color="auto"/>
            </w:tcBorders>
          </w:tcPr>
          <w:p w14:paraId="2F3E9AB1" w14:textId="77777777" w:rsidR="00DA3E06" w:rsidRPr="00DA3E06" w:rsidRDefault="00DA3E06" w:rsidP="00DA3E06">
            <w:pPr>
              <w:keepNext/>
              <w:keepLines/>
              <w:jc w:val="center"/>
              <w:rPr>
                <w:rFonts w:ascii="Arial Narrow" w:eastAsia="MS Gothic" w:hAnsi="Arial Narrow"/>
                <w:color w:val="0D0D0D" w:themeColor="text1" w:themeTint="F2"/>
                <w:sz w:val="20"/>
              </w:rPr>
            </w:pPr>
          </w:p>
        </w:tc>
        <w:tc>
          <w:tcPr>
            <w:tcW w:w="1088" w:type="pct"/>
            <w:tcBorders>
              <w:top w:val="single" w:sz="4" w:space="0" w:color="auto"/>
              <w:left w:val="single" w:sz="4" w:space="0" w:color="auto"/>
              <w:bottom w:val="single" w:sz="4" w:space="0" w:color="auto"/>
              <w:right w:val="single" w:sz="4" w:space="0" w:color="auto"/>
            </w:tcBorders>
          </w:tcPr>
          <w:p w14:paraId="0FC13AD7" w14:textId="77777777" w:rsidR="00DA3E06" w:rsidRPr="00DA3E06" w:rsidRDefault="00DA3E06" w:rsidP="00DA3E06">
            <w:pPr>
              <w:keepNext/>
              <w:keepLines/>
              <w:jc w:val="center"/>
              <w:rPr>
                <w:rFonts w:ascii="Arial Narrow" w:eastAsia="MS Gothic" w:hAnsi="Arial Narrow"/>
                <w:color w:val="0D0D0D" w:themeColor="text1" w:themeTint="F2"/>
                <w:sz w:val="20"/>
                <w:szCs w:val="20"/>
              </w:rPr>
            </w:pPr>
          </w:p>
        </w:tc>
      </w:tr>
      <w:tr w:rsidR="00DA3E06" w:rsidRPr="00DA3E06" w14:paraId="5D60DA4F" w14:textId="77777777">
        <w:tc>
          <w:tcPr>
            <w:tcW w:w="2245" w:type="pct"/>
            <w:tcBorders>
              <w:top w:val="single" w:sz="4" w:space="0" w:color="auto"/>
              <w:left w:val="single" w:sz="4" w:space="0" w:color="auto"/>
              <w:bottom w:val="single" w:sz="4" w:space="0" w:color="auto"/>
              <w:right w:val="single" w:sz="4" w:space="0" w:color="auto"/>
            </w:tcBorders>
            <w:hideMark/>
          </w:tcPr>
          <w:p w14:paraId="7393FB24" w14:textId="77777777" w:rsidR="00DA3E06" w:rsidRPr="00DA3E06" w:rsidRDefault="00DA3E06" w:rsidP="00DA3E06">
            <w:pPr>
              <w:keepNext/>
              <w:keepLines/>
              <w:jc w:val="left"/>
              <w:rPr>
                <w:rFonts w:ascii="Arial Narrow" w:eastAsia="MS Gothic" w:hAnsi="Arial Narrow"/>
                <w:color w:val="0D0D0D" w:themeColor="text1" w:themeTint="F2"/>
                <w:sz w:val="20"/>
                <w:szCs w:val="20"/>
              </w:rPr>
            </w:pPr>
            <w:r w:rsidRPr="00DA3E06">
              <w:rPr>
                <w:rFonts w:ascii="Arial Narrow" w:eastAsia="MS Gothic" w:hAnsi="Arial Narrow"/>
                <w:color w:val="0D0D0D" w:themeColor="text1" w:themeTint="F2"/>
                <w:sz w:val="20"/>
                <w:szCs w:val="20"/>
              </w:rPr>
              <w:t>7 years #2</w:t>
            </w:r>
          </w:p>
        </w:tc>
        <w:tc>
          <w:tcPr>
            <w:tcW w:w="843" w:type="pct"/>
            <w:tcBorders>
              <w:top w:val="single" w:sz="4" w:space="0" w:color="auto"/>
              <w:left w:val="single" w:sz="4" w:space="0" w:color="auto"/>
              <w:bottom w:val="single" w:sz="4" w:space="0" w:color="auto"/>
              <w:right w:val="single" w:sz="4" w:space="0" w:color="auto"/>
            </w:tcBorders>
            <w:hideMark/>
          </w:tcPr>
          <w:p w14:paraId="0F168740"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color w:val="0D0D0D" w:themeColor="text1" w:themeTint="F2"/>
                <w:sz w:val="20"/>
              </w:rPr>
              <w:t>$</w:t>
            </w:r>
            <w:r w:rsidRPr="00DA3E06">
              <w:rPr>
                <w:rFonts w:ascii="Arial Narrow" w:eastAsia="MS Gothic" w:hAnsi="Arial Narrow"/>
                <w:color w:val="0D0D0D"/>
                <w:spacing w:val="51"/>
                <w:sz w:val="20"/>
                <w:shd w:val="solid" w:color="000000" w:fill="000000"/>
                <w:fitText w:val="324" w:id="-509906175"/>
                <w14:textFill>
                  <w14:solidFill>
                    <w14:srgbClr w14:val="0D0D0D">
                      <w14:alpha w14:val="100000"/>
                    </w14:srgbClr>
                  </w14:solidFill>
                </w14:textFill>
              </w:rPr>
              <w:t>|||</w:t>
            </w:r>
            <w:r w:rsidRPr="00DA3E06">
              <w:rPr>
                <w:rFonts w:ascii="Arial Narrow" w:eastAsia="MS Gothic" w:hAnsi="Arial Narrow"/>
                <w:color w:val="0D0D0D"/>
                <w:spacing w:val="1"/>
                <w:sz w:val="20"/>
                <w:shd w:val="solid" w:color="000000" w:fill="000000"/>
                <w:fitText w:val="324" w:id="-509906175"/>
                <w14:textFill>
                  <w14:solidFill>
                    <w14:srgbClr w14:val="0D0D0D">
                      <w14:alpha w14:val="100000"/>
                    </w14:srgbClr>
                  </w14:solidFill>
                </w14:textFill>
              </w:rPr>
              <w:t>|</w:t>
            </w:r>
          </w:p>
        </w:tc>
        <w:tc>
          <w:tcPr>
            <w:tcW w:w="824" w:type="pct"/>
            <w:tcBorders>
              <w:top w:val="single" w:sz="4" w:space="0" w:color="auto"/>
              <w:left w:val="single" w:sz="4" w:space="0" w:color="auto"/>
              <w:bottom w:val="single" w:sz="4" w:space="0" w:color="auto"/>
              <w:right w:val="single" w:sz="4" w:space="0" w:color="auto"/>
            </w:tcBorders>
            <w:hideMark/>
          </w:tcPr>
          <w:p w14:paraId="6E4F4D55"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color w:val="0D0D0D" w:themeColor="text1" w:themeTint="F2"/>
                <w:sz w:val="20"/>
              </w:rPr>
              <w:t>1.12</w:t>
            </w:r>
          </w:p>
        </w:tc>
        <w:tc>
          <w:tcPr>
            <w:tcW w:w="1088" w:type="pct"/>
            <w:tcBorders>
              <w:top w:val="single" w:sz="4" w:space="0" w:color="auto"/>
              <w:left w:val="single" w:sz="4" w:space="0" w:color="auto"/>
              <w:bottom w:val="single" w:sz="4" w:space="0" w:color="auto"/>
              <w:right w:val="single" w:sz="4" w:space="0" w:color="auto"/>
            </w:tcBorders>
            <w:hideMark/>
          </w:tcPr>
          <w:p w14:paraId="7356A0B9" w14:textId="77777777" w:rsidR="00DA3E06" w:rsidRPr="00DA3E06" w:rsidRDefault="00DA3E06" w:rsidP="00DA3E06">
            <w:pPr>
              <w:keepNext/>
              <w:keepLines/>
              <w:jc w:val="center"/>
              <w:rPr>
                <w:rFonts w:ascii="Arial Narrow" w:eastAsia="MS Gothic" w:hAnsi="Arial Narrow"/>
                <w:color w:val="0D0D0D" w:themeColor="text1" w:themeTint="F2"/>
                <w:sz w:val="20"/>
                <w:szCs w:val="20"/>
                <w:vertAlign w:val="superscript"/>
              </w:rPr>
            </w:pPr>
            <w:r w:rsidRPr="00DA3E06">
              <w:rPr>
                <w:rFonts w:ascii="Arial Narrow" w:eastAsia="MS Gothic" w:hAnsi="Arial Narrow"/>
                <w:color w:val="0D0D0D" w:themeColor="text1" w:themeTint="F2"/>
                <w:sz w:val="20"/>
                <w:szCs w:val="20"/>
              </w:rPr>
              <w:t>$</w:t>
            </w:r>
            <w:r w:rsidRPr="00DA3E06">
              <w:rPr>
                <w:rFonts w:ascii="Arial Narrow" w:eastAsia="MS Gothic" w:hAnsi="Arial Narrow"/>
                <w:color w:val="0D0D0D"/>
                <w:spacing w:val="51"/>
                <w:sz w:val="20"/>
                <w:szCs w:val="20"/>
                <w:shd w:val="solid" w:color="000000" w:fill="000000"/>
                <w:fitText w:val="324" w:id="-509906174"/>
                <w14:textFill>
                  <w14:solidFill>
                    <w14:srgbClr w14:val="0D0D0D">
                      <w14:alpha w14:val="100000"/>
                    </w14:srgbClr>
                  </w14:solidFill>
                </w14:textFill>
              </w:rPr>
              <w:t>|||</w:t>
            </w:r>
            <w:r w:rsidRPr="00DA3E06">
              <w:rPr>
                <w:rFonts w:ascii="Arial Narrow" w:eastAsia="MS Gothic" w:hAnsi="Arial Narrow"/>
                <w:color w:val="0D0D0D"/>
                <w:spacing w:val="1"/>
                <w:sz w:val="20"/>
                <w:szCs w:val="20"/>
                <w:shd w:val="solid" w:color="000000" w:fill="000000"/>
                <w:fitText w:val="324" w:id="-509906174"/>
                <w14:textFill>
                  <w14:solidFill>
                    <w14:srgbClr w14:val="0D0D0D">
                      <w14:alpha w14:val="100000"/>
                    </w14:srgbClr>
                  </w14:solidFill>
                </w14:textFill>
              </w:rPr>
              <w:t>|</w:t>
            </w:r>
            <w:r w:rsidRPr="00DA3E06">
              <w:rPr>
                <w:rFonts w:ascii="Arial Narrow" w:eastAsia="MS Gothic" w:hAnsi="Arial Narrow"/>
                <w:color w:val="0D0D0D" w:themeColor="text1" w:themeTint="F2"/>
                <w:sz w:val="20"/>
                <w:szCs w:val="20"/>
                <w:vertAlign w:val="superscript"/>
              </w:rPr>
              <w:t>1</w:t>
            </w:r>
          </w:p>
        </w:tc>
      </w:tr>
      <w:tr w:rsidR="00DA3E06" w:rsidRPr="00DA3E06" w14:paraId="15089BE0" w14:textId="77777777">
        <w:tc>
          <w:tcPr>
            <w:tcW w:w="5000" w:type="pct"/>
            <w:gridSpan w:val="4"/>
            <w:tcBorders>
              <w:top w:val="single" w:sz="4" w:space="0" w:color="auto"/>
              <w:left w:val="single" w:sz="4" w:space="0" w:color="auto"/>
              <w:bottom w:val="single" w:sz="4" w:space="0" w:color="auto"/>
              <w:right w:val="single" w:sz="4" w:space="0" w:color="auto"/>
            </w:tcBorders>
          </w:tcPr>
          <w:p w14:paraId="67A3E156" w14:textId="77777777" w:rsidR="00DA3E06" w:rsidRPr="00DA3E06" w:rsidRDefault="00DA3E06" w:rsidP="00DA3E06">
            <w:pPr>
              <w:keepNext/>
              <w:keepLines/>
              <w:jc w:val="center"/>
              <w:rPr>
                <w:rFonts w:ascii="Arial Narrow" w:eastAsia="MS Gothic" w:hAnsi="Arial Narrow"/>
                <w:color w:val="0D0D0D" w:themeColor="text1" w:themeTint="F2"/>
                <w:sz w:val="20"/>
                <w:szCs w:val="20"/>
              </w:rPr>
            </w:pPr>
          </w:p>
        </w:tc>
      </w:tr>
      <w:tr w:rsidR="00DA3E06" w:rsidRPr="00DA3E06" w14:paraId="6B4A4540" w14:textId="77777777">
        <w:tc>
          <w:tcPr>
            <w:tcW w:w="2245" w:type="pct"/>
            <w:tcBorders>
              <w:top w:val="single" w:sz="4" w:space="0" w:color="auto"/>
              <w:left w:val="single" w:sz="4" w:space="0" w:color="auto"/>
              <w:bottom w:val="single" w:sz="4" w:space="0" w:color="auto"/>
              <w:right w:val="single" w:sz="4" w:space="0" w:color="auto"/>
            </w:tcBorders>
            <w:hideMark/>
          </w:tcPr>
          <w:p w14:paraId="0650AEFB" w14:textId="77777777" w:rsidR="00DA3E06" w:rsidRPr="00DA3E06" w:rsidRDefault="00DA3E06" w:rsidP="00DA3E06">
            <w:pPr>
              <w:keepNext/>
              <w:keepLines/>
              <w:jc w:val="left"/>
              <w:rPr>
                <w:rFonts w:ascii="Arial Narrow" w:eastAsia="MS Gothic" w:hAnsi="Arial Narrow"/>
                <w:b/>
                <w:bCs/>
                <w:color w:val="0D0D0D" w:themeColor="text1" w:themeTint="F2"/>
                <w:sz w:val="20"/>
                <w:szCs w:val="20"/>
              </w:rPr>
            </w:pPr>
            <w:r w:rsidRPr="00DA3E06">
              <w:rPr>
                <w:rFonts w:ascii="Arial Narrow" w:eastAsia="MS Gothic" w:hAnsi="Arial Narrow"/>
                <w:b/>
                <w:bCs/>
                <w:color w:val="0D0D0D" w:themeColor="text1" w:themeTint="F2"/>
                <w:sz w:val="20"/>
                <w:szCs w:val="20"/>
              </w:rPr>
              <w:t>#1 + #2</w:t>
            </w:r>
          </w:p>
        </w:tc>
        <w:tc>
          <w:tcPr>
            <w:tcW w:w="843" w:type="pct"/>
            <w:tcBorders>
              <w:top w:val="single" w:sz="4" w:space="0" w:color="auto"/>
              <w:left w:val="single" w:sz="4" w:space="0" w:color="auto"/>
              <w:bottom w:val="single" w:sz="4" w:space="0" w:color="auto"/>
              <w:right w:val="single" w:sz="4" w:space="0" w:color="auto"/>
            </w:tcBorders>
            <w:hideMark/>
          </w:tcPr>
          <w:p w14:paraId="6055750D"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color w:val="0D0D0D" w:themeColor="text1" w:themeTint="F2"/>
                <w:sz w:val="20"/>
              </w:rPr>
              <w:t>$</w:t>
            </w:r>
            <w:r w:rsidRPr="00DA3E06">
              <w:rPr>
                <w:rFonts w:ascii="Arial Narrow" w:eastAsia="MS Gothic" w:hAnsi="Arial Narrow"/>
                <w:color w:val="0D0D0D"/>
                <w:spacing w:val="51"/>
                <w:sz w:val="20"/>
                <w:shd w:val="solid" w:color="000000" w:fill="000000"/>
                <w:fitText w:val="324" w:id="-509906173"/>
                <w14:textFill>
                  <w14:solidFill>
                    <w14:srgbClr w14:val="0D0D0D">
                      <w14:alpha w14:val="100000"/>
                    </w14:srgbClr>
                  </w14:solidFill>
                </w14:textFill>
              </w:rPr>
              <w:t>|||</w:t>
            </w:r>
            <w:r w:rsidRPr="00DA3E06">
              <w:rPr>
                <w:rFonts w:ascii="Arial Narrow" w:eastAsia="MS Gothic" w:hAnsi="Arial Narrow"/>
                <w:color w:val="0D0D0D"/>
                <w:spacing w:val="1"/>
                <w:sz w:val="20"/>
                <w:shd w:val="solid" w:color="000000" w:fill="000000"/>
                <w:fitText w:val="324" w:id="-509906173"/>
                <w14:textFill>
                  <w14:solidFill>
                    <w14:srgbClr w14:val="0D0D0D">
                      <w14:alpha w14:val="100000"/>
                    </w14:srgbClr>
                  </w14:solidFill>
                </w14:textFill>
              </w:rPr>
              <w:t>|</w:t>
            </w:r>
          </w:p>
        </w:tc>
        <w:tc>
          <w:tcPr>
            <w:tcW w:w="824" w:type="pct"/>
            <w:tcBorders>
              <w:top w:val="single" w:sz="4" w:space="0" w:color="auto"/>
              <w:left w:val="single" w:sz="4" w:space="0" w:color="auto"/>
              <w:bottom w:val="single" w:sz="4" w:space="0" w:color="auto"/>
              <w:right w:val="single" w:sz="4" w:space="0" w:color="auto"/>
            </w:tcBorders>
            <w:hideMark/>
          </w:tcPr>
          <w:p w14:paraId="49785175"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color w:val="0D0D0D" w:themeColor="text1" w:themeTint="F2"/>
                <w:sz w:val="20"/>
              </w:rPr>
              <w:t>0.91</w:t>
            </w:r>
          </w:p>
        </w:tc>
        <w:tc>
          <w:tcPr>
            <w:tcW w:w="1088" w:type="pct"/>
            <w:tcBorders>
              <w:top w:val="single" w:sz="4" w:space="0" w:color="auto"/>
              <w:left w:val="single" w:sz="4" w:space="0" w:color="auto"/>
              <w:bottom w:val="single" w:sz="4" w:space="0" w:color="auto"/>
              <w:right w:val="single" w:sz="4" w:space="0" w:color="auto"/>
            </w:tcBorders>
            <w:hideMark/>
          </w:tcPr>
          <w:p w14:paraId="27D9D843" w14:textId="77777777" w:rsidR="00DA3E06" w:rsidRPr="00DA3E06" w:rsidRDefault="00DA3E06" w:rsidP="00DA3E06">
            <w:pPr>
              <w:keepNext/>
              <w:keepLines/>
              <w:jc w:val="center"/>
              <w:rPr>
                <w:rFonts w:ascii="Arial Narrow" w:eastAsia="MS Gothic" w:hAnsi="Arial Narrow"/>
                <w:color w:val="0D0D0D" w:themeColor="text1" w:themeTint="F2"/>
                <w:sz w:val="20"/>
                <w:szCs w:val="20"/>
                <w:vertAlign w:val="superscript"/>
              </w:rPr>
            </w:pPr>
            <w:r w:rsidRPr="00DA3E06">
              <w:rPr>
                <w:rFonts w:ascii="Arial Narrow" w:eastAsia="MS Gothic" w:hAnsi="Arial Narrow"/>
                <w:color w:val="0D0D0D" w:themeColor="text1" w:themeTint="F2"/>
                <w:sz w:val="20"/>
                <w:szCs w:val="20"/>
              </w:rPr>
              <w:t>$</w:t>
            </w:r>
            <w:r w:rsidRPr="00DA3E06">
              <w:rPr>
                <w:rFonts w:ascii="Arial Narrow" w:eastAsia="MS Gothic" w:hAnsi="Arial Narrow"/>
                <w:color w:val="0D0D0D"/>
                <w:spacing w:val="51"/>
                <w:sz w:val="20"/>
                <w:szCs w:val="20"/>
                <w:shd w:val="solid" w:color="000000" w:fill="000000"/>
                <w:fitText w:val="324" w:id="-509906172"/>
                <w14:textFill>
                  <w14:solidFill>
                    <w14:srgbClr w14:val="0D0D0D">
                      <w14:alpha w14:val="100000"/>
                    </w14:srgbClr>
                  </w14:solidFill>
                </w14:textFill>
              </w:rPr>
              <w:t>|||</w:t>
            </w:r>
            <w:r w:rsidRPr="00DA3E06">
              <w:rPr>
                <w:rFonts w:ascii="Arial Narrow" w:eastAsia="MS Gothic" w:hAnsi="Arial Narrow"/>
                <w:color w:val="0D0D0D"/>
                <w:spacing w:val="1"/>
                <w:sz w:val="20"/>
                <w:szCs w:val="20"/>
                <w:shd w:val="solid" w:color="000000" w:fill="000000"/>
                <w:fitText w:val="324" w:id="-509906172"/>
                <w14:textFill>
                  <w14:solidFill>
                    <w14:srgbClr w14:val="0D0D0D">
                      <w14:alpha w14:val="100000"/>
                    </w14:srgbClr>
                  </w14:solidFill>
                </w14:textFill>
              </w:rPr>
              <w:t>|</w:t>
            </w:r>
            <w:r w:rsidRPr="00DA3E06">
              <w:rPr>
                <w:rFonts w:ascii="Arial Narrow" w:eastAsia="MS Gothic" w:hAnsi="Arial Narrow"/>
                <w:color w:val="0D0D0D" w:themeColor="text1" w:themeTint="F2"/>
                <w:sz w:val="20"/>
                <w:szCs w:val="20"/>
                <w:vertAlign w:val="superscript"/>
              </w:rPr>
              <w:t>2</w:t>
            </w:r>
          </w:p>
        </w:tc>
      </w:tr>
      <w:tr w:rsidR="00DA3E06" w:rsidRPr="00DA3E06" w14:paraId="17ED1A39" w14:textId="77777777">
        <w:tc>
          <w:tcPr>
            <w:tcW w:w="2245" w:type="pct"/>
            <w:tcBorders>
              <w:top w:val="single" w:sz="4" w:space="0" w:color="auto"/>
              <w:left w:val="single" w:sz="4" w:space="0" w:color="auto"/>
              <w:bottom w:val="single" w:sz="4" w:space="0" w:color="auto"/>
              <w:right w:val="single" w:sz="4" w:space="0" w:color="auto"/>
            </w:tcBorders>
            <w:hideMark/>
          </w:tcPr>
          <w:p w14:paraId="1B4F89F6" w14:textId="77777777" w:rsidR="00DA3E06" w:rsidRPr="00DA3E06" w:rsidRDefault="00DA3E06" w:rsidP="00DA3E06">
            <w:pPr>
              <w:keepNext/>
              <w:keepLines/>
              <w:jc w:val="left"/>
              <w:rPr>
                <w:rFonts w:ascii="Arial Narrow" w:eastAsia="MS Gothic" w:hAnsi="Arial Narrow"/>
                <w:b/>
                <w:bCs/>
                <w:color w:val="0D0D0D" w:themeColor="text1" w:themeTint="F2"/>
                <w:sz w:val="20"/>
                <w:szCs w:val="20"/>
              </w:rPr>
            </w:pPr>
            <w:r w:rsidRPr="00DA3E06">
              <w:rPr>
                <w:rFonts w:ascii="Arial Narrow" w:eastAsia="MS Gothic" w:hAnsi="Arial Narrow"/>
                <w:b/>
                <w:bCs/>
                <w:color w:val="0D0D0D" w:themeColor="text1" w:themeTint="F2"/>
                <w:sz w:val="20"/>
                <w:szCs w:val="20"/>
              </w:rPr>
              <w:t xml:space="preserve"># 1 + #2 and price reduction </w:t>
            </w:r>
          </w:p>
        </w:tc>
        <w:tc>
          <w:tcPr>
            <w:tcW w:w="843" w:type="pct"/>
            <w:tcBorders>
              <w:top w:val="single" w:sz="4" w:space="0" w:color="auto"/>
              <w:left w:val="single" w:sz="4" w:space="0" w:color="auto"/>
              <w:bottom w:val="single" w:sz="4" w:space="0" w:color="auto"/>
              <w:right w:val="single" w:sz="4" w:space="0" w:color="auto"/>
            </w:tcBorders>
            <w:hideMark/>
          </w:tcPr>
          <w:p w14:paraId="556C5072"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color w:val="0D0D0D" w:themeColor="text1" w:themeTint="F2"/>
                <w:sz w:val="20"/>
              </w:rPr>
              <w:t>$</w:t>
            </w:r>
            <w:r w:rsidRPr="00DA3E06">
              <w:rPr>
                <w:rFonts w:ascii="Arial Narrow" w:eastAsia="MS Gothic" w:hAnsi="Arial Narrow"/>
                <w:color w:val="0D0D0D"/>
                <w:spacing w:val="51"/>
                <w:sz w:val="20"/>
                <w:shd w:val="solid" w:color="000000" w:fill="000000"/>
                <w:fitText w:val="324" w:id="-509906171"/>
                <w14:textFill>
                  <w14:solidFill>
                    <w14:srgbClr w14:val="0D0D0D">
                      <w14:alpha w14:val="100000"/>
                    </w14:srgbClr>
                  </w14:solidFill>
                </w14:textFill>
              </w:rPr>
              <w:t>|||</w:t>
            </w:r>
            <w:r w:rsidRPr="00DA3E06">
              <w:rPr>
                <w:rFonts w:ascii="Arial Narrow" w:eastAsia="MS Gothic" w:hAnsi="Arial Narrow"/>
                <w:color w:val="0D0D0D"/>
                <w:spacing w:val="1"/>
                <w:sz w:val="20"/>
                <w:shd w:val="solid" w:color="000000" w:fill="000000"/>
                <w:fitText w:val="324" w:id="-509906171"/>
                <w14:textFill>
                  <w14:solidFill>
                    <w14:srgbClr w14:val="0D0D0D">
                      <w14:alpha w14:val="100000"/>
                    </w14:srgbClr>
                  </w14:solidFill>
                </w14:textFill>
              </w:rPr>
              <w:t>|</w:t>
            </w:r>
          </w:p>
        </w:tc>
        <w:tc>
          <w:tcPr>
            <w:tcW w:w="824" w:type="pct"/>
            <w:tcBorders>
              <w:top w:val="single" w:sz="4" w:space="0" w:color="auto"/>
              <w:left w:val="single" w:sz="4" w:space="0" w:color="auto"/>
              <w:bottom w:val="single" w:sz="4" w:space="0" w:color="auto"/>
              <w:right w:val="single" w:sz="4" w:space="0" w:color="auto"/>
            </w:tcBorders>
            <w:hideMark/>
          </w:tcPr>
          <w:p w14:paraId="37571A74"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color w:val="0D0D0D" w:themeColor="text1" w:themeTint="F2"/>
                <w:sz w:val="20"/>
              </w:rPr>
              <w:t>0.91</w:t>
            </w:r>
          </w:p>
        </w:tc>
        <w:tc>
          <w:tcPr>
            <w:tcW w:w="1088" w:type="pct"/>
            <w:tcBorders>
              <w:top w:val="single" w:sz="4" w:space="0" w:color="auto"/>
              <w:left w:val="single" w:sz="4" w:space="0" w:color="auto"/>
              <w:bottom w:val="single" w:sz="4" w:space="0" w:color="auto"/>
              <w:right w:val="single" w:sz="4" w:space="0" w:color="auto"/>
            </w:tcBorders>
            <w:hideMark/>
          </w:tcPr>
          <w:p w14:paraId="239EA358" w14:textId="77777777" w:rsidR="00DA3E06" w:rsidRPr="00DA3E06" w:rsidRDefault="00DA3E06" w:rsidP="00DA3E06">
            <w:pPr>
              <w:keepNext/>
              <w:keepLines/>
              <w:jc w:val="center"/>
              <w:rPr>
                <w:rFonts w:ascii="Arial Narrow" w:eastAsia="MS Gothic" w:hAnsi="Arial Narrow"/>
                <w:color w:val="0D0D0D" w:themeColor="text1" w:themeTint="F2"/>
                <w:sz w:val="20"/>
                <w:szCs w:val="20"/>
                <w:vertAlign w:val="superscript"/>
              </w:rPr>
            </w:pPr>
            <w:r w:rsidRPr="00DA3E06">
              <w:rPr>
                <w:rFonts w:ascii="Arial Narrow" w:eastAsia="MS Gothic" w:hAnsi="Arial Narrow"/>
                <w:color w:val="0D0D0D" w:themeColor="text1" w:themeTint="F2"/>
                <w:sz w:val="20"/>
                <w:szCs w:val="20"/>
              </w:rPr>
              <w:t>$</w:t>
            </w:r>
            <w:r w:rsidRPr="00DA3E06">
              <w:rPr>
                <w:rFonts w:ascii="Arial Narrow" w:eastAsia="MS Gothic" w:hAnsi="Arial Narrow"/>
                <w:color w:val="0D0D0D"/>
                <w:spacing w:val="51"/>
                <w:sz w:val="20"/>
                <w:szCs w:val="20"/>
                <w:shd w:val="solid" w:color="000000" w:fill="000000"/>
                <w:fitText w:val="324" w:id="-509906170"/>
                <w14:textFill>
                  <w14:solidFill>
                    <w14:srgbClr w14:val="0D0D0D">
                      <w14:alpha w14:val="100000"/>
                    </w14:srgbClr>
                  </w14:solidFill>
                </w14:textFill>
              </w:rPr>
              <w:t>|||</w:t>
            </w:r>
            <w:r w:rsidRPr="00DA3E06">
              <w:rPr>
                <w:rFonts w:ascii="Arial Narrow" w:eastAsia="MS Gothic" w:hAnsi="Arial Narrow"/>
                <w:color w:val="0D0D0D"/>
                <w:spacing w:val="1"/>
                <w:sz w:val="20"/>
                <w:szCs w:val="20"/>
                <w:shd w:val="solid" w:color="000000" w:fill="000000"/>
                <w:fitText w:val="324" w:id="-509906170"/>
                <w14:textFill>
                  <w14:solidFill>
                    <w14:srgbClr w14:val="0D0D0D">
                      <w14:alpha w14:val="100000"/>
                    </w14:srgbClr>
                  </w14:solidFill>
                </w14:textFill>
              </w:rPr>
              <w:t>|</w:t>
            </w:r>
            <w:r w:rsidRPr="00DA3E06">
              <w:rPr>
                <w:rFonts w:ascii="Arial Narrow" w:eastAsia="MS Gothic" w:hAnsi="Arial Narrow"/>
                <w:color w:val="0D0D0D" w:themeColor="text1" w:themeTint="F2"/>
                <w:sz w:val="20"/>
                <w:szCs w:val="20"/>
                <w:vertAlign w:val="superscript"/>
              </w:rPr>
              <w:t>3</w:t>
            </w:r>
          </w:p>
        </w:tc>
      </w:tr>
    </w:tbl>
    <w:p w14:paraId="7E13B978" w14:textId="77777777" w:rsidR="00DA3E06" w:rsidRPr="00DA3E06" w:rsidRDefault="00DA3E06" w:rsidP="00DA3E06">
      <w:pPr>
        <w:keepNext/>
        <w:keepLines/>
        <w:snapToGrid w:val="0"/>
        <w:spacing w:after="120"/>
        <w:contextualSpacing/>
        <w:rPr>
          <w:rFonts w:ascii="Arial Narrow" w:hAnsi="Arial Narrow" w:cs="Arial"/>
          <w:sz w:val="18"/>
          <w:szCs w:val="22"/>
          <w:lang w:eastAsia="en-US"/>
        </w:rPr>
      </w:pPr>
      <w:r w:rsidRPr="00DA3E06">
        <w:rPr>
          <w:rFonts w:ascii="Arial Narrow" w:hAnsi="Arial Narrow" w:cs="Arial"/>
          <w:sz w:val="18"/>
          <w:szCs w:val="22"/>
          <w:lang w:eastAsia="en-US"/>
        </w:rPr>
        <w:t>Source: constructed during the evaluation from the economic model and Table 3-2 of the Futibatinib Early Re-Entry Submission</w:t>
      </w:r>
    </w:p>
    <w:p w14:paraId="55BF3CB5" w14:textId="77777777" w:rsidR="00DA3E06" w:rsidRPr="00DA3E06" w:rsidRDefault="00DA3E06" w:rsidP="00DA3E06">
      <w:pPr>
        <w:keepNext/>
        <w:keepLines/>
        <w:snapToGrid w:val="0"/>
        <w:spacing w:after="120"/>
        <w:contextualSpacing/>
        <w:rPr>
          <w:rFonts w:ascii="Arial Narrow" w:hAnsi="Arial Narrow" w:cs="Arial"/>
          <w:sz w:val="18"/>
          <w:szCs w:val="22"/>
        </w:rPr>
      </w:pPr>
      <w:r w:rsidRPr="00DA3E06">
        <w:rPr>
          <w:rFonts w:ascii="Arial Narrow" w:hAnsi="Arial Narrow" w:cs="Arial"/>
          <w:sz w:val="18"/>
          <w:szCs w:val="22"/>
        </w:rPr>
        <w:t>HR, hazard ration; ICER, incremental cost-effectiveness ratio; QALY, quality adjusted life year.</w:t>
      </w:r>
    </w:p>
    <w:p w14:paraId="2488DF5F" w14:textId="77777777" w:rsidR="00DA3E06" w:rsidRPr="00DA3E06" w:rsidRDefault="00DA3E06" w:rsidP="00DA3E06">
      <w:pPr>
        <w:keepNext/>
        <w:keepLines/>
        <w:snapToGrid w:val="0"/>
        <w:spacing w:after="120"/>
        <w:contextualSpacing/>
        <w:rPr>
          <w:rFonts w:ascii="Arial Narrow" w:hAnsi="Arial Narrow" w:cs="Arial"/>
          <w:i/>
          <w:sz w:val="18"/>
          <w:szCs w:val="22"/>
        </w:rPr>
      </w:pPr>
      <w:r w:rsidRPr="00DA3E06">
        <w:rPr>
          <w:rFonts w:ascii="Arial Narrow" w:hAnsi="Arial Narrow" w:cs="Arial"/>
          <w:i/>
          <w:sz w:val="18"/>
          <w:szCs w:val="22"/>
        </w:rPr>
        <w:t xml:space="preserve">The redacted values correspond to the following ranges: </w:t>
      </w:r>
    </w:p>
    <w:p w14:paraId="31EDFD67" w14:textId="77777777" w:rsidR="00DA3E06" w:rsidRPr="00DA3E06" w:rsidRDefault="00DA3E06" w:rsidP="00DA3E06">
      <w:pPr>
        <w:keepNext/>
        <w:keepLines/>
        <w:snapToGrid w:val="0"/>
        <w:spacing w:after="120"/>
        <w:contextualSpacing/>
        <w:rPr>
          <w:rFonts w:ascii="Arial Narrow" w:hAnsi="Arial Narrow" w:cs="Arial"/>
          <w:i/>
          <w:sz w:val="18"/>
          <w:szCs w:val="22"/>
        </w:rPr>
      </w:pPr>
      <w:r w:rsidRPr="00DA3E06">
        <w:rPr>
          <w:rFonts w:ascii="Arial Narrow" w:hAnsi="Arial Narrow" w:cs="Arial"/>
          <w:i/>
          <w:sz w:val="18"/>
          <w:szCs w:val="22"/>
          <w:vertAlign w:val="superscript"/>
        </w:rPr>
        <w:t>1</w:t>
      </w:r>
      <w:r w:rsidRPr="00DA3E06">
        <w:rPr>
          <w:rFonts w:ascii="Arial Narrow" w:hAnsi="Arial Narrow" w:cs="Arial"/>
          <w:i/>
          <w:sz w:val="18"/>
          <w:szCs w:val="22"/>
        </w:rPr>
        <w:t xml:space="preserve"> $95,000 to &lt; $115,000 </w:t>
      </w:r>
    </w:p>
    <w:p w14:paraId="121F339C" w14:textId="77777777" w:rsidR="00DA3E06" w:rsidRPr="00DA3E06" w:rsidRDefault="00DA3E06" w:rsidP="00DA3E06">
      <w:pPr>
        <w:keepNext/>
        <w:keepLines/>
        <w:snapToGrid w:val="0"/>
        <w:spacing w:after="120"/>
        <w:contextualSpacing/>
        <w:rPr>
          <w:rFonts w:ascii="Arial Narrow" w:hAnsi="Arial Narrow" w:cs="Arial"/>
          <w:i/>
          <w:sz w:val="18"/>
          <w:szCs w:val="22"/>
        </w:rPr>
      </w:pPr>
      <w:r w:rsidRPr="00DA3E06">
        <w:rPr>
          <w:rFonts w:ascii="Arial Narrow" w:hAnsi="Arial Narrow" w:cs="Arial"/>
          <w:i/>
          <w:sz w:val="18"/>
          <w:szCs w:val="22"/>
          <w:vertAlign w:val="superscript"/>
        </w:rPr>
        <w:t>2</w:t>
      </w:r>
      <w:r w:rsidRPr="00DA3E06">
        <w:rPr>
          <w:rFonts w:ascii="Arial Narrow" w:hAnsi="Arial Narrow" w:cs="Arial"/>
          <w:i/>
          <w:sz w:val="18"/>
          <w:szCs w:val="22"/>
        </w:rPr>
        <w:t xml:space="preserve"> $115,000 to &lt; $135,000</w:t>
      </w:r>
    </w:p>
    <w:p w14:paraId="520B9D52" w14:textId="77777777" w:rsidR="00DA3E06" w:rsidRDefault="00DA3E06" w:rsidP="00DA3E06">
      <w:pPr>
        <w:keepNext/>
        <w:keepLines/>
        <w:snapToGrid w:val="0"/>
        <w:spacing w:after="120"/>
        <w:contextualSpacing/>
        <w:rPr>
          <w:rFonts w:ascii="Arial Narrow" w:hAnsi="Arial Narrow" w:cs="Arial"/>
          <w:i/>
          <w:sz w:val="18"/>
          <w:szCs w:val="22"/>
        </w:rPr>
      </w:pPr>
      <w:r w:rsidRPr="00DA3E06">
        <w:rPr>
          <w:rFonts w:ascii="Arial Narrow" w:hAnsi="Arial Narrow" w:cs="Arial"/>
          <w:i/>
          <w:sz w:val="18"/>
          <w:szCs w:val="22"/>
          <w:vertAlign w:val="superscript"/>
        </w:rPr>
        <w:t>3</w:t>
      </w:r>
      <w:r w:rsidRPr="00DA3E06">
        <w:rPr>
          <w:rFonts w:ascii="Arial Narrow" w:hAnsi="Arial Narrow" w:cs="Arial"/>
          <w:i/>
          <w:sz w:val="18"/>
          <w:szCs w:val="22"/>
        </w:rPr>
        <w:t xml:space="preserve"> $75,000 to &lt; $95,000</w:t>
      </w:r>
    </w:p>
    <w:p w14:paraId="3470BB46" w14:textId="77777777" w:rsidR="005F4F77" w:rsidRPr="00DA3E06" w:rsidRDefault="005F4F77" w:rsidP="00DA3E06">
      <w:pPr>
        <w:keepNext/>
        <w:keepLines/>
        <w:snapToGrid w:val="0"/>
        <w:spacing w:after="120"/>
        <w:contextualSpacing/>
        <w:rPr>
          <w:rFonts w:ascii="Arial Narrow" w:hAnsi="Arial Narrow" w:cs="Arial"/>
          <w:sz w:val="18"/>
          <w:szCs w:val="22"/>
        </w:rPr>
      </w:pPr>
    </w:p>
    <w:p w14:paraId="229F2EBA" w14:textId="4F2D2C9A" w:rsidR="00DA3E06" w:rsidRPr="00DA3E06" w:rsidRDefault="00DA3E06" w:rsidP="00DA3E06">
      <w:pPr>
        <w:keepNext/>
        <w:keepLines/>
        <w:tabs>
          <w:tab w:val="num" w:pos="360"/>
        </w:tabs>
        <w:spacing w:after="200"/>
        <w:jc w:val="left"/>
        <w:rPr>
          <w:rFonts w:ascii="Arial Narrow" w:eastAsia="MS Gothic" w:hAnsi="Arial Narrow" w:cs="Calibri"/>
          <w:b/>
          <w:bCs/>
          <w:sz w:val="20"/>
        </w:rPr>
      </w:pPr>
      <w:bookmarkStart w:id="18" w:name="_Ref201665582"/>
      <w:r w:rsidRPr="00DA3E06">
        <w:rPr>
          <w:rFonts w:ascii="Arial Narrow" w:eastAsia="MS Gothic" w:hAnsi="Arial Narrow" w:cs="Calibri"/>
          <w:b/>
          <w:bCs/>
          <w:sz w:val="20"/>
        </w:rPr>
        <w:t xml:space="preserve">Figure </w:t>
      </w:r>
      <w:r w:rsidRPr="00DA3E06">
        <w:rPr>
          <w:rFonts w:cs="Calibri"/>
          <w:i/>
          <w:iCs/>
          <w:color w:val="1F497D" w:themeColor="text2"/>
          <w:sz w:val="18"/>
          <w:szCs w:val="18"/>
        </w:rPr>
        <w:fldChar w:fldCharType="begin"/>
      </w:r>
      <w:r w:rsidRPr="00DA3E06">
        <w:rPr>
          <w:rFonts w:ascii="Arial Narrow" w:eastAsia="MS Gothic" w:hAnsi="Arial Narrow" w:cs="Calibri"/>
          <w:b/>
          <w:bCs/>
          <w:sz w:val="20"/>
        </w:rPr>
        <w:instrText xml:space="preserve"> SEQ Figure \* ARABIC </w:instrText>
      </w:r>
      <w:r w:rsidRPr="00DA3E06">
        <w:rPr>
          <w:rFonts w:cs="Calibri"/>
          <w:i/>
          <w:iCs/>
          <w:color w:val="1F497D" w:themeColor="text2"/>
          <w:sz w:val="18"/>
          <w:szCs w:val="18"/>
        </w:rPr>
        <w:fldChar w:fldCharType="separate"/>
      </w:r>
      <w:r w:rsidR="00971CD5">
        <w:rPr>
          <w:rFonts w:ascii="Arial Narrow" w:eastAsia="MS Gothic" w:hAnsi="Arial Narrow" w:cs="Calibri"/>
          <w:b/>
          <w:bCs/>
          <w:noProof/>
          <w:sz w:val="20"/>
        </w:rPr>
        <w:t>1</w:t>
      </w:r>
      <w:r w:rsidRPr="00DA3E06">
        <w:rPr>
          <w:rFonts w:cs="Calibri"/>
          <w:i/>
          <w:iCs/>
          <w:color w:val="1F497D" w:themeColor="text2"/>
          <w:sz w:val="18"/>
          <w:szCs w:val="18"/>
        </w:rPr>
        <w:fldChar w:fldCharType="end"/>
      </w:r>
      <w:bookmarkEnd w:id="18"/>
      <w:r w:rsidRPr="00DA3E06">
        <w:rPr>
          <w:rFonts w:ascii="Arial Narrow" w:eastAsia="MS Gothic" w:hAnsi="Arial Narrow" w:cs="Calibri"/>
          <w:b/>
          <w:bCs/>
          <w:sz w:val="20"/>
        </w:rPr>
        <w:t>: Survival curves of the base case economic model</w:t>
      </w:r>
    </w:p>
    <w:p w14:paraId="4FD06A8A" w14:textId="77777777" w:rsidR="00DA3E06" w:rsidRPr="00DA3E06" w:rsidRDefault="00DA3E06" w:rsidP="00DA3E06">
      <w:pPr>
        <w:keepNext/>
        <w:keepLines/>
        <w:spacing w:after="120"/>
        <w:rPr>
          <w:rFonts w:eastAsia="Calibri" w:cs="Arial"/>
          <w:snapToGrid w:val="0"/>
          <w:szCs w:val="22"/>
        </w:rPr>
      </w:pPr>
      <w:r w:rsidRPr="00DA3E06">
        <w:rPr>
          <w:rFonts w:eastAsia="Calibri" w:cs="Arial"/>
          <w:noProof/>
          <w:snapToGrid w:val="0"/>
          <w:szCs w:val="22"/>
        </w:rPr>
        <w:drawing>
          <wp:inline distT="0" distB="0" distL="0" distR="0" wp14:anchorId="71D5057D" wp14:editId="14408319">
            <wp:extent cx="5727700" cy="2514600"/>
            <wp:effectExtent l="0" t="0" r="6350" b="0"/>
            <wp:docPr id="6" name="Picture 1" descr="Survival curves of the base cas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ival curves of the base case economic mode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2514600"/>
                    </a:xfrm>
                    <a:prstGeom prst="rect">
                      <a:avLst/>
                    </a:prstGeom>
                    <a:noFill/>
                    <a:ln>
                      <a:noFill/>
                    </a:ln>
                  </pic:spPr>
                </pic:pic>
              </a:graphicData>
            </a:graphic>
          </wp:inline>
        </w:drawing>
      </w:r>
    </w:p>
    <w:p w14:paraId="0994093A" w14:textId="77777777" w:rsidR="00DA3E06" w:rsidRPr="00DA3E06" w:rsidRDefault="00DA3E06" w:rsidP="00DA3E06">
      <w:pPr>
        <w:keepNext/>
        <w:keepLines/>
        <w:spacing w:after="120"/>
        <w:rPr>
          <w:rFonts w:ascii="Arial Narrow" w:eastAsia="Calibri" w:hAnsi="Arial Narrow" w:cs="Arial"/>
          <w:snapToGrid w:val="0"/>
          <w:sz w:val="18"/>
          <w:szCs w:val="16"/>
        </w:rPr>
      </w:pPr>
      <w:r w:rsidRPr="00DA3E06">
        <w:rPr>
          <w:rFonts w:ascii="Arial Narrow" w:eastAsia="Calibri" w:hAnsi="Arial Narrow" w:cs="Arial"/>
          <w:snapToGrid w:val="0"/>
          <w:sz w:val="18"/>
          <w:szCs w:val="16"/>
        </w:rPr>
        <w:t xml:space="preserve">Source: economic model provided with the early re-entry resubmission </w:t>
      </w:r>
    </w:p>
    <w:p w14:paraId="0F32A86D" w14:textId="77777777"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t xml:space="preserve">The resubmission noted that the updated OS HR used in the resubmission (0.32) resulted in approximately 4% futibatinib of patients alive at 7 years. </w:t>
      </w:r>
    </w:p>
    <w:p w14:paraId="25741379" w14:textId="77777777"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t xml:space="preserve">The revised model resulted in 1.99 life years gained (LYG) (undiscounted, over 7 years) for futibatinib compared to 2.48 LYG (undiscounted, over 10 years) in the previous submission. </w:t>
      </w:r>
    </w:p>
    <w:p w14:paraId="711BD36F" w14:textId="6E30BA0A"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lastRenderedPageBreak/>
        <w:t xml:space="preserve">Sensitivity analyses using parameters previously recommended by the PBAC are presented in </w:t>
      </w:r>
      <w:r w:rsidRPr="00DA3E06">
        <w:rPr>
          <w:rFonts w:eastAsia="Calibri" w:cs="Arial"/>
          <w:snapToGrid w:val="0"/>
          <w:szCs w:val="22"/>
        </w:rPr>
        <w:fldChar w:fldCharType="begin"/>
      </w:r>
      <w:r w:rsidRPr="00DA3E06">
        <w:rPr>
          <w:rFonts w:eastAsia="Calibri" w:cs="Arial"/>
          <w:snapToGrid w:val="0"/>
          <w:szCs w:val="22"/>
        </w:rPr>
        <w:instrText xml:space="preserve"> REF _Ref201660852 \h  \* MERGEFORMAT </w:instrText>
      </w:r>
      <w:r w:rsidRPr="00DA3E06">
        <w:rPr>
          <w:rFonts w:eastAsia="Calibri" w:cs="Arial"/>
          <w:snapToGrid w:val="0"/>
          <w:szCs w:val="22"/>
        </w:rPr>
      </w:r>
      <w:r w:rsidRPr="00DA3E06">
        <w:rPr>
          <w:rFonts w:eastAsia="Calibri" w:cs="Arial"/>
          <w:snapToGrid w:val="0"/>
          <w:szCs w:val="22"/>
        </w:rPr>
        <w:fldChar w:fldCharType="separate"/>
      </w:r>
      <w:r w:rsidR="00971CD5" w:rsidRPr="00971CD5">
        <w:rPr>
          <w:rFonts w:eastAsia="Calibri" w:cs="Arial"/>
          <w:snapToGrid w:val="0"/>
          <w:szCs w:val="22"/>
        </w:rPr>
        <w:t>Table 5</w:t>
      </w:r>
      <w:r w:rsidRPr="00DA3E06">
        <w:rPr>
          <w:rFonts w:eastAsia="Calibri" w:cs="Arial"/>
          <w:snapToGrid w:val="0"/>
          <w:szCs w:val="22"/>
        </w:rPr>
        <w:fldChar w:fldCharType="end"/>
      </w:r>
      <w:r w:rsidRPr="00DA3E06">
        <w:rPr>
          <w:rFonts w:eastAsia="Calibri" w:cs="Arial"/>
          <w:snapToGrid w:val="0"/>
          <w:szCs w:val="22"/>
        </w:rPr>
        <w:t xml:space="preserve">. The economic model was most sensitive to the OS HR applied. The submission overview noted that a multivariate sensitivity analysis using inputs consistent with the previous PBAC recommendation resulted in an ICER of $135,000 to &lt; $155,000per QALY gained, or </w:t>
      </w:r>
      <w:r w:rsidRPr="00DA3E06">
        <w:rPr>
          <w:rFonts w:eastAsia="Calibri" w:cs="Arial"/>
          <w:snapToGrid w:val="0"/>
          <w:szCs w:val="20"/>
        </w:rPr>
        <w:t xml:space="preserve">$135,000 to &lt; $155,000 using the price reduction offered in the Pre-PBAC response (see paragraph </w:t>
      </w:r>
      <w:r w:rsidRPr="00DA3E06">
        <w:rPr>
          <w:rFonts w:eastAsia="Calibri" w:cs="Arial"/>
          <w:snapToGrid w:val="0"/>
          <w:szCs w:val="20"/>
        </w:rPr>
        <w:fldChar w:fldCharType="begin"/>
      </w:r>
      <w:r w:rsidRPr="00DA3E06">
        <w:rPr>
          <w:rFonts w:eastAsia="Calibri" w:cs="Arial"/>
          <w:snapToGrid w:val="0"/>
          <w:szCs w:val="20"/>
        </w:rPr>
        <w:instrText xml:space="preserve"> REF _Ref204165956 \r \h </w:instrText>
      </w:r>
      <w:r w:rsidRPr="00DA3E06">
        <w:rPr>
          <w:rFonts w:eastAsia="Calibri" w:cs="Arial"/>
          <w:snapToGrid w:val="0"/>
          <w:szCs w:val="20"/>
        </w:rPr>
      </w:r>
      <w:r w:rsidRPr="00DA3E06">
        <w:rPr>
          <w:rFonts w:eastAsia="Calibri" w:cs="Arial"/>
          <w:snapToGrid w:val="0"/>
          <w:szCs w:val="20"/>
        </w:rPr>
        <w:fldChar w:fldCharType="separate"/>
      </w:r>
      <w:r w:rsidR="00971CD5">
        <w:rPr>
          <w:rFonts w:eastAsia="Calibri" w:cs="Arial"/>
          <w:snapToGrid w:val="0"/>
          <w:szCs w:val="20"/>
        </w:rPr>
        <w:t>4.16</w:t>
      </w:r>
      <w:r w:rsidRPr="00DA3E06">
        <w:rPr>
          <w:rFonts w:eastAsia="Calibri" w:cs="Arial"/>
          <w:snapToGrid w:val="0"/>
          <w:szCs w:val="20"/>
        </w:rPr>
        <w:fldChar w:fldCharType="end"/>
      </w:r>
      <w:r w:rsidRPr="00DA3E06">
        <w:rPr>
          <w:rFonts w:eastAsia="Calibri" w:cs="Arial"/>
          <w:snapToGrid w:val="0"/>
          <w:szCs w:val="20"/>
        </w:rPr>
        <w:t>)</w:t>
      </w:r>
      <w:r w:rsidRPr="00DA3E06">
        <w:rPr>
          <w:rFonts w:eastAsia="Calibri" w:cs="Arial"/>
          <w:snapToGrid w:val="0"/>
          <w:szCs w:val="22"/>
        </w:rPr>
        <w:t xml:space="preserve">. </w:t>
      </w:r>
    </w:p>
    <w:p w14:paraId="538B384B" w14:textId="3EBBF538" w:rsidR="00DA3E06" w:rsidRPr="00DA3E06" w:rsidRDefault="00DA3E06" w:rsidP="00DA3E06">
      <w:pPr>
        <w:keepNext/>
        <w:keepLines/>
        <w:jc w:val="left"/>
        <w:rPr>
          <w:rFonts w:ascii="Arial Narrow" w:eastAsia="MS Gothic" w:hAnsi="Arial Narrow"/>
          <w:b/>
          <w:bCs/>
          <w:sz w:val="20"/>
        </w:rPr>
      </w:pPr>
      <w:bookmarkStart w:id="19" w:name="_Ref201660852"/>
      <w:r w:rsidRPr="00DA3E06">
        <w:rPr>
          <w:rFonts w:ascii="Arial Narrow" w:eastAsia="MS Gothic" w:hAnsi="Arial Narrow"/>
          <w:b/>
          <w:bCs/>
          <w:sz w:val="20"/>
        </w:rPr>
        <w:t xml:space="preserve">Table </w:t>
      </w:r>
      <w:r w:rsidRPr="00DA3E06">
        <w:rPr>
          <w:rFonts w:ascii="Arial Narrow" w:eastAsia="MS Gothic" w:hAnsi="Arial Narrow"/>
          <w:b/>
          <w:bCs/>
          <w:sz w:val="20"/>
        </w:rPr>
        <w:fldChar w:fldCharType="begin"/>
      </w:r>
      <w:r w:rsidRPr="00DA3E06">
        <w:rPr>
          <w:rFonts w:ascii="Arial Narrow" w:eastAsia="MS Gothic" w:hAnsi="Arial Narrow"/>
          <w:b/>
          <w:bCs/>
          <w:sz w:val="20"/>
        </w:rPr>
        <w:instrText xml:space="preserve"> SEQ Table \* ARABIC </w:instrText>
      </w:r>
      <w:r w:rsidRPr="00DA3E06">
        <w:rPr>
          <w:rFonts w:ascii="Arial Narrow" w:eastAsia="MS Gothic" w:hAnsi="Arial Narrow"/>
          <w:b/>
          <w:bCs/>
          <w:sz w:val="20"/>
        </w:rPr>
        <w:fldChar w:fldCharType="separate"/>
      </w:r>
      <w:r w:rsidR="00971CD5">
        <w:rPr>
          <w:rFonts w:ascii="Arial Narrow" w:eastAsia="MS Gothic" w:hAnsi="Arial Narrow"/>
          <w:b/>
          <w:bCs/>
          <w:noProof/>
          <w:sz w:val="20"/>
        </w:rPr>
        <w:t>5</w:t>
      </w:r>
      <w:r w:rsidRPr="00DA3E06">
        <w:rPr>
          <w:rFonts w:ascii="Arial Narrow" w:eastAsia="MS Gothic" w:hAnsi="Arial Narrow"/>
          <w:b/>
          <w:bCs/>
          <w:sz w:val="20"/>
        </w:rPr>
        <w:fldChar w:fldCharType="end"/>
      </w:r>
      <w:bookmarkEnd w:id="19"/>
      <w:r w:rsidRPr="00DA3E06">
        <w:rPr>
          <w:rFonts w:ascii="Arial Narrow" w:eastAsia="MS Gothic" w:hAnsi="Arial Narrow"/>
          <w:b/>
          <w:bCs/>
          <w:sz w:val="20"/>
        </w:rPr>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nsitivity analyses"/>
      </w:tblPr>
      <w:tblGrid>
        <w:gridCol w:w="3326"/>
        <w:gridCol w:w="1132"/>
        <w:gridCol w:w="115"/>
        <w:gridCol w:w="1221"/>
        <w:gridCol w:w="1612"/>
        <w:gridCol w:w="1610"/>
      </w:tblGrid>
      <w:tr w:rsidR="00DA3E06" w:rsidRPr="00DA3E06" w14:paraId="4F3621D3" w14:textId="77777777">
        <w:trPr>
          <w:tblHeader/>
        </w:trPr>
        <w:tc>
          <w:tcPr>
            <w:tcW w:w="1844" w:type="pct"/>
            <w:tcBorders>
              <w:top w:val="single" w:sz="4" w:space="0" w:color="auto"/>
              <w:left w:val="single" w:sz="4" w:space="0" w:color="auto"/>
              <w:bottom w:val="single" w:sz="4" w:space="0" w:color="auto"/>
              <w:right w:val="single" w:sz="4" w:space="0" w:color="auto"/>
            </w:tcBorders>
          </w:tcPr>
          <w:p w14:paraId="1EFB6F89" w14:textId="77777777" w:rsidR="00DA3E06" w:rsidRPr="00DA3E06" w:rsidRDefault="00DA3E06" w:rsidP="00DA3E06">
            <w:pPr>
              <w:keepNext/>
              <w:keepLines/>
              <w:jc w:val="left"/>
              <w:rPr>
                <w:rFonts w:ascii="Arial Narrow" w:eastAsia="MS Gothic" w:hAnsi="Arial Narrow"/>
                <w:b/>
                <w:bCs/>
                <w:color w:val="0D0D0D" w:themeColor="text1" w:themeTint="F2"/>
                <w:sz w:val="20"/>
                <w:szCs w:val="20"/>
              </w:rPr>
            </w:pPr>
          </w:p>
          <w:p w14:paraId="2EF2AFE4" w14:textId="77777777" w:rsidR="00DA3E06" w:rsidRPr="00DA3E06" w:rsidRDefault="00DA3E06" w:rsidP="00DA3E06">
            <w:pPr>
              <w:keepNext/>
              <w:keepLines/>
              <w:jc w:val="left"/>
              <w:rPr>
                <w:rFonts w:ascii="Arial Narrow" w:eastAsia="MS Gothic" w:hAnsi="Arial Narrow"/>
                <w:b/>
                <w:bCs/>
                <w:color w:val="0D0D0D" w:themeColor="text1" w:themeTint="F2"/>
                <w:sz w:val="20"/>
                <w:szCs w:val="20"/>
              </w:rPr>
            </w:pPr>
          </w:p>
          <w:p w14:paraId="2F527E7E" w14:textId="77777777" w:rsidR="00DA3E06" w:rsidRPr="00DA3E06" w:rsidRDefault="00DA3E06" w:rsidP="00DA3E06">
            <w:pPr>
              <w:keepNext/>
              <w:keepLines/>
              <w:jc w:val="left"/>
              <w:rPr>
                <w:rFonts w:ascii="Arial Narrow" w:eastAsia="MS Gothic" w:hAnsi="Arial Narrow"/>
                <w:b/>
                <w:color w:val="0D0D0D" w:themeColor="text1" w:themeTint="F2"/>
                <w:sz w:val="20"/>
                <w:szCs w:val="20"/>
              </w:rPr>
            </w:pPr>
            <w:r w:rsidRPr="00DA3E06">
              <w:rPr>
                <w:rFonts w:ascii="Arial Narrow" w:eastAsia="MS Gothic" w:hAnsi="Arial Narrow"/>
                <w:b/>
                <w:bCs/>
                <w:color w:val="0D0D0D" w:themeColor="text1" w:themeTint="F2"/>
                <w:sz w:val="20"/>
                <w:szCs w:val="20"/>
              </w:rPr>
              <w:t>Analyses</w:t>
            </w:r>
          </w:p>
        </w:tc>
        <w:tc>
          <w:tcPr>
            <w:tcW w:w="692" w:type="pct"/>
            <w:gridSpan w:val="2"/>
            <w:tcBorders>
              <w:top w:val="single" w:sz="4" w:space="0" w:color="auto"/>
              <w:left w:val="single" w:sz="4" w:space="0" w:color="auto"/>
              <w:bottom w:val="single" w:sz="4" w:space="0" w:color="auto"/>
              <w:right w:val="single" w:sz="4" w:space="0" w:color="auto"/>
            </w:tcBorders>
            <w:hideMark/>
          </w:tcPr>
          <w:p w14:paraId="0ACB7840" w14:textId="77777777" w:rsidR="00DA3E06" w:rsidRPr="00DA3E06" w:rsidRDefault="00DA3E06" w:rsidP="00DA3E06">
            <w:pPr>
              <w:keepNext/>
              <w:keepLines/>
              <w:jc w:val="center"/>
              <w:rPr>
                <w:rFonts w:ascii="Arial Narrow" w:eastAsia="MS Gothic" w:hAnsi="Arial Narrow"/>
                <w:b/>
                <w:color w:val="0D0D0D" w:themeColor="text1" w:themeTint="F2"/>
                <w:sz w:val="20"/>
                <w:szCs w:val="20"/>
              </w:rPr>
            </w:pPr>
            <w:r w:rsidRPr="00DA3E06">
              <w:rPr>
                <w:rFonts w:ascii="Arial Narrow" w:eastAsia="MS Gothic" w:hAnsi="Arial Narrow"/>
                <w:b/>
                <w:bCs/>
                <w:color w:val="0D0D0D" w:themeColor="text1" w:themeTint="F2"/>
                <w:sz w:val="20"/>
                <w:szCs w:val="20"/>
              </w:rPr>
              <w:t>Incremental cost</w:t>
            </w:r>
          </w:p>
        </w:tc>
        <w:tc>
          <w:tcPr>
            <w:tcW w:w="677" w:type="pct"/>
            <w:tcBorders>
              <w:top w:val="single" w:sz="4" w:space="0" w:color="auto"/>
              <w:left w:val="single" w:sz="4" w:space="0" w:color="auto"/>
              <w:bottom w:val="single" w:sz="4" w:space="0" w:color="auto"/>
              <w:right w:val="single" w:sz="4" w:space="0" w:color="auto"/>
            </w:tcBorders>
            <w:hideMark/>
          </w:tcPr>
          <w:p w14:paraId="3AD0E5E0" w14:textId="77777777" w:rsidR="00DA3E06" w:rsidRPr="00DA3E06" w:rsidRDefault="00DA3E06" w:rsidP="00DA3E06">
            <w:pPr>
              <w:keepNext/>
              <w:keepLines/>
              <w:jc w:val="center"/>
              <w:rPr>
                <w:rFonts w:ascii="Arial Narrow" w:eastAsia="MS Gothic" w:hAnsi="Arial Narrow"/>
                <w:b/>
                <w:color w:val="0D0D0D" w:themeColor="text1" w:themeTint="F2"/>
                <w:sz w:val="20"/>
                <w:szCs w:val="20"/>
              </w:rPr>
            </w:pPr>
            <w:r w:rsidRPr="00DA3E06">
              <w:rPr>
                <w:rFonts w:ascii="Arial Narrow" w:eastAsia="MS Gothic" w:hAnsi="Arial Narrow"/>
                <w:b/>
                <w:bCs/>
                <w:color w:val="0D0D0D" w:themeColor="text1" w:themeTint="F2"/>
                <w:sz w:val="20"/>
                <w:szCs w:val="20"/>
              </w:rPr>
              <w:t>Incremental QALY</w:t>
            </w:r>
          </w:p>
        </w:tc>
        <w:tc>
          <w:tcPr>
            <w:tcW w:w="894" w:type="pct"/>
            <w:tcBorders>
              <w:top w:val="single" w:sz="4" w:space="0" w:color="auto"/>
              <w:left w:val="single" w:sz="4" w:space="0" w:color="auto"/>
              <w:bottom w:val="single" w:sz="4" w:space="0" w:color="auto"/>
              <w:right w:val="single" w:sz="4" w:space="0" w:color="auto"/>
            </w:tcBorders>
            <w:hideMark/>
          </w:tcPr>
          <w:p w14:paraId="7B0F85CF" w14:textId="77777777" w:rsidR="00DA3E06" w:rsidRPr="00DA3E06" w:rsidRDefault="00DA3E06" w:rsidP="00DA3E06">
            <w:pPr>
              <w:keepNext/>
              <w:keepLines/>
              <w:jc w:val="center"/>
              <w:rPr>
                <w:rFonts w:ascii="Arial Narrow" w:eastAsia="MS Gothic" w:hAnsi="Arial Narrow"/>
                <w:b/>
                <w:color w:val="0D0D0D" w:themeColor="text1" w:themeTint="F2"/>
                <w:sz w:val="20"/>
                <w:szCs w:val="20"/>
              </w:rPr>
            </w:pPr>
            <w:r w:rsidRPr="00DA3E06">
              <w:rPr>
                <w:rFonts w:ascii="Arial Narrow" w:eastAsia="MS Gothic" w:hAnsi="Arial Narrow"/>
                <w:b/>
                <w:bCs/>
                <w:color w:val="0D0D0D" w:themeColor="text1" w:themeTint="F2"/>
                <w:sz w:val="20"/>
                <w:szCs w:val="20"/>
              </w:rPr>
              <w:t>ICER</w:t>
            </w:r>
          </w:p>
        </w:tc>
        <w:tc>
          <w:tcPr>
            <w:tcW w:w="893" w:type="pct"/>
            <w:tcBorders>
              <w:top w:val="single" w:sz="4" w:space="0" w:color="auto"/>
              <w:left w:val="single" w:sz="4" w:space="0" w:color="auto"/>
              <w:bottom w:val="single" w:sz="4" w:space="0" w:color="auto"/>
              <w:right w:val="single" w:sz="4" w:space="0" w:color="auto"/>
            </w:tcBorders>
            <w:hideMark/>
          </w:tcPr>
          <w:p w14:paraId="1D8D4253" w14:textId="77777777" w:rsidR="00DA3E06" w:rsidRPr="00DA3E06" w:rsidRDefault="00DA3E06" w:rsidP="00DA3E06">
            <w:pPr>
              <w:keepNext/>
              <w:keepLines/>
              <w:jc w:val="center"/>
              <w:rPr>
                <w:rFonts w:ascii="Arial Narrow" w:eastAsia="MS Gothic" w:hAnsi="Arial Narrow"/>
                <w:b/>
                <w:bCs/>
                <w:color w:val="0D0D0D" w:themeColor="text1" w:themeTint="F2"/>
                <w:sz w:val="20"/>
                <w:szCs w:val="20"/>
              </w:rPr>
            </w:pPr>
            <w:r w:rsidRPr="00DA3E06">
              <w:rPr>
                <w:rFonts w:ascii="Arial Narrow" w:eastAsia="MS Gothic" w:hAnsi="Arial Narrow"/>
                <w:b/>
                <w:bCs/>
                <w:color w:val="0D0D0D" w:themeColor="text1" w:themeTint="F2"/>
                <w:sz w:val="20"/>
                <w:szCs w:val="20"/>
              </w:rPr>
              <w:t>% change from resubmission base case</w:t>
            </w:r>
          </w:p>
        </w:tc>
      </w:tr>
      <w:tr w:rsidR="00DA3E06" w:rsidRPr="00DA3E06" w14:paraId="7D5DC59D" w14:textId="77777777">
        <w:tc>
          <w:tcPr>
            <w:tcW w:w="1844" w:type="pct"/>
            <w:tcBorders>
              <w:top w:val="single" w:sz="4" w:space="0" w:color="auto"/>
              <w:left w:val="single" w:sz="4" w:space="0" w:color="auto"/>
              <w:bottom w:val="single" w:sz="4" w:space="0" w:color="auto"/>
              <w:right w:val="single" w:sz="4" w:space="0" w:color="auto"/>
            </w:tcBorders>
            <w:hideMark/>
          </w:tcPr>
          <w:p w14:paraId="6ABC73EA" w14:textId="77777777" w:rsidR="00DA3E06" w:rsidRPr="00DA3E06" w:rsidRDefault="00DA3E06" w:rsidP="00DA3E06">
            <w:pPr>
              <w:keepNext/>
              <w:keepLines/>
              <w:jc w:val="left"/>
              <w:rPr>
                <w:rFonts w:ascii="Arial Narrow" w:eastAsia="MS Gothic" w:hAnsi="Arial Narrow"/>
                <w:b/>
                <w:bCs/>
                <w:color w:val="0D0D0D" w:themeColor="text1" w:themeTint="F2"/>
                <w:sz w:val="20"/>
                <w:szCs w:val="20"/>
              </w:rPr>
            </w:pPr>
            <w:r w:rsidRPr="00DA3E06">
              <w:rPr>
                <w:rFonts w:ascii="Arial Narrow" w:eastAsia="MS Gothic" w:hAnsi="Arial Narrow"/>
                <w:b/>
                <w:bCs/>
                <w:color w:val="0D0D0D" w:themeColor="text1" w:themeTint="F2"/>
                <w:sz w:val="20"/>
                <w:szCs w:val="20"/>
              </w:rPr>
              <w:t>Resubmission base case</w:t>
            </w:r>
          </w:p>
        </w:tc>
        <w:tc>
          <w:tcPr>
            <w:tcW w:w="692" w:type="pct"/>
            <w:gridSpan w:val="2"/>
            <w:tcBorders>
              <w:top w:val="single" w:sz="4" w:space="0" w:color="auto"/>
              <w:left w:val="single" w:sz="4" w:space="0" w:color="auto"/>
              <w:bottom w:val="single" w:sz="4" w:space="0" w:color="auto"/>
              <w:right w:val="single" w:sz="4" w:space="0" w:color="auto"/>
            </w:tcBorders>
            <w:hideMark/>
          </w:tcPr>
          <w:p w14:paraId="5AB7D729"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color w:val="0D0D0D" w:themeColor="text1" w:themeTint="F2"/>
                <w:sz w:val="20"/>
              </w:rPr>
              <w:t>$</w:t>
            </w:r>
            <w:r w:rsidRPr="00DA3E06">
              <w:rPr>
                <w:rFonts w:ascii="Arial Narrow" w:eastAsia="MS Gothic" w:hAnsi="Arial Narrow"/>
                <w:color w:val="0D0D0D"/>
                <w:spacing w:val="51"/>
                <w:sz w:val="20"/>
                <w:shd w:val="solid" w:color="000000" w:fill="000000"/>
                <w:fitText w:val="324" w:id="-509906169"/>
                <w14:textFill>
                  <w14:solidFill>
                    <w14:srgbClr w14:val="0D0D0D">
                      <w14:alpha w14:val="100000"/>
                    </w14:srgbClr>
                  </w14:solidFill>
                </w14:textFill>
              </w:rPr>
              <w:t>|||</w:t>
            </w:r>
            <w:r w:rsidRPr="00DA3E06">
              <w:rPr>
                <w:rFonts w:ascii="Arial Narrow" w:eastAsia="MS Gothic" w:hAnsi="Arial Narrow"/>
                <w:color w:val="0D0D0D"/>
                <w:spacing w:val="1"/>
                <w:sz w:val="20"/>
                <w:shd w:val="solid" w:color="000000" w:fill="000000"/>
                <w:fitText w:val="324" w:id="-509906169"/>
                <w14:textFill>
                  <w14:solidFill>
                    <w14:srgbClr w14:val="0D0D0D">
                      <w14:alpha w14:val="100000"/>
                    </w14:srgbClr>
                  </w14:solidFill>
                </w14:textFill>
              </w:rPr>
              <w:t>|</w:t>
            </w:r>
          </w:p>
        </w:tc>
        <w:tc>
          <w:tcPr>
            <w:tcW w:w="677" w:type="pct"/>
            <w:tcBorders>
              <w:top w:val="single" w:sz="4" w:space="0" w:color="auto"/>
              <w:left w:val="single" w:sz="4" w:space="0" w:color="auto"/>
              <w:bottom w:val="single" w:sz="4" w:space="0" w:color="auto"/>
              <w:right w:val="single" w:sz="4" w:space="0" w:color="auto"/>
            </w:tcBorders>
            <w:hideMark/>
          </w:tcPr>
          <w:p w14:paraId="59C62319" w14:textId="77777777" w:rsidR="00DA3E06" w:rsidRPr="00DA3E06" w:rsidRDefault="00DA3E06" w:rsidP="00DA3E06">
            <w:pPr>
              <w:keepNext/>
              <w:keepLines/>
              <w:jc w:val="center"/>
              <w:rPr>
                <w:rFonts w:ascii="Arial Narrow" w:eastAsia="MS Gothic" w:hAnsi="Arial Narrow"/>
                <w:color w:val="0D0D0D" w:themeColor="text1" w:themeTint="F2"/>
                <w:sz w:val="20"/>
              </w:rPr>
            </w:pPr>
            <w:r w:rsidRPr="00DA3E06">
              <w:rPr>
                <w:rFonts w:ascii="Arial Narrow" w:eastAsia="MS Gothic" w:hAnsi="Arial Narrow"/>
                <w:color w:val="0D0D0D" w:themeColor="text1" w:themeTint="F2"/>
                <w:sz w:val="20"/>
              </w:rPr>
              <w:t>0.91</w:t>
            </w:r>
          </w:p>
        </w:tc>
        <w:tc>
          <w:tcPr>
            <w:tcW w:w="894" w:type="pct"/>
            <w:tcBorders>
              <w:top w:val="single" w:sz="4" w:space="0" w:color="auto"/>
              <w:left w:val="single" w:sz="4" w:space="0" w:color="auto"/>
              <w:bottom w:val="single" w:sz="4" w:space="0" w:color="auto"/>
              <w:right w:val="single" w:sz="4" w:space="0" w:color="auto"/>
            </w:tcBorders>
            <w:hideMark/>
          </w:tcPr>
          <w:p w14:paraId="213D62CE" w14:textId="77777777" w:rsidR="00DA3E06" w:rsidRPr="00DA3E06" w:rsidRDefault="00DA3E06" w:rsidP="00DA3E06">
            <w:pPr>
              <w:keepNext/>
              <w:keepLines/>
              <w:jc w:val="center"/>
              <w:rPr>
                <w:rFonts w:ascii="Arial Narrow" w:eastAsia="MS Gothic" w:hAnsi="Arial Narrow"/>
                <w:bCs/>
                <w:color w:val="0D0D0D" w:themeColor="text1" w:themeTint="F2"/>
                <w:sz w:val="20"/>
                <w:szCs w:val="20"/>
                <w:vertAlign w:val="superscript"/>
              </w:rPr>
            </w:pPr>
            <w:r w:rsidRPr="00DA3E06">
              <w:rPr>
                <w:rFonts w:ascii="Arial Narrow" w:eastAsia="MS Gothic" w:hAnsi="Arial Narrow"/>
                <w:color w:val="0D0D0D" w:themeColor="text1" w:themeTint="F2"/>
                <w:sz w:val="20"/>
                <w:szCs w:val="20"/>
              </w:rPr>
              <w:t>$</w:t>
            </w:r>
            <w:r w:rsidRPr="00DA3E06">
              <w:rPr>
                <w:rFonts w:ascii="Arial Narrow" w:eastAsia="MS Gothic" w:hAnsi="Arial Narrow"/>
                <w:color w:val="0D0D0D"/>
                <w:spacing w:val="55"/>
                <w:sz w:val="20"/>
                <w:szCs w:val="20"/>
                <w:shd w:val="solid" w:color="000000" w:fill="000000"/>
                <w:fitText w:val="336" w:id="-509906168"/>
                <w14:textFill>
                  <w14:solidFill>
                    <w14:srgbClr w14:val="0D0D0D">
                      <w14:alpha w14:val="100000"/>
                    </w14:srgbClr>
                  </w14:solidFill>
                </w14:textFill>
              </w:rPr>
              <w:t>|||</w:t>
            </w:r>
            <w:r w:rsidRPr="00DA3E06">
              <w:rPr>
                <w:rFonts w:ascii="Arial Narrow" w:eastAsia="MS Gothic" w:hAnsi="Arial Narrow"/>
                <w:color w:val="0D0D0D"/>
                <w:spacing w:val="1"/>
                <w:sz w:val="20"/>
                <w:szCs w:val="20"/>
                <w:shd w:val="solid" w:color="000000" w:fill="000000"/>
                <w:fitText w:val="336" w:id="-509906168"/>
                <w14:textFill>
                  <w14:solidFill>
                    <w14:srgbClr w14:val="0D0D0D">
                      <w14:alpha w14:val="100000"/>
                    </w14:srgbClr>
                  </w14:solidFill>
                </w14:textFill>
              </w:rPr>
              <w:t>|</w:t>
            </w:r>
            <w:r w:rsidRPr="00DA3E06">
              <w:rPr>
                <w:rFonts w:ascii="Arial Narrow" w:eastAsia="MS Gothic" w:hAnsi="Arial Narrow"/>
                <w:color w:val="0D0D0D" w:themeColor="text1" w:themeTint="F2"/>
                <w:sz w:val="20"/>
                <w:szCs w:val="20"/>
                <w:vertAlign w:val="superscript"/>
              </w:rPr>
              <w:t>1</w:t>
            </w:r>
          </w:p>
        </w:tc>
        <w:tc>
          <w:tcPr>
            <w:tcW w:w="893" w:type="pct"/>
            <w:tcBorders>
              <w:top w:val="single" w:sz="4" w:space="0" w:color="auto"/>
              <w:left w:val="single" w:sz="4" w:space="0" w:color="auto"/>
              <w:bottom w:val="single" w:sz="4" w:space="0" w:color="auto"/>
              <w:right w:val="single" w:sz="4" w:space="0" w:color="auto"/>
            </w:tcBorders>
            <w:hideMark/>
          </w:tcPr>
          <w:p w14:paraId="4B0441D1" w14:textId="77777777" w:rsidR="00DA3E06" w:rsidRPr="00DA3E06" w:rsidRDefault="00DA3E06" w:rsidP="00DA3E06">
            <w:pPr>
              <w:keepNext/>
              <w:keepLines/>
              <w:jc w:val="center"/>
              <w:rPr>
                <w:rFonts w:ascii="Arial Narrow" w:eastAsia="MS Gothic" w:hAnsi="Arial Narrow"/>
                <w:color w:val="0D0D0D" w:themeColor="text1" w:themeTint="F2"/>
                <w:sz w:val="20"/>
                <w:szCs w:val="20"/>
              </w:rPr>
            </w:pPr>
            <w:r w:rsidRPr="00DA3E06">
              <w:rPr>
                <w:rFonts w:ascii="Arial Narrow" w:eastAsia="MS Gothic" w:hAnsi="Arial Narrow"/>
                <w:color w:val="0D0D0D" w:themeColor="text1" w:themeTint="F2"/>
                <w:sz w:val="20"/>
                <w:szCs w:val="20"/>
              </w:rPr>
              <w:t>-</w:t>
            </w:r>
          </w:p>
        </w:tc>
      </w:tr>
      <w:tr w:rsidR="00DA3E06" w:rsidRPr="00DA3E06" w14:paraId="085E835C" w14:textId="77777777">
        <w:tc>
          <w:tcPr>
            <w:tcW w:w="5000" w:type="pct"/>
            <w:gridSpan w:val="6"/>
            <w:tcBorders>
              <w:top w:val="single" w:sz="4" w:space="0" w:color="auto"/>
              <w:left w:val="single" w:sz="4" w:space="0" w:color="auto"/>
              <w:bottom w:val="single" w:sz="4" w:space="0" w:color="auto"/>
              <w:right w:val="single" w:sz="4" w:space="0" w:color="auto"/>
            </w:tcBorders>
            <w:hideMark/>
          </w:tcPr>
          <w:p w14:paraId="11731E4F" w14:textId="77777777" w:rsidR="00DA3E06" w:rsidRPr="00DA3E06" w:rsidRDefault="00DA3E06" w:rsidP="00DA3E06">
            <w:pPr>
              <w:keepNext/>
              <w:keepLines/>
              <w:jc w:val="left"/>
              <w:rPr>
                <w:rFonts w:ascii="Arial Narrow" w:eastAsia="MS Gothic" w:hAnsi="Arial Narrow" w:cs="Arial"/>
                <w:bCs/>
                <w:sz w:val="20"/>
                <w:szCs w:val="20"/>
              </w:rPr>
            </w:pPr>
            <w:r w:rsidRPr="00DA3E06">
              <w:rPr>
                <w:rFonts w:ascii="Arial Narrow" w:eastAsia="MS Gothic" w:hAnsi="Arial Narrow"/>
                <w:b/>
                <w:bCs/>
                <w:color w:val="0D0D0D" w:themeColor="text1" w:themeTint="F2"/>
                <w:sz w:val="20"/>
                <w:szCs w:val="20"/>
              </w:rPr>
              <w:t>Time horizon (base case 7 years)</w:t>
            </w:r>
          </w:p>
        </w:tc>
      </w:tr>
      <w:tr w:rsidR="00DA3E06" w:rsidRPr="00DA3E06" w14:paraId="7051B42E" w14:textId="77777777">
        <w:tc>
          <w:tcPr>
            <w:tcW w:w="1844" w:type="pct"/>
            <w:tcBorders>
              <w:top w:val="single" w:sz="4" w:space="0" w:color="auto"/>
              <w:left w:val="single" w:sz="4" w:space="0" w:color="auto"/>
              <w:bottom w:val="single" w:sz="4" w:space="0" w:color="auto"/>
              <w:right w:val="single" w:sz="4" w:space="0" w:color="auto"/>
            </w:tcBorders>
            <w:hideMark/>
          </w:tcPr>
          <w:p w14:paraId="2CE21EEA" w14:textId="77777777" w:rsidR="00DA3E06" w:rsidRPr="00DA3E06" w:rsidRDefault="00DA3E06" w:rsidP="00DA3E06">
            <w:pPr>
              <w:keepNext/>
              <w:keepLines/>
              <w:jc w:val="left"/>
              <w:rPr>
                <w:rFonts w:ascii="Arial Narrow" w:eastAsia="MS Gothic" w:hAnsi="Arial Narrow"/>
                <w:color w:val="0D0D0D" w:themeColor="text1" w:themeTint="F2"/>
                <w:sz w:val="20"/>
                <w:szCs w:val="20"/>
              </w:rPr>
            </w:pPr>
            <w:r w:rsidRPr="00DA3E06">
              <w:rPr>
                <w:rFonts w:ascii="Arial Narrow" w:eastAsia="MS Gothic" w:hAnsi="Arial Narrow"/>
                <w:color w:val="0D0D0D" w:themeColor="text1" w:themeTint="F2"/>
                <w:sz w:val="20"/>
                <w:szCs w:val="20"/>
              </w:rPr>
              <w:t>5 years #1</w:t>
            </w:r>
          </w:p>
        </w:tc>
        <w:tc>
          <w:tcPr>
            <w:tcW w:w="628" w:type="pct"/>
            <w:tcBorders>
              <w:top w:val="single" w:sz="4" w:space="0" w:color="auto"/>
              <w:left w:val="single" w:sz="4" w:space="0" w:color="auto"/>
              <w:bottom w:val="single" w:sz="4" w:space="0" w:color="auto"/>
              <w:right w:val="single" w:sz="4" w:space="0" w:color="auto"/>
            </w:tcBorders>
            <w:hideMark/>
          </w:tcPr>
          <w:p w14:paraId="79C8BD36"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w:t>
            </w:r>
            <w:r w:rsidRPr="00DA3E06">
              <w:rPr>
                <w:rFonts w:ascii="Arial Narrow" w:eastAsia="MS Gothic" w:hAnsi="Arial Narrow"/>
                <w:bCs/>
                <w:color w:val="000000"/>
                <w:spacing w:val="51"/>
                <w:sz w:val="20"/>
                <w:shd w:val="solid" w:color="000000" w:fill="000000"/>
                <w:fitText w:val="324" w:id="-509906167"/>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67"/>
                <w14:textFill>
                  <w14:solidFill>
                    <w14:srgbClr w14:val="000000">
                      <w14:alpha w14:val="100000"/>
                    </w14:srgbClr>
                  </w14:solidFill>
                </w14:textFill>
              </w:rPr>
              <w:t>|</w:t>
            </w:r>
          </w:p>
        </w:tc>
        <w:tc>
          <w:tcPr>
            <w:tcW w:w="741" w:type="pct"/>
            <w:gridSpan w:val="2"/>
            <w:tcBorders>
              <w:top w:val="single" w:sz="4" w:space="0" w:color="auto"/>
              <w:left w:val="single" w:sz="4" w:space="0" w:color="auto"/>
              <w:bottom w:val="single" w:sz="4" w:space="0" w:color="auto"/>
              <w:right w:val="single" w:sz="4" w:space="0" w:color="auto"/>
            </w:tcBorders>
            <w:hideMark/>
          </w:tcPr>
          <w:p w14:paraId="250FC864"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0.85</w:t>
            </w:r>
          </w:p>
        </w:tc>
        <w:tc>
          <w:tcPr>
            <w:tcW w:w="894" w:type="pct"/>
            <w:tcBorders>
              <w:top w:val="single" w:sz="4" w:space="0" w:color="auto"/>
              <w:left w:val="single" w:sz="4" w:space="0" w:color="auto"/>
              <w:bottom w:val="single" w:sz="4" w:space="0" w:color="auto"/>
              <w:right w:val="single" w:sz="4" w:space="0" w:color="auto"/>
            </w:tcBorders>
            <w:hideMark/>
          </w:tcPr>
          <w:p w14:paraId="69875CE6" w14:textId="77777777" w:rsidR="00DA3E06" w:rsidRPr="00DA3E06" w:rsidRDefault="00DA3E06" w:rsidP="00DA3E06">
            <w:pPr>
              <w:keepNext/>
              <w:keepLines/>
              <w:jc w:val="center"/>
              <w:rPr>
                <w:rFonts w:ascii="Arial Narrow" w:eastAsia="MS Gothic" w:hAnsi="Arial Narrow" w:cs="Arial"/>
                <w:bCs/>
                <w:sz w:val="20"/>
                <w:szCs w:val="20"/>
                <w:vertAlign w:val="superscript"/>
              </w:rPr>
            </w:pPr>
            <w:r w:rsidRPr="00DA3E06">
              <w:rPr>
                <w:rFonts w:ascii="Arial Narrow" w:eastAsia="MS Gothic" w:hAnsi="Arial Narrow" w:cs="Arial"/>
                <w:bCs/>
                <w:sz w:val="20"/>
                <w:szCs w:val="20"/>
              </w:rPr>
              <w:t>$</w:t>
            </w:r>
            <w:r w:rsidRPr="00DA3E06">
              <w:rPr>
                <w:rFonts w:ascii="Arial Narrow" w:eastAsia="MS Gothic" w:hAnsi="Arial Narrow" w:cs="Arial"/>
                <w:bCs/>
                <w:color w:val="000000"/>
                <w:spacing w:val="55"/>
                <w:sz w:val="20"/>
                <w:szCs w:val="20"/>
                <w:shd w:val="solid" w:color="000000" w:fill="000000"/>
                <w:fitText w:val="336" w:id="-509906166"/>
                <w14:textFill>
                  <w14:solidFill>
                    <w14:srgbClr w14:val="000000">
                      <w14:alpha w14:val="100000"/>
                    </w14:srgbClr>
                  </w14:solidFill>
                </w14:textFill>
              </w:rPr>
              <w:t>|||</w:t>
            </w:r>
            <w:r w:rsidRPr="00DA3E06">
              <w:rPr>
                <w:rFonts w:ascii="Arial Narrow" w:eastAsia="MS Gothic" w:hAnsi="Arial Narrow" w:cs="Arial"/>
                <w:bCs/>
                <w:color w:val="000000"/>
                <w:spacing w:val="1"/>
                <w:sz w:val="20"/>
                <w:szCs w:val="20"/>
                <w:shd w:val="solid" w:color="000000" w:fill="000000"/>
                <w:fitText w:val="336" w:id="-509906166"/>
                <w14:textFill>
                  <w14:solidFill>
                    <w14:srgbClr w14:val="000000">
                      <w14:alpha w14:val="100000"/>
                    </w14:srgbClr>
                  </w14:solidFill>
                </w14:textFill>
              </w:rPr>
              <w:t>|</w:t>
            </w:r>
            <w:r w:rsidRPr="00DA3E06">
              <w:rPr>
                <w:rFonts w:ascii="Arial Narrow" w:eastAsia="MS Gothic" w:hAnsi="Arial Narrow" w:cs="Arial"/>
                <w:bCs/>
                <w:sz w:val="20"/>
                <w:szCs w:val="20"/>
                <w:vertAlign w:val="superscript"/>
              </w:rPr>
              <w:t>1</w:t>
            </w:r>
          </w:p>
        </w:tc>
        <w:tc>
          <w:tcPr>
            <w:tcW w:w="893" w:type="pct"/>
            <w:tcBorders>
              <w:top w:val="single" w:sz="4" w:space="0" w:color="auto"/>
              <w:left w:val="single" w:sz="4" w:space="0" w:color="auto"/>
              <w:bottom w:val="single" w:sz="4" w:space="0" w:color="auto"/>
              <w:right w:val="single" w:sz="4" w:space="0" w:color="auto"/>
            </w:tcBorders>
            <w:hideMark/>
          </w:tcPr>
          <w:p w14:paraId="0903C2B8" w14:textId="77777777" w:rsidR="00DA3E06" w:rsidRPr="00DA3E06" w:rsidRDefault="00DA3E06" w:rsidP="00DA3E06">
            <w:pPr>
              <w:keepNext/>
              <w:keepLines/>
              <w:jc w:val="center"/>
              <w:rPr>
                <w:rFonts w:ascii="Arial Narrow" w:eastAsia="MS Gothic" w:hAnsi="Arial Narrow" w:cs="Arial"/>
                <w:bCs/>
                <w:sz w:val="20"/>
                <w:szCs w:val="20"/>
              </w:rPr>
            </w:pPr>
            <w:r w:rsidRPr="00DA3E06">
              <w:rPr>
                <w:rFonts w:ascii="Arial Narrow" w:eastAsia="MS Gothic" w:hAnsi="Arial Narrow" w:cs="Arial"/>
                <w:bCs/>
                <w:sz w:val="20"/>
                <w:szCs w:val="20"/>
              </w:rPr>
              <w:t>+</w:t>
            </w:r>
            <w:r w:rsidRPr="00DA3E06">
              <w:rPr>
                <w:rFonts w:ascii="Arial Narrow" w:eastAsia="MS Gothic" w:hAnsi="Arial Narrow" w:cs="Arial"/>
                <w:bCs/>
                <w:color w:val="000000"/>
                <w:spacing w:val="51"/>
                <w:sz w:val="20"/>
                <w:szCs w:val="20"/>
                <w:shd w:val="solid" w:color="000000" w:fill="000000"/>
                <w:fitText w:val="324" w:id="-509906165"/>
                <w14:textFill>
                  <w14:solidFill>
                    <w14:srgbClr w14:val="000000">
                      <w14:alpha w14:val="100000"/>
                    </w14:srgbClr>
                  </w14:solidFill>
                </w14:textFill>
              </w:rPr>
              <w:t>|||</w:t>
            </w:r>
            <w:r w:rsidRPr="00DA3E06">
              <w:rPr>
                <w:rFonts w:ascii="Arial Narrow" w:eastAsia="MS Gothic" w:hAnsi="Arial Narrow" w:cs="Arial"/>
                <w:bCs/>
                <w:color w:val="000000"/>
                <w:spacing w:val="1"/>
                <w:sz w:val="20"/>
                <w:szCs w:val="20"/>
                <w:shd w:val="solid" w:color="000000" w:fill="000000"/>
                <w:fitText w:val="324" w:id="-509906165"/>
                <w14:textFill>
                  <w14:solidFill>
                    <w14:srgbClr w14:val="000000">
                      <w14:alpha w14:val="100000"/>
                    </w14:srgbClr>
                  </w14:solidFill>
                </w14:textFill>
              </w:rPr>
              <w:t>|</w:t>
            </w:r>
            <w:r w:rsidRPr="00DA3E06">
              <w:rPr>
                <w:rFonts w:ascii="Arial Narrow" w:eastAsia="MS Gothic" w:hAnsi="Arial Narrow" w:cs="Arial"/>
                <w:bCs/>
                <w:sz w:val="20"/>
                <w:szCs w:val="20"/>
              </w:rPr>
              <w:t>%</w:t>
            </w:r>
          </w:p>
        </w:tc>
      </w:tr>
      <w:tr w:rsidR="00DA3E06" w:rsidRPr="00DA3E06" w14:paraId="2FA014F8" w14:textId="77777777">
        <w:tc>
          <w:tcPr>
            <w:tcW w:w="5000" w:type="pct"/>
            <w:gridSpan w:val="6"/>
            <w:tcBorders>
              <w:top w:val="single" w:sz="4" w:space="0" w:color="auto"/>
              <w:left w:val="single" w:sz="4" w:space="0" w:color="auto"/>
              <w:bottom w:val="single" w:sz="4" w:space="0" w:color="auto"/>
              <w:right w:val="single" w:sz="4" w:space="0" w:color="auto"/>
            </w:tcBorders>
            <w:hideMark/>
          </w:tcPr>
          <w:p w14:paraId="097A306A" w14:textId="77777777" w:rsidR="00DA3E06" w:rsidRPr="00DA3E06" w:rsidRDefault="00DA3E06" w:rsidP="00DA3E06">
            <w:pPr>
              <w:keepNext/>
              <w:keepLines/>
              <w:jc w:val="left"/>
              <w:rPr>
                <w:rFonts w:ascii="Arial Narrow" w:eastAsia="MS Gothic" w:hAnsi="Arial Narrow" w:cs="Arial"/>
                <w:bCs/>
                <w:sz w:val="20"/>
                <w:szCs w:val="20"/>
              </w:rPr>
            </w:pPr>
            <w:r w:rsidRPr="00DA3E06">
              <w:rPr>
                <w:rFonts w:ascii="Arial Narrow" w:eastAsia="MS Gothic" w:hAnsi="Arial Narrow"/>
                <w:b/>
                <w:bCs/>
                <w:color w:val="0D0D0D" w:themeColor="text1" w:themeTint="F2"/>
                <w:sz w:val="20"/>
                <w:szCs w:val="20"/>
              </w:rPr>
              <w:t>OS HR (base case 0.32)</w:t>
            </w:r>
          </w:p>
        </w:tc>
      </w:tr>
      <w:tr w:rsidR="00DA3E06" w:rsidRPr="00DA3E06" w14:paraId="6B727CE5" w14:textId="77777777">
        <w:tc>
          <w:tcPr>
            <w:tcW w:w="1844" w:type="pct"/>
            <w:tcBorders>
              <w:top w:val="single" w:sz="4" w:space="0" w:color="auto"/>
              <w:left w:val="single" w:sz="4" w:space="0" w:color="auto"/>
              <w:bottom w:val="single" w:sz="4" w:space="0" w:color="auto"/>
              <w:right w:val="single" w:sz="4" w:space="0" w:color="auto"/>
            </w:tcBorders>
            <w:hideMark/>
          </w:tcPr>
          <w:p w14:paraId="2B514C5B" w14:textId="77777777" w:rsidR="00DA3E06" w:rsidRPr="00DA3E06" w:rsidRDefault="00DA3E06" w:rsidP="00DA3E06">
            <w:pPr>
              <w:keepNext/>
              <w:keepLines/>
              <w:jc w:val="left"/>
              <w:rPr>
                <w:rFonts w:ascii="Arial Narrow" w:eastAsia="MS Gothic" w:hAnsi="Arial Narrow"/>
                <w:color w:val="0D0D0D" w:themeColor="text1" w:themeTint="F2"/>
                <w:sz w:val="20"/>
                <w:szCs w:val="20"/>
              </w:rPr>
            </w:pPr>
            <w:r w:rsidRPr="00DA3E06">
              <w:rPr>
                <w:rFonts w:ascii="Arial Narrow" w:eastAsia="MS Gothic" w:hAnsi="Arial Narrow"/>
                <w:color w:val="0D0D0D" w:themeColor="text1" w:themeTint="F2"/>
                <w:sz w:val="20"/>
                <w:szCs w:val="20"/>
              </w:rPr>
              <w:t>0.48 #2</w:t>
            </w:r>
          </w:p>
        </w:tc>
        <w:tc>
          <w:tcPr>
            <w:tcW w:w="628" w:type="pct"/>
            <w:tcBorders>
              <w:top w:val="single" w:sz="4" w:space="0" w:color="auto"/>
              <w:left w:val="single" w:sz="4" w:space="0" w:color="auto"/>
              <w:bottom w:val="single" w:sz="4" w:space="0" w:color="auto"/>
              <w:right w:val="single" w:sz="4" w:space="0" w:color="auto"/>
            </w:tcBorders>
            <w:hideMark/>
          </w:tcPr>
          <w:p w14:paraId="68EB05DD"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w:t>
            </w:r>
            <w:r w:rsidRPr="00DA3E06">
              <w:rPr>
                <w:rFonts w:ascii="Arial Narrow" w:eastAsia="MS Gothic" w:hAnsi="Arial Narrow"/>
                <w:bCs/>
                <w:color w:val="000000"/>
                <w:spacing w:val="51"/>
                <w:sz w:val="20"/>
                <w:shd w:val="solid" w:color="000000" w:fill="000000"/>
                <w:fitText w:val="324" w:id="-509906164"/>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64"/>
                <w14:textFill>
                  <w14:solidFill>
                    <w14:srgbClr w14:val="000000">
                      <w14:alpha w14:val="100000"/>
                    </w14:srgbClr>
                  </w14:solidFill>
                </w14:textFill>
              </w:rPr>
              <w:t>|</w:t>
            </w:r>
          </w:p>
        </w:tc>
        <w:tc>
          <w:tcPr>
            <w:tcW w:w="741" w:type="pct"/>
            <w:gridSpan w:val="2"/>
            <w:tcBorders>
              <w:top w:val="single" w:sz="4" w:space="0" w:color="auto"/>
              <w:left w:val="single" w:sz="4" w:space="0" w:color="auto"/>
              <w:bottom w:val="single" w:sz="4" w:space="0" w:color="auto"/>
              <w:right w:val="single" w:sz="4" w:space="0" w:color="auto"/>
            </w:tcBorders>
            <w:hideMark/>
          </w:tcPr>
          <w:p w14:paraId="1B4CE214"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0.59</w:t>
            </w:r>
          </w:p>
        </w:tc>
        <w:tc>
          <w:tcPr>
            <w:tcW w:w="894" w:type="pct"/>
            <w:tcBorders>
              <w:top w:val="single" w:sz="4" w:space="0" w:color="auto"/>
              <w:left w:val="single" w:sz="4" w:space="0" w:color="auto"/>
              <w:bottom w:val="single" w:sz="4" w:space="0" w:color="auto"/>
              <w:right w:val="single" w:sz="4" w:space="0" w:color="auto"/>
            </w:tcBorders>
            <w:hideMark/>
          </w:tcPr>
          <w:p w14:paraId="6F89D73B" w14:textId="77777777" w:rsidR="00DA3E06" w:rsidRPr="00DA3E06" w:rsidRDefault="00DA3E06" w:rsidP="00DA3E06">
            <w:pPr>
              <w:keepNext/>
              <w:keepLines/>
              <w:jc w:val="center"/>
              <w:rPr>
                <w:rFonts w:ascii="Arial Narrow" w:eastAsia="MS Gothic" w:hAnsi="Arial Narrow" w:cs="Arial"/>
                <w:bCs/>
                <w:sz w:val="20"/>
                <w:szCs w:val="20"/>
                <w:vertAlign w:val="superscript"/>
              </w:rPr>
            </w:pPr>
            <w:r w:rsidRPr="00DA3E06">
              <w:rPr>
                <w:rFonts w:ascii="Arial Narrow" w:eastAsia="MS Gothic" w:hAnsi="Arial Narrow" w:cs="Arial"/>
                <w:bCs/>
                <w:sz w:val="20"/>
                <w:szCs w:val="20"/>
              </w:rPr>
              <w:t>$</w:t>
            </w:r>
            <w:r w:rsidRPr="00DA3E06">
              <w:rPr>
                <w:rFonts w:ascii="Arial Narrow" w:eastAsia="MS Gothic" w:hAnsi="Arial Narrow" w:cs="Arial"/>
                <w:bCs/>
                <w:color w:val="000000"/>
                <w:spacing w:val="55"/>
                <w:sz w:val="20"/>
                <w:szCs w:val="20"/>
                <w:shd w:val="solid" w:color="000000" w:fill="000000"/>
                <w:fitText w:val="336" w:id="-509906163"/>
                <w14:textFill>
                  <w14:solidFill>
                    <w14:srgbClr w14:val="000000">
                      <w14:alpha w14:val="100000"/>
                    </w14:srgbClr>
                  </w14:solidFill>
                </w14:textFill>
              </w:rPr>
              <w:t>|||</w:t>
            </w:r>
            <w:r w:rsidRPr="00DA3E06">
              <w:rPr>
                <w:rFonts w:ascii="Arial Narrow" w:eastAsia="MS Gothic" w:hAnsi="Arial Narrow" w:cs="Arial"/>
                <w:bCs/>
                <w:color w:val="000000"/>
                <w:spacing w:val="1"/>
                <w:sz w:val="20"/>
                <w:szCs w:val="20"/>
                <w:shd w:val="solid" w:color="000000" w:fill="000000"/>
                <w:fitText w:val="336" w:id="-509906163"/>
                <w14:textFill>
                  <w14:solidFill>
                    <w14:srgbClr w14:val="000000">
                      <w14:alpha w14:val="100000"/>
                    </w14:srgbClr>
                  </w14:solidFill>
                </w14:textFill>
              </w:rPr>
              <w:t>|</w:t>
            </w:r>
            <w:r w:rsidRPr="00DA3E06">
              <w:rPr>
                <w:rFonts w:ascii="Arial Narrow" w:eastAsia="MS Gothic" w:hAnsi="Arial Narrow" w:cs="Arial"/>
                <w:bCs/>
                <w:sz w:val="20"/>
                <w:szCs w:val="20"/>
                <w:vertAlign w:val="superscript"/>
              </w:rPr>
              <w:t>2</w:t>
            </w:r>
          </w:p>
        </w:tc>
        <w:tc>
          <w:tcPr>
            <w:tcW w:w="893" w:type="pct"/>
            <w:tcBorders>
              <w:top w:val="single" w:sz="4" w:space="0" w:color="auto"/>
              <w:left w:val="single" w:sz="4" w:space="0" w:color="auto"/>
              <w:bottom w:val="single" w:sz="4" w:space="0" w:color="auto"/>
              <w:right w:val="single" w:sz="4" w:space="0" w:color="auto"/>
            </w:tcBorders>
            <w:hideMark/>
          </w:tcPr>
          <w:p w14:paraId="1612D498" w14:textId="77777777" w:rsidR="00DA3E06" w:rsidRPr="00DA3E06" w:rsidRDefault="00DA3E06" w:rsidP="00DA3E06">
            <w:pPr>
              <w:keepNext/>
              <w:keepLines/>
              <w:jc w:val="center"/>
              <w:rPr>
                <w:rFonts w:ascii="Arial Narrow" w:eastAsia="MS Gothic" w:hAnsi="Arial Narrow" w:cs="Arial"/>
                <w:bCs/>
                <w:sz w:val="20"/>
                <w:szCs w:val="20"/>
              </w:rPr>
            </w:pPr>
            <w:r w:rsidRPr="00DA3E06">
              <w:rPr>
                <w:rFonts w:ascii="Arial Narrow" w:eastAsia="MS Gothic" w:hAnsi="Arial Narrow" w:cs="Arial"/>
                <w:bCs/>
                <w:sz w:val="20"/>
                <w:szCs w:val="20"/>
              </w:rPr>
              <w:t>+</w:t>
            </w:r>
            <w:r w:rsidRPr="00DA3E06">
              <w:rPr>
                <w:rFonts w:ascii="Arial Narrow" w:eastAsia="MS Gothic" w:hAnsi="Arial Narrow" w:cs="Arial"/>
                <w:bCs/>
                <w:color w:val="000000"/>
                <w:spacing w:val="51"/>
                <w:sz w:val="20"/>
                <w:szCs w:val="20"/>
                <w:shd w:val="solid" w:color="000000" w:fill="000000"/>
                <w:fitText w:val="324" w:id="-509906162"/>
                <w14:textFill>
                  <w14:solidFill>
                    <w14:srgbClr w14:val="000000">
                      <w14:alpha w14:val="100000"/>
                    </w14:srgbClr>
                  </w14:solidFill>
                </w14:textFill>
              </w:rPr>
              <w:t>|||</w:t>
            </w:r>
            <w:r w:rsidRPr="00DA3E06">
              <w:rPr>
                <w:rFonts w:ascii="Arial Narrow" w:eastAsia="MS Gothic" w:hAnsi="Arial Narrow" w:cs="Arial"/>
                <w:bCs/>
                <w:color w:val="000000"/>
                <w:spacing w:val="1"/>
                <w:sz w:val="20"/>
                <w:szCs w:val="20"/>
                <w:shd w:val="solid" w:color="000000" w:fill="000000"/>
                <w:fitText w:val="324" w:id="-509906162"/>
                <w14:textFill>
                  <w14:solidFill>
                    <w14:srgbClr w14:val="000000">
                      <w14:alpha w14:val="100000"/>
                    </w14:srgbClr>
                  </w14:solidFill>
                </w14:textFill>
              </w:rPr>
              <w:t>|</w:t>
            </w:r>
            <w:r w:rsidRPr="00DA3E06">
              <w:rPr>
                <w:rFonts w:ascii="Arial Narrow" w:eastAsia="MS Gothic" w:hAnsi="Arial Narrow" w:cs="Arial"/>
                <w:bCs/>
                <w:sz w:val="20"/>
                <w:szCs w:val="20"/>
              </w:rPr>
              <w:t>%</w:t>
            </w:r>
          </w:p>
        </w:tc>
      </w:tr>
      <w:tr w:rsidR="00DA3E06" w:rsidRPr="00DA3E06" w14:paraId="64778367" w14:textId="77777777">
        <w:tc>
          <w:tcPr>
            <w:tcW w:w="5000" w:type="pct"/>
            <w:gridSpan w:val="6"/>
            <w:tcBorders>
              <w:top w:val="single" w:sz="4" w:space="0" w:color="auto"/>
              <w:left w:val="single" w:sz="4" w:space="0" w:color="auto"/>
              <w:bottom w:val="single" w:sz="4" w:space="0" w:color="auto"/>
              <w:right w:val="single" w:sz="4" w:space="0" w:color="auto"/>
            </w:tcBorders>
            <w:hideMark/>
          </w:tcPr>
          <w:p w14:paraId="222E4771" w14:textId="77777777" w:rsidR="00DA3E06" w:rsidRPr="00DA3E06" w:rsidRDefault="00DA3E06" w:rsidP="00DA3E06">
            <w:pPr>
              <w:keepNext/>
              <w:keepLines/>
              <w:jc w:val="left"/>
              <w:rPr>
                <w:rFonts w:ascii="Arial Narrow" w:eastAsia="MS Gothic" w:hAnsi="Arial Narrow" w:cs="Arial"/>
                <w:bCs/>
                <w:sz w:val="20"/>
                <w:szCs w:val="20"/>
              </w:rPr>
            </w:pPr>
            <w:r w:rsidRPr="00DA3E06">
              <w:rPr>
                <w:rFonts w:ascii="Arial Narrow" w:eastAsia="MS Gothic" w:hAnsi="Arial Narrow"/>
                <w:b/>
                <w:bCs/>
                <w:color w:val="0D0D0D" w:themeColor="text1" w:themeTint="F2"/>
                <w:sz w:val="20"/>
                <w:szCs w:val="20"/>
              </w:rPr>
              <w:t>Utilities (base case included disutility for FOLFOX administration)</w:t>
            </w:r>
          </w:p>
        </w:tc>
      </w:tr>
      <w:tr w:rsidR="00DA3E06" w:rsidRPr="00DA3E06" w14:paraId="634B7766" w14:textId="77777777">
        <w:tc>
          <w:tcPr>
            <w:tcW w:w="1844" w:type="pct"/>
            <w:tcBorders>
              <w:top w:val="single" w:sz="4" w:space="0" w:color="auto"/>
              <w:left w:val="single" w:sz="4" w:space="0" w:color="auto"/>
              <w:bottom w:val="single" w:sz="4" w:space="0" w:color="auto"/>
              <w:right w:val="single" w:sz="4" w:space="0" w:color="auto"/>
            </w:tcBorders>
            <w:hideMark/>
          </w:tcPr>
          <w:p w14:paraId="57F8FFF3" w14:textId="77777777" w:rsidR="00DA3E06" w:rsidRPr="00DA3E06" w:rsidRDefault="00DA3E06" w:rsidP="00DA3E06">
            <w:pPr>
              <w:keepNext/>
              <w:keepLines/>
              <w:jc w:val="left"/>
              <w:rPr>
                <w:rFonts w:ascii="Arial Narrow" w:eastAsia="MS Gothic" w:hAnsi="Arial Narrow"/>
                <w:i/>
                <w:iCs/>
                <w:color w:val="0D0D0D" w:themeColor="text1" w:themeTint="F2"/>
                <w:sz w:val="20"/>
                <w:szCs w:val="20"/>
              </w:rPr>
            </w:pPr>
            <w:r w:rsidRPr="00DA3E06">
              <w:rPr>
                <w:rFonts w:ascii="Arial Narrow" w:eastAsia="MS Gothic" w:hAnsi="Arial Narrow"/>
                <w:color w:val="0D0D0D" w:themeColor="text1" w:themeTint="F2"/>
                <w:sz w:val="20"/>
                <w:szCs w:val="20"/>
              </w:rPr>
              <w:t>Disutility</w:t>
            </w:r>
            <w:r w:rsidRPr="00DA3E06">
              <w:rPr>
                <w:rFonts w:ascii="Arial Narrow" w:eastAsia="MS Gothic" w:hAnsi="Arial Narrow"/>
                <w:i/>
                <w:iCs/>
                <w:color w:val="0D0D0D" w:themeColor="text1" w:themeTint="F2"/>
                <w:sz w:val="20"/>
                <w:szCs w:val="20"/>
              </w:rPr>
              <w:t xml:space="preserve"> removed #3</w:t>
            </w:r>
          </w:p>
        </w:tc>
        <w:tc>
          <w:tcPr>
            <w:tcW w:w="628" w:type="pct"/>
            <w:tcBorders>
              <w:top w:val="single" w:sz="4" w:space="0" w:color="auto"/>
              <w:left w:val="single" w:sz="4" w:space="0" w:color="auto"/>
              <w:bottom w:val="single" w:sz="4" w:space="0" w:color="auto"/>
              <w:right w:val="single" w:sz="4" w:space="0" w:color="auto"/>
            </w:tcBorders>
            <w:hideMark/>
          </w:tcPr>
          <w:p w14:paraId="067FFEF3" w14:textId="77777777" w:rsidR="00DA3E06" w:rsidRPr="00DA3E06" w:rsidRDefault="00DA3E06" w:rsidP="00DA3E06">
            <w:pPr>
              <w:keepNext/>
              <w:keepLines/>
              <w:jc w:val="center"/>
              <w:rPr>
                <w:rFonts w:ascii="Arial Narrow" w:eastAsia="MS Gothic" w:hAnsi="Arial Narrow"/>
                <w:bCs/>
                <w:i/>
                <w:iCs/>
                <w:sz w:val="20"/>
              </w:rPr>
            </w:pPr>
            <w:r w:rsidRPr="00DA3E06">
              <w:rPr>
                <w:rFonts w:ascii="Arial Narrow" w:eastAsia="MS Gothic" w:hAnsi="Arial Narrow"/>
                <w:bCs/>
                <w:i/>
                <w:iCs/>
                <w:sz w:val="20"/>
              </w:rPr>
              <w:t>$</w:t>
            </w:r>
            <w:r w:rsidRPr="00DA3E06">
              <w:rPr>
                <w:rFonts w:ascii="Arial Narrow" w:eastAsia="MS Gothic" w:hAnsi="Arial Narrow"/>
                <w:bCs/>
                <w:i/>
                <w:iCs/>
                <w:color w:val="000000"/>
                <w:spacing w:val="51"/>
                <w:sz w:val="20"/>
                <w:shd w:val="solid" w:color="000000" w:fill="000000"/>
                <w:fitText w:val="324" w:id="-509906161"/>
                <w14:textFill>
                  <w14:solidFill>
                    <w14:srgbClr w14:val="000000">
                      <w14:alpha w14:val="100000"/>
                    </w14:srgbClr>
                  </w14:solidFill>
                </w14:textFill>
              </w:rPr>
              <w:t>|||</w:t>
            </w:r>
            <w:r w:rsidRPr="00DA3E06">
              <w:rPr>
                <w:rFonts w:ascii="Arial Narrow" w:eastAsia="MS Gothic" w:hAnsi="Arial Narrow"/>
                <w:bCs/>
                <w:i/>
                <w:iCs/>
                <w:color w:val="000000"/>
                <w:spacing w:val="1"/>
                <w:sz w:val="20"/>
                <w:shd w:val="solid" w:color="000000" w:fill="000000"/>
                <w:fitText w:val="324" w:id="-509906161"/>
                <w14:textFill>
                  <w14:solidFill>
                    <w14:srgbClr w14:val="000000">
                      <w14:alpha w14:val="100000"/>
                    </w14:srgbClr>
                  </w14:solidFill>
                </w14:textFill>
              </w:rPr>
              <w:t>|</w:t>
            </w:r>
          </w:p>
        </w:tc>
        <w:tc>
          <w:tcPr>
            <w:tcW w:w="741" w:type="pct"/>
            <w:gridSpan w:val="2"/>
            <w:tcBorders>
              <w:top w:val="single" w:sz="4" w:space="0" w:color="auto"/>
              <w:left w:val="single" w:sz="4" w:space="0" w:color="auto"/>
              <w:bottom w:val="single" w:sz="4" w:space="0" w:color="auto"/>
              <w:right w:val="single" w:sz="4" w:space="0" w:color="auto"/>
            </w:tcBorders>
            <w:hideMark/>
          </w:tcPr>
          <w:p w14:paraId="77645271" w14:textId="77777777" w:rsidR="00DA3E06" w:rsidRPr="00DA3E06" w:rsidRDefault="00DA3E06" w:rsidP="00DA3E06">
            <w:pPr>
              <w:keepNext/>
              <w:keepLines/>
              <w:jc w:val="center"/>
              <w:rPr>
                <w:rFonts w:ascii="Arial Narrow" w:eastAsia="MS Gothic" w:hAnsi="Arial Narrow"/>
                <w:bCs/>
                <w:i/>
                <w:iCs/>
                <w:sz w:val="20"/>
              </w:rPr>
            </w:pPr>
            <w:r w:rsidRPr="00DA3E06">
              <w:rPr>
                <w:rFonts w:ascii="Arial Narrow" w:eastAsia="MS Gothic" w:hAnsi="Arial Narrow"/>
                <w:bCs/>
                <w:i/>
                <w:iCs/>
                <w:sz w:val="20"/>
              </w:rPr>
              <w:t>0.89</w:t>
            </w:r>
          </w:p>
        </w:tc>
        <w:tc>
          <w:tcPr>
            <w:tcW w:w="894" w:type="pct"/>
            <w:tcBorders>
              <w:top w:val="single" w:sz="4" w:space="0" w:color="auto"/>
              <w:left w:val="single" w:sz="4" w:space="0" w:color="auto"/>
              <w:bottom w:val="single" w:sz="4" w:space="0" w:color="auto"/>
              <w:right w:val="single" w:sz="4" w:space="0" w:color="auto"/>
            </w:tcBorders>
            <w:hideMark/>
          </w:tcPr>
          <w:p w14:paraId="5EBBB2A8" w14:textId="77777777" w:rsidR="00DA3E06" w:rsidRPr="00DA3E06" w:rsidRDefault="00DA3E06" w:rsidP="00DA3E06">
            <w:pPr>
              <w:keepNext/>
              <w:keepLines/>
              <w:jc w:val="center"/>
              <w:rPr>
                <w:rFonts w:ascii="Arial Narrow" w:eastAsia="MS Gothic" w:hAnsi="Arial Narrow" w:cs="Arial"/>
                <w:bCs/>
                <w:i/>
                <w:iCs/>
                <w:sz w:val="20"/>
                <w:szCs w:val="20"/>
                <w:vertAlign w:val="superscript"/>
              </w:rPr>
            </w:pPr>
            <w:r w:rsidRPr="00DA3E06">
              <w:rPr>
                <w:rFonts w:ascii="Arial Narrow" w:eastAsia="MS Gothic" w:hAnsi="Arial Narrow" w:cs="Arial"/>
                <w:bCs/>
                <w:i/>
                <w:iCs/>
                <w:sz w:val="20"/>
                <w:szCs w:val="20"/>
              </w:rPr>
              <w:t>$</w:t>
            </w:r>
            <w:r w:rsidRPr="00DA3E06">
              <w:rPr>
                <w:rFonts w:ascii="Arial Narrow" w:eastAsia="MS Gothic" w:hAnsi="Arial Narrow" w:cs="Arial"/>
                <w:bCs/>
                <w:i/>
                <w:iCs/>
                <w:color w:val="000000"/>
                <w:spacing w:val="55"/>
                <w:sz w:val="20"/>
                <w:szCs w:val="20"/>
                <w:shd w:val="solid" w:color="000000" w:fill="000000"/>
                <w:fitText w:val="336" w:id="-509906160"/>
                <w14:textFill>
                  <w14:solidFill>
                    <w14:srgbClr w14:val="000000">
                      <w14:alpha w14:val="100000"/>
                    </w14:srgbClr>
                  </w14:solidFill>
                </w14:textFill>
              </w:rPr>
              <w:t>|||</w:t>
            </w:r>
            <w:r w:rsidRPr="00DA3E06">
              <w:rPr>
                <w:rFonts w:ascii="Arial Narrow" w:eastAsia="MS Gothic" w:hAnsi="Arial Narrow" w:cs="Arial"/>
                <w:bCs/>
                <w:i/>
                <w:iCs/>
                <w:color w:val="000000"/>
                <w:spacing w:val="1"/>
                <w:sz w:val="20"/>
                <w:szCs w:val="20"/>
                <w:shd w:val="solid" w:color="000000" w:fill="000000"/>
                <w:fitText w:val="336" w:id="-509906160"/>
                <w14:textFill>
                  <w14:solidFill>
                    <w14:srgbClr w14:val="000000">
                      <w14:alpha w14:val="100000"/>
                    </w14:srgbClr>
                  </w14:solidFill>
                </w14:textFill>
              </w:rPr>
              <w:t>|</w:t>
            </w:r>
            <w:r w:rsidRPr="00DA3E06">
              <w:rPr>
                <w:rFonts w:ascii="Arial Narrow" w:eastAsia="MS Gothic" w:hAnsi="Arial Narrow" w:cs="Arial"/>
                <w:bCs/>
                <w:i/>
                <w:iCs/>
                <w:sz w:val="20"/>
                <w:szCs w:val="20"/>
                <w:vertAlign w:val="superscript"/>
              </w:rPr>
              <w:t>1</w:t>
            </w:r>
          </w:p>
        </w:tc>
        <w:tc>
          <w:tcPr>
            <w:tcW w:w="893" w:type="pct"/>
            <w:tcBorders>
              <w:top w:val="single" w:sz="4" w:space="0" w:color="auto"/>
              <w:left w:val="single" w:sz="4" w:space="0" w:color="auto"/>
              <w:bottom w:val="single" w:sz="4" w:space="0" w:color="auto"/>
              <w:right w:val="single" w:sz="4" w:space="0" w:color="auto"/>
            </w:tcBorders>
            <w:hideMark/>
          </w:tcPr>
          <w:p w14:paraId="61C1CFBD" w14:textId="77777777" w:rsidR="00DA3E06" w:rsidRPr="00DA3E06" w:rsidRDefault="00DA3E06" w:rsidP="00DA3E06">
            <w:pPr>
              <w:keepNext/>
              <w:keepLines/>
              <w:jc w:val="center"/>
              <w:rPr>
                <w:rFonts w:ascii="Arial Narrow" w:eastAsia="MS Gothic" w:hAnsi="Arial Narrow" w:cs="Arial"/>
                <w:bCs/>
                <w:i/>
                <w:iCs/>
                <w:sz w:val="20"/>
                <w:szCs w:val="20"/>
              </w:rPr>
            </w:pPr>
            <w:r w:rsidRPr="00DA3E06">
              <w:rPr>
                <w:rFonts w:ascii="Arial Narrow" w:eastAsia="MS Gothic" w:hAnsi="Arial Narrow" w:cs="Arial"/>
                <w:bCs/>
                <w:i/>
                <w:iCs/>
                <w:sz w:val="20"/>
                <w:szCs w:val="20"/>
              </w:rPr>
              <w:t>+</w:t>
            </w:r>
            <w:r w:rsidRPr="00DA3E06">
              <w:rPr>
                <w:rFonts w:ascii="Arial Narrow" w:eastAsia="MS Gothic" w:hAnsi="Arial Narrow" w:cs="Arial"/>
                <w:bCs/>
                <w:i/>
                <w:iCs/>
                <w:color w:val="000000"/>
                <w:spacing w:val="51"/>
                <w:sz w:val="20"/>
                <w:szCs w:val="20"/>
                <w:shd w:val="solid" w:color="000000" w:fill="000000"/>
                <w:fitText w:val="324" w:id="-509906176"/>
                <w14:textFill>
                  <w14:solidFill>
                    <w14:srgbClr w14:val="000000">
                      <w14:alpha w14:val="100000"/>
                    </w14:srgbClr>
                  </w14:solidFill>
                </w14:textFill>
              </w:rPr>
              <w:t>|||</w:t>
            </w:r>
            <w:r w:rsidRPr="00DA3E06">
              <w:rPr>
                <w:rFonts w:ascii="Arial Narrow" w:eastAsia="MS Gothic" w:hAnsi="Arial Narrow" w:cs="Arial"/>
                <w:bCs/>
                <w:i/>
                <w:iCs/>
                <w:color w:val="000000"/>
                <w:spacing w:val="1"/>
                <w:sz w:val="20"/>
                <w:szCs w:val="20"/>
                <w:shd w:val="solid" w:color="000000" w:fill="000000"/>
                <w:fitText w:val="324" w:id="-509906176"/>
                <w14:textFill>
                  <w14:solidFill>
                    <w14:srgbClr w14:val="000000">
                      <w14:alpha w14:val="100000"/>
                    </w14:srgbClr>
                  </w14:solidFill>
                </w14:textFill>
              </w:rPr>
              <w:t>|</w:t>
            </w:r>
            <w:r w:rsidRPr="00DA3E06">
              <w:rPr>
                <w:rFonts w:ascii="Arial Narrow" w:eastAsia="MS Gothic" w:hAnsi="Arial Narrow" w:cs="Arial"/>
                <w:bCs/>
                <w:i/>
                <w:iCs/>
                <w:sz w:val="20"/>
                <w:szCs w:val="20"/>
              </w:rPr>
              <w:t>%</w:t>
            </w:r>
          </w:p>
        </w:tc>
      </w:tr>
      <w:tr w:rsidR="00DA3E06" w:rsidRPr="00DA3E06" w14:paraId="18288CD6" w14:textId="77777777">
        <w:tc>
          <w:tcPr>
            <w:tcW w:w="1844" w:type="pct"/>
            <w:tcBorders>
              <w:top w:val="single" w:sz="4" w:space="0" w:color="auto"/>
              <w:left w:val="single" w:sz="4" w:space="0" w:color="auto"/>
              <w:bottom w:val="single" w:sz="4" w:space="0" w:color="auto"/>
              <w:right w:val="single" w:sz="4" w:space="0" w:color="auto"/>
            </w:tcBorders>
            <w:hideMark/>
          </w:tcPr>
          <w:p w14:paraId="613079EA" w14:textId="77777777" w:rsidR="00DA3E06" w:rsidRPr="00DA3E06" w:rsidRDefault="00DA3E06" w:rsidP="00DA3E06">
            <w:pPr>
              <w:keepNext/>
              <w:keepLines/>
              <w:jc w:val="left"/>
              <w:rPr>
                <w:rFonts w:ascii="Arial Narrow" w:eastAsia="MS Gothic" w:hAnsi="Arial Narrow"/>
                <w:b/>
                <w:bCs/>
                <w:color w:val="0D0D0D" w:themeColor="text1" w:themeTint="F2"/>
                <w:sz w:val="20"/>
                <w:szCs w:val="20"/>
              </w:rPr>
            </w:pPr>
            <w:r w:rsidRPr="00DA3E06">
              <w:rPr>
                <w:rFonts w:ascii="Arial Narrow" w:eastAsia="MS Gothic" w:hAnsi="Arial Narrow"/>
                <w:b/>
                <w:bCs/>
                <w:color w:val="0D0D0D" w:themeColor="text1" w:themeTint="F2"/>
                <w:sz w:val="20"/>
                <w:szCs w:val="20"/>
              </w:rPr>
              <w:t>Multivariate sensitivity analyses</w:t>
            </w:r>
          </w:p>
        </w:tc>
        <w:tc>
          <w:tcPr>
            <w:tcW w:w="628" w:type="pct"/>
            <w:tcBorders>
              <w:top w:val="single" w:sz="4" w:space="0" w:color="auto"/>
              <w:left w:val="single" w:sz="4" w:space="0" w:color="auto"/>
              <w:bottom w:val="single" w:sz="4" w:space="0" w:color="auto"/>
              <w:right w:val="single" w:sz="4" w:space="0" w:color="auto"/>
            </w:tcBorders>
          </w:tcPr>
          <w:p w14:paraId="1BC1FB7F" w14:textId="77777777" w:rsidR="00DA3E06" w:rsidRPr="00DA3E06" w:rsidRDefault="00DA3E06" w:rsidP="00DA3E06">
            <w:pPr>
              <w:keepNext/>
              <w:keepLines/>
              <w:jc w:val="center"/>
              <w:rPr>
                <w:rFonts w:ascii="Arial Narrow" w:eastAsia="MS Gothic" w:hAnsi="Arial Narrow"/>
                <w:bCs/>
                <w:sz w:val="20"/>
              </w:rPr>
            </w:pPr>
          </w:p>
        </w:tc>
        <w:tc>
          <w:tcPr>
            <w:tcW w:w="741" w:type="pct"/>
            <w:gridSpan w:val="2"/>
            <w:tcBorders>
              <w:top w:val="single" w:sz="4" w:space="0" w:color="auto"/>
              <w:left w:val="single" w:sz="4" w:space="0" w:color="auto"/>
              <w:bottom w:val="single" w:sz="4" w:space="0" w:color="auto"/>
              <w:right w:val="single" w:sz="4" w:space="0" w:color="auto"/>
            </w:tcBorders>
          </w:tcPr>
          <w:p w14:paraId="7BDA09C8" w14:textId="77777777" w:rsidR="00DA3E06" w:rsidRPr="00DA3E06" w:rsidRDefault="00DA3E06" w:rsidP="00DA3E06">
            <w:pPr>
              <w:keepNext/>
              <w:keepLines/>
              <w:jc w:val="center"/>
              <w:rPr>
                <w:rFonts w:ascii="Arial Narrow" w:eastAsia="MS Gothic" w:hAnsi="Arial Narrow"/>
                <w:bCs/>
                <w:sz w:val="20"/>
              </w:rPr>
            </w:pPr>
          </w:p>
        </w:tc>
        <w:tc>
          <w:tcPr>
            <w:tcW w:w="894" w:type="pct"/>
            <w:tcBorders>
              <w:top w:val="single" w:sz="4" w:space="0" w:color="auto"/>
              <w:left w:val="single" w:sz="4" w:space="0" w:color="auto"/>
              <w:bottom w:val="single" w:sz="4" w:space="0" w:color="auto"/>
              <w:right w:val="single" w:sz="4" w:space="0" w:color="auto"/>
            </w:tcBorders>
          </w:tcPr>
          <w:p w14:paraId="76B624E8" w14:textId="77777777" w:rsidR="00DA3E06" w:rsidRPr="00DA3E06" w:rsidRDefault="00DA3E06" w:rsidP="00DA3E06">
            <w:pPr>
              <w:keepNext/>
              <w:keepLines/>
              <w:jc w:val="center"/>
              <w:rPr>
                <w:rFonts w:ascii="Arial Narrow" w:eastAsia="MS Gothic" w:hAnsi="Arial Narrow" w:cs="Arial"/>
                <w:bCs/>
                <w:sz w:val="20"/>
                <w:szCs w:val="20"/>
              </w:rPr>
            </w:pPr>
          </w:p>
        </w:tc>
        <w:tc>
          <w:tcPr>
            <w:tcW w:w="893" w:type="pct"/>
            <w:tcBorders>
              <w:top w:val="single" w:sz="4" w:space="0" w:color="auto"/>
              <w:left w:val="single" w:sz="4" w:space="0" w:color="auto"/>
              <w:bottom w:val="single" w:sz="4" w:space="0" w:color="auto"/>
              <w:right w:val="single" w:sz="4" w:space="0" w:color="auto"/>
            </w:tcBorders>
          </w:tcPr>
          <w:p w14:paraId="44B2BDCF" w14:textId="77777777" w:rsidR="00DA3E06" w:rsidRPr="00DA3E06" w:rsidRDefault="00DA3E06" w:rsidP="00DA3E06">
            <w:pPr>
              <w:keepNext/>
              <w:keepLines/>
              <w:jc w:val="center"/>
              <w:rPr>
                <w:rFonts w:ascii="Arial Narrow" w:eastAsia="MS Gothic" w:hAnsi="Arial Narrow" w:cs="Arial"/>
                <w:bCs/>
                <w:sz w:val="20"/>
                <w:szCs w:val="20"/>
              </w:rPr>
            </w:pPr>
          </w:p>
        </w:tc>
      </w:tr>
      <w:tr w:rsidR="00DA3E06" w:rsidRPr="00DA3E06" w14:paraId="60B27B1B" w14:textId="77777777">
        <w:tc>
          <w:tcPr>
            <w:tcW w:w="1844" w:type="pct"/>
            <w:tcBorders>
              <w:top w:val="single" w:sz="4" w:space="0" w:color="auto"/>
              <w:left w:val="single" w:sz="4" w:space="0" w:color="auto"/>
              <w:bottom w:val="single" w:sz="4" w:space="0" w:color="auto"/>
              <w:right w:val="single" w:sz="4" w:space="0" w:color="auto"/>
            </w:tcBorders>
            <w:hideMark/>
          </w:tcPr>
          <w:p w14:paraId="66AFB107" w14:textId="77777777" w:rsidR="00DA3E06" w:rsidRPr="00DA3E06" w:rsidRDefault="00DA3E06" w:rsidP="00DA3E06">
            <w:pPr>
              <w:keepNext/>
              <w:keepLines/>
              <w:jc w:val="left"/>
              <w:rPr>
                <w:rFonts w:ascii="Arial Narrow" w:eastAsia="MS Gothic" w:hAnsi="Arial Narrow"/>
                <w:color w:val="0D0D0D" w:themeColor="text1" w:themeTint="F2"/>
                <w:sz w:val="20"/>
                <w:szCs w:val="20"/>
              </w:rPr>
            </w:pPr>
            <w:r w:rsidRPr="00DA3E06">
              <w:rPr>
                <w:rFonts w:ascii="Arial Narrow" w:eastAsia="MS Gothic" w:hAnsi="Arial Narrow"/>
                <w:color w:val="0D0D0D" w:themeColor="text1" w:themeTint="F2"/>
                <w:sz w:val="20"/>
                <w:szCs w:val="20"/>
              </w:rPr>
              <w:t xml:space="preserve">#1 + #2 </w:t>
            </w:r>
          </w:p>
        </w:tc>
        <w:tc>
          <w:tcPr>
            <w:tcW w:w="628" w:type="pct"/>
            <w:tcBorders>
              <w:top w:val="single" w:sz="4" w:space="0" w:color="auto"/>
              <w:left w:val="single" w:sz="4" w:space="0" w:color="auto"/>
              <w:bottom w:val="single" w:sz="4" w:space="0" w:color="auto"/>
              <w:right w:val="single" w:sz="4" w:space="0" w:color="auto"/>
            </w:tcBorders>
            <w:hideMark/>
          </w:tcPr>
          <w:p w14:paraId="7D2737B9"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w:t>
            </w:r>
            <w:r w:rsidRPr="00DA3E06">
              <w:rPr>
                <w:rFonts w:ascii="Arial Narrow" w:eastAsia="MS Gothic" w:hAnsi="Arial Narrow"/>
                <w:bCs/>
                <w:color w:val="000000"/>
                <w:spacing w:val="51"/>
                <w:sz w:val="20"/>
                <w:shd w:val="solid" w:color="000000" w:fill="000000"/>
                <w:fitText w:val="324" w:id="-509906175"/>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75"/>
                <w14:textFill>
                  <w14:solidFill>
                    <w14:srgbClr w14:val="000000">
                      <w14:alpha w14:val="100000"/>
                    </w14:srgbClr>
                  </w14:solidFill>
                </w14:textFill>
              </w:rPr>
              <w:t>|</w:t>
            </w:r>
          </w:p>
        </w:tc>
        <w:tc>
          <w:tcPr>
            <w:tcW w:w="741" w:type="pct"/>
            <w:gridSpan w:val="2"/>
            <w:tcBorders>
              <w:top w:val="single" w:sz="4" w:space="0" w:color="auto"/>
              <w:left w:val="single" w:sz="4" w:space="0" w:color="auto"/>
              <w:bottom w:val="single" w:sz="4" w:space="0" w:color="auto"/>
              <w:right w:val="single" w:sz="4" w:space="0" w:color="auto"/>
            </w:tcBorders>
            <w:hideMark/>
          </w:tcPr>
          <w:p w14:paraId="6491C0C5"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0.56</w:t>
            </w:r>
          </w:p>
        </w:tc>
        <w:tc>
          <w:tcPr>
            <w:tcW w:w="894" w:type="pct"/>
            <w:tcBorders>
              <w:top w:val="single" w:sz="4" w:space="0" w:color="auto"/>
              <w:left w:val="single" w:sz="4" w:space="0" w:color="auto"/>
              <w:bottom w:val="single" w:sz="4" w:space="0" w:color="auto"/>
              <w:right w:val="single" w:sz="4" w:space="0" w:color="auto"/>
            </w:tcBorders>
            <w:hideMark/>
          </w:tcPr>
          <w:p w14:paraId="469D3C7A" w14:textId="77777777" w:rsidR="00DA3E06" w:rsidRPr="00DA3E06" w:rsidRDefault="00DA3E06" w:rsidP="00DA3E06">
            <w:pPr>
              <w:keepNext/>
              <w:keepLines/>
              <w:jc w:val="center"/>
              <w:rPr>
                <w:rFonts w:ascii="Arial Narrow" w:eastAsia="MS Gothic" w:hAnsi="Arial Narrow" w:cs="Arial"/>
                <w:bCs/>
                <w:sz w:val="20"/>
                <w:szCs w:val="20"/>
                <w:vertAlign w:val="superscript"/>
              </w:rPr>
            </w:pPr>
            <w:r w:rsidRPr="00DA3E06">
              <w:rPr>
                <w:rFonts w:ascii="Arial Narrow" w:eastAsia="MS Gothic" w:hAnsi="Arial Narrow" w:cs="Arial"/>
                <w:bCs/>
                <w:sz w:val="20"/>
                <w:szCs w:val="20"/>
              </w:rPr>
              <w:t>$</w:t>
            </w:r>
            <w:r w:rsidRPr="00DA3E06">
              <w:rPr>
                <w:rFonts w:ascii="Arial Narrow" w:eastAsia="MS Gothic" w:hAnsi="Arial Narrow" w:cs="Arial"/>
                <w:bCs/>
                <w:color w:val="000000"/>
                <w:spacing w:val="55"/>
                <w:sz w:val="20"/>
                <w:szCs w:val="20"/>
                <w:shd w:val="solid" w:color="000000" w:fill="000000"/>
                <w:fitText w:val="336" w:id="-509906174"/>
                <w14:textFill>
                  <w14:solidFill>
                    <w14:srgbClr w14:val="000000">
                      <w14:alpha w14:val="100000"/>
                    </w14:srgbClr>
                  </w14:solidFill>
                </w14:textFill>
              </w:rPr>
              <w:t>|||</w:t>
            </w:r>
            <w:r w:rsidRPr="00DA3E06">
              <w:rPr>
                <w:rFonts w:ascii="Arial Narrow" w:eastAsia="MS Gothic" w:hAnsi="Arial Narrow" w:cs="Arial"/>
                <w:bCs/>
                <w:color w:val="000000"/>
                <w:spacing w:val="1"/>
                <w:sz w:val="20"/>
                <w:szCs w:val="20"/>
                <w:shd w:val="solid" w:color="000000" w:fill="000000"/>
                <w:fitText w:val="336" w:id="-509906174"/>
                <w14:textFill>
                  <w14:solidFill>
                    <w14:srgbClr w14:val="000000">
                      <w14:alpha w14:val="100000"/>
                    </w14:srgbClr>
                  </w14:solidFill>
                </w14:textFill>
              </w:rPr>
              <w:t>|</w:t>
            </w:r>
            <w:r w:rsidRPr="00DA3E06">
              <w:rPr>
                <w:rFonts w:ascii="Arial Narrow" w:eastAsia="MS Gothic" w:hAnsi="Arial Narrow" w:cs="Arial"/>
                <w:bCs/>
                <w:sz w:val="20"/>
                <w:szCs w:val="20"/>
                <w:vertAlign w:val="superscript"/>
              </w:rPr>
              <w:t>2</w:t>
            </w:r>
          </w:p>
        </w:tc>
        <w:tc>
          <w:tcPr>
            <w:tcW w:w="893" w:type="pct"/>
            <w:tcBorders>
              <w:top w:val="single" w:sz="4" w:space="0" w:color="auto"/>
              <w:left w:val="single" w:sz="4" w:space="0" w:color="auto"/>
              <w:bottom w:val="single" w:sz="4" w:space="0" w:color="auto"/>
              <w:right w:val="single" w:sz="4" w:space="0" w:color="auto"/>
            </w:tcBorders>
            <w:hideMark/>
          </w:tcPr>
          <w:p w14:paraId="1925F847" w14:textId="77777777" w:rsidR="00DA3E06" w:rsidRPr="00DA3E06" w:rsidRDefault="00DA3E06" w:rsidP="00DA3E06">
            <w:pPr>
              <w:keepNext/>
              <w:keepLines/>
              <w:jc w:val="center"/>
              <w:rPr>
                <w:rFonts w:ascii="Arial Narrow" w:eastAsia="MS Gothic" w:hAnsi="Arial Narrow" w:cs="Arial"/>
                <w:bCs/>
                <w:sz w:val="20"/>
                <w:szCs w:val="20"/>
              </w:rPr>
            </w:pPr>
            <w:r w:rsidRPr="00DA3E06">
              <w:rPr>
                <w:rFonts w:ascii="Arial Narrow" w:eastAsia="MS Gothic" w:hAnsi="Arial Narrow" w:cs="Arial"/>
                <w:bCs/>
                <w:sz w:val="20"/>
                <w:szCs w:val="20"/>
              </w:rPr>
              <w:t>+</w:t>
            </w:r>
            <w:r w:rsidRPr="00DA3E06">
              <w:rPr>
                <w:rFonts w:ascii="Arial Narrow" w:eastAsia="MS Gothic" w:hAnsi="Arial Narrow" w:cs="Arial"/>
                <w:bCs/>
                <w:color w:val="000000"/>
                <w:spacing w:val="51"/>
                <w:sz w:val="20"/>
                <w:szCs w:val="20"/>
                <w:shd w:val="solid" w:color="000000" w:fill="000000"/>
                <w:fitText w:val="324" w:id="-509906173"/>
                <w14:textFill>
                  <w14:solidFill>
                    <w14:srgbClr w14:val="000000">
                      <w14:alpha w14:val="100000"/>
                    </w14:srgbClr>
                  </w14:solidFill>
                </w14:textFill>
              </w:rPr>
              <w:t>|||</w:t>
            </w:r>
            <w:r w:rsidRPr="00DA3E06">
              <w:rPr>
                <w:rFonts w:ascii="Arial Narrow" w:eastAsia="MS Gothic" w:hAnsi="Arial Narrow" w:cs="Arial"/>
                <w:bCs/>
                <w:color w:val="000000"/>
                <w:spacing w:val="1"/>
                <w:sz w:val="20"/>
                <w:szCs w:val="20"/>
                <w:shd w:val="solid" w:color="000000" w:fill="000000"/>
                <w:fitText w:val="324" w:id="-509906173"/>
                <w14:textFill>
                  <w14:solidFill>
                    <w14:srgbClr w14:val="000000">
                      <w14:alpha w14:val="100000"/>
                    </w14:srgbClr>
                  </w14:solidFill>
                </w14:textFill>
              </w:rPr>
              <w:t>|</w:t>
            </w:r>
            <w:r w:rsidRPr="00DA3E06">
              <w:rPr>
                <w:rFonts w:ascii="Arial Narrow" w:eastAsia="MS Gothic" w:hAnsi="Arial Narrow" w:cs="Arial"/>
                <w:bCs/>
                <w:sz w:val="20"/>
                <w:szCs w:val="20"/>
              </w:rPr>
              <w:t>%</w:t>
            </w:r>
          </w:p>
        </w:tc>
      </w:tr>
      <w:tr w:rsidR="00DA3E06" w:rsidRPr="00DA3E06" w14:paraId="35DC6252" w14:textId="77777777">
        <w:tc>
          <w:tcPr>
            <w:tcW w:w="1844" w:type="pct"/>
            <w:tcBorders>
              <w:top w:val="single" w:sz="4" w:space="0" w:color="auto"/>
              <w:left w:val="single" w:sz="4" w:space="0" w:color="auto"/>
              <w:bottom w:val="single" w:sz="4" w:space="0" w:color="auto"/>
              <w:right w:val="single" w:sz="4" w:space="0" w:color="auto"/>
            </w:tcBorders>
            <w:hideMark/>
          </w:tcPr>
          <w:p w14:paraId="3A29A74E" w14:textId="77777777" w:rsidR="00DA3E06" w:rsidRPr="00DA3E06" w:rsidRDefault="00DA3E06" w:rsidP="00DA3E06">
            <w:pPr>
              <w:keepNext/>
              <w:keepLines/>
              <w:jc w:val="left"/>
              <w:rPr>
                <w:rFonts w:ascii="Arial Narrow" w:eastAsia="MS Gothic" w:hAnsi="Arial Narrow"/>
                <w:color w:val="0D0D0D" w:themeColor="text1" w:themeTint="F2"/>
                <w:sz w:val="20"/>
                <w:szCs w:val="20"/>
              </w:rPr>
            </w:pPr>
            <w:r w:rsidRPr="00DA3E06">
              <w:rPr>
                <w:rFonts w:ascii="Arial Narrow" w:eastAsia="MS Gothic" w:hAnsi="Arial Narrow"/>
                <w:color w:val="0D0D0D" w:themeColor="text1" w:themeTint="F2"/>
                <w:sz w:val="20"/>
                <w:szCs w:val="20"/>
              </w:rPr>
              <w:t>#1 + #2 + #3</w:t>
            </w:r>
          </w:p>
        </w:tc>
        <w:tc>
          <w:tcPr>
            <w:tcW w:w="628" w:type="pct"/>
            <w:tcBorders>
              <w:top w:val="single" w:sz="4" w:space="0" w:color="auto"/>
              <w:left w:val="single" w:sz="4" w:space="0" w:color="auto"/>
              <w:bottom w:val="single" w:sz="4" w:space="0" w:color="auto"/>
              <w:right w:val="single" w:sz="4" w:space="0" w:color="auto"/>
            </w:tcBorders>
            <w:hideMark/>
          </w:tcPr>
          <w:p w14:paraId="6B0435C6"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w:t>
            </w:r>
            <w:r w:rsidRPr="00DA3E06">
              <w:rPr>
                <w:rFonts w:ascii="Arial Narrow" w:eastAsia="MS Gothic" w:hAnsi="Arial Narrow"/>
                <w:bCs/>
                <w:color w:val="000000"/>
                <w:spacing w:val="51"/>
                <w:sz w:val="20"/>
                <w:shd w:val="solid" w:color="000000" w:fill="000000"/>
                <w:fitText w:val="324" w:id="-509906172"/>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72"/>
                <w14:textFill>
                  <w14:solidFill>
                    <w14:srgbClr w14:val="000000">
                      <w14:alpha w14:val="100000"/>
                    </w14:srgbClr>
                  </w14:solidFill>
                </w14:textFill>
              </w:rPr>
              <w:t>|</w:t>
            </w:r>
          </w:p>
        </w:tc>
        <w:tc>
          <w:tcPr>
            <w:tcW w:w="741" w:type="pct"/>
            <w:gridSpan w:val="2"/>
            <w:tcBorders>
              <w:top w:val="single" w:sz="4" w:space="0" w:color="auto"/>
              <w:left w:val="single" w:sz="4" w:space="0" w:color="auto"/>
              <w:bottom w:val="single" w:sz="4" w:space="0" w:color="auto"/>
              <w:right w:val="single" w:sz="4" w:space="0" w:color="auto"/>
            </w:tcBorders>
            <w:hideMark/>
          </w:tcPr>
          <w:p w14:paraId="1B8FCFFD"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0.54</w:t>
            </w:r>
          </w:p>
        </w:tc>
        <w:tc>
          <w:tcPr>
            <w:tcW w:w="894" w:type="pct"/>
            <w:tcBorders>
              <w:top w:val="single" w:sz="4" w:space="0" w:color="auto"/>
              <w:left w:val="single" w:sz="4" w:space="0" w:color="auto"/>
              <w:bottom w:val="single" w:sz="4" w:space="0" w:color="auto"/>
              <w:right w:val="single" w:sz="4" w:space="0" w:color="auto"/>
            </w:tcBorders>
            <w:hideMark/>
          </w:tcPr>
          <w:p w14:paraId="772AD57A" w14:textId="77777777" w:rsidR="00DA3E06" w:rsidRPr="00DA3E06" w:rsidRDefault="00DA3E06" w:rsidP="00DA3E06">
            <w:pPr>
              <w:keepNext/>
              <w:keepLines/>
              <w:jc w:val="center"/>
              <w:rPr>
                <w:rFonts w:ascii="Arial Narrow" w:eastAsia="MS Gothic" w:hAnsi="Arial Narrow" w:cs="Arial"/>
                <w:bCs/>
                <w:sz w:val="20"/>
                <w:szCs w:val="20"/>
                <w:vertAlign w:val="superscript"/>
              </w:rPr>
            </w:pPr>
            <w:r w:rsidRPr="00DA3E06">
              <w:rPr>
                <w:rFonts w:ascii="Arial Narrow" w:eastAsia="MS Gothic" w:hAnsi="Arial Narrow" w:cs="Arial"/>
                <w:bCs/>
                <w:sz w:val="20"/>
                <w:szCs w:val="20"/>
              </w:rPr>
              <w:t>$</w:t>
            </w:r>
            <w:r w:rsidRPr="00DA3E06">
              <w:rPr>
                <w:rFonts w:ascii="Arial Narrow" w:eastAsia="MS Gothic" w:hAnsi="Arial Narrow" w:cs="Arial"/>
                <w:bCs/>
                <w:color w:val="000000"/>
                <w:spacing w:val="55"/>
                <w:sz w:val="20"/>
                <w:szCs w:val="20"/>
                <w:shd w:val="solid" w:color="000000" w:fill="000000"/>
                <w:fitText w:val="336" w:id="-509906171"/>
                <w14:textFill>
                  <w14:solidFill>
                    <w14:srgbClr w14:val="000000">
                      <w14:alpha w14:val="100000"/>
                    </w14:srgbClr>
                  </w14:solidFill>
                </w14:textFill>
              </w:rPr>
              <w:t>|||</w:t>
            </w:r>
            <w:r w:rsidRPr="00DA3E06">
              <w:rPr>
                <w:rFonts w:ascii="Arial Narrow" w:eastAsia="MS Gothic" w:hAnsi="Arial Narrow" w:cs="Arial"/>
                <w:bCs/>
                <w:color w:val="000000"/>
                <w:spacing w:val="1"/>
                <w:sz w:val="20"/>
                <w:szCs w:val="20"/>
                <w:shd w:val="solid" w:color="000000" w:fill="000000"/>
                <w:fitText w:val="336" w:id="-509906171"/>
                <w14:textFill>
                  <w14:solidFill>
                    <w14:srgbClr w14:val="000000">
                      <w14:alpha w14:val="100000"/>
                    </w14:srgbClr>
                  </w14:solidFill>
                </w14:textFill>
              </w:rPr>
              <w:t>|</w:t>
            </w:r>
            <w:r w:rsidRPr="00DA3E06">
              <w:rPr>
                <w:rFonts w:ascii="Arial Narrow" w:eastAsia="MS Gothic" w:hAnsi="Arial Narrow" w:cs="Arial"/>
                <w:bCs/>
                <w:sz w:val="20"/>
                <w:szCs w:val="20"/>
                <w:vertAlign w:val="superscript"/>
              </w:rPr>
              <w:t>2</w:t>
            </w:r>
          </w:p>
        </w:tc>
        <w:tc>
          <w:tcPr>
            <w:tcW w:w="893" w:type="pct"/>
            <w:tcBorders>
              <w:top w:val="single" w:sz="4" w:space="0" w:color="auto"/>
              <w:left w:val="single" w:sz="4" w:space="0" w:color="auto"/>
              <w:bottom w:val="single" w:sz="4" w:space="0" w:color="auto"/>
              <w:right w:val="single" w:sz="4" w:space="0" w:color="auto"/>
            </w:tcBorders>
            <w:hideMark/>
          </w:tcPr>
          <w:p w14:paraId="414CAED8" w14:textId="77777777" w:rsidR="00DA3E06" w:rsidRPr="00DA3E06" w:rsidRDefault="00DA3E06" w:rsidP="00DA3E06">
            <w:pPr>
              <w:keepNext/>
              <w:keepLines/>
              <w:jc w:val="center"/>
              <w:rPr>
                <w:rFonts w:ascii="Arial Narrow" w:eastAsia="MS Gothic" w:hAnsi="Arial Narrow" w:cs="Arial"/>
                <w:bCs/>
                <w:sz w:val="20"/>
                <w:szCs w:val="20"/>
              </w:rPr>
            </w:pPr>
            <w:r w:rsidRPr="00DA3E06">
              <w:rPr>
                <w:rFonts w:ascii="Arial Narrow" w:eastAsia="MS Gothic" w:hAnsi="Arial Narrow" w:cs="Arial"/>
                <w:bCs/>
                <w:sz w:val="20"/>
                <w:szCs w:val="20"/>
              </w:rPr>
              <w:t>+</w:t>
            </w:r>
            <w:r w:rsidRPr="00DA3E06">
              <w:rPr>
                <w:rFonts w:ascii="Arial Narrow" w:eastAsia="MS Gothic" w:hAnsi="Arial Narrow" w:cs="Arial"/>
                <w:bCs/>
                <w:color w:val="000000"/>
                <w:spacing w:val="51"/>
                <w:sz w:val="20"/>
                <w:szCs w:val="20"/>
                <w:shd w:val="solid" w:color="000000" w:fill="000000"/>
                <w:fitText w:val="324" w:id="-509906170"/>
                <w14:textFill>
                  <w14:solidFill>
                    <w14:srgbClr w14:val="000000">
                      <w14:alpha w14:val="100000"/>
                    </w14:srgbClr>
                  </w14:solidFill>
                </w14:textFill>
              </w:rPr>
              <w:t>|||</w:t>
            </w:r>
            <w:r w:rsidRPr="00DA3E06">
              <w:rPr>
                <w:rFonts w:ascii="Arial Narrow" w:eastAsia="MS Gothic" w:hAnsi="Arial Narrow" w:cs="Arial"/>
                <w:bCs/>
                <w:color w:val="000000"/>
                <w:spacing w:val="1"/>
                <w:sz w:val="20"/>
                <w:szCs w:val="20"/>
                <w:shd w:val="solid" w:color="000000" w:fill="000000"/>
                <w:fitText w:val="324" w:id="-509906170"/>
                <w14:textFill>
                  <w14:solidFill>
                    <w14:srgbClr w14:val="000000">
                      <w14:alpha w14:val="100000"/>
                    </w14:srgbClr>
                  </w14:solidFill>
                </w14:textFill>
              </w:rPr>
              <w:t>|</w:t>
            </w:r>
            <w:r w:rsidRPr="00DA3E06">
              <w:rPr>
                <w:rFonts w:ascii="Arial Narrow" w:eastAsia="MS Gothic" w:hAnsi="Arial Narrow" w:cs="Arial"/>
                <w:bCs/>
                <w:sz w:val="20"/>
                <w:szCs w:val="20"/>
              </w:rPr>
              <w:t>%</w:t>
            </w:r>
          </w:p>
        </w:tc>
      </w:tr>
      <w:tr w:rsidR="00DA3E06" w:rsidRPr="00DA3E06" w14:paraId="5E0CE565" w14:textId="77777777">
        <w:tc>
          <w:tcPr>
            <w:tcW w:w="1844" w:type="pct"/>
            <w:tcBorders>
              <w:top w:val="single" w:sz="4" w:space="0" w:color="auto"/>
              <w:left w:val="single" w:sz="4" w:space="0" w:color="auto"/>
              <w:bottom w:val="single" w:sz="4" w:space="0" w:color="auto"/>
              <w:right w:val="single" w:sz="4" w:space="0" w:color="auto"/>
            </w:tcBorders>
            <w:hideMark/>
          </w:tcPr>
          <w:p w14:paraId="62B4B310" w14:textId="77777777" w:rsidR="00DA3E06" w:rsidRPr="00DA3E06" w:rsidRDefault="00DA3E06" w:rsidP="00DA3E06">
            <w:pPr>
              <w:keepNext/>
              <w:keepLines/>
              <w:jc w:val="left"/>
              <w:rPr>
                <w:rFonts w:ascii="Arial Narrow" w:eastAsia="MS Gothic" w:hAnsi="Arial Narrow"/>
                <w:color w:val="0D0D0D" w:themeColor="text1" w:themeTint="F2"/>
                <w:sz w:val="20"/>
                <w:szCs w:val="20"/>
              </w:rPr>
            </w:pPr>
            <w:r w:rsidRPr="00DA3E06">
              <w:rPr>
                <w:rFonts w:ascii="Arial Narrow" w:eastAsia="MS Gothic" w:hAnsi="Arial Narrow"/>
                <w:color w:val="0D0D0D" w:themeColor="text1" w:themeTint="F2"/>
                <w:sz w:val="20"/>
                <w:szCs w:val="20"/>
              </w:rPr>
              <w:t xml:space="preserve">#1 + #2 + #3 and Pre-PBAC price reduction </w:t>
            </w:r>
            <w:r w:rsidRPr="00DA3E06">
              <w:rPr>
                <w:rFonts w:ascii="Arial Narrow" w:eastAsia="MS Gothic" w:hAnsi="Arial Narrow"/>
                <w:color w:val="0D0D0D" w:themeColor="text1" w:themeTint="F2"/>
                <w:sz w:val="20"/>
                <w:szCs w:val="20"/>
                <w:vertAlign w:val="superscript"/>
              </w:rPr>
              <w:t>a</w:t>
            </w:r>
          </w:p>
        </w:tc>
        <w:tc>
          <w:tcPr>
            <w:tcW w:w="628" w:type="pct"/>
            <w:tcBorders>
              <w:top w:val="single" w:sz="4" w:space="0" w:color="auto"/>
              <w:left w:val="single" w:sz="4" w:space="0" w:color="auto"/>
              <w:bottom w:val="single" w:sz="4" w:space="0" w:color="auto"/>
              <w:right w:val="single" w:sz="4" w:space="0" w:color="auto"/>
            </w:tcBorders>
            <w:hideMark/>
          </w:tcPr>
          <w:p w14:paraId="49464D65"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w:t>
            </w:r>
            <w:r w:rsidRPr="00DA3E06">
              <w:rPr>
                <w:rFonts w:ascii="Arial Narrow" w:eastAsia="MS Gothic" w:hAnsi="Arial Narrow"/>
                <w:bCs/>
                <w:color w:val="000000"/>
                <w:spacing w:val="51"/>
                <w:sz w:val="20"/>
                <w:shd w:val="solid" w:color="000000" w:fill="000000"/>
                <w:fitText w:val="324" w:id="-509906169"/>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69"/>
                <w14:textFill>
                  <w14:solidFill>
                    <w14:srgbClr w14:val="000000">
                      <w14:alpha w14:val="100000"/>
                    </w14:srgbClr>
                  </w14:solidFill>
                </w14:textFill>
              </w:rPr>
              <w:t>|</w:t>
            </w:r>
          </w:p>
        </w:tc>
        <w:tc>
          <w:tcPr>
            <w:tcW w:w="741" w:type="pct"/>
            <w:gridSpan w:val="2"/>
            <w:tcBorders>
              <w:top w:val="single" w:sz="4" w:space="0" w:color="auto"/>
              <w:left w:val="single" w:sz="4" w:space="0" w:color="auto"/>
              <w:bottom w:val="single" w:sz="4" w:space="0" w:color="auto"/>
              <w:right w:val="single" w:sz="4" w:space="0" w:color="auto"/>
            </w:tcBorders>
            <w:hideMark/>
          </w:tcPr>
          <w:p w14:paraId="2913FAB4"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0.54</w:t>
            </w:r>
          </w:p>
        </w:tc>
        <w:tc>
          <w:tcPr>
            <w:tcW w:w="894" w:type="pct"/>
            <w:tcBorders>
              <w:top w:val="single" w:sz="4" w:space="0" w:color="auto"/>
              <w:left w:val="single" w:sz="4" w:space="0" w:color="auto"/>
              <w:bottom w:val="single" w:sz="4" w:space="0" w:color="auto"/>
              <w:right w:val="single" w:sz="4" w:space="0" w:color="auto"/>
            </w:tcBorders>
            <w:hideMark/>
          </w:tcPr>
          <w:p w14:paraId="7E858B27" w14:textId="77777777" w:rsidR="00DA3E06" w:rsidRPr="00DA3E06" w:rsidRDefault="00DA3E06" w:rsidP="00DA3E06">
            <w:pPr>
              <w:keepNext/>
              <w:keepLines/>
              <w:jc w:val="center"/>
              <w:rPr>
                <w:rFonts w:ascii="Arial Narrow" w:eastAsia="MS Gothic" w:hAnsi="Arial Narrow" w:cs="Arial"/>
                <w:bCs/>
                <w:sz w:val="20"/>
                <w:szCs w:val="20"/>
                <w:vertAlign w:val="superscript"/>
              </w:rPr>
            </w:pPr>
            <w:r w:rsidRPr="00DA3E06">
              <w:rPr>
                <w:rFonts w:ascii="Arial Narrow" w:eastAsia="MS Gothic" w:hAnsi="Arial Narrow" w:cs="Arial"/>
                <w:bCs/>
                <w:sz w:val="20"/>
                <w:szCs w:val="20"/>
              </w:rPr>
              <w:t>$</w:t>
            </w:r>
            <w:r w:rsidRPr="00DA3E06">
              <w:rPr>
                <w:rFonts w:ascii="Arial Narrow" w:eastAsia="MS Gothic" w:hAnsi="Arial Narrow" w:cs="Arial"/>
                <w:bCs/>
                <w:color w:val="000000"/>
                <w:spacing w:val="55"/>
                <w:sz w:val="20"/>
                <w:szCs w:val="20"/>
                <w:shd w:val="solid" w:color="000000" w:fill="000000"/>
                <w:fitText w:val="336" w:id="-509906168"/>
                <w14:textFill>
                  <w14:solidFill>
                    <w14:srgbClr w14:val="000000">
                      <w14:alpha w14:val="100000"/>
                    </w14:srgbClr>
                  </w14:solidFill>
                </w14:textFill>
              </w:rPr>
              <w:t>|||</w:t>
            </w:r>
            <w:r w:rsidRPr="00DA3E06">
              <w:rPr>
                <w:rFonts w:ascii="Arial Narrow" w:eastAsia="MS Gothic" w:hAnsi="Arial Narrow" w:cs="Arial"/>
                <w:bCs/>
                <w:color w:val="000000"/>
                <w:spacing w:val="1"/>
                <w:sz w:val="20"/>
                <w:szCs w:val="20"/>
                <w:shd w:val="solid" w:color="000000" w:fill="000000"/>
                <w:fitText w:val="336" w:id="-509906168"/>
                <w14:textFill>
                  <w14:solidFill>
                    <w14:srgbClr w14:val="000000">
                      <w14:alpha w14:val="100000"/>
                    </w14:srgbClr>
                  </w14:solidFill>
                </w14:textFill>
              </w:rPr>
              <w:t>|</w:t>
            </w:r>
            <w:r w:rsidRPr="00DA3E06">
              <w:rPr>
                <w:rFonts w:ascii="Arial Narrow" w:eastAsia="MS Gothic" w:hAnsi="Arial Narrow" w:cs="Arial"/>
                <w:bCs/>
                <w:sz w:val="20"/>
                <w:szCs w:val="20"/>
                <w:vertAlign w:val="superscript"/>
              </w:rPr>
              <w:t>2</w:t>
            </w:r>
          </w:p>
        </w:tc>
        <w:tc>
          <w:tcPr>
            <w:tcW w:w="893" w:type="pct"/>
            <w:tcBorders>
              <w:top w:val="single" w:sz="4" w:space="0" w:color="auto"/>
              <w:left w:val="single" w:sz="4" w:space="0" w:color="auto"/>
              <w:bottom w:val="single" w:sz="4" w:space="0" w:color="auto"/>
              <w:right w:val="single" w:sz="4" w:space="0" w:color="auto"/>
            </w:tcBorders>
            <w:hideMark/>
          </w:tcPr>
          <w:p w14:paraId="6438471C" w14:textId="77777777" w:rsidR="00DA3E06" w:rsidRPr="00DA3E06" w:rsidRDefault="00DA3E06" w:rsidP="00DA3E06">
            <w:pPr>
              <w:keepNext/>
              <w:keepLines/>
              <w:jc w:val="center"/>
              <w:rPr>
                <w:rFonts w:ascii="Arial Narrow" w:eastAsia="MS Gothic" w:hAnsi="Arial Narrow" w:cs="Arial"/>
                <w:bCs/>
                <w:sz w:val="20"/>
                <w:szCs w:val="20"/>
              </w:rPr>
            </w:pPr>
            <w:r w:rsidRPr="00DA3E06">
              <w:rPr>
                <w:rFonts w:ascii="Arial Narrow" w:eastAsia="MS Gothic" w:hAnsi="Arial Narrow" w:cs="Arial"/>
                <w:bCs/>
                <w:sz w:val="20"/>
                <w:szCs w:val="20"/>
              </w:rPr>
              <w:t>+</w:t>
            </w:r>
            <w:r w:rsidRPr="00DA3E06">
              <w:rPr>
                <w:rFonts w:ascii="Arial Narrow" w:eastAsia="MS Gothic" w:hAnsi="Arial Narrow" w:cs="Arial"/>
                <w:bCs/>
                <w:color w:val="000000"/>
                <w:spacing w:val="51"/>
                <w:sz w:val="20"/>
                <w:szCs w:val="20"/>
                <w:shd w:val="solid" w:color="000000" w:fill="000000"/>
                <w:fitText w:val="324" w:id="-509906167"/>
                <w14:textFill>
                  <w14:solidFill>
                    <w14:srgbClr w14:val="000000">
                      <w14:alpha w14:val="100000"/>
                    </w14:srgbClr>
                  </w14:solidFill>
                </w14:textFill>
              </w:rPr>
              <w:t>|||</w:t>
            </w:r>
            <w:r w:rsidRPr="00DA3E06">
              <w:rPr>
                <w:rFonts w:ascii="Arial Narrow" w:eastAsia="MS Gothic" w:hAnsi="Arial Narrow" w:cs="Arial"/>
                <w:bCs/>
                <w:color w:val="000000"/>
                <w:spacing w:val="1"/>
                <w:sz w:val="20"/>
                <w:szCs w:val="20"/>
                <w:shd w:val="solid" w:color="000000" w:fill="000000"/>
                <w:fitText w:val="324" w:id="-509906167"/>
                <w14:textFill>
                  <w14:solidFill>
                    <w14:srgbClr w14:val="000000">
                      <w14:alpha w14:val="100000"/>
                    </w14:srgbClr>
                  </w14:solidFill>
                </w14:textFill>
              </w:rPr>
              <w:t>|</w:t>
            </w:r>
            <w:r w:rsidRPr="00DA3E06">
              <w:rPr>
                <w:rFonts w:ascii="Arial Narrow" w:eastAsia="MS Gothic" w:hAnsi="Arial Narrow" w:cs="Arial"/>
                <w:bCs/>
                <w:sz w:val="20"/>
                <w:szCs w:val="20"/>
              </w:rPr>
              <w:t>%</w:t>
            </w:r>
          </w:p>
        </w:tc>
      </w:tr>
    </w:tbl>
    <w:p w14:paraId="2FC946EF" w14:textId="77777777" w:rsidR="00DA3E06" w:rsidRPr="00DA3E06" w:rsidRDefault="00DA3E06" w:rsidP="00DA3E06">
      <w:pPr>
        <w:keepNext/>
        <w:keepLines/>
        <w:rPr>
          <w:rFonts w:ascii="Arial Narrow" w:eastAsia="Calibri" w:hAnsi="Arial Narrow" w:cs="Arial"/>
          <w:snapToGrid w:val="0"/>
          <w:sz w:val="18"/>
          <w:szCs w:val="16"/>
        </w:rPr>
      </w:pPr>
      <w:bookmarkStart w:id="20" w:name="_Toc413139283"/>
      <w:bookmarkStart w:id="21" w:name="_Toc413139284"/>
      <w:r w:rsidRPr="00DA3E06">
        <w:rPr>
          <w:rFonts w:ascii="Arial Narrow" w:eastAsia="Calibri" w:hAnsi="Arial Narrow" w:cs="Arial"/>
          <w:snapToGrid w:val="0"/>
          <w:sz w:val="18"/>
          <w:szCs w:val="16"/>
        </w:rPr>
        <w:t xml:space="preserve">Source: economic model provided with the early re-entry resubmission </w:t>
      </w:r>
    </w:p>
    <w:p w14:paraId="57B3003C" w14:textId="77777777" w:rsidR="00DA3E06" w:rsidRPr="00DA3E06" w:rsidRDefault="00DA3E06" w:rsidP="00DA3E06">
      <w:pPr>
        <w:keepNext/>
        <w:keepLines/>
        <w:rPr>
          <w:rFonts w:ascii="Arial Narrow" w:eastAsia="Calibri" w:hAnsi="Arial Narrow" w:cs="Arial"/>
          <w:snapToGrid w:val="0"/>
          <w:sz w:val="18"/>
          <w:szCs w:val="16"/>
        </w:rPr>
      </w:pPr>
      <w:r w:rsidRPr="00DA3E06">
        <w:rPr>
          <w:rFonts w:ascii="Arial Narrow" w:eastAsia="Calibri" w:hAnsi="Arial Narrow" w:cs="Arial"/>
          <w:snapToGrid w:val="0"/>
          <w:sz w:val="18"/>
          <w:szCs w:val="16"/>
          <w:vertAlign w:val="superscript"/>
        </w:rPr>
        <w:t xml:space="preserve">a </w:t>
      </w:r>
      <w:r w:rsidRPr="00DA3E06">
        <w:rPr>
          <w:rFonts w:ascii="Arial Narrow" w:eastAsia="Calibri" w:hAnsi="Arial Narrow" w:cs="Arial"/>
          <w:snapToGrid w:val="0"/>
          <w:sz w:val="18"/>
          <w:szCs w:val="16"/>
        </w:rPr>
        <w:t>Pre-PBAC response reduced the proposed AEMP to $</w:t>
      </w:r>
      <w:r w:rsidRPr="00DD77BD">
        <w:rPr>
          <w:rFonts w:ascii="Arial Narrow" w:eastAsia="Calibri" w:hAnsi="Arial Narrow" w:cs="Arial"/>
          <w:snapToGrid w:val="0"/>
          <w:color w:val="000000"/>
          <w:spacing w:val="40"/>
          <w:sz w:val="18"/>
          <w:szCs w:val="16"/>
          <w:shd w:val="solid" w:color="000000" w:fill="000000"/>
          <w:fitText w:val="280" w:id="-509906166"/>
          <w14:textFill>
            <w14:solidFill>
              <w14:srgbClr w14:val="000000">
                <w14:alpha w14:val="100000"/>
              </w14:srgbClr>
            </w14:solidFill>
          </w14:textFill>
        </w:rPr>
        <w:t xml:space="preserve">|  </w:t>
      </w:r>
      <w:r w:rsidRPr="00DD77BD">
        <w:rPr>
          <w:rFonts w:ascii="Arial Narrow" w:eastAsia="Calibri" w:hAnsi="Arial Narrow" w:cs="Arial"/>
          <w:snapToGrid w:val="0"/>
          <w:color w:val="000000"/>
          <w:spacing w:val="2"/>
          <w:sz w:val="18"/>
          <w:szCs w:val="16"/>
          <w:shd w:val="solid" w:color="000000" w:fill="000000"/>
          <w:fitText w:val="280" w:id="-509906166"/>
          <w14:textFill>
            <w14:solidFill>
              <w14:srgbClr w14:val="000000">
                <w14:alpha w14:val="100000"/>
              </w14:srgbClr>
            </w14:solidFill>
          </w14:textFill>
        </w:rPr>
        <w:t>|</w:t>
      </w:r>
      <w:r w:rsidRPr="00DA3E06">
        <w:rPr>
          <w:rFonts w:ascii="Arial Narrow" w:eastAsia="Calibri" w:hAnsi="Arial Narrow" w:cs="Arial"/>
          <w:snapToGrid w:val="0"/>
          <w:sz w:val="18"/>
          <w:szCs w:val="16"/>
        </w:rPr>
        <w:t xml:space="preserve"> per pack.</w:t>
      </w:r>
    </w:p>
    <w:p w14:paraId="091CED98" w14:textId="77777777" w:rsidR="00DA3E06" w:rsidRPr="00DA3E06" w:rsidRDefault="00DA3E06" w:rsidP="00DA3E06">
      <w:pPr>
        <w:keepNext/>
        <w:keepLines/>
        <w:snapToGrid w:val="0"/>
        <w:spacing w:after="120"/>
        <w:contextualSpacing/>
        <w:rPr>
          <w:rFonts w:ascii="Arial Narrow" w:hAnsi="Arial Narrow" w:cs="Arial"/>
          <w:i/>
          <w:sz w:val="18"/>
          <w:szCs w:val="22"/>
        </w:rPr>
      </w:pPr>
      <w:r w:rsidRPr="00DA3E06">
        <w:rPr>
          <w:rFonts w:ascii="Arial Narrow" w:hAnsi="Arial Narrow" w:cs="Arial"/>
          <w:i/>
          <w:sz w:val="18"/>
          <w:szCs w:val="22"/>
        </w:rPr>
        <w:t xml:space="preserve">The redacted values correspond to the following ranges: </w:t>
      </w:r>
    </w:p>
    <w:p w14:paraId="35D393FF" w14:textId="77777777" w:rsidR="00DA3E06" w:rsidRPr="00DA3E06" w:rsidRDefault="00DA3E06" w:rsidP="00DA3E06">
      <w:pPr>
        <w:keepNext/>
        <w:keepLines/>
        <w:snapToGrid w:val="0"/>
        <w:spacing w:after="120"/>
        <w:contextualSpacing/>
        <w:rPr>
          <w:rFonts w:ascii="Arial Narrow" w:hAnsi="Arial Narrow" w:cs="Arial"/>
          <w:i/>
          <w:sz w:val="18"/>
          <w:szCs w:val="22"/>
        </w:rPr>
      </w:pPr>
      <w:r w:rsidRPr="00DA3E06">
        <w:rPr>
          <w:rFonts w:ascii="Arial Narrow" w:hAnsi="Arial Narrow" w:cs="Arial"/>
          <w:i/>
          <w:sz w:val="18"/>
          <w:szCs w:val="22"/>
          <w:vertAlign w:val="superscript"/>
        </w:rPr>
        <w:t>1</w:t>
      </w:r>
      <w:r w:rsidRPr="00DA3E06">
        <w:rPr>
          <w:rFonts w:ascii="Arial Narrow" w:hAnsi="Arial Narrow" w:cs="Arial"/>
          <w:i/>
          <w:sz w:val="18"/>
          <w:szCs w:val="22"/>
        </w:rPr>
        <w:t xml:space="preserve"> $75,000 to &lt; $95,000</w:t>
      </w:r>
    </w:p>
    <w:p w14:paraId="4F996EE3" w14:textId="2CBB1ED2" w:rsidR="00DA3E06" w:rsidRPr="005F4F77" w:rsidRDefault="00DA3E06" w:rsidP="005F4F77">
      <w:pPr>
        <w:keepNext/>
        <w:keepLines/>
        <w:snapToGrid w:val="0"/>
        <w:spacing w:after="120"/>
        <w:contextualSpacing/>
        <w:rPr>
          <w:rFonts w:ascii="Arial Narrow" w:hAnsi="Arial Narrow" w:cs="Arial"/>
          <w:i/>
          <w:sz w:val="18"/>
          <w:szCs w:val="22"/>
        </w:rPr>
      </w:pPr>
      <w:r w:rsidRPr="00DA3E06">
        <w:rPr>
          <w:rFonts w:ascii="Arial Narrow" w:hAnsi="Arial Narrow" w:cs="Arial"/>
          <w:i/>
          <w:sz w:val="18"/>
          <w:szCs w:val="22"/>
          <w:vertAlign w:val="superscript"/>
        </w:rPr>
        <w:t>2</w:t>
      </w:r>
      <w:r w:rsidRPr="00DA3E06">
        <w:rPr>
          <w:rFonts w:ascii="Arial Narrow" w:hAnsi="Arial Narrow" w:cs="Arial"/>
          <w:i/>
          <w:sz w:val="18"/>
          <w:szCs w:val="22"/>
        </w:rPr>
        <w:t xml:space="preserve"> $135,000 to &lt; $155,000</w:t>
      </w:r>
    </w:p>
    <w:p w14:paraId="4C3FDE7E" w14:textId="77777777" w:rsidR="00DA3E06" w:rsidRPr="005F4F77" w:rsidRDefault="00DA3E06" w:rsidP="00DA3E06">
      <w:pPr>
        <w:keepNext/>
        <w:spacing w:before="120" w:after="120"/>
        <w:jc w:val="left"/>
        <w:outlineLvl w:val="1"/>
        <w:rPr>
          <w:rFonts w:eastAsia="MS Gothic"/>
          <w:b/>
          <w:i/>
          <w:color w:val="000000" w:themeColor="text1"/>
          <w:spacing w:val="5"/>
          <w:kern w:val="28"/>
          <w:sz w:val="28"/>
          <w:szCs w:val="36"/>
          <w:lang w:eastAsia="en-US"/>
        </w:rPr>
      </w:pPr>
      <w:r w:rsidRPr="005F4F77">
        <w:rPr>
          <w:rFonts w:eastAsia="MS Gothic"/>
          <w:b/>
          <w:i/>
          <w:color w:val="000000" w:themeColor="text1"/>
          <w:spacing w:val="5"/>
          <w:kern w:val="28"/>
          <w:sz w:val="28"/>
          <w:szCs w:val="36"/>
          <w:lang w:eastAsia="en-US"/>
        </w:rPr>
        <w:t>Drug cost/patient/course</w:t>
      </w:r>
      <w:bookmarkEnd w:id="20"/>
    </w:p>
    <w:p w14:paraId="4947746B" w14:textId="3DD11012" w:rsidR="00DA3E06" w:rsidRPr="00DA3E06" w:rsidRDefault="00DA3E06" w:rsidP="00DA3E06">
      <w:pPr>
        <w:numPr>
          <w:ilvl w:val="1"/>
          <w:numId w:val="9"/>
        </w:numPr>
        <w:spacing w:after="120"/>
        <w:rPr>
          <w:rFonts w:eastAsia="Calibri" w:cs="Arial"/>
          <w:snapToGrid w:val="0"/>
          <w:szCs w:val="22"/>
        </w:rPr>
      </w:pPr>
      <w:bookmarkStart w:id="22" w:name="_Ref201733364"/>
      <w:r w:rsidRPr="00DA3E06">
        <w:rPr>
          <w:rFonts w:eastAsia="Calibri" w:cs="Arial"/>
          <w:snapToGrid w:val="0"/>
          <w:szCs w:val="22"/>
        </w:rPr>
        <w:t xml:space="preserve">The futibatinib drug cost per patient per course in the economic model and financial estimates is presented in </w:t>
      </w:r>
      <w:r w:rsidRPr="00DA3E06">
        <w:rPr>
          <w:rFonts w:eastAsia="Calibri" w:cs="Arial"/>
          <w:snapToGrid w:val="0"/>
          <w:szCs w:val="22"/>
        </w:rPr>
        <w:fldChar w:fldCharType="begin"/>
      </w:r>
      <w:r w:rsidRPr="00DA3E06">
        <w:rPr>
          <w:rFonts w:eastAsia="Calibri" w:cs="Arial"/>
          <w:snapToGrid w:val="0"/>
          <w:szCs w:val="22"/>
        </w:rPr>
        <w:instrText xml:space="preserve"> REF _Ref201659359 \h  \* MERGEFORMAT </w:instrText>
      </w:r>
      <w:r w:rsidRPr="00DA3E06">
        <w:rPr>
          <w:rFonts w:eastAsia="Calibri" w:cs="Arial"/>
          <w:snapToGrid w:val="0"/>
          <w:szCs w:val="22"/>
        </w:rPr>
      </w:r>
      <w:r w:rsidRPr="00DA3E06">
        <w:rPr>
          <w:rFonts w:eastAsia="Calibri" w:cs="Arial"/>
          <w:snapToGrid w:val="0"/>
          <w:szCs w:val="22"/>
        </w:rPr>
        <w:fldChar w:fldCharType="separate"/>
      </w:r>
      <w:r w:rsidR="00971CD5" w:rsidRPr="00971CD5">
        <w:rPr>
          <w:rFonts w:eastAsia="Calibri" w:cs="Arial"/>
          <w:snapToGrid w:val="0"/>
          <w:szCs w:val="22"/>
        </w:rPr>
        <w:t>Table 6</w:t>
      </w:r>
      <w:r w:rsidRPr="00DA3E06">
        <w:rPr>
          <w:rFonts w:eastAsia="Calibri" w:cs="Arial"/>
          <w:snapToGrid w:val="0"/>
          <w:szCs w:val="22"/>
        </w:rPr>
        <w:fldChar w:fldCharType="end"/>
      </w:r>
      <w:r w:rsidRPr="00DA3E06">
        <w:rPr>
          <w:rFonts w:eastAsia="Calibri" w:cs="Arial"/>
          <w:snapToGrid w:val="0"/>
          <w:szCs w:val="22"/>
        </w:rPr>
        <w:t>. The treatment duration in the resubmission’s financials were not updated to reflect the revised economic model.</w:t>
      </w:r>
      <w:bookmarkEnd w:id="22"/>
      <w:r w:rsidRPr="00DA3E06">
        <w:rPr>
          <w:rFonts w:eastAsia="Calibri" w:cs="Arial"/>
          <w:snapToGrid w:val="0"/>
          <w:szCs w:val="22"/>
        </w:rPr>
        <w:t xml:space="preserve"> The cost per patient per course in the economic model using the price proposed in the pre-PBAC response was $</w:t>
      </w:r>
      <w:r w:rsidRPr="00DD77BD">
        <w:rPr>
          <w:rFonts w:eastAsia="Calibri" w:cs="Arial"/>
          <w:snapToGrid w:val="0"/>
          <w:color w:val="000000"/>
          <w:w w:val="61"/>
          <w:szCs w:val="22"/>
          <w:shd w:val="solid" w:color="000000" w:fill="000000"/>
          <w:fitText w:val="472" w:id="-509906165"/>
          <w14:textFill>
            <w14:solidFill>
              <w14:srgbClr w14:val="000000">
                <w14:alpha w14:val="100000"/>
              </w14:srgbClr>
            </w14:solidFill>
          </w14:textFill>
        </w:rPr>
        <w:t>|||  ||</w:t>
      </w:r>
      <w:r w:rsidRPr="00DD77BD">
        <w:rPr>
          <w:rFonts w:eastAsia="Calibri" w:cs="Arial"/>
          <w:snapToGrid w:val="0"/>
          <w:color w:val="000000"/>
          <w:spacing w:val="2"/>
          <w:w w:val="61"/>
          <w:szCs w:val="22"/>
          <w:shd w:val="solid" w:color="000000" w:fill="000000"/>
          <w:fitText w:val="472" w:id="-509906165"/>
          <w14:textFill>
            <w14:solidFill>
              <w14:srgbClr w14:val="000000">
                <w14:alpha w14:val="100000"/>
              </w14:srgbClr>
            </w14:solidFill>
          </w14:textFill>
        </w:rPr>
        <w:t>|</w:t>
      </w:r>
      <w:r w:rsidRPr="00DA3E06">
        <w:rPr>
          <w:rFonts w:eastAsia="Calibri" w:cs="Arial"/>
          <w:snapToGrid w:val="0"/>
          <w:szCs w:val="22"/>
        </w:rPr>
        <w:t xml:space="preserve">. </w:t>
      </w:r>
    </w:p>
    <w:p w14:paraId="554A153F" w14:textId="77368286" w:rsidR="00DA3E06" w:rsidRPr="00DA3E06" w:rsidRDefault="00DA3E06" w:rsidP="00DA3E06">
      <w:pPr>
        <w:keepNext/>
        <w:keepLines/>
        <w:jc w:val="left"/>
        <w:rPr>
          <w:rFonts w:ascii="Arial Narrow" w:eastAsia="MS Gothic" w:hAnsi="Arial Narrow"/>
          <w:b/>
          <w:bCs/>
          <w:sz w:val="20"/>
        </w:rPr>
      </w:pPr>
      <w:bookmarkStart w:id="23" w:name="_Ref201659359"/>
      <w:bookmarkStart w:id="24" w:name="_Ref201659333"/>
      <w:r w:rsidRPr="00DA3E06">
        <w:rPr>
          <w:rFonts w:ascii="Arial Narrow" w:eastAsia="MS Gothic" w:hAnsi="Arial Narrow"/>
          <w:b/>
          <w:bCs/>
          <w:sz w:val="20"/>
        </w:rPr>
        <w:t xml:space="preserve">Table </w:t>
      </w:r>
      <w:r w:rsidRPr="00DA3E06">
        <w:rPr>
          <w:rFonts w:ascii="Arial Narrow" w:eastAsia="MS Gothic" w:hAnsi="Arial Narrow"/>
          <w:b/>
          <w:bCs/>
          <w:sz w:val="20"/>
        </w:rPr>
        <w:fldChar w:fldCharType="begin"/>
      </w:r>
      <w:r w:rsidRPr="00DA3E06">
        <w:rPr>
          <w:rFonts w:ascii="Arial Narrow" w:eastAsia="MS Gothic" w:hAnsi="Arial Narrow"/>
          <w:b/>
          <w:bCs/>
          <w:sz w:val="20"/>
        </w:rPr>
        <w:instrText xml:space="preserve"> SEQ Table \* ARABIC </w:instrText>
      </w:r>
      <w:r w:rsidRPr="00DA3E06">
        <w:rPr>
          <w:rFonts w:ascii="Arial Narrow" w:eastAsia="MS Gothic" w:hAnsi="Arial Narrow"/>
          <w:b/>
          <w:bCs/>
          <w:sz w:val="20"/>
        </w:rPr>
        <w:fldChar w:fldCharType="separate"/>
      </w:r>
      <w:r w:rsidR="00971CD5">
        <w:rPr>
          <w:rFonts w:ascii="Arial Narrow" w:eastAsia="MS Gothic" w:hAnsi="Arial Narrow"/>
          <w:b/>
          <w:bCs/>
          <w:noProof/>
          <w:sz w:val="20"/>
        </w:rPr>
        <w:t>6</w:t>
      </w:r>
      <w:r w:rsidRPr="00DA3E06">
        <w:rPr>
          <w:rFonts w:ascii="Arial Narrow" w:eastAsia="MS Gothic" w:hAnsi="Arial Narrow"/>
          <w:b/>
          <w:bCs/>
          <w:sz w:val="20"/>
        </w:rPr>
        <w:fldChar w:fldCharType="end"/>
      </w:r>
      <w:bookmarkEnd w:id="23"/>
      <w:r w:rsidRPr="00DA3E06">
        <w:rPr>
          <w:rFonts w:ascii="Arial Narrow" w:eastAsia="MS Gothic" w:hAnsi="Arial Narrow"/>
          <w:b/>
          <w:bCs/>
          <w:sz w:val="20"/>
        </w:rPr>
        <w:t>: Futibatinib cost per patient</w:t>
      </w:r>
      <w:bookmarkEnd w:id="24"/>
      <w:r w:rsidRPr="00DA3E06">
        <w:rPr>
          <w:rFonts w:ascii="Arial Narrow" w:eastAsia="MS Gothic" w:hAnsi="Arial Narrow"/>
          <w:b/>
          <w:bCs/>
          <w:sz w:val="20"/>
        </w:rPr>
        <w:t xml:space="preserve"> per course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Futibatinib cost per patient per course"/>
      </w:tblPr>
      <w:tblGrid>
        <w:gridCol w:w="4223"/>
        <w:gridCol w:w="2577"/>
        <w:gridCol w:w="2216"/>
      </w:tblGrid>
      <w:tr w:rsidR="00DA3E06" w:rsidRPr="00DA3E06" w14:paraId="65B4547D" w14:textId="77777777">
        <w:trPr>
          <w:cantSplit/>
          <w:tblHeader/>
          <w:jc w:val="center"/>
        </w:trPr>
        <w:tc>
          <w:tcPr>
            <w:tcW w:w="2342" w:type="pct"/>
            <w:vMerge w:val="restart"/>
            <w:tcBorders>
              <w:top w:val="single" w:sz="4" w:space="0" w:color="auto"/>
              <w:left w:val="single" w:sz="4" w:space="0" w:color="auto"/>
              <w:bottom w:val="single" w:sz="4" w:space="0" w:color="auto"/>
              <w:right w:val="single" w:sz="4" w:space="0" w:color="auto"/>
            </w:tcBorders>
            <w:vAlign w:val="center"/>
          </w:tcPr>
          <w:p w14:paraId="161DECB4" w14:textId="77777777" w:rsidR="00DA3E06" w:rsidRPr="00DA3E06" w:rsidRDefault="00DA3E06" w:rsidP="00DA3E06">
            <w:pPr>
              <w:keepNext/>
              <w:keepLines/>
              <w:jc w:val="center"/>
              <w:rPr>
                <w:rFonts w:ascii="Arial Narrow" w:eastAsia="MS Gothic" w:hAnsi="Arial Narrow"/>
                <w:b/>
                <w:sz w:val="20"/>
              </w:rPr>
            </w:pPr>
          </w:p>
        </w:tc>
        <w:tc>
          <w:tcPr>
            <w:tcW w:w="2658" w:type="pct"/>
            <w:gridSpan w:val="2"/>
            <w:tcBorders>
              <w:top w:val="single" w:sz="4" w:space="0" w:color="auto"/>
              <w:left w:val="single" w:sz="4" w:space="0" w:color="auto"/>
              <w:bottom w:val="single" w:sz="4" w:space="0" w:color="auto"/>
              <w:right w:val="single" w:sz="4" w:space="0" w:color="auto"/>
            </w:tcBorders>
            <w:vAlign w:val="center"/>
            <w:hideMark/>
          </w:tcPr>
          <w:p w14:paraId="150E6E90" w14:textId="77777777" w:rsidR="00DA3E06" w:rsidRPr="00DA3E06" w:rsidRDefault="00DA3E06" w:rsidP="00DA3E06">
            <w:pPr>
              <w:keepNext/>
              <w:keepLines/>
              <w:jc w:val="center"/>
              <w:rPr>
                <w:rFonts w:ascii="Arial Narrow" w:eastAsia="MS Gothic" w:hAnsi="Arial Narrow"/>
                <w:b/>
                <w:sz w:val="20"/>
              </w:rPr>
            </w:pPr>
            <w:r w:rsidRPr="00DA3E06">
              <w:rPr>
                <w:rFonts w:ascii="Arial Narrow" w:eastAsia="MS Gothic" w:hAnsi="Arial Narrow"/>
                <w:b/>
                <w:sz w:val="20"/>
              </w:rPr>
              <w:t>Futibatinib</w:t>
            </w:r>
          </w:p>
        </w:tc>
      </w:tr>
      <w:tr w:rsidR="00DA3E06" w:rsidRPr="00DA3E06" w14:paraId="13F5EF6C" w14:textId="77777777">
        <w:trPr>
          <w:cantSplit/>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A38DE" w14:textId="77777777" w:rsidR="00DA3E06" w:rsidRPr="00DA3E06" w:rsidRDefault="00DA3E06" w:rsidP="00DA3E06">
            <w:pPr>
              <w:jc w:val="left"/>
              <w:rPr>
                <w:rFonts w:ascii="Arial Narrow" w:eastAsia="MS Gothic" w:hAnsi="Arial Narrow"/>
                <w:b/>
                <w:sz w:val="20"/>
              </w:rPr>
            </w:pPr>
          </w:p>
        </w:tc>
        <w:tc>
          <w:tcPr>
            <w:tcW w:w="1429" w:type="pct"/>
            <w:tcBorders>
              <w:top w:val="single" w:sz="4" w:space="0" w:color="auto"/>
              <w:left w:val="single" w:sz="4" w:space="0" w:color="auto"/>
              <w:bottom w:val="single" w:sz="4" w:space="0" w:color="auto"/>
              <w:right w:val="single" w:sz="4" w:space="0" w:color="auto"/>
            </w:tcBorders>
            <w:vAlign w:val="center"/>
            <w:hideMark/>
          </w:tcPr>
          <w:p w14:paraId="53048758" w14:textId="77777777" w:rsidR="00DA3E06" w:rsidRPr="00DA3E06" w:rsidRDefault="00DA3E06" w:rsidP="00DA3E06">
            <w:pPr>
              <w:keepNext/>
              <w:keepLines/>
              <w:jc w:val="center"/>
              <w:rPr>
                <w:rFonts w:ascii="Arial Narrow" w:eastAsia="MS Gothic" w:hAnsi="Arial Narrow"/>
                <w:b/>
                <w:sz w:val="20"/>
              </w:rPr>
            </w:pPr>
            <w:r w:rsidRPr="00DA3E06">
              <w:rPr>
                <w:rFonts w:ascii="Arial Narrow" w:eastAsia="MS Gothic" w:hAnsi="Arial Narrow"/>
                <w:b/>
                <w:sz w:val="20"/>
              </w:rPr>
              <w:t>Economic model</w:t>
            </w:r>
          </w:p>
        </w:tc>
        <w:tc>
          <w:tcPr>
            <w:tcW w:w="1229" w:type="pct"/>
            <w:tcBorders>
              <w:top w:val="single" w:sz="4" w:space="0" w:color="auto"/>
              <w:left w:val="single" w:sz="4" w:space="0" w:color="auto"/>
              <w:bottom w:val="single" w:sz="4" w:space="0" w:color="auto"/>
              <w:right w:val="single" w:sz="4" w:space="0" w:color="auto"/>
            </w:tcBorders>
            <w:vAlign w:val="center"/>
            <w:hideMark/>
          </w:tcPr>
          <w:p w14:paraId="6FC92DFB" w14:textId="77777777" w:rsidR="00DA3E06" w:rsidRPr="00DA3E06" w:rsidRDefault="00DA3E06" w:rsidP="00DA3E06">
            <w:pPr>
              <w:keepNext/>
              <w:keepLines/>
              <w:jc w:val="center"/>
              <w:rPr>
                <w:rFonts w:ascii="Arial Narrow" w:eastAsia="MS Gothic" w:hAnsi="Arial Narrow"/>
                <w:b/>
                <w:sz w:val="20"/>
              </w:rPr>
            </w:pPr>
            <w:r w:rsidRPr="00DA3E06">
              <w:rPr>
                <w:rFonts w:ascii="Arial Narrow" w:eastAsia="MS Gothic" w:hAnsi="Arial Narrow"/>
                <w:b/>
                <w:sz w:val="20"/>
              </w:rPr>
              <w:t>Financial estimates</w:t>
            </w:r>
          </w:p>
        </w:tc>
      </w:tr>
      <w:tr w:rsidR="00DA3E06" w:rsidRPr="00DA3E06" w14:paraId="464EAD9C" w14:textId="77777777">
        <w:trPr>
          <w:cantSplit/>
          <w:jc w:val="center"/>
        </w:trPr>
        <w:tc>
          <w:tcPr>
            <w:tcW w:w="2342" w:type="pct"/>
            <w:tcBorders>
              <w:top w:val="single" w:sz="4" w:space="0" w:color="auto"/>
              <w:left w:val="single" w:sz="4" w:space="0" w:color="auto"/>
              <w:bottom w:val="single" w:sz="4" w:space="0" w:color="auto"/>
              <w:right w:val="single" w:sz="4" w:space="0" w:color="auto"/>
            </w:tcBorders>
            <w:vAlign w:val="center"/>
            <w:hideMark/>
          </w:tcPr>
          <w:p w14:paraId="5CEEB1D0" w14:textId="77777777" w:rsidR="00DA3E06" w:rsidRPr="00DA3E06" w:rsidRDefault="00DA3E06" w:rsidP="00DA3E06">
            <w:pPr>
              <w:keepNext/>
              <w:keepLines/>
              <w:jc w:val="left"/>
              <w:rPr>
                <w:rFonts w:ascii="Arial Narrow" w:eastAsia="MS Gothic" w:hAnsi="Arial Narrow"/>
                <w:bCs/>
                <w:sz w:val="20"/>
              </w:rPr>
            </w:pPr>
            <w:r w:rsidRPr="00DA3E06">
              <w:rPr>
                <w:rFonts w:ascii="Arial Narrow" w:eastAsia="MS Gothic" w:hAnsi="Arial Narrow"/>
                <w:bCs/>
                <w:sz w:val="20"/>
              </w:rPr>
              <w:t xml:space="preserve">DPMQ </w:t>
            </w:r>
          </w:p>
        </w:tc>
        <w:tc>
          <w:tcPr>
            <w:tcW w:w="1429" w:type="pct"/>
            <w:tcBorders>
              <w:top w:val="single" w:sz="4" w:space="0" w:color="auto"/>
              <w:left w:val="single" w:sz="4" w:space="0" w:color="auto"/>
              <w:bottom w:val="single" w:sz="4" w:space="0" w:color="auto"/>
              <w:right w:val="single" w:sz="4" w:space="0" w:color="auto"/>
            </w:tcBorders>
            <w:vAlign w:val="center"/>
            <w:hideMark/>
          </w:tcPr>
          <w:p w14:paraId="4C285F83"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w:t>
            </w:r>
            <w:r w:rsidRPr="00DA3E06">
              <w:rPr>
                <w:rFonts w:ascii="Arial Narrow" w:eastAsia="MS Gothic" w:hAnsi="Arial Narrow"/>
                <w:bCs/>
                <w:color w:val="000000"/>
                <w:spacing w:val="51"/>
                <w:sz w:val="20"/>
                <w:shd w:val="solid" w:color="000000" w:fill="000000"/>
                <w:fitText w:val="324" w:id="-509906164"/>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64"/>
                <w14:textFill>
                  <w14:solidFill>
                    <w14:srgbClr w14:val="000000">
                      <w14:alpha w14:val="100000"/>
                    </w14:srgbClr>
                  </w14:solidFill>
                </w14:textFill>
              </w:rPr>
              <w:t>|</w:t>
            </w:r>
          </w:p>
        </w:tc>
        <w:tc>
          <w:tcPr>
            <w:tcW w:w="1229" w:type="pct"/>
            <w:tcBorders>
              <w:top w:val="single" w:sz="4" w:space="0" w:color="auto"/>
              <w:left w:val="single" w:sz="4" w:space="0" w:color="auto"/>
              <w:bottom w:val="single" w:sz="4" w:space="0" w:color="auto"/>
              <w:right w:val="single" w:sz="4" w:space="0" w:color="auto"/>
            </w:tcBorders>
            <w:vAlign w:val="center"/>
            <w:hideMark/>
          </w:tcPr>
          <w:p w14:paraId="43E51475"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w:t>
            </w:r>
            <w:r w:rsidRPr="00DA3E06">
              <w:rPr>
                <w:rFonts w:ascii="Arial Narrow" w:eastAsia="MS Gothic" w:hAnsi="Arial Narrow"/>
                <w:bCs/>
                <w:color w:val="000000"/>
                <w:spacing w:val="51"/>
                <w:sz w:val="20"/>
                <w:shd w:val="solid" w:color="000000" w:fill="000000"/>
                <w:fitText w:val="324" w:id="-509906163"/>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63"/>
                <w14:textFill>
                  <w14:solidFill>
                    <w14:srgbClr w14:val="000000">
                      <w14:alpha w14:val="100000"/>
                    </w14:srgbClr>
                  </w14:solidFill>
                </w14:textFill>
              </w:rPr>
              <w:t>|</w:t>
            </w:r>
          </w:p>
        </w:tc>
      </w:tr>
      <w:tr w:rsidR="00DA3E06" w:rsidRPr="00DA3E06" w14:paraId="65691F55" w14:textId="77777777">
        <w:trPr>
          <w:cantSplit/>
          <w:jc w:val="center"/>
        </w:trPr>
        <w:tc>
          <w:tcPr>
            <w:tcW w:w="2342" w:type="pct"/>
            <w:tcBorders>
              <w:top w:val="single" w:sz="4" w:space="0" w:color="auto"/>
              <w:left w:val="single" w:sz="4" w:space="0" w:color="auto"/>
              <w:bottom w:val="single" w:sz="4" w:space="0" w:color="auto"/>
              <w:right w:val="single" w:sz="4" w:space="0" w:color="auto"/>
            </w:tcBorders>
            <w:vAlign w:val="center"/>
            <w:hideMark/>
          </w:tcPr>
          <w:p w14:paraId="53672318" w14:textId="77777777" w:rsidR="00DA3E06" w:rsidRPr="00DA3E06" w:rsidRDefault="00DA3E06" w:rsidP="00DA3E06">
            <w:pPr>
              <w:keepNext/>
              <w:keepLines/>
              <w:jc w:val="left"/>
              <w:rPr>
                <w:rFonts w:ascii="Arial Narrow" w:eastAsia="MS Gothic" w:hAnsi="Arial Narrow"/>
                <w:bCs/>
                <w:sz w:val="20"/>
              </w:rPr>
            </w:pPr>
            <w:r w:rsidRPr="00DA3E06">
              <w:rPr>
                <w:rFonts w:ascii="Arial Narrow" w:eastAsia="MS Gothic" w:hAnsi="Arial Narrow"/>
                <w:bCs/>
                <w:sz w:val="20"/>
              </w:rPr>
              <w:t>Relative dose intensity</w:t>
            </w:r>
          </w:p>
        </w:tc>
        <w:tc>
          <w:tcPr>
            <w:tcW w:w="1429" w:type="pct"/>
            <w:tcBorders>
              <w:top w:val="single" w:sz="4" w:space="0" w:color="auto"/>
              <w:left w:val="single" w:sz="4" w:space="0" w:color="auto"/>
              <w:bottom w:val="single" w:sz="4" w:space="0" w:color="auto"/>
              <w:right w:val="single" w:sz="4" w:space="0" w:color="auto"/>
            </w:tcBorders>
            <w:vAlign w:val="center"/>
            <w:hideMark/>
          </w:tcPr>
          <w:p w14:paraId="36BA3F5D"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83.26%</w:t>
            </w:r>
          </w:p>
        </w:tc>
        <w:tc>
          <w:tcPr>
            <w:tcW w:w="1229" w:type="pct"/>
            <w:tcBorders>
              <w:top w:val="single" w:sz="4" w:space="0" w:color="auto"/>
              <w:left w:val="single" w:sz="4" w:space="0" w:color="auto"/>
              <w:bottom w:val="single" w:sz="4" w:space="0" w:color="auto"/>
              <w:right w:val="single" w:sz="4" w:space="0" w:color="auto"/>
            </w:tcBorders>
            <w:vAlign w:val="center"/>
            <w:hideMark/>
          </w:tcPr>
          <w:p w14:paraId="221D9EFD"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83.26%</w:t>
            </w:r>
          </w:p>
        </w:tc>
      </w:tr>
      <w:tr w:rsidR="00DA3E06" w:rsidRPr="00DA3E06" w14:paraId="39A6B428" w14:textId="77777777">
        <w:trPr>
          <w:cantSplit/>
          <w:jc w:val="center"/>
        </w:trPr>
        <w:tc>
          <w:tcPr>
            <w:tcW w:w="2342" w:type="pct"/>
            <w:tcBorders>
              <w:top w:val="single" w:sz="4" w:space="0" w:color="auto"/>
              <w:left w:val="single" w:sz="4" w:space="0" w:color="auto"/>
              <w:bottom w:val="single" w:sz="4" w:space="0" w:color="auto"/>
              <w:right w:val="single" w:sz="4" w:space="0" w:color="auto"/>
            </w:tcBorders>
            <w:vAlign w:val="center"/>
            <w:hideMark/>
          </w:tcPr>
          <w:p w14:paraId="0CE3EE67" w14:textId="77777777" w:rsidR="00DA3E06" w:rsidRPr="00DA3E06" w:rsidRDefault="00DA3E06" w:rsidP="00DA3E06">
            <w:pPr>
              <w:keepNext/>
              <w:keepLines/>
              <w:jc w:val="left"/>
              <w:rPr>
                <w:rFonts w:ascii="Arial Narrow" w:eastAsia="MS Gothic" w:hAnsi="Arial Narrow"/>
                <w:bCs/>
                <w:sz w:val="20"/>
              </w:rPr>
            </w:pPr>
            <w:r w:rsidRPr="00DA3E06">
              <w:rPr>
                <w:rFonts w:ascii="Arial Narrow" w:eastAsia="MS Gothic" w:hAnsi="Arial Narrow"/>
                <w:bCs/>
                <w:sz w:val="20"/>
              </w:rPr>
              <w:t>Average weeks on treatment</w:t>
            </w:r>
          </w:p>
        </w:tc>
        <w:tc>
          <w:tcPr>
            <w:tcW w:w="1429" w:type="pct"/>
            <w:tcBorders>
              <w:top w:val="single" w:sz="4" w:space="0" w:color="auto"/>
              <w:left w:val="single" w:sz="4" w:space="0" w:color="auto"/>
              <w:bottom w:val="single" w:sz="4" w:space="0" w:color="auto"/>
              <w:right w:val="single" w:sz="4" w:space="0" w:color="auto"/>
            </w:tcBorders>
            <w:vAlign w:val="center"/>
            <w:hideMark/>
          </w:tcPr>
          <w:p w14:paraId="1F3D95D3"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55.99</w:t>
            </w:r>
          </w:p>
        </w:tc>
        <w:tc>
          <w:tcPr>
            <w:tcW w:w="1229" w:type="pct"/>
            <w:tcBorders>
              <w:top w:val="single" w:sz="4" w:space="0" w:color="auto"/>
              <w:left w:val="single" w:sz="4" w:space="0" w:color="auto"/>
              <w:bottom w:val="single" w:sz="4" w:space="0" w:color="auto"/>
              <w:right w:val="single" w:sz="4" w:space="0" w:color="auto"/>
            </w:tcBorders>
            <w:vAlign w:val="center"/>
            <w:hideMark/>
          </w:tcPr>
          <w:p w14:paraId="18A9802B"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57.78</w:t>
            </w:r>
          </w:p>
        </w:tc>
      </w:tr>
      <w:tr w:rsidR="00DA3E06" w:rsidRPr="00DA3E06" w14:paraId="79B74046" w14:textId="77777777">
        <w:trPr>
          <w:cantSplit/>
          <w:jc w:val="center"/>
        </w:trPr>
        <w:tc>
          <w:tcPr>
            <w:tcW w:w="2342" w:type="pct"/>
            <w:tcBorders>
              <w:top w:val="single" w:sz="4" w:space="0" w:color="auto"/>
              <w:left w:val="single" w:sz="4" w:space="0" w:color="auto"/>
              <w:bottom w:val="single" w:sz="4" w:space="0" w:color="auto"/>
              <w:right w:val="single" w:sz="4" w:space="0" w:color="auto"/>
            </w:tcBorders>
            <w:vAlign w:val="center"/>
            <w:hideMark/>
          </w:tcPr>
          <w:p w14:paraId="4B5A47C2" w14:textId="77777777" w:rsidR="00DA3E06" w:rsidRPr="00DA3E06" w:rsidRDefault="00DA3E06" w:rsidP="00DA3E06">
            <w:pPr>
              <w:keepNext/>
              <w:keepLines/>
              <w:jc w:val="left"/>
              <w:rPr>
                <w:rFonts w:ascii="Arial Narrow" w:eastAsia="MS Gothic" w:hAnsi="Arial Narrow"/>
                <w:bCs/>
                <w:sz w:val="20"/>
              </w:rPr>
            </w:pPr>
            <w:r w:rsidRPr="00DA3E06">
              <w:rPr>
                <w:rFonts w:ascii="Arial Narrow" w:eastAsia="MS Gothic" w:hAnsi="Arial Narrow"/>
                <w:bCs/>
                <w:sz w:val="20"/>
              </w:rPr>
              <w:t>Cost per course per patient</w:t>
            </w:r>
          </w:p>
        </w:tc>
        <w:tc>
          <w:tcPr>
            <w:tcW w:w="1429" w:type="pct"/>
            <w:tcBorders>
              <w:top w:val="single" w:sz="4" w:space="0" w:color="auto"/>
              <w:left w:val="single" w:sz="4" w:space="0" w:color="auto"/>
              <w:bottom w:val="single" w:sz="4" w:space="0" w:color="auto"/>
              <w:right w:val="single" w:sz="4" w:space="0" w:color="auto"/>
            </w:tcBorders>
            <w:vAlign w:val="center"/>
            <w:hideMark/>
          </w:tcPr>
          <w:p w14:paraId="617FC686"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w:t>
            </w:r>
            <w:r w:rsidRPr="00DA3E06">
              <w:rPr>
                <w:rFonts w:ascii="Arial Narrow" w:eastAsia="MS Gothic" w:hAnsi="Arial Narrow"/>
                <w:bCs/>
                <w:color w:val="000000"/>
                <w:spacing w:val="51"/>
                <w:sz w:val="20"/>
                <w:shd w:val="solid" w:color="000000" w:fill="000000"/>
                <w:fitText w:val="324" w:id="-509906162"/>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62"/>
                <w14:textFill>
                  <w14:solidFill>
                    <w14:srgbClr w14:val="000000">
                      <w14:alpha w14:val="100000"/>
                    </w14:srgbClr>
                  </w14:solidFill>
                </w14:textFill>
              </w:rPr>
              <w:t>|</w:t>
            </w:r>
          </w:p>
        </w:tc>
        <w:tc>
          <w:tcPr>
            <w:tcW w:w="1229" w:type="pct"/>
            <w:tcBorders>
              <w:top w:val="single" w:sz="4" w:space="0" w:color="auto"/>
              <w:left w:val="single" w:sz="4" w:space="0" w:color="auto"/>
              <w:bottom w:val="single" w:sz="4" w:space="0" w:color="auto"/>
              <w:right w:val="single" w:sz="4" w:space="0" w:color="auto"/>
            </w:tcBorders>
            <w:vAlign w:val="center"/>
            <w:hideMark/>
          </w:tcPr>
          <w:p w14:paraId="7DEFF5D7" w14:textId="77777777" w:rsidR="00DA3E06" w:rsidRPr="00DA3E06" w:rsidRDefault="00DA3E06" w:rsidP="00DA3E06">
            <w:pPr>
              <w:keepNext/>
              <w:keepLines/>
              <w:jc w:val="center"/>
              <w:rPr>
                <w:rFonts w:ascii="Arial Narrow" w:eastAsia="MS Gothic" w:hAnsi="Arial Narrow"/>
                <w:bCs/>
                <w:sz w:val="20"/>
              </w:rPr>
            </w:pPr>
            <w:r w:rsidRPr="00DA3E06">
              <w:rPr>
                <w:rFonts w:ascii="Arial Narrow" w:eastAsia="MS Gothic" w:hAnsi="Arial Narrow"/>
                <w:bCs/>
                <w:sz w:val="20"/>
              </w:rPr>
              <w:t>$</w:t>
            </w:r>
            <w:r w:rsidRPr="00DA3E06">
              <w:rPr>
                <w:rFonts w:ascii="Arial Narrow" w:eastAsia="MS Gothic" w:hAnsi="Arial Narrow"/>
                <w:bCs/>
                <w:color w:val="000000"/>
                <w:spacing w:val="51"/>
                <w:sz w:val="20"/>
                <w:shd w:val="solid" w:color="000000" w:fill="000000"/>
                <w:fitText w:val="324" w:id="-509906161"/>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61"/>
                <w14:textFill>
                  <w14:solidFill>
                    <w14:srgbClr w14:val="000000">
                      <w14:alpha w14:val="100000"/>
                    </w14:srgbClr>
                  </w14:solidFill>
                </w14:textFill>
              </w:rPr>
              <w:t>|</w:t>
            </w:r>
          </w:p>
        </w:tc>
      </w:tr>
    </w:tbl>
    <w:p w14:paraId="0629B159" w14:textId="77777777" w:rsidR="00DA3E06" w:rsidRPr="00DA3E06" w:rsidRDefault="00DA3E06" w:rsidP="00DA3E06">
      <w:pPr>
        <w:spacing w:after="120"/>
        <w:rPr>
          <w:rFonts w:ascii="Arial Narrow" w:eastAsia="Calibri" w:hAnsi="Arial Narrow" w:cs="Arial"/>
          <w:snapToGrid w:val="0"/>
          <w:sz w:val="20"/>
          <w:szCs w:val="18"/>
        </w:rPr>
      </w:pPr>
      <w:r w:rsidRPr="00DA3E06">
        <w:rPr>
          <w:rFonts w:ascii="Arial Narrow" w:eastAsia="Calibri" w:hAnsi="Arial Narrow" w:cs="Arial"/>
          <w:snapToGrid w:val="0"/>
          <w:sz w:val="20"/>
          <w:szCs w:val="18"/>
        </w:rPr>
        <w:t xml:space="preserve">DPMQ = dispensed price for maximum quantity </w:t>
      </w:r>
    </w:p>
    <w:p w14:paraId="088556D0" w14:textId="77777777"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t>The drug cost per patient per course in the previous submission was $</w:t>
      </w:r>
      <w:r w:rsidRPr="00DD77BD">
        <w:rPr>
          <w:rFonts w:eastAsia="Calibri" w:cs="Arial"/>
          <w:snapToGrid w:val="0"/>
          <w:color w:val="000000"/>
          <w:w w:val="61"/>
          <w:szCs w:val="22"/>
          <w:shd w:val="solid" w:color="000000" w:fill="000000"/>
          <w:fitText w:val="472" w:id="-509906160"/>
          <w14:textFill>
            <w14:solidFill>
              <w14:srgbClr w14:val="000000">
                <w14:alpha w14:val="100000"/>
              </w14:srgbClr>
            </w14:solidFill>
          </w14:textFill>
        </w:rPr>
        <w:t>|||  ||</w:t>
      </w:r>
      <w:r w:rsidRPr="00DD77BD">
        <w:rPr>
          <w:rFonts w:eastAsia="Calibri" w:cs="Arial"/>
          <w:snapToGrid w:val="0"/>
          <w:color w:val="000000"/>
          <w:spacing w:val="2"/>
          <w:w w:val="61"/>
          <w:szCs w:val="22"/>
          <w:shd w:val="solid" w:color="000000" w:fill="000000"/>
          <w:fitText w:val="472" w:id="-509906160"/>
          <w14:textFill>
            <w14:solidFill>
              <w14:srgbClr w14:val="000000">
                <w14:alpha w14:val="100000"/>
              </w14:srgbClr>
            </w14:solidFill>
          </w14:textFill>
        </w:rPr>
        <w:t>|</w:t>
      </w:r>
      <w:r w:rsidRPr="00DA3E06">
        <w:rPr>
          <w:rFonts w:eastAsia="Calibri" w:cs="Arial"/>
          <w:snapToGrid w:val="0"/>
          <w:szCs w:val="22"/>
        </w:rPr>
        <w:t xml:space="preserve"> in the economic model and $</w:t>
      </w:r>
      <w:r w:rsidRPr="00DD77BD">
        <w:rPr>
          <w:rFonts w:eastAsia="Calibri" w:cs="Arial"/>
          <w:snapToGrid w:val="0"/>
          <w:color w:val="000000"/>
          <w:w w:val="59"/>
          <w:szCs w:val="22"/>
          <w:shd w:val="solid" w:color="000000" w:fill="000000"/>
          <w:fitText w:val="460" w:id="-509906176"/>
          <w14:textFill>
            <w14:solidFill>
              <w14:srgbClr w14:val="000000">
                <w14:alpha w14:val="100000"/>
              </w14:srgbClr>
            </w14:solidFill>
          </w14:textFill>
        </w:rPr>
        <w:t>|||  ||</w:t>
      </w:r>
      <w:r w:rsidRPr="00DD77BD">
        <w:rPr>
          <w:rFonts w:eastAsia="Calibri" w:cs="Arial"/>
          <w:snapToGrid w:val="0"/>
          <w:color w:val="000000"/>
          <w:spacing w:val="5"/>
          <w:w w:val="59"/>
          <w:szCs w:val="22"/>
          <w:shd w:val="solid" w:color="000000" w:fill="000000"/>
          <w:fitText w:val="460" w:id="-509906176"/>
          <w14:textFill>
            <w14:solidFill>
              <w14:srgbClr w14:val="000000">
                <w14:alpha w14:val="100000"/>
              </w14:srgbClr>
            </w14:solidFill>
          </w14:textFill>
        </w:rPr>
        <w:t>|</w:t>
      </w:r>
      <w:r w:rsidRPr="00DA3E06">
        <w:rPr>
          <w:rFonts w:eastAsia="Calibri" w:cs="Arial"/>
          <w:snapToGrid w:val="0"/>
          <w:szCs w:val="22"/>
        </w:rPr>
        <w:t xml:space="preserve"> in the financial estimates. </w:t>
      </w:r>
    </w:p>
    <w:p w14:paraId="7E6014DE" w14:textId="77777777" w:rsidR="00DA3E06" w:rsidRPr="00DA3E06" w:rsidRDefault="00DA3E06" w:rsidP="00DA3E06">
      <w:pPr>
        <w:keepNext/>
        <w:keepLines/>
        <w:snapToGrid w:val="0"/>
        <w:spacing w:before="360" w:after="120"/>
        <w:jc w:val="left"/>
        <w:outlineLvl w:val="1"/>
        <w:rPr>
          <w:rFonts w:eastAsia="MS Gothic"/>
          <w:b/>
          <w:i/>
          <w:spacing w:val="5"/>
          <w:kern w:val="28"/>
          <w:sz w:val="28"/>
          <w:szCs w:val="36"/>
          <w:lang w:eastAsia="en-US"/>
        </w:rPr>
      </w:pPr>
      <w:r w:rsidRPr="00DA3E06">
        <w:rPr>
          <w:rFonts w:eastAsia="MS Gothic"/>
          <w:b/>
          <w:i/>
          <w:spacing w:val="5"/>
          <w:kern w:val="28"/>
          <w:sz w:val="28"/>
          <w:szCs w:val="36"/>
          <w:lang w:eastAsia="en-US"/>
        </w:rPr>
        <w:t>Estimated PBS usage &amp; financial implications</w:t>
      </w:r>
      <w:bookmarkEnd w:id="21"/>
    </w:p>
    <w:p w14:paraId="470D8867" w14:textId="54361FC0" w:rsidR="00DA3E06" w:rsidRPr="00DA3E06" w:rsidRDefault="00DA3E06" w:rsidP="00DA3E06">
      <w:pPr>
        <w:numPr>
          <w:ilvl w:val="1"/>
          <w:numId w:val="9"/>
        </w:numPr>
        <w:spacing w:after="120"/>
        <w:rPr>
          <w:rFonts w:eastAsia="Calibri"/>
          <w:snapToGrid w:val="0"/>
          <w:szCs w:val="22"/>
        </w:rPr>
      </w:pPr>
      <w:r w:rsidRPr="00DA3E06">
        <w:rPr>
          <w:rFonts w:eastAsia="Calibri" w:cs="Arial"/>
          <w:snapToGrid w:val="0"/>
          <w:szCs w:val="22"/>
        </w:rPr>
        <w:t xml:space="preserve">The key inputs for the financial estimates are provided in </w:t>
      </w:r>
      <w:r w:rsidRPr="00DA3E06">
        <w:rPr>
          <w:rFonts w:eastAsia="Calibri" w:cs="Arial"/>
          <w:snapToGrid w:val="0"/>
          <w:szCs w:val="22"/>
        </w:rPr>
        <w:fldChar w:fldCharType="begin"/>
      </w:r>
      <w:r w:rsidRPr="00DA3E06">
        <w:rPr>
          <w:rFonts w:eastAsia="Calibri" w:cs="Arial"/>
          <w:snapToGrid w:val="0"/>
          <w:szCs w:val="22"/>
        </w:rPr>
        <w:instrText xml:space="preserve"> REF _Ref188360199 \h </w:instrText>
      </w:r>
      <w:r w:rsidRPr="00DA3E06">
        <w:rPr>
          <w:rFonts w:eastAsia="Calibri" w:cs="Arial"/>
          <w:snapToGrid w:val="0"/>
          <w:szCs w:val="22"/>
        </w:rPr>
      </w:r>
      <w:r w:rsidRPr="00DA3E06">
        <w:rPr>
          <w:rFonts w:eastAsia="Calibri" w:cs="Arial"/>
          <w:snapToGrid w:val="0"/>
          <w:szCs w:val="22"/>
        </w:rPr>
        <w:fldChar w:fldCharType="separate"/>
      </w:r>
      <w:r w:rsidR="00971CD5" w:rsidRPr="00DA3E06">
        <w:rPr>
          <w:rFonts w:ascii="Arial Narrow" w:eastAsia="MS Gothic" w:hAnsi="Arial Narrow"/>
          <w:b/>
          <w:bCs/>
          <w:sz w:val="20"/>
        </w:rPr>
        <w:t xml:space="preserve">Table </w:t>
      </w:r>
      <w:r w:rsidR="00971CD5">
        <w:rPr>
          <w:rFonts w:ascii="Arial Narrow" w:eastAsia="MS Gothic" w:hAnsi="Arial Narrow"/>
          <w:b/>
          <w:bCs/>
          <w:noProof/>
          <w:sz w:val="20"/>
        </w:rPr>
        <w:t>7</w:t>
      </w:r>
      <w:r w:rsidRPr="00DA3E06">
        <w:rPr>
          <w:rFonts w:eastAsia="Calibri" w:cs="Arial"/>
          <w:snapToGrid w:val="0"/>
          <w:szCs w:val="22"/>
        </w:rPr>
        <w:fldChar w:fldCharType="end"/>
      </w:r>
      <w:r w:rsidRPr="00DA3E06">
        <w:rPr>
          <w:rFonts w:eastAsia="Calibri" w:cs="Arial"/>
          <w:snapToGrid w:val="0"/>
          <w:szCs w:val="22"/>
        </w:rPr>
        <w:t>.</w:t>
      </w:r>
    </w:p>
    <w:p w14:paraId="6D36A5B7" w14:textId="39657F1B" w:rsidR="00DA3E06" w:rsidRPr="00DA3E06" w:rsidRDefault="00DA3E06" w:rsidP="00DA3E06">
      <w:pPr>
        <w:keepNext/>
        <w:keepLines/>
        <w:jc w:val="left"/>
        <w:rPr>
          <w:rFonts w:ascii="Arial Narrow" w:eastAsia="MS Gothic" w:hAnsi="Arial Narrow"/>
          <w:b/>
          <w:bCs/>
          <w:sz w:val="20"/>
        </w:rPr>
      </w:pPr>
      <w:bookmarkStart w:id="25" w:name="_Ref188360199"/>
      <w:bookmarkStart w:id="26" w:name="_Ref184830831"/>
      <w:bookmarkStart w:id="27" w:name="Table_PBAC_23"/>
      <w:r w:rsidRPr="00DA3E06">
        <w:rPr>
          <w:rFonts w:ascii="Arial Narrow" w:eastAsia="MS Gothic" w:hAnsi="Arial Narrow"/>
          <w:b/>
          <w:bCs/>
          <w:sz w:val="20"/>
        </w:rPr>
        <w:lastRenderedPageBreak/>
        <w:t xml:space="preserve">Table </w:t>
      </w:r>
      <w:r w:rsidRPr="00DA3E06">
        <w:rPr>
          <w:rFonts w:ascii="Arial Narrow" w:eastAsia="MS Gothic" w:hAnsi="Arial Narrow"/>
          <w:b/>
          <w:bCs/>
          <w:sz w:val="20"/>
        </w:rPr>
        <w:fldChar w:fldCharType="begin"/>
      </w:r>
      <w:r w:rsidRPr="00DA3E06">
        <w:rPr>
          <w:rFonts w:ascii="Arial Narrow" w:eastAsia="MS Gothic" w:hAnsi="Arial Narrow"/>
          <w:b/>
          <w:bCs/>
          <w:sz w:val="20"/>
        </w:rPr>
        <w:instrText xml:space="preserve"> SEQ Table \* ARABIC </w:instrText>
      </w:r>
      <w:r w:rsidRPr="00DA3E06">
        <w:rPr>
          <w:rFonts w:ascii="Arial Narrow" w:eastAsia="MS Gothic" w:hAnsi="Arial Narrow"/>
          <w:b/>
          <w:bCs/>
          <w:sz w:val="20"/>
        </w:rPr>
        <w:fldChar w:fldCharType="separate"/>
      </w:r>
      <w:r w:rsidR="00971CD5">
        <w:rPr>
          <w:rFonts w:ascii="Arial Narrow" w:eastAsia="MS Gothic" w:hAnsi="Arial Narrow"/>
          <w:b/>
          <w:bCs/>
          <w:noProof/>
          <w:sz w:val="20"/>
        </w:rPr>
        <w:t>7</w:t>
      </w:r>
      <w:r w:rsidRPr="00DA3E06">
        <w:rPr>
          <w:rFonts w:ascii="Arial Narrow" w:eastAsia="MS Gothic" w:hAnsi="Arial Narrow"/>
          <w:b/>
          <w:bCs/>
          <w:sz w:val="20"/>
        </w:rPr>
        <w:fldChar w:fldCharType="end"/>
      </w:r>
      <w:bookmarkEnd w:id="25"/>
      <w:r w:rsidRPr="00DA3E06">
        <w:rPr>
          <w:rFonts w:ascii="Arial Narrow" w:eastAsia="MS Gothic" w:hAnsi="Arial Narrow"/>
          <w:b/>
          <w:bCs/>
          <w:sz w:val="20"/>
        </w:rPr>
        <w:t xml:space="preserve">: </w:t>
      </w:r>
      <w:bookmarkEnd w:id="26"/>
      <w:bookmarkEnd w:id="27"/>
      <w:r w:rsidRPr="00DA3E06">
        <w:rPr>
          <w:rFonts w:ascii="Arial Narrow" w:eastAsia="MS Gothic" w:hAnsi="Arial Narrow"/>
          <w:b/>
          <w:bCs/>
          <w:sz w:val="20"/>
        </w:rPr>
        <w:t>Key inputs for financial estimates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Key inputs for financial estimates"/>
      </w:tblPr>
      <w:tblGrid>
        <w:gridCol w:w="1935"/>
        <w:gridCol w:w="2455"/>
        <w:gridCol w:w="4628"/>
      </w:tblGrid>
      <w:tr w:rsidR="00DA3E06" w:rsidRPr="00DA3E06" w14:paraId="47CB04C1" w14:textId="77777777">
        <w:trPr>
          <w:cantSplit/>
          <w:tblHeader/>
        </w:trPr>
        <w:tc>
          <w:tcPr>
            <w:tcW w:w="1073" w:type="pct"/>
            <w:tcBorders>
              <w:top w:val="single" w:sz="4" w:space="0" w:color="auto"/>
              <w:left w:val="single" w:sz="4" w:space="0" w:color="auto"/>
              <w:bottom w:val="single" w:sz="4" w:space="0" w:color="auto"/>
              <w:right w:val="single" w:sz="4" w:space="0" w:color="auto"/>
            </w:tcBorders>
            <w:vAlign w:val="center"/>
            <w:hideMark/>
          </w:tcPr>
          <w:p w14:paraId="64805690" w14:textId="77777777" w:rsidR="00DA3E06" w:rsidRPr="00DA3E06" w:rsidRDefault="00DA3E06" w:rsidP="00DA3E06">
            <w:pPr>
              <w:keepNext/>
              <w:jc w:val="center"/>
              <w:rPr>
                <w:rFonts w:ascii="Arial Narrow" w:eastAsia="MS Gothic" w:hAnsi="Arial Narrow"/>
                <w:b/>
                <w:sz w:val="20"/>
              </w:rPr>
            </w:pPr>
            <w:r w:rsidRPr="00DA3E06">
              <w:rPr>
                <w:rFonts w:ascii="Arial Narrow" w:eastAsia="MS Gothic" w:hAnsi="Arial Narrow"/>
                <w:b/>
                <w:sz w:val="20"/>
              </w:rPr>
              <w:t>Data</w:t>
            </w:r>
          </w:p>
        </w:tc>
        <w:tc>
          <w:tcPr>
            <w:tcW w:w="1361" w:type="pct"/>
            <w:tcBorders>
              <w:top w:val="single" w:sz="4" w:space="0" w:color="auto"/>
              <w:left w:val="single" w:sz="4" w:space="0" w:color="auto"/>
              <w:bottom w:val="single" w:sz="4" w:space="0" w:color="auto"/>
              <w:right w:val="single" w:sz="4" w:space="0" w:color="auto"/>
            </w:tcBorders>
            <w:vAlign w:val="center"/>
            <w:hideMark/>
          </w:tcPr>
          <w:p w14:paraId="2A85C089" w14:textId="77777777" w:rsidR="00DA3E06" w:rsidRPr="00DA3E06" w:rsidRDefault="00DA3E06" w:rsidP="00DA3E06">
            <w:pPr>
              <w:keepNext/>
              <w:jc w:val="center"/>
              <w:rPr>
                <w:rFonts w:ascii="Arial Narrow" w:eastAsia="MS Gothic" w:hAnsi="Arial Narrow"/>
                <w:b/>
                <w:sz w:val="20"/>
              </w:rPr>
            </w:pPr>
            <w:r w:rsidRPr="00DA3E06">
              <w:rPr>
                <w:rFonts w:ascii="Arial Narrow" w:eastAsia="MS Gothic" w:hAnsi="Arial Narrow"/>
                <w:b/>
                <w:sz w:val="20"/>
              </w:rPr>
              <w:t>Value</w:t>
            </w:r>
          </w:p>
        </w:tc>
        <w:tc>
          <w:tcPr>
            <w:tcW w:w="2566" w:type="pct"/>
            <w:tcBorders>
              <w:top w:val="single" w:sz="4" w:space="0" w:color="auto"/>
              <w:left w:val="single" w:sz="4" w:space="0" w:color="auto"/>
              <w:bottom w:val="single" w:sz="4" w:space="0" w:color="auto"/>
              <w:right w:val="single" w:sz="4" w:space="0" w:color="auto"/>
            </w:tcBorders>
            <w:vAlign w:val="center"/>
            <w:hideMark/>
          </w:tcPr>
          <w:p w14:paraId="683802A9" w14:textId="77777777" w:rsidR="00DA3E06" w:rsidRPr="00DA3E06" w:rsidRDefault="00DA3E06" w:rsidP="00DA3E06">
            <w:pPr>
              <w:keepNext/>
              <w:jc w:val="center"/>
              <w:rPr>
                <w:rFonts w:ascii="Arial Narrow" w:eastAsia="MS Gothic" w:hAnsi="Arial Narrow"/>
                <w:b/>
                <w:sz w:val="20"/>
              </w:rPr>
            </w:pPr>
            <w:r w:rsidRPr="00DA3E06">
              <w:rPr>
                <w:rFonts w:ascii="Arial Narrow" w:eastAsia="MS Gothic" w:hAnsi="Arial Narrow"/>
                <w:b/>
                <w:sz w:val="20"/>
              </w:rPr>
              <w:t>Comment</w:t>
            </w:r>
          </w:p>
        </w:tc>
      </w:tr>
      <w:tr w:rsidR="00DA3E06" w:rsidRPr="00DA3E06" w14:paraId="6AFE5FE7" w14:textId="77777777">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2824783" w14:textId="77777777" w:rsidR="00DA3E06" w:rsidRPr="00DA3E06" w:rsidRDefault="00DA3E06" w:rsidP="00DA3E06">
            <w:pPr>
              <w:keepNext/>
              <w:jc w:val="left"/>
              <w:rPr>
                <w:rFonts w:ascii="Arial Narrow" w:eastAsia="MS Gothic" w:hAnsi="Arial Narrow"/>
                <w:b/>
                <w:sz w:val="20"/>
              </w:rPr>
            </w:pPr>
            <w:r w:rsidRPr="00DA3E06">
              <w:rPr>
                <w:rFonts w:ascii="Arial Narrow" w:eastAsia="MS Gothic" w:hAnsi="Arial Narrow"/>
                <w:b/>
                <w:sz w:val="20"/>
              </w:rPr>
              <w:t>Eligible population</w:t>
            </w:r>
          </w:p>
        </w:tc>
      </w:tr>
      <w:tr w:rsidR="00DA3E06" w:rsidRPr="00DA3E06" w14:paraId="7362B39C" w14:textId="77777777">
        <w:trPr>
          <w:cantSplit/>
        </w:trPr>
        <w:tc>
          <w:tcPr>
            <w:tcW w:w="1073" w:type="pct"/>
            <w:tcBorders>
              <w:top w:val="single" w:sz="4" w:space="0" w:color="auto"/>
              <w:left w:val="single" w:sz="4" w:space="0" w:color="auto"/>
              <w:bottom w:val="single" w:sz="4" w:space="0" w:color="auto"/>
              <w:right w:val="single" w:sz="4" w:space="0" w:color="auto"/>
            </w:tcBorders>
            <w:vAlign w:val="center"/>
            <w:hideMark/>
          </w:tcPr>
          <w:p w14:paraId="3BB20FAA"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CCA incidence</w:t>
            </w:r>
          </w:p>
        </w:tc>
        <w:tc>
          <w:tcPr>
            <w:tcW w:w="1361" w:type="pct"/>
            <w:tcBorders>
              <w:top w:val="single" w:sz="4" w:space="0" w:color="auto"/>
              <w:left w:val="single" w:sz="4" w:space="0" w:color="auto"/>
              <w:bottom w:val="single" w:sz="4" w:space="0" w:color="auto"/>
              <w:right w:val="single" w:sz="4" w:space="0" w:color="auto"/>
            </w:tcBorders>
            <w:vAlign w:val="center"/>
            <w:hideMark/>
          </w:tcPr>
          <w:p w14:paraId="390FB238" w14:textId="77777777" w:rsidR="00DA3E06" w:rsidRPr="00DA3E06" w:rsidRDefault="00DA3E06" w:rsidP="00DA3E06">
            <w:pPr>
              <w:keepNext/>
              <w:jc w:val="left"/>
              <w:rPr>
                <w:rFonts w:ascii="Arial Narrow" w:eastAsia="MS Gothic" w:hAnsi="Arial Narrow"/>
                <w:bCs/>
                <w:sz w:val="20"/>
                <w:vertAlign w:val="superscript"/>
              </w:rPr>
            </w:pPr>
            <w:r w:rsidRPr="00DA3E06">
              <w:rPr>
                <w:rFonts w:ascii="Arial Narrow" w:eastAsia="MS Gothic" w:hAnsi="Arial Narrow"/>
                <w:bCs/>
                <w:sz w:val="20"/>
              </w:rPr>
              <w:t xml:space="preserve">Year 1: </w:t>
            </w:r>
            <w:r w:rsidRPr="00DA3E06">
              <w:rPr>
                <w:rFonts w:ascii="Arial Narrow" w:eastAsia="MS Gothic" w:hAnsi="Arial Narrow"/>
                <w:bCs/>
                <w:color w:val="000000"/>
                <w:spacing w:val="51"/>
                <w:sz w:val="20"/>
                <w:shd w:val="solid" w:color="000000" w:fill="000000"/>
                <w:fitText w:val="324" w:id="-509906175"/>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75"/>
                <w14:textFill>
                  <w14:solidFill>
                    <w14:srgbClr w14:val="000000">
                      <w14:alpha w14:val="100000"/>
                    </w14:srgbClr>
                  </w14:solidFill>
                </w14:textFill>
              </w:rPr>
              <w:t>|</w:t>
            </w:r>
            <w:r w:rsidRPr="00DA3E06">
              <w:rPr>
                <w:rFonts w:ascii="Arial Narrow" w:eastAsia="MS Gothic" w:hAnsi="Arial Narrow"/>
                <w:bCs/>
                <w:sz w:val="20"/>
                <w:vertAlign w:val="superscript"/>
              </w:rPr>
              <w:t>1</w:t>
            </w:r>
          </w:p>
          <w:p w14:paraId="2A34D06F" w14:textId="77777777" w:rsidR="00DA3E06" w:rsidRPr="00DA3E06" w:rsidRDefault="00DA3E06" w:rsidP="00DA3E06">
            <w:pPr>
              <w:keepNext/>
              <w:jc w:val="left"/>
              <w:rPr>
                <w:rFonts w:ascii="Arial Narrow" w:eastAsia="MS Gothic" w:hAnsi="Arial Narrow"/>
                <w:bCs/>
                <w:sz w:val="20"/>
                <w:vertAlign w:val="superscript"/>
              </w:rPr>
            </w:pPr>
            <w:r w:rsidRPr="00DA3E06">
              <w:rPr>
                <w:rFonts w:ascii="Arial Narrow" w:eastAsia="MS Gothic" w:hAnsi="Arial Narrow"/>
                <w:bCs/>
                <w:sz w:val="20"/>
              </w:rPr>
              <w:t xml:space="preserve">Year 2: </w:t>
            </w:r>
            <w:r w:rsidRPr="00DA3E06">
              <w:rPr>
                <w:rFonts w:ascii="Arial Narrow" w:eastAsia="MS Gothic" w:hAnsi="Arial Narrow"/>
                <w:bCs/>
                <w:color w:val="000000"/>
                <w:spacing w:val="51"/>
                <w:sz w:val="20"/>
                <w:shd w:val="solid" w:color="000000" w:fill="000000"/>
                <w:fitText w:val="324" w:id="-509906174"/>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74"/>
                <w14:textFill>
                  <w14:solidFill>
                    <w14:srgbClr w14:val="000000">
                      <w14:alpha w14:val="100000"/>
                    </w14:srgbClr>
                  </w14:solidFill>
                </w14:textFill>
              </w:rPr>
              <w:t>|</w:t>
            </w:r>
            <w:r w:rsidRPr="00DA3E06">
              <w:rPr>
                <w:rFonts w:ascii="Arial Narrow" w:eastAsia="MS Gothic" w:hAnsi="Arial Narrow"/>
                <w:bCs/>
                <w:sz w:val="20"/>
                <w:vertAlign w:val="superscript"/>
              </w:rPr>
              <w:t>1</w:t>
            </w:r>
          </w:p>
          <w:p w14:paraId="472CEDBE" w14:textId="77777777" w:rsidR="00DA3E06" w:rsidRPr="00DA3E06" w:rsidRDefault="00DA3E06" w:rsidP="00DA3E06">
            <w:pPr>
              <w:keepNext/>
              <w:jc w:val="left"/>
              <w:rPr>
                <w:rFonts w:ascii="Arial Narrow" w:eastAsia="MS Gothic" w:hAnsi="Arial Narrow"/>
                <w:bCs/>
                <w:sz w:val="20"/>
                <w:vertAlign w:val="superscript"/>
              </w:rPr>
            </w:pPr>
            <w:r w:rsidRPr="00DA3E06">
              <w:rPr>
                <w:rFonts w:ascii="Arial Narrow" w:eastAsia="MS Gothic" w:hAnsi="Arial Narrow"/>
                <w:bCs/>
                <w:sz w:val="20"/>
              </w:rPr>
              <w:t xml:space="preserve">Year 3: </w:t>
            </w:r>
            <w:r w:rsidRPr="00DA3E06">
              <w:rPr>
                <w:rFonts w:ascii="Arial Narrow" w:eastAsia="MS Gothic" w:hAnsi="Arial Narrow"/>
                <w:bCs/>
                <w:color w:val="000000"/>
                <w:spacing w:val="51"/>
                <w:sz w:val="20"/>
                <w:shd w:val="solid" w:color="000000" w:fill="000000"/>
                <w:fitText w:val="324" w:id="-509906173"/>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73"/>
                <w14:textFill>
                  <w14:solidFill>
                    <w14:srgbClr w14:val="000000">
                      <w14:alpha w14:val="100000"/>
                    </w14:srgbClr>
                  </w14:solidFill>
                </w14:textFill>
              </w:rPr>
              <w:t>|</w:t>
            </w:r>
            <w:r w:rsidRPr="00DA3E06">
              <w:rPr>
                <w:rFonts w:ascii="Arial Narrow" w:eastAsia="MS Gothic" w:hAnsi="Arial Narrow"/>
                <w:bCs/>
                <w:sz w:val="20"/>
                <w:vertAlign w:val="superscript"/>
              </w:rPr>
              <w:t>1</w:t>
            </w:r>
          </w:p>
          <w:p w14:paraId="21A96D70" w14:textId="77777777" w:rsidR="00DA3E06" w:rsidRPr="00DA3E06" w:rsidRDefault="00DA3E06" w:rsidP="00DA3E06">
            <w:pPr>
              <w:keepNext/>
              <w:jc w:val="left"/>
              <w:rPr>
                <w:rFonts w:ascii="Arial Narrow" w:eastAsia="MS Gothic" w:hAnsi="Arial Narrow"/>
                <w:bCs/>
                <w:sz w:val="20"/>
                <w:vertAlign w:val="superscript"/>
              </w:rPr>
            </w:pPr>
            <w:r w:rsidRPr="00DA3E06">
              <w:rPr>
                <w:rFonts w:ascii="Arial Narrow" w:eastAsia="MS Gothic" w:hAnsi="Arial Narrow"/>
                <w:bCs/>
                <w:sz w:val="20"/>
              </w:rPr>
              <w:t xml:space="preserve">Year 4: </w:t>
            </w:r>
            <w:r w:rsidRPr="00DA3E06">
              <w:rPr>
                <w:rFonts w:ascii="Arial Narrow" w:eastAsia="MS Gothic" w:hAnsi="Arial Narrow"/>
                <w:bCs/>
                <w:color w:val="000000"/>
                <w:spacing w:val="51"/>
                <w:sz w:val="20"/>
                <w:shd w:val="solid" w:color="000000" w:fill="000000"/>
                <w:fitText w:val="324" w:id="-509906172"/>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72"/>
                <w14:textFill>
                  <w14:solidFill>
                    <w14:srgbClr w14:val="000000">
                      <w14:alpha w14:val="100000"/>
                    </w14:srgbClr>
                  </w14:solidFill>
                </w14:textFill>
              </w:rPr>
              <w:t>|</w:t>
            </w:r>
            <w:r w:rsidRPr="00DA3E06">
              <w:rPr>
                <w:rFonts w:ascii="Arial Narrow" w:eastAsia="MS Gothic" w:hAnsi="Arial Narrow"/>
                <w:bCs/>
                <w:sz w:val="20"/>
                <w:vertAlign w:val="superscript"/>
              </w:rPr>
              <w:t>1</w:t>
            </w:r>
          </w:p>
          <w:p w14:paraId="7BD82C3D" w14:textId="77777777" w:rsidR="00DA3E06" w:rsidRPr="00DA3E06" w:rsidRDefault="00DA3E06" w:rsidP="00DA3E06">
            <w:pPr>
              <w:keepNext/>
              <w:jc w:val="left"/>
              <w:rPr>
                <w:rFonts w:ascii="Arial Narrow" w:eastAsia="MS Gothic" w:hAnsi="Arial Narrow"/>
                <w:bCs/>
                <w:sz w:val="20"/>
                <w:vertAlign w:val="superscript"/>
              </w:rPr>
            </w:pPr>
            <w:r w:rsidRPr="00DA3E06">
              <w:rPr>
                <w:rFonts w:ascii="Arial Narrow" w:eastAsia="MS Gothic" w:hAnsi="Arial Narrow"/>
                <w:bCs/>
                <w:sz w:val="20"/>
              </w:rPr>
              <w:t xml:space="preserve">Year 5: </w:t>
            </w:r>
            <w:r w:rsidRPr="00DA3E06">
              <w:rPr>
                <w:rFonts w:ascii="Arial Narrow" w:eastAsia="MS Gothic" w:hAnsi="Arial Narrow"/>
                <w:bCs/>
                <w:color w:val="000000"/>
                <w:spacing w:val="51"/>
                <w:sz w:val="20"/>
                <w:shd w:val="solid" w:color="000000" w:fill="000000"/>
                <w:fitText w:val="324" w:id="-509906171"/>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71"/>
                <w14:textFill>
                  <w14:solidFill>
                    <w14:srgbClr w14:val="000000">
                      <w14:alpha w14:val="100000"/>
                    </w14:srgbClr>
                  </w14:solidFill>
                </w14:textFill>
              </w:rPr>
              <w:t>|</w:t>
            </w:r>
            <w:r w:rsidRPr="00DA3E06">
              <w:rPr>
                <w:rFonts w:ascii="Arial Narrow" w:eastAsia="MS Gothic" w:hAnsi="Arial Narrow"/>
                <w:bCs/>
                <w:sz w:val="20"/>
                <w:vertAlign w:val="superscript"/>
              </w:rPr>
              <w:t>1</w:t>
            </w:r>
          </w:p>
          <w:p w14:paraId="2F261619"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 xml:space="preserve">Year 6: </w:t>
            </w:r>
            <w:r w:rsidRPr="00DA3E06">
              <w:rPr>
                <w:rFonts w:ascii="Arial Narrow" w:eastAsia="MS Gothic" w:hAnsi="Arial Narrow"/>
                <w:bCs/>
                <w:color w:val="000000"/>
                <w:spacing w:val="51"/>
                <w:sz w:val="20"/>
                <w:shd w:val="solid" w:color="000000" w:fill="000000"/>
                <w:fitText w:val="324" w:id="-509906170"/>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70"/>
                <w14:textFill>
                  <w14:solidFill>
                    <w14:srgbClr w14:val="000000">
                      <w14:alpha w14:val="100000"/>
                    </w14:srgbClr>
                  </w14:solidFill>
                </w14:textFill>
              </w:rPr>
              <w:t>|</w:t>
            </w:r>
            <w:r w:rsidRPr="00DA3E06">
              <w:rPr>
                <w:rFonts w:ascii="Arial Narrow" w:eastAsia="MS Gothic" w:hAnsi="Arial Narrow"/>
                <w:bCs/>
                <w:sz w:val="20"/>
                <w:vertAlign w:val="superscript"/>
              </w:rPr>
              <w:t>1</w:t>
            </w:r>
          </w:p>
        </w:tc>
        <w:tc>
          <w:tcPr>
            <w:tcW w:w="2566" w:type="pct"/>
            <w:tcBorders>
              <w:top w:val="single" w:sz="4" w:space="0" w:color="auto"/>
              <w:left w:val="single" w:sz="4" w:space="0" w:color="auto"/>
              <w:bottom w:val="single" w:sz="4" w:space="0" w:color="auto"/>
              <w:right w:val="single" w:sz="4" w:space="0" w:color="auto"/>
            </w:tcBorders>
            <w:vAlign w:val="center"/>
            <w:hideMark/>
          </w:tcPr>
          <w:p w14:paraId="632A9353" w14:textId="77777777" w:rsidR="00DA3E06" w:rsidRPr="00DA3E06" w:rsidRDefault="00DA3E06" w:rsidP="00DA3E06">
            <w:pPr>
              <w:keepNext/>
              <w:jc w:val="left"/>
              <w:rPr>
                <w:rFonts w:ascii="Arial Narrow" w:eastAsia="MS Gothic" w:hAnsi="Arial Narrow"/>
                <w:bCs/>
                <w:sz w:val="20"/>
                <w:vertAlign w:val="superscript"/>
              </w:rPr>
            </w:pPr>
            <w:r w:rsidRPr="00DA3E06">
              <w:rPr>
                <w:rFonts w:ascii="Arial Narrow" w:eastAsia="MS Gothic" w:hAnsi="Arial Narrow"/>
                <w:bCs/>
                <w:sz w:val="20"/>
              </w:rPr>
              <w:t>Updated based on the more granular information available from AIHW (consistent with DUSC advice)</w:t>
            </w:r>
          </w:p>
        </w:tc>
      </w:tr>
      <w:tr w:rsidR="00DA3E06" w:rsidRPr="00DA3E06" w14:paraId="4E20DBDF" w14:textId="77777777">
        <w:trPr>
          <w:cantSplit/>
        </w:trPr>
        <w:tc>
          <w:tcPr>
            <w:tcW w:w="1073" w:type="pct"/>
            <w:tcBorders>
              <w:top w:val="single" w:sz="4" w:space="0" w:color="auto"/>
              <w:left w:val="single" w:sz="4" w:space="0" w:color="auto"/>
              <w:bottom w:val="single" w:sz="4" w:space="0" w:color="auto"/>
              <w:right w:val="single" w:sz="4" w:space="0" w:color="auto"/>
            </w:tcBorders>
            <w:vAlign w:val="center"/>
            <w:hideMark/>
          </w:tcPr>
          <w:p w14:paraId="2C916D6C"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 patients diagnosed with advanced BTC (locally advanced, metastatic, recurrent</w:t>
            </w:r>
          </w:p>
        </w:tc>
        <w:tc>
          <w:tcPr>
            <w:tcW w:w="1361" w:type="pct"/>
            <w:tcBorders>
              <w:top w:val="single" w:sz="4" w:space="0" w:color="auto"/>
              <w:left w:val="single" w:sz="4" w:space="0" w:color="auto"/>
              <w:bottom w:val="single" w:sz="4" w:space="0" w:color="auto"/>
              <w:right w:val="single" w:sz="4" w:space="0" w:color="auto"/>
            </w:tcBorders>
            <w:vAlign w:val="center"/>
            <w:hideMark/>
          </w:tcPr>
          <w:p w14:paraId="621F848D"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80%</w:t>
            </w:r>
          </w:p>
        </w:tc>
        <w:tc>
          <w:tcPr>
            <w:tcW w:w="2566" w:type="pct"/>
            <w:tcBorders>
              <w:top w:val="single" w:sz="4" w:space="0" w:color="auto"/>
              <w:left w:val="single" w:sz="4" w:space="0" w:color="auto"/>
              <w:bottom w:val="single" w:sz="4" w:space="0" w:color="auto"/>
              <w:right w:val="single" w:sz="4" w:space="0" w:color="auto"/>
            </w:tcBorders>
            <w:vAlign w:val="center"/>
            <w:hideMark/>
          </w:tcPr>
          <w:p w14:paraId="6E2CF787"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Unchanged from previous submission</w:t>
            </w:r>
          </w:p>
        </w:tc>
      </w:tr>
      <w:tr w:rsidR="00DA3E06" w:rsidRPr="00DA3E06" w14:paraId="61D4DF72" w14:textId="77777777">
        <w:trPr>
          <w:cantSplit/>
        </w:trPr>
        <w:tc>
          <w:tcPr>
            <w:tcW w:w="1073" w:type="pct"/>
            <w:tcBorders>
              <w:top w:val="single" w:sz="4" w:space="0" w:color="auto"/>
              <w:left w:val="single" w:sz="4" w:space="0" w:color="auto"/>
              <w:bottom w:val="single" w:sz="4" w:space="0" w:color="auto"/>
              <w:right w:val="single" w:sz="4" w:space="0" w:color="auto"/>
            </w:tcBorders>
            <w:vAlign w:val="center"/>
            <w:hideMark/>
          </w:tcPr>
          <w:p w14:paraId="5D9FCE28"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 of patients taking 1st line durvalumab</w:t>
            </w:r>
          </w:p>
        </w:tc>
        <w:tc>
          <w:tcPr>
            <w:tcW w:w="1361" w:type="pct"/>
            <w:tcBorders>
              <w:top w:val="single" w:sz="4" w:space="0" w:color="auto"/>
              <w:left w:val="single" w:sz="4" w:space="0" w:color="auto"/>
              <w:bottom w:val="single" w:sz="4" w:space="0" w:color="auto"/>
              <w:right w:val="single" w:sz="4" w:space="0" w:color="auto"/>
            </w:tcBorders>
            <w:vAlign w:val="center"/>
            <w:hideMark/>
          </w:tcPr>
          <w:p w14:paraId="56B4ADB2"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70%</w:t>
            </w:r>
          </w:p>
        </w:tc>
        <w:tc>
          <w:tcPr>
            <w:tcW w:w="2566" w:type="pct"/>
            <w:tcBorders>
              <w:top w:val="single" w:sz="4" w:space="0" w:color="auto"/>
              <w:left w:val="single" w:sz="4" w:space="0" w:color="auto"/>
              <w:bottom w:val="single" w:sz="4" w:space="0" w:color="auto"/>
              <w:right w:val="single" w:sz="4" w:space="0" w:color="auto"/>
            </w:tcBorders>
            <w:vAlign w:val="center"/>
            <w:hideMark/>
          </w:tcPr>
          <w:p w14:paraId="6C786558"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 xml:space="preserve">Unchanged from previous submission. </w:t>
            </w:r>
          </w:p>
        </w:tc>
      </w:tr>
      <w:tr w:rsidR="00DA3E06" w:rsidRPr="00DA3E06" w14:paraId="68C57E21" w14:textId="77777777">
        <w:trPr>
          <w:cantSplit/>
        </w:trPr>
        <w:tc>
          <w:tcPr>
            <w:tcW w:w="1073" w:type="pct"/>
            <w:tcBorders>
              <w:top w:val="single" w:sz="4" w:space="0" w:color="auto"/>
              <w:left w:val="single" w:sz="4" w:space="0" w:color="auto"/>
              <w:bottom w:val="single" w:sz="4" w:space="0" w:color="auto"/>
              <w:right w:val="single" w:sz="4" w:space="0" w:color="auto"/>
            </w:tcBorders>
            <w:vAlign w:val="center"/>
            <w:hideMark/>
          </w:tcPr>
          <w:p w14:paraId="3E8D09A2"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 patients treated with durvalumab progressing to 2L</w:t>
            </w:r>
          </w:p>
        </w:tc>
        <w:tc>
          <w:tcPr>
            <w:tcW w:w="1361" w:type="pct"/>
            <w:tcBorders>
              <w:top w:val="single" w:sz="4" w:space="0" w:color="auto"/>
              <w:left w:val="single" w:sz="4" w:space="0" w:color="auto"/>
              <w:bottom w:val="single" w:sz="4" w:space="0" w:color="auto"/>
              <w:right w:val="single" w:sz="4" w:space="0" w:color="auto"/>
            </w:tcBorders>
            <w:vAlign w:val="center"/>
            <w:hideMark/>
          </w:tcPr>
          <w:p w14:paraId="43B750F0"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50%</w:t>
            </w:r>
          </w:p>
        </w:tc>
        <w:tc>
          <w:tcPr>
            <w:tcW w:w="2566" w:type="pct"/>
            <w:tcBorders>
              <w:top w:val="single" w:sz="4" w:space="0" w:color="auto"/>
              <w:left w:val="single" w:sz="4" w:space="0" w:color="auto"/>
              <w:bottom w:val="single" w:sz="4" w:space="0" w:color="auto"/>
              <w:right w:val="single" w:sz="4" w:space="0" w:color="auto"/>
            </w:tcBorders>
            <w:vAlign w:val="center"/>
            <w:hideMark/>
          </w:tcPr>
          <w:p w14:paraId="6AA8CCCB"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 xml:space="preserve">Reduced from 60%. Consistent with previous DUSC advice. </w:t>
            </w:r>
          </w:p>
        </w:tc>
      </w:tr>
      <w:tr w:rsidR="00DA3E06" w:rsidRPr="00DA3E06" w14:paraId="7EE29B7C" w14:textId="77777777">
        <w:trPr>
          <w:cantSplit/>
        </w:trPr>
        <w:tc>
          <w:tcPr>
            <w:tcW w:w="1073" w:type="pct"/>
            <w:tcBorders>
              <w:top w:val="single" w:sz="4" w:space="0" w:color="auto"/>
              <w:left w:val="single" w:sz="4" w:space="0" w:color="auto"/>
              <w:bottom w:val="single" w:sz="4" w:space="0" w:color="auto"/>
              <w:right w:val="single" w:sz="4" w:space="0" w:color="auto"/>
            </w:tcBorders>
            <w:vAlign w:val="center"/>
            <w:hideMark/>
          </w:tcPr>
          <w:p w14:paraId="7B84B7E3"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i/>
                <w:iCs/>
                <w:sz w:val="20"/>
              </w:rPr>
              <w:t xml:space="preserve">FGFR2 </w:t>
            </w:r>
            <w:r w:rsidRPr="00DA3E06">
              <w:rPr>
                <w:rFonts w:ascii="Arial Narrow" w:eastAsia="MS Gothic" w:hAnsi="Arial Narrow"/>
                <w:bCs/>
                <w:sz w:val="20"/>
              </w:rPr>
              <w:t>aberrations/alterations</w:t>
            </w:r>
          </w:p>
        </w:tc>
        <w:tc>
          <w:tcPr>
            <w:tcW w:w="1361" w:type="pct"/>
            <w:tcBorders>
              <w:top w:val="single" w:sz="4" w:space="0" w:color="auto"/>
              <w:left w:val="single" w:sz="4" w:space="0" w:color="auto"/>
              <w:bottom w:val="single" w:sz="4" w:space="0" w:color="auto"/>
              <w:right w:val="single" w:sz="4" w:space="0" w:color="auto"/>
            </w:tcBorders>
            <w:vAlign w:val="center"/>
            <w:hideMark/>
          </w:tcPr>
          <w:p w14:paraId="2D8F81FE"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13.9%</w:t>
            </w:r>
          </w:p>
        </w:tc>
        <w:tc>
          <w:tcPr>
            <w:tcW w:w="2566" w:type="pct"/>
            <w:tcBorders>
              <w:top w:val="single" w:sz="4" w:space="0" w:color="auto"/>
              <w:left w:val="single" w:sz="4" w:space="0" w:color="auto"/>
              <w:bottom w:val="single" w:sz="4" w:space="0" w:color="auto"/>
              <w:right w:val="single" w:sz="4" w:space="0" w:color="auto"/>
            </w:tcBorders>
            <w:vAlign w:val="center"/>
            <w:hideMark/>
          </w:tcPr>
          <w:p w14:paraId="757AB0EE"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 xml:space="preserve">Reduced from 20%. Consistent with previous PBAC advice. </w:t>
            </w:r>
          </w:p>
        </w:tc>
      </w:tr>
      <w:tr w:rsidR="00DA3E06" w:rsidRPr="00DA3E06" w14:paraId="35D1CAF7" w14:textId="77777777">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673DC28" w14:textId="77777777" w:rsidR="00DA3E06" w:rsidRPr="00DA3E06" w:rsidRDefault="00DA3E06" w:rsidP="00DA3E06">
            <w:pPr>
              <w:keepNext/>
              <w:jc w:val="left"/>
              <w:rPr>
                <w:rFonts w:ascii="Arial Narrow" w:eastAsia="MS Gothic" w:hAnsi="Arial Narrow"/>
                <w:b/>
                <w:sz w:val="20"/>
              </w:rPr>
            </w:pPr>
            <w:r w:rsidRPr="00DA3E06">
              <w:rPr>
                <w:rFonts w:ascii="Arial Narrow" w:eastAsia="MS Gothic" w:hAnsi="Arial Narrow"/>
                <w:b/>
                <w:bCs/>
                <w:sz w:val="20"/>
              </w:rPr>
              <w:t>Test utilisation</w:t>
            </w:r>
          </w:p>
        </w:tc>
      </w:tr>
      <w:tr w:rsidR="00DA3E06" w:rsidRPr="00DA3E06" w14:paraId="6559731D" w14:textId="77777777">
        <w:trPr>
          <w:cantSplit/>
        </w:trPr>
        <w:tc>
          <w:tcPr>
            <w:tcW w:w="1073" w:type="pct"/>
            <w:tcBorders>
              <w:top w:val="single" w:sz="4" w:space="0" w:color="auto"/>
              <w:left w:val="single" w:sz="4" w:space="0" w:color="auto"/>
              <w:bottom w:val="single" w:sz="4" w:space="0" w:color="auto"/>
              <w:right w:val="single" w:sz="4" w:space="0" w:color="auto"/>
            </w:tcBorders>
            <w:vAlign w:val="center"/>
            <w:hideMark/>
          </w:tcPr>
          <w:p w14:paraId="4C6436CD"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Number of tests</w:t>
            </w:r>
          </w:p>
        </w:tc>
        <w:tc>
          <w:tcPr>
            <w:tcW w:w="1361" w:type="pct"/>
            <w:tcBorders>
              <w:top w:val="single" w:sz="4" w:space="0" w:color="auto"/>
              <w:left w:val="single" w:sz="4" w:space="0" w:color="auto"/>
              <w:bottom w:val="single" w:sz="4" w:space="0" w:color="auto"/>
              <w:right w:val="single" w:sz="4" w:space="0" w:color="auto"/>
            </w:tcBorders>
            <w:vAlign w:val="center"/>
            <w:hideMark/>
          </w:tcPr>
          <w:p w14:paraId="3B9744D8"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14.4 tests per treated patient</w:t>
            </w:r>
          </w:p>
        </w:tc>
        <w:tc>
          <w:tcPr>
            <w:tcW w:w="2566" w:type="pct"/>
            <w:tcBorders>
              <w:top w:val="single" w:sz="4" w:space="0" w:color="auto"/>
              <w:left w:val="single" w:sz="4" w:space="0" w:color="auto"/>
              <w:bottom w:val="single" w:sz="4" w:space="0" w:color="auto"/>
              <w:right w:val="single" w:sz="4" w:space="0" w:color="auto"/>
            </w:tcBorders>
            <w:vAlign w:val="center"/>
          </w:tcPr>
          <w:p w14:paraId="3538DB4D"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Increased from 5 tests per patient treated. Amended to account for (i) yield reduced from 20% to 13.9% and (ii) to reflect numbers tested at 1</w:t>
            </w:r>
            <w:r w:rsidRPr="00DA3E06">
              <w:rPr>
                <w:rFonts w:ascii="Arial Narrow" w:eastAsia="MS Gothic" w:hAnsi="Arial Narrow"/>
                <w:bCs/>
                <w:sz w:val="20"/>
                <w:vertAlign w:val="superscript"/>
              </w:rPr>
              <w:t>st</w:t>
            </w:r>
            <w:r w:rsidRPr="00DA3E06">
              <w:rPr>
                <w:rFonts w:ascii="Arial Narrow" w:eastAsia="MS Gothic" w:hAnsi="Arial Narrow"/>
                <w:bCs/>
                <w:sz w:val="20"/>
              </w:rPr>
              <w:t xml:space="preserve"> line treatment. </w:t>
            </w:r>
          </w:p>
          <w:p w14:paraId="6141E1BA" w14:textId="77777777" w:rsidR="00DA3E06" w:rsidRPr="00DA3E06" w:rsidRDefault="00DA3E06" w:rsidP="00DA3E06">
            <w:pPr>
              <w:keepNext/>
              <w:jc w:val="left"/>
              <w:rPr>
                <w:rFonts w:ascii="Arial Narrow" w:eastAsia="MS Gothic" w:hAnsi="Arial Narrow"/>
                <w:bCs/>
                <w:sz w:val="20"/>
              </w:rPr>
            </w:pPr>
          </w:p>
          <w:p w14:paraId="377D84B9"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Cost of test = $350 (unchanged from previous submission)</w:t>
            </w:r>
          </w:p>
        </w:tc>
      </w:tr>
      <w:tr w:rsidR="00DA3E06" w:rsidRPr="00DA3E06" w14:paraId="6A9D6A61" w14:textId="77777777">
        <w:trPr>
          <w:cantSplit/>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3A20B6F"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
                <w:bCs/>
                <w:sz w:val="20"/>
              </w:rPr>
              <w:t>Treatment utilisation</w:t>
            </w:r>
          </w:p>
        </w:tc>
      </w:tr>
      <w:tr w:rsidR="00DA3E06" w:rsidRPr="00DA3E06" w14:paraId="24F74F55" w14:textId="77777777">
        <w:trPr>
          <w:cantSplit/>
        </w:trPr>
        <w:tc>
          <w:tcPr>
            <w:tcW w:w="1073" w:type="pct"/>
            <w:tcBorders>
              <w:top w:val="single" w:sz="4" w:space="0" w:color="auto"/>
              <w:left w:val="single" w:sz="4" w:space="0" w:color="auto"/>
              <w:bottom w:val="single" w:sz="4" w:space="0" w:color="auto"/>
              <w:right w:val="single" w:sz="4" w:space="0" w:color="auto"/>
            </w:tcBorders>
            <w:vAlign w:val="center"/>
            <w:hideMark/>
          </w:tcPr>
          <w:p w14:paraId="3406E8E6"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Patients electing treatment</w:t>
            </w:r>
          </w:p>
        </w:tc>
        <w:tc>
          <w:tcPr>
            <w:tcW w:w="1361" w:type="pct"/>
            <w:tcBorders>
              <w:top w:val="single" w:sz="4" w:space="0" w:color="auto"/>
              <w:left w:val="single" w:sz="4" w:space="0" w:color="auto"/>
              <w:bottom w:val="single" w:sz="4" w:space="0" w:color="auto"/>
              <w:right w:val="single" w:sz="4" w:space="0" w:color="auto"/>
            </w:tcBorders>
            <w:vAlign w:val="center"/>
            <w:hideMark/>
          </w:tcPr>
          <w:p w14:paraId="08219B58"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color w:val="000000"/>
                <w:spacing w:val="51"/>
                <w:sz w:val="20"/>
                <w:shd w:val="solid" w:color="000000" w:fill="000000"/>
                <w:fitText w:val="324" w:id="-509906169"/>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69"/>
                <w14:textFill>
                  <w14:solidFill>
                    <w14:srgbClr w14:val="000000">
                      <w14:alpha w14:val="100000"/>
                    </w14:srgbClr>
                  </w14:solidFill>
                </w14:textFill>
              </w:rPr>
              <w:t>|</w:t>
            </w:r>
            <w:r w:rsidRPr="00DA3E06">
              <w:rPr>
                <w:rFonts w:ascii="Arial Narrow" w:eastAsia="MS Gothic" w:hAnsi="Arial Narrow"/>
                <w:bCs/>
                <w:sz w:val="20"/>
              </w:rPr>
              <w:t>%</w:t>
            </w:r>
          </w:p>
        </w:tc>
        <w:tc>
          <w:tcPr>
            <w:tcW w:w="2566" w:type="pct"/>
            <w:tcBorders>
              <w:top w:val="single" w:sz="4" w:space="0" w:color="auto"/>
              <w:left w:val="single" w:sz="4" w:space="0" w:color="auto"/>
              <w:bottom w:val="single" w:sz="4" w:space="0" w:color="auto"/>
              <w:right w:val="single" w:sz="4" w:space="0" w:color="auto"/>
            </w:tcBorders>
            <w:vAlign w:val="center"/>
            <w:hideMark/>
          </w:tcPr>
          <w:p w14:paraId="0C514601"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 xml:space="preserve">Increased from </w:t>
            </w:r>
            <w:r w:rsidRPr="00DA3E06">
              <w:rPr>
                <w:rFonts w:ascii="Arial Narrow" w:eastAsia="MS Gothic" w:hAnsi="Arial Narrow"/>
                <w:bCs/>
                <w:color w:val="000000"/>
                <w:spacing w:val="51"/>
                <w:sz w:val="20"/>
                <w:shd w:val="solid" w:color="000000" w:fill="000000"/>
                <w:fitText w:val="324" w:id="-509906168"/>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68"/>
                <w14:textFill>
                  <w14:solidFill>
                    <w14:srgbClr w14:val="000000">
                      <w14:alpha w14:val="100000"/>
                    </w14:srgbClr>
                  </w14:solidFill>
                </w14:textFill>
              </w:rPr>
              <w:t>|</w:t>
            </w:r>
            <w:r w:rsidRPr="00DA3E06">
              <w:rPr>
                <w:rFonts w:ascii="Arial Narrow" w:eastAsia="MS Gothic" w:hAnsi="Arial Narrow"/>
                <w:bCs/>
                <w:sz w:val="20"/>
              </w:rPr>
              <w:t xml:space="preserve">%. Consistent with previous DUSC advice. </w:t>
            </w:r>
          </w:p>
        </w:tc>
      </w:tr>
      <w:tr w:rsidR="00DA3E06" w:rsidRPr="00DA3E06" w14:paraId="7151971F" w14:textId="77777777">
        <w:trPr>
          <w:cantSplit/>
        </w:trPr>
        <w:tc>
          <w:tcPr>
            <w:tcW w:w="1073" w:type="pct"/>
            <w:tcBorders>
              <w:top w:val="single" w:sz="4" w:space="0" w:color="auto"/>
              <w:left w:val="single" w:sz="4" w:space="0" w:color="auto"/>
              <w:bottom w:val="single" w:sz="4" w:space="0" w:color="auto"/>
              <w:right w:val="single" w:sz="4" w:space="0" w:color="auto"/>
            </w:tcBorders>
            <w:vAlign w:val="center"/>
            <w:hideMark/>
          </w:tcPr>
          <w:p w14:paraId="3EAB47D8"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Duration of futibatinib treatment</w:t>
            </w:r>
          </w:p>
        </w:tc>
        <w:tc>
          <w:tcPr>
            <w:tcW w:w="1361" w:type="pct"/>
            <w:tcBorders>
              <w:top w:val="single" w:sz="4" w:space="0" w:color="auto"/>
              <w:left w:val="single" w:sz="4" w:space="0" w:color="auto"/>
              <w:bottom w:val="single" w:sz="4" w:space="0" w:color="auto"/>
              <w:right w:val="single" w:sz="4" w:space="0" w:color="auto"/>
            </w:tcBorders>
            <w:vAlign w:val="center"/>
            <w:hideMark/>
          </w:tcPr>
          <w:p w14:paraId="4BF00CC0"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57.78 weeks</w:t>
            </w:r>
          </w:p>
        </w:tc>
        <w:tc>
          <w:tcPr>
            <w:tcW w:w="2566" w:type="pct"/>
            <w:tcBorders>
              <w:top w:val="single" w:sz="4" w:space="0" w:color="auto"/>
              <w:left w:val="single" w:sz="4" w:space="0" w:color="auto"/>
              <w:bottom w:val="single" w:sz="4" w:space="0" w:color="auto"/>
              <w:right w:val="single" w:sz="4" w:space="0" w:color="auto"/>
            </w:tcBorders>
            <w:vAlign w:val="center"/>
            <w:hideMark/>
          </w:tcPr>
          <w:p w14:paraId="5325EF13"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 xml:space="preserve">Increased from 56.05 weeks. Amended to be consistent with the economic model in the previous submission; however, the mean duration of treatment in the economic model provided with the resubmission was 55.99 weeks. </w:t>
            </w:r>
          </w:p>
        </w:tc>
      </w:tr>
      <w:tr w:rsidR="00DA3E06" w:rsidRPr="00DA3E06" w14:paraId="35C1F25B" w14:textId="77777777">
        <w:trPr>
          <w:cantSplit/>
        </w:trPr>
        <w:tc>
          <w:tcPr>
            <w:tcW w:w="1073" w:type="pct"/>
            <w:tcBorders>
              <w:top w:val="single" w:sz="4" w:space="0" w:color="auto"/>
              <w:left w:val="single" w:sz="4" w:space="0" w:color="auto"/>
              <w:bottom w:val="single" w:sz="4" w:space="0" w:color="auto"/>
              <w:right w:val="single" w:sz="4" w:space="0" w:color="auto"/>
            </w:tcBorders>
            <w:vAlign w:val="center"/>
            <w:hideMark/>
          </w:tcPr>
          <w:p w14:paraId="621F7DB1"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 xml:space="preserve">Compliance </w:t>
            </w:r>
          </w:p>
        </w:tc>
        <w:tc>
          <w:tcPr>
            <w:tcW w:w="1361" w:type="pct"/>
            <w:tcBorders>
              <w:top w:val="single" w:sz="4" w:space="0" w:color="auto"/>
              <w:left w:val="single" w:sz="4" w:space="0" w:color="auto"/>
              <w:bottom w:val="single" w:sz="4" w:space="0" w:color="auto"/>
              <w:right w:val="single" w:sz="4" w:space="0" w:color="auto"/>
            </w:tcBorders>
            <w:vAlign w:val="center"/>
            <w:hideMark/>
          </w:tcPr>
          <w:p w14:paraId="6D25CBD6"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83.3%</w:t>
            </w:r>
          </w:p>
        </w:tc>
        <w:tc>
          <w:tcPr>
            <w:tcW w:w="2566" w:type="pct"/>
            <w:tcBorders>
              <w:top w:val="single" w:sz="4" w:space="0" w:color="auto"/>
              <w:left w:val="single" w:sz="4" w:space="0" w:color="auto"/>
              <w:bottom w:val="single" w:sz="4" w:space="0" w:color="auto"/>
              <w:right w:val="single" w:sz="4" w:space="0" w:color="auto"/>
            </w:tcBorders>
            <w:vAlign w:val="center"/>
            <w:hideMark/>
          </w:tcPr>
          <w:p w14:paraId="5E09B718"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 xml:space="preserve">Unchanged from previous submission. </w:t>
            </w:r>
          </w:p>
        </w:tc>
      </w:tr>
      <w:tr w:rsidR="00DA3E06" w:rsidRPr="00DA3E06" w14:paraId="13D480EF" w14:textId="77777777">
        <w:trPr>
          <w:cantSplit/>
        </w:trPr>
        <w:tc>
          <w:tcPr>
            <w:tcW w:w="1073" w:type="pct"/>
            <w:tcBorders>
              <w:top w:val="single" w:sz="4" w:space="0" w:color="auto"/>
              <w:left w:val="single" w:sz="4" w:space="0" w:color="auto"/>
              <w:bottom w:val="single" w:sz="4" w:space="0" w:color="auto"/>
              <w:right w:val="single" w:sz="4" w:space="0" w:color="auto"/>
            </w:tcBorders>
            <w:vAlign w:val="center"/>
            <w:hideMark/>
          </w:tcPr>
          <w:p w14:paraId="6C7B5058"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Grandfathered patients</w:t>
            </w:r>
          </w:p>
        </w:tc>
        <w:tc>
          <w:tcPr>
            <w:tcW w:w="1361" w:type="pct"/>
            <w:tcBorders>
              <w:top w:val="single" w:sz="4" w:space="0" w:color="auto"/>
              <w:left w:val="single" w:sz="4" w:space="0" w:color="auto"/>
              <w:bottom w:val="single" w:sz="4" w:space="0" w:color="auto"/>
              <w:right w:val="single" w:sz="4" w:space="0" w:color="auto"/>
            </w:tcBorders>
            <w:vAlign w:val="center"/>
            <w:hideMark/>
          </w:tcPr>
          <w:p w14:paraId="51C61E27" w14:textId="77777777" w:rsidR="00DA3E06" w:rsidRPr="00DA3E06" w:rsidRDefault="00DA3E06" w:rsidP="00DA3E06">
            <w:pPr>
              <w:keepNext/>
              <w:jc w:val="left"/>
              <w:rPr>
                <w:rFonts w:ascii="Arial Narrow" w:eastAsia="MS Gothic" w:hAnsi="Arial Narrow"/>
                <w:bCs/>
                <w:sz w:val="20"/>
                <w:vertAlign w:val="superscript"/>
              </w:rPr>
            </w:pPr>
            <w:r w:rsidRPr="00DA3E06">
              <w:rPr>
                <w:rFonts w:ascii="Arial Narrow" w:eastAsia="MS Gothic" w:hAnsi="Arial Narrow"/>
                <w:bCs/>
                <w:color w:val="000000"/>
                <w:spacing w:val="51"/>
                <w:sz w:val="20"/>
                <w:shd w:val="solid" w:color="000000" w:fill="000000"/>
                <w:fitText w:val="324" w:id="-509906167"/>
                <w14:textFill>
                  <w14:solidFill>
                    <w14:srgbClr w14:val="000000">
                      <w14:alpha w14:val="100000"/>
                    </w14:srgbClr>
                  </w14:solidFill>
                </w14:textFill>
              </w:rPr>
              <w:t>|||</w:t>
            </w:r>
            <w:r w:rsidRPr="00DA3E06">
              <w:rPr>
                <w:rFonts w:ascii="Arial Narrow" w:eastAsia="MS Gothic" w:hAnsi="Arial Narrow"/>
                <w:bCs/>
                <w:color w:val="000000"/>
                <w:spacing w:val="1"/>
                <w:sz w:val="20"/>
                <w:shd w:val="solid" w:color="000000" w:fill="000000"/>
                <w:fitText w:val="324" w:id="-509906167"/>
                <w14:textFill>
                  <w14:solidFill>
                    <w14:srgbClr w14:val="000000">
                      <w14:alpha w14:val="100000"/>
                    </w14:srgbClr>
                  </w14:solidFill>
                </w14:textFill>
              </w:rPr>
              <w:t>|</w:t>
            </w:r>
            <w:r w:rsidRPr="00DA3E06">
              <w:rPr>
                <w:rFonts w:ascii="Arial Narrow" w:eastAsia="MS Gothic" w:hAnsi="Arial Narrow"/>
                <w:bCs/>
                <w:sz w:val="20"/>
                <w:vertAlign w:val="superscript"/>
              </w:rPr>
              <w:t>2</w:t>
            </w:r>
          </w:p>
        </w:tc>
        <w:tc>
          <w:tcPr>
            <w:tcW w:w="2566" w:type="pct"/>
            <w:tcBorders>
              <w:top w:val="single" w:sz="4" w:space="0" w:color="auto"/>
              <w:left w:val="single" w:sz="4" w:space="0" w:color="auto"/>
              <w:bottom w:val="single" w:sz="4" w:space="0" w:color="auto"/>
              <w:right w:val="single" w:sz="4" w:space="0" w:color="auto"/>
            </w:tcBorders>
            <w:vAlign w:val="center"/>
            <w:hideMark/>
          </w:tcPr>
          <w:p w14:paraId="387FA472" w14:textId="77777777" w:rsidR="00DA3E06" w:rsidRPr="00DA3E06" w:rsidRDefault="00DA3E06" w:rsidP="00DA3E06">
            <w:pPr>
              <w:keepNext/>
              <w:jc w:val="left"/>
              <w:rPr>
                <w:rFonts w:ascii="Arial Narrow" w:eastAsia="MS Gothic" w:hAnsi="Arial Narrow"/>
                <w:bCs/>
                <w:sz w:val="20"/>
              </w:rPr>
            </w:pPr>
            <w:r w:rsidRPr="00DA3E06">
              <w:rPr>
                <w:rFonts w:ascii="Arial Narrow" w:eastAsia="MS Gothic" w:hAnsi="Arial Narrow"/>
                <w:bCs/>
                <w:sz w:val="20"/>
              </w:rPr>
              <w:t xml:space="preserve">Treated duration = 6 months; unchanged from previous submission. </w:t>
            </w:r>
          </w:p>
        </w:tc>
      </w:tr>
    </w:tbl>
    <w:p w14:paraId="5A630A4B" w14:textId="21FF6486" w:rsidR="00DA3E06" w:rsidRPr="00DA3E06" w:rsidRDefault="00DA3E06" w:rsidP="00DA3E06">
      <w:pPr>
        <w:snapToGrid w:val="0"/>
        <w:spacing w:after="120"/>
        <w:contextualSpacing/>
        <w:rPr>
          <w:rFonts w:ascii="Arial Narrow" w:hAnsi="Arial Narrow" w:cs="Arial"/>
          <w:sz w:val="18"/>
          <w:szCs w:val="22"/>
        </w:rPr>
      </w:pPr>
      <w:r w:rsidRPr="00DA3E06">
        <w:rPr>
          <w:rFonts w:ascii="Arial Narrow" w:hAnsi="Arial Narrow" w:cs="Arial"/>
          <w:sz w:val="18"/>
          <w:szCs w:val="22"/>
        </w:rPr>
        <w:t>Source: compiled during the evaluation using Tables 24 and 4-1 of the March 2025 Futibatinib minutes</w:t>
      </w:r>
    </w:p>
    <w:p w14:paraId="248EC54D" w14:textId="77777777" w:rsidR="00DA3E06" w:rsidRPr="00DA3E06" w:rsidRDefault="00DA3E06" w:rsidP="00DA3E06">
      <w:pPr>
        <w:snapToGrid w:val="0"/>
        <w:spacing w:after="120"/>
        <w:contextualSpacing/>
        <w:rPr>
          <w:rFonts w:ascii="Arial Narrow" w:hAnsi="Arial Narrow" w:cs="Arial"/>
          <w:sz w:val="18"/>
          <w:szCs w:val="22"/>
        </w:rPr>
      </w:pPr>
      <w:r w:rsidRPr="00DA3E06">
        <w:rPr>
          <w:rFonts w:ascii="Arial Narrow" w:hAnsi="Arial Narrow" w:cs="Arial"/>
          <w:sz w:val="18"/>
          <w:szCs w:val="22"/>
        </w:rPr>
        <w:t>DUSC, drug utilisation sub-committee; FGFR2, Fibroblast Growth Factor Receptor 2; PBAC, Pharmaceutical Benefits Advisory Committee</w:t>
      </w:r>
    </w:p>
    <w:p w14:paraId="1433DD96" w14:textId="77777777" w:rsidR="00DA3E06" w:rsidRPr="00DA3E06" w:rsidRDefault="00DA3E06" w:rsidP="00DA3E06">
      <w:pPr>
        <w:snapToGrid w:val="0"/>
        <w:spacing w:after="120"/>
        <w:contextualSpacing/>
        <w:rPr>
          <w:rFonts w:ascii="Arial Narrow" w:hAnsi="Arial Narrow" w:cs="Arial"/>
          <w:i/>
          <w:sz w:val="18"/>
          <w:szCs w:val="22"/>
        </w:rPr>
      </w:pPr>
      <w:r w:rsidRPr="00DA3E06">
        <w:rPr>
          <w:rFonts w:ascii="Arial Narrow" w:hAnsi="Arial Narrow" w:cs="Arial"/>
          <w:i/>
          <w:sz w:val="18"/>
          <w:szCs w:val="22"/>
        </w:rPr>
        <w:t xml:space="preserve">The redacted values correspond to the following ranges: </w:t>
      </w:r>
    </w:p>
    <w:p w14:paraId="24C88954" w14:textId="77777777" w:rsidR="00DA3E06" w:rsidRPr="00DA3E06" w:rsidRDefault="00DA3E06" w:rsidP="00DA3E06">
      <w:pPr>
        <w:snapToGrid w:val="0"/>
        <w:spacing w:after="120"/>
        <w:contextualSpacing/>
        <w:rPr>
          <w:rFonts w:ascii="Arial Narrow" w:hAnsi="Arial Narrow" w:cs="Arial"/>
          <w:i/>
          <w:sz w:val="18"/>
          <w:szCs w:val="22"/>
        </w:rPr>
      </w:pPr>
      <w:r w:rsidRPr="00DA3E06">
        <w:rPr>
          <w:rFonts w:ascii="Arial Narrow" w:hAnsi="Arial Narrow" w:cs="Arial"/>
          <w:i/>
          <w:sz w:val="18"/>
          <w:szCs w:val="22"/>
          <w:vertAlign w:val="superscript"/>
        </w:rPr>
        <w:t>1</w:t>
      </w:r>
      <w:r w:rsidRPr="00DA3E06">
        <w:rPr>
          <w:rFonts w:ascii="Arial Narrow" w:hAnsi="Arial Narrow" w:cs="Arial"/>
          <w:i/>
          <w:sz w:val="18"/>
          <w:szCs w:val="22"/>
        </w:rPr>
        <w:t xml:space="preserve"> 500 to &lt; 5,000</w:t>
      </w:r>
    </w:p>
    <w:p w14:paraId="3C491A15" w14:textId="77777777" w:rsidR="00DA3E06" w:rsidRPr="00DA3E06" w:rsidRDefault="00DA3E06" w:rsidP="00DA3E06">
      <w:pPr>
        <w:snapToGrid w:val="0"/>
        <w:spacing w:after="120"/>
        <w:contextualSpacing/>
        <w:rPr>
          <w:rFonts w:ascii="Arial Narrow" w:hAnsi="Arial Narrow" w:cs="Arial"/>
          <w:i/>
          <w:sz w:val="18"/>
          <w:szCs w:val="22"/>
        </w:rPr>
      </w:pPr>
      <w:r w:rsidRPr="00DA3E06">
        <w:rPr>
          <w:rFonts w:ascii="Arial Narrow" w:hAnsi="Arial Narrow" w:cs="Arial"/>
          <w:i/>
          <w:sz w:val="18"/>
          <w:szCs w:val="22"/>
          <w:vertAlign w:val="superscript"/>
        </w:rPr>
        <w:t>2</w:t>
      </w:r>
      <w:r w:rsidRPr="00DA3E06">
        <w:rPr>
          <w:rFonts w:ascii="Arial Narrow" w:hAnsi="Arial Narrow" w:cs="Arial"/>
          <w:i/>
          <w:sz w:val="18"/>
          <w:szCs w:val="22"/>
        </w:rPr>
        <w:t xml:space="preserve"> &lt; 500</w:t>
      </w:r>
    </w:p>
    <w:p w14:paraId="5B7A64CE" w14:textId="77777777" w:rsidR="00DA3E06" w:rsidRPr="00DA3E06" w:rsidRDefault="00DA3E06" w:rsidP="00DA3E06">
      <w:pPr>
        <w:snapToGrid w:val="0"/>
        <w:spacing w:after="120"/>
        <w:contextualSpacing/>
        <w:rPr>
          <w:rFonts w:ascii="Arial Narrow" w:hAnsi="Arial Narrow" w:cs="Arial"/>
          <w:sz w:val="18"/>
          <w:szCs w:val="22"/>
        </w:rPr>
      </w:pPr>
    </w:p>
    <w:p w14:paraId="017A1020" w14:textId="78363F85" w:rsidR="00DA3E06" w:rsidRPr="00DA3E06" w:rsidRDefault="00DA3E06" w:rsidP="00DA3E06">
      <w:pPr>
        <w:numPr>
          <w:ilvl w:val="1"/>
          <w:numId w:val="9"/>
        </w:numPr>
        <w:spacing w:after="120"/>
        <w:rPr>
          <w:rFonts w:eastAsia="Calibri"/>
          <w:snapToGrid w:val="0"/>
          <w:szCs w:val="22"/>
        </w:rPr>
      </w:pPr>
      <w:r w:rsidRPr="00DA3E06">
        <w:rPr>
          <w:rFonts w:eastAsia="Calibri" w:cs="Arial"/>
          <w:snapToGrid w:val="0"/>
          <w:szCs w:val="22"/>
        </w:rPr>
        <w:t xml:space="preserve">The financial estimates assumed 13.9% of patients have </w:t>
      </w:r>
      <w:r w:rsidRPr="00DA3E06">
        <w:rPr>
          <w:rFonts w:eastAsia="Calibri" w:cs="Arial"/>
          <w:i/>
          <w:iCs/>
          <w:snapToGrid w:val="0"/>
          <w:szCs w:val="22"/>
        </w:rPr>
        <w:t>FGFR2</w:t>
      </w:r>
      <w:r w:rsidRPr="00DA3E06">
        <w:rPr>
          <w:rFonts w:eastAsia="Calibri" w:cs="Arial"/>
          <w:snapToGrid w:val="0"/>
          <w:szCs w:val="22"/>
        </w:rPr>
        <w:t xml:space="preserve"> fusion or rearrangements, calculated as a weighted proportion using data presented in </w:t>
      </w:r>
      <w:r w:rsidRPr="00DA3E06">
        <w:rPr>
          <w:rFonts w:eastAsia="Calibri" w:cs="Arial"/>
          <w:snapToGrid w:val="0"/>
          <w:szCs w:val="22"/>
        </w:rPr>
        <w:fldChar w:fldCharType="begin"/>
      </w:r>
      <w:r w:rsidRPr="00DA3E06">
        <w:rPr>
          <w:rFonts w:eastAsia="Calibri" w:cs="Arial"/>
          <w:snapToGrid w:val="0"/>
          <w:szCs w:val="22"/>
        </w:rPr>
        <w:instrText xml:space="preserve"> REF _Ref201584676 \h </w:instrText>
      </w:r>
      <w:r w:rsidRPr="00DA3E06">
        <w:rPr>
          <w:rFonts w:eastAsia="Calibri" w:cs="Arial"/>
          <w:snapToGrid w:val="0"/>
          <w:szCs w:val="22"/>
        </w:rPr>
      </w:r>
      <w:r w:rsidRPr="00DA3E06">
        <w:rPr>
          <w:rFonts w:eastAsia="Calibri" w:cs="Arial"/>
          <w:snapToGrid w:val="0"/>
          <w:szCs w:val="22"/>
        </w:rPr>
        <w:fldChar w:fldCharType="separate"/>
      </w:r>
      <w:r w:rsidR="00971CD5" w:rsidRPr="00DA3E06">
        <w:rPr>
          <w:rFonts w:ascii="Arial Narrow" w:eastAsia="MS Gothic" w:hAnsi="Arial Narrow"/>
          <w:b/>
          <w:bCs/>
          <w:sz w:val="20"/>
        </w:rPr>
        <w:t xml:space="preserve">Table </w:t>
      </w:r>
      <w:r w:rsidR="00971CD5">
        <w:rPr>
          <w:rFonts w:ascii="Arial Narrow" w:eastAsia="MS Gothic" w:hAnsi="Arial Narrow"/>
          <w:b/>
          <w:bCs/>
          <w:noProof/>
          <w:sz w:val="20"/>
        </w:rPr>
        <w:t>8</w:t>
      </w:r>
      <w:r w:rsidRPr="00DA3E06">
        <w:rPr>
          <w:rFonts w:eastAsia="Calibri" w:cs="Arial"/>
          <w:snapToGrid w:val="0"/>
          <w:szCs w:val="22"/>
        </w:rPr>
        <w:fldChar w:fldCharType="end"/>
      </w:r>
      <w:r w:rsidRPr="00DA3E06">
        <w:rPr>
          <w:rFonts w:eastAsia="Calibri" w:cs="Arial"/>
          <w:snapToGrid w:val="0"/>
          <w:szCs w:val="22"/>
        </w:rPr>
        <w:t xml:space="preserve">. The resubmission stated it had assumed patients would be tested at the first line treatment setting, rather than after patients have progressed on first line treatment. The resubmission stated it had doubled the number of patients tested to reflect this; </w:t>
      </w:r>
      <w:r w:rsidRPr="00DA3E06">
        <w:rPr>
          <w:rFonts w:eastAsia="Calibri" w:cs="Arial"/>
          <w:snapToGrid w:val="0"/>
          <w:szCs w:val="22"/>
        </w:rPr>
        <w:lastRenderedPageBreak/>
        <w:t>however, the submission overview noted that the calculation</w:t>
      </w:r>
      <w:r w:rsidRPr="00DA3E06">
        <w:rPr>
          <w:rFonts w:eastAsia="Calibri" w:cs="Arial"/>
          <w:snapToGrid w:val="0"/>
          <w:szCs w:val="22"/>
          <w:vertAlign w:val="superscript"/>
        </w:rPr>
        <w:footnoteReference w:id="5"/>
      </w:r>
      <w:r w:rsidRPr="00DA3E06">
        <w:rPr>
          <w:rFonts w:eastAsia="Calibri" w:cs="Arial"/>
          <w:snapToGrid w:val="0"/>
          <w:szCs w:val="22"/>
        </w:rPr>
        <w:t xml:space="preserve"> appeared to be based on the proportion of patients that progress to second line treatment. </w:t>
      </w:r>
    </w:p>
    <w:p w14:paraId="42C95492" w14:textId="22905405" w:rsidR="00DA3E06" w:rsidRPr="00DA3E06" w:rsidRDefault="00DA3E06" w:rsidP="00DA3E06">
      <w:pPr>
        <w:keepNext/>
        <w:keepLines/>
        <w:jc w:val="left"/>
        <w:rPr>
          <w:rFonts w:ascii="Arial Narrow" w:eastAsia="MS Gothic" w:hAnsi="Arial Narrow"/>
          <w:b/>
          <w:bCs/>
          <w:sz w:val="20"/>
        </w:rPr>
      </w:pPr>
      <w:bookmarkStart w:id="28" w:name="_Ref201584676"/>
      <w:r w:rsidRPr="00DA3E06">
        <w:rPr>
          <w:rFonts w:ascii="Arial Narrow" w:eastAsia="MS Gothic" w:hAnsi="Arial Narrow"/>
          <w:b/>
          <w:bCs/>
          <w:sz w:val="20"/>
        </w:rPr>
        <w:t xml:space="preserve">Table </w:t>
      </w:r>
      <w:r w:rsidRPr="00DA3E06">
        <w:rPr>
          <w:rFonts w:ascii="Arial Narrow" w:eastAsia="MS Gothic" w:hAnsi="Arial Narrow"/>
          <w:b/>
          <w:bCs/>
          <w:sz w:val="20"/>
        </w:rPr>
        <w:fldChar w:fldCharType="begin"/>
      </w:r>
      <w:r w:rsidRPr="00DA3E06">
        <w:rPr>
          <w:rFonts w:ascii="Arial Narrow" w:eastAsia="MS Gothic" w:hAnsi="Arial Narrow"/>
          <w:b/>
          <w:bCs/>
          <w:sz w:val="20"/>
        </w:rPr>
        <w:instrText xml:space="preserve"> SEQ Table \* ARABIC </w:instrText>
      </w:r>
      <w:r w:rsidRPr="00DA3E06">
        <w:rPr>
          <w:rFonts w:ascii="Arial Narrow" w:eastAsia="MS Gothic" w:hAnsi="Arial Narrow"/>
          <w:b/>
          <w:bCs/>
          <w:sz w:val="20"/>
        </w:rPr>
        <w:fldChar w:fldCharType="separate"/>
      </w:r>
      <w:r w:rsidR="00971CD5">
        <w:rPr>
          <w:rFonts w:ascii="Arial Narrow" w:eastAsia="MS Gothic" w:hAnsi="Arial Narrow"/>
          <w:b/>
          <w:bCs/>
          <w:noProof/>
          <w:sz w:val="20"/>
        </w:rPr>
        <w:t>8</w:t>
      </w:r>
      <w:r w:rsidRPr="00DA3E06">
        <w:rPr>
          <w:rFonts w:ascii="Arial Narrow" w:eastAsia="MS Gothic" w:hAnsi="Arial Narrow"/>
          <w:b/>
          <w:bCs/>
          <w:sz w:val="20"/>
        </w:rPr>
        <w:fldChar w:fldCharType="end"/>
      </w:r>
      <w:bookmarkEnd w:id="28"/>
      <w:r w:rsidRPr="00DA3E06">
        <w:rPr>
          <w:rFonts w:ascii="Arial Narrow" w:eastAsia="MS Gothic" w:hAnsi="Arial Narrow"/>
          <w:b/>
          <w:bCs/>
          <w:sz w:val="20"/>
        </w:rPr>
        <w:t>: Weighted FGFR2 fusion or rearrangement</w:t>
      </w:r>
    </w:p>
    <w:tbl>
      <w:tblPr>
        <w:tblStyle w:val="TableGrid"/>
        <w:tblW w:w="0" w:type="auto"/>
        <w:tblLook w:val="04A0" w:firstRow="1" w:lastRow="0" w:firstColumn="1" w:lastColumn="0" w:noHBand="0" w:noVBand="1"/>
        <w:tblCaption w:val="Weighted FGFR2 fusion or rearrangement"/>
      </w:tblPr>
      <w:tblGrid>
        <w:gridCol w:w="2254"/>
        <w:gridCol w:w="2254"/>
        <w:gridCol w:w="2254"/>
        <w:gridCol w:w="2254"/>
      </w:tblGrid>
      <w:tr w:rsidR="00DA3E06" w:rsidRPr="00DA3E06" w14:paraId="03424B46" w14:textId="77777777">
        <w:tc>
          <w:tcPr>
            <w:tcW w:w="2254" w:type="dxa"/>
            <w:tcBorders>
              <w:top w:val="single" w:sz="4" w:space="0" w:color="auto"/>
              <w:left w:val="single" w:sz="4" w:space="0" w:color="auto"/>
              <w:bottom w:val="single" w:sz="4" w:space="0" w:color="auto"/>
              <w:right w:val="single" w:sz="4" w:space="0" w:color="auto"/>
            </w:tcBorders>
            <w:hideMark/>
          </w:tcPr>
          <w:p w14:paraId="40BE40AE" w14:textId="77777777" w:rsidR="00DA3E06" w:rsidRPr="00DA3E06" w:rsidRDefault="00DA3E06" w:rsidP="00DA3E06">
            <w:pPr>
              <w:keepNext/>
              <w:keepLines/>
              <w:rPr>
                <w:rFonts w:ascii="Arial Narrow" w:eastAsia="Calibri" w:hAnsi="Arial Narrow"/>
                <w:b/>
                <w:bCs/>
                <w:snapToGrid w:val="0"/>
                <w:sz w:val="20"/>
                <w:szCs w:val="18"/>
              </w:rPr>
            </w:pPr>
            <w:r w:rsidRPr="00DA3E06">
              <w:rPr>
                <w:rFonts w:ascii="Arial Narrow" w:eastAsia="Calibri" w:hAnsi="Arial Narrow"/>
                <w:b/>
                <w:bCs/>
                <w:snapToGrid w:val="0"/>
                <w:sz w:val="20"/>
                <w:szCs w:val="18"/>
              </w:rPr>
              <w:t>CAA type</w:t>
            </w:r>
          </w:p>
        </w:tc>
        <w:tc>
          <w:tcPr>
            <w:tcW w:w="2254" w:type="dxa"/>
            <w:tcBorders>
              <w:top w:val="single" w:sz="4" w:space="0" w:color="auto"/>
              <w:left w:val="single" w:sz="4" w:space="0" w:color="auto"/>
              <w:bottom w:val="single" w:sz="4" w:space="0" w:color="auto"/>
              <w:right w:val="single" w:sz="4" w:space="0" w:color="auto"/>
            </w:tcBorders>
            <w:hideMark/>
          </w:tcPr>
          <w:p w14:paraId="5DC417C5" w14:textId="77777777" w:rsidR="00DA3E06" w:rsidRPr="00DA3E06" w:rsidRDefault="00DA3E06" w:rsidP="00DA3E06">
            <w:pPr>
              <w:keepNext/>
              <w:keepLines/>
              <w:rPr>
                <w:rFonts w:ascii="Arial Narrow" w:eastAsia="Calibri" w:hAnsi="Arial Narrow"/>
                <w:b/>
                <w:bCs/>
                <w:snapToGrid w:val="0"/>
                <w:sz w:val="20"/>
                <w:szCs w:val="18"/>
              </w:rPr>
            </w:pPr>
            <w:r w:rsidRPr="00DA3E06">
              <w:rPr>
                <w:rFonts w:ascii="Arial Narrow" w:eastAsia="Calibri" w:hAnsi="Arial Narrow"/>
                <w:b/>
                <w:bCs/>
                <w:snapToGrid w:val="0"/>
                <w:sz w:val="20"/>
                <w:szCs w:val="18"/>
              </w:rPr>
              <w:t>Number of people in 2024</w:t>
            </w:r>
          </w:p>
        </w:tc>
        <w:tc>
          <w:tcPr>
            <w:tcW w:w="2254" w:type="dxa"/>
            <w:tcBorders>
              <w:top w:val="single" w:sz="4" w:space="0" w:color="auto"/>
              <w:left w:val="single" w:sz="4" w:space="0" w:color="auto"/>
              <w:bottom w:val="single" w:sz="4" w:space="0" w:color="auto"/>
              <w:right w:val="single" w:sz="4" w:space="0" w:color="auto"/>
            </w:tcBorders>
            <w:hideMark/>
          </w:tcPr>
          <w:p w14:paraId="46D0C21F" w14:textId="77777777" w:rsidR="00DA3E06" w:rsidRPr="00DA3E06" w:rsidRDefault="00DA3E06" w:rsidP="00DA3E06">
            <w:pPr>
              <w:keepNext/>
              <w:keepLines/>
              <w:rPr>
                <w:rFonts w:ascii="Arial Narrow" w:eastAsia="Calibri" w:hAnsi="Arial Narrow"/>
                <w:b/>
                <w:bCs/>
                <w:snapToGrid w:val="0"/>
                <w:sz w:val="20"/>
                <w:szCs w:val="18"/>
              </w:rPr>
            </w:pPr>
            <w:r w:rsidRPr="00DA3E06">
              <w:rPr>
                <w:rFonts w:ascii="Arial Narrow" w:eastAsia="Calibri" w:hAnsi="Arial Narrow"/>
                <w:b/>
                <w:bCs/>
                <w:snapToGrid w:val="0"/>
                <w:sz w:val="20"/>
                <w:szCs w:val="18"/>
              </w:rPr>
              <w:t>Proportion of CCA</w:t>
            </w:r>
          </w:p>
        </w:tc>
        <w:tc>
          <w:tcPr>
            <w:tcW w:w="2254" w:type="dxa"/>
            <w:tcBorders>
              <w:top w:val="single" w:sz="4" w:space="0" w:color="auto"/>
              <w:left w:val="single" w:sz="4" w:space="0" w:color="auto"/>
              <w:bottom w:val="single" w:sz="4" w:space="0" w:color="auto"/>
              <w:right w:val="single" w:sz="4" w:space="0" w:color="auto"/>
            </w:tcBorders>
            <w:hideMark/>
          </w:tcPr>
          <w:p w14:paraId="51B40C22" w14:textId="77777777" w:rsidR="00DA3E06" w:rsidRPr="00DA3E06" w:rsidRDefault="00DA3E06" w:rsidP="00DA3E06">
            <w:pPr>
              <w:keepNext/>
              <w:keepLines/>
              <w:tabs>
                <w:tab w:val="left" w:pos="1276"/>
              </w:tabs>
              <w:rPr>
                <w:rFonts w:ascii="Arial Narrow" w:eastAsia="Calibri" w:hAnsi="Arial Narrow"/>
                <w:b/>
                <w:bCs/>
                <w:snapToGrid w:val="0"/>
                <w:sz w:val="20"/>
                <w:szCs w:val="18"/>
              </w:rPr>
            </w:pPr>
            <w:r w:rsidRPr="00DA3E06">
              <w:rPr>
                <w:rFonts w:ascii="Arial Narrow" w:eastAsia="Calibri" w:hAnsi="Arial Narrow"/>
                <w:b/>
                <w:bCs/>
                <w:snapToGrid w:val="0"/>
                <w:sz w:val="20"/>
                <w:szCs w:val="18"/>
              </w:rPr>
              <w:t>% FGFR2</w:t>
            </w:r>
            <w:r w:rsidRPr="00DA3E06">
              <w:rPr>
                <w:rFonts w:ascii="Arial Narrow" w:eastAsia="Calibri" w:hAnsi="Arial Narrow"/>
                <w:b/>
                <w:bCs/>
                <w:snapToGrid w:val="0"/>
                <w:sz w:val="20"/>
                <w:szCs w:val="18"/>
              </w:rPr>
              <w:tab/>
            </w:r>
          </w:p>
        </w:tc>
      </w:tr>
      <w:tr w:rsidR="00DA3E06" w:rsidRPr="00DA3E06" w14:paraId="60551F86" w14:textId="77777777">
        <w:tc>
          <w:tcPr>
            <w:tcW w:w="2254" w:type="dxa"/>
            <w:tcBorders>
              <w:top w:val="single" w:sz="4" w:space="0" w:color="auto"/>
              <w:left w:val="single" w:sz="4" w:space="0" w:color="auto"/>
              <w:bottom w:val="single" w:sz="4" w:space="0" w:color="auto"/>
              <w:right w:val="single" w:sz="4" w:space="0" w:color="auto"/>
            </w:tcBorders>
            <w:hideMark/>
          </w:tcPr>
          <w:p w14:paraId="214E6485" w14:textId="77777777" w:rsidR="00DA3E06" w:rsidRPr="00DA3E06" w:rsidRDefault="00DA3E06" w:rsidP="00DA3E06">
            <w:pPr>
              <w:keepNext/>
              <w:keepLines/>
              <w:rPr>
                <w:rFonts w:ascii="Arial Narrow" w:eastAsia="Calibri" w:hAnsi="Arial Narrow"/>
                <w:snapToGrid w:val="0"/>
                <w:sz w:val="20"/>
                <w:szCs w:val="18"/>
              </w:rPr>
            </w:pPr>
            <w:r w:rsidRPr="00DA3E06">
              <w:rPr>
                <w:rFonts w:ascii="Arial Narrow" w:eastAsia="Calibri" w:hAnsi="Arial Narrow"/>
                <w:snapToGrid w:val="0"/>
                <w:sz w:val="20"/>
                <w:szCs w:val="18"/>
              </w:rPr>
              <w:t>Intrahepatic bile duct cancer</w:t>
            </w:r>
          </w:p>
        </w:tc>
        <w:tc>
          <w:tcPr>
            <w:tcW w:w="2254" w:type="dxa"/>
            <w:tcBorders>
              <w:top w:val="single" w:sz="4" w:space="0" w:color="auto"/>
              <w:left w:val="single" w:sz="4" w:space="0" w:color="auto"/>
              <w:bottom w:val="single" w:sz="4" w:space="0" w:color="auto"/>
              <w:right w:val="single" w:sz="4" w:space="0" w:color="auto"/>
            </w:tcBorders>
            <w:hideMark/>
          </w:tcPr>
          <w:p w14:paraId="5772FC9D" w14:textId="77777777" w:rsidR="00DA3E06" w:rsidRPr="00DA3E06" w:rsidRDefault="00DA3E06" w:rsidP="00DA3E06">
            <w:pPr>
              <w:keepNext/>
              <w:keepLines/>
              <w:rPr>
                <w:rFonts w:ascii="Arial Narrow" w:eastAsia="Calibri" w:hAnsi="Arial Narrow"/>
                <w:snapToGrid w:val="0"/>
                <w:sz w:val="20"/>
                <w:szCs w:val="18"/>
              </w:rPr>
            </w:pPr>
            <w:r w:rsidRPr="00DA3E06">
              <w:rPr>
                <w:rFonts w:ascii="Arial Narrow" w:eastAsia="Calibri" w:hAnsi="Arial Narrow"/>
                <w:snapToGrid w:val="0"/>
                <w:sz w:val="20"/>
                <w:szCs w:val="18"/>
              </w:rPr>
              <w:t>719</w:t>
            </w:r>
          </w:p>
        </w:tc>
        <w:tc>
          <w:tcPr>
            <w:tcW w:w="2254" w:type="dxa"/>
            <w:tcBorders>
              <w:top w:val="single" w:sz="4" w:space="0" w:color="auto"/>
              <w:left w:val="single" w:sz="4" w:space="0" w:color="auto"/>
              <w:bottom w:val="single" w:sz="4" w:space="0" w:color="auto"/>
              <w:right w:val="single" w:sz="4" w:space="0" w:color="auto"/>
            </w:tcBorders>
            <w:hideMark/>
          </w:tcPr>
          <w:p w14:paraId="7151E9A6" w14:textId="77777777" w:rsidR="00DA3E06" w:rsidRPr="00DA3E06" w:rsidRDefault="00DA3E06" w:rsidP="00DA3E06">
            <w:pPr>
              <w:keepNext/>
              <w:keepLines/>
              <w:rPr>
                <w:rFonts w:ascii="Arial Narrow" w:eastAsia="Calibri" w:hAnsi="Arial Narrow"/>
                <w:snapToGrid w:val="0"/>
                <w:sz w:val="20"/>
                <w:szCs w:val="18"/>
              </w:rPr>
            </w:pPr>
            <w:r w:rsidRPr="00DA3E06">
              <w:rPr>
                <w:rFonts w:ascii="Arial Narrow" w:eastAsia="Calibri" w:hAnsi="Arial Narrow"/>
                <w:snapToGrid w:val="0"/>
                <w:sz w:val="20"/>
                <w:szCs w:val="18"/>
              </w:rPr>
              <w:t>47.4%</w:t>
            </w:r>
          </w:p>
        </w:tc>
        <w:tc>
          <w:tcPr>
            <w:tcW w:w="2254" w:type="dxa"/>
            <w:tcBorders>
              <w:top w:val="single" w:sz="4" w:space="0" w:color="auto"/>
              <w:left w:val="single" w:sz="4" w:space="0" w:color="auto"/>
              <w:bottom w:val="single" w:sz="4" w:space="0" w:color="auto"/>
              <w:right w:val="single" w:sz="4" w:space="0" w:color="auto"/>
            </w:tcBorders>
            <w:hideMark/>
          </w:tcPr>
          <w:p w14:paraId="6E7D849B" w14:textId="77777777" w:rsidR="00DA3E06" w:rsidRPr="00DA3E06" w:rsidRDefault="00DA3E06" w:rsidP="00DA3E06">
            <w:pPr>
              <w:keepNext/>
              <w:keepLines/>
              <w:rPr>
                <w:rFonts w:ascii="Arial Narrow" w:eastAsia="Calibri" w:hAnsi="Arial Narrow"/>
                <w:snapToGrid w:val="0"/>
                <w:sz w:val="20"/>
                <w:szCs w:val="18"/>
              </w:rPr>
            </w:pPr>
            <w:r w:rsidRPr="00DA3E06">
              <w:rPr>
                <w:rFonts w:ascii="Arial Narrow" w:eastAsia="Calibri" w:hAnsi="Arial Narrow"/>
                <w:snapToGrid w:val="0"/>
                <w:sz w:val="20"/>
                <w:szCs w:val="18"/>
              </w:rPr>
              <w:t>20%</w:t>
            </w:r>
          </w:p>
        </w:tc>
      </w:tr>
      <w:tr w:rsidR="00DA3E06" w:rsidRPr="00DA3E06" w14:paraId="7129AA3B" w14:textId="77777777">
        <w:tc>
          <w:tcPr>
            <w:tcW w:w="2254" w:type="dxa"/>
            <w:tcBorders>
              <w:top w:val="single" w:sz="4" w:space="0" w:color="auto"/>
              <w:left w:val="single" w:sz="4" w:space="0" w:color="auto"/>
              <w:bottom w:val="single" w:sz="4" w:space="0" w:color="auto"/>
              <w:right w:val="single" w:sz="4" w:space="0" w:color="auto"/>
            </w:tcBorders>
            <w:hideMark/>
          </w:tcPr>
          <w:p w14:paraId="3CA74334" w14:textId="77777777" w:rsidR="00DA3E06" w:rsidRPr="00DA3E06" w:rsidRDefault="00DA3E06" w:rsidP="00DA3E06">
            <w:pPr>
              <w:keepNext/>
              <w:keepLines/>
              <w:rPr>
                <w:rFonts w:ascii="Arial Narrow" w:eastAsia="Calibri" w:hAnsi="Arial Narrow"/>
                <w:snapToGrid w:val="0"/>
                <w:sz w:val="20"/>
                <w:szCs w:val="18"/>
              </w:rPr>
            </w:pPr>
            <w:r w:rsidRPr="00DA3E06">
              <w:rPr>
                <w:rFonts w:ascii="Arial Narrow" w:eastAsia="Calibri" w:hAnsi="Arial Narrow"/>
                <w:snapToGrid w:val="0"/>
                <w:sz w:val="20"/>
                <w:szCs w:val="18"/>
              </w:rPr>
              <w:t>Overlapping lesions of biliary tract and biliary tract, unspecified</w:t>
            </w:r>
          </w:p>
        </w:tc>
        <w:tc>
          <w:tcPr>
            <w:tcW w:w="2254" w:type="dxa"/>
            <w:tcBorders>
              <w:top w:val="single" w:sz="4" w:space="0" w:color="auto"/>
              <w:left w:val="single" w:sz="4" w:space="0" w:color="auto"/>
              <w:bottom w:val="single" w:sz="4" w:space="0" w:color="auto"/>
              <w:right w:val="single" w:sz="4" w:space="0" w:color="auto"/>
            </w:tcBorders>
            <w:hideMark/>
          </w:tcPr>
          <w:p w14:paraId="77C9EE77" w14:textId="77777777" w:rsidR="00DA3E06" w:rsidRPr="00DA3E06" w:rsidRDefault="00DA3E06" w:rsidP="00DA3E06">
            <w:pPr>
              <w:keepNext/>
              <w:keepLines/>
              <w:rPr>
                <w:rFonts w:ascii="Arial Narrow" w:eastAsia="Calibri" w:hAnsi="Arial Narrow"/>
                <w:snapToGrid w:val="0"/>
                <w:sz w:val="20"/>
                <w:szCs w:val="18"/>
              </w:rPr>
            </w:pPr>
            <w:r w:rsidRPr="00DA3E06">
              <w:rPr>
                <w:rFonts w:ascii="Arial Narrow" w:eastAsia="Calibri" w:hAnsi="Arial Narrow"/>
                <w:snapToGrid w:val="0"/>
                <w:sz w:val="20"/>
                <w:szCs w:val="18"/>
              </w:rPr>
              <w:t>308</w:t>
            </w:r>
          </w:p>
        </w:tc>
        <w:tc>
          <w:tcPr>
            <w:tcW w:w="2254" w:type="dxa"/>
            <w:tcBorders>
              <w:top w:val="single" w:sz="4" w:space="0" w:color="auto"/>
              <w:left w:val="single" w:sz="4" w:space="0" w:color="auto"/>
              <w:bottom w:val="single" w:sz="4" w:space="0" w:color="auto"/>
              <w:right w:val="single" w:sz="4" w:space="0" w:color="auto"/>
            </w:tcBorders>
            <w:hideMark/>
          </w:tcPr>
          <w:p w14:paraId="18CE3D80" w14:textId="77777777" w:rsidR="00DA3E06" w:rsidRPr="00DA3E06" w:rsidRDefault="00DA3E06" w:rsidP="00DA3E06">
            <w:pPr>
              <w:keepNext/>
              <w:keepLines/>
              <w:rPr>
                <w:rFonts w:ascii="Arial Narrow" w:eastAsia="Calibri" w:hAnsi="Arial Narrow"/>
                <w:snapToGrid w:val="0"/>
                <w:sz w:val="20"/>
                <w:szCs w:val="18"/>
              </w:rPr>
            </w:pPr>
            <w:r w:rsidRPr="00DA3E06">
              <w:rPr>
                <w:rFonts w:ascii="Arial Narrow" w:eastAsia="Calibri" w:hAnsi="Arial Narrow"/>
                <w:snapToGrid w:val="0"/>
                <w:sz w:val="20"/>
                <w:szCs w:val="18"/>
              </w:rPr>
              <w:t>20.3%</w:t>
            </w:r>
          </w:p>
        </w:tc>
        <w:tc>
          <w:tcPr>
            <w:tcW w:w="2254" w:type="dxa"/>
            <w:tcBorders>
              <w:top w:val="single" w:sz="4" w:space="0" w:color="auto"/>
              <w:left w:val="single" w:sz="4" w:space="0" w:color="auto"/>
              <w:bottom w:val="single" w:sz="4" w:space="0" w:color="auto"/>
              <w:right w:val="single" w:sz="4" w:space="0" w:color="auto"/>
            </w:tcBorders>
            <w:hideMark/>
          </w:tcPr>
          <w:p w14:paraId="3B1A0B20" w14:textId="77777777" w:rsidR="00DA3E06" w:rsidRPr="00DA3E06" w:rsidRDefault="00DA3E06" w:rsidP="00DA3E06">
            <w:pPr>
              <w:keepNext/>
              <w:keepLines/>
              <w:rPr>
                <w:rFonts w:ascii="Arial Narrow" w:eastAsia="Calibri" w:hAnsi="Arial Narrow"/>
                <w:snapToGrid w:val="0"/>
                <w:sz w:val="20"/>
                <w:szCs w:val="18"/>
              </w:rPr>
            </w:pPr>
            <w:r w:rsidRPr="00DA3E06">
              <w:rPr>
                <w:rFonts w:ascii="Arial Narrow" w:eastAsia="Calibri" w:hAnsi="Arial Narrow"/>
                <w:snapToGrid w:val="0"/>
                <w:sz w:val="20"/>
                <w:szCs w:val="18"/>
              </w:rPr>
              <w:t>20%</w:t>
            </w:r>
          </w:p>
        </w:tc>
      </w:tr>
      <w:tr w:rsidR="00DA3E06" w:rsidRPr="00DA3E06" w14:paraId="7FA10B2B" w14:textId="77777777">
        <w:tc>
          <w:tcPr>
            <w:tcW w:w="2254" w:type="dxa"/>
            <w:tcBorders>
              <w:top w:val="single" w:sz="4" w:space="0" w:color="auto"/>
              <w:left w:val="single" w:sz="4" w:space="0" w:color="auto"/>
              <w:bottom w:val="single" w:sz="4" w:space="0" w:color="auto"/>
              <w:right w:val="single" w:sz="4" w:space="0" w:color="auto"/>
            </w:tcBorders>
            <w:hideMark/>
          </w:tcPr>
          <w:p w14:paraId="667490F1" w14:textId="77777777" w:rsidR="00DA3E06" w:rsidRPr="00DA3E06" w:rsidRDefault="00DA3E06" w:rsidP="00DA3E06">
            <w:pPr>
              <w:keepNext/>
              <w:keepLines/>
              <w:rPr>
                <w:rFonts w:ascii="Arial Narrow" w:eastAsia="Calibri" w:hAnsi="Arial Narrow"/>
                <w:snapToGrid w:val="0"/>
                <w:sz w:val="20"/>
                <w:szCs w:val="18"/>
              </w:rPr>
            </w:pPr>
            <w:r w:rsidRPr="00DA3E06">
              <w:rPr>
                <w:rFonts w:ascii="Arial Narrow" w:eastAsia="Calibri" w:hAnsi="Arial Narrow"/>
                <w:snapToGrid w:val="0"/>
                <w:sz w:val="20"/>
                <w:szCs w:val="18"/>
              </w:rPr>
              <w:t>Extrahepatic bile duct cancer</w:t>
            </w:r>
          </w:p>
        </w:tc>
        <w:tc>
          <w:tcPr>
            <w:tcW w:w="2254" w:type="dxa"/>
            <w:tcBorders>
              <w:top w:val="single" w:sz="4" w:space="0" w:color="auto"/>
              <w:left w:val="single" w:sz="4" w:space="0" w:color="auto"/>
              <w:bottom w:val="single" w:sz="4" w:space="0" w:color="auto"/>
              <w:right w:val="single" w:sz="4" w:space="0" w:color="auto"/>
            </w:tcBorders>
            <w:hideMark/>
          </w:tcPr>
          <w:p w14:paraId="20E962F7" w14:textId="77777777" w:rsidR="00DA3E06" w:rsidRPr="00DA3E06" w:rsidRDefault="00DA3E06" w:rsidP="00DA3E06">
            <w:pPr>
              <w:keepNext/>
              <w:keepLines/>
              <w:rPr>
                <w:rFonts w:ascii="Arial Narrow" w:eastAsia="Calibri" w:hAnsi="Arial Narrow"/>
                <w:snapToGrid w:val="0"/>
                <w:sz w:val="20"/>
                <w:szCs w:val="18"/>
              </w:rPr>
            </w:pPr>
            <w:r w:rsidRPr="00DA3E06">
              <w:rPr>
                <w:rFonts w:ascii="Arial Narrow" w:eastAsia="Calibri" w:hAnsi="Arial Narrow"/>
                <w:snapToGrid w:val="0"/>
                <w:sz w:val="20"/>
                <w:szCs w:val="18"/>
              </w:rPr>
              <w:t>490</w:t>
            </w:r>
          </w:p>
        </w:tc>
        <w:tc>
          <w:tcPr>
            <w:tcW w:w="2254" w:type="dxa"/>
            <w:tcBorders>
              <w:top w:val="single" w:sz="4" w:space="0" w:color="auto"/>
              <w:left w:val="single" w:sz="4" w:space="0" w:color="auto"/>
              <w:bottom w:val="single" w:sz="4" w:space="0" w:color="auto"/>
              <w:right w:val="single" w:sz="4" w:space="0" w:color="auto"/>
            </w:tcBorders>
            <w:hideMark/>
          </w:tcPr>
          <w:p w14:paraId="34866969" w14:textId="77777777" w:rsidR="00DA3E06" w:rsidRPr="00DA3E06" w:rsidRDefault="00DA3E06" w:rsidP="00DA3E06">
            <w:pPr>
              <w:keepNext/>
              <w:keepLines/>
              <w:rPr>
                <w:rFonts w:ascii="Arial Narrow" w:eastAsia="Calibri" w:hAnsi="Arial Narrow"/>
                <w:snapToGrid w:val="0"/>
                <w:sz w:val="20"/>
                <w:szCs w:val="18"/>
              </w:rPr>
            </w:pPr>
            <w:r w:rsidRPr="00DA3E06">
              <w:rPr>
                <w:rFonts w:ascii="Arial Narrow" w:eastAsia="Calibri" w:hAnsi="Arial Narrow"/>
                <w:snapToGrid w:val="0"/>
                <w:sz w:val="20"/>
                <w:szCs w:val="18"/>
              </w:rPr>
              <w:t>32.3%</w:t>
            </w:r>
          </w:p>
        </w:tc>
        <w:tc>
          <w:tcPr>
            <w:tcW w:w="2254" w:type="dxa"/>
            <w:tcBorders>
              <w:top w:val="single" w:sz="4" w:space="0" w:color="auto"/>
              <w:left w:val="single" w:sz="4" w:space="0" w:color="auto"/>
              <w:bottom w:val="single" w:sz="4" w:space="0" w:color="auto"/>
              <w:right w:val="single" w:sz="4" w:space="0" w:color="auto"/>
            </w:tcBorders>
            <w:hideMark/>
          </w:tcPr>
          <w:p w14:paraId="2386A628" w14:textId="77777777" w:rsidR="00DA3E06" w:rsidRPr="00DA3E06" w:rsidRDefault="00DA3E06" w:rsidP="00DA3E06">
            <w:pPr>
              <w:keepNext/>
              <w:keepLines/>
              <w:rPr>
                <w:rFonts w:ascii="Arial Narrow" w:eastAsia="Calibri" w:hAnsi="Arial Narrow"/>
                <w:snapToGrid w:val="0"/>
                <w:sz w:val="20"/>
                <w:szCs w:val="18"/>
              </w:rPr>
            </w:pPr>
            <w:r w:rsidRPr="00DA3E06">
              <w:rPr>
                <w:rFonts w:ascii="Arial Narrow" w:eastAsia="Calibri" w:hAnsi="Arial Narrow"/>
                <w:snapToGrid w:val="0"/>
                <w:sz w:val="20"/>
                <w:szCs w:val="18"/>
              </w:rPr>
              <w:t>1%</w:t>
            </w:r>
          </w:p>
        </w:tc>
      </w:tr>
      <w:tr w:rsidR="00DA3E06" w:rsidRPr="00DA3E06" w14:paraId="216759B9" w14:textId="77777777">
        <w:tc>
          <w:tcPr>
            <w:tcW w:w="6762" w:type="dxa"/>
            <w:gridSpan w:val="3"/>
            <w:tcBorders>
              <w:top w:val="single" w:sz="4" w:space="0" w:color="auto"/>
              <w:left w:val="single" w:sz="4" w:space="0" w:color="auto"/>
              <w:bottom w:val="single" w:sz="4" w:space="0" w:color="auto"/>
              <w:right w:val="single" w:sz="4" w:space="0" w:color="auto"/>
            </w:tcBorders>
            <w:hideMark/>
          </w:tcPr>
          <w:p w14:paraId="60366B21" w14:textId="77777777" w:rsidR="00DA3E06" w:rsidRPr="00DA3E06" w:rsidRDefault="00DA3E06" w:rsidP="00DA3E06">
            <w:pPr>
              <w:keepNext/>
              <w:keepLines/>
              <w:rPr>
                <w:rFonts w:ascii="Arial Narrow" w:eastAsia="Calibri" w:hAnsi="Arial Narrow"/>
                <w:snapToGrid w:val="0"/>
                <w:sz w:val="20"/>
                <w:szCs w:val="18"/>
              </w:rPr>
            </w:pPr>
            <w:r w:rsidRPr="00DA3E06">
              <w:rPr>
                <w:rFonts w:ascii="Arial Narrow" w:eastAsia="Calibri" w:hAnsi="Arial Narrow"/>
                <w:snapToGrid w:val="0"/>
                <w:sz w:val="20"/>
                <w:szCs w:val="18"/>
              </w:rPr>
              <w:t>Weighted FGFR2 fusion or rearrangement:</w:t>
            </w:r>
          </w:p>
        </w:tc>
        <w:tc>
          <w:tcPr>
            <w:tcW w:w="2254" w:type="dxa"/>
            <w:tcBorders>
              <w:top w:val="single" w:sz="4" w:space="0" w:color="auto"/>
              <w:left w:val="single" w:sz="4" w:space="0" w:color="auto"/>
              <w:bottom w:val="single" w:sz="4" w:space="0" w:color="auto"/>
              <w:right w:val="single" w:sz="4" w:space="0" w:color="auto"/>
            </w:tcBorders>
            <w:hideMark/>
          </w:tcPr>
          <w:p w14:paraId="22B8AA3B" w14:textId="77777777" w:rsidR="00DA3E06" w:rsidRPr="00DA3E06" w:rsidRDefault="00DA3E06" w:rsidP="00DA3E06">
            <w:pPr>
              <w:keepNext/>
              <w:keepLines/>
              <w:rPr>
                <w:rFonts w:ascii="Arial Narrow" w:eastAsia="Calibri" w:hAnsi="Arial Narrow"/>
                <w:snapToGrid w:val="0"/>
                <w:sz w:val="20"/>
                <w:szCs w:val="18"/>
              </w:rPr>
            </w:pPr>
            <w:r w:rsidRPr="00DA3E06">
              <w:rPr>
                <w:rFonts w:ascii="Arial Narrow" w:eastAsia="Calibri" w:hAnsi="Arial Narrow"/>
                <w:snapToGrid w:val="0"/>
                <w:sz w:val="20"/>
                <w:szCs w:val="18"/>
              </w:rPr>
              <w:t>13.9%</w:t>
            </w:r>
          </w:p>
        </w:tc>
      </w:tr>
    </w:tbl>
    <w:p w14:paraId="14E9E234" w14:textId="77777777" w:rsidR="00DA3E06" w:rsidRPr="00DA3E06" w:rsidRDefault="00DA3E06" w:rsidP="00DA3E06">
      <w:pPr>
        <w:snapToGrid w:val="0"/>
        <w:spacing w:after="120"/>
        <w:contextualSpacing/>
        <w:rPr>
          <w:rFonts w:ascii="Arial Narrow" w:hAnsi="Arial Narrow" w:cs="Arial"/>
          <w:sz w:val="18"/>
          <w:szCs w:val="22"/>
        </w:rPr>
      </w:pPr>
      <w:r w:rsidRPr="00DA3E06">
        <w:rPr>
          <w:rFonts w:ascii="Arial Narrow" w:hAnsi="Arial Narrow" w:cs="Arial"/>
          <w:sz w:val="18"/>
          <w:szCs w:val="22"/>
        </w:rPr>
        <w:t>Source: financial table workbook from the resubmission</w:t>
      </w:r>
    </w:p>
    <w:p w14:paraId="6B97B01E" w14:textId="77777777" w:rsidR="00DA3E06" w:rsidRDefault="00DA3E06" w:rsidP="00DA3E06">
      <w:pPr>
        <w:snapToGrid w:val="0"/>
        <w:spacing w:after="120"/>
        <w:contextualSpacing/>
        <w:rPr>
          <w:rFonts w:ascii="Arial Narrow" w:hAnsi="Arial Narrow" w:cs="Arial"/>
          <w:sz w:val="18"/>
          <w:szCs w:val="22"/>
        </w:rPr>
      </w:pPr>
      <w:r w:rsidRPr="00DA3E06">
        <w:rPr>
          <w:rFonts w:ascii="Arial Narrow" w:hAnsi="Arial Narrow" w:cs="Arial"/>
          <w:sz w:val="18"/>
          <w:szCs w:val="22"/>
        </w:rPr>
        <w:t>CCA, cholangiocarcinoma; FGFR2, Fibroblast Growth Factor Receptor 2</w:t>
      </w:r>
    </w:p>
    <w:p w14:paraId="53220CDA" w14:textId="77777777" w:rsidR="005F4F77" w:rsidRPr="00DA3E06" w:rsidRDefault="005F4F77" w:rsidP="00DA3E06">
      <w:pPr>
        <w:snapToGrid w:val="0"/>
        <w:spacing w:after="120"/>
        <w:contextualSpacing/>
        <w:rPr>
          <w:rFonts w:ascii="Arial Narrow" w:hAnsi="Arial Narrow" w:cs="Arial"/>
          <w:sz w:val="18"/>
          <w:szCs w:val="22"/>
        </w:rPr>
      </w:pPr>
    </w:p>
    <w:p w14:paraId="354C56D3" w14:textId="2A0D4EFF" w:rsidR="00DA3E06" w:rsidRPr="00DA3E06" w:rsidRDefault="00DA3E06" w:rsidP="00DA3E06">
      <w:pPr>
        <w:numPr>
          <w:ilvl w:val="1"/>
          <w:numId w:val="9"/>
        </w:numPr>
        <w:spacing w:after="120"/>
        <w:rPr>
          <w:rFonts w:eastAsia="Calibri"/>
          <w:snapToGrid w:val="0"/>
          <w:szCs w:val="22"/>
        </w:rPr>
      </w:pPr>
      <w:bookmarkStart w:id="29" w:name="_Ref201733442"/>
      <w:bookmarkStart w:id="30" w:name="_Ref202972763"/>
      <w:bookmarkStart w:id="31" w:name="_Ref204864700"/>
      <w:r w:rsidRPr="00DA3E06">
        <w:rPr>
          <w:rFonts w:eastAsia="Calibri" w:cs="Arial"/>
          <w:snapToGrid w:val="0"/>
          <w:szCs w:val="22"/>
        </w:rPr>
        <w:t xml:space="preserve">The submission overview identified an error in the financial estimates workbook. Given the average treatment duration for incident patients is longer than 1 year, the workbook has correctly applied this in the DTG worksheet. However, the 3a. Scripts-proposed worksheet should reflect a treatment duration of 52 weeks as the DTG worksheet has converted treated patient to patient years. As the treatment duration of grandfathered patients is less than 1 year, the DTG worksheet is not required and treatment duration can be included on the 3a. Scripts-proposed worksheet. Additionally, the submission overview considered that the treatment duration should be reduced to be consistent with the revised economic model (see paragraph </w:t>
      </w:r>
      <w:r w:rsidRPr="00DA3E06">
        <w:rPr>
          <w:rFonts w:eastAsia="Calibri" w:cs="Arial"/>
          <w:snapToGrid w:val="0"/>
          <w:szCs w:val="22"/>
        </w:rPr>
        <w:fldChar w:fldCharType="begin"/>
      </w:r>
      <w:r w:rsidRPr="00DA3E06">
        <w:rPr>
          <w:rFonts w:eastAsia="Calibri" w:cs="Arial"/>
          <w:snapToGrid w:val="0"/>
          <w:szCs w:val="22"/>
        </w:rPr>
        <w:instrText xml:space="preserve"> REF _Ref201733364 \r \h  \* MERGEFORMAT </w:instrText>
      </w:r>
      <w:r w:rsidRPr="00DA3E06">
        <w:rPr>
          <w:rFonts w:eastAsia="Calibri" w:cs="Arial"/>
          <w:snapToGrid w:val="0"/>
          <w:szCs w:val="22"/>
        </w:rPr>
      </w:r>
      <w:r w:rsidRPr="00DA3E06">
        <w:rPr>
          <w:rFonts w:eastAsia="Calibri" w:cs="Arial"/>
          <w:snapToGrid w:val="0"/>
          <w:szCs w:val="22"/>
        </w:rPr>
        <w:fldChar w:fldCharType="separate"/>
      </w:r>
      <w:r w:rsidR="00971CD5">
        <w:rPr>
          <w:rFonts w:eastAsia="Calibri" w:cs="Arial"/>
          <w:snapToGrid w:val="0"/>
          <w:szCs w:val="22"/>
        </w:rPr>
        <w:t>4.20</w:t>
      </w:r>
      <w:r w:rsidRPr="00DA3E06">
        <w:rPr>
          <w:rFonts w:eastAsia="Calibri" w:cs="Arial"/>
          <w:snapToGrid w:val="0"/>
          <w:szCs w:val="22"/>
        </w:rPr>
        <w:fldChar w:fldCharType="end"/>
      </w:r>
      <w:r w:rsidRPr="00DA3E06">
        <w:rPr>
          <w:rFonts w:eastAsia="Calibri" w:cs="Arial"/>
          <w:snapToGrid w:val="0"/>
          <w:szCs w:val="22"/>
        </w:rPr>
        <w:t>).</w:t>
      </w:r>
      <w:bookmarkEnd w:id="29"/>
      <w:bookmarkEnd w:id="30"/>
      <w:bookmarkEnd w:id="31"/>
      <w:r w:rsidRPr="00DA3E06">
        <w:rPr>
          <w:rFonts w:eastAsia="Calibri" w:cs="Arial"/>
          <w:snapToGrid w:val="0"/>
          <w:szCs w:val="22"/>
        </w:rPr>
        <w:t xml:space="preserve"> </w:t>
      </w:r>
    </w:p>
    <w:p w14:paraId="4CABB418" w14:textId="7F867E3C" w:rsidR="00DA3E06" w:rsidRPr="00DA3E06" w:rsidRDefault="00DA3E06" w:rsidP="00DA3E06">
      <w:pPr>
        <w:keepNext/>
        <w:keepLines/>
        <w:jc w:val="left"/>
        <w:rPr>
          <w:rFonts w:ascii="Arial Narrow" w:eastAsia="MS Gothic" w:hAnsi="Arial Narrow"/>
          <w:b/>
          <w:bCs/>
          <w:sz w:val="20"/>
        </w:rPr>
      </w:pPr>
      <w:r w:rsidRPr="00DA3E06">
        <w:rPr>
          <w:rFonts w:ascii="Arial Narrow" w:eastAsia="MS Gothic" w:hAnsi="Arial Narrow"/>
          <w:b/>
          <w:bCs/>
          <w:sz w:val="20"/>
        </w:rPr>
        <w:lastRenderedPageBreak/>
        <w:t xml:space="preserve">Table </w:t>
      </w:r>
      <w:r w:rsidRPr="00DA3E06">
        <w:rPr>
          <w:rFonts w:ascii="Arial Narrow" w:eastAsia="MS Gothic" w:hAnsi="Arial Narrow"/>
          <w:b/>
          <w:bCs/>
          <w:sz w:val="20"/>
        </w:rPr>
        <w:fldChar w:fldCharType="begin"/>
      </w:r>
      <w:r w:rsidRPr="00DA3E06">
        <w:rPr>
          <w:rFonts w:ascii="Arial Narrow" w:eastAsia="MS Gothic" w:hAnsi="Arial Narrow"/>
          <w:b/>
          <w:bCs/>
          <w:sz w:val="20"/>
        </w:rPr>
        <w:instrText xml:space="preserve"> SEQ Table \* ARABIC </w:instrText>
      </w:r>
      <w:r w:rsidRPr="00DA3E06">
        <w:rPr>
          <w:rFonts w:ascii="Arial Narrow" w:eastAsia="MS Gothic" w:hAnsi="Arial Narrow"/>
          <w:b/>
          <w:bCs/>
          <w:sz w:val="20"/>
        </w:rPr>
        <w:fldChar w:fldCharType="separate"/>
      </w:r>
      <w:r w:rsidR="00971CD5">
        <w:rPr>
          <w:rFonts w:ascii="Arial Narrow" w:eastAsia="MS Gothic" w:hAnsi="Arial Narrow"/>
          <w:b/>
          <w:bCs/>
          <w:noProof/>
          <w:sz w:val="20"/>
        </w:rPr>
        <w:t>9</w:t>
      </w:r>
      <w:r w:rsidRPr="00DA3E06">
        <w:rPr>
          <w:rFonts w:ascii="Arial Narrow" w:eastAsia="MS Gothic" w:hAnsi="Arial Narrow"/>
          <w:b/>
          <w:bCs/>
          <w:noProof/>
          <w:sz w:val="20"/>
        </w:rPr>
        <w:fldChar w:fldCharType="end"/>
      </w:r>
      <w:r w:rsidRPr="00DA3E06">
        <w:rPr>
          <w:rFonts w:ascii="Arial Narrow" w:eastAsia="MS Gothic" w:hAnsi="Arial Narrow"/>
          <w:b/>
          <w:bCs/>
          <w:sz w:val="20"/>
        </w:rPr>
        <w:t>: Estimated use and financial implications</w:t>
      </w:r>
    </w:p>
    <w:tbl>
      <w:tblPr>
        <w:tblStyle w:val="PBACTableStyle1"/>
        <w:tblW w:w="4956" w:type="pct"/>
        <w:tblInd w:w="0" w:type="dxa"/>
        <w:tblLook w:val="04A0" w:firstRow="1" w:lastRow="0" w:firstColumn="1" w:lastColumn="0" w:noHBand="0" w:noVBand="1"/>
        <w:tblCaption w:val="Estimated use and financial implications"/>
      </w:tblPr>
      <w:tblGrid>
        <w:gridCol w:w="2350"/>
        <w:gridCol w:w="1401"/>
        <w:gridCol w:w="1037"/>
        <w:gridCol w:w="1037"/>
        <w:gridCol w:w="1037"/>
        <w:gridCol w:w="1037"/>
        <w:gridCol w:w="1038"/>
      </w:tblGrid>
      <w:tr w:rsidR="00DA3E06" w:rsidRPr="00DA3E06" w14:paraId="789A630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tcPr>
          <w:p w14:paraId="7228D595" w14:textId="77777777" w:rsidR="00DA3E06" w:rsidRPr="00DA3E06" w:rsidRDefault="00DA3E06" w:rsidP="00DA3E06">
            <w:pPr>
              <w:keepNext/>
              <w:keepLines/>
              <w:ind w:right="57"/>
              <w:jc w:val="center"/>
              <w:rPr>
                <w:rFonts w:ascii="Arial Narrow" w:eastAsia="MS Gothic" w:hAnsi="Arial Narrow" w:cs="Times New Roman" w:hint="default"/>
                <w:bCs/>
                <w:sz w:val="20"/>
              </w:rPr>
            </w:pPr>
          </w:p>
        </w:tc>
        <w:tc>
          <w:tcPr>
            <w:tcW w:w="784" w:type="pct"/>
            <w:tcBorders>
              <w:top w:val="single" w:sz="4" w:space="0" w:color="auto"/>
              <w:left w:val="single" w:sz="4" w:space="0" w:color="auto"/>
              <w:bottom w:val="single" w:sz="4" w:space="0" w:color="auto"/>
              <w:right w:val="single" w:sz="4" w:space="0" w:color="auto"/>
            </w:tcBorders>
            <w:hideMark/>
          </w:tcPr>
          <w:p w14:paraId="23969F4E" w14:textId="77777777" w:rsidR="00DA3E06" w:rsidRPr="00DA3E06" w:rsidRDefault="00DA3E06" w:rsidP="00DA3E06">
            <w:pPr>
              <w:keepNext/>
              <w:keepLines/>
              <w:ind w:right="57"/>
              <w:jc w:val="center"/>
              <w:cnfStyle w:val="100000000000" w:firstRow="1" w:lastRow="0" w:firstColumn="0" w:lastColumn="0" w:oddVBand="0" w:evenVBand="0" w:oddHBand="0" w:evenHBand="0" w:firstRowFirstColumn="0" w:firstRowLastColumn="0" w:lastRowFirstColumn="0" w:lastRowLastColumn="0"/>
              <w:rPr>
                <w:rFonts w:ascii="Arial Narrow" w:eastAsia="MS Gothic" w:hAnsi="Arial Narrow" w:cs="Times New Roman" w:hint="default"/>
                <w:bCs/>
                <w:sz w:val="20"/>
              </w:rPr>
            </w:pPr>
            <w:r w:rsidRPr="00DA3E06">
              <w:rPr>
                <w:rFonts w:ascii="Arial Narrow" w:eastAsia="MS Gothic" w:hAnsi="Arial Narrow" w:cs="Times New Roman" w:hint="default"/>
                <w:bCs/>
                <w:sz w:val="20"/>
              </w:rPr>
              <w:t>Year 1</w:t>
            </w:r>
          </w:p>
        </w:tc>
        <w:tc>
          <w:tcPr>
            <w:tcW w:w="580" w:type="pct"/>
            <w:tcBorders>
              <w:top w:val="single" w:sz="4" w:space="0" w:color="auto"/>
              <w:left w:val="single" w:sz="4" w:space="0" w:color="auto"/>
              <w:bottom w:val="single" w:sz="4" w:space="0" w:color="auto"/>
              <w:right w:val="single" w:sz="4" w:space="0" w:color="auto"/>
            </w:tcBorders>
            <w:hideMark/>
          </w:tcPr>
          <w:p w14:paraId="646A35A5" w14:textId="77777777" w:rsidR="00DA3E06" w:rsidRPr="00DA3E06" w:rsidRDefault="00DA3E06" w:rsidP="00DA3E06">
            <w:pPr>
              <w:keepNext/>
              <w:keepLines/>
              <w:ind w:right="57"/>
              <w:jc w:val="center"/>
              <w:cnfStyle w:val="100000000000" w:firstRow="1" w:lastRow="0" w:firstColumn="0" w:lastColumn="0" w:oddVBand="0" w:evenVBand="0" w:oddHBand="0" w:evenHBand="0" w:firstRowFirstColumn="0" w:firstRowLastColumn="0" w:lastRowFirstColumn="0" w:lastRowLastColumn="0"/>
              <w:rPr>
                <w:rFonts w:ascii="Arial Narrow" w:eastAsia="MS Gothic" w:hAnsi="Arial Narrow" w:cs="Times New Roman" w:hint="default"/>
                <w:bCs/>
                <w:sz w:val="20"/>
              </w:rPr>
            </w:pPr>
            <w:r w:rsidRPr="00DA3E06">
              <w:rPr>
                <w:rFonts w:ascii="Arial Narrow" w:eastAsia="MS Gothic" w:hAnsi="Arial Narrow" w:cs="Times New Roman" w:hint="default"/>
                <w:bCs/>
                <w:sz w:val="20"/>
              </w:rPr>
              <w:t>Year 2</w:t>
            </w:r>
          </w:p>
        </w:tc>
        <w:tc>
          <w:tcPr>
            <w:tcW w:w="580" w:type="pct"/>
            <w:tcBorders>
              <w:top w:val="single" w:sz="4" w:space="0" w:color="auto"/>
              <w:left w:val="single" w:sz="4" w:space="0" w:color="auto"/>
              <w:bottom w:val="single" w:sz="4" w:space="0" w:color="auto"/>
              <w:right w:val="single" w:sz="4" w:space="0" w:color="auto"/>
            </w:tcBorders>
            <w:hideMark/>
          </w:tcPr>
          <w:p w14:paraId="5998F1A0" w14:textId="77777777" w:rsidR="00DA3E06" w:rsidRPr="00DA3E06" w:rsidRDefault="00DA3E06" w:rsidP="00DA3E06">
            <w:pPr>
              <w:keepNext/>
              <w:keepLines/>
              <w:ind w:right="57"/>
              <w:jc w:val="center"/>
              <w:cnfStyle w:val="100000000000" w:firstRow="1" w:lastRow="0" w:firstColumn="0" w:lastColumn="0" w:oddVBand="0" w:evenVBand="0" w:oddHBand="0" w:evenHBand="0" w:firstRowFirstColumn="0" w:firstRowLastColumn="0" w:lastRowFirstColumn="0" w:lastRowLastColumn="0"/>
              <w:rPr>
                <w:rFonts w:ascii="Arial Narrow" w:eastAsia="MS Gothic" w:hAnsi="Arial Narrow" w:cs="Times New Roman" w:hint="default"/>
                <w:bCs/>
                <w:sz w:val="20"/>
              </w:rPr>
            </w:pPr>
            <w:r w:rsidRPr="00DA3E06">
              <w:rPr>
                <w:rFonts w:ascii="Arial Narrow" w:eastAsia="MS Gothic" w:hAnsi="Arial Narrow" w:cs="Times New Roman" w:hint="default"/>
                <w:bCs/>
                <w:sz w:val="20"/>
              </w:rPr>
              <w:t>Year 3</w:t>
            </w:r>
          </w:p>
        </w:tc>
        <w:tc>
          <w:tcPr>
            <w:tcW w:w="580" w:type="pct"/>
            <w:tcBorders>
              <w:top w:val="single" w:sz="4" w:space="0" w:color="auto"/>
              <w:left w:val="single" w:sz="4" w:space="0" w:color="auto"/>
              <w:bottom w:val="single" w:sz="4" w:space="0" w:color="auto"/>
              <w:right w:val="single" w:sz="4" w:space="0" w:color="auto"/>
            </w:tcBorders>
            <w:hideMark/>
          </w:tcPr>
          <w:p w14:paraId="5B7A7C89" w14:textId="77777777" w:rsidR="00DA3E06" w:rsidRPr="00DA3E06" w:rsidRDefault="00DA3E06" w:rsidP="00DA3E06">
            <w:pPr>
              <w:keepNext/>
              <w:keepLines/>
              <w:ind w:right="57"/>
              <w:jc w:val="center"/>
              <w:cnfStyle w:val="100000000000" w:firstRow="1" w:lastRow="0" w:firstColumn="0" w:lastColumn="0" w:oddVBand="0" w:evenVBand="0" w:oddHBand="0" w:evenHBand="0" w:firstRowFirstColumn="0" w:firstRowLastColumn="0" w:lastRowFirstColumn="0" w:lastRowLastColumn="0"/>
              <w:rPr>
                <w:rFonts w:ascii="Arial Narrow" w:eastAsia="MS Gothic" w:hAnsi="Arial Narrow" w:cs="Times New Roman" w:hint="default"/>
                <w:bCs/>
                <w:sz w:val="20"/>
              </w:rPr>
            </w:pPr>
            <w:r w:rsidRPr="00DA3E06">
              <w:rPr>
                <w:rFonts w:ascii="Arial Narrow" w:eastAsia="MS Gothic" w:hAnsi="Arial Narrow" w:cs="Times New Roman" w:hint="default"/>
                <w:bCs/>
                <w:sz w:val="20"/>
              </w:rPr>
              <w:t>Year 4</w:t>
            </w:r>
          </w:p>
        </w:tc>
        <w:tc>
          <w:tcPr>
            <w:tcW w:w="580" w:type="pct"/>
            <w:tcBorders>
              <w:top w:val="single" w:sz="4" w:space="0" w:color="auto"/>
              <w:left w:val="single" w:sz="4" w:space="0" w:color="auto"/>
              <w:bottom w:val="single" w:sz="4" w:space="0" w:color="auto"/>
              <w:right w:val="single" w:sz="4" w:space="0" w:color="auto"/>
            </w:tcBorders>
            <w:hideMark/>
          </w:tcPr>
          <w:p w14:paraId="050885D0" w14:textId="77777777" w:rsidR="00DA3E06" w:rsidRPr="00DA3E06" w:rsidRDefault="00DA3E06" w:rsidP="00DA3E06">
            <w:pPr>
              <w:keepNext/>
              <w:keepLines/>
              <w:ind w:right="57"/>
              <w:jc w:val="center"/>
              <w:cnfStyle w:val="100000000000" w:firstRow="1" w:lastRow="0" w:firstColumn="0" w:lastColumn="0" w:oddVBand="0" w:evenVBand="0" w:oddHBand="0" w:evenHBand="0" w:firstRowFirstColumn="0" w:firstRowLastColumn="0" w:lastRowFirstColumn="0" w:lastRowLastColumn="0"/>
              <w:rPr>
                <w:rFonts w:ascii="Arial Narrow" w:eastAsia="MS Gothic" w:hAnsi="Arial Narrow" w:cs="Times New Roman" w:hint="default"/>
                <w:bCs/>
                <w:sz w:val="20"/>
              </w:rPr>
            </w:pPr>
            <w:r w:rsidRPr="00DA3E06">
              <w:rPr>
                <w:rFonts w:ascii="Arial Narrow" w:eastAsia="MS Gothic" w:hAnsi="Arial Narrow" w:cs="Times New Roman" w:hint="default"/>
                <w:bCs/>
                <w:sz w:val="20"/>
              </w:rPr>
              <w:t>Year 5</w:t>
            </w:r>
          </w:p>
        </w:tc>
        <w:tc>
          <w:tcPr>
            <w:tcW w:w="581" w:type="pct"/>
            <w:tcBorders>
              <w:top w:val="single" w:sz="4" w:space="0" w:color="auto"/>
              <w:left w:val="single" w:sz="4" w:space="0" w:color="auto"/>
              <w:bottom w:val="single" w:sz="4" w:space="0" w:color="auto"/>
              <w:right w:val="single" w:sz="4" w:space="0" w:color="auto"/>
            </w:tcBorders>
            <w:hideMark/>
          </w:tcPr>
          <w:p w14:paraId="33024193" w14:textId="77777777" w:rsidR="00DA3E06" w:rsidRPr="00DA3E06" w:rsidRDefault="00DA3E06" w:rsidP="00DA3E06">
            <w:pPr>
              <w:keepNext/>
              <w:keepLines/>
              <w:ind w:right="57"/>
              <w:jc w:val="center"/>
              <w:cnfStyle w:val="100000000000" w:firstRow="1" w:lastRow="0" w:firstColumn="0" w:lastColumn="0" w:oddVBand="0" w:evenVBand="0" w:oddHBand="0" w:evenHBand="0" w:firstRowFirstColumn="0" w:firstRowLastColumn="0" w:lastRowFirstColumn="0" w:lastRowLastColumn="0"/>
              <w:rPr>
                <w:rFonts w:ascii="Arial Narrow" w:eastAsia="MS Gothic" w:hAnsi="Arial Narrow" w:cs="Times New Roman" w:hint="default"/>
                <w:bCs/>
                <w:sz w:val="20"/>
              </w:rPr>
            </w:pPr>
            <w:r w:rsidRPr="00DA3E06">
              <w:rPr>
                <w:rFonts w:ascii="Arial Narrow" w:eastAsia="MS Gothic" w:hAnsi="Arial Narrow" w:cs="Times New Roman" w:hint="default"/>
                <w:bCs/>
                <w:sz w:val="20"/>
              </w:rPr>
              <w:t>Year 6</w:t>
            </w:r>
          </w:p>
        </w:tc>
      </w:tr>
      <w:tr w:rsidR="00DA3E06" w:rsidRPr="00DA3E06" w14:paraId="1EBF4B52" w14:textId="77777777">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hideMark/>
          </w:tcPr>
          <w:p w14:paraId="55D67124" w14:textId="77777777" w:rsidR="00DA3E06" w:rsidRPr="00DA3E06" w:rsidRDefault="00DA3E06" w:rsidP="00DA3E06">
            <w:pPr>
              <w:keepNext/>
              <w:keepLines/>
              <w:tabs>
                <w:tab w:val="decimal" w:pos="0"/>
              </w:tab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 xml:space="preserve"> </w:t>
            </w:r>
            <w:r w:rsidRPr="00DA3E06">
              <w:rPr>
                <w:rFonts w:ascii="Arial Narrow" w:eastAsia="MS Gothic" w:hAnsi="Arial Narrow" w:cs="Times New Roman" w:hint="default"/>
                <w:b/>
                <w:bCs/>
                <w:sz w:val="20"/>
              </w:rPr>
              <w:t>Estimated patient numbers</w:t>
            </w:r>
          </w:p>
        </w:tc>
      </w:tr>
      <w:tr w:rsidR="00DA3E06" w:rsidRPr="00DA3E06" w14:paraId="1FC070C5" w14:textId="77777777">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2BB94914"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Total incident population</w:t>
            </w:r>
          </w:p>
        </w:tc>
        <w:tc>
          <w:tcPr>
            <w:tcW w:w="784" w:type="pct"/>
            <w:tcBorders>
              <w:top w:val="single" w:sz="4" w:space="0" w:color="auto"/>
              <w:left w:val="single" w:sz="4" w:space="0" w:color="auto"/>
              <w:bottom w:val="single" w:sz="4" w:space="0" w:color="auto"/>
              <w:right w:val="single" w:sz="4" w:space="0" w:color="auto"/>
            </w:tcBorders>
            <w:hideMark/>
          </w:tcPr>
          <w:p w14:paraId="7E355842"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vertAlign w:val="superscript"/>
              </w:rPr>
            </w:pPr>
            <w:r w:rsidRPr="00DA3E06">
              <w:rPr>
                <w:rFonts w:ascii="Arial Narrow" w:hAnsi="Arial Narrow"/>
                <w:color w:val="000000"/>
                <w:spacing w:val="55"/>
                <w:sz w:val="20"/>
                <w:szCs w:val="20"/>
                <w:shd w:val="solid" w:color="000000" w:fill="000000"/>
                <w:fitText w:val="336" w:id="-509906166"/>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6"/>
                <w14:textFill>
                  <w14:solidFill>
                    <w14:srgbClr w14:val="000000">
                      <w14:alpha w14:val="100000"/>
                    </w14:srgbClr>
                  </w14:solidFill>
                </w14:textFill>
              </w:rPr>
              <w:t>|</w:t>
            </w:r>
            <w:r w:rsidRPr="00DA3E06">
              <w:rPr>
                <w:rFonts w:ascii="Arial Narrow" w:hAnsi="Arial Narrow"/>
                <w:sz w:val="20"/>
                <w:szCs w:val="20"/>
                <w:vertAlign w:val="superscript"/>
              </w:rPr>
              <w:t>1</w:t>
            </w:r>
          </w:p>
        </w:tc>
        <w:tc>
          <w:tcPr>
            <w:tcW w:w="580" w:type="pct"/>
            <w:tcBorders>
              <w:top w:val="single" w:sz="4" w:space="0" w:color="auto"/>
              <w:left w:val="single" w:sz="4" w:space="0" w:color="auto"/>
              <w:bottom w:val="single" w:sz="4" w:space="0" w:color="auto"/>
              <w:right w:val="single" w:sz="4" w:space="0" w:color="auto"/>
            </w:tcBorders>
            <w:hideMark/>
          </w:tcPr>
          <w:p w14:paraId="5F87CD91"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65"/>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5"/>
                <w14:textFill>
                  <w14:solidFill>
                    <w14:srgbClr w14:val="000000">
                      <w14:alpha w14:val="100000"/>
                    </w14:srgbClr>
                  </w14:solidFill>
                </w14:textFill>
              </w:rPr>
              <w:t>|</w:t>
            </w:r>
            <w:r w:rsidRPr="00DA3E06">
              <w:rPr>
                <w:rFonts w:ascii="Arial Narrow" w:hAnsi="Arial Narrow"/>
                <w:sz w:val="20"/>
                <w:szCs w:val="20"/>
                <w:vertAlign w:val="superscript"/>
              </w:rPr>
              <w:t>1</w:t>
            </w:r>
          </w:p>
        </w:tc>
        <w:tc>
          <w:tcPr>
            <w:tcW w:w="580" w:type="pct"/>
            <w:tcBorders>
              <w:top w:val="single" w:sz="4" w:space="0" w:color="auto"/>
              <w:left w:val="single" w:sz="4" w:space="0" w:color="auto"/>
              <w:bottom w:val="single" w:sz="4" w:space="0" w:color="auto"/>
              <w:right w:val="single" w:sz="4" w:space="0" w:color="auto"/>
            </w:tcBorders>
            <w:hideMark/>
          </w:tcPr>
          <w:p w14:paraId="77E61B99"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64"/>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4"/>
                <w14:textFill>
                  <w14:solidFill>
                    <w14:srgbClr w14:val="000000">
                      <w14:alpha w14:val="100000"/>
                    </w14:srgbClr>
                  </w14:solidFill>
                </w14:textFill>
              </w:rPr>
              <w:t>|</w:t>
            </w:r>
            <w:r w:rsidRPr="00DA3E06">
              <w:rPr>
                <w:rFonts w:ascii="Arial Narrow" w:eastAsia="MS Gothic" w:hAnsi="Arial Narrow"/>
                <w:bCs/>
                <w:sz w:val="20"/>
                <w:szCs w:val="20"/>
                <w:vertAlign w:val="superscript"/>
              </w:rPr>
              <w:t>1</w:t>
            </w:r>
          </w:p>
        </w:tc>
        <w:tc>
          <w:tcPr>
            <w:tcW w:w="580" w:type="pct"/>
            <w:tcBorders>
              <w:top w:val="single" w:sz="4" w:space="0" w:color="auto"/>
              <w:left w:val="single" w:sz="4" w:space="0" w:color="auto"/>
              <w:bottom w:val="single" w:sz="4" w:space="0" w:color="auto"/>
              <w:right w:val="single" w:sz="4" w:space="0" w:color="auto"/>
            </w:tcBorders>
            <w:hideMark/>
          </w:tcPr>
          <w:p w14:paraId="51BDBA50"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1"/>
                <w:sz w:val="20"/>
                <w:szCs w:val="20"/>
                <w:shd w:val="solid" w:color="000000" w:fill="000000"/>
                <w:fitText w:val="324" w:id="-509906163"/>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3"/>
                <w14:textFill>
                  <w14:solidFill>
                    <w14:srgbClr w14:val="000000">
                      <w14:alpha w14:val="100000"/>
                    </w14:srgbClr>
                  </w14:solidFill>
                </w14:textFill>
              </w:rPr>
              <w:t>|</w:t>
            </w:r>
            <w:r w:rsidRPr="00DA3E06">
              <w:rPr>
                <w:rFonts w:ascii="Arial Narrow" w:eastAsia="MS Gothic" w:hAnsi="Arial Narrow"/>
                <w:bCs/>
                <w:sz w:val="20"/>
                <w:szCs w:val="20"/>
                <w:vertAlign w:val="superscript"/>
              </w:rPr>
              <w:t>1</w:t>
            </w:r>
          </w:p>
        </w:tc>
        <w:tc>
          <w:tcPr>
            <w:tcW w:w="580" w:type="pct"/>
            <w:tcBorders>
              <w:top w:val="single" w:sz="4" w:space="0" w:color="auto"/>
              <w:left w:val="single" w:sz="4" w:space="0" w:color="auto"/>
              <w:bottom w:val="single" w:sz="4" w:space="0" w:color="auto"/>
              <w:right w:val="single" w:sz="4" w:space="0" w:color="auto"/>
            </w:tcBorders>
            <w:hideMark/>
          </w:tcPr>
          <w:p w14:paraId="76A1611B"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1"/>
                <w:sz w:val="20"/>
                <w:szCs w:val="20"/>
                <w:shd w:val="solid" w:color="000000" w:fill="000000"/>
                <w:fitText w:val="324" w:id="-509906162"/>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2"/>
                <w14:textFill>
                  <w14:solidFill>
                    <w14:srgbClr w14:val="000000">
                      <w14:alpha w14:val="100000"/>
                    </w14:srgbClr>
                  </w14:solidFill>
                </w14:textFill>
              </w:rPr>
              <w:t>|</w:t>
            </w:r>
            <w:r w:rsidRPr="00DA3E06">
              <w:rPr>
                <w:rFonts w:ascii="Arial Narrow" w:eastAsia="MS Gothic" w:hAnsi="Arial Narrow"/>
                <w:bCs/>
                <w:sz w:val="20"/>
                <w:szCs w:val="20"/>
                <w:vertAlign w:val="superscript"/>
              </w:rPr>
              <w:t>1</w:t>
            </w:r>
          </w:p>
        </w:tc>
        <w:tc>
          <w:tcPr>
            <w:tcW w:w="581" w:type="pct"/>
            <w:tcBorders>
              <w:top w:val="single" w:sz="4" w:space="0" w:color="auto"/>
              <w:left w:val="single" w:sz="4" w:space="0" w:color="auto"/>
              <w:bottom w:val="single" w:sz="4" w:space="0" w:color="auto"/>
              <w:right w:val="single" w:sz="4" w:space="0" w:color="auto"/>
            </w:tcBorders>
            <w:hideMark/>
          </w:tcPr>
          <w:p w14:paraId="2817450B"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1"/>
                <w:sz w:val="20"/>
                <w:szCs w:val="20"/>
                <w:shd w:val="solid" w:color="000000" w:fill="000000"/>
                <w:fitText w:val="324" w:id="-509906161"/>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1"/>
                <w14:textFill>
                  <w14:solidFill>
                    <w14:srgbClr w14:val="000000">
                      <w14:alpha w14:val="100000"/>
                    </w14:srgbClr>
                  </w14:solidFill>
                </w14:textFill>
              </w:rPr>
              <w:t>|</w:t>
            </w:r>
            <w:r w:rsidRPr="00DA3E06">
              <w:rPr>
                <w:rFonts w:ascii="Arial Narrow" w:eastAsia="MS Gothic" w:hAnsi="Arial Narrow"/>
                <w:bCs/>
                <w:sz w:val="20"/>
                <w:szCs w:val="20"/>
                <w:vertAlign w:val="superscript"/>
              </w:rPr>
              <w:t>1</w:t>
            </w:r>
          </w:p>
        </w:tc>
      </w:tr>
      <w:tr w:rsidR="00DA3E06" w:rsidRPr="00DA3E06" w14:paraId="6970398A" w14:textId="77777777">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34B2EAC4"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 xml:space="preserve">Patients diagnosed with locally advanced, metastatic CCA (80%) </w:t>
            </w:r>
          </w:p>
        </w:tc>
        <w:tc>
          <w:tcPr>
            <w:tcW w:w="784" w:type="pct"/>
            <w:tcBorders>
              <w:top w:val="single" w:sz="4" w:space="0" w:color="auto"/>
              <w:left w:val="single" w:sz="4" w:space="0" w:color="auto"/>
              <w:bottom w:val="single" w:sz="4" w:space="0" w:color="auto"/>
              <w:right w:val="single" w:sz="4" w:space="0" w:color="auto"/>
            </w:tcBorders>
            <w:hideMark/>
          </w:tcPr>
          <w:p w14:paraId="4EE539B1"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60"/>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0"/>
                <w14:textFill>
                  <w14:solidFill>
                    <w14:srgbClr w14:val="000000">
                      <w14:alpha w14:val="100000"/>
                    </w14:srgbClr>
                  </w14:solidFill>
                </w14:textFill>
              </w:rPr>
              <w:t>|</w:t>
            </w:r>
            <w:r w:rsidRPr="00DA3E06">
              <w:rPr>
                <w:rFonts w:ascii="Arial Narrow" w:hAnsi="Arial Narrow"/>
                <w:sz w:val="20"/>
                <w:szCs w:val="20"/>
                <w:vertAlign w:val="superscript"/>
              </w:rPr>
              <w:t>1</w:t>
            </w:r>
          </w:p>
        </w:tc>
        <w:tc>
          <w:tcPr>
            <w:tcW w:w="580" w:type="pct"/>
            <w:tcBorders>
              <w:top w:val="single" w:sz="4" w:space="0" w:color="auto"/>
              <w:left w:val="single" w:sz="4" w:space="0" w:color="auto"/>
              <w:bottom w:val="single" w:sz="4" w:space="0" w:color="auto"/>
              <w:right w:val="single" w:sz="4" w:space="0" w:color="auto"/>
            </w:tcBorders>
            <w:hideMark/>
          </w:tcPr>
          <w:p w14:paraId="4AE328FF"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76"/>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6"/>
                <w14:textFill>
                  <w14:solidFill>
                    <w14:srgbClr w14:val="000000">
                      <w14:alpha w14:val="100000"/>
                    </w14:srgbClr>
                  </w14:solidFill>
                </w14:textFill>
              </w:rPr>
              <w:t>|</w:t>
            </w:r>
            <w:r w:rsidRPr="00DA3E06">
              <w:rPr>
                <w:rFonts w:ascii="Arial Narrow" w:eastAsia="MS Gothic" w:hAnsi="Arial Narrow"/>
                <w:bCs/>
                <w:sz w:val="20"/>
                <w:szCs w:val="20"/>
                <w:vertAlign w:val="superscript"/>
              </w:rPr>
              <w:t>1</w:t>
            </w:r>
          </w:p>
        </w:tc>
        <w:tc>
          <w:tcPr>
            <w:tcW w:w="580" w:type="pct"/>
            <w:tcBorders>
              <w:top w:val="single" w:sz="4" w:space="0" w:color="auto"/>
              <w:left w:val="single" w:sz="4" w:space="0" w:color="auto"/>
              <w:bottom w:val="single" w:sz="4" w:space="0" w:color="auto"/>
              <w:right w:val="single" w:sz="4" w:space="0" w:color="auto"/>
            </w:tcBorders>
            <w:hideMark/>
          </w:tcPr>
          <w:p w14:paraId="07A8957B"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75"/>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5"/>
                <w14:textFill>
                  <w14:solidFill>
                    <w14:srgbClr w14:val="000000">
                      <w14:alpha w14:val="100000"/>
                    </w14:srgbClr>
                  </w14:solidFill>
                </w14:textFill>
              </w:rPr>
              <w:t>|</w:t>
            </w:r>
            <w:r w:rsidRPr="00DA3E06">
              <w:rPr>
                <w:rFonts w:ascii="Arial Narrow" w:eastAsia="MS Gothic" w:hAnsi="Arial Narrow"/>
                <w:bCs/>
                <w:sz w:val="20"/>
                <w:szCs w:val="20"/>
                <w:vertAlign w:val="superscript"/>
              </w:rPr>
              <w:t>1</w:t>
            </w:r>
          </w:p>
        </w:tc>
        <w:tc>
          <w:tcPr>
            <w:tcW w:w="580" w:type="pct"/>
            <w:tcBorders>
              <w:top w:val="single" w:sz="4" w:space="0" w:color="auto"/>
              <w:left w:val="single" w:sz="4" w:space="0" w:color="auto"/>
              <w:bottom w:val="single" w:sz="4" w:space="0" w:color="auto"/>
              <w:right w:val="single" w:sz="4" w:space="0" w:color="auto"/>
            </w:tcBorders>
            <w:hideMark/>
          </w:tcPr>
          <w:p w14:paraId="697B572A"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74"/>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4"/>
                <w14:textFill>
                  <w14:solidFill>
                    <w14:srgbClr w14:val="000000">
                      <w14:alpha w14:val="100000"/>
                    </w14:srgbClr>
                  </w14:solidFill>
                </w14:textFill>
              </w:rPr>
              <w:t>|</w:t>
            </w:r>
            <w:r w:rsidRPr="00DA3E06">
              <w:rPr>
                <w:rFonts w:ascii="Arial Narrow" w:eastAsia="MS Gothic" w:hAnsi="Arial Narrow"/>
                <w:bCs/>
                <w:sz w:val="20"/>
                <w:szCs w:val="20"/>
                <w:vertAlign w:val="superscript"/>
              </w:rPr>
              <w:t>1</w:t>
            </w:r>
          </w:p>
        </w:tc>
        <w:tc>
          <w:tcPr>
            <w:tcW w:w="580" w:type="pct"/>
            <w:tcBorders>
              <w:top w:val="single" w:sz="4" w:space="0" w:color="auto"/>
              <w:left w:val="single" w:sz="4" w:space="0" w:color="auto"/>
              <w:bottom w:val="single" w:sz="4" w:space="0" w:color="auto"/>
              <w:right w:val="single" w:sz="4" w:space="0" w:color="auto"/>
            </w:tcBorders>
            <w:hideMark/>
          </w:tcPr>
          <w:p w14:paraId="3BCBCB09"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73"/>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3"/>
                <w14:textFill>
                  <w14:solidFill>
                    <w14:srgbClr w14:val="000000">
                      <w14:alpha w14:val="100000"/>
                    </w14:srgbClr>
                  </w14:solidFill>
                </w14:textFill>
              </w:rPr>
              <w:t>|</w:t>
            </w:r>
            <w:r w:rsidRPr="00DA3E06">
              <w:rPr>
                <w:rFonts w:ascii="Arial Narrow" w:eastAsia="MS Gothic" w:hAnsi="Arial Narrow"/>
                <w:bCs/>
                <w:sz w:val="20"/>
                <w:szCs w:val="20"/>
                <w:vertAlign w:val="superscript"/>
              </w:rPr>
              <w:t>1</w:t>
            </w:r>
          </w:p>
        </w:tc>
        <w:tc>
          <w:tcPr>
            <w:tcW w:w="581" w:type="pct"/>
            <w:tcBorders>
              <w:top w:val="single" w:sz="4" w:space="0" w:color="auto"/>
              <w:left w:val="single" w:sz="4" w:space="0" w:color="auto"/>
              <w:bottom w:val="single" w:sz="4" w:space="0" w:color="auto"/>
              <w:right w:val="single" w:sz="4" w:space="0" w:color="auto"/>
            </w:tcBorders>
            <w:hideMark/>
          </w:tcPr>
          <w:p w14:paraId="1438FDE0"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72"/>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2"/>
                <w14:textFill>
                  <w14:solidFill>
                    <w14:srgbClr w14:val="000000">
                      <w14:alpha w14:val="100000"/>
                    </w14:srgbClr>
                  </w14:solidFill>
                </w14:textFill>
              </w:rPr>
              <w:t>|</w:t>
            </w:r>
            <w:r w:rsidRPr="00DA3E06">
              <w:rPr>
                <w:rFonts w:ascii="Arial Narrow" w:eastAsia="MS Gothic" w:hAnsi="Arial Narrow"/>
                <w:bCs/>
                <w:sz w:val="20"/>
                <w:szCs w:val="20"/>
                <w:vertAlign w:val="superscript"/>
              </w:rPr>
              <w:t>1</w:t>
            </w:r>
          </w:p>
        </w:tc>
      </w:tr>
      <w:tr w:rsidR="00DA3E06" w:rsidRPr="00DA3E06" w14:paraId="703D46A3" w14:textId="77777777">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115C41B2"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1st line treatment (durvalumab) for CCA (70%)</w:t>
            </w:r>
          </w:p>
        </w:tc>
        <w:tc>
          <w:tcPr>
            <w:tcW w:w="784" w:type="pct"/>
            <w:tcBorders>
              <w:top w:val="single" w:sz="4" w:space="0" w:color="auto"/>
              <w:left w:val="single" w:sz="4" w:space="0" w:color="auto"/>
              <w:bottom w:val="single" w:sz="4" w:space="0" w:color="auto"/>
              <w:right w:val="single" w:sz="4" w:space="0" w:color="auto"/>
            </w:tcBorders>
            <w:hideMark/>
          </w:tcPr>
          <w:p w14:paraId="1B5105FC"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71"/>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1"/>
                <w14:textFill>
                  <w14:solidFill>
                    <w14:srgbClr w14:val="000000">
                      <w14:alpha w14:val="100000"/>
                    </w14:srgbClr>
                  </w14:solidFill>
                </w14:textFill>
              </w:rPr>
              <w:t>|</w:t>
            </w:r>
            <w:r w:rsidRPr="00DA3E06">
              <w:rPr>
                <w:rFonts w:ascii="Arial Narrow" w:hAnsi="Arial Narrow"/>
                <w:sz w:val="20"/>
                <w:szCs w:val="20"/>
                <w:vertAlign w:val="superscript"/>
              </w:rPr>
              <w:t>1</w:t>
            </w:r>
          </w:p>
        </w:tc>
        <w:tc>
          <w:tcPr>
            <w:tcW w:w="580" w:type="pct"/>
            <w:tcBorders>
              <w:top w:val="single" w:sz="4" w:space="0" w:color="auto"/>
              <w:left w:val="single" w:sz="4" w:space="0" w:color="auto"/>
              <w:bottom w:val="single" w:sz="4" w:space="0" w:color="auto"/>
              <w:right w:val="single" w:sz="4" w:space="0" w:color="auto"/>
            </w:tcBorders>
            <w:hideMark/>
          </w:tcPr>
          <w:p w14:paraId="0E5F507E"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70"/>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0"/>
                <w14:textFill>
                  <w14:solidFill>
                    <w14:srgbClr w14:val="000000">
                      <w14:alpha w14:val="100000"/>
                    </w14:srgbClr>
                  </w14:solidFill>
                </w14:textFill>
              </w:rPr>
              <w:t>|</w:t>
            </w:r>
            <w:r w:rsidRPr="00DA3E06">
              <w:rPr>
                <w:rFonts w:ascii="Arial Narrow" w:eastAsia="MS Gothic" w:hAnsi="Arial Narrow"/>
                <w:bCs/>
                <w:sz w:val="20"/>
                <w:szCs w:val="20"/>
                <w:vertAlign w:val="superscript"/>
              </w:rPr>
              <w:t>1</w:t>
            </w:r>
          </w:p>
        </w:tc>
        <w:tc>
          <w:tcPr>
            <w:tcW w:w="580" w:type="pct"/>
            <w:tcBorders>
              <w:top w:val="single" w:sz="4" w:space="0" w:color="auto"/>
              <w:left w:val="single" w:sz="4" w:space="0" w:color="auto"/>
              <w:bottom w:val="single" w:sz="4" w:space="0" w:color="auto"/>
              <w:right w:val="single" w:sz="4" w:space="0" w:color="auto"/>
            </w:tcBorders>
            <w:hideMark/>
          </w:tcPr>
          <w:p w14:paraId="799FB13C"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69"/>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9"/>
                <w14:textFill>
                  <w14:solidFill>
                    <w14:srgbClr w14:val="000000">
                      <w14:alpha w14:val="100000"/>
                    </w14:srgbClr>
                  </w14:solidFill>
                </w14:textFill>
              </w:rPr>
              <w:t>|</w:t>
            </w:r>
            <w:r w:rsidRPr="00DA3E06">
              <w:rPr>
                <w:rFonts w:ascii="Arial Narrow" w:eastAsia="MS Gothic" w:hAnsi="Arial Narrow"/>
                <w:bCs/>
                <w:sz w:val="20"/>
                <w:szCs w:val="20"/>
                <w:vertAlign w:val="superscript"/>
              </w:rPr>
              <w:t>1</w:t>
            </w:r>
          </w:p>
        </w:tc>
        <w:tc>
          <w:tcPr>
            <w:tcW w:w="580" w:type="pct"/>
            <w:tcBorders>
              <w:top w:val="single" w:sz="4" w:space="0" w:color="auto"/>
              <w:left w:val="single" w:sz="4" w:space="0" w:color="auto"/>
              <w:bottom w:val="single" w:sz="4" w:space="0" w:color="auto"/>
              <w:right w:val="single" w:sz="4" w:space="0" w:color="auto"/>
            </w:tcBorders>
            <w:hideMark/>
          </w:tcPr>
          <w:p w14:paraId="7E5F453A"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68"/>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8"/>
                <w14:textFill>
                  <w14:solidFill>
                    <w14:srgbClr w14:val="000000">
                      <w14:alpha w14:val="100000"/>
                    </w14:srgbClr>
                  </w14:solidFill>
                </w14:textFill>
              </w:rPr>
              <w:t>|</w:t>
            </w:r>
            <w:r w:rsidRPr="00DA3E06">
              <w:rPr>
                <w:rFonts w:ascii="Arial Narrow" w:eastAsia="MS Gothic" w:hAnsi="Arial Narrow"/>
                <w:bCs/>
                <w:sz w:val="20"/>
                <w:szCs w:val="20"/>
                <w:vertAlign w:val="superscript"/>
              </w:rPr>
              <w:t>1</w:t>
            </w:r>
          </w:p>
        </w:tc>
        <w:tc>
          <w:tcPr>
            <w:tcW w:w="580" w:type="pct"/>
            <w:tcBorders>
              <w:top w:val="single" w:sz="4" w:space="0" w:color="auto"/>
              <w:left w:val="single" w:sz="4" w:space="0" w:color="auto"/>
              <w:bottom w:val="single" w:sz="4" w:space="0" w:color="auto"/>
              <w:right w:val="single" w:sz="4" w:space="0" w:color="auto"/>
            </w:tcBorders>
            <w:hideMark/>
          </w:tcPr>
          <w:p w14:paraId="27EFBAC8"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67"/>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7"/>
                <w14:textFill>
                  <w14:solidFill>
                    <w14:srgbClr w14:val="000000">
                      <w14:alpha w14:val="100000"/>
                    </w14:srgbClr>
                  </w14:solidFill>
                </w14:textFill>
              </w:rPr>
              <w:t>|</w:t>
            </w:r>
            <w:r w:rsidRPr="00DA3E06">
              <w:rPr>
                <w:rFonts w:ascii="Arial Narrow" w:eastAsia="MS Gothic" w:hAnsi="Arial Narrow"/>
                <w:bCs/>
                <w:sz w:val="20"/>
                <w:szCs w:val="20"/>
                <w:vertAlign w:val="superscript"/>
              </w:rPr>
              <w:t>1</w:t>
            </w:r>
          </w:p>
        </w:tc>
        <w:tc>
          <w:tcPr>
            <w:tcW w:w="581" w:type="pct"/>
            <w:tcBorders>
              <w:top w:val="single" w:sz="4" w:space="0" w:color="auto"/>
              <w:left w:val="single" w:sz="4" w:space="0" w:color="auto"/>
              <w:bottom w:val="single" w:sz="4" w:space="0" w:color="auto"/>
              <w:right w:val="single" w:sz="4" w:space="0" w:color="auto"/>
            </w:tcBorders>
            <w:hideMark/>
          </w:tcPr>
          <w:p w14:paraId="32DD561C"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66"/>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6"/>
                <w14:textFill>
                  <w14:solidFill>
                    <w14:srgbClr w14:val="000000">
                      <w14:alpha w14:val="100000"/>
                    </w14:srgbClr>
                  </w14:solidFill>
                </w14:textFill>
              </w:rPr>
              <w:t>|</w:t>
            </w:r>
            <w:r w:rsidRPr="00DA3E06">
              <w:rPr>
                <w:rFonts w:ascii="Arial Narrow" w:eastAsia="MS Gothic" w:hAnsi="Arial Narrow"/>
                <w:bCs/>
                <w:sz w:val="20"/>
                <w:szCs w:val="20"/>
                <w:vertAlign w:val="superscript"/>
              </w:rPr>
              <w:t>1</w:t>
            </w:r>
          </w:p>
        </w:tc>
      </w:tr>
      <w:tr w:rsidR="00DA3E06" w:rsidRPr="00DA3E06" w14:paraId="4E3A7678" w14:textId="77777777">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79CBCC94"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Progress to 2L ECOG PS 0 or 1 (50%)</w:t>
            </w:r>
          </w:p>
        </w:tc>
        <w:tc>
          <w:tcPr>
            <w:tcW w:w="784" w:type="pct"/>
            <w:tcBorders>
              <w:top w:val="single" w:sz="4" w:space="0" w:color="auto"/>
              <w:left w:val="single" w:sz="4" w:space="0" w:color="auto"/>
              <w:bottom w:val="single" w:sz="4" w:space="0" w:color="auto"/>
              <w:right w:val="single" w:sz="4" w:space="0" w:color="auto"/>
            </w:tcBorders>
            <w:hideMark/>
          </w:tcPr>
          <w:p w14:paraId="1A74433A"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vertAlign w:val="superscript"/>
              </w:rPr>
            </w:pPr>
            <w:r w:rsidRPr="00DA3E06">
              <w:rPr>
                <w:rFonts w:ascii="Arial Narrow" w:hAnsi="Arial Narrow"/>
                <w:color w:val="000000"/>
                <w:spacing w:val="55"/>
                <w:sz w:val="20"/>
                <w:szCs w:val="20"/>
                <w:shd w:val="solid" w:color="000000" w:fill="000000"/>
                <w:fitText w:val="336" w:id="-509906165"/>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5"/>
                <w14:textFill>
                  <w14:solidFill>
                    <w14:srgbClr w14:val="000000">
                      <w14:alpha w14:val="100000"/>
                    </w14:srgbClr>
                  </w14:solidFill>
                </w14:textFill>
              </w:rPr>
              <w:t>|</w:t>
            </w:r>
            <w:r w:rsidRPr="00DA3E06">
              <w:rPr>
                <w:rFonts w:ascii="Arial Narrow" w:hAnsi="Arial Narrow"/>
                <w:sz w:val="20"/>
                <w:szCs w:val="20"/>
                <w:vertAlign w:val="superscript"/>
              </w:rPr>
              <w:t>2</w:t>
            </w:r>
          </w:p>
        </w:tc>
        <w:tc>
          <w:tcPr>
            <w:tcW w:w="580" w:type="pct"/>
            <w:tcBorders>
              <w:top w:val="single" w:sz="4" w:space="0" w:color="auto"/>
              <w:left w:val="single" w:sz="4" w:space="0" w:color="auto"/>
              <w:bottom w:val="single" w:sz="4" w:space="0" w:color="auto"/>
              <w:right w:val="single" w:sz="4" w:space="0" w:color="auto"/>
            </w:tcBorders>
            <w:hideMark/>
          </w:tcPr>
          <w:p w14:paraId="7943CC7A"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64"/>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4"/>
                <w14:textFill>
                  <w14:solidFill>
                    <w14:srgbClr w14:val="000000">
                      <w14:alpha w14:val="100000"/>
                    </w14:srgbClr>
                  </w14:solidFill>
                </w14:textFill>
              </w:rPr>
              <w:t>|</w:t>
            </w:r>
            <w:r w:rsidRPr="00DA3E06">
              <w:rPr>
                <w:rFonts w:ascii="Arial Narrow" w:eastAsia="MS Gothic" w:hAnsi="Arial Narrow"/>
                <w:bCs/>
                <w:sz w:val="20"/>
                <w:szCs w:val="20"/>
                <w:vertAlign w:val="superscript"/>
              </w:rPr>
              <w:t>2</w:t>
            </w:r>
          </w:p>
        </w:tc>
        <w:tc>
          <w:tcPr>
            <w:tcW w:w="580" w:type="pct"/>
            <w:tcBorders>
              <w:top w:val="single" w:sz="4" w:space="0" w:color="auto"/>
              <w:left w:val="single" w:sz="4" w:space="0" w:color="auto"/>
              <w:bottom w:val="single" w:sz="4" w:space="0" w:color="auto"/>
              <w:right w:val="single" w:sz="4" w:space="0" w:color="auto"/>
            </w:tcBorders>
            <w:hideMark/>
          </w:tcPr>
          <w:p w14:paraId="39085E4E"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63"/>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3"/>
                <w14:textFill>
                  <w14:solidFill>
                    <w14:srgbClr w14:val="000000">
                      <w14:alpha w14:val="100000"/>
                    </w14:srgbClr>
                  </w14:solidFill>
                </w14:textFill>
              </w:rPr>
              <w:t>|</w:t>
            </w:r>
            <w:r w:rsidRPr="00DA3E06">
              <w:rPr>
                <w:rFonts w:ascii="Arial Narrow" w:eastAsia="MS Gothic" w:hAnsi="Arial Narrow"/>
                <w:bCs/>
                <w:sz w:val="20"/>
                <w:szCs w:val="20"/>
                <w:vertAlign w:val="superscript"/>
              </w:rPr>
              <w:t>2</w:t>
            </w:r>
          </w:p>
        </w:tc>
        <w:tc>
          <w:tcPr>
            <w:tcW w:w="580" w:type="pct"/>
            <w:tcBorders>
              <w:top w:val="single" w:sz="4" w:space="0" w:color="auto"/>
              <w:left w:val="single" w:sz="4" w:space="0" w:color="auto"/>
              <w:bottom w:val="single" w:sz="4" w:space="0" w:color="auto"/>
              <w:right w:val="single" w:sz="4" w:space="0" w:color="auto"/>
            </w:tcBorders>
            <w:hideMark/>
          </w:tcPr>
          <w:p w14:paraId="1116A517"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62"/>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2"/>
                <w14:textFill>
                  <w14:solidFill>
                    <w14:srgbClr w14:val="000000">
                      <w14:alpha w14:val="100000"/>
                    </w14:srgbClr>
                  </w14:solidFill>
                </w14:textFill>
              </w:rPr>
              <w:t>|</w:t>
            </w:r>
            <w:r w:rsidRPr="00DA3E06">
              <w:rPr>
                <w:rFonts w:ascii="Arial Narrow" w:eastAsia="MS Gothic" w:hAnsi="Arial Narrow"/>
                <w:bCs/>
                <w:sz w:val="20"/>
                <w:szCs w:val="20"/>
                <w:vertAlign w:val="superscript"/>
              </w:rPr>
              <w:t>2</w:t>
            </w:r>
          </w:p>
        </w:tc>
        <w:tc>
          <w:tcPr>
            <w:tcW w:w="580" w:type="pct"/>
            <w:tcBorders>
              <w:top w:val="single" w:sz="4" w:space="0" w:color="auto"/>
              <w:left w:val="single" w:sz="4" w:space="0" w:color="auto"/>
              <w:bottom w:val="single" w:sz="4" w:space="0" w:color="auto"/>
              <w:right w:val="single" w:sz="4" w:space="0" w:color="auto"/>
            </w:tcBorders>
            <w:hideMark/>
          </w:tcPr>
          <w:p w14:paraId="2CC81329"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61"/>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1"/>
                <w14:textFill>
                  <w14:solidFill>
                    <w14:srgbClr w14:val="000000">
                      <w14:alpha w14:val="100000"/>
                    </w14:srgbClr>
                  </w14:solidFill>
                </w14:textFill>
              </w:rPr>
              <w:t>|</w:t>
            </w:r>
            <w:r w:rsidRPr="00DA3E06">
              <w:rPr>
                <w:rFonts w:ascii="Arial Narrow" w:eastAsia="MS Gothic" w:hAnsi="Arial Narrow"/>
                <w:bCs/>
                <w:sz w:val="20"/>
                <w:szCs w:val="20"/>
                <w:vertAlign w:val="superscript"/>
              </w:rPr>
              <w:t>2</w:t>
            </w:r>
          </w:p>
        </w:tc>
        <w:tc>
          <w:tcPr>
            <w:tcW w:w="581" w:type="pct"/>
            <w:tcBorders>
              <w:top w:val="single" w:sz="4" w:space="0" w:color="auto"/>
              <w:left w:val="single" w:sz="4" w:space="0" w:color="auto"/>
              <w:bottom w:val="single" w:sz="4" w:space="0" w:color="auto"/>
              <w:right w:val="single" w:sz="4" w:space="0" w:color="auto"/>
            </w:tcBorders>
            <w:hideMark/>
          </w:tcPr>
          <w:p w14:paraId="1293E164"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60"/>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0"/>
                <w14:textFill>
                  <w14:solidFill>
                    <w14:srgbClr w14:val="000000">
                      <w14:alpha w14:val="100000"/>
                    </w14:srgbClr>
                  </w14:solidFill>
                </w14:textFill>
              </w:rPr>
              <w:t>|</w:t>
            </w:r>
            <w:r w:rsidRPr="00DA3E06">
              <w:rPr>
                <w:rFonts w:ascii="Arial Narrow" w:eastAsia="MS Gothic" w:hAnsi="Arial Narrow"/>
                <w:bCs/>
                <w:sz w:val="20"/>
                <w:szCs w:val="20"/>
                <w:vertAlign w:val="superscript"/>
              </w:rPr>
              <w:t>2</w:t>
            </w:r>
          </w:p>
        </w:tc>
      </w:tr>
      <w:tr w:rsidR="00DA3E06" w:rsidRPr="00DA3E06" w14:paraId="183EBC21" w14:textId="77777777">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33DFBBD3"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FGFR alterations (13.9%); initiating patients</w:t>
            </w:r>
          </w:p>
        </w:tc>
        <w:tc>
          <w:tcPr>
            <w:tcW w:w="784" w:type="pct"/>
            <w:tcBorders>
              <w:top w:val="single" w:sz="4" w:space="0" w:color="auto"/>
              <w:left w:val="single" w:sz="4" w:space="0" w:color="auto"/>
              <w:bottom w:val="single" w:sz="4" w:space="0" w:color="auto"/>
              <w:right w:val="single" w:sz="4" w:space="0" w:color="auto"/>
            </w:tcBorders>
            <w:hideMark/>
          </w:tcPr>
          <w:p w14:paraId="29356C83"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highlight w:val="darkGray"/>
              </w:rPr>
            </w:pPr>
            <w:r w:rsidRPr="00DA3E06">
              <w:rPr>
                <w:rFonts w:ascii="Arial Narrow" w:hAnsi="Arial Narrow"/>
                <w:color w:val="000000"/>
                <w:spacing w:val="55"/>
                <w:sz w:val="20"/>
                <w:szCs w:val="20"/>
                <w:shd w:val="solid" w:color="000000" w:fill="000000"/>
                <w:fitText w:val="336" w:id="-509906176"/>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6"/>
                <w14:textFill>
                  <w14:solidFill>
                    <w14:srgbClr w14:val="000000">
                      <w14:alpha w14:val="100000"/>
                    </w14:srgbClr>
                  </w14:solidFill>
                </w14:textFill>
              </w:rPr>
              <w:t>|</w:t>
            </w:r>
            <w:r w:rsidRPr="00DA3E06">
              <w:rPr>
                <w:rFonts w:ascii="Arial Narrow" w:hAnsi="Arial Narrow"/>
                <w:sz w:val="20"/>
                <w:szCs w:val="20"/>
                <w:vertAlign w:val="superscript"/>
              </w:rPr>
              <w:t>2</w:t>
            </w:r>
          </w:p>
        </w:tc>
        <w:tc>
          <w:tcPr>
            <w:tcW w:w="580" w:type="pct"/>
            <w:tcBorders>
              <w:top w:val="single" w:sz="4" w:space="0" w:color="auto"/>
              <w:left w:val="single" w:sz="4" w:space="0" w:color="auto"/>
              <w:bottom w:val="single" w:sz="4" w:space="0" w:color="auto"/>
              <w:right w:val="single" w:sz="4" w:space="0" w:color="auto"/>
            </w:tcBorders>
            <w:hideMark/>
          </w:tcPr>
          <w:p w14:paraId="0190B5C9"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highlight w:val="darkGray"/>
              </w:rPr>
            </w:pPr>
            <w:r w:rsidRPr="00DA3E06">
              <w:rPr>
                <w:rFonts w:ascii="Arial Narrow" w:hAnsi="Arial Narrow"/>
                <w:color w:val="000000"/>
                <w:spacing w:val="55"/>
                <w:sz w:val="20"/>
                <w:szCs w:val="20"/>
                <w:shd w:val="solid" w:color="000000" w:fill="000000"/>
                <w:fitText w:val="336" w:id="-509906175"/>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5"/>
                <w14:textFill>
                  <w14:solidFill>
                    <w14:srgbClr w14:val="000000">
                      <w14:alpha w14:val="100000"/>
                    </w14:srgbClr>
                  </w14:solidFill>
                </w14:textFill>
              </w:rPr>
              <w:t>|</w:t>
            </w:r>
            <w:r w:rsidRPr="00DA3E06">
              <w:rPr>
                <w:rFonts w:ascii="Arial Narrow" w:eastAsia="MS Gothic" w:hAnsi="Arial Narrow"/>
                <w:bCs/>
                <w:sz w:val="20"/>
                <w:szCs w:val="20"/>
                <w:vertAlign w:val="superscript"/>
              </w:rPr>
              <w:t>2</w:t>
            </w:r>
          </w:p>
        </w:tc>
        <w:tc>
          <w:tcPr>
            <w:tcW w:w="580" w:type="pct"/>
            <w:tcBorders>
              <w:top w:val="single" w:sz="4" w:space="0" w:color="auto"/>
              <w:left w:val="single" w:sz="4" w:space="0" w:color="auto"/>
              <w:bottom w:val="single" w:sz="4" w:space="0" w:color="auto"/>
              <w:right w:val="single" w:sz="4" w:space="0" w:color="auto"/>
            </w:tcBorders>
            <w:hideMark/>
          </w:tcPr>
          <w:p w14:paraId="279A8B7B"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74"/>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4"/>
                <w14:textFill>
                  <w14:solidFill>
                    <w14:srgbClr w14:val="000000">
                      <w14:alpha w14:val="100000"/>
                    </w14:srgbClr>
                  </w14:solidFill>
                </w14:textFill>
              </w:rPr>
              <w:t>|</w:t>
            </w:r>
            <w:r w:rsidRPr="00DA3E06">
              <w:rPr>
                <w:rFonts w:ascii="Arial Narrow" w:eastAsia="MS Gothic" w:hAnsi="Arial Narrow"/>
                <w:bCs/>
                <w:sz w:val="20"/>
                <w:szCs w:val="20"/>
                <w:vertAlign w:val="superscript"/>
              </w:rPr>
              <w:t>2</w:t>
            </w:r>
          </w:p>
        </w:tc>
        <w:tc>
          <w:tcPr>
            <w:tcW w:w="580" w:type="pct"/>
            <w:tcBorders>
              <w:top w:val="single" w:sz="4" w:space="0" w:color="auto"/>
              <w:left w:val="single" w:sz="4" w:space="0" w:color="auto"/>
              <w:bottom w:val="single" w:sz="4" w:space="0" w:color="auto"/>
              <w:right w:val="single" w:sz="4" w:space="0" w:color="auto"/>
            </w:tcBorders>
            <w:hideMark/>
          </w:tcPr>
          <w:p w14:paraId="6EE5AEA5"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73"/>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3"/>
                <w14:textFill>
                  <w14:solidFill>
                    <w14:srgbClr w14:val="000000">
                      <w14:alpha w14:val="100000"/>
                    </w14:srgbClr>
                  </w14:solidFill>
                </w14:textFill>
              </w:rPr>
              <w:t>|</w:t>
            </w:r>
            <w:r w:rsidRPr="00DA3E06">
              <w:rPr>
                <w:rFonts w:ascii="Arial Narrow" w:eastAsia="MS Gothic" w:hAnsi="Arial Narrow"/>
                <w:bCs/>
                <w:sz w:val="20"/>
                <w:szCs w:val="20"/>
                <w:vertAlign w:val="superscript"/>
              </w:rPr>
              <w:t>2</w:t>
            </w:r>
          </w:p>
        </w:tc>
        <w:tc>
          <w:tcPr>
            <w:tcW w:w="580" w:type="pct"/>
            <w:tcBorders>
              <w:top w:val="single" w:sz="4" w:space="0" w:color="auto"/>
              <w:left w:val="single" w:sz="4" w:space="0" w:color="auto"/>
              <w:bottom w:val="single" w:sz="4" w:space="0" w:color="auto"/>
              <w:right w:val="single" w:sz="4" w:space="0" w:color="auto"/>
            </w:tcBorders>
            <w:hideMark/>
          </w:tcPr>
          <w:p w14:paraId="7C69E7C9"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72"/>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2"/>
                <w14:textFill>
                  <w14:solidFill>
                    <w14:srgbClr w14:val="000000">
                      <w14:alpha w14:val="100000"/>
                    </w14:srgbClr>
                  </w14:solidFill>
                </w14:textFill>
              </w:rPr>
              <w:t>|</w:t>
            </w:r>
            <w:r w:rsidRPr="00DA3E06">
              <w:rPr>
                <w:rFonts w:ascii="Arial Narrow" w:eastAsia="MS Gothic" w:hAnsi="Arial Narrow"/>
                <w:bCs/>
                <w:sz w:val="20"/>
                <w:szCs w:val="20"/>
                <w:vertAlign w:val="superscript"/>
              </w:rPr>
              <w:t>2</w:t>
            </w:r>
          </w:p>
        </w:tc>
        <w:tc>
          <w:tcPr>
            <w:tcW w:w="581" w:type="pct"/>
            <w:tcBorders>
              <w:top w:val="single" w:sz="4" w:space="0" w:color="auto"/>
              <w:left w:val="single" w:sz="4" w:space="0" w:color="auto"/>
              <w:bottom w:val="single" w:sz="4" w:space="0" w:color="auto"/>
              <w:right w:val="single" w:sz="4" w:space="0" w:color="auto"/>
            </w:tcBorders>
            <w:hideMark/>
          </w:tcPr>
          <w:p w14:paraId="05EE0B93"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5"/>
                <w:sz w:val="20"/>
                <w:szCs w:val="20"/>
                <w:shd w:val="solid" w:color="000000" w:fill="000000"/>
                <w:fitText w:val="336" w:id="-509906171"/>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1"/>
                <w14:textFill>
                  <w14:solidFill>
                    <w14:srgbClr w14:val="000000">
                      <w14:alpha w14:val="100000"/>
                    </w14:srgbClr>
                  </w14:solidFill>
                </w14:textFill>
              </w:rPr>
              <w:t>|</w:t>
            </w:r>
            <w:r w:rsidRPr="00DA3E06">
              <w:rPr>
                <w:rFonts w:ascii="Arial Narrow" w:eastAsia="MS Gothic" w:hAnsi="Arial Narrow"/>
                <w:bCs/>
                <w:sz w:val="20"/>
                <w:szCs w:val="20"/>
                <w:vertAlign w:val="superscript"/>
              </w:rPr>
              <w:t>2</w:t>
            </w:r>
          </w:p>
        </w:tc>
      </w:tr>
      <w:tr w:rsidR="00DA3E06" w:rsidRPr="00DA3E06" w14:paraId="56BBC111" w14:textId="77777777">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39C3FA88"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Grandfathered patients</w:t>
            </w:r>
          </w:p>
        </w:tc>
        <w:tc>
          <w:tcPr>
            <w:tcW w:w="784" w:type="pct"/>
            <w:tcBorders>
              <w:top w:val="single" w:sz="4" w:space="0" w:color="auto"/>
              <w:left w:val="single" w:sz="4" w:space="0" w:color="auto"/>
              <w:bottom w:val="single" w:sz="4" w:space="0" w:color="auto"/>
              <w:right w:val="single" w:sz="4" w:space="0" w:color="auto"/>
            </w:tcBorders>
            <w:hideMark/>
          </w:tcPr>
          <w:p w14:paraId="2E6F0441"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DA3E06">
              <w:rPr>
                <w:rFonts w:ascii="Arial Narrow" w:hAnsi="Arial Narrow"/>
                <w:color w:val="000000"/>
                <w:spacing w:val="55"/>
                <w:sz w:val="20"/>
                <w:szCs w:val="20"/>
                <w:shd w:val="solid" w:color="000000" w:fill="000000"/>
                <w:fitText w:val="336" w:id="-509906170"/>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0"/>
                <w14:textFill>
                  <w14:solidFill>
                    <w14:srgbClr w14:val="000000">
                      <w14:alpha w14:val="100000"/>
                    </w14:srgbClr>
                  </w14:solidFill>
                </w14:textFill>
              </w:rPr>
              <w:t>|</w:t>
            </w:r>
            <w:r w:rsidRPr="00DA3E06">
              <w:rPr>
                <w:rFonts w:ascii="Arial Narrow" w:hAnsi="Arial Narrow"/>
                <w:sz w:val="20"/>
                <w:szCs w:val="20"/>
                <w:vertAlign w:val="superscript"/>
              </w:rPr>
              <w:t>2</w:t>
            </w:r>
          </w:p>
        </w:tc>
        <w:tc>
          <w:tcPr>
            <w:tcW w:w="580" w:type="pct"/>
            <w:tcBorders>
              <w:top w:val="single" w:sz="4" w:space="0" w:color="auto"/>
              <w:left w:val="single" w:sz="4" w:space="0" w:color="auto"/>
              <w:bottom w:val="single" w:sz="4" w:space="0" w:color="auto"/>
              <w:right w:val="single" w:sz="4" w:space="0" w:color="auto"/>
            </w:tcBorders>
            <w:hideMark/>
          </w:tcPr>
          <w:p w14:paraId="74030B13"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DA3E06">
              <w:rPr>
                <w:rFonts w:ascii="Arial Narrow" w:hAnsi="Arial Narrow"/>
                <w:color w:val="000000"/>
                <w:sz w:val="20"/>
                <w:szCs w:val="20"/>
              </w:rPr>
              <w:t>-</w:t>
            </w:r>
          </w:p>
        </w:tc>
        <w:tc>
          <w:tcPr>
            <w:tcW w:w="580" w:type="pct"/>
            <w:tcBorders>
              <w:top w:val="single" w:sz="4" w:space="0" w:color="auto"/>
              <w:left w:val="single" w:sz="4" w:space="0" w:color="auto"/>
              <w:bottom w:val="single" w:sz="4" w:space="0" w:color="auto"/>
              <w:right w:val="single" w:sz="4" w:space="0" w:color="auto"/>
            </w:tcBorders>
            <w:hideMark/>
          </w:tcPr>
          <w:p w14:paraId="33CCD376"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p>
        </w:tc>
        <w:tc>
          <w:tcPr>
            <w:tcW w:w="580" w:type="pct"/>
            <w:tcBorders>
              <w:top w:val="single" w:sz="4" w:space="0" w:color="auto"/>
              <w:left w:val="single" w:sz="4" w:space="0" w:color="auto"/>
              <w:bottom w:val="single" w:sz="4" w:space="0" w:color="auto"/>
              <w:right w:val="single" w:sz="4" w:space="0" w:color="auto"/>
            </w:tcBorders>
            <w:hideMark/>
          </w:tcPr>
          <w:p w14:paraId="53D91D93"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p>
        </w:tc>
        <w:tc>
          <w:tcPr>
            <w:tcW w:w="580" w:type="pct"/>
            <w:tcBorders>
              <w:top w:val="single" w:sz="4" w:space="0" w:color="auto"/>
              <w:left w:val="single" w:sz="4" w:space="0" w:color="auto"/>
              <w:bottom w:val="single" w:sz="4" w:space="0" w:color="auto"/>
              <w:right w:val="single" w:sz="4" w:space="0" w:color="auto"/>
            </w:tcBorders>
            <w:hideMark/>
          </w:tcPr>
          <w:p w14:paraId="4B5063B9"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p>
        </w:tc>
        <w:tc>
          <w:tcPr>
            <w:tcW w:w="581" w:type="pct"/>
            <w:tcBorders>
              <w:top w:val="single" w:sz="4" w:space="0" w:color="auto"/>
              <w:left w:val="single" w:sz="4" w:space="0" w:color="auto"/>
              <w:bottom w:val="single" w:sz="4" w:space="0" w:color="auto"/>
              <w:right w:val="single" w:sz="4" w:space="0" w:color="auto"/>
            </w:tcBorders>
            <w:hideMark/>
          </w:tcPr>
          <w:p w14:paraId="660E8972" w14:textId="77777777" w:rsidR="00DA3E06" w:rsidRPr="00DA3E06" w:rsidRDefault="00DA3E06" w:rsidP="00DA3E06">
            <w:pPr>
              <w:keepNext/>
              <w:keepLines/>
              <w:tabs>
                <w:tab w:val="decimal" w:pos="0"/>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p>
        </w:tc>
      </w:tr>
      <w:tr w:rsidR="00DA3E06" w:rsidRPr="00DA3E06" w14:paraId="6DD0CC36" w14:textId="77777777">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hideMark/>
          </w:tcPr>
          <w:p w14:paraId="7BEA7D2B" w14:textId="77777777" w:rsidR="00DA3E06" w:rsidRPr="00DA3E06" w:rsidRDefault="00DA3E06" w:rsidP="00DA3E06">
            <w:pPr>
              <w:keepNext/>
              <w:keepLines/>
              <w:jc w:val="center"/>
              <w:rPr>
                <w:rFonts w:ascii="Arial Narrow" w:eastAsia="MS Gothic" w:hAnsi="Arial Narrow" w:cs="Times New Roman" w:hint="default"/>
                <w:b/>
                <w:sz w:val="20"/>
              </w:rPr>
            </w:pPr>
            <w:r w:rsidRPr="00DA3E06">
              <w:rPr>
                <w:rFonts w:ascii="Arial Narrow" w:eastAsia="MS Gothic" w:hAnsi="Arial Narrow" w:cs="Times New Roman" w:hint="default"/>
                <w:b/>
                <w:sz w:val="20"/>
              </w:rPr>
              <w:t>Estimated financial implications of futibatinib to the PBS/RPBS</w:t>
            </w:r>
          </w:p>
        </w:tc>
      </w:tr>
      <w:tr w:rsidR="00DA3E06" w:rsidRPr="00DA3E06" w14:paraId="0C197A9D" w14:textId="77777777">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7E371B8A"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Scripts</w:t>
            </w:r>
          </w:p>
        </w:tc>
        <w:tc>
          <w:tcPr>
            <w:tcW w:w="784" w:type="pct"/>
            <w:tcBorders>
              <w:top w:val="single" w:sz="4" w:space="0" w:color="auto"/>
              <w:left w:val="single" w:sz="4" w:space="0" w:color="auto"/>
              <w:bottom w:val="single" w:sz="4" w:space="0" w:color="auto"/>
              <w:right w:val="single" w:sz="4" w:space="0" w:color="auto"/>
            </w:tcBorders>
            <w:hideMark/>
          </w:tcPr>
          <w:p w14:paraId="23287AF1"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1"/>
                <w:sz w:val="20"/>
                <w:szCs w:val="20"/>
                <w:shd w:val="solid" w:color="000000" w:fill="000000"/>
                <w:fitText w:val="324" w:id="-509906169"/>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9"/>
                <w14:textFill>
                  <w14:solidFill>
                    <w14:srgbClr w14:val="000000">
                      <w14:alpha w14:val="100000"/>
                    </w14:srgbClr>
                  </w14:solidFill>
                </w14:textFill>
              </w:rPr>
              <w:t>|</w:t>
            </w:r>
            <w:r w:rsidRPr="00DA3E06">
              <w:rPr>
                <w:rFonts w:ascii="Arial Narrow" w:hAnsi="Arial Narrow"/>
                <w:sz w:val="20"/>
                <w:szCs w:val="20"/>
                <w:vertAlign w:val="superscript"/>
              </w:rPr>
              <w:t>1</w:t>
            </w:r>
          </w:p>
        </w:tc>
        <w:tc>
          <w:tcPr>
            <w:tcW w:w="580" w:type="pct"/>
            <w:tcBorders>
              <w:top w:val="single" w:sz="4" w:space="0" w:color="auto"/>
              <w:left w:val="nil"/>
              <w:bottom w:val="single" w:sz="4" w:space="0" w:color="auto"/>
              <w:right w:val="single" w:sz="4" w:space="0" w:color="auto"/>
            </w:tcBorders>
            <w:hideMark/>
          </w:tcPr>
          <w:p w14:paraId="63012220"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1"/>
                <w:sz w:val="20"/>
                <w:szCs w:val="20"/>
                <w:shd w:val="solid" w:color="000000" w:fill="000000"/>
                <w:fitText w:val="324" w:id="-509906168"/>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8"/>
                <w14:textFill>
                  <w14:solidFill>
                    <w14:srgbClr w14:val="000000">
                      <w14:alpha w14:val="100000"/>
                    </w14:srgbClr>
                  </w14:solidFill>
                </w14:textFill>
              </w:rPr>
              <w:t>|</w:t>
            </w:r>
            <w:r w:rsidRPr="00DA3E06">
              <w:rPr>
                <w:rFonts w:ascii="Arial Narrow" w:hAnsi="Arial Narrow"/>
                <w:sz w:val="20"/>
                <w:szCs w:val="20"/>
                <w:vertAlign w:val="superscript"/>
              </w:rPr>
              <w:t>1</w:t>
            </w:r>
          </w:p>
        </w:tc>
        <w:tc>
          <w:tcPr>
            <w:tcW w:w="580" w:type="pct"/>
            <w:tcBorders>
              <w:top w:val="single" w:sz="4" w:space="0" w:color="auto"/>
              <w:left w:val="nil"/>
              <w:bottom w:val="single" w:sz="4" w:space="0" w:color="auto"/>
              <w:right w:val="single" w:sz="4" w:space="0" w:color="auto"/>
            </w:tcBorders>
            <w:hideMark/>
          </w:tcPr>
          <w:p w14:paraId="3D8716C4"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1"/>
                <w:sz w:val="20"/>
                <w:szCs w:val="20"/>
                <w:shd w:val="solid" w:color="000000" w:fill="000000"/>
                <w:fitText w:val="324" w:id="-509906167"/>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7"/>
                <w14:textFill>
                  <w14:solidFill>
                    <w14:srgbClr w14:val="000000">
                      <w14:alpha w14:val="100000"/>
                    </w14:srgbClr>
                  </w14:solidFill>
                </w14:textFill>
              </w:rPr>
              <w:t>|</w:t>
            </w:r>
            <w:r w:rsidRPr="00DA3E06">
              <w:rPr>
                <w:rFonts w:ascii="Arial Narrow" w:hAnsi="Arial Narrow"/>
                <w:sz w:val="20"/>
                <w:szCs w:val="20"/>
                <w:vertAlign w:val="superscript"/>
              </w:rPr>
              <w:t>1</w:t>
            </w:r>
          </w:p>
        </w:tc>
        <w:tc>
          <w:tcPr>
            <w:tcW w:w="580" w:type="pct"/>
            <w:tcBorders>
              <w:top w:val="single" w:sz="4" w:space="0" w:color="auto"/>
              <w:left w:val="nil"/>
              <w:bottom w:val="single" w:sz="4" w:space="0" w:color="auto"/>
              <w:right w:val="single" w:sz="4" w:space="0" w:color="auto"/>
            </w:tcBorders>
            <w:hideMark/>
          </w:tcPr>
          <w:p w14:paraId="028141B0"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1"/>
                <w:sz w:val="20"/>
                <w:szCs w:val="20"/>
                <w:shd w:val="solid" w:color="000000" w:fill="000000"/>
                <w:fitText w:val="324" w:id="-509906166"/>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6"/>
                <w14:textFill>
                  <w14:solidFill>
                    <w14:srgbClr w14:val="000000">
                      <w14:alpha w14:val="100000"/>
                    </w14:srgbClr>
                  </w14:solidFill>
                </w14:textFill>
              </w:rPr>
              <w:t>|</w:t>
            </w:r>
            <w:r w:rsidRPr="00DA3E06">
              <w:rPr>
                <w:rFonts w:ascii="Arial Narrow" w:hAnsi="Arial Narrow"/>
                <w:sz w:val="20"/>
                <w:szCs w:val="20"/>
                <w:vertAlign w:val="superscript"/>
              </w:rPr>
              <w:t>1</w:t>
            </w:r>
          </w:p>
        </w:tc>
        <w:tc>
          <w:tcPr>
            <w:tcW w:w="580" w:type="pct"/>
            <w:tcBorders>
              <w:top w:val="single" w:sz="4" w:space="0" w:color="auto"/>
              <w:left w:val="nil"/>
              <w:bottom w:val="single" w:sz="4" w:space="0" w:color="auto"/>
              <w:right w:val="single" w:sz="4" w:space="0" w:color="auto"/>
            </w:tcBorders>
            <w:hideMark/>
          </w:tcPr>
          <w:p w14:paraId="33C1A04E"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1"/>
                <w:sz w:val="20"/>
                <w:szCs w:val="20"/>
                <w:shd w:val="solid" w:color="000000" w:fill="000000"/>
                <w:fitText w:val="324" w:id="-509906165"/>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5"/>
                <w14:textFill>
                  <w14:solidFill>
                    <w14:srgbClr w14:val="000000">
                      <w14:alpha w14:val="100000"/>
                    </w14:srgbClr>
                  </w14:solidFill>
                </w14:textFill>
              </w:rPr>
              <w:t>|</w:t>
            </w:r>
            <w:r w:rsidRPr="00DA3E06">
              <w:rPr>
                <w:rFonts w:ascii="Arial Narrow" w:hAnsi="Arial Narrow"/>
                <w:sz w:val="20"/>
                <w:szCs w:val="20"/>
                <w:vertAlign w:val="superscript"/>
              </w:rPr>
              <w:t>1</w:t>
            </w:r>
          </w:p>
        </w:tc>
        <w:tc>
          <w:tcPr>
            <w:tcW w:w="581" w:type="pct"/>
            <w:tcBorders>
              <w:top w:val="single" w:sz="4" w:space="0" w:color="auto"/>
              <w:left w:val="nil"/>
              <w:bottom w:val="single" w:sz="4" w:space="0" w:color="auto"/>
              <w:right w:val="single" w:sz="4" w:space="0" w:color="auto"/>
            </w:tcBorders>
            <w:hideMark/>
          </w:tcPr>
          <w:p w14:paraId="262F9FFD"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pacing w:val="51"/>
                <w:sz w:val="20"/>
                <w:szCs w:val="20"/>
                <w:shd w:val="solid" w:color="000000" w:fill="000000"/>
                <w:fitText w:val="324" w:id="-509906164"/>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4"/>
                <w14:textFill>
                  <w14:solidFill>
                    <w14:srgbClr w14:val="000000">
                      <w14:alpha w14:val="100000"/>
                    </w14:srgbClr>
                  </w14:solidFill>
                </w14:textFill>
              </w:rPr>
              <w:t>|</w:t>
            </w:r>
            <w:r w:rsidRPr="00DA3E06">
              <w:rPr>
                <w:rFonts w:ascii="Arial Narrow" w:hAnsi="Arial Narrow"/>
                <w:sz w:val="20"/>
                <w:szCs w:val="20"/>
                <w:vertAlign w:val="superscript"/>
              </w:rPr>
              <w:t>1</w:t>
            </w:r>
          </w:p>
        </w:tc>
      </w:tr>
      <w:tr w:rsidR="00DA3E06" w:rsidRPr="00DA3E06" w14:paraId="450D6821" w14:textId="77777777">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48819A5F"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Cost to PBS/RPBS less copayments</w:t>
            </w:r>
          </w:p>
        </w:tc>
        <w:tc>
          <w:tcPr>
            <w:tcW w:w="784" w:type="pct"/>
            <w:tcBorders>
              <w:top w:val="single" w:sz="4" w:space="0" w:color="auto"/>
              <w:left w:val="single" w:sz="4" w:space="0" w:color="auto"/>
              <w:bottom w:val="single" w:sz="4" w:space="0" w:color="auto"/>
              <w:right w:val="single" w:sz="4" w:space="0" w:color="auto"/>
            </w:tcBorders>
            <w:hideMark/>
          </w:tcPr>
          <w:p w14:paraId="2F0C1756"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vertAlign w:val="superscript"/>
              </w:rPr>
            </w:pPr>
            <w:r w:rsidRPr="00DA3E06">
              <w:rPr>
                <w:rFonts w:ascii="Arial Narrow" w:hAnsi="Arial Narrow"/>
                <w:color w:val="000000"/>
                <w:sz w:val="20"/>
                <w:szCs w:val="20"/>
              </w:rPr>
              <w:t>$</w:t>
            </w:r>
            <w:r w:rsidRPr="00DA3E06">
              <w:rPr>
                <w:rFonts w:ascii="Arial Narrow" w:hAnsi="Arial Narrow"/>
                <w:color w:val="000000"/>
                <w:spacing w:val="51"/>
                <w:sz w:val="20"/>
                <w:szCs w:val="20"/>
                <w:shd w:val="solid" w:color="000000" w:fill="000000"/>
                <w:fitText w:val="324" w:id="-509906163"/>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3"/>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7DE81C80"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vertAlign w:val="superscript"/>
              </w:rPr>
            </w:pPr>
            <w:r w:rsidRPr="00DA3E06">
              <w:rPr>
                <w:rFonts w:ascii="Arial Narrow" w:hAnsi="Arial Narrow"/>
                <w:sz w:val="20"/>
                <w:szCs w:val="20"/>
              </w:rPr>
              <w:t>$</w:t>
            </w:r>
            <w:r w:rsidRPr="00DA3E06">
              <w:rPr>
                <w:rFonts w:ascii="Arial Narrow" w:hAnsi="Arial Narrow"/>
                <w:color w:val="000000"/>
                <w:spacing w:val="51"/>
                <w:sz w:val="20"/>
                <w:szCs w:val="20"/>
                <w:shd w:val="solid" w:color="000000" w:fill="000000"/>
                <w:fitText w:val="324" w:id="-509906162"/>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2"/>
                <w14:textFill>
                  <w14:solidFill>
                    <w14:srgbClr w14:val="000000">
                      <w14:alpha w14:val="100000"/>
                    </w14:srgbClr>
                  </w14:solidFill>
                </w14:textFill>
              </w:rPr>
              <w:t>|</w:t>
            </w:r>
            <w:r w:rsidRPr="00DA3E06">
              <w:rPr>
                <w:rFonts w:ascii="Arial Narrow" w:hAnsi="Arial Narrow"/>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4C9A47AC"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vertAlign w:val="superscript"/>
              </w:rPr>
            </w:pPr>
            <w:r w:rsidRPr="00DA3E06">
              <w:rPr>
                <w:rFonts w:ascii="Arial Narrow" w:hAnsi="Arial Narrow"/>
                <w:sz w:val="20"/>
                <w:szCs w:val="20"/>
              </w:rPr>
              <w:t>$</w:t>
            </w:r>
            <w:r w:rsidRPr="00DA3E06">
              <w:rPr>
                <w:rFonts w:ascii="Arial Narrow" w:hAnsi="Arial Narrow"/>
                <w:color w:val="000000"/>
                <w:spacing w:val="51"/>
                <w:sz w:val="20"/>
                <w:szCs w:val="20"/>
                <w:shd w:val="solid" w:color="000000" w:fill="000000"/>
                <w:fitText w:val="324" w:id="-509906161"/>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1"/>
                <w14:textFill>
                  <w14:solidFill>
                    <w14:srgbClr w14:val="000000">
                      <w14:alpha w14:val="100000"/>
                    </w14:srgbClr>
                  </w14:solidFill>
                </w14:textFill>
              </w:rPr>
              <w:t>|</w:t>
            </w:r>
            <w:r w:rsidRPr="00DA3E06">
              <w:rPr>
                <w:rFonts w:ascii="Arial Narrow" w:hAnsi="Arial Narrow"/>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55BC5DFC"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vertAlign w:val="superscript"/>
              </w:rPr>
            </w:pPr>
            <w:r w:rsidRPr="00DA3E06">
              <w:rPr>
                <w:rFonts w:ascii="Arial Narrow" w:hAnsi="Arial Narrow"/>
                <w:sz w:val="20"/>
                <w:szCs w:val="20"/>
              </w:rPr>
              <w:t>$</w:t>
            </w:r>
            <w:r w:rsidRPr="00DA3E06">
              <w:rPr>
                <w:rFonts w:ascii="Arial Narrow" w:hAnsi="Arial Narrow"/>
                <w:color w:val="000000"/>
                <w:spacing w:val="51"/>
                <w:sz w:val="20"/>
                <w:szCs w:val="20"/>
                <w:shd w:val="solid" w:color="000000" w:fill="000000"/>
                <w:fitText w:val="324" w:id="-509906160"/>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0"/>
                <w14:textFill>
                  <w14:solidFill>
                    <w14:srgbClr w14:val="000000">
                      <w14:alpha w14:val="100000"/>
                    </w14:srgbClr>
                  </w14:solidFill>
                </w14:textFill>
              </w:rPr>
              <w:t>|</w:t>
            </w:r>
            <w:r w:rsidRPr="00DA3E06">
              <w:rPr>
                <w:rFonts w:ascii="Arial Narrow" w:hAnsi="Arial Narrow"/>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366E77D8"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vertAlign w:val="superscript"/>
              </w:rPr>
            </w:pPr>
            <w:r w:rsidRPr="00DA3E06">
              <w:rPr>
                <w:rFonts w:ascii="Arial Narrow" w:hAnsi="Arial Narrow"/>
                <w:sz w:val="20"/>
                <w:szCs w:val="20"/>
              </w:rPr>
              <w:t>$</w:t>
            </w:r>
            <w:r w:rsidRPr="00DA3E06">
              <w:rPr>
                <w:rFonts w:ascii="Arial Narrow" w:hAnsi="Arial Narrow"/>
                <w:color w:val="000000"/>
                <w:spacing w:val="51"/>
                <w:sz w:val="20"/>
                <w:szCs w:val="20"/>
                <w:shd w:val="solid" w:color="000000" w:fill="000000"/>
                <w:fitText w:val="324" w:id="-509906176"/>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76"/>
                <w14:textFill>
                  <w14:solidFill>
                    <w14:srgbClr w14:val="000000">
                      <w14:alpha w14:val="100000"/>
                    </w14:srgbClr>
                  </w14:solidFill>
                </w14:textFill>
              </w:rPr>
              <w:t>|</w:t>
            </w:r>
            <w:r w:rsidRPr="00DA3E06">
              <w:rPr>
                <w:rFonts w:ascii="Arial Narrow" w:hAnsi="Arial Narrow"/>
                <w:sz w:val="20"/>
                <w:szCs w:val="20"/>
                <w:vertAlign w:val="superscript"/>
              </w:rPr>
              <w:t>3</w:t>
            </w:r>
          </w:p>
        </w:tc>
        <w:tc>
          <w:tcPr>
            <w:tcW w:w="581" w:type="pct"/>
            <w:tcBorders>
              <w:top w:val="single" w:sz="4" w:space="0" w:color="auto"/>
              <w:left w:val="single" w:sz="4" w:space="0" w:color="auto"/>
              <w:bottom w:val="single" w:sz="4" w:space="0" w:color="auto"/>
              <w:right w:val="single" w:sz="4" w:space="0" w:color="auto"/>
            </w:tcBorders>
            <w:hideMark/>
          </w:tcPr>
          <w:p w14:paraId="46F87781"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vertAlign w:val="superscript"/>
              </w:rPr>
            </w:pPr>
            <w:r w:rsidRPr="00DA3E06">
              <w:rPr>
                <w:rFonts w:ascii="Arial Narrow" w:hAnsi="Arial Narrow"/>
                <w:sz w:val="20"/>
                <w:szCs w:val="20"/>
              </w:rPr>
              <w:t>$</w:t>
            </w:r>
            <w:r w:rsidRPr="00DA3E06">
              <w:rPr>
                <w:rFonts w:ascii="Arial Narrow" w:hAnsi="Arial Narrow"/>
                <w:color w:val="000000"/>
                <w:spacing w:val="51"/>
                <w:sz w:val="20"/>
                <w:szCs w:val="20"/>
                <w:shd w:val="solid" w:color="000000" w:fill="000000"/>
                <w:fitText w:val="324" w:id="-509906175"/>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75"/>
                <w14:textFill>
                  <w14:solidFill>
                    <w14:srgbClr w14:val="000000">
                      <w14:alpha w14:val="100000"/>
                    </w14:srgbClr>
                  </w14:solidFill>
                </w14:textFill>
              </w:rPr>
              <w:t>|</w:t>
            </w:r>
            <w:r w:rsidRPr="00DA3E06">
              <w:rPr>
                <w:rFonts w:ascii="Arial Narrow" w:hAnsi="Arial Narrow"/>
                <w:sz w:val="20"/>
                <w:szCs w:val="20"/>
                <w:vertAlign w:val="superscript"/>
              </w:rPr>
              <w:t>3</w:t>
            </w:r>
          </w:p>
        </w:tc>
      </w:tr>
      <w:tr w:rsidR="00DA3E06" w:rsidRPr="00DA3E06" w14:paraId="49EBBF7F" w14:textId="77777777">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hideMark/>
          </w:tcPr>
          <w:p w14:paraId="2E6092C8" w14:textId="77777777" w:rsidR="00DA3E06" w:rsidRPr="00DA3E06" w:rsidRDefault="00DA3E06" w:rsidP="00DA3E06">
            <w:pPr>
              <w:keepNext/>
              <w:keepLines/>
              <w:jc w:val="center"/>
              <w:rPr>
                <w:rFonts w:ascii="Arial Narrow" w:eastAsia="MS Gothic" w:hAnsi="Arial Narrow" w:cs="Times New Roman" w:hint="default"/>
                <w:b/>
                <w:sz w:val="20"/>
              </w:rPr>
            </w:pPr>
            <w:r w:rsidRPr="00DA3E06">
              <w:rPr>
                <w:rFonts w:ascii="Arial Narrow" w:eastAsia="MS Gothic" w:hAnsi="Arial Narrow" w:cs="Times New Roman" w:hint="default"/>
                <w:b/>
                <w:sz w:val="20"/>
              </w:rPr>
              <w:t>Estimated financial implications for reduction in FOLFOX use to the PBS/RPBS</w:t>
            </w:r>
          </w:p>
        </w:tc>
      </w:tr>
      <w:tr w:rsidR="00DA3E06" w:rsidRPr="00DA3E06" w14:paraId="32EFBA5A" w14:textId="77777777">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741E57DB"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Cost to PBS/RPBS less copayments</w:t>
            </w:r>
          </w:p>
        </w:tc>
        <w:tc>
          <w:tcPr>
            <w:tcW w:w="784" w:type="pct"/>
            <w:tcBorders>
              <w:top w:val="single" w:sz="4" w:space="0" w:color="auto"/>
              <w:left w:val="single" w:sz="4" w:space="0" w:color="auto"/>
              <w:bottom w:val="single" w:sz="4" w:space="0" w:color="auto"/>
              <w:right w:val="single" w:sz="4" w:space="0" w:color="auto"/>
            </w:tcBorders>
            <w:hideMark/>
          </w:tcPr>
          <w:p w14:paraId="4B1D5BE7"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vertAlign w:val="superscript"/>
              </w:rPr>
            </w:pPr>
            <w:r w:rsidRPr="00DA3E06">
              <w:rPr>
                <w:rFonts w:ascii="Arial Narrow" w:hAnsi="Arial Narrow"/>
                <w:color w:val="000000"/>
                <w:sz w:val="20"/>
                <w:szCs w:val="20"/>
              </w:rPr>
              <w:t>-$</w:t>
            </w:r>
            <w:r w:rsidRPr="00DA3E06">
              <w:rPr>
                <w:rFonts w:ascii="Arial Narrow" w:hAnsi="Arial Narrow"/>
                <w:color w:val="000000"/>
                <w:spacing w:val="55"/>
                <w:sz w:val="20"/>
                <w:szCs w:val="20"/>
                <w:shd w:val="solid" w:color="000000" w:fill="000000"/>
                <w:fitText w:val="336" w:id="-509906174"/>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4"/>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405B83C3"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73"/>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3"/>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11DA9753"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72"/>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2"/>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09EC0992"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71"/>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1"/>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3F37E547"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70"/>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0"/>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1" w:type="pct"/>
            <w:tcBorders>
              <w:top w:val="single" w:sz="4" w:space="0" w:color="auto"/>
              <w:left w:val="single" w:sz="4" w:space="0" w:color="auto"/>
              <w:bottom w:val="single" w:sz="4" w:space="0" w:color="auto"/>
              <w:right w:val="single" w:sz="4" w:space="0" w:color="auto"/>
            </w:tcBorders>
            <w:hideMark/>
          </w:tcPr>
          <w:p w14:paraId="5E63BA52"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69"/>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9"/>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r>
      <w:tr w:rsidR="00DA3E06" w:rsidRPr="00DA3E06" w14:paraId="18951466" w14:textId="77777777">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hideMark/>
          </w:tcPr>
          <w:p w14:paraId="31CCCB04" w14:textId="77777777" w:rsidR="00DA3E06" w:rsidRPr="00DA3E06" w:rsidRDefault="00DA3E06" w:rsidP="00DA3E06">
            <w:pPr>
              <w:keepNext/>
              <w:keepLines/>
              <w:jc w:val="center"/>
              <w:rPr>
                <w:rFonts w:ascii="Arial Narrow" w:eastAsia="MS Gothic" w:hAnsi="Arial Narrow" w:cs="Times New Roman" w:hint="default"/>
                <w:b/>
                <w:sz w:val="20"/>
              </w:rPr>
            </w:pPr>
            <w:r w:rsidRPr="00DA3E06">
              <w:rPr>
                <w:rFonts w:ascii="Arial Narrow" w:eastAsia="MS Gothic" w:hAnsi="Arial Narrow" w:cs="Times New Roman" w:hint="default"/>
                <w:b/>
                <w:sz w:val="20"/>
              </w:rPr>
              <w:t xml:space="preserve">Estimated financial implications of the </w:t>
            </w:r>
            <w:r w:rsidRPr="00DA3E06">
              <w:rPr>
                <w:rFonts w:ascii="Arial Narrow" w:eastAsia="MS Gothic" w:hAnsi="Arial Narrow" w:cs="Times New Roman" w:hint="default"/>
                <w:b/>
                <w:i/>
                <w:iCs/>
                <w:sz w:val="20"/>
              </w:rPr>
              <w:t>FGFR2</w:t>
            </w:r>
            <w:r w:rsidRPr="00DA3E06">
              <w:rPr>
                <w:rFonts w:ascii="Arial Narrow" w:eastAsia="MS Gothic" w:hAnsi="Arial Narrow" w:cs="Times New Roman" w:hint="default"/>
                <w:b/>
                <w:sz w:val="20"/>
              </w:rPr>
              <w:t xml:space="preserve"> testing to the MBS</w:t>
            </w:r>
          </w:p>
        </w:tc>
      </w:tr>
      <w:tr w:rsidR="00DA3E06" w:rsidRPr="00DA3E06" w14:paraId="5E978442" w14:textId="77777777">
        <w:trPr>
          <w:trHeight w:val="224"/>
        </w:trPr>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2A3C4C85"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Cost to MBS less co-payments (80% rebate)</w:t>
            </w:r>
          </w:p>
        </w:tc>
        <w:tc>
          <w:tcPr>
            <w:tcW w:w="784" w:type="pct"/>
            <w:tcBorders>
              <w:top w:val="single" w:sz="4" w:space="0" w:color="auto"/>
              <w:left w:val="single" w:sz="4" w:space="0" w:color="auto"/>
              <w:bottom w:val="single" w:sz="4" w:space="0" w:color="auto"/>
              <w:right w:val="single" w:sz="4" w:space="0" w:color="auto"/>
            </w:tcBorders>
            <w:hideMark/>
          </w:tcPr>
          <w:p w14:paraId="66505E62"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z w:val="20"/>
                <w:szCs w:val="20"/>
              </w:rPr>
              <w:t>$</w:t>
            </w:r>
            <w:r w:rsidRPr="00DA3E06">
              <w:rPr>
                <w:rFonts w:ascii="Arial Narrow" w:hAnsi="Arial Narrow"/>
                <w:color w:val="000000"/>
                <w:spacing w:val="51"/>
                <w:sz w:val="20"/>
                <w:szCs w:val="20"/>
                <w:shd w:val="solid" w:color="000000" w:fill="000000"/>
                <w:fitText w:val="324" w:id="-509906168"/>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8"/>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3441CE2A"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z w:val="20"/>
                <w:szCs w:val="20"/>
              </w:rPr>
              <w:t>$</w:t>
            </w:r>
            <w:r w:rsidRPr="00DA3E06">
              <w:rPr>
                <w:rFonts w:ascii="Arial Narrow" w:hAnsi="Arial Narrow"/>
                <w:color w:val="000000"/>
                <w:spacing w:val="51"/>
                <w:sz w:val="20"/>
                <w:szCs w:val="20"/>
                <w:shd w:val="solid" w:color="000000" w:fill="000000"/>
                <w:fitText w:val="324" w:id="-509906167"/>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7"/>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5B8EDEB3"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z w:val="20"/>
                <w:szCs w:val="20"/>
              </w:rPr>
              <w:t>$</w:t>
            </w:r>
            <w:r w:rsidRPr="00DA3E06">
              <w:rPr>
                <w:rFonts w:ascii="Arial Narrow" w:hAnsi="Arial Narrow"/>
                <w:color w:val="000000"/>
                <w:spacing w:val="51"/>
                <w:sz w:val="20"/>
                <w:szCs w:val="20"/>
                <w:shd w:val="solid" w:color="000000" w:fill="000000"/>
                <w:fitText w:val="324" w:id="-509906166"/>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6"/>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130250C5"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z w:val="20"/>
                <w:szCs w:val="20"/>
              </w:rPr>
              <w:t>$</w:t>
            </w:r>
            <w:r w:rsidRPr="00DA3E06">
              <w:rPr>
                <w:rFonts w:ascii="Arial Narrow" w:hAnsi="Arial Narrow"/>
                <w:color w:val="000000"/>
                <w:spacing w:val="51"/>
                <w:sz w:val="20"/>
                <w:szCs w:val="20"/>
                <w:shd w:val="solid" w:color="000000" w:fill="000000"/>
                <w:fitText w:val="324" w:id="-509906165"/>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5"/>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5AE163F1"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z w:val="20"/>
                <w:szCs w:val="20"/>
              </w:rPr>
              <w:t>$</w:t>
            </w:r>
            <w:r w:rsidRPr="00DA3E06">
              <w:rPr>
                <w:rFonts w:ascii="Arial Narrow" w:hAnsi="Arial Narrow"/>
                <w:color w:val="000000"/>
                <w:spacing w:val="51"/>
                <w:sz w:val="20"/>
                <w:szCs w:val="20"/>
                <w:shd w:val="solid" w:color="000000" w:fill="000000"/>
                <w:fitText w:val="324" w:id="-509906164"/>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4"/>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1" w:type="pct"/>
            <w:tcBorders>
              <w:top w:val="single" w:sz="4" w:space="0" w:color="auto"/>
              <w:left w:val="single" w:sz="4" w:space="0" w:color="auto"/>
              <w:bottom w:val="single" w:sz="4" w:space="0" w:color="auto"/>
              <w:right w:val="single" w:sz="4" w:space="0" w:color="auto"/>
            </w:tcBorders>
            <w:hideMark/>
          </w:tcPr>
          <w:p w14:paraId="13C3EE3E"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DA3E06">
              <w:rPr>
                <w:rFonts w:ascii="Arial Narrow" w:hAnsi="Arial Narrow"/>
                <w:color w:val="000000"/>
                <w:sz w:val="20"/>
                <w:szCs w:val="20"/>
              </w:rPr>
              <w:t>$</w:t>
            </w:r>
            <w:r w:rsidRPr="00DA3E06">
              <w:rPr>
                <w:rFonts w:ascii="Arial Narrow" w:hAnsi="Arial Narrow"/>
                <w:color w:val="000000"/>
                <w:spacing w:val="51"/>
                <w:sz w:val="20"/>
                <w:szCs w:val="20"/>
                <w:shd w:val="solid" w:color="000000" w:fill="000000"/>
                <w:fitText w:val="324" w:id="-509906163"/>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3"/>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r>
      <w:tr w:rsidR="00DA3E06" w:rsidRPr="00DA3E06" w14:paraId="71126325" w14:textId="77777777">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hideMark/>
          </w:tcPr>
          <w:p w14:paraId="75B9B99B" w14:textId="77777777" w:rsidR="00DA3E06" w:rsidRPr="00DA3E06" w:rsidRDefault="00DA3E06" w:rsidP="00DA3E06">
            <w:pPr>
              <w:keepNext/>
              <w:keepLines/>
              <w:jc w:val="center"/>
              <w:rPr>
                <w:rFonts w:ascii="Arial Narrow" w:eastAsia="MS Gothic" w:hAnsi="Arial Narrow" w:cs="Times New Roman" w:hint="default"/>
                <w:b/>
                <w:sz w:val="20"/>
              </w:rPr>
            </w:pPr>
            <w:r w:rsidRPr="00DA3E06">
              <w:rPr>
                <w:rFonts w:ascii="Arial Narrow" w:eastAsia="MS Gothic" w:hAnsi="Arial Narrow" w:cs="Times New Roman" w:hint="default"/>
                <w:b/>
                <w:sz w:val="20"/>
              </w:rPr>
              <w:t>Estimated financial implications of the Optical Coherence tomography (ophthalmological monitoring) to the MBS</w:t>
            </w:r>
          </w:p>
        </w:tc>
      </w:tr>
      <w:tr w:rsidR="00DA3E06" w:rsidRPr="00DA3E06" w14:paraId="17986B2C" w14:textId="77777777">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69727BC0"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Cost to MBS less co-payments (80% rebate)</w:t>
            </w:r>
          </w:p>
        </w:tc>
        <w:tc>
          <w:tcPr>
            <w:tcW w:w="784" w:type="pct"/>
            <w:tcBorders>
              <w:top w:val="single" w:sz="4" w:space="0" w:color="auto"/>
              <w:left w:val="single" w:sz="4" w:space="0" w:color="auto"/>
              <w:bottom w:val="single" w:sz="4" w:space="0" w:color="auto"/>
              <w:right w:val="single" w:sz="4" w:space="0" w:color="auto"/>
            </w:tcBorders>
            <w:hideMark/>
          </w:tcPr>
          <w:p w14:paraId="68025196"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DA3E06">
              <w:rPr>
                <w:rFonts w:ascii="Arial Narrow" w:hAnsi="Arial Narrow"/>
                <w:color w:val="000000"/>
                <w:sz w:val="20"/>
                <w:szCs w:val="20"/>
              </w:rPr>
              <w:t>$</w:t>
            </w:r>
            <w:r w:rsidRPr="00DA3E06">
              <w:rPr>
                <w:rFonts w:ascii="Arial Narrow" w:hAnsi="Arial Narrow"/>
                <w:color w:val="000000"/>
                <w:spacing w:val="51"/>
                <w:sz w:val="20"/>
                <w:szCs w:val="20"/>
                <w:shd w:val="solid" w:color="000000" w:fill="000000"/>
                <w:fitText w:val="324" w:id="-509906162"/>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2"/>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3C00C35B"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61"/>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1"/>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04534810"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60"/>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0"/>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0A0044AA"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76"/>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6"/>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4756DFBC"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75"/>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5"/>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1" w:type="pct"/>
            <w:tcBorders>
              <w:top w:val="single" w:sz="4" w:space="0" w:color="auto"/>
              <w:left w:val="single" w:sz="4" w:space="0" w:color="auto"/>
              <w:bottom w:val="single" w:sz="4" w:space="0" w:color="auto"/>
              <w:right w:val="single" w:sz="4" w:space="0" w:color="auto"/>
            </w:tcBorders>
            <w:hideMark/>
          </w:tcPr>
          <w:p w14:paraId="6AD20F0E"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74"/>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4"/>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r>
      <w:tr w:rsidR="00DA3E06" w:rsidRPr="00DA3E06" w14:paraId="33D3612D" w14:textId="77777777">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hideMark/>
          </w:tcPr>
          <w:p w14:paraId="4D543DCB" w14:textId="77777777" w:rsidR="00DA3E06" w:rsidRPr="00DA3E06" w:rsidRDefault="00DA3E06" w:rsidP="00DA3E06">
            <w:pPr>
              <w:keepNext/>
              <w:keepLines/>
              <w:jc w:val="center"/>
              <w:rPr>
                <w:rFonts w:ascii="Arial Narrow" w:eastAsia="MS Gothic" w:hAnsi="Arial Narrow" w:cs="Times New Roman" w:hint="default"/>
                <w:b/>
                <w:sz w:val="20"/>
              </w:rPr>
            </w:pPr>
            <w:r w:rsidRPr="00DA3E06">
              <w:rPr>
                <w:rFonts w:ascii="Arial Narrow" w:eastAsia="MS Gothic" w:hAnsi="Arial Narrow" w:cs="Times New Roman" w:hint="default"/>
                <w:b/>
                <w:sz w:val="20"/>
              </w:rPr>
              <w:t>Estimated financial implications for FOLFOX associated costs to the MBS</w:t>
            </w:r>
          </w:p>
        </w:tc>
      </w:tr>
      <w:tr w:rsidR="00DA3E06" w:rsidRPr="00DA3E06" w14:paraId="05240A52" w14:textId="77777777">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4F43B950"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Cost to MBS less co-payments (80% rebate)</w:t>
            </w:r>
          </w:p>
        </w:tc>
        <w:tc>
          <w:tcPr>
            <w:tcW w:w="784" w:type="pct"/>
            <w:tcBorders>
              <w:top w:val="single" w:sz="4" w:space="0" w:color="auto"/>
              <w:left w:val="single" w:sz="4" w:space="0" w:color="auto"/>
              <w:bottom w:val="single" w:sz="4" w:space="0" w:color="auto"/>
              <w:right w:val="single" w:sz="4" w:space="0" w:color="auto"/>
            </w:tcBorders>
            <w:hideMark/>
          </w:tcPr>
          <w:p w14:paraId="74291437"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DA3E06">
              <w:rPr>
                <w:rFonts w:ascii="Arial Narrow" w:hAnsi="Arial Narrow"/>
                <w:color w:val="000000"/>
                <w:sz w:val="20"/>
                <w:szCs w:val="20"/>
              </w:rPr>
              <w:t>-$</w:t>
            </w:r>
            <w:r w:rsidRPr="00DA3E06">
              <w:rPr>
                <w:rFonts w:ascii="Arial Narrow" w:hAnsi="Arial Narrow"/>
                <w:color w:val="000000"/>
                <w:spacing w:val="51"/>
                <w:sz w:val="20"/>
                <w:szCs w:val="20"/>
                <w:shd w:val="solid" w:color="000000" w:fill="000000"/>
                <w:fitText w:val="324" w:id="-509906173"/>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73"/>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66F9803C"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1"/>
                <w:sz w:val="20"/>
                <w:szCs w:val="20"/>
                <w:shd w:val="solid" w:color="000000" w:fill="000000"/>
                <w:fitText w:val="324" w:id="-509906172"/>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72"/>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0CB95A30"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1"/>
                <w:sz w:val="20"/>
                <w:szCs w:val="20"/>
                <w:shd w:val="solid" w:color="000000" w:fill="000000"/>
                <w:fitText w:val="324" w:id="-509906171"/>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71"/>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3DC5957D"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1"/>
                <w:sz w:val="20"/>
                <w:szCs w:val="20"/>
                <w:shd w:val="solid" w:color="000000" w:fill="000000"/>
                <w:fitText w:val="324" w:id="-509906170"/>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70"/>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6004C323"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1"/>
                <w:sz w:val="20"/>
                <w:szCs w:val="20"/>
                <w:shd w:val="solid" w:color="000000" w:fill="000000"/>
                <w:fitText w:val="324" w:id="-509906169"/>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9"/>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1" w:type="pct"/>
            <w:tcBorders>
              <w:top w:val="single" w:sz="4" w:space="0" w:color="auto"/>
              <w:left w:val="single" w:sz="4" w:space="0" w:color="auto"/>
              <w:bottom w:val="single" w:sz="4" w:space="0" w:color="auto"/>
              <w:right w:val="single" w:sz="4" w:space="0" w:color="auto"/>
            </w:tcBorders>
            <w:hideMark/>
          </w:tcPr>
          <w:p w14:paraId="31BEF0AE"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1"/>
                <w:sz w:val="20"/>
                <w:szCs w:val="20"/>
                <w:shd w:val="solid" w:color="000000" w:fill="000000"/>
                <w:fitText w:val="324" w:id="-509906168"/>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8"/>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r>
      <w:tr w:rsidR="00DA3E06" w:rsidRPr="00DA3E06" w14:paraId="45918C6A" w14:textId="77777777">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hideMark/>
          </w:tcPr>
          <w:p w14:paraId="52ACADBA" w14:textId="77777777" w:rsidR="00DA3E06" w:rsidRPr="00DA3E06" w:rsidRDefault="00DA3E06" w:rsidP="00DA3E06">
            <w:pPr>
              <w:keepNext/>
              <w:keepLines/>
              <w:jc w:val="center"/>
              <w:rPr>
                <w:rFonts w:ascii="Arial Narrow" w:eastAsia="MS Gothic" w:hAnsi="Arial Narrow" w:cs="Times New Roman" w:hint="default"/>
                <w:b/>
                <w:bCs/>
                <w:sz w:val="20"/>
              </w:rPr>
            </w:pPr>
            <w:r w:rsidRPr="00DA3E06">
              <w:rPr>
                <w:rFonts w:ascii="Arial Narrow" w:eastAsia="MS Gothic" w:hAnsi="Arial Narrow" w:cs="Times New Roman" w:hint="default"/>
                <w:b/>
                <w:bCs/>
                <w:sz w:val="20"/>
              </w:rPr>
              <w:t xml:space="preserve">Net financial implications </w:t>
            </w:r>
          </w:p>
        </w:tc>
      </w:tr>
      <w:tr w:rsidR="00DA3E06" w:rsidRPr="00DA3E06" w14:paraId="4AFFE38A" w14:textId="77777777">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7BC4A229" w14:textId="77777777" w:rsidR="00DA3E06" w:rsidRPr="00DA3E06" w:rsidRDefault="00DA3E06" w:rsidP="00DA3E06">
            <w:pPr>
              <w:keepNext/>
              <w:keepLines/>
              <w:jc w:val="center"/>
              <w:rPr>
                <w:rFonts w:ascii="Arial Narrow" w:eastAsia="MS Gothic" w:hAnsi="Arial Narrow" w:cs="Times New Roman" w:hint="default"/>
                <w:bCs/>
                <w:sz w:val="20"/>
              </w:rPr>
            </w:pPr>
            <w:r w:rsidRPr="00DA3E06">
              <w:rPr>
                <w:rFonts w:ascii="Arial Narrow" w:eastAsia="MS Gothic" w:hAnsi="Arial Narrow" w:cs="Times New Roman" w:hint="default"/>
                <w:bCs/>
                <w:sz w:val="20"/>
              </w:rPr>
              <w:t>Net cost to PBS/RPBS</w:t>
            </w:r>
          </w:p>
        </w:tc>
        <w:tc>
          <w:tcPr>
            <w:tcW w:w="784" w:type="pct"/>
            <w:tcBorders>
              <w:top w:val="single" w:sz="4" w:space="0" w:color="auto"/>
              <w:left w:val="single" w:sz="4" w:space="0" w:color="auto"/>
              <w:bottom w:val="single" w:sz="4" w:space="0" w:color="auto"/>
              <w:right w:val="single" w:sz="4" w:space="0" w:color="auto"/>
            </w:tcBorders>
            <w:hideMark/>
          </w:tcPr>
          <w:p w14:paraId="418DEF10"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DA3E06">
              <w:rPr>
                <w:rFonts w:ascii="Arial Narrow" w:hAnsi="Arial Narrow"/>
                <w:color w:val="000000"/>
                <w:sz w:val="20"/>
                <w:szCs w:val="20"/>
              </w:rPr>
              <w:t>$</w:t>
            </w:r>
            <w:r w:rsidRPr="00DA3E06">
              <w:rPr>
                <w:rFonts w:ascii="Arial Narrow" w:hAnsi="Arial Narrow"/>
                <w:color w:val="000000"/>
                <w:spacing w:val="51"/>
                <w:sz w:val="20"/>
                <w:szCs w:val="20"/>
                <w:shd w:val="solid" w:color="000000" w:fill="000000"/>
                <w:fitText w:val="324" w:id="-509906167"/>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7"/>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7D190F80"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66"/>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6"/>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4574A7C6"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65"/>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5"/>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27551D97"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64"/>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4"/>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075CE859"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63"/>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3"/>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1" w:type="pct"/>
            <w:tcBorders>
              <w:top w:val="single" w:sz="4" w:space="0" w:color="auto"/>
              <w:left w:val="single" w:sz="4" w:space="0" w:color="auto"/>
              <w:bottom w:val="single" w:sz="4" w:space="0" w:color="auto"/>
              <w:right w:val="single" w:sz="4" w:space="0" w:color="auto"/>
            </w:tcBorders>
            <w:hideMark/>
          </w:tcPr>
          <w:p w14:paraId="124A648B"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62"/>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2"/>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r>
      <w:tr w:rsidR="00DA3E06" w:rsidRPr="00DA3E06" w14:paraId="37CB9D58" w14:textId="77777777">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55C90411" w14:textId="77777777" w:rsidR="00DA3E06" w:rsidRPr="00DA3E06" w:rsidRDefault="00DA3E06" w:rsidP="00DA3E06">
            <w:pPr>
              <w:keepNext/>
              <w:keepLines/>
              <w:jc w:val="center"/>
              <w:rPr>
                <w:rFonts w:ascii="Times" w:hAnsi="Times" w:cs="Times New Roman" w:hint="default"/>
                <w:bCs/>
                <w:sz w:val="20"/>
              </w:rPr>
            </w:pPr>
            <w:r w:rsidRPr="00DA3E06">
              <w:rPr>
                <w:rFonts w:ascii="Arial Narrow" w:eastAsia="MS Gothic" w:hAnsi="Arial Narrow" w:cs="Times New Roman" w:hint="default"/>
                <w:bCs/>
                <w:sz w:val="20"/>
              </w:rPr>
              <w:t>Net cost to MBS</w:t>
            </w:r>
          </w:p>
        </w:tc>
        <w:tc>
          <w:tcPr>
            <w:tcW w:w="784" w:type="pct"/>
            <w:tcBorders>
              <w:top w:val="single" w:sz="4" w:space="0" w:color="auto"/>
              <w:left w:val="single" w:sz="4" w:space="0" w:color="auto"/>
              <w:bottom w:val="single" w:sz="4" w:space="0" w:color="auto"/>
              <w:right w:val="single" w:sz="4" w:space="0" w:color="auto"/>
            </w:tcBorders>
            <w:hideMark/>
          </w:tcPr>
          <w:p w14:paraId="1BADDF56"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DA3E06">
              <w:rPr>
                <w:rFonts w:ascii="Arial Narrow" w:hAnsi="Arial Narrow"/>
                <w:color w:val="000000"/>
                <w:sz w:val="20"/>
                <w:szCs w:val="20"/>
              </w:rPr>
              <w:t>$</w:t>
            </w:r>
            <w:r w:rsidRPr="00DA3E06">
              <w:rPr>
                <w:rFonts w:ascii="Arial Narrow" w:hAnsi="Arial Narrow"/>
                <w:color w:val="000000"/>
                <w:spacing w:val="51"/>
                <w:sz w:val="20"/>
                <w:szCs w:val="20"/>
                <w:shd w:val="solid" w:color="000000" w:fill="000000"/>
                <w:fitText w:val="324" w:id="-509906161"/>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61"/>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785DB3F1"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60"/>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0"/>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3DCD0C41"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76"/>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6"/>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7E5BDC12"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75"/>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5"/>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2516A32A"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74"/>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4"/>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1" w:type="pct"/>
            <w:tcBorders>
              <w:top w:val="single" w:sz="4" w:space="0" w:color="auto"/>
              <w:left w:val="single" w:sz="4" w:space="0" w:color="auto"/>
              <w:bottom w:val="single" w:sz="4" w:space="0" w:color="auto"/>
              <w:right w:val="single" w:sz="4" w:space="0" w:color="auto"/>
            </w:tcBorders>
            <w:hideMark/>
          </w:tcPr>
          <w:p w14:paraId="707E4936"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73"/>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3"/>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r>
      <w:tr w:rsidR="00DA3E06" w:rsidRPr="00DA3E06" w14:paraId="088A8F19" w14:textId="77777777">
        <w:tc>
          <w:tcPr>
            <w:cnfStyle w:val="001000000000" w:firstRow="0" w:lastRow="0" w:firstColumn="1" w:lastColumn="0" w:oddVBand="0" w:evenVBand="0" w:oddHBand="0" w:evenHBand="0" w:firstRowFirstColumn="0" w:firstRowLastColumn="0" w:lastRowFirstColumn="0" w:lastRowLastColumn="0"/>
            <w:tcW w:w="1315" w:type="pct"/>
            <w:tcBorders>
              <w:top w:val="single" w:sz="4" w:space="0" w:color="auto"/>
              <w:left w:val="single" w:sz="4" w:space="0" w:color="auto"/>
              <w:bottom w:val="single" w:sz="4" w:space="0" w:color="auto"/>
              <w:right w:val="single" w:sz="4" w:space="0" w:color="auto"/>
            </w:tcBorders>
            <w:hideMark/>
          </w:tcPr>
          <w:p w14:paraId="19601535" w14:textId="77777777" w:rsidR="00DA3E06" w:rsidRPr="00DA3E06" w:rsidRDefault="00DA3E06" w:rsidP="00DA3E06">
            <w:pPr>
              <w:keepNext/>
              <w:keepLines/>
              <w:jc w:val="center"/>
              <w:rPr>
                <w:rFonts w:ascii="Arial Narrow" w:eastAsia="MS Gothic" w:hAnsi="Arial Narrow" w:cs="Times New Roman" w:hint="default"/>
                <w:b/>
                <w:sz w:val="20"/>
              </w:rPr>
            </w:pPr>
            <w:r w:rsidRPr="00DA3E06">
              <w:rPr>
                <w:rFonts w:ascii="Arial Narrow" w:eastAsia="MS Gothic" w:hAnsi="Arial Narrow" w:cs="Times New Roman" w:hint="default"/>
                <w:b/>
                <w:bCs/>
                <w:sz w:val="20"/>
              </w:rPr>
              <w:t>Net cost to PBS/RPBS/MBS</w:t>
            </w:r>
          </w:p>
        </w:tc>
        <w:tc>
          <w:tcPr>
            <w:tcW w:w="784" w:type="pct"/>
            <w:tcBorders>
              <w:top w:val="single" w:sz="4" w:space="0" w:color="auto"/>
              <w:left w:val="single" w:sz="4" w:space="0" w:color="auto"/>
              <w:bottom w:val="single" w:sz="4" w:space="0" w:color="auto"/>
              <w:right w:val="single" w:sz="4" w:space="0" w:color="auto"/>
            </w:tcBorders>
            <w:hideMark/>
          </w:tcPr>
          <w:p w14:paraId="161A5CBC"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0"/>
                <w:szCs w:val="20"/>
              </w:rPr>
            </w:pPr>
            <w:r w:rsidRPr="00DA3E06">
              <w:rPr>
                <w:rFonts w:ascii="Arial Narrow" w:hAnsi="Arial Narrow"/>
                <w:color w:val="000000"/>
                <w:sz w:val="20"/>
                <w:szCs w:val="20"/>
              </w:rPr>
              <w:t>$</w:t>
            </w:r>
            <w:r w:rsidRPr="00DA3E06">
              <w:rPr>
                <w:rFonts w:ascii="Arial Narrow" w:hAnsi="Arial Narrow"/>
                <w:color w:val="000000"/>
                <w:spacing w:val="51"/>
                <w:sz w:val="20"/>
                <w:szCs w:val="20"/>
                <w:shd w:val="solid" w:color="000000" w:fill="000000"/>
                <w:fitText w:val="324" w:id="-509906172"/>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24" w:id="-509906172"/>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0C6460E8"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71"/>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1"/>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01E65823"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70"/>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70"/>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7CCFDE80"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69"/>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9"/>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0" w:type="pct"/>
            <w:tcBorders>
              <w:top w:val="single" w:sz="4" w:space="0" w:color="auto"/>
              <w:left w:val="single" w:sz="4" w:space="0" w:color="auto"/>
              <w:bottom w:val="single" w:sz="4" w:space="0" w:color="auto"/>
              <w:right w:val="single" w:sz="4" w:space="0" w:color="auto"/>
            </w:tcBorders>
            <w:hideMark/>
          </w:tcPr>
          <w:p w14:paraId="4D97BFA6"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68"/>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8"/>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c>
          <w:tcPr>
            <w:tcW w:w="581" w:type="pct"/>
            <w:tcBorders>
              <w:top w:val="single" w:sz="4" w:space="0" w:color="auto"/>
              <w:left w:val="single" w:sz="4" w:space="0" w:color="auto"/>
              <w:bottom w:val="single" w:sz="4" w:space="0" w:color="auto"/>
              <w:right w:val="single" w:sz="4" w:space="0" w:color="auto"/>
            </w:tcBorders>
            <w:hideMark/>
          </w:tcPr>
          <w:p w14:paraId="51A02A7B" w14:textId="77777777" w:rsidR="00DA3E06" w:rsidRPr="00DA3E06" w:rsidRDefault="00DA3E06" w:rsidP="00DA3E06">
            <w:pPr>
              <w:keepNext/>
              <w:keepLines/>
              <w:tabs>
                <w:tab w:val="decimal" w:pos="0"/>
                <w:tab w:val="decimal" w:pos="396"/>
              </w:tabs>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DA3E06">
              <w:rPr>
                <w:rFonts w:ascii="Arial Narrow" w:hAnsi="Arial Narrow"/>
                <w:sz w:val="20"/>
                <w:szCs w:val="20"/>
              </w:rPr>
              <w:t>$</w:t>
            </w:r>
            <w:r w:rsidRPr="00DA3E06">
              <w:rPr>
                <w:rFonts w:ascii="Arial Narrow" w:hAnsi="Arial Narrow"/>
                <w:color w:val="000000"/>
                <w:spacing w:val="55"/>
                <w:sz w:val="20"/>
                <w:szCs w:val="20"/>
                <w:shd w:val="solid" w:color="000000" w:fill="000000"/>
                <w:fitText w:val="336" w:id="-509906167"/>
                <w14:textFill>
                  <w14:solidFill>
                    <w14:srgbClr w14:val="000000">
                      <w14:alpha w14:val="100000"/>
                    </w14:srgbClr>
                  </w14:solidFill>
                </w14:textFill>
              </w:rPr>
              <w:t>|||</w:t>
            </w:r>
            <w:r w:rsidRPr="00DA3E06">
              <w:rPr>
                <w:rFonts w:ascii="Arial Narrow" w:hAnsi="Arial Narrow"/>
                <w:color w:val="000000"/>
                <w:spacing w:val="1"/>
                <w:sz w:val="20"/>
                <w:szCs w:val="20"/>
                <w:shd w:val="solid" w:color="000000" w:fill="000000"/>
                <w:fitText w:val="336" w:id="-509906167"/>
                <w14:textFill>
                  <w14:solidFill>
                    <w14:srgbClr w14:val="000000">
                      <w14:alpha w14:val="100000"/>
                    </w14:srgbClr>
                  </w14:solidFill>
                </w14:textFill>
              </w:rPr>
              <w:t>|</w:t>
            </w:r>
            <w:r w:rsidRPr="00DA3E06">
              <w:rPr>
                <w:rFonts w:ascii="Arial Narrow" w:hAnsi="Arial Narrow"/>
                <w:color w:val="000000"/>
                <w:sz w:val="20"/>
                <w:szCs w:val="20"/>
                <w:vertAlign w:val="superscript"/>
              </w:rPr>
              <w:t>3</w:t>
            </w:r>
          </w:p>
        </w:tc>
      </w:tr>
    </w:tbl>
    <w:p w14:paraId="46A06076" w14:textId="77777777" w:rsidR="00DA3E06" w:rsidRPr="00DA3E06" w:rsidRDefault="00DA3E06" w:rsidP="00DA3E06">
      <w:pPr>
        <w:snapToGrid w:val="0"/>
        <w:spacing w:after="120"/>
        <w:contextualSpacing/>
        <w:rPr>
          <w:rFonts w:ascii="Arial Narrow" w:hAnsi="Arial Narrow" w:cs="Arial"/>
          <w:sz w:val="18"/>
          <w:szCs w:val="22"/>
        </w:rPr>
      </w:pPr>
      <w:r w:rsidRPr="00DA3E06">
        <w:rPr>
          <w:rFonts w:ascii="Arial Narrow" w:hAnsi="Arial Narrow" w:cs="Arial"/>
          <w:sz w:val="18"/>
          <w:szCs w:val="22"/>
        </w:rPr>
        <w:t>Source: financial table workbook from the resubmission</w:t>
      </w:r>
    </w:p>
    <w:p w14:paraId="11A1796B" w14:textId="77777777" w:rsidR="00DA3E06" w:rsidRPr="00DA3E06" w:rsidRDefault="00DA3E06" w:rsidP="00DA3E06">
      <w:pPr>
        <w:snapToGrid w:val="0"/>
        <w:spacing w:after="120"/>
        <w:contextualSpacing/>
        <w:rPr>
          <w:rFonts w:ascii="Arial Narrow" w:hAnsi="Arial Narrow" w:cs="Arial"/>
          <w:sz w:val="18"/>
          <w:szCs w:val="22"/>
        </w:rPr>
      </w:pPr>
      <w:r w:rsidRPr="00DA3E06">
        <w:rPr>
          <w:rFonts w:ascii="Arial Narrow" w:hAnsi="Arial Narrow" w:cs="Arial"/>
          <w:sz w:val="18"/>
          <w:szCs w:val="22"/>
        </w:rPr>
        <w:t>ECOG PS, Eastern Cooperative Oncology Group Performance Status; FGFR, Fibroblast growth factor receptor</w:t>
      </w:r>
    </w:p>
    <w:p w14:paraId="7ABBBC95" w14:textId="77777777" w:rsidR="00DA3E06" w:rsidRPr="00DA3E06" w:rsidRDefault="00DA3E06" w:rsidP="00DA3E06">
      <w:pPr>
        <w:snapToGrid w:val="0"/>
        <w:spacing w:after="120"/>
        <w:contextualSpacing/>
        <w:rPr>
          <w:rFonts w:ascii="Arial Narrow" w:hAnsi="Arial Narrow" w:cs="Arial"/>
          <w:i/>
          <w:sz w:val="18"/>
          <w:szCs w:val="22"/>
        </w:rPr>
      </w:pPr>
      <w:r w:rsidRPr="00DA3E06">
        <w:rPr>
          <w:rFonts w:ascii="Arial Narrow" w:hAnsi="Arial Narrow" w:cs="Arial"/>
          <w:i/>
          <w:sz w:val="18"/>
          <w:szCs w:val="22"/>
        </w:rPr>
        <w:t xml:space="preserve">The redacted values correspond to the following ranges: </w:t>
      </w:r>
    </w:p>
    <w:p w14:paraId="0F3EA19C" w14:textId="77777777" w:rsidR="00DA3E06" w:rsidRPr="00DA3E06" w:rsidRDefault="00DA3E06" w:rsidP="00DA3E06">
      <w:pPr>
        <w:snapToGrid w:val="0"/>
        <w:spacing w:after="120"/>
        <w:contextualSpacing/>
        <w:rPr>
          <w:rFonts w:ascii="Arial Narrow" w:hAnsi="Arial Narrow" w:cs="Arial"/>
          <w:i/>
          <w:sz w:val="18"/>
          <w:szCs w:val="22"/>
        </w:rPr>
      </w:pPr>
      <w:r w:rsidRPr="00DA3E06">
        <w:rPr>
          <w:rFonts w:ascii="Arial Narrow" w:hAnsi="Arial Narrow" w:cs="Arial"/>
          <w:i/>
          <w:sz w:val="18"/>
          <w:szCs w:val="22"/>
          <w:vertAlign w:val="superscript"/>
        </w:rPr>
        <w:t>1</w:t>
      </w:r>
      <w:r w:rsidRPr="00DA3E06">
        <w:rPr>
          <w:rFonts w:ascii="Arial Narrow" w:hAnsi="Arial Narrow" w:cs="Arial"/>
          <w:i/>
          <w:sz w:val="18"/>
          <w:szCs w:val="22"/>
        </w:rPr>
        <w:t xml:space="preserve"> 500 to &lt; 5,000</w:t>
      </w:r>
    </w:p>
    <w:p w14:paraId="70CA8C59" w14:textId="77777777" w:rsidR="00DA3E06" w:rsidRPr="00DA3E06" w:rsidRDefault="00DA3E06" w:rsidP="00DA3E06">
      <w:pPr>
        <w:snapToGrid w:val="0"/>
        <w:spacing w:after="120"/>
        <w:contextualSpacing/>
        <w:rPr>
          <w:rFonts w:ascii="Arial Narrow" w:hAnsi="Arial Narrow" w:cs="Arial"/>
          <w:i/>
          <w:sz w:val="18"/>
          <w:szCs w:val="22"/>
        </w:rPr>
      </w:pPr>
      <w:r w:rsidRPr="00DA3E06">
        <w:rPr>
          <w:rFonts w:ascii="Arial Narrow" w:hAnsi="Arial Narrow" w:cs="Arial"/>
          <w:i/>
          <w:sz w:val="18"/>
          <w:szCs w:val="22"/>
          <w:vertAlign w:val="superscript"/>
        </w:rPr>
        <w:t>2</w:t>
      </w:r>
      <w:r w:rsidRPr="00DA3E06">
        <w:rPr>
          <w:rFonts w:ascii="Arial Narrow" w:hAnsi="Arial Narrow" w:cs="Arial"/>
          <w:i/>
          <w:sz w:val="18"/>
          <w:szCs w:val="22"/>
        </w:rPr>
        <w:t xml:space="preserve"> &lt; 500</w:t>
      </w:r>
    </w:p>
    <w:p w14:paraId="257738C1" w14:textId="77777777" w:rsidR="00DA3E06" w:rsidRPr="00DA3E06" w:rsidRDefault="00DA3E06" w:rsidP="00DA3E06">
      <w:pPr>
        <w:snapToGrid w:val="0"/>
        <w:spacing w:after="120"/>
        <w:contextualSpacing/>
        <w:rPr>
          <w:rFonts w:ascii="Arial Narrow" w:hAnsi="Arial Narrow" w:cs="Arial"/>
          <w:sz w:val="18"/>
          <w:szCs w:val="22"/>
        </w:rPr>
      </w:pPr>
      <w:r w:rsidRPr="00DA3E06">
        <w:rPr>
          <w:rFonts w:ascii="Arial Narrow" w:hAnsi="Arial Narrow" w:cs="Arial"/>
          <w:i/>
          <w:sz w:val="18"/>
          <w:szCs w:val="22"/>
          <w:vertAlign w:val="superscript"/>
        </w:rPr>
        <w:t>3</w:t>
      </w:r>
      <w:r w:rsidRPr="00DA3E06">
        <w:rPr>
          <w:rFonts w:ascii="Arial Narrow" w:hAnsi="Arial Narrow" w:cs="Arial"/>
          <w:i/>
          <w:sz w:val="18"/>
          <w:szCs w:val="22"/>
        </w:rPr>
        <w:t xml:space="preserve"> $0 to &lt; $10 million</w:t>
      </w:r>
    </w:p>
    <w:p w14:paraId="69C918DB" w14:textId="77777777" w:rsidR="00DA3E06" w:rsidRPr="00DA3E06" w:rsidRDefault="00DA3E06" w:rsidP="00DA3E06"/>
    <w:p w14:paraId="62CB741B" w14:textId="77777777"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t xml:space="preserve">The total net cost to the PBS/RPBS of listing futibatinib was estimated to be $0 to &lt; $10 million in Year 1, increasing to $0 to &lt; $10 million in Year 6, and a total of $30 million to &lt; $40 million in the first six years of listing. </w:t>
      </w:r>
    </w:p>
    <w:p w14:paraId="323214E3" w14:textId="24EC93D9"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t xml:space="preserve">The pre-PBAC response provided revised financial estimates that corrected the errors identified in paragraph </w:t>
      </w:r>
      <w:r w:rsidRPr="00DA3E06">
        <w:rPr>
          <w:rFonts w:eastAsia="Calibri" w:cs="Arial"/>
          <w:snapToGrid w:val="0"/>
          <w:szCs w:val="22"/>
        </w:rPr>
        <w:fldChar w:fldCharType="begin"/>
      </w:r>
      <w:r w:rsidRPr="00DA3E06">
        <w:rPr>
          <w:rFonts w:eastAsia="Calibri" w:cs="Arial"/>
          <w:snapToGrid w:val="0"/>
          <w:szCs w:val="22"/>
        </w:rPr>
        <w:instrText xml:space="preserve"> REF _Ref204864700 \r \h </w:instrText>
      </w:r>
      <w:r w:rsidRPr="00DA3E06">
        <w:rPr>
          <w:rFonts w:eastAsia="Calibri" w:cs="Arial"/>
          <w:snapToGrid w:val="0"/>
          <w:szCs w:val="22"/>
        </w:rPr>
      </w:r>
      <w:r w:rsidRPr="00DA3E06">
        <w:rPr>
          <w:rFonts w:eastAsia="Calibri" w:cs="Arial"/>
          <w:snapToGrid w:val="0"/>
          <w:szCs w:val="22"/>
        </w:rPr>
        <w:fldChar w:fldCharType="separate"/>
      </w:r>
      <w:r w:rsidR="00971CD5">
        <w:rPr>
          <w:rFonts w:eastAsia="Calibri" w:cs="Arial"/>
          <w:snapToGrid w:val="0"/>
          <w:szCs w:val="22"/>
        </w:rPr>
        <w:t>4.24</w:t>
      </w:r>
      <w:r w:rsidRPr="00DA3E06">
        <w:rPr>
          <w:rFonts w:eastAsia="Calibri" w:cs="Arial"/>
          <w:snapToGrid w:val="0"/>
          <w:szCs w:val="22"/>
        </w:rPr>
        <w:fldChar w:fldCharType="end"/>
      </w:r>
      <w:r w:rsidRPr="00DA3E06">
        <w:rPr>
          <w:rFonts w:eastAsia="Calibri" w:cs="Arial"/>
          <w:snapToGrid w:val="0"/>
          <w:szCs w:val="22"/>
        </w:rPr>
        <w:t xml:space="preserve"> and incorporated the revised price. The pre-PBAC response noted this reduced the cost to the R/PBS over 6 years to $30 million to &lt; $40 million. </w:t>
      </w:r>
    </w:p>
    <w:p w14:paraId="46582394" w14:textId="77777777" w:rsidR="00DA3E06" w:rsidRPr="00DA3E06" w:rsidRDefault="00DA3E06" w:rsidP="00DA3E06">
      <w:pPr>
        <w:spacing w:after="120"/>
        <w:rPr>
          <w:rFonts w:eastAsia="Calibri" w:cs="Arial"/>
          <w:i/>
          <w:iCs/>
          <w:snapToGrid w:val="0"/>
          <w:szCs w:val="22"/>
        </w:rPr>
      </w:pPr>
      <w:r w:rsidRPr="00DA3E06">
        <w:rPr>
          <w:rFonts w:eastAsia="Calibri" w:cs="Arial"/>
          <w:i/>
          <w:iCs/>
          <w:snapToGrid w:val="0"/>
          <w:szCs w:val="22"/>
        </w:rPr>
        <w:lastRenderedPageBreak/>
        <w:t>For more detail on PBAC’s view, see section 5 PBAC outcome.</w:t>
      </w:r>
    </w:p>
    <w:p w14:paraId="3E59B9CF" w14:textId="77777777" w:rsidR="00DA3E06" w:rsidRPr="00DA3E06" w:rsidRDefault="00DA3E06" w:rsidP="00DA3E06"/>
    <w:p w14:paraId="133A1A43" w14:textId="77777777" w:rsidR="00DA3E06" w:rsidRPr="00DA3E06" w:rsidRDefault="00DA3E06" w:rsidP="00DA3E06">
      <w:pPr>
        <w:keepNext/>
        <w:numPr>
          <w:ilvl w:val="0"/>
          <w:numId w:val="9"/>
        </w:numPr>
        <w:snapToGrid w:val="0"/>
        <w:spacing w:before="240" w:after="120"/>
        <w:jc w:val="left"/>
        <w:outlineLvl w:val="0"/>
        <w:rPr>
          <w:rFonts w:cs="Arial"/>
          <w:b/>
          <w:sz w:val="32"/>
          <w:szCs w:val="32"/>
        </w:rPr>
      </w:pPr>
      <w:bookmarkStart w:id="32" w:name="_Hlk76381249"/>
      <w:bookmarkStart w:id="33" w:name="_Hlk76377955"/>
      <w:r w:rsidRPr="00DA3E06">
        <w:rPr>
          <w:rFonts w:cs="Arial"/>
          <w:b/>
          <w:sz w:val="32"/>
          <w:szCs w:val="32"/>
        </w:rPr>
        <w:t>PBAC Outcome</w:t>
      </w:r>
    </w:p>
    <w:p w14:paraId="370E2A92" w14:textId="77777777"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t xml:space="preserve">The PBAC did not recommended futibatinib for the treatment of patients with locally advanced or metastatic cholangiocarcinoma who have previously progressed on systemic therapy and have a fibroblast growth factor receptor 2 fusion or rearrangement. The PBAC considered the early re-entry resubmission did not adequately address the outstanding issues requested as part of its March 2025 PBAC consideration. In particular, the PBAC considered the revised economic model remained highly optimistic. The PBAC considered the ICER was high and uncertain and that futibatinib was not cost-effective at the price proposed in the pre-PBAC response. </w:t>
      </w:r>
    </w:p>
    <w:p w14:paraId="3583FFA7" w14:textId="77777777" w:rsidR="00DA3E06" w:rsidRPr="00DA3E06" w:rsidRDefault="00DA3E06" w:rsidP="00DA3E06">
      <w:pPr>
        <w:numPr>
          <w:ilvl w:val="1"/>
          <w:numId w:val="9"/>
        </w:numPr>
        <w:spacing w:after="120"/>
        <w:rPr>
          <w:rFonts w:eastAsia="Calibri" w:cs="Arial"/>
          <w:snapToGrid w:val="0"/>
          <w:szCs w:val="22"/>
        </w:rPr>
      </w:pPr>
      <w:bookmarkStart w:id="34" w:name="_Ref222404867"/>
      <w:r w:rsidRPr="00DA3E06">
        <w:rPr>
          <w:rFonts w:eastAsia="Calibri" w:cs="Arial"/>
          <w:snapToGrid w:val="0"/>
          <w:szCs w:val="22"/>
        </w:rPr>
        <w:t>The PBAC recalled that it previously considered there is a high clinical need for more effective therapies for CAA and noted that consumer input received for the March 2025 and July 2025 meetings supported the availability of futibatinib.</w:t>
      </w:r>
      <w:bookmarkEnd w:id="34"/>
      <w:r w:rsidRPr="00DA3E06">
        <w:rPr>
          <w:rFonts w:eastAsia="Calibri" w:cs="Arial"/>
          <w:snapToGrid w:val="0"/>
          <w:szCs w:val="22"/>
        </w:rPr>
        <w:t xml:space="preserve"> </w:t>
      </w:r>
    </w:p>
    <w:p w14:paraId="23F370A1" w14:textId="77777777" w:rsidR="00DA3E06" w:rsidRPr="00DA3E06" w:rsidRDefault="00DA3E06" w:rsidP="00DA3E06">
      <w:pPr>
        <w:numPr>
          <w:ilvl w:val="1"/>
          <w:numId w:val="9"/>
        </w:numPr>
        <w:spacing w:after="120"/>
        <w:rPr>
          <w:rFonts w:eastAsia="Calibri" w:cs="Arial"/>
          <w:snapToGrid w:val="0"/>
          <w:szCs w:val="22"/>
        </w:rPr>
      </w:pPr>
      <w:bookmarkStart w:id="35" w:name="_Ref222404657"/>
      <w:r w:rsidRPr="00DA3E06">
        <w:rPr>
          <w:rFonts w:eastAsia="Calibri" w:cs="Arial"/>
          <w:snapToGrid w:val="0"/>
          <w:szCs w:val="22"/>
        </w:rPr>
        <w:t>In terms of the restriction, the PBAC noted that the requested changes were made and considered that the proposed restriction was reasonable.</w:t>
      </w:r>
      <w:bookmarkEnd w:id="35"/>
    </w:p>
    <w:p w14:paraId="4D34847D" w14:textId="751196C5" w:rsidR="00DA3E06" w:rsidRPr="00DA3E06" w:rsidRDefault="00DA3E06" w:rsidP="00DA3E06">
      <w:pPr>
        <w:numPr>
          <w:ilvl w:val="1"/>
          <w:numId w:val="9"/>
        </w:numPr>
        <w:spacing w:after="120"/>
        <w:rPr>
          <w:rFonts w:eastAsia="Calibri" w:cs="Arial"/>
          <w:snapToGrid w:val="0"/>
          <w:szCs w:val="22"/>
        </w:rPr>
      </w:pPr>
      <w:bookmarkStart w:id="36" w:name="_Ref222404914"/>
      <w:r w:rsidRPr="00DA3E06">
        <w:rPr>
          <w:rFonts w:eastAsia="Calibri" w:cs="Arial"/>
          <w:snapToGrid w:val="0"/>
          <w:szCs w:val="22"/>
        </w:rPr>
        <w:t xml:space="preserve">To address the PBAC’s previous concerns regarding the cost-effectiveness of futibatinib the resubmission presented an economic evaluation with revised inputs and a reduced price for futibatinib. The PBAC recalled it previously considered the clinical benefit associated with the submission’s matched adjusted indirect comparison (MAIC) to be </w:t>
      </w:r>
      <w:proofErr w:type="gramStart"/>
      <w:r w:rsidRPr="00DA3E06">
        <w:rPr>
          <w:rFonts w:eastAsia="Calibri" w:cs="Arial"/>
          <w:snapToGrid w:val="0"/>
          <w:szCs w:val="22"/>
        </w:rPr>
        <w:t>uncertain, and</w:t>
      </w:r>
      <w:proofErr w:type="gramEnd"/>
      <w:r w:rsidRPr="00DA3E06">
        <w:rPr>
          <w:rFonts w:eastAsia="Calibri" w:cs="Arial"/>
          <w:snapToGrid w:val="0"/>
          <w:szCs w:val="22"/>
        </w:rPr>
        <w:t xml:space="preserve"> considered that the economic model should include a more conservative estimate of the modelled clinical benefit (</w:t>
      </w:r>
      <w:r w:rsidR="001F34B7" w:rsidRPr="00DA3E06">
        <w:rPr>
          <w:rFonts w:eastAsia="Calibri" w:cs="Arial"/>
          <w:snapToGrid w:val="0"/>
          <w:szCs w:val="22"/>
        </w:rPr>
        <w:t>i.e.</w:t>
      </w:r>
      <w:r w:rsidRPr="00DA3E06">
        <w:rPr>
          <w:rFonts w:eastAsia="Calibri" w:cs="Arial"/>
          <w:snapToGrid w:val="0"/>
          <w:szCs w:val="22"/>
        </w:rPr>
        <w:t xml:space="preserve"> using more conservative hazard ratios, HRs). The PBAC noted the </w:t>
      </w:r>
      <w:bookmarkStart w:id="37" w:name="_Ref204164729"/>
      <w:r w:rsidRPr="00DA3E06">
        <w:rPr>
          <w:rFonts w:eastAsia="Calibri" w:cs="Arial"/>
          <w:snapToGrid w:val="0"/>
          <w:szCs w:val="22"/>
        </w:rPr>
        <w:t>overall survival (OS) HR was amended to 0.32 (from 0.24), rather than the more conservative value of 0.48-0.49, as previously requested. The PBAC noted the model estimated an additional 1.99 life years gained (undiscounted) over the 7 year time horizon and considered this was highly optimistic. The PBAC noted changing the HR to 0.48 increased the ICER from $75,000 to &lt; $95,000 to $135,000 to &lt; $155,000 per QALY (using the price proposed in the submission).</w:t>
      </w:r>
      <w:bookmarkEnd w:id="36"/>
      <w:r w:rsidRPr="00DA3E06">
        <w:rPr>
          <w:rFonts w:eastAsia="Calibri" w:cs="Arial"/>
          <w:snapToGrid w:val="0"/>
          <w:szCs w:val="22"/>
        </w:rPr>
        <w:t xml:space="preserve"> </w:t>
      </w:r>
      <w:bookmarkEnd w:id="37"/>
    </w:p>
    <w:p w14:paraId="72CB8B7F" w14:textId="77777777" w:rsidR="00DA3E06" w:rsidRPr="00DA3E06" w:rsidRDefault="00DA3E06" w:rsidP="00DA3E06">
      <w:pPr>
        <w:numPr>
          <w:ilvl w:val="1"/>
          <w:numId w:val="9"/>
        </w:numPr>
        <w:spacing w:after="120"/>
        <w:rPr>
          <w:rFonts w:eastAsia="Calibri" w:cs="Arial"/>
          <w:snapToGrid w:val="0"/>
          <w:szCs w:val="22"/>
        </w:rPr>
      </w:pPr>
      <w:bookmarkStart w:id="38" w:name="_Ref222405295"/>
      <w:r w:rsidRPr="00DA3E06">
        <w:rPr>
          <w:rFonts w:eastAsia="Calibri" w:cs="Arial"/>
          <w:snapToGrid w:val="0"/>
          <w:szCs w:val="22"/>
        </w:rPr>
        <w:t>The PBAC recalled that it previously considered it would be appropriate to apply the same health state utility values to the progression free (PF) and progressed disease (PD) health states in each treatment arm. The PBAC noted that while the resubmission’s model applied the same utilities (from the durvalumab PBAC submission) to each arm, an additional “chemotherapy administration” utility decrement was applied to the chemotherapy arm, which the PBAC considered was not adequately supported.</w:t>
      </w:r>
      <w:bookmarkEnd w:id="38"/>
    </w:p>
    <w:p w14:paraId="05B36A0C" w14:textId="77777777" w:rsidR="00DA3E06" w:rsidRPr="00DA3E06" w:rsidRDefault="00DA3E06" w:rsidP="00DA3E06">
      <w:pPr>
        <w:numPr>
          <w:ilvl w:val="1"/>
          <w:numId w:val="9"/>
        </w:numPr>
        <w:spacing w:after="120"/>
        <w:rPr>
          <w:rFonts w:eastAsia="Calibri" w:cs="Arial"/>
          <w:snapToGrid w:val="0"/>
          <w:szCs w:val="22"/>
        </w:rPr>
      </w:pPr>
      <w:bookmarkStart w:id="39" w:name="_Ref204164733"/>
      <w:bookmarkStart w:id="40" w:name="_Ref222404949"/>
      <w:r w:rsidRPr="00DA3E06">
        <w:rPr>
          <w:rFonts w:eastAsia="Calibri" w:cs="Arial"/>
          <w:snapToGrid w:val="0"/>
          <w:szCs w:val="22"/>
        </w:rPr>
        <w:t xml:space="preserve">The PBAC noted that the time horizon in the resubmission was updated to 7 years (from 10 years), rather than 5 years as previously requested by the PBAC to align with </w:t>
      </w:r>
      <w:r w:rsidRPr="00DA3E06">
        <w:rPr>
          <w:rFonts w:eastAsia="Calibri" w:cs="Arial"/>
          <w:snapToGrid w:val="0"/>
          <w:szCs w:val="22"/>
        </w:rPr>
        <w:lastRenderedPageBreak/>
        <w:t>its previous consideration of ivosidenib. The PBAC considered 7 years to be overly optimistic and maintained that 5 years would be more appropriate</w:t>
      </w:r>
      <w:bookmarkEnd w:id="39"/>
      <w:r w:rsidRPr="00DA3E06">
        <w:rPr>
          <w:rFonts w:eastAsia="Calibri" w:cs="Arial"/>
          <w:snapToGrid w:val="0"/>
          <w:szCs w:val="22"/>
        </w:rPr>
        <w:t>.</w:t>
      </w:r>
      <w:bookmarkEnd w:id="40"/>
      <w:r w:rsidRPr="00DA3E06">
        <w:rPr>
          <w:rFonts w:eastAsia="Calibri" w:cs="Arial"/>
          <w:snapToGrid w:val="0"/>
          <w:szCs w:val="22"/>
        </w:rPr>
        <w:t xml:space="preserve"> </w:t>
      </w:r>
    </w:p>
    <w:p w14:paraId="4EF7F8D8" w14:textId="77777777" w:rsidR="00DA3E06" w:rsidRPr="00DA3E06" w:rsidRDefault="00DA3E06" w:rsidP="00DA3E06">
      <w:pPr>
        <w:numPr>
          <w:ilvl w:val="1"/>
          <w:numId w:val="9"/>
        </w:numPr>
        <w:spacing w:after="120"/>
        <w:rPr>
          <w:rFonts w:eastAsia="Calibri" w:cs="Arial"/>
          <w:snapToGrid w:val="0"/>
          <w:szCs w:val="22"/>
        </w:rPr>
      </w:pPr>
      <w:bookmarkStart w:id="41" w:name="_Ref222405012"/>
      <w:r w:rsidRPr="00DA3E06">
        <w:rPr>
          <w:rFonts w:eastAsia="Calibri" w:cs="Arial"/>
          <w:snapToGrid w:val="0"/>
          <w:szCs w:val="22"/>
        </w:rPr>
        <w:t>The PBAC noted that using the PBAC’s preferred inputs of OS HR of 0.48 (vs 0.32 in resubmission), 5 year time horizon (vs 7 years in resubmission) and same utilities between arms (vs additionally disutility in chemotherapy arm) increased the resubmission’s base case ICER from $75,000 to &lt; $95,000 per QALY, to $135,000 to &lt; $155,000 per QALY, or $135,000 to &lt; $155,000 per QALY with the price reduction proposed in the Pre-PBAC response. The PBAC noted this is well above the ICER of $55,000 to &lt; $75,000, per QALY which it previously considered to be acceptable.</w:t>
      </w:r>
      <w:bookmarkEnd w:id="41"/>
      <w:r w:rsidRPr="00DA3E06">
        <w:rPr>
          <w:rFonts w:eastAsia="Calibri" w:cs="Arial"/>
          <w:snapToGrid w:val="0"/>
          <w:szCs w:val="22"/>
        </w:rPr>
        <w:t xml:space="preserve"> </w:t>
      </w:r>
    </w:p>
    <w:p w14:paraId="1A124FF0" w14:textId="77777777" w:rsidR="00DA3E06" w:rsidRPr="00DA3E06" w:rsidRDefault="00DA3E06" w:rsidP="00DA3E06">
      <w:pPr>
        <w:numPr>
          <w:ilvl w:val="1"/>
          <w:numId w:val="9"/>
        </w:numPr>
        <w:spacing w:after="120"/>
        <w:rPr>
          <w:rFonts w:eastAsia="Calibri" w:cs="Arial"/>
          <w:snapToGrid w:val="0"/>
          <w:szCs w:val="22"/>
        </w:rPr>
      </w:pPr>
      <w:bookmarkStart w:id="42" w:name="_Ref222404843"/>
      <w:r w:rsidRPr="00DA3E06">
        <w:rPr>
          <w:rFonts w:eastAsia="Calibri" w:cs="Arial"/>
          <w:snapToGrid w:val="0"/>
          <w:szCs w:val="22"/>
        </w:rPr>
        <w:t>The PBAC considered that the utilisation estimates proposed in the pre-PBAC response (with errors corrected) addressed the Committee’s previous concerns and were reasonable.</w:t>
      </w:r>
      <w:bookmarkEnd w:id="42"/>
      <w:r w:rsidRPr="00DA3E06">
        <w:rPr>
          <w:rFonts w:eastAsia="Calibri" w:cs="Arial"/>
          <w:snapToGrid w:val="0"/>
          <w:szCs w:val="22"/>
        </w:rPr>
        <w:t xml:space="preserve"> </w:t>
      </w:r>
    </w:p>
    <w:p w14:paraId="4B915904" w14:textId="77777777" w:rsidR="00DA3E06" w:rsidRPr="00DA3E06" w:rsidRDefault="00DA3E06" w:rsidP="00DA3E06">
      <w:pPr>
        <w:numPr>
          <w:ilvl w:val="1"/>
          <w:numId w:val="9"/>
        </w:numPr>
        <w:spacing w:after="120"/>
        <w:rPr>
          <w:rFonts w:eastAsia="Calibri" w:cs="Arial"/>
          <w:snapToGrid w:val="0"/>
          <w:szCs w:val="22"/>
        </w:rPr>
      </w:pPr>
      <w:r w:rsidRPr="00DA3E06">
        <w:rPr>
          <w:rFonts w:eastAsia="Calibri" w:cs="Arial"/>
          <w:snapToGrid w:val="0"/>
          <w:szCs w:val="22"/>
        </w:rPr>
        <w:t>The PBAC considered any resubmission needs to address the outstanding issues related to the economic evaluation. The resubmission may be lodged at any future standard due date for PBAC submissions using the standard re-entry pathway.</w:t>
      </w:r>
    </w:p>
    <w:p w14:paraId="2210DC73" w14:textId="77777777" w:rsidR="00DA3E06" w:rsidRPr="00DA3E06" w:rsidRDefault="00DA3E06" w:rsidP="00DA3E06">
      <w:pPr>
        <w:numPr>
          <w:ilvl w:val="1"/>
          <w:numId w:val="9"/>
        </w:numPr>
        <w:spacing w:after="120"/>
        <w:rPr>
          <w:rFonts w:eastAsia="Calibri" w:cs="Arial"/>
          <w:bCs/>
          <w:snapToGrid w:val="0"/>
          <w:szCs w:val="22"/>
        </w:rPr>
      </w:pPr>
      <w:r w:rsidRPr="00DA3E06">
        <w:rPr>
          <w:rFonts w:eastAsia="Calibri" w:cs="Arial"/>
          <w:snapToGrid w:val="0"/>
          <w:szCs w:val="22"/>
        </w:rPr>
        <w:t>The</w:t>
      </w:r>
      <w:r w:rsidRPr="00DA3E06">
        <w:rPr>
          <w:rFonts w:eastAsia="Calibri" w:cs="Arial"/>
          <w:bCs/>
          <w:snapToGrid w:val="0"/>
          <w:szCs w:val="22"/>
        </w:rPr>
        <w:t xml:space="preserve"> PBAC noted that this submission is eligible for an Independent Review. </w:t>
      </w:r>
    </w:p>
    <w:p w14:paraId="7BE5F420" w14:textId="77777777" w:rsidR="00DA3E06" w:rsidRPr="00DA3E06" w:rsidRDefault="00DA3E06" w:rsidP="00DA3E06">
      <w:pPr>
        <w:spacing w:before="240"/>
        <w:rPr>
          <w:rFonts w:cs="Arial"/>
          <w:b/>
          <w:bCs/>
          <w:snapToGrid w:val="0"/>
        </w:rPr>
      </w:pPr>
      <w:r w:rsidRPr="00DA3E06">
        <w:rPr>
          <w:rFonts w:cs="Arial"/>
          <w:b/>
          <w:bCs/>
          <w:snapToGrid w:val="0"/>
        </w:rPr>
        <w:t>Outcome:</w:t>
      </w:r>
    </w:p>
    <w:p w14:paraId="3FD37359" w14:textId="77777777" w:rsidR="00DA3E06" w:rsidRPr="00DA3E06" w:rsidRDefault="00DA3E06" w:rsidP="00DA3E06">
      <w:pPr>
        <w:rPr>
          <w:rFonts w:cs="Arial"/>
          <w:bCs/>
          <w:snapToGrid w:val="0"/>
        </w:rPr>
      </w:pPr>
      <w:r w:rsidRPr="00DA3E06">
        <w:rPr>
          <w:rFonts w:cs="Arial"/>
          <w:bCs/>
          <w:snapToGrid w:val="0"/>
        </w:rPr>
        <w:t>Not recommended</w:t>
      </w:r>
      <w:bookmarkEnd w:id="32"/>
      <w:bookmarkEnd w:id="33"/>
    </w:p>
    <w:p w14:paraId="2DFD03C3" w14:textId="0D17F549" w:rsidR="00DA3E06" w:rsidRPr="00DA3E06" w:rsidRDefault="00DA3E06" w:rsidP="00D01E4D">
      <w:pPr>
        <w:pStyle w:val="2-SectionHeading"/>
        <w:rPr>
          <w:bCs/>
          <w:lang w:val="en-GB"/>
        </w:rPr>
      </w:pPr>
      <w:r w:rsidRPr="00DA3E06">
        <w:t>Context for Decision</w:t>
      </w:r>
    </w:p>
    <w:p w14:paraId="5E860EEE" w14:textId="77777777" w:rsidR="00DA3E06" w:rsidRPr="00DA3E06" w:rsidRDefault="00DA3E06" w:rsidP="00DA3E06">
      <w:pPr>
        <w:spacing w:after="120"/>
        <w:ind w:left="720"/>
        <w:rPr>
          <w:rFonts w:cs="Arial"/>
          <w:bCs/>
          <w:lang w:val="en-GB"/>
        </w:rPr>
      </w:pPr>
      <w:r w:rsidRPr="00DA3E06">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7F7980D" w14:textId="50C101DE" w:rsidR="00DA3E06" w:rsidRPr="00DA3E06" w:rsidRDefault="00DA3E06" w:rsidP="00D01E4D">
      <w:pPr>
        <w:pStyle w:val="2-SectionHeading"/>
      </w:pPr>
      <w:r w:rsidRPr="00DA3E06">
        <w:t>Sponsor’s Comment</w:t>
      </w:r>
    </w:p>
    <w:p w14:paraId="50911186" w14:textId="77777777" w:rsidR="00DA3E06" w:rsidRPr="00DA3E06" w:rsidRDefault="00DA3E06" w:rsidP="00DA3E06">
      <w:pPr>
        <w:spacing w:after="120" w:line="276" w:lineRule="auto"/>
        <w:ind w:left="720"/>
        <w:rPr>
          <w:rFonts w:eastAsia="Calibri" w:cs="Arial"/>
          <w:bCs/>
          <w:szCs w:val="22"/>
          <w:lang w:eastAsia="en-US"/>
        </w:rPr>
      </w:pPr>
      <w:r w:rsidRPr="00DA3E06">
        <w:rPr>
          <w:rFonts w:eastAsia="Calibri" w:cs="Arial"/>
          <w:bCs/>
          <w:szCs w:val="22"/>
          <w:lang w:eastAsia="en-US"/>
        </w:rPr>
        <w:t>The sponsor had no comment.</w:t>
      </w:r>
    </w:p>
    <w:p w14:paraId="685A239C" w14:textId="77777777" w:rsidR="00DA3E06" w:rsidRPr="00DA3E06" w:rsidRDefault="00DA3E06" w:rsidP="00DA3E06">
      <w:pPr>
        <w:rPr>
          <w:rFonts w:cs="Arial"/>
          <w:bCs/>
          <w:snapToGrid w:val="0"/>
        </w:rPr>
      </w:pPr>
    </w:p>
    <w:p w14:paraId="65150105" w14:textId="77777777" w:rsidR="00DA3E06" w:rsidRPr="00DA3E06" w:rsidRDefault="00DA3E06" w:rsidP="00DA3E06">
      <w:pPr>
        <w:rPr>
          <w:i/>
          <w:iCs/>
        </w:rPr>
      </w:pPr>
    </w:p>
    <w:p w14:paraId="0FD98ED5" w14:textId="04083099" w:rsidR="0018105A" w:rsidRPr="008F055C" w:rsidRDefault="0018105A" w:rsidP="00AD44B1">
      <w:pPr>
        <w:pStyle w:val="1-MainHeading0"/>
        <w:pageBreakBefore/>
        <w:rPr>
          <w:color w:val="FF0000"/>
          <w:sz w:val="28"/>
          <w:szCs w:val="28"/>
        </w:rPr>
      </w:pPr>
      <w:r w:rsidRPr="008F055C">
        <w:rPr>
          <w:color w:val="FF0000"/>
          <w:sz w:val="28"/>
          <w:szCs w:val="28"/>
        </w:rPr>
        <w:lastRenderedPageBreak/>
        <w:t xml:space="preserve">Addendum to the </w:t>
      </w:r>
      <w:r w:rsidR="00855C0D">
        <w:rPr>
          <w:color w:val="FF0000"/>
          <w:sz w:val="28"/>
          <w:szCs w:val="28"/>
        </w:rPr>
        <w:t>July 2025</w:t>
      </w:r>
      <w:r w:rsidRPr="008F055C">
        <w:rPr>
          <w:color w:val="FF0000"/>
          <w:sz w:val="28"/>
          <w:szCs w:val="28"/>
        </w:rPr>
        <w:t xml:space="preserve"> PBAC </w:t>
      </w:r>
      <w:r w:rsidR="003927DF">
        <w:rPr>
          <w:color w:val="FF0000"/>
          <w:sz w:val="28"/>
          <w:szCs w:val="28"/>
        </w:rPr>
        <w:t>Public Summary Document</w:t>
      </w:r>
      <w:r w:rsidRPr="008F055C">
        <w:rPr>
          <w:color w:val="FF0000"/>
          <w:sz w:val="28"/>
          <w:szCs w:val="28"/>
        </w:rPr>
        <w:t>:</w:t>
      </w:r>
    </w:p>
    <w:p w14:paraId="176E0146" w14:textId="709010A5" w:rsidR="00B51A96" w:rsidRPr="00B16915" w:rsidRDefault="00B51A96" w:rsidP="00B16915">
      <w:pPr>
        <w:pStyle w:val="2-SectionHeading"/>
        <w:rPr>
          <w:rFonts w:eastAsia="Calibri"/>
        </w:rPr>
      </w:pPr>
      <w:r w:rsidRPr="006C5B33">
        <w:t>Purpose</w:t>
      </w:r>
    </w:p>
    <w:p w14:paraId="72338FA0" w14:textId="3B801C46" w:rsidR="00B51A96" w:rsidRDefault="00B51A96" w:rsidP="00B16915">
      <w:pPr>
        <w:pStyle w:val="3-BodyText"/>
      </w:pPr>
      <w:r>
        <w:t>At its July 2025 meeting, t</w:t>
      </w:r>
      <w:r w:rsidRPr="00E077C6">
        <w:t xml:space="preserve">he PBAC did not recommended futibatinib for the treatment of patients with locally advanced or metastatic cholangiocarcinoma who have previously progressed on systemic therapy and have a fibroblast growth factor receptor 2 </w:t>
      </w:r>
      <w:r>
        <w:t>(</w:t>
      </w:r>
      <w:r w:rsidRPr="00E077C6">
        <w:rPr>
          <w:i/>
          <w:iCs/>
        </w:rPr>
        <w:t>FGFR2</w:t>
      </w:r>
      <w:r>
        <w:t xml:space="preserve">) </w:t>
      </w:r>
      <w:r w:rsidRPr="00E077C6">
        <w:t>fusion or rearrangement. The PBAC considered the early re</w:t>
      </w:r>
      <w:r w:rsidR="00AD44B1">
        <w:noBreakHyphen/>
      </w:r>
      <w:r w:rsidRPr="00E077C6">
        <w:t>entry resubmission did not adequately address the outstanding issues requested as part of its March 2025 PBAC consideration. In particular, the PBAC considered the revised economic model remained highly optimistic. The PBAC considered the ICER was high and uncertain and that futibatinib was not cost</w:t>
      </w:r>
      <w:r w:rsidR="00AD44B1">
        <w:noBreakHyphen/>
      </w:r>
      <w:r w:rsidRPr="00E077C6">
        <w:t>effective at the price proposed in the pre</w:t>
      </w:r>
      <w:r w:rsidR="00AD44B1">
        <w:noBreakHyphen/>
      </w:r>
      <w:r w:rsidRPr="00E077C6">
        <w:t>PBAC response.</w:t>
      </w:r>
      <w:r>
        <w:t xml:space="preserve"> </w:t>
      </w:r>
    </w:p>
    <w:p w14:paraId="3F19EBFB" w14:textId="488A6BBD" w:rsidR="00B51A96" w:rsidRDefault="00B51A96" w:rsidP="00B16915">
      <w:pPr>
        <w:pStyle w:val="3-BodyText"/>
      </w:pPr>
      <w:r w:rsidRPr="00B22EB1">
        <w:t>Following the post</w:t>
      </w:r>
      <w:r w:rsidR="00AD44B1">
        <w:noBreakHyphen/>
      </w:r>
      <w:r w:rsidRPr="00B22EB1">
        <w:t>PBAC meeting with the Chair, the sponsor provided a proposal for consideration by the PBAC</w:t>
      </w:r>
      <w:r w:rsidR="003811B0">
        <w:t xml:space="preserve"> (see paragraphs </w:t>
      </w:r>
      <w:r w:rsidR="003811B0">
        <w:fldChar w:fldCharType="begin"/>
      </w:r>
      <w:r w:rsidR="003811B0">
        <w:instrText xml:space="preserve"> REF _Ref214271414 \r \h </w:instrText>
      </w:r>
      <w:r w:rsidR="003811B0">
        <w:fldChar w:fldCharType="separate"/>
      </w:r>
      <w:r w:rsidR="00971CD5">
        <w:t>10.1</w:t>
      </w:r>
      <w:r w:rsidR="003811B0">
        <w:fldChar w:fldCharType="end"/>
      </w:r>
      <w:r w:rsidR="003811B0">
        <w:t xml:space="preserve"> </w:t>
      </w:r>
      <w:r w:rsidR="00AD44B1">
        <w:noBreakHyphen/>
      </w:r>
      <w:r w:rsidR="003811B0">
        <w:t xml:space="preserve"> </w:t>
      </w:r>
      <w:r w:rsidR="003811B0">
        <w:fldChar w:fldCharType="begin"/>
      </w:r>
      <w:r w:rsidR="003811B0">
        <w:instrText xml:space="preserve"> REF _Ref214271416 \r \h </w:instrText>
      </w:r>
      <w:r w:rsidR="003811B0">
        <w:fldChar w:fldCharType="separate"/>
      </w:r>
      <w:r w:rsidR="00971CD5">
        <w:t>10.4</w:t>
      </w:r>
      <w:r w:rsidR="003811B0">
        <w:fldChar w:fldCharType="end"/>
      </w:r>
      <w:r w:rsidR="003811B0">
        <w:t xml:space="preserve"> for details)</w:t>
      </w:r>
      <w:r w:rsidRPr="00B22EB1">
        <w:t>.</w:t>
      </w:r>
    </w:p>
    <w:p w14:paraId="1EEAC0CB" w14:textId="6F77CDF5" w:rsidR="00EC184E" w:rsidRDefault="00B51A96" w:rsidP="00B16915">
      <w:pPr>
        <w:pStyle w:val="3-BodyText"/>
      </w:pPr>
      <w:r>
        <w:t xml:space="preserve">At its July 2025 meeting, the MSAC did not support testing </w:t>
      </w:r>
      <w:r w:rsidRPr="75124A81">
        <w:t xml:space="preserve">of tumour tissue to detect </w:t>
      </w:r>
      <w:r w:rsidRPr="00F44458">
        <w:rPr>
          <w:i/>
          <w:iCs/>
        </w:rPr>
        <w:t>FGFR2</w:t>
      </w:r>
      <w:r w:rsidRPr="75124A81">
        <w:t xml:space="preserve"> fusions or rearrangements in </w:t>
      </w:r>
      <w:r>
        <w:t>people</w:t>
      </w:r>
      <w:r w:rsidRPr="75124A81">
        <w:t xml:space="preserve"> with cholangiocarcinoma (CCA), to determine eligibility for treatment with PBS subsidised futibatinib.</w:t>
      </w:r>
      <w:r w:rsidRPr="000D7DB7">
        <w:t xml:space="preserve"> </w:t>
      </w:r>
      <w:r>
        <w:t xml:space="preserve">The </w:t>
      </w:r>
      <w:r w:rsidRPr="000D7DB7">
        <w:t xml:space="preserve">MSAC recalled that it deferred providing advice on the proposed testing in April 2025. MSAC had advised revising the economic and financial analyses by including an updated test fee, testing the whole CCA population at diagnosis and accounting for testing conducted outside of the intended CCA population. MSAC considered that while the current reapplication for the test incorporated a higher test fee to reflect the costs associated with a panel test, it did not appropriately address MSAC’s previous concerns and advice that testing should be performed in all newly diagnosed patients with CCA. MSAC also considered that further advice from the Department of Health, Disability and Ageing was required on the appropriate MBS fee for panel testing. MSAC reiterated that the claim of </w:t>
      </w:r>
      <w:r w:rsidR="003F0C7D" w:rsidRPr="000D7DB7">
        <w:t>co</w:t>
      </w:r>
      <w:r w:rsidR="00AD44B1">
        <w:noBreakHyphen/>
      </w:r>
      <w:r w:rsidR="003F0C7D" w:rsidRPr="000D7DB7">
        <w:t>dependency</w:t>
      </w:r>
      <w:r w:rsidRPr="000D7DB7">
        <w:t xml:space="preserve"> of FGFR2 testing and futibatinib was reasonable. MSAC considered that the outstanding issues relating to the testing component could be addressed as a streamlined application.</w:t>
      </w:r>
      <w:r w:rsidRPr="00B22EB1">
        <w:t xml:space="preserve"> </w:t>
      </w:r>
    </w:p>
    <w:p w14:paraId="607EC397" w14:textId="16B0E6F5" w:rsidR="00B51A96" w:rsidRDefault="00B51A96" w:rsidP="00B16915">
      <w:pPr>
        <w:pStyle w:val="3-BodyText"/>
      </w:pPr>
      <w:bookmarkStart w:id="43" w:name="_Ref214271972"/>
      <w:r>
        <w:t>The sponsor has</w:t>
      </w:r>
      <w:r w:rsidR="006E42B5">
        <w:t xml:space="preserve"> since</w:t>
      </w:r>
      <w:r>
        <w:t xml:space="preserve"> provided further information </w:t>
      </w:r>
      <w:r w:rsidR="00942CE5">
        <w:t xml:space="preserve">to be considered at </w:t>
      </w:r>
      <w:r w:rsidR="00424FA2">
        <w:t>the</w:t>
      </w:r>
      <w:r w:rsidR="00942CE5">
        <w:t xml:space="preserve"> November 2025 </w:t>
      </w:r>
      <w:r w:rsidR="00424FA2">
        <w:t xml:space="preserve">MSAC </w:t>
      </w:r>
      <w:r w:rsidR="00942CE5">
        <w:t>meeting</w:t>
      </w:r>
      <w:r w:rsidR="00826BF9">
        <w:t xml:space="preserve">, and </w:t>
      </w:r>
      <w:r w:rsidR="006038B7" w:rsidRPr="006038B7">
        <w:t xml:space="preserve">informed the PBAC that the resubmission included assumptions that potentially had an </w:t>
      </w:r>
      <w:r w:rsidR="006038B7" w:rsidRPr="007928DF">
        <w:t>impact on the economic analyses provided in the post</w:t>
      </w:r>
      <w:r w:rsidR="00AD44B1">
        <w:noBreakHyphen/>
      </w:r>
      <w:r w:rsidR="006038B7" w:rsidRPr="007928DF">
        <w:t xml:space="preserve">PBAC proposal </w:t>
      </w:r>
      <w:r w:rsidRPr="007928DF">
        <w:t xml:space="preserve">(see paragraph </w:t>
      </w:r>
      <w:r w:rsidR="007928DF" w:rsidRPr="007928DF">
        <w:fldChar w:fldCharType="begin"/>
      </w:r>
      <w:r w:rsidR="007928DF" w:rsidRPr="007928DF">
        <w:instrText xml:space="preserve"> REF _Ref214277101 \r \h </w:instrText>
      </w:r>
      <w:r w:rsidR="007928DF">
        <w:instrText xml:space="preserve"> \* MERGEFORMAT </w:instrText>
      </w:r>
      <w:r w:rsidR="007928DF" w:rsidRPr="007928DF">
        <w:fldChar w:fldCharType="separate"/>
      </w:r>
      <w:r w:rsidR="00971CD5">
        <w:t>10.5</w:t>
      </w:r>
      <w:r w:rsidR="007928DF" w:rsidRPr="007928DF">
        <w:fldChar w:fldCharType="end"/>
      </w:r>
      <w:r w:rsidR="00416C1B" w:rsidRPr="007928DF">
        <w:t>)</w:t>
      </w:r>
      <w:r w:rsidRPr="007928DF">
        <w:t>.</w:t>
      </w:r>
      <w:bookmarkStart w:id="44" w:name="_Ref212801774"/>
      <w:bookmarkEnd w:id="43"/>
      <w:r w:rsidR="006A59CC" w:rsidRPr="006A59CC">
        <w:t xml:space="preserve"> </w:t>
      </w:r>
      <w:bookmarkEnd w:id="44"/>
    </w:p>
    <w:p w14:paraId="7A2255AA" w14:textId="77777777" w:rsidR="00B51A96" w:rsidRPr="00696818" w:rsidRDefault="00B51A96" w:rsidP="00B16915">
      <w:pPr>
        <w:pStyle w:val="2-SectionHeading"/>
        <w:rPr>
          <w:rFonts w:eastAsiaTheme="minorEastAsia"/>
        </w:rPr>
      </w:pPr>
      <w:r>
        <w:t>Requested listing</w:t>
      </w:r>
    </w:p>
    <w:p w14:paraId="209CA40B" w14:textId="15BB872F" w:rsidR="00B51A96" w:rsidRPr="00FA0529" w:rsidRDefault="00B51A96" w:rsidP="00B16915">
      <w:pPr>
        <w:pStyle w:val="3-BodyText"/>
      </w:pPr>
      <w:r>
        <w:t>The PBAC previously considered the restriction appropriate (</w:t>
      </w:r>
      <w:r w:rsidR="00097D99">
        <w:t xml:space="preserve">see </w:t>
      </w:r>
      <w:r w:rsidR="00C2121C">
        <w:t>section</w:t>
      </w:r>
      <w:r w:rsidR="000F2E12">
        <w:t xml:space="preserve"> </w:t>
      </w:r>
      <w:r w:rsidR="00BE6813">
        <w:fldChar w:fldCharType="begin"/>
      </w:r>
      <w:r w:rsidR="00BE6813">
        <w:instrText xml:space="preserve"> REF _Ref222404506 \r \h </w:instrText>
      </w:r>
      <w:r w:rsidR="00BE6813">
        <w:fldChar w:fldCharType="separate"/>
      </w:r>
      <w:r w:rsidR="00971CD5">
        <w:t>3</w:t>
      </w:r>
      <w:r w:rsidR="00BE6813">
        <w:fldChar w:fldCharType="end"/>
      </w:r>
      <w:r w:rsidR="00BE6813">
        <w:t xml:space="preserve"> </w:t>
      </w:r>
      <w:r w:rsidR="001256F7">
        <w:t>and paragraph</w:t>
      </w:r>
      <w:r w:rsidR="001331BF">
        <w:t xml:space="preserve"> </w:t>
      </w:r>
      <w:r w:rsidR="005E1143">
        <w:fldChar w:fldCharType="begin"/>
      </w:r>
      <w:r w:rsidR="005E1143">
        <w:instrText xml:space="preserve"> REF _Ref222404657 \r \h </w:instrText>
      </w:r>
      <w:r w:rsidR="005E1143">
        <w:fldChar w:fldCharType="separate"/>
      </w:r>
      <w:r w:rsidR="00971CD5">
        <w:t>5.3</w:t>
      </w:r>
      <w:r w:rsidR="005E1143">
        <w:fldChar w:fldCharType="end"/>
      </w:r>
      <w:r w:rsidR="005E1143">
        <w:t xml:space="preserve">). </w:t>
      </w:r>
    </w:p>
    <w:p w14:paraId="344E0E24" w14:textId="77777777" w:rsidR="00B51A96" w:rsidRDefault="00B51A96" w:rsidP="00B16915">
      <w:pPr>
        <w:pStyle w:val="2-SectionHeading"/>
      </w:pPr>
      <w:r>
        <w:lastRenderedPageBreak/>
        <w:t>Economic evaluation</w:t>
      </w:r>
    </w:p>
    <w:p w14:paraId="3181543E" w14:textId="2AEEA8EF" w:rsidR="00B51A96" w:rsidRPr="00644A40" w:rsidRDefault="00B51A96" w:rsidP="00B16915">
      <w:pPr>
        <w:pStyle w:val="3-BodyText"/>
      </w:pPr>
      <w:bookmarkStart w:id="45" w:name="_Ref214271414"/>
      <w:r w:rsidRPr="00644A40">
        <w:t xml:space="preserve">The </w:t>
      </w:r>
      <w:r w:rsidR="00544CB7" w:rsidRPr="00644A40">
        <w:t xml:space="preserve">sponsor’s </w:t>
      </w:r>
      <w:r w:rsidRPr="00644A40">
        <w:t>proposal proposed an ex</w:t>
      </w:r>
      <w:r w:rsidR="00AD44B1">
        <w:noBreakHyphen/>
      </w:r>
      <w:r w:rsidRPr="00644A40">
        <w:t>manufacturer price (EMP) of $</w:t>
      </w:r>
      <w:r w:rsidR="0048390F" w:rsidRPr="0048390F">
        <w:rPr>
          <w:highlight w:val="black"/>
        </w:rPr>
        <w:t>&amp;&amp;&amp;&amp;</w:t>
      </w:r>
      <w:r w:rsidRPr="00644A40">
        <w:t xml:space="preserve"> per pack (compared to $</w:t>
      </w:r>
      <w:r w:rsidR="0048390F" w:rsidRPr="0048390F">
        <w:rPr>
          <w:highlight w:val="black"/>
        </w:rPr>
        <w:t>&amp;&amp;&amp;&amp;</w:t>
      </w:r>
      <w:r w:rsidRPr="00644A40">
        <w:t xml:space="preserve"> proposed in the July 2025 resubmission). </w:t>
      </w:r>
      <w:bookmarkEnd w:id="45"/>
    </w:p>
    <w:p w14:paraId="4989AE35" w14:textId="21A3E557" w:rsidR="00B51A96" w:rsidRDefault="00B51A96" w:rsidP="00B16915">
      <w:pPr>
        <w:pStyle w:val="3-BodyText"/>
      </w:pPr>
      <w:bookmarkStart w:id="46" w:name="_Ref214275551"/>
      <w:r w:rsidRPr="00DD5610">
        <w:t>The proposal stated</w:t>
      </w:r>
      <w:r w:rsidR="00B54730">
        <w:t xml:space="preserve"> that</w:t>
      </w:r>
      <w:r w:rsidRPr="00DD5610">
        <w:t xml:space="preserve"> </w:t>
      </w:r>
      <w:r>
        <w:t>the economic model addresse</w:t>
      </w:r>
      <w:r w:rsidR="00C85C82">
        <w:t>d</w:t>
      </w:r>
      <w:r>
        <w:t xml:space="preserve"> the key issues raised previously:</w:t>
      </w:r>
      <w:bookmarkEnd w:id="46"/>
    </w:p>
    <w:p w14:paraId="41ECFF5F" w14:textId="1FB4067F" w:rsidR="00B51A96" w:rsidRDefault="00B51A96" w:rsidP="00EA6C20">
      <w:pPr>
        <w:pStyle w:val="Default"/>
        <w:numPr>
          <w:ilvl w:val="0"/>
          <w:numId w:val="7"/>
        </w:numPr>
        <w:spacing w:after="164"/>
      </w:pPr>
      <w:r>
        <w:t>OS HR of futibatinib vs FOLFOX is 0.48 (paragraph</w:t>
      </w:r>
      <w:r w:rsidR="001F34B7">
        <w:t xml:space="preserve"> </w:t>
      </w:r>
      <w:r w:rsidR="001F34B7">
        <w:fldChar w:fldCharType="begin"/>
      </w:r>
      <w:r w:rsidR="001F34B7">
        <w:instrText xml:space="preserve"> REF _Ref222404914 \r \h </w:instrText>
      </w:r>
      <w:r w:rsidR="001F34B7">
        <w:fldChar w:fldCharType="separate"/>
      </w:r>
      <w:r w:rsidR="00971CD5">
        <w:t>5.4</w:t>
      </w:r>
      <w:r w:rsidR="001F34B7">
        <w:fldChar w:fldCharType="end"/>
      </w:r>
      <w:r>
        <w:t xml:space="preserve">). </w:t>
      </w:r>
    </w:p>
    <w:p w14:paraId="3C0DAA5E" w14:textId="71EF00CF" w:rsidR="00B51A96" w:rsidRDefault="00B51A96" w:rsidP="00EA6C20">
      <w:pPr>
        <w:pStyle w:val="Default"/>
        <w:numPr>
          <w:ilvl w:val="0"/>
          <w:numId w:val="7"/>
        </w:numPr>
        <w:spacing w:after="164"/>
      </w:pPr>
      <w:r>
        <w:t>No disutility applied for FOLFOX administration (paragraph</w:t>
      </w:r>
      <w:r w:rsidR="001F34B7">
        <w:t xml:space="preserve"> </w:t>
      </w:r>
      <w:r w:rsidR="001F34B7">
        <w:fldChar w:fldCharType="begin"/>
      </w:r>
      <w:r w:rsidR="001F34B7">
        <w:instrText xml:space="preserve"> REF _Ref222405295 \r \h </w:instrText>
      </w:r>
      <w:r w:rsidR="001F34B7">
        <w:fldChar w:fldCharType="separate"/>
      </w:r>
      <w:r w:rsidR="00971CD5">
        <w:t>5.5</w:t>
      </w:r>
      <w:r w:rsidR="001F34B7">
        <w:fldChar w:fldCharType="end"/>
      </w:r>
      <w:r>
        <w:t xml:space="preserve">). </w:t>
      </w:r>
    </w:p>
    <w:p w14:paraId="734D9D3B" w14:textId="6800EEDF" w:rsidR="00B51A96" w:rsidRDefault="00B51A96" w:rsidP="00EA6C20">
      <w:pPr>
        <w:pStyle w:val="Default"/>
        <w:numPr>
          <w:ilvl w:val="0"/>
          <w:numId w:val="7"/>
        </w:numPr>
        <w:spacing w:after="164"/>
      </w:pPr>
      <w:r>
        <w:t>Time horizon is 5 years (paragraph</w:t>
      </w:r>
      <w:r w:rsidR="001F34B7">
        <w:t xml:space="preserve"> </w:t>
      </w:r>
      <w:r w:rsidR="001F34B7">
        <w:fldChar w:fldCharType="begin"/>
      </w:r>
      <w:r w:rsidR="001F34B7">
        <w:instrText xml:space="preserve"> REF _Ref222404949 \r \h </w:instrText>
      </w:r>
      <w:r w:rsidR="001F34B7">
        <w:fldChar w:fldCharType="separate"/>
      </w:r>
      <w:r w:rsidR="00971CD5">
        <w:t>5.6</w:t>
      </w:r>
      <w:r w:rsidR="001F34B7">
        <w:fldChar w:fldCharType="end"/>
      </w:r>
      <w:r>
        <w:t>).</w:t>
      </w:r>
    </w:p>
    <w:p w14:paraId="0395CC69" w14:textId="49618B5C" w:rsidR="00B51A96" w:rsidRDefault="00B51A96" w:rsidP="00EA6C20">
      <w:pPr>
        <w:pStyle w:val="Default"/>
        <w:numPr>
          <w:ilvl w:val="0"/>
          <w:numId w:val="7"/>
        </w:numPr>
        <w:spacing w:after="164"/>
      </w:pPr>
      <w:r w:rsidRPr="00781E95">
        <w:t>The ICER is below $75,000/QALY (paragraph</w:t>
      </w:r>
      <w:r w:rsidR="001F34B7">
        <w:t xml:space="preserve"> </w:t>
      </w:r>
      <w:r w:rsidR="001F34B7">
        <w:fldChar w:fldCharType="begin"/>
      </w:r>
      <w:r w:rsidR="001F34B7">
        <w:instrText xml:space="preserve"> REF _Ref222405012 \r \h </w:instrText>
      </w:r>
      <w:r w:rsidR="001F34B7">
        <w:fldChar w:fldCharType="separate"/>
      </w:r>
      <w:r w:rsidR="00971CD5">
        <w:t>5.7</w:t>
      </w:r>
      <w:r w:rsidR="001F34B7">
        <w:fldChar w:fldCharType="end"/>
      </w:r>
      <w:r>
        <w:t>).</w:t>
      </w:r>
    </w:p>
    <w:p w14:paraId="24CF81E2" w14:textId="3DACBBB4" w:rsidR="00B51A96" w:rsidRDefault="00B51A96" w:rsidP="00B16915">
      <w:pPr>
        <w:pStyle w:val="3-BodyText"/>
      </w:pPr>
      <w:bookmarkStart w:id="47" w:name="_Ref214276095"/>
      <w:r w:rsidRPr="000D7D28">
        <w:t>The economic model in the July 2025 resubmission was adapted to allow alternative hazard ratios to be used (see paragraph</w:t>
      </w:r>
      <w:r w:rsidR="001F34B7">
        <w:t xml:space="preserve"> </w:t>
      </w:r>
      <w:r w:rsidR="001F34B7">
        <w:fldChar w:fldCharType="begin"/>
      </w:r>
      <w:r w:rsidR="001F34B7">
        <w:instrText xml:space="preserve"> REF _Ref222405339 \r \h </w:instrText>
      </w:r>
      <w:r w:rsidR="001F34B7">
        <w:fldChar w:fldCharType="separate"/>
      </w:r>
      <w:r w:rsidR="00971CD5">
        <w:t>4.10</w:t>
      </w:r>
      <w:r w:rsidR="001F34B7">
        <w:fldChar w:fldCharType="end"/>
      </w:r>
      <w:r w:rsidRPr="000D7D28">
        <w:t xml:space="preserve">). The proposal noted </w:t>
      </w:r>
      <w:r w:rsidR="00F07218">
        <w:t xml:space="preserve">that </w:t>
      </w:r>
      <w:r w:rsidRPr="000D7D28">
        <w:t>the approach used to implement this operability moved the futibatinib OS curve below the futibatinib PFS curve</w:t>
      </w:r>
      <w:r w:rsidR="006219CC">
        <w:t>,</w:t>
      </w:r>
      <w:r w:rsidRPr="000D7D28">
        <w:t xml:space="preserve"> leading to an implausible situation where OS was less than PFS, and deceased patients in the model continue</w:t>
      </w:r>
      <w:r w:rsidR="006219CC">
        <w:t>d</w:t>
      </w:r>
      <w:r w:rsidRPr="000D7D28">
        <w:t xml:space="preserve"> to incur drug cost. </w:t>
      </w:r>
      <w:r>
        <w:t xml:space="preserve">To keep the futibatinib curves plausible, the July 2025 resubmission moved the futibatinib OS and PFS curves; however, this resulted in a delinking of the model results from the clinical trial data. To address this issue, the proposal proposed moving the FOLFOX curves to the right to reflect a greater response to treatment in an </w:t>
      </w:r>
      <w:r w:rsidRPr="009B1995">
        <w:rPr>
          <w:i/>
          <w:iCs/>
        </w:rPr>
        <w:t>FGFR2</w:t>
      </w:r>
      <w:r>
        <w:t xml:space="preserve">+ population than the KM curves in the ‘all comers’ </w:t>
      </w:r>
      <w:proofErr w:type="gramStart"/>
      <w:r>
        <w:t>population</w:t>
      </w:r>
      <w:r w:rsidR="00C11AA8">
        <w:t>,</w:t>
      </w:r>
      <w:r>
        <w:t xml:space="preserve"> and</w:t>
      </w:r>
      <w:proofErr w:type="gramEnd"/>
      <w:r>
        <w:t xml:space="preserve"> apply</w:t>
      </w:r>
      <w:r w:rsidR="00F42D67">
        <w:t>ing</w:t>
      </w:r>
      <w:r>
        <w:t xml:space="preserve"> a</w:t>
      </w:r>
      <w:r w:rsidR="00F6234F">
        <w:t>n</w:t>
      </w:r>
      <w:r>
        <w:t xml:space="preserve"> OS HR of 0.48 (as preferred previously by the PBAC).</w:t>
      </w:r>
      <w:bookmarkEnd w:id="47"/>
    </w:p>
    <w:p w14:paraId="47B6753F" w14:textId="30576126" w:rsidR="00B51A96" w:rsidRPr="00FA0529" w:rsidRDefault="00B51A96" w:rsidP="00AD44B1">
      <w:pPr>
        <w:pStyle w:val="TableFigureHeading"/>
        <w:keepLines/>
      </w:pPr>
      <w:bookmarkStart w:id="48" w:name="_Ref214276459"/>
      <w:r w:rsidRPr="00FA0529">
        <w:t xml:space="preserve">Table </w:t>
      </w:r>
      <w:r>
        <w:fldChar w:fldCharType="begin"/>
      </w:r>
      <w:r>
        <w:instrText xml:space="preserve"> SEQ Table \* ARABIC </w:instrText>
      </w:r>
      <w:r>
        <w:fldChar w:fldCharType="separate"/>
      </w:r>
      <w:r w:rsidR="00971CD5">
        <w:rPr>
          <w:noProof/>
        </w:rPr>
        <w:t>10</w:t>
      </w:r>
      <w:r>
        <w:rPr>
          <w:noProof/>
        </w:rPr>
        <w:fldChar w:fldCharType="end"/>
      </w:r>
      <w:bookmarkEnd w:id="48"/>
      <w:r w:rsidRPr="00FA0529">
        <w:t xml:space="preserve">: Results of the economic evaluation presented in the </w:t>
      </w:r>
      <w:r>
        <w:t>proposal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Results of the economic evaluation presented in the proposal"/>
      </w:tblPr>
      <w:tblGrid>
        <w:gridCol w:w="4048"/>
        <w:gridCol w:w="1520"/>
        <w:gridCol w:w="1486"/>
        <w:gridCol w:w="1962"/>
      </w:tblGrid>
      <w:tr w:rsidR="00B51A96" w:rsidRPr="00FA0529" w14:paraId="1396E273" w14:textId="77777777">
        <w:trPr>
          <w:tblHeader/>
        </w:trPr>
        <w:tc>
          <w:tcPr>
            <w:tcW w:w="2245" w:type="pct"/>
          </w:tcPr>
          <w:p w14:paraId="3DBCC9EE" w14:textId="77777777" w:rsidR="00B51A96" w:rsidRPr="00FA0529" w:rsidRDefault="00B51A96" w:rsidP="00AD44B1">
            <w:pPr>
              <w:pStyle w:val="TableText"/>
              <w:keepLines/>
              <w:rPr>
                <w:b/>
                <w:color w:val="0D0D0D" w:themeColor="text1" w:themeTint="F2"/>
                <w:szCs w:val="20"/>
              </w:rPr>
            </w:pPr>
          </w:p>
          <w:p w14:paraId="0E9B7359" w14:textId="77777777" w:rsidR="00B51A96" w:rsidRPr="00FA0529" w:rsidRDefault="00B51A96" w:rsidP="00AD44B1">
            <w:pPr>
              <w:pStyle w:val="TableText"/>
              <w:keepLines/>
              <w:rPr>
                <w:b/>
                <w:bCs w:val="0"/>
                <w:color w:val="0D0D0D" w:themeColor="text1" w:themeTint="F2"/>
                <w:szCs w:val="20"/>
              </w:rPr>
            </w:pPr>
            <w:r w:rsidRPr="00FA0529">
              <w:rPr>
                <w:b/>
                <w:color w:val="0D0D0D" w:themeColor="text1" w:themeTint="F2"/>
                <w:szCs w:val="20"/>
              </w:rPr>
              <w:t>Analyses</w:t>
            </w:r>
          </w:p>
        </w:tc>
        <w:tc>
          <w:tcPr>
            <w:tcW w:w="843" w:type="pct"/>
          </w:tcPr>
          <w:p w14:paraId="7CA4E689" w14:textId="77777777" w:rsidR="00B51A96" w:rsidRPr="00FA0529" w:rsidRDefault="00B51A96" w:rsidP="00AD44B1">
            <w:pPr>
              <w:pStyle w:val="TableText"/>
              <w:keepLines/>
              <w:jc w:val="center"/>
              <w:rPr>
                <w:b/>
                <w:bCs w:val="0"/>
                <w:color w:val="0D0D0D" w:themeColor="text1" w:themeTint="F2"/>
                <w:szCs w:val="20"/>
              </w:rPr>
            </w:pPr>
            <w:r w:rsidRPr="00FA0529">
              <w:rPr>
                <w:b/>
                <w:color w:val="0D0D0D" w:themeColor="text1" w:themeTint="F2"/>
                <w:szCs w:val="20"/>
              </w:rPr>
              <w:t>Incremental cost</w:t>
            </w:r>
          </w:p>
        </w:tc>
        <w:tc>
          <w:tcPr>
            <w:tcW w:w="824" w:type="pct"/>
          </w:tcPr>
          <w:p w14:paraId="5D2D015D" w14:textId="77777777" w:rsidR="00B51A96" w:rsidRPr="00FA0529" w:rsidRDefault="00B51A96" w:rsidP="00AD44B1">
            <w:pPr>
              <w:pStyle w:val="TableText"/>
              <w:keepLines/>
              <w:jc w:val="center"/>
              <w:rPr>
                <w:b/>
                <w:bCs w:val="0"/>
                <w:color w:val="0D0D0D" w:themeColor="text1" w:themeTint="F2"/>
                <w:szCs w:val="20"/>
              </w:rPr>
            </w:pPr>
            <w:r w:rsidRPr="00FA0529">
              <w:rPr>
                <w:b/>
                <w:color w:val="0D0D0D" w:themeColor="text1" w:themeTint="F2"/>
                <w:szCs w:val="20"/>
              </w:rPr>
              <w:t>Incremental QALY</w:t>
            </w:r>
          </w:p>
        </w:tc>
        <w:tc>
          <w:tcPr>
            <w:tcW w:w="1088" w:type="pct"/>
          </w:tcPr>
          <w:p w14:paraId="229A46B2" w14:textId="77777777" w:rsidR="00B51A96" w:rsidRPr="00FA0529" w:rsidRDefault="00B51A96" w:rsidP="00AD44B1">
            <w:pPr>
              <w:pStyle w:val="TableText"/>
              <w:keepLines/>
              <w:jc w:val="center"/>
              <w:rPr>
                <w:b/>
                <w:bCs w:val="0"/>
                <w:color w:val="0D0D0D" w:themeColor="text1" w:themeTint="F2"/>
                <w:szCs w:val="20"/>
              </w:rPr>
            </w:pPr>
            <w:r w:rsidRPr="00FA0529">
              <w:rPr>
                <w:b/>
                <w:color w:val="0D0D0D" w:themeColor="text1" w:themeTint="F2"/>
                <w:szCs w:val="20"/>
              </w:rPr>
              <w:t>ICER</w:t>
            </w:r>
          </w:p>
        </w:tc>
      </w:tr>
      <w:tr w:rsidR="00B51A96" w:rsidRPr="00FA0529" w14:paraId="24140FFB" w14:textId="77777777">
        <w:tc>
          <w:tcPr>
            <w:tcW w:w="2245" w:type="pct"/>
          </w:tcPr>
          <w:p w14:paraId="1E7A09B4" w14:textId="77777777" w:rsidR="00B51A96" w:rsidRPr="00601993" w:rsidRDefault="00B51A96" w:rsidP="00AD44B1">
            <w:pPr>
              <w:pStyle w:val="TableText"/>
              <w:keepLines/>
              <w:rPr>
                <w:bCs w:val="0"/>
                <w:color w:val="0D0D0D" w:themeColor="text1" w:themeTint="F2"/>
                <w:szCs w:val="20"/>
              </w:rPr>
            </w:pPr>
            <w:r>
              <w:rPr>
                <w:bCs w:val="0"/>
                <w:color w:val="0D0D0D" w:themeColor="text1" w:themeTint="F2"/>
                <w:szCs w:val="20"/>
              </w:rPr>
              <w:t>Using revised model provided in proposal</w:t>
            </w:r>
          </w:p>
        </w:tc>
        <w:tc>
          <w:tcPr>
            <w:tcW w:w="843" w:type="pct"/>
          </w:tcPr>
          <w:p w14:paraId="4AD31382" w14:textId="5273CA19" w:rsidR="00B51A96" w:rsidRDefault="00B51A96" w:rsidP="00AD44B1">
            <w:pPr>
              <w:pStyle w:val="TableText"/>
              <w:keepLines/>
              <w:jc w:val="center"/>
            </w:pPr>
            <w:r>
              <w:t>$</w:t>
            </w:r>
            <w:r w:rsidR="0048390F" w:rsidRPr="0048390F">
              <w:rPr>
                <w:highlight w:val="black"/>
              </w:rPr>
              <w:t>&amp;&amp;&amp;&amp;</w:t>
            </w:r>
          </w:p>
        </w:tc>
        <w:tc>
          <w:tcPr>
            <w:tcW w:w="824" w:type="pct"/>
          </w:tcPr>
          <w:p w14:paraId="1EA04941" w14:textId="77777777" w:rsidR="00B51A96" w:rsidRDefault="00B51A96" w:rsidP="00AD44B1">
            <w:pPr>
              <w:pStyle w:val="TableText"/>
              <w:keepLines/>
              <w:jc w:val="center"/>
            </w:pPr>
            <w:r>
              <w:t>0.62</w:t>
            </w:r>
          </w:p>
        </w:tc>
        <w:tc>
          <w:tcPr>
            <w:tcW w:w="1088" w:type="pct"/>
          </w:tcPr>
          <w:p w14:paraId="06271317" w14:textId="54717150" w:rsidR="00B51A96" w:rsidRPr="00D01E4D" w:rsidRDefault="00B51A96" w:rsidP="00AD44B1">
            <w:pPr>
              <w:pStyle w:val="TableText"/>
              <w:keepLines/>
              <w:jc w:val="center"/>
              <w:rPr>
                <w:rFonts w:cs="Arial"/>
                <w:szCs w:val="20"/>
                <w:vertAlign w:val="superscript"/>
              </w:rPr>
            </w:pPr>
            <w:r>
              <w:rPr>
                <w:rFonts w:cs="Arial"/>
                <w:szCs w:val="20"/>
              </w:rPr>
              <w:t>$</w:t>
            </w:r>
            <w:r w:rsidR="0048390F" w:rsidRPr="0048390F">
              <w:rPr>
                <w:rFonts w:cs="Arial"/>
                <w:szCs w:val="20"/>
                <w:highlight w:val="black"/>
              </w:rPr>
              <w:t>&amp;&amp;&amp;&amp;</w:t>
            </w:r>
            <w:r w:rsidR="0004683B">
              <w:rPr>
                <w:rFonts w:cs="Arial"/>
                <w:szCs w:val="20"/>
                <w:vertAlign w:val="superscript"/>
              </w:rPr>
              <w:t>1</w:t>
            </w:r>
          </w:p>
        </w:tc>
      </w:tr>
    </w:tbl>
    <w:p w14:paraId="30B5D39F" w14:textId="02DA6A5B" w:rsidR="00B51A96" w:rsidRDefault="00F42D67" w:rsidP="00AD44B1">
      <w:pPr>
        <w:pStyle w:val="TableFigureFooter"/>
      </w:pPr>
      <w:r>
        <w:t xml:space="preserve">Source: </w:t>
      </w:r>
      <w:r w:rsidR="00433B6A">
        <w:t>sponsor’s proposal</w:t>
      </w:r>
    </w:p>
    <w:p w14:paraId="32C48739" w14:textId="4C4F66ED" w:rsidR="0006028A" w:rsidRPr="00D01E4D" w:rsidRDefault="0006028A" w:rsidP="00D01E4D">
      <w:pPr>
        <w:pStyle w:val="TableFigureFooter"/>
        <w:jc w:val="left"/>
        <w:rPr>
          <w:i/>
          <w:iCs/>
        </w:rPr>
      </w:pPr>
      <w:r>
        <w:t>ICER, incremental cost effectiveness ratio; QALY, quality adjusted life years.</w:t>
      </w:r>
      <w:r w:rsidR="0004683B">
        <w:br/>
      </w:r>
      <w:r w:rsidR="0004683B">
        <w:rPr>
          <w:i/>
          <w:iCs/>
        </w:rPr>
        <w:t>The redacted value corresponds to the following range:</w:t>
      </w:r>
      <w:r w:rsidR="0004683B">
        <w:rPr>
          <w:i/>
          <w:iCs/>
        </w:rPr>
        <w:br/>
      </w:r>
      <w:r w:rsidR="0004683B">
        <w:rPr>
          <w:i/>
          <w:iCs/>
          <w:vertAlign w:val="superscript"/>
        </w:rPr>
        <w:t>1</w:t>
      </w:r>
      <w:r w:rsidR="0004683B">
        <w:rPr>
          <w:i/>
          <w:iCs/>
        </w:rPr>
        <w:t xml:space="preserve"> $65,000 to &lt; $75,000</w:t>
      </w:r>
    </w:p>
    <w:p w14:paraId="4A844085" w14:textId="07AD4596" w:rsidR="00B51A96" w:rsidRDefault="00B51A96" w:rsidP="00B16915">
      <w:pPr>
        <w:pStyle w:val="3-BodyText"/>
      </w:pPr>
      <w:bookmarkStart w:id="49" w:name="_Ref214271416"/>
      <w:r w:rsidRPr="006B36AD">
        <w:t>The proposal noted</w:t>
      </w:r>
      <w:r w:rsidR="001F523A">
        <w:t xml:space="preserve"> that</w:t>
      </w:r>
      <w:r w:rsidRPr="006B36AD">
        <w:t xml:space="preserve"> the undiscounted life years gained from the revised model </w:t>
      </w:r>
      <w:r w:rsidR="001F523A">
        <w:t>was</w:t>
      </w:r>
      <w:r w:rsidR="001F523A" w:rsidRPr="006B36AD">
        <w:t xml:space="preserve"> </w:t>
      </w:r>
      <w:r w:rsidRPr="006B36AD">
        <w:t xml:space="preserve">reduced to 0.85 from 1.99 (paragraph 5.4, futibatinib </w:t>
      </w:r>
      <w:r w:rsidR="00823550">
        <w:t>Public Summary Document [</w:t>
      </w:r>
      <w:r w:rsidR="006D05C2">
        <w:t>PSD</w:t>
      </w:r>
      <w:r w:rsidR="00823550">
        <w:t>]</w:t>
      </w:r>
      <w:r w:rsidRPr="006B36AD">
        <w:t xml:space="preserve">, July 2025 PBAC </w:t>
      </w:r>
      <w:r w:rsidRPr="005732A1">
        <w:t>meeting).</w:t>
      </w:r>
      <w:bookmarkEnd w:id="49"/>
    </w:p>
    <w:p w14:paraId="4EAC0C47" w14:textId="07EFF14A" w:rsidR="00B51A96" w:rsidRDefault="0077188A" w:rsidP="00B16915">
      <w:pPr>
        <w:pStyle w:val="3-BodyText"/>
      </w:pPr>
      <w:bookmarkStart w:id="50" w:name="_Ref214277101"/>
      <w:r>
        <w:t xml:space="preserve">The </w:t>
      </w:r>
      <w:r w:rsidR="009E413B">
        <w:t>sponsor noted that the</w:t>
      </w:r>
      <w:r w:rsidR="00B51A96" w:rsidDel="006A59CC">
        <w:t xml:space="preserve"> </w:t>
      </w:r>
      <w:r w:rsidR="004649DC">
        <w:t>propos</w:t>
      </w:r>
      <w:r w:rsidR="005C650B">
        <w:t>al</w:t>
      </w:r>
      <w:r w:rsidR="004649DC">
        <w:t xml:space="preserve"> provided </w:t>
      </w:r>
      <w:r w:rsidR="00B51A96" w:rsidDel="006A59CC">
        <w:t xml:space="preserve">to MSAC </w:t>
      </w:r>
      <w:r w:rsidR="009E413B">
        <w:t xml:space="preserve">(see paragraph </w:t>
      </w:r>
      <w:r w:rsidR="00605AA7">
        <w:fldChar w:fldCharType="begin"/>
      </w:r>
      <w:r w:rsidR="00605AA7">
        <w:instrText xml:space="preserve"> REF _Ref214271972 \r \h </w:instrText>
      </w:r>
      <w:r w:rsidR="00605AA7">
        <w:fldChar w:fldCharType="separate"/>
      </w:r>
      <w:r w:rsidR="00971CD5">
        <w:t>8.4</w:t>
      </w:r>
      <w:r w:rsidR="00605AA7">
        <w:fldChar w:fldCharType="end"/>
      </w:r>
      <w:r w:rsidR="009E413B">
        <w:t xml:space="preserve">) </w:t>
      </w:r>
      <w:r w:rsidR="00B51A96" w:rsidDel="006A59CC">
        <w:t xml:space="preserve">included </w:t>
      </w:r>
      <w:r w:rsidR="009E413B">
        <w:t xml:space="preserve">the following </w:t>
      </w:r>
      <w:r w:rsidR="00B51A96" w:rsidDel="006A59CC">
        <w:t>assumptions that potentially had an impact on the</w:t>
      </w:r>
      <w:r w:rsidR="009E413B" w:rsidDel="006A59CC">
        <w:t xml:space="preserve"> </w:t>
      </w:r>
      <w:r w:rsidR="00B51A96" w:rsidDel="006A59CC">
        <w:t xml:space="preserve">economic analyses </w:t>
      </w:r>
      <w:r w:rsidR="005C650B">
        <w:t xml:space="preserve">for PBAC </w:t>
      </w:r>
      <w:r w:rsidR="00B51A96" w:rsidDel="006A59CC">
        <w:t>(i) cost of testing for all patients diagnosed with CCA (rather than testing at advanced/ metastatic disease) and (ii) changes to the cost of testing</w:t>
      </w:r>
      <w:r w:rsidR="00D4443B">
        <w:t>,</w:t>
      </w:r>
      <w:r w:rsidR="007928DF">
        <w:t xml:space="preserve"> </w:t>
      </w:r>
      <w:r w:rsidR="00B51A96" w:rsidDel="006A59CC">
        <w:t>including</w:t>
      </w:r>
      <w:r w:rsidR="00056F86">
        <w:t xml:space="preserve"> removing </w:t>
      </w:r>
      <w:r w:rsidR="00D4443B">
        <w:t>assumption regarding Omico testing</w:t>
      </w:r>
      <w:r w:rsidR="00B51A96" w:rsidDel="006A59CC">
        <w:t xml:space="preserve"> accounting for a panel test.</w:t>
      </w:r>
      <w:bookmarkEnd w:id="50"/>
      <w:r w:rsidR="00B51A96" w:rsidDel="006A59CC">
        <w:t xml:space="preserve"> </w:t>
      </w:r>
    </w:p>
    <w:p w14:paraId="6D78D816" w14:textId="42BB6C00" w:rsidR="00CA2DCA" w:rsidRPr="005732A1" w:rsidRDefault="0092245D" w:rsidP="00B16915">
      <w:pPr>
        <w:pStyle w:val="3-BodyText"/>
      </w:pPr>
      <w:r>
        <w:rPr>
          <w:rFonts w:cstheme="minorHAnsi"/>
          <w:szCs w:val="18"/>
        </w:rPr>
        <w:t xml:space="preserve">The model in the proposal for PBAC consideration included a test yield of 20%. Decreasing the yield to 10.1% to account for testing in an earlier CCA population had </w:t>
      </w:r>
      <w:r>
        <w:rPr>
          <w:rFonts w:cstheme="minorHAnsi"/>
          <w:szCs w:val="18"/>
        </w:rPr>
        <w:lastRenderedPageBreak/>
        <w:t xml:space="preserve">a small impact on the ICER </w:t>
      </w:r>
      <w:r w:rsidRPr="00F24185">
        <w:rPr>
          <w:rFonts w:cstheme="minorHAnsi"/>
          <w:szCs w:val="18"/>
        </w:rPr>
        <w:t>(</w:t>
      </w:r>
      <w:r w:rsidR="002821EF" w:rsidRPr="00F24185">
        <w:rPr>
          <w:rFonts w:cstheme="minorHAnsi"/>
          <w:szCs w:val="18"/>
        </w:rPr>
        <w:t>+</w:t>
      </w:r>
      <w:r w:rsidR="0048390F" w:rsidRPr="0048390F">
        <w:rPr>
          <w:rFonts w:cstheme="minorHAnsi"/>
          <w:szCs w:val="18"/>
          <w:highlight w:val="black"/>
        </w:rPr>
        <w:t>&amp;&amp;&amp;&amp;</w:t>
      </w:r>
      <w:r w:rsidR="002821EF" w:rsidRPr="00F24185">
        <w:rPr>
          <w:rFonts w:cstheme="minorHAnsi"/>
          <w:szCs w:val="18"/>
        </w:rPr>
        <w:t>%).</w:t>
      </w:r>
      <w:r w:rsidR="002821EF">
        <w:rPr>
          <w:rFonts w:cstheme="minorHAnsi"/>
          <w:szCs w:val="18"/>
        </w:rPr>
        <w:t xml:space="preserve"> </w:t>
      </w:r>
      <w:r w:rsidR="00CA2DCA">
        <w:rPr>
          <w:rFonts w:cstheme="minorHAnsi"/>
          <w:szCs w:val="18"/>
        </w:rPr>
        <w:t>The m</w:t>
      </w:r>
      <w:r w:rsidR="00CA2DCA" w:rsidRPr="00C90273">
        <w:rPr>
          <w:rFonts w:cstheme="minorHAnsi"/>
          <w:szCs w:val="18"/>
        </w:rPr>
        <w:t xml:space="preserve">odel in </w:t>
      </w:r>
      <w:r w:rsidR="00CA2DCA">
        <w:rPr>
          <w:rFonts w:cstheme="minorHAnsi"/>
          <w:szCs w:val="18"/>
        </w:rPr>
        <w:t xml:space="preserve">the </w:t>
      </w:r>
      <w:r w:rsidR="00CA2DCA" w:rsidRPr="00C90273">
        <w:rPr>
          <w:rFonts w:cstheme="minorHAnsi"/>
          <w:szCs w:val="18"/>
        </w:rPr>
        <w:t xml:space="preserve">proposal </w:t>
      </w:r>
      <w:r w:rsidR="00CA2DCA">
        <w:rPr>
          <w:rFonts w:cstheme="minorHAnsi"/>
          <w:szCs w:val="18"/>
        </w:rPr>
        <w:t xml:space="preserve">for PBAC consideration </w:t>
      </w:r>
      <w:r w:rsidR="00CA2DCA" w:rsidRPr="00C90273">
        <w:rPr>
          <w:rFonts w:cstheme="minorHAnsi"/>
          <w:szCs w:val="18"/>
        </w:rPr>
        <w:t>assume</w:t>
      </w:r>
      <w:r w:rsidR="00CA2DCA">
        <w:rPr>
          <w:rFonts w:cstheme="minorHAnsi"/>
          <w:szCs w:val="18"/>
        </w:rPr>
        <w:t>d</w:t>
      </w:r>
      <w:r w:rsidR="00CA2DCA" w:rsidRPr="00C90273">
        <w:rPr>
          <w:rFonts w:cstheme="minorHAnsi"/>
          <w:szCs w:val="18"/>
        </w:rPr>
        <w:t xml:space="preserve"> </w:t>
      </w:r>
      <w:r w:rsidR="00CA2DCA">
        <w:rPr>
          <w:rFonts w:cstheme="minorHAnsi"/>
          <w:szCs w:val="18"/>
        </w:rPr>
        <w:t xml:space="preserve">an </w:t>
      </w:r>
      <w:r w:rsidR="00CA2DCA" w:rsidRPr="00C90273">
        <w:rPr>
          <w:rFonts w:cstheme="minorHAnsi"/>
          <w:szCs w:val="18"/>
        </w:rPr>
        <w:t xml:space="preserve">MBS fee </w:t>
      </w:r>
      <w:r w:rsidR="00CA2DCA">
        <w:rPr>
          <w:rFonts w:cstheme="minorHAnsi"/>
          <w:szCs w:val="18"/>
        </w:rPr>
        <w:t xml:space="preserve">of </w:t>
      </w:r>
      <w:r w:rsidR="00CA2DCA" w:rsidRPr="00C90273">
        <w:rPr>
          <w:rFonts w:cstheme="minorHAnsi"/>
          <w:szCs w:val="18"/>
        </w:rPr>
        <w:t>$350 with 40% of patients tested at no cost via Omico. Removing testing by Omico ha</w:t>
      </w:r>
      <w:r w:rsidR="00CA2DCA">
        <w:rPr>
          <w:rFonts w:cstheme="minorHAnsi"/>
          <w:szCs w:val="18"/>
        </w:rPr>
        <w:t>d</w:t>
      </w:r>
      <w:r w:rsidR="00CA2DCA" w:rsidRPr="00C90273">
        <w:rPr>
          <w:rFonts w:cstheme="minorHAnsi"/>
          <w:szCs w:val="18"/>
        </w:rPr>
        <w:t xml:space="preserve"> a small impact on </w:t>
      </w:r>
      <w:r w:rsidR="000B5A8A">
        <w:rPr>
          <w:rFonts w:cstheme="minorHAnsi"/>
          <w:szCs w:val="18"/>
        </w:rPr>
        <w:t xml:space="preserve">the </w:t>
      </w:r>
      <w:r w:rsidR="00CA2DCA" w:rsidRPr="00C90273">
        <w:rPr>
          <w:rFonts w:cstheme="minorHAnsi"/>
          <w:szCs w:val="18"/>
        </w:rPr>
        <w:t>ICER (+</w:t>
      </w:r>
      <w:r w:rsidR="0048390F" w:rsidRPr="0048390F">
        <w:rPr>
          <w:rFonts w:cstheme="minorHAnsi"/>
          <w:szCs w:val="18"/>
          <w:highlight w:val="black"/>
        </w:rPr>
        <w:t>&amp;&amp;&amp;&amp;</w:t>
      </w:r>
      <w:r w:rsidR="00CA2DCA" w:rsidRPr="00C90273">
        <w:rPr>
          <w:rFonts w:cstheme="minorHAnsi"/>
          <w:szCs w:val="18"/>
        </w:rPr>
        <w:t>%)</w:t>
      </w:r>
      <w:r w:rsidR="00CA2DCA">
        <w:rPr>
          <w:rFonts w:cstheme="minorHAnsi"/>
          <w:szCs w:val="18"/>
        </w:rPr>
        <w:t xml:space="preserve">. </w:t>
      </w:r>
    </w:p>
    <w:p w14:paraId="395FD117" w14:textId="77777777" w:rsidR="00B51A96" w:rsidRDefault="00B51A96" w:rsidP="00B16915">
      <w:pPr>
        <w:pStyle w:val="2-SectionHeading"/>
      </w:pPr>
      <w:r w:rsidRPr="005732A1">
        <w:t>Cost</w:t>
      </w:r>
      <w:r>
        <w:t xml:space="preserve"> per patient </w:t>
      </w:r>
      <w:r w:rsidRPr="00E12C46">
        <w:t>per</w:t>
      </w:r>
      <w:r>
        <w:t xml:space="preserve"> course</w:t>
      </w:r>
    </w:p>
    <w:p w14:paraId="2BE53C45" w14:textId="2BF0BD56" w:rsidR="00B51A96" w:rsidRDefault="00B51A96" w:rsidP="00B16915">
      <w:pPr>
        <w:pStyle w:val="3-BodyText"/>
      </w:pPr>
      <w:r>
        <w:t>The cost per patient per course is $</w:t>
      </w:r>
      <w:r w:rsidR="0048390F" w:rsidRPr="0048390F">
        <w:rPr>
          <w:highlight w:val="black"/>
        </w:rPr>
        <w:t>&amp;&amp;&amp;&amp;</w:t>
      </w:r>
      <w:r>
        <w:t xml:space="preserve"> (based on a treatment duration of 56 weeks). </w:t>
      </w:r>
    </w:p>
    <w:p w14:paraId="1445DF89" w14:textId="77777777" w:rsidR="00B51A96" w:rsidRPr="006B36AD" w:rsidRDefault="00B51A96" w:rsidP="00B16915">
      <w:pPr>
        <w:pStyle w:val="2-SectionHeading"/>
      </w:pPr>
      <w:r w:rsidRPr="006B36AD">
        <w:t>Estimated PBS usage &amp; financial implications</w:t>
      </w:r>
    </w:p>
    <w:p w14:paraId="579D54A6" w14:textId="794068E1" w:rsidR="00B51A96" w:rsidRPr="006B36AD" w:rsidRDefault="00B51A96" w:rsidP="00B16915">
      <w:pPr>
        <w:pStyle w:val="3-BodyText"/>
      </w:pPr>
      <w:bookmarkStart w:id="51" w:name="_Ref214277411"/>
      <w:r w:rsidRPr="006B36AD">
        <w:t>The PBAC previously considered that the utilisation estimates proposed in the pre</w:t>
      </w:r>
      <w:r w:rsidR="00AD44B1">
        <w:noBreakHyphen/>
      </w:r>
      <w:r w:rsidRPr="006B36AD">
        <w:t>PBAC response (with errors corrected) were reasonable (</w:t>
      </w:r>
      <w:r w:rsidR="004B6CB9">
        <w:t xml:space="preserve">see </w:t>
      </w:r>
      <w:r w:rsidRPr="006B36AD">
        <w:t>paragraph</w:t>
      </w:r>
      <w:r w:rsidR="00DE209C">
        <w:t xml:space="preserve"> </w:t>
      </w:r>
      <w:r w:rsidR="00DE209C">
        <w:fldChar w:fldCharType="begin"/>
      </w:r>
      <w:r w:rsidR="00DE209C">
        <w:instrText xml:space="preserve"> REF _Ref222404843 \r \h </w:instrText>
      </w:r>
      <w:r w:rsidR="00DE209C">
        <w:fldChar w:fldCharType="separate"/>
      </w:r>
      <w:r w:rsidR="00971CD5">
        <w:t>5.8</w:t>
      </w:r>
      <w:r w:rsidR="00DE209C">
        <w:fldChar w:fldCharType="end"/>
      </w:r>
      <w:r w:rsidRPr="006B36AD">
        <w:t>).</w:t>
      </w:r>
      <w:bookmarkEnd w:id="51"/>
      <w:r w:rsidRPr="006B36AD">
        <w:t xml:space="preserve"> </w:t>
      </w:r>
    </w:p>
    <w:p w14:paraId="456C781C" w14:textId="77777777" w:rsidR="0007767C" w:rsidRPr="008F055C" w:rsidRDefault="0007767C" w:rsidP="00B16915">
      <w:pPr>
        <w:pStyle w:val="2-SectionHeading"/>
      </w:pPr>
      <w:r w:rsidRPr="008F055C">
        <w:t>PBAC Outcome</w:t>
      </w:r>
    </w:p>
    <w:p w14:paraId="4ED88AC7" w14:textId="5C125E5D" w:rsidR="00EB7D5D" w:rsidRPr="004C609F" w:rsidRDefault="00EB7D5D" w:rsidP="00B16915">
      <w:pPr>
        <w:pStyle w:val="3-BodyText"/>
      </w:pPr>
      <w:bookmarkStart w:id="52" w:name="_Ref219112785"/>
      <w:r w:rsidRPr="004C609F">
        <w:t xml:space="preserve">The PBAC deferred </w:t>
      </w:r>
      <w:r w:rsidR="00E161D3" w:rsidRPr="00E161D3">
        <w:t xml:space="preserve">making a recommendation for the listing of </w:t>
      </w:r>
      <w:r w:rsidRPr="004C609F">
        <w:t xml:space="preserve">futibatinib for the treatment of patients with locally advanced or metastatic cholangiocarcinoma </w:t>
      </w:r>
      <w:r w:rsidR="00DE6355">
        <w:t xml:space="preserve">(CCA) </w:t>
      </w:r>
      <w:r w:rsidRPr="004C609F">
        <w:t xml:space="preserve">who have previously progressed on systemic therapy and have a fibroblast growth factor receptor 2 (FGFR2) fusion or rearrangement. The PBAC was of a mind to recommend futibatinib, but noted MBS listing of testing of tumour tissue to detect FGFR2 fusions or rearrangements was not recommended by MSAC in July 2025 and would be reconsidered at the November 2025 MSAC meeting. The PBAC recalled it did not recommend futibatinib in March </w:t>
      </w:r>
      <w:r w:rsidR="00421A5E">
        <w:t xml:space="preserve">2025 </w:t>
      </w:r>
      <w:r w:rsidRPr="004C609F">
        <w:t>or July 2025 due to outstanding issues related to inputs into the economic model and its cost</w:t>
      </w:r>
      <w:r w:rsidR="00AD44B1">
        <w:noBreakHyphen/>
      </w:r>
      <w:r w:rsidRPr="004C609F">
        <w:t xml:space="preserve">effectiveness at the proposed price, but considered that these issues have been addressed in the proposal provided by the sponsor which included a price reduction, and additional modelling of Kaplan Meier </w:t>
      </w:r>
      <w:r w:rsidR="00FC0BF9" w:rsidRPr="004C609F">
        <w:t xml:space="preserve">(KM) </w:t>
      </w:r>
      <w:r w:rsidRPr="004C609F">
        <w:t>curves to better address previous concerns.</w:t>
      </w:r>
      <w:bookmarkEnd w:id="52"/>
    </w:p>
    <w:p w14:paraId="6FF2F2CD" w14:textId="31AAEEAB" w:rsidR="008D2512" w:rsidRPr="004C609F" w:rsidRDefault="008D2512" w:rsidP="00B16915">
      <w:pPr>
        <w:pStyle w:val="3-BodyText"/>
      </w:pPr>
      <w:r w:rsidRPr="004C609F">
        <w:t xml:space="preserve">The PBAC recalled that it previously considered there is a high clinical need for more effective therapies for CAA and noted that consumer input received for the </w:t>
      </w:r>
      <w:r w:rsidR="00AC09D1" w:rsidRPr="004C609F">
        <w:t>March</w:t>
      </w:r>
      <w:r w:rsidR="00AC09D1">
        <w:t> </w:t>
      </w:r>
      <w:r w:rsidRPr="004C609F">
        <w:t>2025 and July 2025 meetings supported the availability of futibatinib</w:t>
      </w:r>
      <w:r w:rsidR="00D5744F" w:rsidRPr="004C609F">
        <w:t xml:space="preserve"> (see paragraph</w:t>
      </w:r>
      <w:r w:rsidR="00DE209C">
        <w:t xml:space="preserve"> </w:t>
      </w:r>
      <w:r w:rsidR="00DE209C">
        <w:fldChar w:fldCharType="begin"/>
      </w:r>
      <w:r w:rsidR="00DE209C">
        <w:instrText xml:space="preserve"> REF _Ref222404867 \r \h </w:instrText>
      </w:r>
      <w:r w:rsidR="00DE209C">
        <w:fldChar w:fldCharType="separate"/>
      </w:r>
      <w:r w:rsidR="00971CD5">
        <w:t>5.2</w:t>
      </w:r>
      <w:r w:rsidR="00DE209C">
        <w:fldChar w:fldCharType="end"/>
      </w:r>
      <w:r w:rsidR="00D5744F" w:rsidRPr="004C609F">
        <w:t>)</w:t>
      </w:r>
      <w:r w:rsidRPr="004C609F">
        <w:t xml:space="preserve">. </w:t>
      </w:r>
    </w:p>
    <w:p w14:paraId="292D766E" w14:textId="6D2CCEA7" w:rsidR="00CF262A" w:rsidRDefault="00CF262A" w:rsidP="00B16915">
      <w:pPr>
        <w:pStyle w:val="3-BodyText"/>
      </w:pPr>
      <w:r w:rsidRPr="00CF262A">
        <w:t xml:space="preserve">The PBAC recalled that it previously considered </w:t>
      </w:r>
      <w:r w:rsidR="00E80F89">
        <w:t>t</w:t>
      </w:r>
      <w:r w:rsidRPr="00CF262A">
        <w:t>hat the proposed restriction was reasonable (see paragraph</w:t>
      </w:r>
      <w:r w:rsidR="00DE209C">
        <w:t xml:space="preserve"> </w:t>
      </w:r>
      <w:r w:rsidR="00DE209C">
        <w:fldChar w:fldCharType="begin"/>
      </w:r>
      <w:r w:rsidR="00DE209C">
        <w:instrText xml:space="preserve"> REF _Ref222404657 \r \h </w:instrText>
      </w:r>
      <w:r w:rsidR="00DE209C">
        <w:fldChar w:fldCharType="separate"/>
      </w:r>
      <w:r w:rsidR="00971CD5">
        <w:t>5.3</w:t>
      </w:r>
      <w:r w:rsidR="00DE209C">
        <w:fldChar w:fldCharType="end"/>
      </w:r>
      <w:r w:rsidRPr="00CF262A">
        <w:t>).</w:t>
      </w:r>
    </w:p>
    <w:p w14:paraId="7CC52F87" w14:textId="1B6E0574" w:rsidR="00DB45DF" w:rsidRDefault="00BF7204" w:rsidP="00B16915">
      <w:pPr>
        <w:pStyle w:val="3-BodyText"/>
      </w:pPr>
      <w:bookmarkStart w:id="53" w:name="_Ref219112807"/>
      <w:r>
        <w:t>The PBAC recalled it previously considered</w:t>
      </w:r>
      <w:r w:rsidR="00762A24">
        <w:t xml:space="preserve"> that </w:t>
      </w:r>
      <w:r w:rsidR="00F72AC0">
        <w:t xml:space="preserve">the </w:t>
      </w:r>
      <w:r w:rsidR="00283706">
        <w:t xml:space="preserve">July 2025 </w:t>
      </w:r>
      <w:r w:rsidR="00762A24" w:rsidRPr="00762A24">
        <w:t>resubmission</w:t>
      </w:r>
      <w:r w:rsidR="00283706">
        <w:t xml:space="preserve"> did not </w:t>
      </w:r>
      <w:r w:rsidR="00AE77A8">
        <w:t>adequately address its previous concerns regarding</w:t>
      </w:r>
      <w:r w:rsidR="00762A24" w:rsidRPr="00762A24">
        <w:t xml:space="preserve"> </w:t>
      </w:r>
      <w:r w:rsidR="00AB3FDF">
        <w:t>cost</w:t>
      </w:r>
      <w:r w:rsidR="00AD44B1">
        <w:noBreakHyphen/>
      </w:r>
      <w:r w:rsidR="00AB3FDF">
        <w:t>effectiveness of futibatinib</w:t>
      </w:r>
      <w:r w:rsidR="00F31E49">
        <w:t xml:space="preserve">. The PBAC considered that </w:t>
      </w:r>
      <w:r w:rsidR="00DB45DF">
        <w:t>its previous concerns were addressed in the proposal</w:t>
      </w:r>
      <w:r w:rsidR="003F52F7">
        <w:t xml:space="preserve"> (paragraph </w:t>
      </w:r>
      <w:r w:rsidR="00905EC6">
        <w:fldChar w:fldCharType="begin"/>
      </w:r>
      <w:r w:rsidR="00905EC6">
        <w:instrText xml:space="preserve"> REF _Ref214275551 \r \h </w:instrText>
      </w:r>
      <w:r w:rsidR="00905EC6">
        <w:fldChar w:fldCharType="separate"/>
      </w:r>
      <w:r w:rsidR="00971CD5">
        <w:t>10.2</w:t>
      </w:r>
      <w:r w:rsidR="00905EC6">
        <w:fldChar w:fldCharType="end"/>
      </w:r>
      <w:r w:rsidR="003F52F7">
        <w:t>)</w:t>
      </w:r>
      <w:r w:rsidR="00DB45DF">
        <w:t>:</w:t>
      </w:r>
      <w:bookmarkEnd w:id="53"/>
    </w:p>
    <w:p w14:paraId="14713D01" w14:textId="77777777" w:rsidR="00AD44B1" w:rsidRDefault="00DB45DF" w:rsidP="00AD44B1">
      <w:pPr>
        <w:pStyle w:val="PBACESParagraphBulletPoint"/>
      </w:pPr>
      <w:r>
        <w:t xml:space="preserve">The </w:t>
      </w:r>
      <w:r w:rsidR="00F64D5E">
        <w:t xml:space="preserve">OS HR of futibatinib vs FOLFOX </w:t>
      </w:r>
      <w:r>
        <w:t>was updated to</w:t>
      </w:r>
      <w:r w:rsidR="008970C1">
        <w:t xml:space="preserve"> the more conservative</w:t>
      </w:r>
      <w:r w:rsidR="00F64D5E">
        <w:t xml:space="preserve"> </w:t>
      </w:r>
      <w:r w:rsidR="008970C1">
        <w:t xml:space="preserve">value of </w:t>
      </w:r>
      <w:r w:rsidR="00F64D5E">
        <w:t>0.48</w:t>
      </w:r>
      <w:r w:rsidR="00C47B27">
        <w:t xml:space="preserve"> </w:t>
      </w:r>
      <w:r w:rsidR="0004704E">
        <w:t>(from 0.32</w:t>
      </w:r>
      <w:r w:rsidR="00BD60B0" w:rsidRPr="00BD60B0">
        <w:t xml:space="preserve"> </w:t>
      </w:r>
      <w:r w:rsidR="00BD60B0">
        <w:t xml:space="preserve">in the </w:t>
      </w:r>
      <w:r w:rsidR="00417212">
        <w:t xml:space="preserve">July 2025 </w:t>
      </w:r>
      <w:r w:rsidR="00BD60B0">
        <w:t>resubmission</w:t>
      </w:r>
      <w:r w:rsidR="0004704E">
        <w:t xml:space="preserve">, </w:t>
      </w:r>
      <w:r w:rsidR="00BD60B0">
        <w:t>or</w:t>
      </w:r>
      <w:r w:rsidR="0004704E">
        <w:t xml:space="preserve"> 0.24</w:t>
      </w:r>
      <w:r w:rsidR="00BD60B0">
        <w:t xml:space="preserve"> in the</w:t>
      </w:r>
    </w:p>
    <w:p w14:paraId="37393375" w14:textId="665BADA9" w:rsidR="008C2BD2" w:rsidRDefault="00BD60B0" w:rsidP="00AD44B1">
      <w:pPr>
        <w:pStyle w:val="PBACESParagraphBulletPoint"/>
        <w:numPr>
          <w:ilvl w:val="0"/>
          <w:numId w:val="0"/>
        </w:numPr>
        <w:ind w:left="1491"/>
      </w:pPr>
      <w:r>
        <w:lastRenderedPageBreak/>
        <w:t>March 2025 submission</w:t>
      </w:r>
      <w:r w:rsidR="0004704E" w:rsidRPr="0004704E">
        <w:t xml:space="preserve">), </w:t>
      </w:r>
      <w:r w:rsidR="0004704E">
        <w:t xml:space="preserve">and </w:t>
      </w:r>
      <w:r w:rsidR="00C47B27">
        <w:t xml:space="preserve">to account for the uncertain clinical benefit associated with the submission’s matched adjusted indirect comparison (MAIC), </w:t>
      </w:r>
      <w:r w:rsidR="00DB433A">
        <w:t xml:space="preserve">as </w:t>
      </w:r>
      <w:r w:rsidR="00441774">
        <w:t>previous</w:t>
      </w:r>
      <w:r w:rsidR="00DB433A">
        <w:t>ly preferred by the</w:t>
      </w:r>
      <w:r w:rsidR="00441774">
        <w:t xml:space="preserve"> PBAC </w:t>
      </w:r>
      <w:r w:rsidR="00F64D5E">
        <w:t>(paragraph</w:t>
      </w:r>
      <w:r w:rsidR="00DE209C">
        <w:t xml:space="preserve"> </w:t>
      </w:r>
      <w:r w:rsidR="00DE209C">
        <w:fldChar w:fldCharType="begin"/>
      </w:r>
      <w:r w:rsidR="00DE209C">
        <w:instrText xml:space="preserve"> REF _Ref222404914 \r \h </w:instrText>
      </w:r>
      <w:r w:rsidR="00DE209C">
        <w:fldChar w:fldCharType="separate"/>
      </w:r>
      <w:r w:rsidR="00971CD5">
        <w:t>5.4</w:t>
      </w:r>
      <w:r w:rsidR="00DE209C">
        <w:fldChar w:fldCharType="end"/>
      </w:r>
      <w:r w:rsidR="00F64D5E">
        <w:t xml:space="preserve">). </w:t>
      </w:r>
      <w:r w:rsidR="00C70B2D">
        <w:t xml:space="preserve">The PBAC considered that the sponsor’s </w:t>
      </w:r>
      <w:r w:rsidR="008C2BD2">
        <w:t xml:space="preserve">proposal to </w:t>
      </w:r>
      <w:r w:rsidR="008C2BD2" w:rsidRPr="00905EC6">
        <w:t>mov</w:t>
      </w:r>
      <w:r w:rsidR="008C2BD2">
        <w:t>e</w:t>
      </w:r>
      <w:r w:rsidR="008C2BD2" w:rsidRPr="00905EC6">
        <w:t xml:space="preserve"> the FOLFOX curves to the right to reflect a greater response to treatment in an FGFR2+ population than the KM curves in the ‘all comers’ population</w:t>
      </w:r>
      <w:r w:rsidR="0071224E">
        <w:t xml:space="preserve"> was reasonable </w:t>
      </w:r>
      <w:r w:rsidR="0036364F">
        <w:t>(see paragraph</w:t>
      </w:r>
      <w:r w:rsidR="00606CC9">
        <w:t xml:space="preserve"> </w:t>
      </w:r>
      <w:r w:rsidR="00606CC9">
        <w:fldChar w:fldCharType="begin"/>
      </w:r>
      <w:r w:rsidR="00606CC9">
        <w:instrText xml:space="preserve"> REF _Ref214276095 \r \h </w:instrText>
      </w:r>
      <w:r w:rsidR="00606CC9">
        <w:fldChar w:fldCharType="separate"/>
      </w:r>
      <w:r w:rsidR="00971CD5">
        <w:t>10.3</w:t>
      </w:r>
      <w:r w:rsidR="00606CC9">
        <w:fldChar w:fldCharType="end"/>
      </w:r>
      <w:r w:rsidR="0036364F">
        <w:t xml:space="preserve">). </w:t>
      </w:r>
    </w:p>
    <w:p w14:paraId="4237591F" w14:textId="3D444FE6" w:rsidR="00F64D5E" w:rsidRDefault="00F64D5E" w:rsidP="00AD44B1">
      <w:pPr>
        <w:pStyle w:val="PBACESParagraphBulletPoint"/>
      </w:pPr>
      <w:r>
        <w:t xml:space="preserve">No disutility applied for FOLFOX administration (paragraph </w:t>
      </w:r>
      <w:r w:rsidR="00606CC9">
        <w:fldChar w:fldCharType="begin"/>
      </w:r>
      <w:r w:rsidR="00606CC9">
        <w:instrText xml:space="preserve"> REF _Ref214265091 \r \h </w:instrText>
      </w:r>
      <w:r w:rsidR="00606CC9">
        <w:fldChar w:fldCharType="separate"/>
      </w:r>
      <w:r w:rsidR="00971CD5">
        <w:rPr>
          <w:b/>
          <w:bCs/>
          <w:lang w:val="en-GB"/>
        </w:rPr>
        <w:t>Error! Reference source not found.</w:t>
      </w:r>
      <w:r w:rsidR="00606CC9">
        <w:fldChar w:fldCharType="end"/>
      </w:r>
      <w:r>
        <w:t xml:space="preserve">). </w:t>
      </w:r>
    </w:p>
    <w:p w14:paraId="3801B4F1" w14:textId="78E04409" w:rsidR="004177D0" w:rsidRDefault="00F64D5E" w:rsidP="00AD44B1">
      <w:pPr>
        <w:pStyle w:val="PBACESParagraphBulletPoint"/>
      </w:pPr>
      <w:r>
        <w:t xml:space="preserve">Time horizon </w:t>
      </w:r>
      <w:r w:rsidR="004177D0">
        <w:t>of</w:t>
      </w:r>
      <w:r>
        <w:t xml:space="preserve"> 5 years (</w:t>
      </w:r>
      <w:r w:rsidR="004177D0">
        <w:t xml:space="preserve">from 7 years in the </w:t>
      </w:r>
      <w:r w:rsidR="008B7950">
        <w:t xml:space="preserve">July 2025 </w:t>
      </w:r>
      <w:r w:rsidR="004177D0">
        <w:t>resubmission or 10 years in the March 2025 submission</w:t>
      </w:r>
      <w:r w:rsidR="00656ED0">
        <w:t>,</w:t>
      </w:r>
      <w:r w:rsidR="004177D0">
        <w:t xml:space="preserve"> </w:t>
      </w:r>
      <w:r>
        <w:t>paragraph</w:t>
      </w:r>
      <w:r w:rsidR="00656ED0">
        <w:t xml:space="preserve"> </w:t>
      </w:r>
      <w:r w:rsidR="00656ED0">
        <w:fldChar w:fldCharType="begin"/>
      </w:r>
      <w:r w:rsidR="00656ED0">
        <w:instrText xml:space="preserve"> REF _Ref222404949 \r \h </w:instrText>
      </w:r>
      <w:r w:rsidR="00656ED0">
        <w:fldChar w:fldCharType="separate"/>
      </w:r>
      <w:r w:rsidR="00971CD5">
        <w:t>5.6</w:t>
      </w:r>
      <w:r w:rsidR="00656ED0">
        <w:fldChar w:fldCharType="end"/>
      </w:r>
      <w:r>
        <w:t>).</w:t>
      </w:r>
    </w:p>
    <w:p w14:paraId="358A6213" w14:textId="46B239CB" w:rsidR="004E3AD5" w:rsidRDefault="002F4BC3" w:rsidP="00AD44B1">
      <w:pPr>
        <w:pStyle w:val="PBACESParagraphBulletPoint"/>
      </w:pPr>
      <w:r>
        <w:t xml:space="preserve">Reduction in the proposed </w:t>
      </w:r>
      <w:r w:rsidRPr="002F4BC3">
        <w:t>ex</w:t>
      </w:r>
      <w:r w:rsidR="00AD44B1">
        <w:noBreakHyphen/>
      </w:r>
      <w:r w:rsidRPr="002F4BC3">
        <w:t xml:space="preserve">manufacturer price (EMP) </w:t>
      </w:r>
      <w:r w:rsidR="007917C9">
        <w:t>to</w:t>
      </w:r>
      <w:r w:rsidR="007917C9" w:rsidRPr="002F4BC3">
        <w:t xml:space="preserve"> </w:t>
      </w:r>
      <w:r w:rsidRPr="002F4BC3">
        <w:t>$</w:t>
      </w:r>
      <w:r w:rsidR="00481C27" w:rsidRPr="00481C27">
        <w:rPr>
          <w:highlight w:val="black"/>
        </w:rPr>
        <w:t>&amp;&amp;&amp;&amp;</w:t>
      </w:r>
      <w:r w:rsidRPr="002F4BC3">
        <w:t xml:space="preserve"> per pack (compared to $</w:t>
      </w:r>
      <w:r w:rsidR="00481C27" w:rsidRPr="00481C27">
        <w:rPr>
          <w:highlight w:val="black"/>
        </w:rPr>
        <w:t>&amp;&amp;&amp;&amp;</w:t>
      </w:r>
      <w:r w:rsidRPr="002F4BC3">
        <w:t xml:space="preserve"> proposed in the July 2025 resubmission</w:t>
      </w:r>
      <w:r w:rsidR="00F4519A">
        <w:t xml:space="preserve">, see paragraph </w:t>
      </w:r>
      <w:r w:rsidR="00F4519A">
        <w:fldChar w:fldCharType="begin"/>
      </w:r>
      <w:r w:rsidR="00F4519A">
        <w:instrText xml:space="preserve"> REF _Ref214271414 \r \h </w:instrText>
      </w:r>
      <w:r w:rsidR="00F4519A">
        <w:fldChar w:fldCharType="separate"/>
      </w:r>
      <w:r w:rsidR="00971CD5">
        <w:t>10.1</w:t>
      </w:r>
      <w:r w:rsidR="00F4519A">
        <w:fldChar w:fldCharType="end"/>
      </w:r>
      <w:r w:rsidRPr="002F4BC3">
        <w:t xml:space="preserve">). </w:t>
      </w:r>
    </w:p>
    <w:p w14:paraId="70095E39" w14:textId="37A44308" w:rsidR="003E0657" w:rsidRDefault="00F4519A" w:rsidP="00AD44B1">
      <w:pPr>
        <w:pStyle w:val="3-BodyText"/>
        <w:numPr>
          <w:ilvl w:val="0"/>
          <w:numId w:val="0"/>
        </w:numPr>
        <w:ind w:left="720"/>
      </w:pPr>
      <w:r>
        <w:t xml:space="preserve">The </w:t>
      </w:r>
      <w:r w:rsidR="00D53E31">
        <w:t xml:space="preserve">revised inputs and price </w:t>
      </w:r>
      <w:r w:rsidR="007D5178">
        <w:t xml:space="preserve">resulted in an ICER of </w:t>
      </w:r>
      <w:r w:rsidR="007D5178" w:rsidRPr="007D5178">
        <w:rPr>
          <w:rFonts w:cs="Arial"/>
          <w:szCs w:val="20"/>
        </w:rPr>
        <w:t>$</w:t>
      </w:r>
      <w:r w:rsidR="00932F33">
        <w:rPr>
          <w:rFonts w:cs="Arial"/>
          <w:szCs w:val="20"/>
        </w:rPr>
        <w:t>65,000 to &lt; $75,000</w:t>
      </w:r>
      <w:r w:rsidR="007D5178" w:rsidRPr="007D5178">
        <w:rPr>
          <w:rFonts w:cs="Arial"/>
          <w:szCs w:val="20"/>
        </w:rPr>
        <w:t>/QALY (</w:t>
      </w:r>
      <w:r w:rsidR="007D5178" w:rsidRPr="007D5178">
        <w:rPr>
          <w:rFonts w:cs="Arial"/>
          <w:szCs w:val="20"/>
        </w:rPr>
        <w:fldChar w:fldCharType="begin"/>
      </w:r>
      <w:r w:rsidR="007D5178" w:rsidRPr="007D5178">
        <w:rPr>
          <w:rFonts w:cs="Arial"/>
          <w:szCs w:val="20"/>
        </w:rPr>
        <w:instrText xml:space="preserve"> REF _Ref214276459 \h </w:instrText>
      </w:r>
      <w:r w:rsidR="007D5178" w:rsidRPr="007D5178">
        <w:rPr>
          <w:rFonts w:cs="Arial"/>
          <w:szCs w:val="20"/>
        </w:rPr>
      </w:r>
      <w:r w:rsidR="007D5178" w:rsidRPr="007D5178">
        <w:rPr>
          <w:rFonts w:cs="Arial"/>
          <w:szCs w:val="20"/>
        </w:rPr>
        <w:fldChar w:fldCharType="separate"/>
      </w:r>
      <w:r w:rsidR="00971CD5" w:rsidRPr="00FA0529">
        <w:t xml:space="preserve">Table </w:t>
      </w:r>
      <w:r w:rsidR="00971CD5">
        <w:rPr>
          <w:noProof/>
        </w:rPr>
        <w:t>10</w:t>
      </w:r>
      <w:r w:rsidR="007D5178" w:rsidRPr="007D5178">
        <w:rPr>
          <w:rFonts w:cs="Arial"/>
          <w:szCs w:val="20"/>
        </w:rPr>
        <w:fldChar w:fldCharType="end"/>
      </w:r>
      <w:r w:rsidR="00B75A4E" w:rsidRPr="007D5178">
        <w:rPr>
          <w:rFonts w:cs="Arial"/>
          <w:szCs w:val="20"/>
        </w:rPr>
        <w:t>)</w:t>
      </w:r>
      <w:r w:rsidR="00B75A4E">
        <w:rPr>
          <w:rFonts w:cs="Arial"/>
          <w:szCs w:val="20"/>
        </w:rPr>
        <w:t>.</w:t>
      </w:r>
      <w:r w:rsidR="00B75A4E" w:rsidRPr="007D5178">
        <w:rPr>
          <w:rFonts w:cs="Arial"/>
          <w:szCs w:val="20"/>
        </w:rPr>
        <w:t xml:space="preserve"> </w:t>
      </w:r>
      <w:r w:rsidR="00B75A4E">
        <w:rPr>
          <w:rFonts w:cs="Arial"/>
          <w:szCs w:val="20"/>
        </w:rPr>
        <w:t xml:space="preserve">The </w:t>
      </w:r>
      <w:r w:rsidR="00566142">
        <w:rPr>
          <w:rFonts w:cs="Arial"/>
          <w:szCs w:val="20"/>
        </w:rPr>
        <w:t xml:space="preserve">PBAC </w:t>
      </w:r>
      <w:r w:rsidR="007D5178" w:rsidRPr="007D5178">
        <w:rPr>
          <w:rFonts w:cs="Arial"/>
          <w:szCs w:val="20"/>
        </w:rPr>
        <w:t xml:space="preserve">recalled that it </w:t>
      </w:r>
      <w:r w:rsidR="00566142">
        <w:rPr>
          <w:rFonts w:cs="Arial"/>
          <w:szCs w:val="20"/>
        </w:rPr>
        <w:t xml:space="preserve">had </w:t>
      </w:r>
      <w:r w:rsidR="00D53E31">
        <w:t>prev</w:t>
      </w:r>
      <w:r w:rsidR="007D5178">
        <w:t>ious</w:t>
      </w:r>
      <w:r w:rsidR="00D53E31">
        <w:t xml:space="preserve">ly considered </w:t>
      </w:r>
      <w:r w:rsidR="007D5178">
        <w:t xml:space="preserve">that </w:t>
      </w:r>
      <w:r w:rsidR="00D53E31">
        <w:t>an ICER below $75,000/QALY would be acceptabl</w:t>
      </w:r>
      <w:r w:rsidR="007D5178">
        <w:t>y</w:t>
      </w:r>
      <w:r w:rsidR="00D53E31">
        <w:t xml:space="preserve"> cost effective</w:t>
      </w:r>
      <w:r w:rsidR="007D5178">
        <w:t xml:space="preserve"> </w:t>
      </w:r>
      <w:r w:rsidR="003E0657">
        <w:t>(paragraph</w:t>
      </w:r>
      <w:r w:rsidR="00656ED0">
        <w:t xml:space="preserve"> </w:t>
      </w:r>
      <w:r w:rsidR="00467F5A">
        <w:fldChar w:fldCharType="begin"/>
      </w:r>
      <w:r w:rsidR="00467F5A">
        <w:instrText xml:space="preserve"> REF _Ref222405012 \r \h </w:instrText>
      </w:r>
      <w:r w:rsidR="00467F5A">
        <w:fldChar w:fldCharType="separate"/>
      </w:r>
      <w:r w:rsidR="00971CD5">
        <w:t>5.7</w:t>
      </w:r>
      <w:r w:rsidR="00467F5A">
        <w:fldChar w:fldCharType="end"/>
      </w:r>
      <w:r w:rsidR="003E0657">
        <w:t>).</w:t>
      </w:r>
    </w:p>
    <w:p w14:paraId="02A610F3" w14:textId="742E598B" w:rsidR="0004666E" w:rsidRDefault="0004666E" w:rsidP="00B16915">
      <w:pPr>
        <w:pStyle w:val="3-BodyText"/>
      </w:pPr>
      <w:bookmarkStart w:id="54" w:name="_Ref219112809"/>
      <w:r>
        <w:t>The PBAC noted changes in the inputs provided to the MSAC</w:t>
      </w:r>
      <w:r w:rsidR="00FD7573">
        <w:t xml:space="preserve"> for</w:t>
      </w:r>
      <w:r w:rsidR="009F09ED">
        <w:t xml:space="preserve"> consideration at</w:t>
      </w:r>
      <w:r>
        <w:t xml:space="preserve"> its November 2025 </w:t>
      </w:r>
      <w:r w:rsidR="009F09ED">
        <w:t xml:space="preserve">meeting, </w:t>
      </w:r>
      <w:r>
        <w:t xml:space="preserve">including </w:t>
      </w:r>
      <w:r w:rsidR="009F09ED">
        <w:t xml:space="preserve">changes to the </w:t>
      </w:r>
      <w:r>
        <w:t xml:space="preserve">population and costs for testing (paragraph </w:t>
      </w:r>
      <w:r>
        <w:fldChar w:fldCharType="begin"/>
      </w:r>
      <w:r>
        <w:instrText xml:space="preserve"> REF _Ref214277101 \r \h </w:instrText>
      </w:r>
      <w:r>
        <w:fldChar w:fldCharType="separate"/>
      </w:r>
      <w:r w:rsidR="00971CD5">
        <w:t>10.5</w:t>
      </w:r>
      <w:r>
        <w:fldChar w:fldCharType="end"/>
      </w:r>
      <w:r>
        <w:t>), and considered that futibatinib remained cost effective with the revised inputs.</w:t>
      </w:r>
      <w:bookmarkEnd w:id="54"/>
      <w:r>
        <w:t xml:space="preserve"> </w:t>
      </w:r>
    </w:p>
    <w:p w14:paraId="6AC11B4F" w14:textId="5159E09E" w:rsidR="00E44F4E" w:rsidRPr="00E44F4E" w:rsidRDefault="00BF7204" w:rsidP="00B16915">
      <w:pPr>
        <w:pStyle w:val="3-BodyText"/>
      </w:pPr>
      <w:bookmarkStart w:id="55" w:name="_Ref219112831"/>
      <w:bookmarkStart w:id="56" w:name="_Ref214277395"/>
      <w:r>
        <w:t xml:space="preserve">The PBAC </w:t>
      </w:r>
      <w:r w:rsidR="009E5752">
        <w:t xml:space="preserve">recalled that it previously </w:t>
      </w:r>
      <w:r>
        <w:t>considered that the utilisation estimates proposed in the pre</w:t>
      </w:r>
      <w:r w:rsidR="00AD44B1">
        <w:noBreakHyphen/>
      </w:r>
      <w:r>
        <w:t xml:space="preserve">PBAC response (with errors corrected) were reasonable </w:t>
      </w:r>
      <w:r w:rsidR="000E7FCB" w:rsidRPr="000E7FCB">
        <w:t>(see paragraph</w:t>
      </w:r>
      <w:r w:rsidR="00467F5A">
        <w:t xml:space="preserve"> </w:t>
      </w:r>
      <w:r w:rsidR="00467F5A">
        <w:fldChar w:fldCharType="begin"/>
      </w:r>
      <w:r w:rsidR="00467F5A">
        <w:instrText xml:space="preserve"> REF _Ref222404843 \r \h </w:instrText>
      </w:r>
      <w:r w:rsidR="00467F5A">
        <w:fldChar w:fldCharType="separate"/>
      </w:r>
      <w:r w:rsidR="00971CD5">
        <w:t>5.8</w:t>
      </w:r>
      <w:r w:rsidR="00467F5A">
        <w:fldChar w:fldCharType="end"/>
      </w:r>
      <w:r w:rsidR="000E7FCB" w:rsidRPr="000E7FCB">
        <w:t xml:space="preserve">). </w:t>
      </w:r>
      <w:r w:rsidR="001E7105">
        <w:t>The PBAC noted the financial estimates need to be updated to include the revised price.</w:t>
      </w:r>
      <w:bookmarkEnd w:id="55"/>
      <w:bookmarkEnd w:id="56"/>
    </w:p>
    <w:p w14:paraId="030C5428" w14:textId="73E9222B" w:rsidR="008277E2" w:rsidRPr="00321713" w:rsidRDefault="008277E2" w:rsidP="00B16915">
      <w:pPr>
        <w:pStyle w:val="3-BodyText"/>
      </w:pPr>
      <w:r w:rsidRPr="00321713">
        <w:t xml:space="preserve">The PBAC noted that this submission is not eligible for an Independent Review. </w:t>
      </w:r>
    </w:p>
    <w:p w14:paraId="0B053AF5" w14:textId="77777777" w:rsidR="008277E2" w:rsidRPr="004B5102" w:rsidRDefault="008277E2" w:rsidP="00AD44B1">
      <w:pPr>
        <w:spacing w:before="240"/>
        <w:rPr>
          <w:rFonts w:asciiTheme="minorHAnsi" w:hAnsiTheme="minorHAnsi" w:cs="Arial"/>
          <w:b/>
          <w:bCs/>
          <w:snapToGrid w:val="0"/>
          <w:lang w:val="en-GB"/>
        </w:rPr>
      </w:pPr>
      <w:r w:rsidRPr="004B5102">
        <w:rPr>
          <w:rFonts w:asciiTheme="minorHAnsi" w:hAnsiTheme="minorHAnsi" w:cs="Arial"/>
          <w:b/>
          <w:bCs/>
          <w:snapToGrid w:val="0"/>
          <w:lang w:val="en-GB"/>
        </w:rPr>
        <w:t>Outcome:</w:t>
      </w:r>
    </w:p>
    <w:p w14:paraId="62B373DD" w14:textId="477A4A68" w:rsidR="008277E2" w:rsidRPr="004B5102" w:rsidRDefault="008277E2" w:rsidP="00AD44B1">
      <w:pPr>
        <w:rPr>
          <w:rFonts w:asciiTheme="minorHAnsi" w:hAnsiTheme="minorHAnsi" w:cs="Arial"/>
          <w:bCs/>
          <w:snapToGrid w:val="0"/>
          <w:lang w:val="en-GB"/>
        </w:rPr>
      </w:pPr>
      <w:r w:rsidRPr="004B5102">
        <w:rPr>
          <w:rFonts w:asciiTheme="minorHAnsi" w:hAnsiTheme="minorHAnsi" w:cs="Arial"/>
          <w:bCs/>
          <w:snapToGrid w:val="0"/>
          <w:lang w:val="en-GB"/>
        </w:rPr>
        <w:t xml:space="preserve">Deferred </w:t>
      </w:r>
    </w:p>
    <w:p w14:paraId="1970D239" w14:textId="77777777" w:rsidR="008277E2" w:rsidRPr="004B5102" w:rsidRDefault="008277E2" w:rsidP="00AD44B1">
      <w:pPr>
        <w:rPr>
          <w:rFonts w:asciiTheme="minorHAnsi" w:hAnsiTheme="minorHAnsi" w:cs="Arial"/>
          <w:b/>
          <w:bCs/>
          <w:snapToGrid w:val="0"/>
        </w:rPr>
      </w:pPr>
    </w:p>
    <w:p w14:paraId="4208A7BC" w14:textId="361BCBA5" w:rsidR="001D2EE4" w:rsidRDefault="001D2EE4">
      <w:pPr>
        <w:jc w:val="left"/>
        <w:rPr>
          <w:rFonts w:asciiTheme="minorHAnsi" w:eastAsiaTheme="minorHAnsi" w:hAnsiTheme="minorHAnsi" w:cstheme="minorBidi"/>
          <w:szCs w:val="22"/>
        </w:rPr>
      </w:pPr>
    </w:p>
    <w:p w14:paraId="5C5AB300" w14:textId="4B015ED3" w:rsidR="00CB7A99" w:rsidRPr="008F055C" w:rsidRDefault="00CB7A99" w:rsidP="00CB7A99">
      <w:pPr>
        <w:pStyle w:val="1-MainHeading0"/>
        <w:pageBreakBefore/>
        <w:rPr>
          <w:color w:val="FF0000"/>
          <w:sz w:val="28"/>
          <w:szCs w:val="28"/>
        </w:rPr>
      </w:pPr>
      <w:r w:rsidRPr="008F055C">
        <w:rPr>
          <w:color w:val="FF0000"/>
          <w:sz w:val="28"/>
          <w:szCs w:val="28"/>
        </w:rPr>
        <w:lastRenderedPageBreak/>
        <w:t>Addendum to the</w:t>
      </w:r>
      <w:r>
        <w:rPr>
          <w:color w:val="FF0000"/>
          <w:sz w:val="28"/>
          <w:szCs w:val="28"/>
        </w:rPr>
        <w:t xml:space="preserve"> November 2025</w:t>
      </w:r>
      <w:r w:rsidRPr="008F055C">
        <w:rPr>
          <w:color w:val="FF0000"/>
          <w:sz w:val="28"/>
          <w:szCs w:val="28"/>
        </w:rPr>
        <w:t xml:space="preserve"> PBAC </w:t>
      </w:r>
      <w:r w:rsidR="007F34EC">
        <w:rPr>
          <w:color w:val="FF0000"/>
          <w:sz w:val="28"/>
          <w:szCs w:val="28"/>
        </w:rPr>
        <w:t>Public Summary Document</w:t>
      </w:r>
      <w:r w:rsidRPr="008F055C">
        <w:rPr>
          <w:color w:val="FF0000"/>
          <w:sz w:val="28"/>
          <w:szCs w:val="28"/>
        </w:rPr>
        <w:t>:</w:t>
      </w:r>
    </w:p>
    <w:p w14:paraId="7D677D6A" w14:textId="77777777" w:rsidR="00C25206" w:rsidRDefault="00C25206" w:rsidP="00B16915">
      <w:pPr>
        <w:pStyle w:val="2-SectionHeading"/>
        <w:ind w:left="0" w:firstLine="0"/>
      </w:pPr>
      <w:r>
        <w:t>Background</w:t>
      </w:r>
    </w:p>
    <w:p w14:paraId="0F92DA9E" w14:textId="6E85D82F" w:rsidR="0018105A" w:rsidRDefault="00860580" w:rsidP="00B16915">
      <w:pPr>
        <w:pStyle w:val="3-BodyText"/>
      </w:pPr>
      <w:r>
        <w:t>At its November 2025 meeting, the PBAC deferred making a recommendation for the listing of futibatinib for the treatment of patients with locally advanced or metastatic cholangiocarcinoma (CCA) who have previously progressed on systemic therapy and have a fibroblast growth factor receptor 2 (</w:t>
      </w:r>
      <w:r w:rsidRPr="0610BB74">
        <w:rPr>
          <w:i/>
          <w:iCs/>
        </w:rPr>
        <w:t>FGFR2</w:t>
      </w:r>
      <w:r>
        <w:t xml:space="preserve">) fusion or rearrangement. The PBAC was of a mind to recommend futibatinib, but noted Medicare Benefits Schedule (MBS) listing of testing of tumour tissue to detect </w:t>
      </w:r>
      <w:r w:rsidRPr="0610BB74">
        <w:rPr>
          <w:i/>
          <w:iCs/>
        </w:rPr>
        <w:t>FGFR2</w:t>
      </w:r>
      <w:r>
        <w:t xml:space="preserve"> fusions or rearrangements was not recommended by Medicare Services Advisory Committee (MSAC) in July 2025 and would be reconsidered at the November 2025 MSAC meeting</w:t>
      </w:r>
      <w:r w:rsidR="31857241">
        <w:t>.</w:t>
      </w:r>
    </w:p>
    <w:p w14:paraId="18028816" w14:textId="45FD5006" w:rsidR="005416A2" w:rsidRPr="002D58B7" w:rsidRDefault="005416A2" w:rsidP="008B406E">
      <w:pPr>
        <w:spacing w:before="120" w:after="160"/>
        <w:rPr>
          <w:rFonts w:asciiTheme="minorHAnsi" w:eastAsiaTheme="minorHAnsi" w:hAnsiTheme="minorHAnsi" w:cstheme="minorBidi"/>
          <w:szCs w:val="22"/>
          <w:u w:val="single"/>
          <w:lang w:eastAsia="en-US"/>
        </w:rPr>
      </w:pPr>
      <w:r w:rsidRPr="002D58B7">
        <w:rPr>
          <w:rFonts w:asciiTheme="minorHAnsi" w:eastAsiaTheme="minorHAnsi" w:hAnsiTheme="minorHAnsi" w:cstheme="minorBidi"/>
          <w:szCs w:val="22"/>
          <w:u w:val="single"/>
          <w:lang w:eastAsia="en-US"/>
        </w:rPr>
        <w:t>MSAC consideration –</w:t>
      </w:r>
      <w:r w:rsidR="008B406E" w:rsidRPr="002D58B7">
        <w:rPr>
          <w:rFonts w:asciiTheme="minorHAnsi" w:eastAsiaTheme="minorHAnsi" w:hAnsiTheme="minorHAnsi" w:cstheme="minorBidi"/>
          <w:szCs w:val="22"/>
          <w:u w:val="single"/>
          <w:lang w:eastAsia="en-US"/>
        </w:rPr>
        <w:t xml:space="preserve"> November </w:t>
      </w:r>
      <w:r w:rsidRPr="002D58B7">
        <w:rPr>
          <w:rFonts w:asciiTheme="minorHAnsi" w:eastAsiaTheme="minorHAnsi" w:hAnsiTheme="minorHAnsi" w:cstheme="minorBidi"/>
          <w:szCs w:val="22"/>
          <w:u w:val="single"/>
          <w:lang w:eastAsia="en-US"/>
        </w:rPr>
        <w:t>2025</w:t>
      </w:r>
    </w:p>
    <w:p w14:paraId="1EB1FA4C" w14:textId="285C36CB" w:rsidR="00137E86" w:rsidRPr="002D58B7" w:rsidRDefault="00CC3525" w:rsidP="00B16915">
      <w:pPr>
        <w:pStyle w:val="3-BodyText"/>
      </w:pPr>
      <w:r>
        <w:t>At its November 2025 meeting, t</w:t>
      </w:r>
      <w:r w:rsidR="002D58B7" w:rsidRPr="002D58B7">
        <w:t xml:space="preserve">he </w:t>
      </w:r>
      <w:r w:rsidR="00137E86" w:rsidRPr="002D58B7">
        <w:t xml:space="preserve">MSAC </w:t>
      </w:r>
      <w:r w:rsidR="002D58B7">
        <w:t xml:space="preserve">supported the </w:t>
      </w:r>
      <w:r w:rsidR="007116BD" w:rsidRPr="002D58B7">
        <w:t xml:space="preserve">creation of a new </w:t>
      </w:r>
      <w:r w:rsidR="002079F9">
        <w:t>MBS</w:t>
      </w:r>
      <w:r w:rsidR="007116BD" w:rsidRPr="002D58B7">
        <w:t xml:space="preserve"> item for </w:t>
      </w:r>
      <w:r w:rsidR="00EF0196">
        <w:t>testing</w:t>
      </w:r>
      <w:r w:rsidR="007116BD" w:rsidRPr="002D58B7">
        <w:t xml:space="preserve"> of tumour tissue to detect </w:t>
      </w:r>
      <w:r w:rsidR="007116BD" w:rsidRPr="002D58B7">
        <w:rPr>
          <w:i/>
          <w:iCs/>
        </w:rPr>
        <w:t>FGFR2</w:t>
      </w:r>
      <w:r w:rsidR="007116BD" w:rsidRPr="002D58B7">
        <w:t xml:space="preserve"> fusions or rearrangements in people with CCA</w:t>
      </w:r>
      <w:r w:rsidR="00856C70" w:rsidRPr="002D58B7">
        <w:t xml:space="preserve"> to determine eligibility for treatment with PBS subsidised futibatinib. </w:t>
      </w:r>
    </w:p>
    <w:p w14:paraId="7FAABDE2" w14:textId="77777777" w:rsidR="008E0D3D" w:rsidRDefault="008E0D3D" w:rsidP="00B16915">
      <w:pPr>
        <w:pStyle w:val="2-SectionHeading"/>
      </w:pPr>
      <w:r>
        <w:t>PBAC Outcome</w:t>
      </w:r>
    </w:p>
    <w:p w14:paraId="6CF33839" w14:textId="77777777" w:rsidR="0072542F" w:rsidRDefault="00C14215" w:rsidP="00B16915">
      <w:pPr>
        <w:pStyle w:val="3-BodyText"/>
      </w:pPr>
      <w:r w:rsidRPr="00192BFF">
        <w:t xml:space="preserve">The PBAC </w:t>
      </w:r>
      <w:r w:rsidRPr="00860580">
        <w:t xml:space="preserve">recommended </w:t>
      </w:r>
      <w:r w:rsidR="00860580" w:rsidRPr="00860580">
        <w:t xml:space="preserve">the </w:t>
      </w:r>
      <w:r w:rsidRPr="00860580">
        <w:t>listing</w:t>
      </w:r>
      <w:r w:rsidRPr="00192BFF">
        <w:t xml:space="preserve"> of </w:t>
      </w:r>
      <w:r w:rsidR="00860580" w:rsidRPr="00860580">
        <w:t xml:space="preserve">futibatinib for the treatment of patients with locally advanced or metastatic CCA who have previously progressed on systemic therapy and have a </w:t>
      </w:r>
      <w:r w:rsidR="00860580" w:rsidRPr="00860580">
        <w:rPr>
          <w:i/>
          <w:iCs/>
        </w:rPr>
        <w:t>FGFR2</w:t>
      </w:r>
      <w:r w:rsidR="00860580" w:rsidRPr="00860580">
        <w:t xml:space="preserve"> fusion or rearrangement.</w:t>
      </w:r>
      <w:r w:rsidR="00DC24FA">
        <w:t xml:space="preserve"> </w:t>
      </w:r>
      <w:r w:rsidR="00860580">
        <w:t xml:space="preserve">The PBAC noted MSAC had supported </w:t>
      </w:r>
      <w:r w:rsidR="00860580" w:rsidRPr="00860580">
        <w:t>creation of a new</w:t>
      </w:r>
      <w:r w:rsidR="002079F9">
        <w:t xml:space="preserve"> MBS</w:t>
      </w:r>
      <w:r w:rsidR="00CF0553">
        <w:t xml:space="preserve"> </w:t>
      </w:r>
      <w:r w:rsidR="00860580" w:rsidRPr="00860580">
        <w:t xml:space="preserve">item for testing of tumour tissue to detect </w:t>
      </w:r>
      <w:r w:rsidR="00860580" w:rsidRPr="00DC24FA">
        <w:rPr>
          <w:i/>
          <w:iCs/>
        </w:rPr>
        <w:t>FGFR2</w:t>
      </w:r>
      <w:r w:rsidR="00860580" w:rsidRPr="00860580">
        <w:t xml:space="preserve"> fusions or rearrangements in people with CCA to determine eligibility for treatment with PBS subsidised futibatinib. </w:t>
      </w:r>
    </w:p>
    <w:p w14:paraId="4E3E7B77" w14:textId="7A687029" w:rsidR="002B678F" w:rsidRDefault="002B678F" w:rsidP="00B16915">
      <w:pPr>
        <w:pStyle w:val="3-BodyText"/>
      </w:pPr>
      <w:r>
        <w:t>The PBAC noted the restriction criteria recommended in March 2025 remained appropriate</w:t>
      </w:r>
      <w:r w:rsidR="00AF203A">
        <w:t xml:space="preserve">; however, </w:t>
      </w:r>
      <w:r w:rsidR="00DA694D">
        <w:t xml:space="preserve">there may be some patients </w:t>
      </w:r>
      <w:r w:rsidR="00022BEB">
        <w:t xml:space="preserve">who </w:t>
      </w:r>
      <w:r w:rsidR="00DA694D">
        <w:t xml:space="preserve">are currently </w:t>
      </w:r>
      <w:r w:rsidR="00022BEB">
        <w:t xml:space="preserve">receiving futibatinib </w:t>
      </w:r>
      <w:r w:rsidR="004F1CD1">
        <w:t xml:space="preserve">via </w:t>
      </w:r>
      <w:r w:rsidR="24FBD839">
        <w:t xml:space="preserve">non-PBS subsidised </w:t>
      </w:r>
      <w:r w:rsidR="004F1CD1">
        <w:t xml:space="preserve">pathways, </w:t>
      </w:r>
      <w:r w:rsidR="00DA694D">
        <w:t xml:space="preserve">who wish </w:t>
      </w:r>
      <w:r w:rsidR="00022BEB">
        <w:t xml:space="preserve">to transition to PBS-subsidised treatment and </w:t>
      </w:r>
      <w:r w:rsidR="00DA694D">
        <w:t>amendments to the criteria to allow this would be</w:t>
      </w:r>
      <w:r w:rsidR="00EA6C20">
        <w:t xml:space="preserve"> reasonable</w:t>
      </w:r>
      <w:r w:rsidR="00DA694D">
        <w:t xml:space="preserve">. </w:t>
      </w:r>
    </w:p>
    <w:p w14:paraId="021EE197" w14:textId="54A3EB65" w:rsidR="007D1D8A" w:rsidRDefault="007D1D8A" w:rsidP="00B16915">
      <w:pPr>
        <w:pStyle w:val="3-BodyText"/>
      </w:pPr>
      <w:r>
        <w:t xml:space="preserve">The PBAC noted it had previously </w:t>
      </w:r>
      <w:r w:rsidR="007700BE">
        <w:t xml:space="preserve">considered </w:t>
      </w:r>
      <w:r w:rsidR="005D7AD2">
        <w:t>the</w:t>
      </w:r>
      <w:r w:rsidR="001D1937">
        <w:t xml:space="preserve"> </w:t>
      </w:r>
      <w:r w:rsidR="00F526DB">
        <w:t xml:space="preserve">proposed price was </w:t>
      </w:r>
      <w:r w:rsidR="00D6369A">
        <w:t>acceptable</w:t>
      </w:r>
      <w:r w:rsidR="00F526DB">
        <w:t xml:space="preserve"> (see paragraphs </w:t>
      </w:r>
      <w:r w:rsidR="00F526DB">
        <w:fldChar w:fldCharType="begin"/>
      </w:r>
      <w:r w:rsidR="00F526DB">
        <w:instrText xml:space="preserve"> REF _Ref219112785 \r \h </w:instrText>
      </w:r>
      <w:r w:rsidR="00F526DB">
        <w:fldChar w:fldCharType="separate"/>
      </w:r>
      <w:r w:rsidR="00971CD5">
        <w:t>13.1</w:t>
      </w:r>
      <w:r w:rsidR="00F526DB">
        <w:fldChar w:fldCharType="end"/>
      </w:r>
      <w:r w:rsidR="00D6369A">
        <w:t xml:space="preserve">, </w:t>
      </w:r>
      <w:r w:rsidR="00F526DB">
        <w:fldChar w:fldCharType="begin"/>
      </w:r>
      <w:r w:rsidR="00F526DB">
        <w:instrText xml:space="preserve"> REF _Ref219112807 \r \h </w:instrText>
      </w:r>
      <w:r w:rsidR="00F526DB">
        <w:fldChar w:fldCharType="separate"/>
      </w:r>
      <w:r w:rsidR="00971CD5">
        <w:t>13.4</w:t>
      </w:r>
      <w:r w:rsidR="00F526DB">
        <w:fldChar w:fldCharType="end"/>
      </w:r>
      <w:r w:rsidR="00F526DB">
        <w:t xml:space="preserve"> and </w:t>
      </w:r>
      <w:r w:rsidR="00F526DB">
        <w:fldChar w:fldCharType="begin"/>
      </w:r>
      <w:r w:rsidR="00F526DB">
        <w:instrText xml:space="preserve"> REF _Ref219112809 \r \h </w:instrText>
      </w:r>
      <w:r w:rsidR="00F526DB">
        <w:fldChar w:fldCharType="separate"/>
      </w:r>
      <w:r w:rsidR="00971CD5">
        <w:t>13.5</w:t>
      </w:r>
      <w:r w:rsidR="00F526DB">
        <w:fldChar w:fldCharType="end"/>
      </w:r>
      <w:r w:rsidR="00F526DB">
        <w:t xml:space="preserve">), </w:t>
      </w:r>
      <w:r w:rsidR="005D7AD2">
        <w:t xml:space="preserve">and </w:t>
      </w:r>
      <w:r w:rsidR="00C6679A">
        <w:t xml:space="preserve">the </w:t>
      </w:r>
      <w:r w:rsidR="005D7AD2">
        <w:t>utilisation estimates were reasonable (see paragraph</w:t>
      </w:r>
      <w:r w:rsidR="00F526DB">
        <w:t xml:space="preserve"> </w:t>
      </w:r>
      <w:r w:rsidR="00F526DB">
        <w:fldChar w:fldCharType="begin"/>
      </w:r>
      <w:r w:rsidR="00F526DB">
        <w:instrText xml:space="preserve"> REF _Ref219112831 \r \h </w:instrText>
      </w:r>
      <w:r w:rsidR="00F526DB">
        <w:fldChar w:fldCharType="separate"/>
      </w:r>
      <w:r w:rsidR="00971CD5">
        <w:t>13.6</w:t>
      </w:r>
      <w:r w:rsidR="00F526DB">
        <w:fldChar w:fldCharType="end"/>
      </w:r>
      <w:r w:rsidR="00F526DB">
        <w:t>).</w:t>
      </w:r>
    </w:p>
    <w:p w14:paraId="1400927A" w14:textId="3FE8FC39" w:rsidR="009E00AD" w:rsidRPr="00525B39" w:rsidRDefault="009E00AD" w:rsidP="00B16915">
      <w:pPr>
        <w:pStyle w:val="3-BodyText"/>
        <w:rPr>
          <w:snapToGrid w:val="0"/>
          <w:lang w:val="en-GB"/>
        </w:rPr>
      </w:pPr>
      <w:r w:rsidRPr="00525B39">
        <w:rPr>
          <w:snapToGrid w:val="0"/>
          <w:lang w:val="en-GB"/>
        </w:rPr>
        <w:t xml:space="preserve">The PBAC recommended that </w:t>
      </w:r>
      <w:r>
        <w:rPr>
          <w:lang w:val="en-GB"/>
        </w:rPr>
        <w:t xml:space="preserve">futibatinib </w:t>
      </w:r>
      <w:r w:rsidRPr="00525B39">
        <w:rPr>
          <w:snapToGrid w:val="0"/>
          <w:lang w:val="en-GB"/>
        </w:rPr>
        <w:t xml:space="preserve">should </w:t>
      </w:r>
      <w:r>
        <w:rPr>
          <w:snapToGrid w:val="0"/>
          <w:lang w:val="en-GB"/>
        </w:rPr>
        <w:t xml:space="preserve">not </w:t>
      </w:r>
      <w:r w:rsidRPr="00525B39">
        <w:rPr>
          <w:snapToGrid w:val="0"/>
          <w:lang w:val="en-GB"/>
        </w:rPr>
        <w:t>be treated as interchangeable on an individual patient basis with any other drugs</w:t>
      </w:r>
      <w:r>
        <w:rPr>
          <w:snapToGrid w:val="0"/>
          <w:lang w:val="en-GB"/>
        </w:rPr>
        <w:t>.</w:t>
      </w:r>
    </w:p>
    <w:p w14:paraId="1BBD6DDD" w14:textId="1E43D14E" w:rsidR="009E00AD" w:rsidRPr="0028757A" w:rsidRDefault="009E00AD" w:rsidP="00B16915">
      <w:pPr>
        <w:pStyle w:val="3-BodyText"/>
        <w:rPr>
          <w:rFonts w:cs="Arial"/>
          <w:snapToGrid w:val="0"/>
          <w:lang w:val="en-GB"/>
        </w:rPr>
      </w:pPr>
      <w:r w:rsidRPr="0028757A">
        <w:rPr>
          <w:snapToGrid w:val="0"/>
          <w:lang w:val="en-GB"/>
        </w:rPr>
        <w:t xml:space="preserve">The PBAC advised that </w:t>
      </w:r>
      <w:r w:rsidRPr="0028757A">
        <w:rPr>
          <w:lang w:val="en-GB"/>
        </w:rPr>
        <w:t xml:space="preserve">futibatinib </w:t>
      </w:r>
      <w:r w:rsidRPr="0028757A">
        <w:rPr>
          <w:snapToGrid w:val="0"/>
          <w:lang w:val="en-GB"/>
        </w:rPr>
        <w:t xml:space="preserve">is suitable for prescribing by medical practitioners only. </w:t>
      </w:r>
    </w:p>
    <w:p w14:paraId="4D2C83C9" w14:textId="3D13D2C0" w:rsidR="009E00AD" w:rsidRPr="00711236" w:rsidRDefault="009E00AD" w:rsidP="00B16915">
      <w:pPr>
        <w:pStyle w:val="3-BodyText"/>
        <w:rPr>
          <w:lang w:val="en-GB"/>
        </w:rPr>
      </w:pPr>
      <w:r w:rsidRPr="0028757A">
        <w:rPr>
          <w:lang w:val="en-GB"/>
        </w:rPr>
        <w:t xml:space="preserve">The PBAC found that the criteria prescribed by the </w:t>
      </w:r>
      <w:r w:rsidRPr="0028757A">
        <w:rPr>
          <w:i/>
          <w:lang w:val="en-GB"/>
        </w:rPr>
        <w:t>National Health (Pharmaceuticals and Vaccines – Cost Recovery) Regulations 2022</w:t>
      </w:r>
      <w:r w:rsidRPr="0028757A">
        <w:rPr>
          <w:lang w:val="en-GB"/>
        </w:rPr>
        <w:t xml:space="preserve"> for Pricing Pathway A were not met. Specifically the PBAC found that in the circumstances of its </w:t>
      </w:r>
      <w:r w:rsidRPr="00711236">
        <w:rPr>
          <w:lang w:val="en-GB"/>
        </w:rPr>
        <w:t>recommendation for futibatinib:</w:t>
      </w:r>
    </w:p>
    <w:p w14:paraId="3FC8A151" w14:textId="10BFE9FB" w:rsidR="009E00AD" w:rsidRPr="00711236" w:rsidRDefault="009E00AD" w:rsidP="00EA6C20">
      <w:pPr>
        <w:widowControl w:val="0"/>
        <w:numPr>
          <w:ilvl w:val="1"/>
          <w:numId w:val="5"/>
        </w:numPr>
        <w:spacing w:after="120"/>
        <w:rPr>
          <w:rFonts w:cstheme="minorHAnsi"/>
          <w:lang w:val="en-GB"/>
        </w:rPr>
      </w:pPr>
      <w:r w:rsidRPr="00711236">
        <w:rPr>
          <w:rFonts w:cstheme="minorHAnsi"/>
          <w:lang w:val="en-GB"/>
        </w:rPr>
        <w:lastRenderedPageBreak/>
        <w:t xml:space="preserve">The treatment is not expected to provide a substantial and clinically relevant improvement in efficacy, or reduction of toxicity over alternative therapies, </w:t>
      </w:r>
      <w:r w:rsidRPr="00711236">
        <w:t xml:space="preserve">as </w:t>
      </w:r>
      <w:r w:rsidR="00BF2F82" w:rsidRPr="00711236">
        <w:t xml:space="preserve">the magnitude of benefit </w:t>
      </w:r>
      <w:r w:rsidR="00711236" w:rsidRPr="00711236">
        <w:t xml:space="preserve">was highly </w:t>
      </w:r>
      <w:proofErr w:type="gramStart"/>
      <w:r w:rsidR="00711236" w:rsidRPr="00711236">
        <w:t>uncertain</w:t>
      </w:r>
      <w:r w:rsidRPr="00711236">
        <w:rPr>
          <w:rFonts w:cstheme="minorHAnsi"/>
          <w:lang w:val="en-GB"/>
        </w:rPr>
        <w:t>;</w:t>
      </w:r>
      <w:proofErr w:type="gramEnd"/>
      <w:r w:rsidRPr="00711236">
        <w:rPr>
          <w:rFonts w:cstheme="minorHAnsi"/>
          <w:lang w:val="en-GB"/>
        </w:rPr>
        <w:t xml:space="preserve"> </w:t>
      </w:r>
    </w:p>
    <w:p w14:paraId="0EE17E77" w14:textId="27995B24" w:rsidR="009E00AD" w:rsidRPr="00711236" w:rsidRDefault="009E00AD" w:rsidP="00EA6C20">
      <w:pPr>
        <w:widowControl w:val="0"/>
        <w:numPr>
          <w:ilvl w:val="1"/>
          <w:numId w:val="5"/>
        </w:numPr>
        <w:spacing w:after="120"/>
        <w:rPr>
          <w:rFonts w:cstheme="minorHAnsi"/>
          <w:lang w:val="en-GB"/>
        </w:rPr>
      </w:pPr>
      <w:r w:rsidRPr="00711236">
        <w:rPr>
          <w:rFonts w:cstheme="minorHAnsi"/>
          <w:lang w:val="en-GB"/>
        </w:rPr>
        <w:t xml:space="preserve">The treatment is not expected to address a high and urgent unmet clinical need as other treatments for </w:t>
      </w:r>
      <w:r w:rsidR="00BF2F82" w:rsidRPr="00711236">
        <w:rPr>
          <w:rFonts w:cstheme="minorHAnsi"/>
          <w:lang w:val="en-GB"/>
        </w:rPr>
        <w:t xml:space="preserve">CCA </w:t>
      </w:r>
      <w:r w:rsidRPr="00711236">
        <w:rPr>
          <w:rFonts w:cstheme="minorHAnsi"/>
          <w:lang w:val="en-GB"/>
        </w:rPr>
        <w:t xml:space="preserve">are </w:t>
      </w:r>
      <w:proofErr w:type="gramStart"/>
      <w:r w:rsidRPr="00711236">
        <w:rPr>
          <w:rFonts w:cstheme="minorHAnsi"/>
          <w:lang w:val="en-GB"/>
        </w:rPr>
        <w:t>available;</w:t>
      </w:r>
      <w:proofErr w:type="gramEnd"/>
    </w:p>
    <w:p w14:paraId="7BBD4D21" w14:textId="77777777" w:rsidR="009E00AD" w:rsidRPr="00711236" w:rsidRDefault="009E00AD" w:rsidP="00EA6C20">
      <w:pPr>
        <w:widowControl w:val="0"/>
        <w:numPr>
          <w:ilvl w:val="1"/>
          <w:numId w:val="5"/>
        </w:numPr>
        <w:spacing w:after="120"/>
        <w:rPr>
          <w:snapToGrid w:val="0"/>
          <w:lang w:val="en-GB"/>
        </w:rPr>
      </w:pPr>
      <w:r w:rsidRPr="00711236">
        <w:rPr>
          <w:rFonts w:cstheme="minorHAnsi"/>
          <w:lang w:val="en-GB"/>
        </w:rPr>
        <w:t>It was not necessary to make a finding in relation to whether it would be in the public interest for the subsequent pricing application to be progressed under Pricing Pathway A because one or more of the preceding tests had failed.</w:t>
      </w:r>
    </w:p>
    <w:p w14:paraId="2844EA25" w14:textId="77777777" w:rsidR="009E00AD" w:rsidRPr="00711236" w:rsidRDefault="009E00AD" w:rsidP="00B16915">
      <w:pPr>
        <w:pStyle w:val="3-BodyText"/>
        <w:rPr>
          <w:lang w:val="en-GB"/>
        </w:rPr>
      </w:pPr>
      <w:r w:rsidRPr="00897E8E">
        <w:t>The PBAC noted that this submission is not eligible for an Independent Review as it is</w:t>
      </w:r>
      <w:r w:rsidRPr="00711236">
        <w:rPr>
          <w:lang w:val="en-GB"/>
        </w:rPr>
        <w:t xml:space="preserve"> a positive recommendation. </w:t>
      </w:r>
    </w:p>
    <w:p w14:paraId="50FDA83A" w14:textId="12104B77" w:rsidR="008D4427" w:rsidRPr="008D4427" w:rsidRDefault="008D4427" w:rsidP="008D4427">
      <w:pPr>
        <w:spacing w:before="240"/>
        <w:rPr>
          <w:b/>
          <w:bCs/>
          <w:snapToGrid w:val="0"/>
          <w:lang w:val="en-GB"/>
        </w:rPr>
      </w:pPr>
      <w:r w:rsidRPr="008D4427">
        <w:rPr>
          <w:b/>
          <w:bCs/>
          <w:snapToGrid w:val="0"/>
          <w:lang w:val="en-GB"/>
        </w:rPr>
        <w:t>Outcome</w:t>
      </w:r>
      <w:r w:rsidR="003C59BF">
        <w:rPr>
          <w:b/>
          <w:bCs/>
          <w:snapToGrid w:val="0"/>
          <w:lang w:val="en-GB"/>
        </w:rPr>
        <w:t>:</w:t>
      </w:r>
    </w:p>
    <w:p w14:paraId="2E2BA92A" w14:textId="77777777" w:rsidR="008D4427" w:rsidRPr="008D4427" w:rsidRDefault="008D4427" w:rsidP="008D4427">
      <w:pPr>
        <w:rPr>
          <w:bCs/>
          <w:snapToGrid w:val="0"/>
          <w:lang w:val="en-GB"/>
        </w:rPr>
      </w:pPr>
      <w:r w:rsidRPr="008D4427">
        <w:rPr>
          <w:bCs/>
          <w:snapToGrid w:val="0"/>
          <w:lang w:val="en-GB"/>
        </w:rPr>
        <w:t>Recommended</w:t>
      </w:r>
    </w:p>
    <w:p w14:paraId="195E3BDA" w14:textId="68EED066" w:rsidR="00DF0DDC" w:rsidRDefault="00DF0DDC">
      <w:pPr>
        <w:jc w:val="left"/>
        <w:rPr>
          <w:rFonts w:asciiTheme="minorHAnsi" w:eastAsiaTheme="minorHAnsi" w:hAnsiTheme="minorHAnsi" w:cstheme="minorBidi"/>
          <w:szCs w:val="22"/>
        </w:rPr>
      </w:pPr>
      <w:r>
        <w:br w:type="page"/>
      </w:r>
    </w:p>
    <w:p w14:paraId="2CBDC793" w14:textId="77777777" w:rsidR="00C14215" w:rsidRDefault="00C14215" w:rsidP="009E00AD">
      <w:pPr>
        <w:pStyle w:val="3-BodyText"/>
        <w:numPr>
          <w:ilvl w:val="0"/>
          <w:numId w:val="0"/>
        </w:numPr>
      </w:pPr>
    </w:p>
    <w:p w14:paraId="65FB37FC" w14:textId="77777777" w:rsidR="00E92422" w:rsidRPr="00F07DF2" w:rsidRDefault="00E92422" w:rsidP="000205F2">
      <w:pPr>
        <w:pStyle w:val="2-SectionHeading"/>
      </w:pPr>
      <w:r w:rsidRPr="00F07DF2">
        <w:t>Recommended listing</w:t>
      </w:r>
    </w:p>
    <w:p w14:paraId="6FA0E11F" w14:textId="49F45C45" w:rsidR="00F20114" w:rsidRDefault="00E92422" w:rsidP="000205F2">
      <w:pPr>
        <w:pStyle w:val="3-BodyText"/>
      </w:pPr>
      <w:r>
        <w:t>Add new item:</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commended listing "/>
      </w:tblPr>
      <w:tblGrid>
        <w:gridCol w:w="3937"/>
        <w:gridCol w:w="811"/>
        <w:gridCol w:w="812"/>
        <w:gridCol w:w="811"/>
        <w:gridCol w:w="812"/>
        <w:gridCol w:w="1883"/>
      </w:tblGrid>
      <w:tr w:rsidR="00BA2486" w:rsidRPr="00EF4097" w14:paraId="13CC101C" w14:textId="77777777" w:rsidTr="00D01E4D">
        <w:trPr>
          <w:cantSplit/>
          <w:trHeight w:val="20"/>
        </w:trPr>
        <w:tc>
          <w:tcPr>
            <w:tcW w:w="3938" w:type="dxa"/>
            <w:tcBorders>
              <w:top w:val="single" w:sz="4" w:space="0" w:color="auto"/>
              <w:left w:val="single" w:sz="4" w:space="0" w:color="auto"/>
              <w:bottom w:val="single" w:sz="4" w:space="0" w:color="auto"/>
              <w:right w:val="single" w:sz="4" w:space="0" w:color="auto"/>
            </w:tcBorders>
            <w:vAlign w:val="center"/>
            <w:hideMark/>
          </w:tcPr>
          <w:p w14:paraId="5B93479D" w14:textId="77777777" w:rsidR="00BA2486" w:rsidRPr="00EF4097" w:rsidRDefault="00BA2486">
            <w:pPr>
              <w:keepLines/>
              <w:spacing w:before="120"/>
              <w:rPr>
                <w:rFonts w:ascii="Arial Narrow" w:eastAsia="Calibri" w:hAnsi="Arial Narrow" w:cs="Arial"/>
                <w:b/>
                <w:bCs/>
                <w:sz w:val="20"/>
                <w:szCs w:val="20"/>
              </w:rPr>
            </w:pPr>
            <w:r w:rsidRPr="00EF4097">
              <w:rPr>
                <w:rFonts w:ascii="Arial Narrow" w:eastAsia="Calibri" w:hAnsi="Arial Narrow" w:cs="Arial"/>
                <w:b/>
                <w:bCs/>
                <w:sz w:val="20"/>
                <w:szCs w:val="20"/>
              </w:rPr>
              <w:t>MEDICINAL PRODUCT</w:t>
            </w:r>
          </w:p>
          <w:p w14:paraId="3C2F3CE2" w14:textId="77777777" w:rsidR="00BA2486" w:rsidRPr="00EF4097" w:rsidRDefault="00BA2486">
            <w:pPr>
              <w:keepLines/>
              <w:spacing w:before="120"/>
              <w:rPr>
                <w:rFonts w:ascii="Arial Narrow" w:eastAsia="Calibri" w:hAnsi="Arial Narrow" w:cs="Arial"/>
                <w:b/>
                <w:sz w:val="20"/>
                <w:szCs w:val="20"/>
              </w:rPr>
            </w:pPr>
            <w:r w:rsidRPr="00EF4097">
              <w:rPr>
                <w:rFonts w:ascii="Arial Narrow" w:eastAsia="Calibri" w:hAnsi="Arial Narrow" w:cs="Arial"/>
                <w:b/>
                <w:bCs/>
                <w:sz w:val="20"/>
                <w:szCs w:val="20"/>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7B3F84B0" w14:textId="77777777" w:rsidR="00BA2486" w:rsidRPr="00EF4097" w:rsidRDefault="00BA2486">
            <w:pPr>
              <w:keepLines/>
              <w:spacing w:before="120"/>
              <w:jc w:val="center"/>
              <w:rPr>
                <w:rFonts w:ascii="Arial Narrow" w:eastAsia="Calibri" w:hAnsi="Arial Narrow" w:cs="Arial"/>
                <w:b/>
                <w:sz w:val="20"/>
                <w:szCs w:val="20"/>
              </w:rPr>
            </w:pPr>
            <w:r w:rsidRPr="00EF4097">
              <w:rPr>
                <w:rFonts w:ascii="Arial Narrow" w:eastAsia="Calibri" w:hAnsi="Arial Narrow" w:cs="Arial"/>
                <w:b/>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4ED244EE" w14:textId="77777777" w:rsidR="00BA2486" w:rsidRPr="00EF4097" w:rsidRDefault="00BA2486">
            <w:pPr>
              <w:keepLines/>
              <w:spacing w:before="120"/>
              <w:jc w:val="center"/>
              <w:rPr>
                <w:rFonts w:ascii="Arial Narrow" w:eastAsia="Calibri" w:hAnsi="Arial Narrow" w:cs="Arial"/>
                <w:b/>
                <w:sz w:val="20"/>
                <w:szCs w:val="20"/>
              </w:rPr>
            </w:pPr>
            <w:r w:rsidRPr="00EF4097">
              <w:rPr>
                <w:rFonts w:ascii="Arial Narrow" w:eastAsia="Calibri" w:hAnsi="Arial Narrow" w:cs="Arial"/>
                <w:b/>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73AB3500" w14:textId="77777777" w:rsidR="00BA2486" w:rsidRPr="00EF4097" w:rsidRDefault="00BA2486">
            <w:pPr>
              <w:keepLines/>
              <w:spacing w:before="120"/>
              <w:jc w:val="center"/>
              <w:rPr>
                <w:rFonts w:ascii="Arial Narrow" w:eastAsia="Calibri" w:hAnsi="Arial Narrow" w:cs="Arial"/>
                <w:b/>
                <w:sz w:val="20"/>
                <w:szCs w:val="20"/>
              </w:rPr>
            </w:pPr>
            <w:r w:rsidRPr="00EF4097">
              <w:rPr>
                <w:rFonts w:ascii="Arial Narrow" w:eastAsia="Calibri" w:hAnsi="Arial Narrow" w:cs="Arial"/>
                <w:b/>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0A1D3957" w14:textId="77777777" w:rsidR="00BA2486" w:rsidRPr="00EF4097" w:rsidRDefault="00BA2486">
            <w:pPr>
              <w:keepLines/>
              <w:spacing w:before="120"/>
              <w:jc w:val="center"/>
              <w:rPr>
                <w:rFonts w:ascii="Arial Narrow" w:eastAsia="Calibri" w:hAnsi="Arial Narrow" w:cs="Arial"/>
                <w:b/>
                <w:bCs/>
                <w:sz w:val="20"/>
                <w:szCs w:val="20"/>
              </w:rPr>
            </w:pPr>
            <w:r w:rsidRPr="00EF4097">
              <w:rPr>
                <w:rFonts w:ascii="Arial Narrow" w:eastAsia="Calibri" w:hAnsi="Arial Narrow" w:cs="Arial"/>
                <w:b/>
                <w:bCs/>
                <w:sz w:val="20"/>
                <w:szCs w:val="20"/>
              </w:rPr>
              <w:t>№.of</w:t>
            </w:r>
          </w:p>
          <w:p w14:paraId="1E2D674B" w14:textId="77777777" w:rsidR="00BA2486" w:rsidRPr="00EF4097" w:rsidRDefault="00BA2486">
            <w:pPr>
              <w:keepLines/>
              <w:spacing w:before="120"/>
              <w:jc w:val="center"/>
              <w:rPr>
                <w:rFonts w:ascii="Arial Narrow" w:eastAsia="Calibri" w:hAnsi="Arial Narrow" w:cs="Arial"/>
                <w:b/>
                <w:bCs/>
                <w:sz w:val="20"/>
                <w:szCs w:val="20"/>
              </w:rPr>
            </w:pPr>
            <w:r w:rsidRPr="00EF4097">
              <w:rPr>
                <w:rFonts w:ascii="Arial Narrow" w:eastAsia="Calibri" w:hAnsi="Arial Narrow" w:cs="Arial"/>
                <w:b/>
                <w:bCs/>
                <w:sz w:val="20"/>
                <w:szCs w:val="20"/>
              </w:rPr>
              <w:t>Rpts</w:t>
            </w:r>
          </w:p>
        </w:tc>
        <w:tc>
          <w:tcPr>
            <w:tcW w:w="1883" w:type="dxa"/>
            <w:tcBorders>
              <w:top w:val="single" w:sz="4" w:space="0" w:color="auto"/>
              <w:left w:val="single" w:sz="4" w:space="0" w:color="auto"/>
              <w:bottom w:val="single" w:sz="4" w:space="0" w:color="auto"/>
              <w:right w:val="single" w:sz="4" w:space="0" w:color="auto"/>
            </w:tcBorders>
            <w:vAlign w:val="center"/>
            <w:hideMark/>
          </w:tcPr>
          <w:p w14:paraId="4EE073EC" w14:textId="77777777" w:rsidR="00BA2486" w:rsidRPr="00EF4097" w:rsidRDefault="00BA2486">
            <w:pPr>
              <w:keepLines/>
              <w:spacing w:before="120"/>
              <w:rPr>
                <w:rFonts w:ascii="Arial Narrow" w:eastAsia="Calibri" w:hAnsi="Arial Narrow" w:cs="Arial"/>
                <w:b/>
                <w:sz w:val="20"/>
                <w:szCs w:val="20"/>
                <w:lang w:val="fr-FR"/>
              </w:rPr>
            </w:pPr>
            <w:r w:rsidRPr="00EF4097">
              <w:rPr>
                <w:rFonts w:ascii="Arial Narrow" w:eastAsia="Calibri" w:hAnsi="Arial Narrow" w:cs="Arial"/>
                <w:b/>
                <w:sz w:val="20"/>
                <w:szCs w:val="20"/>
              </w:rPr>
              <w:t>Available brands</w:t>
            </w:r>
          </w:p>
        </w:tc>
      </w:tr>
      <w:tr w:rsidR="00BA2486" w:rsidRPr="00EF4097" w14:paraId="16FBBFB6" w14:textId="77777777" w:rsidTr="00D01E4D">
        <w:trPr>
          <w:cantSplit/>
          <w:trHeight w:val="20"/>
        </w:trPr>
        <w:tc>
          <w:tcPr>
            <w:tcW w:w="9067" w:type="dxa"/>
            <w:gridSpan w:val="6"/>
            <w:tcBorders>
              <w:top w:val="single" w:sz="4" w:space="0" w:color="auto"/>
              <w:left w:val="single" w:sz="4" w:space="0" w:color="auto"/>
              <w:bottom w:val="single" w:sz="4" w:space="0" w:color="auto"/>
              <w:right w:val="single" w:sz="4" w:space="0" w:color="auto"/>
            </w:tcBorders>
            <w:vAlign w:val="center"/>
            <w:hideMark/>
          </w:tcPr>
          <w:p w14:paraId="1692C0D1" w14:textId="77777777" w:rsidR="00BA2486" w:rsidRPr="00EF4097" w:rsidRDefault="00BA2486">
            <w:pPr>
              <w:keepLines/>
              <w:spacing w:before="120"/>
              <w:rPr>
                <w:rFonts w:ascii="Arial Narrow" w:eastAsia="Calibri" w:hAnsi="Arial Narrow" w:cs="Arial"/>
                <w:sz w:val="20"/>
                <w:szCs w:val="20"/>
              </w:rPr>
            </w:pPr>
            <w:r w:rsidRPr="00EF4097">
              <w:rPr>
                <w:rFonts w:ascii="Arial Narrow" w:eastAsia="Calibri" w:hAnsi="Arial Narrow" w:cs="Arial"/>
                <w:sz w:val="20"/>
                <w:szCs w:val="20"/>
              </w:rPr>
              <w:t>FUTIBATINIB</w:t>
            </w:r>
          </w:p>
        </w:tc>
      </w:tr>
      <w:tr w:rsidR="00BA2486" w:rsidRPr="00EF4097" w14:paraId="2F2B9991" w14:textId="77777777" w:rsidTr="00D01E4D">
        <w:trPr>
          <w:cantSplit/>
          <w:trHeight w:val="20"/>
        </w:trPr>
        <w:tc>
          <w:tcPr>
            <w:tcW w:w="3938" w:type="dxa"/>
            <w:tcBorders>
              <w:top w:val="single" w:sz="4" w:space="0" w:color="auto"/>
              <w:left w:val="single" w:sz="4" w:space="0" w:color="auto"/>
              <w:bottom w:val="single" w:sz="4" w:space="0" w:color="auto"/>
              <w:right w:val="single" w:sz="4" w:space="0" w:color="auto"/>
            </w:tcBorders>
            <w:vAlign w:val="center"/>
            <w:hideMark/>
          </w:tcPr>
          <w:p w14:paraId="52F65BEB" w14:textId="77777777" w:rsidR="00BA2486" w:rsidRPr="00EF4097" w:rsidRDefault="00BA2486">
            <w:pPr>
              <w:keepLines/>
              <w:rPr>
                <w:rFonts w:ascii="Arial Narrow" w:eastAsia="Calibri" w:hAnsi="Arial Narrow" w:cs="Arial"/>
                <w:sz w:val="20"/>
                <w:szCs w:val="20"/>
              </w:rPr>
            </w:pPr>
            <w:r w:rsidRPr="00EF4097">
              <w:rPr>
                <w:rFonts w:ascii="Arial Narrow" w:eastAsia="Calibri" w:hAnsi="Arial Narrow" w:cs="Arial"/>
                <w:sz w:val="20"/>
                <w:szCs w:val="20"/>
              </w:rPr>
              <w:t>futibatinib 4mg tablet, 35</w:t>
            </w:r>
          </w:p>
        </w:tc>
        <w:tc>
          <w:tcPr>
            <w:tcW w:w="811" w:type="dxa"/>
            <w:tcBorders>
              <w:top w:val="single" w:sz="4" w:space="0" w:color="auto"/>
              <w:left w:val="single" w:sz="4" w:space="0" w:color="auto"/>
              <w:bottom w:val="single" w:sz="4" w:space="0" w:color="auto"/>
              <w:right w:val="single" w:sz="4" w:space="0" w:color="auto"/>
            </w:tcBorders>
            <w:vAlign w:val="center"/>
            <w:hideMark/>
          </w:tcPr>
          <w:p w14:paraId="5031260E" w14:textId="77777777" w:rsidR="00BA2486" w:rsidRPr="00EF4097" w:rsidRDefault="00BA2486">
            <w:pPr>
              <w:keepLines/>
              <w:jc w:val="center"/>
              <w:rPr>
                <w:rFonts w:ascii="Arial Narrow" w:eastAsia="Calibri" w:hAnsi="Arial Narrow" w:cs="Arial"/>
                <w:sz w:val="20"/>
                <w:szCs w:val="20"/>
              </w:rPr>
            </w:pPr>
            <w:r w:rsidRPr="00EF4097">
              <w:rPr>
                <w:rFonts w:ascii="Arial Narrow" w:eastAsia="Calibri" w:hAnsi="Arial Narrow" w:cs="Arial"/>
                <w:sz w:val="20"/>
                <w:szCs w:val="20"/>
              </w:rPr>
              <w:t>NEW</w:t>
            </w:r>
          </w:p>
          <w:p w14:paraId="088DBF35" w14:textId="77777777" w:rsidR="00BA2486" w:rsidRPr="00EF4097" w:rsidRDefault="00BA2486">
            <w:pPr>
              <w:keepLines/>
              <w:jc w:val="center"/>
              <w:rPr>
                <w:rFonts w:ascii="Arial Narrow" w:eastAsia="Calibri" w:hAnsi="Arial Narrow" w:cs="Arial"/>
                <w:sz w:val="20"/>
                <w:szCs w:val="20"/>
              </w:rPr>
            </w:pPr>
            <w:r w:rsidRPr="00EF4097">
              <w:rPr>
                <w:rFonts w:ascii="Arial Narrow" w:eastAsia="Calibri" w:hAnsi="Arial Narrow" w:cs="Arial"/>
                <w:sz w:val="20"/>
                <w:szCs w:val="20"/>
                <w:vertAlign w:val="subscript"/>
              </w:rPr>
              <w:t>MP</w:t>
            </w:r>
          </w:p>
        </w:tc>
        <w:tc>
          <w:tcPr>
            <w:tcW w:w="812" w:type="dxa"/>
            <w:tcBorders>
              <w:top w:val="single" w:sz="4" w:space="0" w:color="auto"/>
              <w:left w:val="single" w:sz="4" w:space="0" w:color="auto"/>
              <w:bottom w:val="single" w:sz="4" w:space="0" w:color="auto"/>
              <w:right w:val="single" w:sz="4" w:space="0" w:color="auto"/>
            </w:tcBorders>
            <w:vAlign w:val="center"/>
            <w:hideMark/>
          </w:tcPr>
          <w:p w14:paraId="40ECF8BF" w14:textId="77777777" w:rsidR="00BA2486" w:rsidRPr="00EF4097" w:rsidRDefault="00BA2486">
            <w:pPr>
              <w:keepLines/>
              <w:jc w:val="center"/>
              <w:rPr>
                <w:rFonts w:ascii="Arial Narrow" w:eastAsia="Calibri" w:hAnsi="Arial Narrow" w:cs="Arial"/>
                <w:sz w:val="20"/>
                <w:szCs w:val="20"/>
              </w:rPr>
            </w:pPr>
            <w:r w:rsidRPr="00EF4097">
              <w:rPr>
                <w:rFonts w:ascii="Arial Narrow" w:eastAsia="Calibri" w:hAnsi="Arial Narrow" w:cs="Arial"/>
                <w:sz w:val="20"/>
                <w:szCs w:val="20"/>
              </w:rPr>
              <w:t>4</w:t>
            </w:r>
          </w:p>
        </w:tc>
        <w:tc>
          <w:tcPr>
            <w:tcW w:w="811" w:type="dxa"/>
            <w:tcBorders>
              <w:top w:val="single" w:sz="4" w:space="0" w:color="auto"/>
              <w:left w:val="single" w:sz="4" w:space="0" w:color="auto"/>
              <w:bottom w:val="single" w:sz="4" w:space="0" w:color="auto"/>
              <w:right w:val="single" w:sz="4" w:space="0" w:color="auto"/>
            </w:tcBorders>
            <w:vAlign w:val="center"/>
            <w:hideMark/>
          </w:tcPr>
          <w:p w14:paraId="5E0F7C78" w14:textId="77777777" w:rsidR="00BA2486" w:rsidRPr="00EF4097" w:rsidRDefault="00BA2486">
            <w:pPr>
              <w:keepLines/>
              <w:jc w:val="center"/>
              <w:rPr>
                <w:rFonts w:ascii="Arial Narrow" w:eastAsia="Calibri" w:hAnsi="Arial Narrow" w:cs="Arial"/>
                <w:sz w:val="20"/>
                <w:szCs w:val="20"/>
              </w:rPr>
            </w:pPr>
            <w:r w:rsidRPr="00EF4097">
              <w:rPr>
                <w:rFonts w:ascii="Arial Narrow" w:eastAsia="Calibri" w:hAnsi="Arial Narrow" w:cs="Arial"/>
                <w:sz w:val="20"/>
                <w:szCs w:val="20"/>
              </w:rPr>
              <w:t>140</w:t>
            </w:r>
          </w:p>
        </w:tc>
        <w:tc>
          <w:tcPr>
            <w:tcW w:w="812" w:type="dxa"/>
            <w:tcBorders>
              <w:top w:val="single" w:sz="4" w:space="0" w:color="auto"/>
              <w:left w:val="single" w:sz="4" w:space="0" w:color="auto"/>
              <w:bottom w:val="single" w:sz="4" w:space="0" w:color="auto"/>
              <w:right w:val="single" w:sz="4" w:space="0" w:color="auto"/>
            </w:tcBorders>
            <w:vAlign w:val="center"/>
            <w:hideMark/>
          </w:tcPr>
          <w:p w14:paraId="1326F392" w14:textId="77777777" w:rsidR="00BA2486" w:rsidRPr="00EF4097" w:rsidRDefault="00BA2486">
            <w:pPr>
              <w:keepLines/>
              <w:jc w:val="center"/>
              <w:rPr>
                <w:rFonts w:ascii="Arial Narrow" w:eastAsia="Calibri" w:hAnsi="Arial Narrow" w:cs="Arial"/>
                <w:sz w:val="20"/>
                <w:szCs w:val="20"/>
              </w:rPr>
            </w:pPr>
            <w:r w:rsidRPr="00EF4097">
              <w:rPr>
                <w:rFonts w:ascii="Arial Narrow" w:eastAsia="Calibri" w:hAnsi="Arial Narrow" w:cs="Arial"/>
                <w:sz w:val="20"/>
                <w:szCs w:val="20"/>
              </w:rPr>
              <w:t>5</w:t>
            </w:r>
          </w:p>
        </w:tc>
        <w:tc>
          <w:tcPr>
            <w:tcW w:w="1883" w:type="dxa"/>
            <w:tcBorders>
              <w:top w:val="single" w:sz="4" w:space="0" w:color="auto"/>
              <w:left w:val="single" w:sz="4" w:space="0" w:color="auto"/>
              <w:bottom w:val="single" w:sz="4" w:space="0" w:color="auto"/>
              <w:right w:val="single" w:sz="4" w:space="0" w:color="auto"/>
            </w:tcBorders>
            <w:vAlign w:val="center"/>
            <w:hideMark/>
          </w:tcPr>
          <w:p w14:paraId="585AD1B3" w14:textId="77777777" w:rsidR="00BA2486" w:rsidRPr="00EF4097" w:rsidRDefault="00BA2486">
            <w:pPr>
              <w:keepLines/>
              <w:rPr>
                <w:rFonts w:ascii="Arial Narrow" w:eastAsia="Calibri" w:hAnsi="Arial Narrow" w:cs="Arial"/>
                <w:sz w:val="20"/>
                <w:szCs w:val="20"/>
              </w:rPr>
            </w:pPr>
            <w:r w:rsidRPr="00EF4097">
              <w:rPr>
                <w:rFonts w:ascii="Arial Narrow" w:eastAsia="Calibri" w:hAnsi="Arial Narrow" w:cs="Arial"/>
                <w:sz w:val="20"/>
                <w:szCs w:val="20"/>
              </w:rPr>
              <w:t>Lytgobi®</w:t>
            </w:r>
          </w:p>
        </w:tc>
      </w:tr>
      <w:tr w:rsidR="00BA2486" w:rsidRPr="00EF4097" w14:paraId="79319A9D" w14:textId="77777777" w:rsidTr="00D01E4D">
        <w:trPr>
          <w:trHeight w:val="20"/>
        </w:trPr>
        <w:tc>
          <w:tcPr>
            <w:tcW w:w="906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AF2BD7" w14:textId="77777777" w:rsidR="00BA2486" w:rsidRPr="00EF4097" w:rsidRDefault="00BA2486">
            <w:pPr>
              <w:rPr>
                <w:rFonts w:ascii="Arial Narrow" w:eastAsia="Calibri" w:hAnsi="Arial Narrow" w:cs="Arial"/>
                <w:sz w:val="20"/>
                <w:szCs w:val="20"/>
              </w:rPr>
            </w:pPr>
          </w:p>
        </w:tc>
      </w:tr>
      <w:tr w:rsidR="00BA2486" w:rsidRPr="00EF4097" w14:paraId="0E11E178" w14:textId="77777777" w:rsidTr="00D01E4D">
        <w:trPr>
          <w:trHeight w:val="20"/>
        </w:trPr>
        <w:tc>
          <w:tcPr>
            <w:tcW w:w="9067"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056C1F" w14:textId="77777777" w:rsidR="00BA2486" w:rsidRPr="00EF4097" w:rsidRDefault="00BA2486">
            <w:pPr>
              <w:keepLines/>
              <w:rPr>
                <w:rFonts w:ascii="Arial Narrow" w:eastAsia="Calibri" w:hAnsi="Arial Narrow" w:cs="Arial"/>
                <w:b/>
                <w:sz w:val="20"/>
                <w:szCs w:val="20"/>
              </w:rPr>
            </w:pPr>
            <w:r w:rsidRPr="00EF4097">
              <w:rPr>
                <w:rFonts w:ascii="Arial Narrow" w:eastAsia="Calibri" w:hAnsi="Arial Narrow" w:cs="Arial"/>
                <w:b/>
                <w:sz w:val="20"/>
                <w:szCs w:val="20"/>
              </w:rPr>
              <w:t>Restriction Summary [new1]</w:t>
            </w:r>
            <w:r w:rsidRPr="00EF4097">
              <w:rPr>
                <w:rFonts w:ascii="Arial Narrow" w:eastAsia="Calibri" w:hAnsi="Arial Narrow" w:cs="Arial"/>
                <w:b/>
                <w:color w:val="FF0000"/>
                <w:sz w:val="20"/>
                <w:szCs w:val="20"/>
              </w:rPr>
              <w:t xml:space="preserve"> </w:t>
            </w:r>
            <w:r w:rsidRPr="00EF4097">
              <w:rPr>
                <w:rFonts w:ascii="Arial Narrow" w:eastAsia="Calibri" w:hAnsi="Arial Narrow" w:cs="Arial"/>
                <w:b/>
                <w:sz w:val="20"/>
                <w:szCs w:val="20"/>
              </w:rPr>
              <w:t>/ Treatment of Concept: [new1A]</w:t>
            </w:r>
          </w:p>
        </w:tc>
      </w:tr>
      <w:tr w:rsidR="00C24669" w:rsidRPr="00EF4097" w14:paraId="6450920D" w14:textId="77777777" w:rsidTr="00D01E4D">
        <w:trPr>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1F4E2E" w14:textId="77777777" w:rsidR="00C24669" w:rsidRPr="00EF4097" w:rsidRDefault="00C24669">
            <w:pPr>
              <w:keepLines/>
              <w:rPr>
                <w:rFonts w:ascii="Arial Narrow" w:eastAsia="Calibri" w:hAnsi="Arial Narrow" w:cs="Arial"/>
                <w:sz w:val="20"/>
                <w:szCs w:val="20"/>
              </w:rPr>
            </w:pPr>
            <w:r w:rsidRPr="00EF4097">
              <w:rPr>
                <w:rFonts w:ascii="Arial Narrow" w:eastAsia="Calibri" w:hAnsi="Arial Narrow" w:cs="Arial"/>
                <w:b/>
                <w:sz w:val="20"/>
                <w:szCs w:val="20"/>
              </w:rPr>
              <w:t>Category / Program:</w:t>
            </w:r>
            <w:r w:rsidRPr="00EF4097">
              <w:rPr>
                <w:rFonts w:ascii="Arial Narrow" w:eastAsia="Calibri" w:hAnsi="Arial Narrow" w:cs="Arial"/>
                <w:color w:val="FF0000"/>
                <w:sz w:val="20"/>
                <w:szCs w:val="20"/>
              </w:rPr>
              <w:t xml:space="preserve"> </w:t>
            </w:r>
          </w:p>
          <w:p w14:paraId="6C0704D0" w14:textId="77777777" w:rsidR="00C24669" w:rsidRPr="00EF4097" w:rsidRDefault="00C24669">
            <w:pPr>
              <w:keepLines/>
              <w:rPr>
                <w:rFonts w:ascii="Arial Narrow" w:eastAsia="Calibri" w:hAnsi="Arial Narrow" w:cs="Arial"/>
                <w:sz w:val="20"/>
                <w:szCs w:val="20"/>
              </w:rPr>
            </w:pPr>
            <w:r w:rsidRPr="00EF4097">
              <w:rPr>
                <w:rFonts w:ascii="Arial Narrow" w:eastAsia="Calibri" w:hAnsi="Arial Narrow" w:cs="Arial"/>
                <w:sz w:val="20"/>
                <w:szCs w:val="20"/>
              </w:rPr>
              <w:fldChar w:fldCharType="begin">
                <w:ffData>
                  <w:name w:val="Check1"/>
                  <w:enabled/>
                  <w:calcOnExit w:val="0"/>
                  <w:checkBox>
                    <w:sizeAuto/>
                    <w:default w:val="1"/>
                  </w:checkBox>
                </w:ffData>
              </w:fldChar>
            </w:r>
            <w:bookmarkStart w:id="57" w:name="Check1"/>
            <w:r w:rsidRPr="00EF4097">
              <w:rPr>
                <w:rFonts w:ascii="Arial Narrow" w:eastAsia="Calibri" w:hAnsi="Arial Narrow" w:cs="Arial"/>
                <w:sz w:val="20"/>
                <w:szCs w:val="20"/>
              </w:rPr>
              <w:instrText xml:space="preserve"> FORMCHECKBOX </w:instrText>
            </w:r>
            <w:r w:rsidRPr="00EF4097">
              <w:rPr>
                <w:rFonts w:ascii="Arial Narrow" w:eastAsia="Calibri" w:hAnsi="Arial Narrow" w:cs="Arial"/>
                <w:sz w:val="20"/>
                <w:szCs w:val="20"/>
              </w:rPr>
            </w:r>
            <w:r w:rsidRPr="00EF4097">
              <w:rPr>
                <w:rFonts w:ascii="Arial Narrow" w:eastAsia="Calibri" w:hAnsi="Arial Narrow" w:cs="Arial"/>
                <w:sz w:val="20"/>
                <w:szCs w:val="20"/>
              </w:rPr>
              <w:fldChar w:fldCharType="separate"/>
            </w:r>
            <w:r w:rsidRPr="00EF4097">
              <w:rPr>
                <w:rFonts w:ascii="Arial Narrow" w:eastAsiaTheme="minorHAnsi" w:hAnsi="Arial Narrow"/>
                <w:kern w:val="2"/>
                <w:sz w:val="20"/>
                <w:szCs w:val="20"/>
                <w14:ligatures w14:val="standardContextual"/>
              </w:rPr>
              <w:fldChar w:fldCharType="end"/>
            </w:r>
            <w:bookmarkEnd w:id="57"/>
            <w:r w:rsidRPr="00EF4097">
              <w:rPr>
                <w:rFonts w:ascii="Arial Narrow" w:eastAsia="Calibri" w:hAnsi="Arial Narrow" w:cs="Arial"/>
                <w:sz w:val="20"/>
                <w:szCs w:val="20"/>
              </w:rPr>
              <w:t xml:space="preserve"> GENERAL - General Schedule (Code GE) </w:t>
            </w:r>
          </w:p>
        </w:tc>
      </w:tr>
      <w:tr w:rsidR="00C24669" w:rsidRPr="00EF4097" w14:paraId="73F4BC30" w14:textId="77777777" w:rsidTr="00D01E4D">
        <w:trPr>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FBFFC6" w14:textId="77777777" w:rsidR="00C24669" w:rsidRPr="00EF4097" w:rsidRDefault="00C24669">
            <w:pPr>
              <w:keepLines/>
              <w:rPr>
                <w:rFonts w:ascii="Arial Narrow" w:eastAsia="Calibri" w:hAnsi="Arial Narrow" w:cs="Arial"/>
                <w:b/>
                <w:sz w:val="20"/>
                <w:szCs w:val="20"/>
              </w:rPr>
            </w:pPr>
            <w:r w:rsidRPr="00EF4097">
              <w:rPr>
                <w:rFonts w:ascii="Arial Narrow" w:eastAsia="Calibri" w:hAnsi="Arial Narrow" w:cs="Arial"/>
                <w:b/>
                <w:sz w:val="20"/>
                <w:szCs w:val="20"/>
              </w:rPr>
              <w:t xml:space="preserve">Prescriber type: </w:t>
            </w:r>
          </w:p>
          <w:p w14:paraId="4B902553" w14:textId="77777777" w:rsidR="00C24669" w:rsidRPr="00EF4097" w:rsidRDefault="00C24669">
            <w:pPr>
              <w:keepLines/>
              <w:rPr>
                <w:rFonts w:ascii="Arial Narrow" w:eastAsia="Calibri" w:hAnsi="Arial Narrow" w:cs="Arial"/>
                <w:b/>
                <w:sz w:val="20"/>
                <w:szCs w:val="20"/>
              </w:rPr>
            </w:pPr>
            <w:r w:rsidRPr="00EF4097">
              <w:rPr>
                <w:rFonts w:ascii="Arial Narrow" w:eastAsia="Calibri" w:hAnsi="Arial Narrow" w:cs="Arial"/>
                <w:sz w:val="20"/>
                <w:szCs w:val="20"/>
              </w:rPr>
              <w:fldChar w:fldCharType="begin">
                <w:ffData>
                  <w:name w:val=""/>
                  <w:enabled/>
                  <w:calcOnExit w:val="0"/>
                  <w:checkBox>
                    <w:sizeAuto/>
                    <w:default w:val="1"/>
                  </w:checkBox>
                </w:ffData>
              </w:fldChar>
            </w:r>
            <w:r w:rsidRPr="00EF4097">
              <w:rPr>
                <w:rFonts w:ascii="Arial Narrow" w:eastAsia="Calibri" w:hAnsi="Arial Narrow" w:cs="Arial"/>
                <w:sz w:val="20"/>
                <w:szCs w:val="20"/>
              </w:rPr>
              <w:instrText xml:space="preserve"> FORMCHECKBOX </w:instrText>
            </w:r>
            <w:r w:rsidRPr="00EF4097">
              <w:rPr>
                <w:rFonts w:ascii="Arial Narrow" w:eastAsia="Calibri" w:hAnsi="Arial Narrow" w:cs="Arial"/>
                <w:sz w:val="20"/>
                <w:szCs w:val="20"/>
              </w:rPr>
            </w:r>
            <w:r w:rsidRPr="00EF4097">
              <w:rPr>
                <w:rFonts w:ascii="Arial Narrow" w:eastAsia="Calibri" w:hAnsi="Arial Narrow" w:cs="Arial"/>
                <w:sz w:val="20"/>
                <w:szCs w:val="20"/>
              </w:rPr>
              <w:fldChar w:fldCharType="separate"/>
            </w:r>
            <w:r w:rsidRPr="00EF4097">
              <w:rPr>
                <w:rFonts w:ascii="Arial Narrow" w:eastAsia="Calibri" w:hAnsi="Arial Narrow" w:cs="Arial"/>
                <w:sz w:val="20"/>
                <w:szCs w:val="20"/>
              </w:rPr>
              <w:fldChar w:fldCharType="end"/>
            </w:r>
            <w:r w:rsidRPr="00EF4097">
              <w:rPr>
                <w:rFonts w:ascii="Arial Narrow" w:eastAsia="Calibri" w:hAnsi="Arial Narrow" w:cs="Arial"/>
                <w:sz w:val="20"/>
                <w:szCs w:val="20"/>
              </w:rPr>
              <w:t xml:space="preserve">Medical Practitioners </w:t>
            </w:r>
          </w:p>
        </w:tc>
      </w:tr>
      <w:tr w:rsidR="00C24669" w:rsidRPr="00EF4097" w14:paraId="37B773E7" w14:textId="77777777" w:rsidTr="00D01E4D">
        <w:trPr>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F182B4" w14:textId="77777777" w:rsidR="00C24669" w:rsidRPr="00EF4097" w:rsidRDefault="00C24669">
            <w:pPr>
              <w:keepLines/>
              <w:rPr>
                <w:rFonts w:ascii="Arial Narrow" w:eastAsia="Calibri" w:hAnsi="Arial Narrow" w:cs="Arial"/>
                <w:b/>
                <w:sz w:val="20"/>
                <w:szCs w:val="20"/>
              </w:rPr>
            </w:pPr>
            <w:r w:rsidRPr="00EF4097">
              <w:rPr>
                <w:rFonts w:ascii="Arial Narrow" w:eastAsia="Calibri" w:hAnsi="Arial Narrow" w:cs="Arial"/>
                <w:b/>
                <w:sz w:val="20"/>
                <w:szCs w:val="20"/>
              </w:rPr>
              <w:t xml:space="preserve">Restriction type: </w:t>
            </w:r>
          </w:p>
          <w:p w14:paraId="0830158D" w14:textId="77777777" w:rsidR="00C24669" w:rsidRPr="00EF4097" w:rsidRDefault="00C24669">
            <w:pPr>
              <w:keepLines/>
              <w:rPr>
                <w:rFonts w:ascii="Arial Narrow" w:eastAsia="Calibri" w:hAnsi="Arial Narrow" w:cs="Arial"/>
                <w:color w:val="FF0000"/>
                <w:sz w:val="20"/>
                <w:szCs w:val="20"/>
              </w:rPr>
            </w:pPr>
            <w:r w:rsidRPr="00EF4097">
              <w:rPr>
                <w:rFonts w:ascii="Arial Narrow" w:eastAsia="Calibri" w:hAnsi="Arial Narrow" w:cs="Arial"/>
                <w:sz w:val="20"/>
                <w:szCs w:val="20"/>
              </w:rPr>
              <w:fldChar w:fldCharType="begin">
                <w:ffData>
                  <w:name w:val=""/>
                  <w:enabled/>
                  <w:calcOnExit w:val="0"/>
                  <w:checkBox>
                    <w:sizeAuto/>
                    <w:default w:val="1"/>
                  </w:checkBox>
                </w:ffData>
              </w:fldChar>
            </w:r>
            <w:r w:rsidRPr="00EF4097">
              <w:rPr>
                <w:rFonts w:ascii="Arial Narrow" w:eastAsia="Calibri" w:hAnsi="Arial Narrow" w:cs="Arial"/>
                <w:sz w:val="20"/>
                <w:szCs w:val="20"/>
              </w:rPr>
              <w:instrText xml:space="preserve"> FORMCHECKBOX </w:instrText>
            </w:r>
            <w:r w:rsidRPr="00EF4097">
              <w:rPr>
                <w:rFonts w:ascii="Arial Narrow" w:eastAsia="Calibri" w:hAnsi="Arial Narrow" w:cs="Arial"/>
                <w:sz w:val="20"/>
                <w:szCs w:val="20"/>
              </w:rPr>
            </w:r>
            <w:r w:rsidRPr="00EF4097">
              <w:rPr>
                <w:rFonts w:ascii="Arial Narrow" w:eastAsia="Calibri" w:hAnsi="Arial Narrow" w:cs="Arial"/>
                <w:sz w:val="20"/>
                <w:szCs w:val="20"/>
              </w:rPr>
              <w:fldChar w:fldCharType="separate"/>
            </w:r>
            <w:r w:rsidRPr="00EF4097">
              <w:rPr>
                <w:rFonts w:ascii="Arial Narrow" w:eastAsia="Calibri" w:hAnsi="Arial Narrow" w:cs="Arial"/>
                <w:sz w:val="20"/>
                <w:szCs w:val="20"/>
              </w:rPr>
              <w:fldChar w:fldCharType="end"/>
            </w:r>
            <w:r w:rsidRPr="00EF4097">
              <w:rPr>
                <w:rFonts w:ascii="Arial Narrow" w:eastAsia="Calibri" w:hAnsi="Arial Narrow" w:cs="Arial"/>
                <w:sz w:val="20"/>
                <w:szCs w:val="20"/>
              </w:rPr>
              <w:t xml:space="preserve">Authority Required (Streamlined) [new/existing code] </w:t>
            </w:r>
          </w:p>
        </w:tc>
      </w:tr>
      <w:tr w:rsidR="00C24669" w:rsidRPr="00EF4097" w14:paraId="264239FB" w14:textId="77777777" w:rsidTr="00D01E4D">
        <w:trPr>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17DB3B" w14:textId="77777777" w:rsidR="00C24669" w:rsidRPr="00EF4097" w:rsidRDefault="00C24669">
            <w:pPr>
              <w:rPr>
                <w:rFonts w:ascii="Arial Narrow" w:hAnsi="Arial Narrow" w:cs="Arial"/>
                <w:color w:val="333333"/>
                <w:sz w:val="20"/>
                <w:szCs w:val="20"/>
              </w:rPr>
            </w:pPr>
            <w:r w:rsidRPr="00EF4097">
              <w:rPr>
                <w:rFonts w:ascii="Arial Narrow" w:eastAsia="Calibri" w:hAnsi="Arial Narrow" w:cs="Arial"/>
                <w:b/>
                <w:bCs/>
                <w:sz w:val="20"/>
                <w:szCs w:val="20"/>
              </w:rPr>
              <w:t xml:space="preserve">Administrative Advice: </w:t>
            </w:r>
            <w:r w:rsidRPr="00EF4097">
              <w:rPr>
                <w:rFonts w:ascii="Arial Narrow" w:eastAsia="Calibri" w:hAnsi="Arial Narrow" w:cs="Arial"/>
                <w:bCs/>
                <w:sz w:val="20"/>
                <w:szCs w:val="20"/>
              </w:rPr>
              <w:t>No increase in the maximum quantity or number of units may be authorised.</w:t>
            </w:r>
          </w:p>
        </w:tc>
      </w:tr>
      <w:tr w:rsidR="00C24669" w:rsidRPr="00EF4097" w14:paraId="134046DB" w14:textId="77777777" w:rsidTr="00D01E4D">
        <w:trPr>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56DBF0" w14:textId="77777777" w:rsidR="00C24669" w:rsidRPr="00EF4097" w:rsidRDefault="00C24669">
            <w:pPr>
              <w:rPr>
                <w:rFonts w:ascii="Arial Narrow" w:hAnsi="Arial Narrow" w:cs="Arial"/>
                <w:b/>
                <w:bCs/>
                <w:color w:val="333333"/>
                <w:sz w:val="20"/>
                <w:szCs w:val="20"/>
              </w:rPr>
            </w:pPr>
            <w:r w:rsidRPr="00EF4097">
              <w:rPr>
                <w:rFonts w:ascii="Arial Narrow" w:eastAsia="Calibri" w:hAnsi="Arial Narrow" w:cs="Arial"/>
                <w:b/>
                <w:bCs/>
                <w:sz w:val="20"/>
                <w:szCs w:val="20"/>
              </w:rPr>
              <w:t xml:space="preserve">Administrative Advice: </w:t>
            </w:r>
            <w:r w:rsidRPr="00EF4097">
              <w:rPr>
                <w:rFonts w:ascii="Arial Narrow" w:eastAsia="Calibri" w:hAnsi="Arial Narrow" w:cs="Arial"/>
                <w:bCs/>
                <w:sz w:val="20"/>
                <w:szCs w:val="20"/>
              </w:rPr>
              <w:t>No increase in the maximum number of repeats may be authorised.</w:t>
            </w:r>
          </w:p>
        </w:tc>
      </w:tr>
      <w:tr w:rsidR="00C24669" w:rsidRPr="00EF4097" w14:paraId="37CAD96E" w14:textId="77777777" w:rsidTr="00D01E4D">
        <w:trPr>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7104F9C" w14:textId="77777777" w:rsidR="00C24669" w:rsidRPr="00EF4097" w:rsidRDefault="00C24669">
            <w:pPr>
              <w:rPr>
                <w:rFonts w:ascii="Arial Narrow" w:hAnsi="Arial Narrow" w:cs="Arial"/>
                <w:b/>
                <w:bCs/>
                <w:color w:val="333333"/>
                <w:sz w:val="20"/>
                <w:szCs w:val="20"/>
              </w:rPr>
            </w:pPr>
            <w:r w:rsidRPr="00EF4097">
              <w:rPr>
                <w:rFonts w:ascii="Arial Narrow" w:eastAsia="Calibri" w:hAnsi="Arial Narrow" w:cs="Arial"/>
                <w:b/>
                <w:bCs/>
                <w:sz w:val="20"/>
                <w:szCs w:val="20"/>
              </w:rPr>
              <w:t xml:space="preserve">Administrative Advice: </w:t>
            </w:r>
            <w:r w:rsidRPr="00EF4097">
              <w:rPr>
                <w:rFonts w:ascii="Arial Narrow" w:eastAsia="Calibri" w:hAnsi="Arial Narrow" w:cs="Arial"/>
                <w:bCs/>
                <w:sz w:val="20"/>
                <w:szCs w:val="20"/>
              </w:rPr>
              <w:t>Special Pricing Arrangements apply.</w:t>
            </w:r>
          </w:p>
        </w:tc>
      </w:tr>
      <w:tr w:rsidR="00C24669" w:rsidRPr="00EF4097" w14:paraId="69C740E4"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88E508" w14:textId="77777777" w:rsidR="00C24669" w:rsidRPr="00EF4097" w:rsidRDefault="00C24669">
            <w:pPr>
              <w:keepLines/>
              <w:rPr>
                <w:rFonts w:ascii="Arial Narrow" w:hAnsi="Arial Narrow" w:cs="Arial"/>
                <w:b/>
                <w:bCs/>
                <w:color w:val="333333"/>
                <w:sz w:val="20"/>
                <w:szCs w:val="20"/>
              </w:rPr>
            </w:pPr>
            <w:r w:rsidRPr="00EF4097">
              <w:rPr>
                <w:rFonts w:ascii="Arial Narrow" w:hAnsi="Arial Narrow" w:cs="Arial"/>
                <w:b/>
                <w:bCs/>
                <w:color w:val="333333"/>
                <w:sz w:val="20"/>
                <w:szCs w:val="20"/>
              </w:rPr>
              <w:t xml:space="preserve">Episodicity: </w:t>
            </w:r>
            <w:r w:rsidRPr="00EF4097">
              <w:rPr>
                <w:rFonts w:ascii="Arial Narrow" w:hAnsi="Arial Narrow" w:cs="Arial"/>
                <w:color w:val="333333"/>
                <w:sz w:val="20"/>
                <w:szCs w:val="20"/>
              </w:rPr>
              <w:t>Locally advance or metastatic</w:t>
            </w:r>
          </w:p>
        </w:tc>
      </w:tr>
      <w:tr w:rsidR="00C24669" w:rsidRPr="00EF4097" w14:paraId="7240D0D8"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E86A3F" w14:textId="77777777" w:rsidR="00C24669" w:rsidRPr="00EF4097" w:rsidRDefault="00C24669">
            <w:pPr>
              <w:keepLines/>
              <w:rPr>
                <w:rFonts w:ascii="Arial Narrow" w:hAnsi="Arial Narrow" w:cs="Arial"/>
                <w:b/>
                <w:bCs/>
                <w:color w:val="333333"/>
                <w:sz w:val="20"/>
                <w:szCs w:val="20"/>
              </w:rPr>
            </w:pPr>
            <w:r w:rsidRPr="00EF4097">
              <w:rPr>
                <w:rFonts w:ascii="Arial Narrow" w:hAnsi="Arial Narrow" w:cs="Arial"/>
                <w:b/>
                <w:bCs/>
                <w:color w:val="333333"/>
                <w:sz w:val="20"/>
                <w:szCs w:val="20"/>
              </w:rPr>
              <w:t xml:space="preserve">Condition: </w:t>
            </w:r>
            <w:r w:rsidRPr="00EF4097">
              <w:rPr>
                <w:rFonts w:ascii="Arial Narrow" w:hAnsi="Arial Narrow" w:cs="Arial"/>
                <w:color w:val="333333"/>
                <w:sz w:val="20"/>
                <w:szCs w:val="20"/>
              </w:rPr>
              <w:t>Cholangiocarcinoma</w:t>
            </w:r>
          </w:p>
        </w:tc>
      </w:tr>
      <w:tr w:rsidR="00C24669" w:rsidRPr="00EF4097" w14:paraId="5C18A641"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C15CF9" w14:textId="77777777" w:rsidR="00C24669" w:rsidRPr="00EF4097" w:rsidRDefault="00C24669">
            <w:pPr>
              <w:keepLines/>
              <w:rPr>
                <w:rFonts w:ascii="Arial Narrow" w:hAnsi="Arial Narrow" w:cs="Arial"/>
                <w:color w:val="333333"/>
                <w:sz w:val="20"/>
                <w:szCs w:val="20"/>
              </w:rPr>
            </w:pPr>
            <w:r w:rsidRPr="00EF4097">
              <w:rPr>
                <w:rFonts w:ascii="Arial Narrow" w:hAnsi="Arial Narrow" w:cs="Arial"/>
                <w:b/>
                <w:bCs/>
                <w:color w:val="333333"/>
                <w:sz w:val="20"/>
                <w:szCs w:val="20"/>
              </w:rPr>
              <w:t>Indication:</w:t>
            </w:r>
            <w:r w:rsidRPr="00EF4097">
              <w:rPr>
                <w:rFonts w:ascii="Arial Narrow" w:hAnsi="Arial Narrow" w:cs="Arial"/>
                <w:color w:val="333333"/>
                <w:sz w:val="20"/>
                <w:szCs w:val="20"/>
              </w:rPr>
              <w:t xml:space="preserve"> Locally advanced or metastatic cholangiocarcinoma</w:t>
            </w:r>
          </w:p>
        </w:tc>
      </w:tr>
      <w:tr w:rsidR="00C24669" w:rsidRPr="00EF4097" w14:paraId="07364647"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62C542" w14:textId="77777777" w:rsidR="00C24669" w:rsidRPr="00EF4097" w:rsidRDefault="00C24669">
            <w:pPr>
              <w:rPr>
                <w:rFonts w:ascii="Arial Narrow" w:hAnsi="Arial Narrow" w:cs="Arial"/>
                <w:sz w:val="20"/>
                <w:szCs w:val="20"/>
              </w:rPr>
            </w:pPr>
            <w:r w:rsidRPr="00EF4097">
              <w:rPr>
                <w:rFonts w:ascii="Arial Narrow" w:hAnsi="Arial Narrow" w:cs="Arial"/>
                <w:b/>
                <w:bCs/>
                <w:color w:val="333333"/>
                <w:sz w:val="20"/>
                <w:szCs w:val="20"/>
              </w:rPr>
              <w:t xml:space="preserve">Clinical criteria: </w:t>
            </w:r>
          </w:p>
        </w:tc>
      </w:tr>
      <w:tr w:rsidR="00C24669" w:rsidRPr="00EF4097" w14:paraId="32175691"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3C946F" w14:textId="4EDB8BA7" w:rsidR="00C24669" w:rsidRPr="00EF4097" w:rsidRDefault="00C24669">
            <w:pPr>
              <w:rPr>
                <w:rFonts w:ascii="Arial Narrow" w:hAnsi="Arial Narrow" w:cs="Arial"/>
                <w:color w:val="FF0000"/>
                <w:sz w:val="20"/>
                <w:szCs w:val="20"/>
              </w:rPr>
            </w:pPr>
            <w:r w:rsidRPr="00EF4097">
              <w:rPr>
                <w:rFonts w:ascii="Arial Narrow" w:hAnsi="Arial Narrow" w:cs="Arial"/>
                <w:color w:val="333333"/>
                <w:sz w:val="20"/>
                <w:szCs w:val="20"/>
                <w:lang w:bidi="en-US"/>
              </w:rPr>
              <w:t>Patient must have e</w:t>
            </w:r>
            <w:r w:rsidRPr="00EA6C20">
              <w:rPr>
                <w:rFonts w:ascii="Arial Narrow" w:hAnsi="Arial Narrow" w:cs="Arial"/>
                <w:sz w:val="20"/>
                <w:szCs w:val="20"/>
                <w:lang w:bidi="en-US"/>
              </w:rPr>
              <w:t>vidence of a fibroblast growth factor receptor 2 (FGFR2) fusion or rearrangement at treatment initiation</w:t>
            </w:r>
          </w:p>
        </w:tc>
      </w:tr>
      <w:tr w:rsidR="00C24669" w:rsidRPr="00EF4097" w14:paraId="2F81F90D"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089D28" w14:textId="77777777" w:rsidR="00C24669" w:rsidRPr="00EF4097" w:rsidRDefault="00C24669">
            <w:pPr>
              <w:rPr>
                <w:rFonts w:ascii="Arial Narrow" w:hAnsi="Arial Narrow" w:cs="Arial"/>
                <w:color w:val="333333"/>
                <w:sz w:val="20"/>
                <w:szCs w:val="20"/>
              </w:rPr>
            </w:pPr>
            <w:r w:rsidRPr="00EF4097">
              <w:rPr>
                <w:rFonts w:ascii="Arial Narrow" w:hAnsi="Arial Narrow" w:cs="Arial"/>
                <w:b/>
                <w:bCs/>
                <w:color w:val="333333"/>
                <w:sz w:val="20"/>
                <w:szCs w:val="20"/>
              </w:rPr>
              <w:t>AND</w:t>
            </w:r>
          </w:p>
        </w:tc>
      </w:tr>
      <w:tr w:rsidR="00C24669" w:rsidRPr="00EF4097" w14:paraId="0348DA89"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FD58EA" w14:textId="77777777" w:rsidR="00C24669" w:rsidRPr="00EF4097" w:rsidRDefault="00C24669">
            <w:pPr>
              <w:rPr>
                <w:rFonts w:ascii="Arial Narrow" w:hAnsi="Arial Narrow" w:cs="Arial"/>
                <w:color w:val="333333"/>
                <w:sz w:val="20"/>
                <w:szCs w:val="20"/>
              </w:rPr>
            </w:pPr>
            <w:r w:rsidRPr="00EF4097">
              <w:rPr>
                <w:rFonts w:ascii="Arial Narrow" w:hAnsi="Arial Narrow" w:cs="Arial"/>
                <w:b/>
                <w:bCs/>
                <w:color w:val="333333"/>
                <w:sz w:val="20"/>
                <w:szCs w:val="20"/>
              </w:rPr>
              <w:t>Clinical criteria:</w:t>
            </w:r>
          </w:p>
        </w:tc>
      </w:tr>
      <w:tr w:rsidR="00C24669" w:rsidRPr="00EF4097" w14:paraId="0E978256"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E7F464" w14:textId="77777777" w:rsidR="00C24669" w:rsidRPr="00EA6C20" w:rsidRDefault="00C24669">
            <w:pPr>
              <w:rPr>
                <w:rFonts w:ascii="Arial Narrow" w:hAnsi="Arial Narrow" w:cs="Arial"/>
                <w:sz w:val="20"/>
                <w:szCs w:val="20"/>
              </w:rPr>
            </w:pPr>
            <w:r w:rsidRPr="00EA6C20">
              <w:rPr>
                <w:rFonts w:ascii="Arial Narrow" w:hAnsi="Arial Narrow" w:cs="Arial"/>
                <w:sz w:val="20"/>
                <w:szCs w:val="20"/>
                <w:lang w:bidi="en-US"/>
              </w:rPr>
              <w:t xml:space="preserve">Patient must have/have had received at least one prior line of systemic therapy prior to treatment initiation </w:t>
            </w:r>
          </w:p>
        </w:tc>
      </w:tr>
      <w:tr w:rsidR="00C24669" w:rsidRPr="00EF4097" w14:paraId="13835C8B"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054DB9" w14:textId="77777777" w:rsidR="00C24669" w:rsidRPr="00EF4097" w:rsidRDefault="00C24669">
            <w:pPr>
              <w:rPr>
                <w:rFonts w:ascii="Arial Narrow" w:hAnsi="Arial Narrow" w:cs="Arial"/>
                <w:color w:val="333333"/>
                <w:sz w:val="20"/>
                <w:szCs w:val="20"/>
              </w:rPr>
            </w:pPr>
            <w:r w:rsidRPr="00EF4097">
              <w:rPr>
                <w:rFonts w:ascii="Arial Narrow" w:hAnsi="Arial Narrow" w:cs="Arial"/>
                <w:b/>
                <w:bCs/>
                <w:color w:val="333333"/>
                <w:sz w:val="20"/>
                <w:szCs w:val="20"/>
              </w:rPr>
              <w:t>AND</w:t>
            </w:r>
          </w:p>
        </w:tc>
      </w:tr>
      <w:tr w:rsidR="00C24669" w:rsidRPr="00EF4097" w14:paraId="500DB748"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141F9D" w14:textId="77777777" w:rsidR="00C24669" w:rsidRPr="00EF4097" w:rsidRDefault="00C24669">
            <w:pPr>
              <w:rPr>
                <w:rFonts w:ascii="Arial Narrow" w:hAnsi="Arial Narrow" w:cs="Arial"/>
                <w:color w:val="333333"/>
                <w:sz w:val="20"/>
                <w:szCs w:val="20"/>
              </w:rPr>
            </w:pPr>
            <w:r w:rsidRPr="00EF4097">
              <w:rPr>
                <w:rFonts w:ascii="Arial Narrow" w:hAnsi="Arial Narrow" w:cs="Arial"/>
                <w:b/>
                <w:bCs/>
                <w:color w:val="333333"/>
                <w:sz w:val="20"/>
                <w:szCs w:val="20"/>
              </w:rPr>
              <w:t>Clinical criteria:</w:t>
            </w:r>
          </w:p>
        </w:tc>
      </w:tr>
      <w:tr w:rsidR="00C24669" w:rsidRPr="00EF4097" w14:paraId="764D937D"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E3B96D" w14:textId="462D3774" w:rsidR="00C24669" w:rsidRPr="00EF4097" w:rsidRDefault="00C24669">
            <w:pPr>
              <w:rPr>
                <w:rFonts w:ascii="Arial Narrow" w:hAnsi="Arial Narrow" w:cs="Arial"/>
                <w:color w:val="333333"/>
                <w:sz w:val="20"/>
                <w:szCs w:val="20"/>
              </w:rPr>
            </w:pPr>
            <w:r w:rsidRPr="00EF4097">
              <w:rPr>
                <w:rFonts w:ascii="Arial Narrow" w:hAnsi="Arial Narrow" w:cs="Arial"/>
                <w:color w:val="333333"/>
                <w:sz w:val="20"/>
                <w:szCs w:val="20"/>
                <w:lang w:bidi="en-US"/>
              </w:rPr>
              <w:t xml:space="preserve">Patient must </w:t>
            </w:r>
            <w:r w:rsidRPr="00EA6C20">
              <w:rPr>
                <w:rFonts w:ascii="Arial Narrow" w:hAnsi="Arial Narrow" w:cs="Arial"/>
                <w:sz w:val="20"/>
                <w:szCs w:val="20"/>
                <w:lang w:bidi="en-US"/>
              </w:rPr>
              <w:t>have/ have had a World Health Organisation (WHO) performance status of no greater than 1 at treatment initiation with this drug</w:t>
            </w:r>
          </w:p>
        </w:tc>
      </w:tr>
      <w:tr w:rsidR="00C24669" w:rsidRPr="00EF4097" w14:paraId="29F5BAE3"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0DBC19" w14:textId="77777777" w:rsidR="00C24669" w:rsidRPr="00EF4097" w:rsidRDefault="00C24669">
            <w:pPr>
              <w:rPr>
                <w:rFonts w:ascii="Arial Narrow" w:hAnsi="Arial Narrow" w:cs="Arial"/>
                <w:b/>
                <w:bCs/>
                <w:color w:val="333333"/>
                <w:sz w:val="20"/>
                <w:szCs w:val="20"/>
              </w:rPr>
            </w:pPr>
            <w:r w:rsidRPr="00EF4097">
              <w:rPr>
                <w:rFonts w:ascii="Arial Narrow" w:hAnsi="Arial Narrow" w:cs="Arial"/>
                <w:b/>
                <w:bCs/>
                <w:color w:val="333333"/>
                <w:sz w:val="20"/>
                <w:szCs w:val="20"/>
              </w:rPr>
              <w:t>AND</w:t>
            </w:r>
          </w:p>
        </w:tc>
      </w:tr>
      <w:tr w:rsidR="00C24669" w:rsidRPr="00EF4097" w14:paraId="49267AEC"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AD8726" w14:textId="77777777" w:rsidR="00C24669" w:rsidRPr="00EF4097" w:rsidRDefault="00C24669">
            <w:pPr>
              <w:rPr>
                <w:rFonts w:ascii="Arial Narrow" w:hAnsi="Arial Narrow" w:cs="Arial"/>
                <w:b/>
                <w:bCs/>
                <w:color w:val="333333"/>
                <w:sz w:val="20"/>
                <w:szCs w:val="20"/>
              </w:rPr>
            </w:pPr>
            <w:r w:rsidRPr="00EF4097">
              <w:rPr>
                <w:rFonts w:ascii="Arial Narrow" w:hAnsi="Arial Narrow" w:cs="Arial"/>
                <w:b/>
                <w:bCs/>
                <w:color w:val="333333"/>
                <w:sz w:val="20"/>
                <w:szCs w:val="20"/>
              </w:rPr>
              <w:t>Clinical criteria:</w:t>
            </w:r>
          </w:p>
        </w:tc>
      </w:tr>
      <w:tr w:rsidR="00C24669" w:rsidRPr="00EF4097" w14:paraId="0B5229CE"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AE99E0" w14:textId="77777777" w:rsidR="00C24669" w:rsidRPr="00EF4097" w:rsidRDefault="00C24669">
            <w:pPr>
              <w:rPr>
                <w:rFonts w:ascii="Arial Narrow" w:hAnsi="Arial Narrow" w:cs="Arial"/>
                <w:color w:val="333333"/>
                <w:sz w:val="20"/>
                <w:szCs w:val="20"/>
              </w:rPr>
            </w:pPr>
            <w:r w:rsidRPr="00EF4097">
              <w:rPr>
                <w:rFonts w:ascii="Arial Narrow" w:hAnsi="Arial Narrow" w:cs="Arial"/>
                <w:color w:val="333333"/>
                <w:sz w:val="20"/>
                <w:szCs w:val="20"/>
                <w:lang w:bidi="en-US"/>
              </w:rPr>
              <w:t>The treatment must be the sole PBS-subsidised therapy for this condition</w:t>
            </w:r>
          </w:p>
        </w:tc>
      </w:tr>
      <w:tr w:rsidR="00C24669" w:rsidRPr="00EF4097" w14:paraId="6345E8FD"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15A41F" w14:textId="77777777" w:rsidR="00C24669" w:rsidRPr="00EF4097" w:rsidRDefault="00C24669">
            <w:pPr>
              <w:rPr>
                <w:rFonts w:ascii="Arial Narrow" w:hAnsi="Arial Narrow" w:cs="Arial"/>
                <w:b/>
                <w:bCs/>
                <w:color w:val="333333"/>
                <w:sz w:val="20"/>
                <w:szCs w:val="20"/>
              </w:rPr>
            </w:pPr>
            <w:r w:rsidRPr="00EF4097">
              <w:rPr>
                <w:rFonts w:ascii="Arial Narrow" w:hAnsi="Arial Narrow" w:cs="Arial"/>
                <w:b/>
                <w:bCs/>
                <w:color w:val="333333"/>
                <w:sz w:val="20"/>
                <w:szCs w:val="20"/>
              </w:rPr>
              <w:t>AND</w:t>
            </w:r>
          </w:p>
        </w:tc>
      </w:tr>
      <w:tr w:rsidR="00C24669" w:rsidRPr="00EF4097" w14:paraId="3E5DD927"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C547BD" w14:textId="77777777" w:rsidR="00C24669" w:rsidRPr="00EF4097" w:rsidRDefault="00C24669">
            <w:pPr>
              <w:rPr>
                <w:rFonts w:ascii="Arial Narrow" w:hAnsi="Arial Narrow" w:cs="Arial"/>
                <w:b/>
                <w:bCs/>
                <w:color w:val="333333"/>
                <w:sz w:val="20"/>
                <w:szCs w:val="20"/>
              </w:rPr>
            </w:pPr>
            <w:r w:rsidRPr="00EF4097">
              <w:rPr>
                <w:rFonts w:ascii="Arial Narrow" w:hAnsi="Arial Narrow" w:cs="Arial"/>
                <w:b/>
                <w:bCs/>
                <w:color w:val="333333"/>
                <w:sz w:val="20"/>
                <w:szCs w:val="20"/>
              </w:rPr>
              <w:t>Clinical criteria:</w:t>
            </w:r>
          </w:p>
        </w:tc>
      </w:tr>
      <w:tr w:rsidR="00C24669" w:rsidRPr="00EF4097" w14:paraId="3E242EFB" w14:textId="77777777" w:rsidTr="00D01E4D">
        <w:trPr>
          <w:cantSplit/>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6FDAA7" w14:textId="77777777" w:rsidR="00C24669" w:rsidRPr="00EF4097" w:rsidRDefault="00C24669">
            <w:pPr>
              <w:rPr>
                <w:rFonts w:ascii="Arial Narrow" w:hAnsi="Arial Narrow" w:cs="Arial"/>
                <w:color w:val="333333"/>
                <w:sz w:val="20"/>
                <w:szCs w:val="20"/>
              </w:rPr>
            </w:pPr>
            <w:r w:rsidRPr="00EF4097">
              <w:rPr>
                <w:rFonts w:ascii="Arial Narrow" w:hAnsi="Arial Narrow" w:cs="Arial"/>
                <w:color w:val="333333"/>
                <w:sz w:val="20"/>
                <w:szCs w:val="20"/>
              </w:rPr>
              <w:t>Patient must not have developed disease progression while being treated with this drug for this condition.</w:t>
            </w:r>
          </w:p>
        </w:tc>
      </w:tr>
    </w:tbl>
    <w:p w14:paraId="3950B18C" w14:textId="184D2054" w:rsidR="00BA2486" w:rsidRDefault="00BA2486" w:rsidP="00BA2486">
      <w:pPr>
        <w:rPr>
          <w:rFonts w:ascii="Arial" w:hAnsi="Arial"/>
          <w:kern w:val="2"/>
          <w:sz w:val="20"/>
          <w:lang w:eastAsia="en-US"/>
          <w14:ligatures w14:val="standardContextual"/>
        </w:rPr>
      </w:pPr>
    </w:p>
    <w:p w14:paraId="5D3D0176" w14:textId="77777777" w:rsidR="00F20114" w:rsidRDefault="00F20114" w:rsidP="00F20114">
      <w:pPr>
        <w:spacing w:line="259" w:lineRule="auto"/>
        <w:contextualSpacing/>
        <w:jc w:val="left"/>
        <w:rPr>
          <w:b/>
          <w:i/>
          <w:iCs/>
          <w:lang w:val="en-GB"/>
        </w:rPr>
      </w:pPr>
      <w:r w:rsidRPr="009468BE">
        <w:rPr>
          <w:b/>
          <w:i/>
          <w:iCs/>
          <w:lang w:val="en-GB"/>
        </w:rPr>
        <w:t>These restrictions may be subject to further review. Should there be any changes made to the restriction the sponsor will be informed.</w:t>
      </w:r>
    </w:p>
    <w:p w14:paraId="0B1F7376" w14:textId="77777777" w:rsidR="00F14BCA" w:rsidRDefault="00F14BCA" w:rsidP="00F20114">
      <w:pPr>
        <w:spacing w:line="259" w:lineRule="auto"/>
        <w:contextualSpacing/>
        <w:jc w:val="left"/>
        <w:rPr>
          <w:b/>
          <w:i/>
          <w:iCs/>
          <w:lang w:val="en-GB"/>
        </w:rPr>
      </w:pPr>
    </w:p>
    <w:p w14:paraId="553FFA46" w14:textId="77777777" w:rsidR="00F14BCA" w:rsidRDefault="00F14BCA" w:rsidP="00D01E4D">
      <w:pPr>
        <w:pStyle w:val="2-SectionHeading"/>
      </w:pPr>
      <w:r w:rsidRPr="00F14BCA">
        <w:lastRenderedPageBreak/>
        <w:t>Context for Decision</w:t>
      </w:r>
    </w:p>
    <w:p w14:paraId="06ECBA17" w14:textId="49CC93A1" w:rsidR="001E5981" w:rsidRPr="001E5981" w:rsidRDefault="001E5981" w:rsidP="001E5981">
      <w:pPr>
        <w:spacing w:after="120"/>
        <w:ind w:left="720"/>
        <w:rPr>
          <w:rFonts w:cs="Arial"/>
          <w:bCs/>
          <w:lang w:val="en-GB"/>
        </w:rPr>
      </w:pPr>
      <w:r w:rsidRPr="00DA3E06">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C6E150A" w14:textId="77777777" w:rsidR="00F14BCA" w:rsidRPr="00F14BCA" w:rsidRDefault="00F14BCA" w:rsidP="00D01E4D">
      <w:pPr>
        <w:pStyle w:val="2-SectionHeading"/>
      </w:pPr>
      <w:r w:rsidRPr="00F14BCA">
        <w:t>Sponsor’s Comment</w:t>
      </w:r>
    </w:p>
    <w:p w14:paraId="506FC8AD" w14:textId="77777777" w:rsidR="00F14BCA" w:rsidRPr="00F14BCA" w:rsidRDefault="00F14BCA" w:rsidP="001E5981">
      <w:pPr>
        <w:spacing w:before="120" w:after="120"/>
        <w:ind w:firstLine="720"/>
        <w:jc w:val="left"/>
        <w:rPr>
          <w:rFonts w:cs="Calibri"/>
        </w:rPr>
      </w:pPr>
      <w:r w:rsidRPr="00F14BCA">
        <w:rPr>
          <w:rFonts w:cs="Calibri"/>
        </w:rPr>
        <w:t>The sponsor had no comment.</w:t>
      </w:r>
    </w:p>
    <w:p w14:paraId="39EF8A9F" w14:textId="77777777" w:rsidR="00F14BCA" w:rsidRPr="00F14BCA" w:rsidRDefault="00F14BCA" w:rsidP="00F20114">
      <w:pPr>
        <w:spacing w:line="259" w:lineRule="auto"/>
        <w:contextualSpacing/>
        <w:jc w:val="left"/>
      </w:pPr>
    </w:p>
    <w:p w14:paraId="57AE854F" w14:textId="77777777" w:rsidR="00F20114" w:rsidRDefault="00F20114" w:rsidP="009E00AD">
      <w:pPr>
        <w:pStyle w:val="3-BodyText"/>
        <w:numPr>
          <w:ilvl w:val="0"/>
          <w:numId w:val="0"/>
        </w:numPr>
      </w:pPr>
    </w:p>
    <w:sectPr w:rsidR="00F20114" w:rsidSect="00C27B5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92E8" w14:textId="77777777" w:rsidR="001853D2" w:rsidRPr="00FA0529" w:rsidRDefault="001853D2">
      <w:r w:rsidRPr="00FA0529">
        <w:separator/>
      </w:r>
    </w:p>
    <w:p w14:paraId="39899863" w14:textId="77777777" w:rsidR="001853D2" w:rsidRPr="00FA0529" w:rsidRDefault="001853D2"/>
    <w:p w14:paraId="6EA7DA17" w14:textId="77777777" w:rsidR="001853D2" w:rsidRPr="00FA0529" w:rsidRDefault="001853D2"/>
  </w:endnote>
  <w:endnote w:type="continuationSeparator" w:id="0">
    <w:p w14:paraId="5228F1B3" w14:textId="77777777" w:rsidR="001853D2" w:rsidRPr="00FA0529" w:rsidRDefault="001853D2">
      <w:r w:rsidRPr="00FA0529">
        <w:continuationSeparator/>
      </w:r>
    </w:p>
    <w:p w14:paraId="07CD3D64" w14:textId="77777777" w:rsidR="001853D2" w:rsidRPr="00FA0529" w:rsidRDefault="001853D2"/>
    <w:p w14:paraId="67B8E53D" w14:textId="77777777" w:rsidR="001853D2" w:rsidRPr="00FA0529" w:rsidRDefault="001853D2"/>
  </w:endnote>
  <w:endnote w:type="continuationNotice" w:id="1">
    <w:p w14:paraId="07618678" w14:textId="77777777" w:rsidR="001853D2" w:rsidRPr="00FA0529" w:rsidRDefault="001853D2"/>
    <w:p w14:paraId="43706948" w14:textId="77777777" w:rsidR="001853D2" w:rsidRPr="00FA0529" w:rsidRDefault="00185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rsidRPr="00FA0529" w14:paraId="4075D3FE" w14:textId="77777777" w:rsidTr="005A3173">
      <w:trPr>
        <w:trHeight w:val="151"/>
      </w:trPr>
      <w:tc>
        <w:tcPr>
          <w:tcW w:w="2250" w:type="pct"/>
          <w:tcBorders>
            <w:top w:val="nil"/>
            <w:left w:val="nil"/>
            <w:bottom w:val="single" w:sz="4" w:space="0" w:color="4F81BD"/>
            <w:right w:val="nil"/>
          </w:tcBorders>
        </w:tcPr>
        <w:p w14:paraId="096D0DDE" w14:textId="40EA8436" w:rsidR="00240165" w:rsidRPr="00FA0529" w:rsidRDefault="002F307D" w:rsidP="005A3173">
          <w:pP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3365" behindDoc="0" locked="0" layoutInCell="1" allowOverlap="1" wp14:anchorId="7FDEEA8C" wp14:editId="1A1E3839">
                    <wp:simplePos x="635" y="635"/>
                    <wp:positionH relativeFrom="page">
                      <wp:align>center</wp:align>
                    </wp:positionH>
                    <wp:positionV relativeFrom="page">
                      <wp:align>bottom</wp:align>
                    </wp:positionV>
                    <wp:extent cx="622300" cy="376555"/>
                    <wp:effectExtent l="0" t="0" r="6350" b="0"/>
                    <wp:wrapNone/>
                    <wp:docPr id="77553365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3D3775" w14:textId="74852C69" w:rsidR="002F307D" w:rsidRPr="002F307D" w:rsidRDefault="002F307D" w:rsidP="002F307D">
                                <w:pPr>
                                  <w:rPr>
                                    <w:rFonts w:ascii="Aptos" w:eastAsia="Aptos" w:hAnsi="Aptos" w:cs="Aptos"/>
                                    <w:noProof/>
                                    <w:color w:val="FF0000"/>
                                  </w:rPr>
                                </w:pPr>
                                <w:r w:rsidRPr="002F307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DEEA8C"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113D3775" w14:textId="74852C69" w:rsidR="002F307D" w:rsidRPr="002F307D" w:rsidRDefault="002F307D" w:rsidP="002F307D">
                          <w:pPr>
                            <w:rPr>
                              <w:rFonts w:ascii="Aptos" w:eastAsia="Aptos" w:hAnsi="Aptos" w:cs="Aptos"/>
                              <w:noProof/>
                              <w:color w:val="FF0000"/>
                            </w:rPr>
                          </w:pPr>
                          <w:r w:rsidRPr="002F307D">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240165" w:rsidRPr="00FA0529" w:rsidRDefault="00240165" w:rsidP="005A3173">
          <w:pPr>
            <w:spacing w:line="276" w:lineRule="auto"/>
            <w:rPr>
              <w:color w:val="365F91"/>
            </w:rPr>
          </w:pPr>
          <w:r w:rsidRPr="00FA0529">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FA0529" w:rsidRDefault="00240165" w:rsidP="005A3173">
          <w:pPr>
            <w:spacing w:line="276" w:lineRule="auto"/>
            <w:rPr>
              <w:rFonts w:eastAsia="MS Gothic"/>
              <w:b/>
              <w:bCs/>
              <w:color w:val="4F81BD"/>
            </w:rPr>
          </w:pPr>
        </w:p>
      </w:tc>
    </w:tr>
    <w:tr w:rsidR="00240165" w:rsidRPr="00FA0529"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FA0529"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FA0529"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FA0529" w:rsidRDefault="00240165" w:rsidP="005A3173">
          <w:pPr>
            <w:spacing w:line="276" w:lineRule="auto"/>
            <w:rPr>
              <w:rFonts w:eastAsia="MS Gothic"/>
              <w:b/>
              <w:bCs/>
              <w:color w:val="4F81BD"/>
            </w:rPr>
          </w:pPr>
        </w:p>
      </w:tc>
    </w:tr>
  </w:tbl>
  <w:p w14:paraId="21855C18" w14:textId="77777777" w:rsidR="00240165" w:rsidRPr="00FA0529" w:rsidRDefault="00240165" w:rsidP="00653D69">
    <w:pPr>
      <w:framePr w:wrap="around" w:vAnchor="text" w:hAnchor="margin" w:xAlign="center" w:y="1"/>
    </w:pPr>
    <w:r w:rsidRPr="00FA0529">
      <w:fldChar w:fldCharType="begin"/>
    </w:r>
    <w:r w:rsidRPr="00FA0529">
      <w:instrText xml:space="preserve">PAGE  </w:instrText>
    </w:r>
    <w:r w:rsidRPr="00FA0529">
      <w:fldChar w:fldCharType="end"/>
    </w:r>
  </w:p>
  <w:p w14:paraId="142ACCCE" w14:textId="77777777" w:rsidR="00240165" w:rsidRPr="00FA0529" w:rsidRDefault="00240165"/>
  <w:p w14:paraId="48FFA445" w14:textId="77777777" w:rsidR="00240165" w:rsidRPr="00FA0529" w:rsidRDefault="00240165"/>
  <w:p w14:paraId="49A45502" w14:textId="77777777" w:rsidR="00240165" w:rsidRPr="00FA0529"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4EC" w14:textId="31AF9F25" w:rsidR="00774465" w:rsidRPr="00FA0529" w:rsidRDefault="002F307D" w:rsidP="00774465">
    <w:pPr>
      <w:pStyle w:val="Footer"/>
    </w:pPr>
    <w:r>
      <w:rPr>
        <w:noProof/>
      </w:rPr>
      <mc:AlternateContent>
        <mc:Choice Requires="wps">
          <w:drawing>
            <wp:anchor distT="0" distB="0" distL="0" distR="0" simplePos="0" relativeHeight="251664389" behindDoc="0" locked="0" layoutInCell="1" allowOverlap="1" wp14:anchorId="39791A7F" wp14:editId="5FAFD8B6">
              <wp:simplePos x="635" y="635"/>
              <wp:positionH relativeFrom="page">
                <wp:align>center</wp:align>
              </wp:positionH>
              <wp:positionV relativeFrom="page">
                <wp:align>bottom</wp:align>
              </wp:positionV>
              <wp:extent cx="622300" cy="376555"/>
              <wp:effectExtent l="0" t="0" r="6350" b="0"/>
              <wp:wrapNone/>
              <wp:docPr id="2256825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CE3987" w14:textId="51819FC6" w:rsidR="002F307D" w:rsidRPr="002F307D" w:rsidRDefault="002F307D" w:rsidP="002F307D">
                          <w:pPr>
                            <w:rPr>
                              <w:rFonts w:ascii="Aptos" w:eastAsia="Aptos" w:hAnsi="Aptos" w:cs="Aptos"/>
                              <w:noProof/>
                              <w:color w:val="FF0000"/>
                            </w:rPr>
                          </w:pPr>
                          <w:r w:rsidRPr="002F307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91A7F"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BCE3987" w14:textId="51819FC6" w:rsidR="002F307D" w:rsidRPr="002F307D" w:rsidRDefault="002F307D" w:rsidP="002F307D">
                    <w:pPr>
                      <w:rPr>
                        <w:rFonts w:ascii="Aptos" w:eastAsia="Aptos" w:hAnsi="Aptos" w:cs="Aptos"/>
                        <w:noProof/>
                        <w:color w:val="FF0000"/>
                      </w:rPr>
                    </w:pPr>
                    <w:r w:rsidRPr="002F307D">
                      <w:rPr>
                        <w:rFonts w:ascii="Aptos" w:eastAsia="Aptos" w:hAnsi="Aptos" w:cs="Aptos"/>
                        <w:noProof/>
                        <w:color w:val="FF0000"/>
                      </w:rPr>
                      <w:t>OFFICIAL</w:t>
                    </w:r>
                  </w:p>
                </w:txbxContent>
              </v:textbox>
              <w10:wrap anchorx="page" anchory="page"/>
            </v:shape>
          </w:pict>
        </mc:Fallback>
      </mc:AlternateContent>
    </w:r>
  </w:p>
  <w:sdt>
    <w:sdtPr>
      <w:id w:val="95759956"/>
      <w:docPartObj>
        <w:docPartGallery w:val="Page Numbers (Bottom of Page)"/>
        <w:docPartUnique/>
      </w:docPartObj>
    </w:sdtPr>
    <w:sdtEndPr>
      <w:rPr>
        <w:b/>
        <w:bCs/>
      </w:rPr>
    </w:sdtEndPr>
    <w:sdtContent>
      <w:p w14:paraId="07DAAF98" w14:textId="01A59AA0" w:rsidR="00CF066B" w:rsidRPr="00FA0529" w:rsidRDefault="00774465" w:rsidP="00774465">
        <w:pPr>
          <w:pStyle w:val="Footer"/>
          <w:rPr>
            <w:b/>
            <w:bCs/>
          </w:rPr>
        </w:pPr>
        <w:r w:rsidRPr="00FA0529">
          <w:rPr>
            <w:b/>
            <w:bCs/>
          </w:rPr>
          <w:fldChar w:fldCharType="begin"/>
        </w:r>
        <w:r w:rsidRPr="00FA0529">
          <w:rPr>
            <w:b/>
            <w:bCs/>
          </w:rPr>
          <w:instrText xml:space="preserve"> PAGE   \* MERGEFORMAT </w:instrText>
        </w:r>
        <w:r w:rsidRPr="00FA0529">
          <w:rPr>
            <w:b/>
            <w:bCs/>
          </w:rPr>
          <w:fldChar w:fldCharType="separate"/>
        </w:r>
        <w:r w:rsidRPr="00FA0529">
          <w:rPr>
            <w:b/>
            <w:bCs/>
          </w:rPr>
          <w:t>2</w:t>
        </w:r>
        <w:r w:rsidRPr="00FA0529">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39"/>
      <w:gridCol w:w="1347"/>
      <w:gridCol w:w="3840"/>
    </w:tblGrid>
    <w:tr w:rsidR="00240165" w:rsidRPr="00FA0529" w14:paraId="1B1A9BFB" w14:textId="77777777" w:rsidTr="005A3173">
      <w:trPr>
        <w:trHeight w:val="151"/>
      </w:trPr>
      <w:tc>
        <w:tcPr>
          <w:tcW w:w="2250" w:type="pct"/>
          <w:tcBorders>
            <w:top w:val="nil"/>
            <w:left w:val="nil"/>
            <w:bottom w:val="single" w:sz="4" w:space="0" w:color="4F81BD"/>
            <w:right w:val="nil"/>
          </w:tcBorders>
        </w:tcPr>
        <w:p w14:paraId="1AEC0F9B" w14:textId="239E0DF2" w:rsidR="00240165" w:rsidRPr="00FA0529" w:rsidRDefault="002F307D" w:rsidP="005A3173">
          <w:pP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62341" behindDoc="0" locked="0" layoutInCell="1" allowOverlap="1" wp14:anchorId="0189C7C6" wp14:editId="14D969A5">
                    <wp:simplePos x="635" y="635"/>
                    <wp:positionH relativeFrom="page">
                      <wp:align>center</wp:align>
                    </wp:positionH>
                    <wp:positionV relativeFrom="page">
                      <wp:align>bottom</wp:align>
                    </wp:positionV>
                    <wp:extent cx="622300" cy="376555"/>
                    <wp:effectExtent l="0" t="0" r="6350" b="0"/>
                    <wp:wrapNone/>
                    <wp:docPr id="8057500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96ED48" w14:textId="07199852" w:rsidR="002F307D" w:rsidRPr="002F307D" w:rsidRDefault="002F307D" w:rsidP="002F307D">
                                <w:pPr>
                                  <w:rPr>
                                    <w:rFonts w:ascii="Aptos" w:eastAsia="Aptos" w:hAnsi="Aptos" w:cs="Aptos"/>
                                    <w:noProof/>
                                    <w:color w:val="FF0000"/>
                                  </w:rPr>
                                </w:pPr>
                                <w:r w:rsidRPr="002F307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89C7C6"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2696ED48" w14:textId="07199852" w:rsidR="002F307D" w:rsidRPr="002F307D" w:rsidRDefault="002F307D" w:rsidP="002F307D">
                          <w:pPr>
                            <w:rPr>
                              <w:rFonts w:ascii="Aptos" w:eastAsia="Aptos" w:hAnsi="Aptos" w:cs="Aptos"/>
                              <w:noProof/>
                              <w:color w:val="FF0000"/>
                            </w:rPr>
                          </w:pPr>
                          <w:r w:rsidRPr="002F307D">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6D1F795C" w14:textId="77777777" w:rsidR="00240165" w:rsidRPr="00FA0529" w:rsidRDefault="00240165" w:rsidP="005A3173">
          <w:pPr>
            <w:spacing w:line="276" w:lineRule="auto"/>
            <w:rPr>
              <w:color w:val="365F91"/>
            </w:rPr>
          </w:pPr>
          <w:r w:rsidRPr="00FA0529">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FA0529" w:rsidRDefault="00240165" w:rsidP="005A3173">
          <w:pPr>
            <w:spacing w:line="276" w:lineRule="auto"/>
            <w:rPr>
              <w:rFonts w:eastAsia="MS Gothic"/>
              <w:b/>
              <w:bCs/>
              <w:color w:val="4F81BD"/>
            </w:rPr>
          </w:pPr>
        </w:p>
      </w:tc>
    </w:tr>
    <w:tr w:rsidR="00240165" w:rsidRPr="00FA0529"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FA0529"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FA0529"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FA0529"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rsidRPr="00FA0529"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FA0529"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FA0529" w:rsidRDefault="00240165" w:rsidP="005A3173">
          <w:pPr>
            <w:spacing w:line="276" w:lineRule="auto"/>
            <w:rPr>
              <w:color w:val="365F91"/>
            </w:rPr>
          </w:pPr>
          <w:r w:rsidRPr="00FA0529">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FA0529" w:rsidRDefault="00240165" w:rsidP="005A3173">
          <w:pPr>
            <w:spacing w:line="276" w:lineRule="auto"/>
            <w:rPr>
              <w:rFonts w:eastAsia="MS Gothic"/>
              <w:b/>
              <w:bCs/>
              <w:color w:val="4F81BD"/>
            </w:rPr>
          </w:pPr>
        </w:p>
      </w:tc>
    </w:tr>
    <w:tr w:rsidR="00240165" w:rsidRPr="00FA0529"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FA0529"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FA0529"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FA0529" w:rsidRDefault="00240165" w:rsidP="005A3173">
          <w:pPr>
            <w:spacing w:line="276" w:lineRule="auto"/>
            <w:rPr>
              <w:rFonts w:eastAsia="MS Gothic"/>
              <w:b/>
              <w:bCs/>
              <w:color w:val="4F81BD"/>
            </w:rPr>
          </w:pPr>
        </w:p>
      </w:tc>
    </w:tr>
  </w:tbl>
  <w:p w14:paraId="679BDCC0" w14:textId="6DE8BE11" w:rsidR="00240165" w:rsidRPr="00FA0529" w:rsidRDefault="00240165" w:rsidP="007C0F57">
    <w:pPr>
      <w:jc w:val="center"/>
      <w:rPr>
        <w:b/>
        <w:i/>
        <w:sz w:val="20"/>
        <w:szCs w:val="20"/>
      </w:rPr>
    </w:pPr>
    <w:r w:rsidRPr="00FA0529">
      <w:rPr>
        <w:b/>
        <w:i/>
        <w:sz w:val="20"/>
        <w:szCs w:val="20"/>
      </w:rPr>
      <w:t xml:space="preserve">Draft </w:t>
    </w:r>
    <w:r w:rsidR="006D05C2">
      <w:rPr>
        <w:b/>
        <w:i/>
        <w:sz w:val="20"/>
        <w:szCs w:val="20"/>
      </w:rPr>
      <w:t>PSD</w:t>
    </w:r>
    <w:r w:rsidRPr="00FA0529">
      <w:rPr>
        <w:b/>
        <w:i/>
        <w:sz w:val="20"/>
        <w:szCs w:val="20"/>
      </w:rPr>
      <w:t xml:space="preserve"> November 2011 P</w:t>
    </w:r>
    <w:r w:rsidRPr="00FA0529">
      <w:fldChar w:fldCharType="begin"/>
    </w:r>
    <w:r w:rsidRPr="00FA0529">
      <w:instrText xml:space="preserve"> PAGE </w:instrText>
    </w:r>
    <w:r w:rsidRPr="00FA0529">
      <w:fldChar w:fldCharType="separate"/>
    </w:r>
    <w:r w:rsidRPr="00FA0529">
      <w:t>1</w:t>
    </w:r>
    <w:r w:rsidRPr="00FA0529">
      <w:fldChar w:fldCharType="end"/>
    </w:r>
    <w:r w:rsidRPr="00FA0529">
      <w:rPr>
        <w:b/>
        <w:i/>
        <w:sz w:val="20"/>
        <w:szCs w:val="20"/>
      </w:rPr>
      <w:t>BAC Meeting</w:t>
    </w:r>
  </w:p>
  <w:p w14:paraId="617093FB" w14:textId="25CE5436" w:rsidR="00240165" w:rsidRPr="00FA0529" w:rsidRDefault="00240165" w:rsidP="007C0F57">
    <w:pPr>
      <w:jc w:val="center"/>
      <w:rPr>
        <w:b/>
        <w:i/>
        <w:sz w:val="20"/>
        <w:szCs w:val="20"/>
      </w:rPr>
    </w:pPr>
    <w:r w:rsidRPr="00FA0529">
      <w:rPr>
        <w:b/>
        <w:i/>
        <w:sz w:val="20"/>
        <w:szCs w:val="20"/>
      </w:rPr>
      <w:t>Commercial</w:t>
    </w:r>
    <w:r w:rsidR="00AD44B1">
      <w:rPr>
        <w:b/>
        <w:i/>
        <w:sz w:val="20"/>
        <w:szCs w:val="20"/>
      </w:rPr>
      <w:noBreakHyphen/>
    </w:r>
    <w:r w:rsidRPr="00FA0529">
      <w:rPr>
        <w:b/>
        <w:i/>
        <w:sz w:val="20"/>
        <w:szCs w:val="20"/>
      </w:rPr>
      <w:t>in</w:t>
    </w:r>
    <w:r w:rsidR="00AD44B1">
      <w:rPr>
        <w:b/>
        <w:i/>
        <w:sz w:val="20"/>
        <w:szCs w:val="20"/>
      </w:rPr>
      <w:noBreakHyphen/>
    </w:r>
    <w:r w:rsidRPr="00FA0529">
      <w:rPr>
        <w:b/>
        <w:i/>
        <w:sz w:val="20"/>
        <w:szCs w:val="20"/>
      </w:rPr>
      <w:t>Confidence</w:t>
    </w:r>
  </w:p>
  <w:p w14:paraId="36E9E30B" w14:textId="77777777" w:rsidR="00240165" w:rsidRPr="00FA0529" w:rsidRDefault="00240165"/>
  <w:p w14:paraId="419E5320" w14:textId="77777777" w:rsidR="00240165" w:rsidRPr="00FA0529"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2ED94" w14:textId="77777777" w:rsidR="001853D2" w:rsidRPr="00FA0529" w:rsidRDefault="001853D2">
      <w:r w:rsidRPr="00FA0529">
        <w:separator/>
      </w:r>
    </w:p>
    <w:p w14:paraId="3CA130A4" w14:textId="77777777" w:rsidR="001853D2" w:rsidRPr="00FA0529" w:rsidRDefault="001853D2"/>
    <w:p w14:paraId="0ED3D04F" w14:textId="77777777" w:rsidR="001853D2" w:rsidRPr="00FA0529" w:rsidRDefault="001853D2"/>
  </w:footnote>
  <w:footnote w:type="continuationSeparator" w:id="0">
    <w:p w14:paraId="4C580205" w14:textId="77777777" w:rsidR="001853D2" w:rsidRPr="00FA0529" w:rsidRDefault="001853D2">
      <w:r w:rsidRPr="00FA0529">
        <w:continuationSeparator/>
      </w:r>
    </w:p>
    <w:p w14:paraId="6752535B" w14:textId="77777777" w:rsidR="001853D2" w:rsidRPr="00FA0529" w:rsidRDefault="001853D2"/>
    <w:p w14:paraId="5C54A638" w14:textId="77777777" w:rsidR="001853D2" w:rsidRPr="00FA0529" w:rsidRDefault="001853D2"/>
  </w:footnote>
  <w:footnote w:type="continuationNotice" w:id="1">
    <w:p w14:paraId="726ADD11" w14:textId="77777777" w:rsidR="001853D2" w:rsidRPr="00FA0529" w:rsidRDefault="001853D2"/>
    <w:p w14:paraId="08AFD562" w14:textId="77777777" w:rsidR="001853D2" w:rsidRPr="00FA0529" w:rsidRDefault="001853D2"/>
  </w:footnote>
  <w:footnote w:id="2">
    <w:p w14:paraId="09F22523" w14:textId="77777777" w:rsidR="00DA3E06" w:rsidRDefault="00DA3E06" w:rsidP="00DA3E06">
      <w:pPr>
        <w:pStyle w:val="FootnoteText"/>
        <w:rPr>
          <w:i/>
          <w:iCs/>
        </w:rPr>
      </w:pPr>
      <w:r>
        <w:rPr>
          <w:rStyle w:val="FootnoteReference"/>
          <w:i/>
          <w:iCs/>
        </w:rPr>
        <w:footnoteRef/>
      </w:r>
      <w:r>
        <w:rPr>
          <w:i/>
          <w:iCs/>
        </w:rPr>
        <w:t xml:space="preserve"> </w:t>
      </w:r>
      <w:r>
        <w:t>Cherny NI, Dafni U, Bogaerts J, et al: ESMO-Magnitude of Clinical Benefit Scale version 1.1. Annals of Oncology 28:2340-2366, 2017]</w:t>
      </w:r>
    </w:p>
  </w:footnote>
  <w:footnote w:id="3">
    <w:p w14:paraId="29875508" w14:textId="77777777" w:rsidR="00DA3E06" w:rsidRDefault="00DA3E06" w:rsidP="00DA3E06">
      <w:pPr>
        <w:pStyle w:val="FootnoteText"/>
      </w:pPr>
      <w:r>
        <w:rPr>
          <w:rStyle w:val="FootnoteReference"/>
        </w:rPr>
        <w:footnoteRef/>
      </w:r>
      <w:r>
        <w:t xml:space="preserve"> Note that the results presented in this section 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 </w:t>
      </w:r>
    </w:p>
    <w:p w14:paraId="47D5D8EA" w14:textId="77777777" w:rsidR="00DA3E06" w:rsidRDefault="00DA3E06" w:rsidP="00DA3E06">
      <w:pPr>
        <w:pStyle w:val="FootnoteText"/>
      </w:pPr>
    </w:p>
  </w:footnote>
  <w:footnote w:id="4">
    <w:p w14:paraId="71EF6E02" w14:textId="77777777" w:rsidR="00DA3E06" w:rsidRDefault="00DA3E06" w:rsidP="00DA3E06">
      <w:pPr>
        <w:pStyle w:val="FootnoteText"/>
      </w:pPr>
      <w:r>
        <w:rPr>
          <w:rStyle w:val="FootnoteReference"/>
        </w:rPr>
        <w:footnoteRef/>
      </w:r>
      <w:r>
        <w:t xml:space="preserve">Note that the results presented in this section 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 </w:t>
      </w:r>
    </w:p>
    <w:p w14:paraId="095C3D3D" w14:textId="77777777" w:rsidR="00DA3E06" w:rsidRDefault="00DA3E06" w:rsidP="00DA3E06">
      <w:pPr>
        <w:pStyle w:val="FootnoteText"/>
      </w:pPr>
    </w:p>
  </w:footnote>
  <w:footnote w:id="5">
    <w:p w14:paraId="32A6000A" w14:textId="77777777" w:rsidR="00DA3E06" w:rsidRDefault="00DA3E06" w:rsidP="00DA3E06">
      <w:pPr>
        <w:pStyle w:val="FootnoteText"/>
      </w:pPr>
      <w:r>
        <w:rPr>
          <w:rStyle w:val="FootnoteReference"/>
        </w:rPr>
        <w:footnoteRef/>
      </w:r>
      <w:r>
        <w:t xml:space="preserve"> (1/13.863%) x (1/50%) = 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FA0529" w14:paraId="263B07EE" w14:textId="77777777" w:rsidTr="00A06225">
      <w:trPr>
        <w:trHeight w:val="151"/>
      </w:trPr>
      <w:tc>
        <w:tcPr>
          <w:tcW w:w="2389" w:type="pct"/>
          <w:tcBorders>
            <w:top w:val="nil"/>
            <w:left w:val="nil"/>
            <w:bottom w:val="single" w:sz="4" w:space="0" w:color="4F81BD"/>
            <w:right w:val="nil"/>
          </w:tcBorders>
        </w:tcPr>
        <w:p w14:paraId="4C63CCAF" w14:textId="19127E44" w:rsidR="00240165" w:rsidRPr="00FA0529" w:rsidRDefault="002F307D">
          <w:pP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60293" behindDoc="0" locked="0" layoutInCell="1" allowOverlap="1" wp14:anchorId="7582C60D" wp14:editId="0C960F35">
                    <wp:simplePos x="635" y="635"/>
                    <wp:positionH relativeFrom="page">
                      <wp:align>center</wp:align>
                    </wp:positionH>
                    <wp:positionV relativeFrom="page">
                      <wp:align>top</wp:align>
                    </wp:positionV>
                    <wp:extent cx="622300" cy="376555"/>
                    <wp:effectExtent l="0" t="0" r="6350" b="4445"/>
                    <wp:wrapNone/>
                    <wp:docPr id="18199568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DB40078" w14:textId="6D82C9AB" w:rsidR="002F307D" w:rsidRPr="002F307D" w:rsidRDefault="002F307D" w:rsidP="002F307D">
                                <w:pPr>
                                  <w:rPr>
                                    <w:rFonts w:ascii="Aptos" w:eastAsia="Aptos" w:hAnsi="Aptos" w:cs="Aptos"/>
                                    <w:noProof/>
                                    <w:color w:val="FF0000"/>
                                  </w:rPr>
                                </w:pPr>
                                <w:r w:rsidRPr="002F307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2C60D"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DB40078" w14:textId="6D82C9AB" w:rsidR="002F307D" w:rsidRPr="002F307D" w:rsidRDefault="002F307D" w:rsidP="002F307D">
                          <w:pPr>
                            <w:rPr>
                              <w:rFonts w:ascii="Aptos" w:eastAsia="Aptos" w:hAnsi="Aptos" w:cs="Aptos"/>
                              <w:noProof/>
                              <w:color w:val="FF0000"/>
                            </w:rPr>
                          </w:pPr>
                          <w:r w:rsidRPr="002F307D">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240165" w:rsidRPr="00FA0529" w:rsidRDefault="00240165" w:rsidP="00A06225">
          <w:pPr>
            <w:rPr>
              <w:rFonts w:ascii="Cambria" w:hAnsi="Cambria"/>
              <w:color w:val="4F81BD"/>
              <w:szCs w:val="20"/>
            </w:rPr>
          </w:pPr>
          <w:r w:rsidRPr="00FA0529">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FA0529" w:rsidRDefault="00240165">
          <w:pPr>
            <w:spacing w:line="276" w:lineRule="auto"/>
            <w:rPr>
              <w:rFonts w:ascii="Cambria" w:eastAsia="MS Gothic" w:hAnsi="Cambria"/>
              <w:b/>
              <w:bCs/>
              <w:color w:val="4F81BD"/>
            </w:rPr>
          </w:pPr>
        </w:p>
      </w:tc>
    </w:tr>
    <w:tr w:rsidR="00240165" w:rsidRPr="00FA0529"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FA0529"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FA0529"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FA0529" w:rsidRDefault="00240165">
          <w:pPr>
            <w:spacing w:line="276" w:lineRule="auto"/>
            <w:rPr>
              <w:rFonts w:ascii="Cambria" w:eastAsia="MS Gothic" w:hAnsi="Cambria"/>
              <w:b/>
              <w:bCs/>
              <w:color w:val="4F81BD"/>
            </w:rPr>
          </w:pPr>
        </w:p>
      </w:tc>
    </w:tr>
  </w:tbl>
  <w:p w14:paraId="7DCC695F" w14:textId="77777777" w:rsidR="00240165" w:rsidRPr="00FA0529" w:rsidRDefault="00240165"/>
  <w:p w14:paraId="25F34A60" w14:textId="77777777" w:rsidR="00240165" w:rsidRPr="00FA0529" w:rsidRDefault="00240165"/>
  <w:p w14:paraId="571F4956" w14:textId="77777777" w:rsidR="00240165" w:rsidRPr="00FA0529"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45E5" w14:textId="615B9502" w:rsidR="00774465" w:rsidRPr="00FA0529" w:rsidRDefault="002F307D" w:rsidP="00774465">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noProof/>
        <w:color w:val="808080"/>
      </w:rPr>
      <mc:AlternateContent>
        <mc:Choice Requires="wps">
          <w:drawing>
            <wp:anchor distT="0" distB="0" distL="0" distR="0" simplePos="0" relativeHeight="251661317" behindDoc="0" locked="0" layoutInCell="1" allowOverlap="1" wp14:anchorId="1902BA3C" wp14:editId="4F82125B">
              <wp:simplePos x="635" y="635"/>
              <wp:positionH relativeFrom="page">
                <wp:align>center</wp:align>
              </wp:positionH>
              <wp:positionV relativeFrom="page">
                <wp:align>top</wp:align>
              </wp:positionV>
              <wp:extent cx="622300" cy="376555"/>
              <wp:effectExtent l="0" t="0" r="6350" b="4445"/>
              <wp:wrapNone/>
              <wp:docPr id="17563570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5210F3" w14:textId="36610DE6" w:rsidR="002F307D" w:rsidRPr="002F307D" w:rsidRDefault="002F307D" w:rsidP="002F307D">
                          <w:pPr>
                            <w:rPr>
                              <w:rFonts w:ascii="Aptos" w:eastAsia="Aptos" w:hAnsi="Aptos" w:cs="Aptos"/>
                              <w:noProof/>
                              <w:color w:val="FF0000"/>
                            </w:rPr>
                          </w:pPr>
                          <w:r w:rsidRPr="002F307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02BA3C"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B5210F3" w14:textId="36610DE6" w:rsidR="002F307D" w:rsidRPr="002F307D" w:rsidRDefault="002F307D" w:rsidP="002F307D">
                    <w:pPr>
                      <w:rPr>
                        <w:rFonts w:ascii="Aptos" w:eastAsia="Aptos" w:hAnsi="Aptos" w:cs="Aptos"/>
                        <w:noProof/>
                        <w:color w:val="FF0000"/>
                      </w:rPr>
                    </w:pPr>
                    <w:r w:rsidRPr="002F307D">
                      <w:rPr>
                        <w:rFonts w:ascii="Aptos" w:eastAsia="Aptos" w:hAnsi="Aptos" w:cs="Aptos"/>
                        <w:noProof/>
                        <w:color w:val="FF0000"/>
                      </w:rPr>
                      <w:t>OFFICIAL</w:t>
                    </w:r>
                  </w:p>
                </w:txbxContent>
              </v:textbox>
              <w10:wrap anchorx="page" anchory="page"/>
            </v:shape>
          </w:pict>
        </mc:Fallback>
      </mc:AlternateContent>
    </w:r>
    <w:r w:rsidR="00E45B3D">
      <w:rPr>
        <w:rFonts w:asciiTheme="minorHAnsi" w:eastAsiaTheme="minorEastAsia" w:hAnsiTheme="minorHAnsi" w:cstheme="minorHAnsi"/>
        <w:i/>
        <w:color w:val="808080"/>
      </w:rPr>
      <w:t xml:space="preserve">Public Summary Document </w:t>
    </w:r>
    <w:r w:rsidR="00774465" w:rsidRPr="00FA0529">
      <w:rPr>
        <w:rFonts w:asciiTheme="minorHAnsi" w:eastAsiaTheme="minorEastAsia" w:hAnsiTheme="minorHAnsi" w:cstheme="minorHAnsi"/>
        <w:i/>
        <w:color w:val="808080"/>
      </w:rPr>
      <w:t xml:space="preserve">– </w:t>
    </w:r>
    <w:r w:rsidR="00AC7510" w:rsidRPr="00FA0529">
      <w:rPr>
        <w:rFonts w:asciiTheme="minorHAnsi" w:eastAsiaTheme="minorEastAsia" w:hAnsiTheme="minorHAnsi" w:cstheme="minorHAnsi"/>
        <w:i/>
        <w:color w:val="808080"/>
      </w:rPr>
      <w:t xml:space="preserve">July </w:t>
    </w:r>
    <w:r w:rsidR="00774465" w:rsidRPr="00FA0529">
      <w:rPr>
        <w:rFonts w:asciiTheme="minorHAnsi" w:eastAsiaTheme="minorEastAsia" w:hAnsiTheme="minorHAnsi" w:cstheme="minorHAnsi"/>
        <w:i/>
        <w:color w:val="808080"/>
      </w:rPr>
      <w:t>202</w:t>
    </w:r>
    <w:r w:rsidR="00AC7510" w:rsidRPr="00FA0529">
      <w:rPr>
        <w:rFonts w:asciiTheme="minorHAnsi" w:eastAsiaTheme="minorEastAsia" w:hAnsiTheme="minorHAnsi" w:cstheme="minorHAnsi"/>
        <w:i/>
        <w:color w:val="808080"/>
      </w:rPr>
      <w:t>5</w:t>
    </w:r>
    <w:r w:rsidR="00774465" w:rsidRPr="00FA0529">
      <w:rPr>
        <w:rFonts w:asciiTheme="minorHAnsi" w:eastAsiaTheme="minorEastAsia" w:hAnsiTheme="minorHAnsi" w:cstheme="minorHAnsi"/>
        <w:i/>
        <w:color w:val="808080"/>
      </w:rPr>
      <w:t xml:space="preserve"> PBAC Meeting</w:t>
    </w:r>
    <w:r w:rsidR="00E45B3D">
      <w:rPr>
        <w:rFonts w:asciiTheme="minorHAnsi" w:eastAsiaTheme="minorEastAsia" w:hAnsiTheme="minorHAnsi" w:cstheme="minorHAnsi"/>
        <w:i/>
        <w:color w:val="808080"/>
      </w:rPr>
      <w:t xml:space="preserve"> </w:t>
    </w:r>
    <w:r w:rsidR="000B2A43">
      <w:rPr>
        <w:rFonts w:asciiTheme="minorHAnsi" w:eastAsiaTheme="minorEastAsia" w:hAnsiTheme="minorHAnsi" w:cstheme="minorHAnsi"/>
        <w:i/>
        <w:color w:val="808080"/>
      </w:rPr>
      <w:br/>
    </w:r>
    <w:r w:rsidR="00E45B3D">
      <w:rPr>
        <w:rFonts w:asciiTheme="minorHAnsi" w:eastAsiaTheme="minorEastAsia" w:hAnsiTheme="minorHAnsi" w:cstheme="minorHAnsi"/>
        <w:i/>
        <w:color w:val="808080"/>
      </w:rPr>
      <w:t xml:space="preserve">with </w:t>
    </w:r>
    <w:r w:rsidR="000B2A43">
      <w:rPr>
        <w:rFonts w:asciiTheme="minorHAnsi" w:eastAsiaTheme="minorEastAsia" w:hAnsiTheme="minorHAnsi" w:cstheme="minorHAnsi"/>
        <w:i/>
        <w:color w:val="808080"/>
      </w:rPr>
      <w:t xml:space="preserve">November 2025 Addendum and Out of Session Addendum </w:t>
    </w:r>
  </w:p>
  <w:p w14:paraId="74A766A4" w14:textId="77777777" w:rsidR="00240165" w:rsidRPr="00FA0529" w:rsidRDefault="00240165" w:rsidP="00774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FD9E" w14:textId="27A7E707" w:rsidR="00874FE3" w:rsidRDefault="002F307D">
    <w:pPr>
      <w:pStyle w:val="Header"/>
    </w:pPr>
    <w:r>
      <w:rPr>
        <w:noProof/>
      </w:rPr>
      <mc:AlternateContent>
        <mc:Choice Requires="wps">
          <w:drawing>
            <wp:anchor distT="0" distB="0" distL="0" distR="0" simplePos="0" relativeHeight="251659269" behindDoc="0" locked="0" layoutInCell="1" allowOverlap="1" wp14:anchorId="6F56BEF2" wp14:editId="786904BA">
              <wp:simplePos x="635" y="635"/>
              <wp:positionH relativeFrom="page">
                <wp:align>center</wp:align>
              </wp:positionH>
              <wp:positionV relativeFrom="page">
                <wp:align>top</wp:align>
              </wp:positionV>
              <wp:extent cx="622300" cy="376555"/>
              <wp:effectExtent l="0" t="0" r="6350" b="4445"/>
              <wp:wrapNone/>
              <wp:docPr id="21434163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088BB8" w14:textId="56E4D0B5" w:rsidR="002F307D" w:rsidRPr="002F307D" w:rsidRDefault="002F307D" w:rsidP="002F307D">
                          <w:pPr>
                            <w:rPr>
                              <w:rFonts w:ascii="Aptos" w:eastAsia="Aptos" w:hAnsi="Aptos" w:cs="Aptos"/>
                              <w:noProof/>
                              <w:color w:val="FF0000"/>
                            </w:rPr>
                          </w:pPr>
                          <w:r w:rsidRPr="002F307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56BEF2"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4088BB8" w14:textId="56E4D0B5" w:rsidR="002F307D" w:rsidRPr="002F307D" w:rsidRDefault="002F307D" w:rsidP="002F307D">
                    <w:pPr>
                      <w:rPr>
                        <w:rFonts w:ascii="Aptos" w:eastAsia="Aptos" w:hAnsi="Aptos" w:cs="Aptos"/>
                        <w:noProof/>
                        <w:color w:val="FF0000"/>
                      </w:rPr>
                    </w:pPr>
                    <w:r w:rsidRPr="002F307D">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482"/>
    <w:multiLevelType w:val="hybridMultilevel"/>
    <w:tmpl w:val="48C4FF56"/>
    <w:lvl w:ilvl="0" w:tplc="66BA8BDE">
      <w:numFmt w:val="bullet"/>
      <w:lvlText w:val="•"/>
      <w:lvlJc w:val="left"/>
      <w:pPr>
        <w:ind w:left="720" w:hanging="720"/>
      </w:pPr>
      <w:rPr>
        <w:rFonts w:ascii="Arial Narrow" w:eastAsiaTheme="majorEastAsia" w:hAnsi="Arial Narrow" w:cstheme="maj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1BD3CC2"/>
    <w:multiLevelType w:val="hybridMultilevel"/>
    <w:tmpl w:val="234A2E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E826466"/>
    <w:multiLevelType w:val="hybridMultilevel"/>
    <w:tmpl w:val="4CB2D8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429D3F7F"/>
    <w:multiLevelType w:val="multilevel"/>
    <w:tmpl w:val="7746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DAC5FFD"/>
    <w:multiLevelType w:val="multilevel"/>
    <w:tmpl w:val="0CAA3C6C"/>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AFA2769"/>
    <w:multiLevelType w:val="multilevel"/>
    <w:tmpl w:val="5636C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2173966">
    <w:abstractNumId w:val="5"/>
  </w:num>
  <w:num w:numId="2" w16cid:durableId="126514491">
    <w:abstractNumId w:val="2"/>
  </w:num>
  <w:num w:numId="3" w16cid:durableId="1816213838">
    <w:abstractNumId w:val="0"/>
  </w:num>
  <w:num w:numId="4" w16cid:durableId="2098357730">
    <w:abstractNumId w:val="7"/>
    <w:lvlOverride w:ilvl="4">
      <w:lvl w:ilvl="4">
        <w:start w:val="1"/>
        <w:numFmt w:val="decimal"/>
        <w:lvlRestart w:val="1"/>
        <w:lvlText w:val="%1.%5"/>
        <w:lvlJc w:val="left"/>
        <w:pPr>
          <w:ind w:left="720" w:hanging="720"/>
        </w:pPr>
        <w:rPr>
          <w:rFonts w:hint="default"/>
          <w:b w:val="0"/>
          <w:bCs w:val="0"/>
          <w:i w:val="0"/>
          <w:iCs w:val="0"/>
          <w:color w:val="auto"/>
        </w:rPr>
      </w:lvl>
    </w:lvlOverride>
  </w:num>
  <w:num w:numId="5" w16cid:durableId="209997201">
    <w:abstractNumId w:val="6"/>
  </w:num>
  <w:num w:numId="6" w16cid:durableId="1119836982">
    <w:abstractNumId w:val="4"/>
  </w:num>
  <w:num w:numId="7" w16cid:durableId="622461031">
    <w:abstractNumId w:val="1"/>
  </w:num>
  <w:num w:numId="8" w16cid:durableId="1048839230">
    <w:abstractNumId w:val="7"/>
  </w:num>
  <w:num w:numId="9" w16cid:durableId="1871332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0278961">
    <w:abstractNumId w:val="4"/>
  </w:num>
  <w:num w:numId="11" w16cid:durableId="445395969">
    <w:abstractNumId w:val="0"/>
  </w:num>
  <w:num w:numId="12" w16cid:durableId="744763974">
    <w:abstractNumId w:val="2"/>
  </w:num>
  <w:num w:numId="13" w16cid:durableId="1273510694">
    <w:abstractNumId w:val="8"/>
    <w:lvlOverride w:ilvl="0">
      <w:startOverride w:val="1"/>
    </w:lvlOverride>
  </w:num>
  <w:num w:numId="14" w16cid:durableId="1538196633">
    <w:abstractNumId w:val="3"/>
    <w:lvlOverride w:ilvl="0">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413"/>
    <w:rsid w:val="000004E5"/>
    <w:rsid w:val="0000080A"/>
    <w:rsid w:val="00000B0A"/>
    <w:rsid w:val="00000FE5"/>
    <w:rsid w:val="00001663"/>
    <w:rsid w:val="000025AD"/>
    <w:rsid w:val="000026A5"/>
    <w:rsid w:val="00002BD3"/>
    <w:rsid w:val="000030C8"/>
    <w:rsid w:val="0000335D"/>
    <w:rsid w:val="0000372B"/>
    <w:rsid w:val="000043DD"/>
    <w:rsid w:val="0000502D"/>
    <w:rsid w:val="000056A9"/>
    <w:rsid w:val="00005F69"/>
    <w:rsid w:val="000068C5"/>
    <w:rsid w:val="00007F36"/>
    <w:rsid w:val="00010B05"/>
    <w:rsid w:val="00010CFC"/>
    <w:rsid w:val="000117FF"/>
    <w:rsid w:val="00011A59"/>
    <w:rsid w:val="000120C5"/>
    <w:rsid w:val="00012BED"/>
    <w:rsid w:val="000132F6"/>
    <w:rsid w:val="00013654"/>
    <w:rsid w:val="00013815"/>
    <w:rsid w:val="000144F6"/>
    <w:rsid w:val="00014624"/>
    <w:rsid w:val="0001486B"/>
    <w:rsid w:val="00014F7E"/>
    <w:rsid w:val="00015364"/>
    <w:rsid w:val="0001536D"/>
    <w:rsid w:val="00015459"/>
    <w:rsid w:val="000159BB"/>
    <w:rsid w:val="00016310"/>
    <w:rsid w:val="00016A41"/>
    <w:rsid w:val="0001718C"/>
    <w:rsid w:val="0001764F"/>
    <w:rsid w:val="000205AF"/>
    <w:rsid w:val="000205F2"/>
    <w:rsid w:val="000208B5"/>
    <w:rsid w:val="000214D1"/>
    <w:rsid w:val="00022381"/>
    <w:rsid w:val="0002249E"/>
    <w:rsid w:val="00022BEB"/>
    <w:rsid w:val="0002464A"/>
    <w:rsid w:val="00024A73"/>
    <w:rsid w:val="00024C94"/>
    <w:rsid w:val="000250FE"/>
    <w:rsid w:val="000252D5"/>
    <w:rsid w:val="00025A04"/>
    <w:rsid w:val="00025CEC"/>
    <w:rsid w:val="00027E4A"/>
    <w:rsid w:val="0003050E"/>
    <w:rsid w:val="0003106B"/>
    <w:rsid w:val="0003173A"/>
    <w:rsid w:val="000321DE"/>
    <w:rsid w:val="00033C1D"/>
    <w:rsid w:val="00034765"/>
    <w:rsid w:val="00034905"/>
    <w:rsid w:val="00035291"/>
    <w:rsid w:val="0003720C"/>
    <w:rsid w:val="000372A2"/>
    <w:rsid w:val="0003751D"/>
    <w:rsid w:val="00037D95"/>
    <w:rsid w:val="00040293"/>
    <w:rsid w:val="000404A2"/>
    <w:rsid w:val="000421A1"/>
    <w:rsid w:val="00042362"/>
    <w:rsid w:val="0004240E"/>
    <w:rsid w:val="0004293F"/>
    <w:rsid w:val="00042DB0"/>
    <w:rsid w:val="00043A8E"/>
    <w:rsid w:val="00043F21"/>
    <w:rsid w:val="00044EC4"/>
    <w:rsid w:val="00045E26"/>
    <w:rsid w:val="0004666E"/>
    <w:rsid w:val="0004683B"/>
    <w:rsid w:val="0004685C"/>
    <w:rsid w:val="0004704E"/>
    <w:rsid w:val="00047FC0"/>
    <w:rsid w:val="00050562"/>
    <w:rsid w:val="000514B5"/>
    <w:rsid w:val="000515A8"/>
    <w:rsid w:val="00051BC9"/>
    <w:rsid w:val="00051F90"/>
    <w:rsid w:val="00052BF9"/>
    <w:rsid w:val="00052E75"/>
    <w:rsid w:val="00052F67"/>
    <w:rsid w:val="0005322E"/>
    <w:rsid w:val="000532D4"/>
    <w:rsid w:val="00053C69"/>
    <w:rsid w:val="00054E2B"/>
    <w:rsid w:val="00055E29"/>
    <w:rsid w:val="0005614E"/>
    <w:rsid w:val="000567E8"/>
    <w:rsid w:val="00056BE0"/>
    <w:rsid w:val="00056F86"/>
    <w:rsid w:val="0005760F"/>
    <w:rsid w:val="00057E42"/>
    <w:rsid w:val="0006028A"/>
    <w:rsid w:val="000603FE"/>
    <w:rsid w:val="00060E64"/>
    <w:rsid w:val="0006124A"/>
    <w:rsid w:val="0006159C"/>
    <w:rsid w:val="00061663"/>
    <w:rsid w:val="0006238A"/>
    <w:rsid w:val="00063ECE"/>
    <w:rsid w:val="000647D6"/>
    <w:rsid w:val="00064876"/>
    <w:rsid w:val="00064B17"/>
    <w:rsid w:val="0006595B"/>
    <w:rsid w:val="00065987"/>
    <w:rsid w:val="00065B7E"/>
    <w:rsid w:val="00065CE2"/>
    <w:rsid w:val="00066193"/>
    <w:rsid w:val="00066755"/>
    <w:rsid w:val="00066B33"/>
    <w:rsid w:val="00066CD5"/>
    <w:rsid w:val="00067B6B"/>
    <w:rsid w:val="00067CF4"/>
    <w:rsid w:val="00070D3C"/>
    <w:rsid w:val="0007192B"/>
    <w:rsid w:val="00071A5B"/>
    <w:rsid w:val="00071C05"/>
    <w:rsid w:val="000720F6"/>
    <w:rsid w:val="000724FE"/>
    <w:rsid w:val="00072A11"/>
    <w:rsid w:val="0007321C"/>
    <w:rsid w:val="0007337F"/>
    <w:rsid w:val="0007399F"/>
    <w:rsid w:val="00073C9D"/>
    <w:rsid w:val="00074177"/>
    <w:rsid w:val="000749A4"/>
    <w:rsid w:val="000751E1"/>
    <w:rsid w:val="000754DC"/>
    <w:rsid w:val="00075785"/>
    <w:rsid w:val="00075A22"/>
    <w:rsid w:val="00076151"/>
    <w:rsid w:val="000763D5"/>
    <w:rsid w:val="00076C38"/>
    <w:rsid w:val="00077143"/>
    <w:rsid w:val="0007767C"/>
    <w:rsid w:val="00077BDC"/>
    <w:rsid w:val="00077C7E"/>
    <w:rsid w:val="00077DF7"/>
    <w:rsid w:val="0008050C"/>
    <w:rsid w:val="00080A12"/>
    <w:rsid w:val="00080BA5"/>
    <w:rsid w:val="0008180F"/>
    <w:rsid w:val="00081956"/>
    <w:rsid w:val="00082169"/>
    <w:rsid w:val="00083385"/>
    <w:rsid w:val="000834BE"/>
    <w:rsid w:val="00083F01"/>
    <w:rsid w:val="0008460A"/>
    <w:rsid w:val="00084EE8"/>
    <w:rsid w:val="00085018"/>
    <w:rsid w:val="000852BE"/>
    <w:rsid w:val="000858A9"/>
    <w:rsid w:val="00086A70"/>
    <w:rsid w:val="000878E1"/>
    <w:rsid w:val="00087C4C"/>
    <w:rsid w:val="0009083F"/>
    <w:rsid w:val="00090B08"/>
    <w:rsid w:val="000918CB"/>
    <w:rsid w:val="00091B06"/>
    <w:rsid w:val="0009293A"/>
    <w:rsid w:val="00093757"/>
    <w:rsid w:val="00093AE6"/>
    <w:rsid w:val="00093DF9"/>
    <w:rsid w:val="000942AC"/>
    <w:rsid w:val="000951C4"/>
    <w:rsid w:val="000957D3"/>
    <w:rsid w:val="00095ADA"/>
    <w:rsid w:val="00095EBE"/>
    <w:rsid w:val="000965EF"/>
    <w:rsid w:val="000969AD"/>
    <w:rsid w:val="000975FB"/>
    <w:rsid w:val="00097714"/>
    <w:rsid w:val="00097A25"/>
    <w:rsid w:val="00097D99"/>
    <w:rsid w:val="000A139E"/>
    <w:rsid w:val="000A2713"/>
    <w:rsid w:val="000A2B64"/>
    <w:rsid w:val="000A3AA2"/>
    <w:rsid w:val="000A44B2"/>
    <w:rsid w:val="000A52F6"/>
    <w:rsid w:val="000A64EC"/>
    <w:rsid w:val="000A7CB5"/>
    <w:rsid w:val="000B05BB"/>
    <w:rsid w:val="000B0E8D"/>
    <w:rsid w:val="000B24A6"/>
    <w:rsid w:val="000B24AF"/>
    <w:rsid w:val="000B2581"/>
    <w:rsid w:val="000B2A32"/>
    <w:rsid w:val="000B2A43"/>
    <w:rsid w:val="000B3156"/>
    <w:rsid w:val="000B387E"/>
    <w:rsid w:val="000B4051"/>
    <w:rsid w:val="000B40E8"/>
    <w:rsid w:val="000B44C3"/>
    <w:rsid w:val="000B4DFC"/>
    <w:rsid w:val="000B558D"/>
    <w:rsid w:val="000B5883"/>
    <w:rsid w:val="000B5A89"/>
    <w:rsid w:val="000B5A8A"/>
    <w:rsid w:val="000B5C7F"/>
    <w:rsid w:val="000B65F6"/>
    <w:rsid w:val="000B7767"/>
    <w:rsid w:val="000C0BAB"/>
    <w:rsid w:val="000C1BF7"/>
    <w:rsid w:val="000C23B8"/>
    <w:rsid w:val="000C2560"/>
    <w:rsid w:val="000C295B"/>
    <w:rsid w:val="000C3172"/>
    <w:rsid w:val="000C327C"/>
    <w:rsid w:val="000C4B3E"/>
    <w:rsid w:val="000C58F6"/>
    <w:rsid w:val="000C5F95"/>
    <w:rsid w:val="000C6996"/>
    <w:rsid w:val="000C6D99"/>
    <w:rsid w:val="000C72C8"/>
    <w:rsid w:val="000C74FA"/>
    <w:rsid w:val="000C7C46"/>
    <w:rsid w:val="000D09E9"/>
    <w:rsid w:val="000D0C2C"/>
    <w:rsid w:val="000D113F"/>
    <w:rsid w:val="000D1EA1"/>
    <w:rsid w:val="000D23BA"/>
    <w:rsid w:val="000D28B9"/>
    <w:rsid w:val="000D2DBC"/>
    <w:rsid w:val="000D3F86"/>
    <w:rsid w:val="000D47F8"/>
    <w:rsid w:val="000D4995"/>
    <w:rsid w:val="000D5645"/>
    <w:rsid w:val="000D5B40"/>
    <w:rsid w:val="000D5F96"/>
    <w:rsid w:val="000D6183"/>
    <w:rsid w:val="000E18EC"/>
    <w:rsid w:val="000E19B7"/>
    <w:rsid w:val="000E20FC"/>
    <w:rsid w:val="000E2266"/>
    <w:rsid w:val="000E3462"/>
    <w:rsid w:val="000E3506"/>
    <w:rsid w:val="000E3DFB"/>
    <w:rsid w:val="000E435E"/>
    <w:rsid w:val="000E4C56"/>
    <w:rsid w:val="000E4E64"/>
    <w:rsid w:val="000E5B54"/>
    <w:rsid w:val="000E5B96"/>
    <w:rsid w:val="000E5E4C"/>
    <w:rsid w:val="000E5EA1"/>
    <w:rsid w:val="000E681E"/>
    <w:rsid w:val="000E6C42"/>
    <w:rsid w:val="000E6F4F"/>
    <w:rsid w:val="000E7DD1"/>
    <w:rsid w:val="000E7E52"/>
    <w:rsid w:val="000E7FCB"/>
    <w:rsid w:val="000F0003"/>
    <w:rsid w:val="000F2E12"/>
    <w:rsid w:val="000F3384"/>
    <w:rsid w:val="000F34E3"/>
    <w:rsid w:val="000F4C03"/>
    <w:rsid w:val="000F4E6A"/>
    <w:rsid w:val="000F57AC"/>
    <w:rsid w:val="000F5BB3"/>
    <w:rsid w:val="000F60F8"/>
    <w:rsid w:val="000F7354"/>
    <w:rsid w:val="00100CE0"/>
    <w:rsid w:val="00100CE6"/>
    <w:rsid w:val="001014B7"/>
    <w:rsid w:val="00101725"/>
    <w:rsid w:val="00101ABE"/>
    <w:rsid w:val="00101F88"/>
    <w:rsid w:val="00102202"/>
    <w:rsid w:val="00102700"/>
    <w:rsid w:val="0010289B"/>
    <w:rsid w:val="00102A78"/>
    <w:rsid w:val="00103109"/>
    <w:rsid w:val="00103118"/>
    <w:rsid w:val="00103445"/>
    <w:rsid w:val="00104227"/>
    <w:rsid w:val="00104587"/>
    <w:rsid w:val="00104CDB"/>
    <w:rsid w:val="00104F11"/>
    <w:rsid w:val="00104FBF"/>
    <w:rsid w:val="0010629E"/>
    <w:rsid w:val="00107057"/>
    <w:rsid w:val="001072C1"/>
    <w:rsid w:val="0011000A"/>
    <w:rsid w:val="001107BF"/>
    <w:rsid w:val="0011126D"/>
    <w:rsid w:val="001114A1"/>
    <w:rsid w:val="00111A70"/>
    <w:rsid w:val="00111E79"/>
    <w:rsid w:val="00113649"/>
    <w:rsid w:val="00113D5C"/>
    <w:rsid w:val="0011411C"/>
    <w:rsid w:val="001142EF"/>
    <w:rsid w:val="001147A3"/>
    <w:rsid w:val="00114B44"/>
    <w:rsid w:val="001156FB"/>
    <w:rsid w:val="001167A3"/>
    <w:rsid w:val="001169F9"/>
    <w:rsid w:val="0012077B"/>
    <w:rsid w:val="0012171F"/>
    <w:rsid w:val="0012224E"/>
    <w:rsid w:val="00122F90"/>
    <w:rsid w:val="00123682"/>
    <w:rsid w:val="00123A2A"/>
    <w:rsid w:val="0012417C"/>
    <w:rsid w:val="00124BF2"/>
    <w:rsid w:val="00124D7A"/>
    <w:rsid w:val="00124FD3"/>
    <w:rsid w:val="00124FEF"/>
    <w:rsid w:val="001251A4"/>
    <w:rsid w:val="001256F7"/>
    <w:rsid w:val="0012597F"/>
    <w:rsid w:val="001259DA"/>
    <w:rsid w:val="00125B1B"/>
    <w:rsid w:val="0012749D"/>
    <w:rsid w:val="001306A5"/>
    <w:rsid w:val="001310BC"/>
    <w:rsid w:val="001311AE"/>
    <w:rsid w:val="001331BF"/>
    <w:rsid w:val="001349E8"/>
    <w:rsid w:val="00134A60"/>
    <w:rsid w:val="001358C0"/>
    <w:rsid w:val="00135EAD"/>
    <w:rsid w:val="0013633C"/>
    <w:rsid w:val="00136C41"/>
    <w:rsid w:val="00137438"/>
    <w:rsid w:val="00137E86"/>
    <w:rsid w:val="001408D8"/>
    <w:rsid w:val="00140B74"/>
    <w:rsid w:val="00140D94"/>
    <w:rsid w:val="001411F4"/>
    <w:rsid w:val="00141916"/>
    <w:rsid w:val="0014194D"/>
    <w:rsid w:val="00141FD6"/>
    <w:rsid w:val="00142395"/>
    <w:rsid w:val="00142431"/>
    <w:rsid w:val="0014245A"/>
    <w:rsid w:val="00142714"/>
    <w:rsid w:val="00142C71"/>
    <w:rsid w:val="00144555"/>
    <w:rsid w:val="00144D09"/>
    <w:rsid w:val="001452ED"/>
    <w:rsid w:val="001467EE"/>
    <w:rsid w:val="00147566"/>
    <w:rsid w:val="00147D84"/>
    <w:rsid w:val="00152652"/>
    <w:rsid w:val="00152C76"/>
    <w:rsid w:val="001536B9"/>
    <w:rsid w:val="001536FA"/>
    <w:rsid w:val="00153B2F"/>
    <w:rsid w:val="00153BD7"/>
    <w:rsid w:val="00153F02"/>
    <w:rsid w:val="00154442"/>
    <w:rsid w:val="001549C1"/>
    <w:rsid w:val="00154AD6"/>
    <w:rsid w:val="00154F9E"/>
    <w:rsid w:val="00155835"/>
    <w:rsid w:val="00155CFA"/>
    <w:rsid w:val="00155F48"/>
    <w:rsid w:val="001564E1"/>
    <w:rsid w:val="001568F3"/>
    <w:rsid w:val="00156C8D"/>
    <w:rsid w:val="00157B1F"/>
    <w:rsid w:val="0016061E"/>
    <w:rsid w:val="00160A9F"/>
    <w:rsid w:val="00160B7D"/>
    <w:rsid w:val="00160DAF"/>
    <w:rsid w:val="00160F4D"/>
    <w:rsid w:val="00161B02"/>
    <w:rsid w:val="001628DE"/>
    <w:rsid w:val="00162BDD"/>
    <w:rsid w:val="00162D4E"/>
    <w:rsid w:val="00162ED0"/>
    <w:rsid w:val="00163092"/>
    <w:rsid w:val="00163329"/>
    <w:rsid w:val="001642AA"/>
    <w:rsid w:val="00164623"/>
    <w:rsid w:val="001652DE"/>
    <w:rsid w:val="001659D7"/>
    <w:rsid w:val="00165A19"/>
    <w:rsid w:val="00165B64"/>
    <w:rsid w:val="0016650B"/>
    <w:rsid w:val="0016776E"/>
    <w:rsid w:val="00167813"/>
    <w:rsid w:val="00167858"/>
    <w:rsid w:val="00167C5D"/>
    <w:rsid w:val="001712C5"/>
    <w:rsid w:val="00171824"/>
    <w:rsid w:val="00171B99"/>
    <w:rsid w:val="00172200"/>
    <w:rsid w:val="00174302"/>
    <w:rsid w:val="001749BE"/>
    <w:rsid w:val="00175C4F"/>
    <w:rsid w:val="00176B9D"/>
    <w:rsid w:val="00177DF3"/>
    <w:rsid w:val="00180713"/>
    <w:rsid w:val="00180720"/>
    <w:rsid w:val="001809A7"/>
    <w:rsid w:val="0018105A"/>
    <w:rsid w:val="001813F1"/>
    <w:rsid w:val="00182594"/>
    <w:rsid w:val="0018267E"/>
    <w:rsid w:val="0018303A"/>
    <w:rsid w:val="001830CE"/>
    <w:rsid w:val="001836E3"/>
    <w:rsid w:val="00183C05"/>
    <w:rsid w:val="001846C4"/>
    <w:rsid w:val="00184C39"/>
    <w:rsid w:val="001853D2"/>
    <w:rsid w:val="001857F1"/>
    <w:rsid w:val="00185D27"/>
    <w:rsid w:val="00186400"/>
    <w:rsid w:val="0018643B"/>
    <w:rsid w:val="001864A8"/>
    <w:rsid w:val="0018681F"/>
    <w:rsid w:val="00186F40"/>
    <w:rsid w:val="001873AA"/>
    <w:rsid w:val="00187740"/>
    <w:rsid w:val="001909F5"/>
    <w:rsid w:val="00192397"/>
    <w:rsid w:val="00192661"/>
    <w:rsid w:val="00193011"/>
    <w:rsid w:val="001930D0"/>
    <w:rsid w:val="00193DDE"/>
    <w:rsid w:val="00193FE7"/>
    <w:rsid w:val="001941A1"/>
    <w:rsid w:val="001952FF"/>
    <w:rsid w:val="0019574E"/>
    <w:rsid w:val="00195EA8"/>
    <w:rsid w:val="00196307"/>
    <w:rsid w:val="00196B4F"/>
    <w:rsid w:val="00196DFD"/>
    <w:rsid w:val="00196E19"/>
    <w:rsid w:val="00196ED8"/>
    <w:rsid w:val="001A0D10"/>
    <w:rsid w:val="001A129E"/>
    <w:rsid w:val="001A33EA"/>
    <w:rsid w:val="001A4413"/>
    <w:rsid w:val="001A4C4F"/>
    <w:rsid w:val="001A5518"/>
    <w:rsid w:val="001A5A2B"/>
    <w:rsid w:val="001A5EA2"/>
    <w:rsid w:val="001A5EDF"/>
    <w:rsid w:val="001A5F8E"/>
    <w:rsid w:val="001A6556"/>
    <w:rsid w:val="001A67F1"/>
    <w:rsid w:val="001A76FB"/>
    <w:rsid w:val="001A7F68"/>
    <w:rsid w:val="001B017F"/>
    <w:rsid w:val="001B0A49"/>
    <w:rsid w:val="001B0B79"/>
    <w:rsid w:val="001B15C3"/>
    <w:rsid w:val="001B26FB"/>
    <w:rsid w:val="001B2BBC"/>
    <w:rsid w:val="001B3315"/>
    <w:rsid w:val="001B3A40"/>
    <w:rsid w:val="001B3FFE"/>
    <w:rsid w:val="001B41DA"/>
    <w:rsid w:val="001B4F10"/>
    <w:rsid w:val="001B5129"/>
    <w:rsid w:val="001B6D6B"/>
    <w:rsid w:val="001B7151"/>
    <w:rsid w:val="001B72A8"/>
    <w:rsid w:val="001B742C"/>
    <w:rsid w:val="001B742D"/>
    <w:rsid w:val="001B75F0"/>
    <w:rsid w:val="001C035C"/>
    <w:rsid w:val="001C0931"/>
    <w:rsid w:val="001C0ADB"/>
    <w:rsid w:val="001C0B4C"/>
    <w:rsid w:val="001C0DD8"/>
    <w:rsid w:val="001C0EC4"/>
    <w:rsid w:val="001C10EB"/>
    <w:rsid w:val="001C1195"/>
    <w:rsid w:val="001C11E5"/>
    <w:rsid w:val="001C12AE"/>
    <w:rsid w:val="001C1E84"/>
    <w:rsid w:val="001C2553"/>
    <w:rsid w:val="001C2E42"/>
    <w:rsid w:val="001C38EB"/>
    <w:rsid w:val="001C436F"/>
    <w:rsid w:val="001C5400"/>
    <w:rsid w:val="001C6862"/>
    <w:rsid w:val="001C6866"/>
    <w:rsid w:val="001C758C"/>
    <w:rsid w:val="001D00BD"/>
    <w:rsid w:val="001D094C"/>
    <w:rsid w:val="001D0C89"/>
    <w:rsid w:val="001D15BB"/>
    <w:rsid w:val="001D1937"/>
    <w:rsid w:val="001D1F5F"/>
    <w:rsid w:val="001D2EE4"/>
    <w:rsid w:val="001D3CCF"/>
    <w:rsid w:val="001D3EEC"/>
    <w:rsid w:val="001D4037"/>
    <w:rsid w:val="001D49BF"/>
    <w:rsid w:val="001D4C12"/>
    <w:rsid w:val="001D5824"/>
    <w:rsid w:val="001D6194"/>
    <w:rsid w:val="001D7188"/>
    <w:rsid w:val="001D77EA"/>
    <w:rsid w:val="001E01D6"/>
    <w:rsid w:val="001E06D2"/>
    <w:rsid w:val="001E07BE"/>
    <w:rsid w:val="001E0D5F"/>
    <w:rsid w:val="001E1295"/>
    <w:rsid w:val="001E17C4"/>
    <w:rsid w:val="001E1A7D"/>
    <w:rsid w:val="001E1F86"/>
    <w:rsid w:val="001E4070"/>
    <w:rsid w:val="001E455F"/>
    <w:rsid w:val="001E47A8"/>
    <w:rsid w:val="001E528E"/>
    <w:rsid w:val="001E57AE"/>
    <w:rsid w:val="001E5981"/>
    <w:rsid w:val="001E6424"/>
    <w:rsid w:val="001E6BBE"/>
    <w:rsid w:val="001E7105"/>
    <w:rsid w:val="001F005B"/>
    <w:rsid w:val="001F0083"/>
    <w:rsid w:val="001F090A"/>
    <w:rsid w:val="001F0AF5"/>
    <w:rsid w:val="001F1850"/>
    <w:rsid w:val="001F1C54"/>
    <w:rsid w:val="001F1D9C"/>
    <w:rsid w:val="001F1FBF"/>
    <w:rsid w:val="001F2063"/>
    <w:rsid w:val="001F2F1C"/>
    <w:rsid w:val="001F3189"/>
    <w:rsid w:val="001F34B7"/>
    <w:rsid w:val="001F41C6"/>
    <w:rsid w:val="001F461A"/>
    <w:rsid w:val="001F4B1F"/>
    <w:rsid w:val="001F523A"/>
    <w:rsid w:val="001F52F8"/>
    <w:rsid w:val="001F5527"/>
    <w:rsid w:val="001F68D4"/>
    <w:rsid w:val="002005E6"/>
    <w:rsid w:val="00200AD8"/>
    <w:rsid w:val="002015EE"/>
    <w:rsid w:val="00201A75"/>
    <w:rsid w:val="00201D06"/>
    <w:rsid w:val="00201E0C"/>
    <w:rsid w:val="00201FB8"/>
    <w:rsid w:val="002025D2"/>
    <w:rsid w:val="0020291F"/>
    <w:rsid w:val="00202B4D"/>
    <w:rsid w:val="00202CEF"/>
    <w:rsid w:val="00202D71"/>
    <w:rsid w:val="002032A7"/>
    <w:rsid w:val="0020394E"/>
    <w:rsid w:val="00203CF9"/>
    <w:rsid w:val="00203FAC"/>
    <w:rsid w:val="002040A3"/>
    <w:rsid w:val="0020520E"/>
    <w:rsid w:val="002057BB"/>
    <w:rsid w:val="0020719F"/>
    <w:rsid w:val="00207338"/>
    <w:rsid w:val="002079F9"/>
    <w:rsid w:val="002123EE"/>
    <w:rsid w:val="00212833"/>
    <w:rsid w:val="00213B0D"/>
    <w:rsid w:val="00213CFB"/>
    <w:rsid w:val="00213EAC"/>
    <w:rsid w:val="00214367"/>
    <w:rsid w:val="00214B92"/>
    <w:rsid w:val="0021553C"/>
    <w:rsid w:val="0021557B"/>
    <w:rsid w:val="0021581C"/>
    <w:rsid w:val="00215CF5"/>
    <w:rsid w:val="00215E92"/>
    <w:rsid w:val="002174FD"/>
    <w:rsid w:val="002175ED"/>
    <w:rsid w:val="002178B6"/>
    <w:rsid w:val="00217BE1"/>
    <w:rsid w:val="00217C08"/>
    <w:rsid w:val="00220197"/>
    <w:rsid w:val="002201EB"/>
    <w:rsid w:val="002209AD"/>
    <w:rsid w:val="002214B9"/>
    <w:rsid w:val="00221547"/>
    <w:rsid w:val="00221C30"/>
    <w:rsid w:val="00224A92"/>
    <w:rsid w:val="002251EC"/>
    <w:rsid w:val="00227339"/>
    <w:rsid w:val="00227BB7"/>
    <w:rsid w:val="00227EE0"/>
    <w:rsid w:val="00230B66"/>
    <w:rsid w:val="00230F63"/>
    <w:rsid w:val="002310CF"/>
    <w:rsid w:val="002312B9"/>
    <w:rsid w:val="002329D7"/>
    <w:rsid w:val="00232DDF"/>
    <w:rsid w:val="00234252"/>
    <w:rsid w:val="0023466E"/>
    <w:rsid w:val="002354AE"/>
    <w:rsid w:val="00235594"/>
    <w:rsid w:val="0023584E"/>
    <w:rsid w:val="00235904"/>
    <w:rsid w:val="002362F8"/>
    <w:rsid w:val="00236302"/>
    <w:rsid w:val="00236D04"/>
    <w:rsid w:val="00237195"/>
    <w:rsid w:val="0023783F"/>
    <w:rsid w:val="00237AC6"/>
    <w:rsid w:val="00240165"/>
    <w:rsid w:val="00240C35"/>
    <w:rsid w:val="00240DE6"/>
    <w:rsid w:val="00241634"/>
    <w:rsid w:val="00242A43"/>
    <w:rsid w:val="0024332D"/>
    <w:rsid w:val="00244139"/>
    <w:rsid w:val="00244490"/>
    <w:rsid w:val="0024491A"/>
    <w:rsid w:val="00245B9C"/>
    <w:rsid w:val="00245E0A"/>
    <w:rsid w:val="00247550"/>
    <w:rsid w:val="00247B90"/>
    <w:rsid w:val="00251CA7"/>
    <w:rsid w:val="00252D3F"/>
    <w:rsid w:val="002531B2"/>
    <w:rsid w:val="00253499"/>
    <w:rsid w:val="00255175"/>
    <w:rsid w:val="002551A4"/>
    <w:rsid w:val="002558E2"/>
    <w:rsid w:val="00255BC2"/>
    <w:rsid w:val="00256C07"/>
    <w:rsid w:val="00257664"/>
    <w:rsid w:val="00257768"/>
    <w:rsid w:val="00257CFD"/>
    <w:rsid w:val="002600FE"/>
    <w:rsid w:val="00261033"/>
    <w:rsid w:val="00261D03"/>
    <w:rsid w:val="002637DA"/>
    <w:rsid w:val="0026449F"/>
    <w:rsid w:val="00265151"/>
    <w:rsid w:val="00265865"/>
    <w:rsid w:val="00265C2C"/>
    <w:rsid w:val="00265D29"/>
    <w:rsid w:val="00265FBE"/>
    <w:rsid w:val="00266509"/>
    <w:rsid w:val="00266773"/>
    <w:rsid w:val="00267204"/>
    <w:rsid w:val="002672CD"/>
    <w:rsid w:val="002679A1"/>
    <w:rsid w:val="00267CF1"/>
    <w:rsid w:val="00270862"/>
    <w:rsid w:val="002712DB"/>
    <w:rsid w:val="00271BA1"/>
    <w:rsid w:val="0027258F"/>
    <w:rsid w:val="002726EF"/>
    <w:rsid w:val="00272C27"/>
    <w:rsid w:val="00273AC5"/>
    <w:rsid w:val="00273B6F"/>
    <w:rsid w:val="00274455"/>
    <w:rsid w:val="002744C7"/>
    <w:rsid w:val="00274818"/>
    <w:rsid w:val="00274823"/>
    <w:rsid w:val="00274B41"/>
    <w:rsid w:val="00275A7B"/>
    <w:rsid w:val="00275CF1"/>
    <w:rsid w:val="002762FA"/>
    <w:rsid w:val="0027663A"/>
    <w:rsid w:val="00277505"/>
    <w:rsid w:val="00280089"/>
    <w:rsid w:val="00280D3A"/>
    <w:rsid w:val="00281462"/>
    <w:rsid w:val="0028158C"/>
    <w:rsid w:val="002821BC"/>
    <w:rsid w:val="002821EF"/>
    <w:rsid w:val="002823B6"/>
    <w:rsid w:val="00282B7D"/>
    <w:rsid w:val="002835AF"/>
    <w:rsid w:val="002835CE"/>
    <w:rsid w:val="00283706"/>
    <w:rsid w:val="00283BEE"/>
    <w:rsid w:val="00284132"/>
    <w:rsid w:val="0028453C"/>
    <w:rsid w:val="002845CA"/>
    <w:rsid w:val="00285D6B"/>
    <w:rsid w:val="00285D9D"/>
    <w:rsid w:val="002869EB"/>
    <w:rsid w:val="00286B87"/>
    <w:rsid w:val="0028757A"/>
    <w:rsid w:val="00290C03"/>
    <w:rsid w:val="0029108F"/>
    <w:rsid w:val="002916FC"/>
    <w:rsid w:val="00291C5B"/>
    <w:rsid w:val="00291D1C"/>
    <w:rsid w:val="00291ED4"/>
    <w:rsid w:val="002927DB"/>
    <w:rsid w:val="002928A5"/>
    <w:rsid w:val="00292F42"/>
    <w:rsid w:val="00293396"/>
    <w:rsid w:val="0029340E"/>
    <w:rsid w:val="00293877"/>
    <w:rsid w:val="00294274"/>
    <w:rsid w:val="0029458F"/>
    <w:rsid w:val="002952F9"/>
    <w:rsid w:val="00296FBE"/>
    <w:rsid w:val="00297108"/>
    <w:rsid w:val="0029792C"/>
    <w:rsid w:val="002A018F"/>
    <w:rsid w:val="002A0E04"/>
    <w:rsid w:val="002A0EDC"/>
    <w:rsid w:val="002A104C"/>
    <w:rsid w:val="002A1583"/>
    <w:rsid w:val="002A1EF7"/>
    <w:rsid w:val="002A1F22"/>
    <w:rsid w:val="002A2323"/>
    <w:rsid w:val="002A2E29"/>
    <w:rsid w:val="002A32E7"/>
    <w:rsid w:val="002A4929"/>
    <w:rsid w:val="002A494D"/>
    <w:rsid w:val="002A4960"/>
    <w:rsid w:val="002A636A"/>
    <w:rsid w:val="002A6C77"/>
    <w:rsid w:val="002A717A"/>
    <w:rsid w:val="002A73EF"/>
    <w:rsid w:val="002A7BE7"/>
    <w:rsid w:val="002A7C33"/>
    <w:rsid w:val="002A7D9F"/>
    <w:rsid w:val="002B017F"/>
    <w:rsid w:val="002B0799"/>
    <w:rsid w:val="002B0AE0"/>
    <w:rsid w:val="002B0B4B"/>
    <w:rsid w:val="002B0ED3"/>
    <w:rsid w:val="002B12FE"/>
    <w:rsid w:val="002B1AE6"/>
    <w:rsid w:val="002B1D51"/>
    <w:rsid w:val="002B2314"/>
    <w:rsid w:val="002B28C9"/>
    <w:rsid w:val="002B2A44"/>
    <w:rsid w:val="002B2C33"/>
    <w:rsid w:val="002B2CF8"/>
    <w:rsid w:val="002B2DE8"/>
    <w:rsid w:val="002B2E37"/>
    <w:rsid w:val="002B30F8"/>
    <w:rsid w:val="002B37F5"/>
    <w:rsid w:val="002B388A"/>
    <w:rsid w:val="002B451E"/>
    <w:rsid w:val="002B460A"/>
    <w:rsid w:val="002B53C7"/>
    <w:rsid w:val="002B5596"/>
    <w:rsid w:val="002B57AF"/>
    <w:rsid w:val="002B5E8B"/>
    <w:rsid w:val="002B678F"/>
    <w:rsid w:val="002B692F"/>
    <w:rsid w:val="002B6952"/>
    <w:rsid w:val="002B77D7"/>
    <w:rsid w:val="002B79FA"/>
    <w:rsid w:val="002B7B0E"/>
    <w:rsid w:val="002C01A8"/>
    <w:rsid w:val="002C068D"/>
    <w:rsid w:val="002C0965"/>
    <w:rsid w:val="002C0A67"/>
    <w:rsid w:val="002C0DA6"/>
    <w:rsid w:val="002C159F"/>
    <w:rsid w:val="002C212F"/>
    <w:rsid w:val="002C27F6"/>
    <w:rsid w:val="002C2F35"/>
    <w:rsid w:val="002C326A"/>
    <w:rsid w:val="002C40C7"/>
    <w:rsid w:val="002C4203"/>
    <w:rsid w:val="002C4CD0"/>
    <w:rsid w:val="002C4D49"/>
    <w:rsid w:val="002C4EC7"/>
    <w:rsid w:val="002C633F"/>
    <w:rsid w:val="002C6AA9"/>
    <w:rsid w:val="002C6D7E"/>
    <w:rsid w:val="002C7485"/>
    <w:rsid w:val="002C7908"/>
    <w:rsid w:val="002D0182"/>
    <w:rsid w:val="002D0BB5"/>
    <w:rsid w:val="002D0F22"/>
    <w:rsid w:val="002D147F"/>
    <w:rsid w:val="002D1D17"/>
    <w:rsid w:val="002D2641"/>
    <w:rsid w:val="002D283A"/>
    <w:rsid w:val="002D29F2"/>
    <w:rsid w:val="002D2EF0"/>
    <w:rsid w:val="002D4543"/>
    <w:rsid w:val="002D58B7"/>
    <w:rsid w:val="002D5D4D"/>
    <w:rsid w:val="002D6069"/>
    <w:rsid w:val="002D6523"/>
    <w:rsid w:val="002D6542"/>
    <w:rsid w:val="002D65B9"/>
    <w:rsid w:val="002D6A12"/>
    <w:rsid w:val="002D6EBD"/>
    <w:rsid w:val="002D7B4C"/>
    <w:rsid w:val="002E0317"/>
    <w:rsid w:val="002E0C62"/>
    <w:rsid w:val="002E1176"/>
    <w:rsid w:val="002E12E1"/>
    <w:rsid w:val="002E245E"/>
    <w:rsid w:val="002E3153"/>
    <w:rsid w:val="002E31A5"/>
    <w:rsid w:val="002E3A29"/>
    <w:rsid w:val="002E4115"/>
    <w:rsid w:val="002E4164"/>
    <w:rsid w:val="002E4459"/>
    <w:rsid w:val="002E5292"/>
    <w:rsid w:val="002E60F9"/>
    <w:rsid w:val="002E67A2"/>
    <w:rsid w:val="002E69E2"/>
    <w:rsid w:val="002E6A14"/>
    <w:rsid w:val="002E6FC7"/>
    <w:rsid w:val="002E72CA"/>
    <w:rsid w:val="002E74BA"/>
    <w:rsid w:val="002F0D4D"/>
    <w:rsid w:val="002F0F92"/>
    <w:rsid w:val="002F1D07"/>
    <w:rsid w:val="002F2B59"/>
    <w:rsid w:val="002F2EFB"/>
    <w:rsid w:val="002F307D"/>
    <w:rsid w:val="002F4BC3"/>
    <w:rsid w:val="002F5737"/>
    <w:rsid w:val="002F5872"/>
    <w:rsid w:val="002F5C5E"/>
    <w:rsid w:val="002F5E40"/>
    <w:rsid w:val="002F600D"/>
    <w:rsid w:val="002F660C"/>
    <w:rsid w:val="002F7104"/>
    <w:rsid w:val="002F7970"/>
    <w:rsid w:val="002F7E47"/>
    <w:rsid w:val="002F7EF3"/>
    <w:rsid w:val="0030029F"/>
    <w:rsid w:val="00300681"/>
    <w:rsid w:val="00300AD6"/>
    <w:rsid w:val="00300B1B"/>
    <w:rsid w:val="00300E95"/>
    <w:rsid w:val="003010C8"/>
    <w:rsid w:val="003019D0"/>
    <w:rsid w:val="0030269D"/>
    <w:rsid w:val="00304C43"/>
    <w:rsid w:val="00305799"/>
    <w:rsid w:val="003064AF"/>
    <w:rsid w:val="00306A21"/>
    <w:rsid w:val="00310131"/>
    <w:rsid w:val="00310390"/>
    <w:rsid w:val="00310412"/>
    <w:rsid w:val="003104CC"/>
    <w:rsid w:val="003104F1"/>
    <w:rsid w:val="00310A8B"/>
    <w:rsid w:val="00310B68"/>
    <w:rsid w:val="00310C1C"/>
    <w:rsid w:val="00310C90"/>
    <w:rsid w:val="0031236D"/>
    <w:rsid w:val="00312410"/>
    <w:rsid w:val="00313082"/>
    <w:rsid w:val="00314407"/>
    <w:rsid w:val="003146D2"/>
    <w:rsid w:val="003156B5"/>
    <w:rsid w:val="00315C99"/>
    <w:rsid w:val="003160D2"/>
    <w:rsid w:val="0031668A"/>
    <w:rsid w:val="00316707"/>
    <w:rsid w:val="003173FC"/>
    <w:rsid w:val="00317C6C"/>
    <w:rsid w:val="00317FA6"/>
    <w:rsid w:val="00320B80"/>
    <w:rsid w:val="00320CD3"/>
    <w:rsid w:val="003210FD"/>
    <w:rsid w:val="00321369"/>
    <w:rsid w:val="00321713"/>
    <w:rsid w:val="00321E05"/>
    <w:rsid w:val="00322115"/>
    <w:rsid w:val="00322749"/>
    <w:rsid w:val="00322CAB"/>
    <w:rsid w:val="00323F25"/>
    <w:rsid w:val="003240B9"/>
    <w:rsid w:val="00324B02"/>
    <w:rsid w:val="00324EE9"/>
    <w:rsid w:val="003262F1"/>
    <w:rsid w:val="003266B9"/>
    <w:rsid w:val="00326CBD"/>
    <w:rsid w:val="00326E79"/>
    <w:rsid w:val="0032748A"/>
    <w:rsid w:val="003301B1"/>
    <w:rsid w:val="00330348"/>
    <w:rsid w:val="00330F6D"/>
    <w:rsid w:val="00331189"/>
    <w:rsid w:val="003318C5"/>
    <w:rsid w:val="003319A5"/>
    <w:rsid w:val="00331CEB"/>
    <w:rsid w:val="00331DBF"/>
    <w:rsid w:val="0033263D"/>
    <w:rsid w:val="00332AC8"/>
    <w:rsid w:val="00332E91"/>
    <w:rsid w:val="003333C5"/>
    <w:rsid w:val="0033400F"/>
    <w:rsid w:val="00334CF0"/>
    <w:rsid w:val="00334EA2"/>
    <w:rsid w:val="0033518A"/>
    <w:rsid w:val="003351F9"/>
    <w:rsid w:val="00335535"/>
    <w:rsid w:val="003358D6"/>
    <w:rsid w:val="003367EF"/>
    <w:rsid w:val="00337659"/>
    <w:rsid w:val="00337CF2"/>
    <w:rsid w:val="00340111"/>
    <w:rsid w:val="00340A99"/>
    <w:rsid w:val="00341AE4"/>
    <w:rsid w:val="003428CE"/>
    <w:rsid w:val="00343E14"/>
    <w:rsid w:val="003445A7"/>
    <w:rsid w:val="0034501C"/>
    <w:rsid w:val="003476EE"/>
    <w:rsid w:val="00347C9D"/>
    <w:rsid w:val="00347E7A"/>
    <w:rsid w:val="00347EC4"/>
    <w:rsid w:val="00347F91"/>
    <w:rsid w:val="00347FC0"/>
    <w:rsid w:val="00351620"/>
    <w:rsid w:val="0035230D"/>
    <w:rsid w:val="00352804"/>
    <w:rsid w:val="003529A0"/>
    <w:rsid w:val="00352DE8"/>
    <w:rsid w:val="0035363A"/>
    <w:rsid w:val="00353690"/>
    <w:rsid w:val="00354016"/>
    <w:rsid w:val="003541DD"/>
    <w:rsid w:val="0035444B"/>
    <w:rsid w:val="00354D3B"/>
    <w:rsid w:val="00356852"/>
    <w:rsid w:val="003568C8"/>
    <w:rsid w:val="00356DCA"/>
    <w:rsid w:val="00356E5B"/>
    <w:rsid w:val="00356F4F"/>
    <w:rsid w:val="00357524"/>
    <w:rsid w:val="0035775A"/>
    <w:rsid w:val="003577E6"/>
    <w:rsid w:val="00357A72"/>
    <w:rsid w:val="0036012C"/>
    <w:rsid w:val="00361506"/>
    <w:rsid w:val="00361814"/>
    <w:rsid w:val="003622FC"/>
    <w:rsid w:val="0036364F"/>
    <w:rsid w:val="00363A1B"/>
    <w:rsid w:val="003643CF"/>
    <w:rsid w:val="00364EF4"/>
    <w:rsid w:val="00366A15"/>
    <w:rsid w:val="00366EB1"/>
    <w:rsid w:val="00366F4E"/>
    <w:rsid w:val="00367968"/>
    <w:rsid w:val="003706E6"/>
    <w:rsid w:val="00370A5A"/>
    <w:rsid w:val="00370B1E"/>
    <w:rsid w:val="00371FA5"/>
    <w:rsid w:val="003721D1"/>
    <w:rsid w:val="00372E52"/>
    <w:rsid w:val="0037315E"/>
    <w:rsid w:val="003735E8"/>
    <w:rsid w:val="003736C9"/>
    <w:rsid w:val="00374856"/>
    <w:rsid w:val="00374AA6"/>
    <w:rsid w:val="00375357"/>
    <w:rsid w:val="00375B69"/>
    <w:rsid w:val="003763C9"/>
    <w:rsid w:val="00376BCC"/>
    <w:rsid w:val="00377420"/>
    <w:rsid w:val="00377433"/>
    <w:rsid w:val="003775F1"/>
    <w:rsid w:val="00377BC0"/>
    <w:rsid w:val="00380038"/>
    <w:rsid w:val="00380138"/>
    <w:rsid w:val="003807C2"/>
    <w:rsid w:val="003811B0"/>
    <w:rsid w:val="00381704"/>
    <w:rsid w:val="00381817"/>
    <w:rsid w:val="00381E96"/>
    <w:rsid w:val="00382274"/>
    <w:rsid w:val="003830C6"/>
    <w:rsid w:val="0038355B"/>
    <w:rsid w:val="00383B77"/>
    <w:rsid w:val="00383C77"/>
    <w:rsid w:val="00383E60"/>
    <w:rsid w:val="00384988"/>
    <w:rsid w:val="00384EC7"/>
    <w:rsid w:val="00385A58"/>
    <w:rsid w:val="00386094"/>
    <w:rsid w:val="00387299"/>
    <w:rsid w:val="003872CF"/>
    <w:rsid w:val="00387CE2"/>
    <w:rsid w:val="003904CE"/>
    <w:rsid w:val="003906C6"/>
    <w:rsid w:val="003918B6"/>
    <w:rsid w:val="00391DAF"/>
    <w:rsid w:val="0039253E"/>
    <w:rsid w:val="003927DF"/>
    <w:rsid w:val="003936D8"/>
    <w:rsid w:val="00393F99"/>
    <w:rsid w:val="003946B0"/>
    <w:rsid w:val="00395F0E"/>
    <w:rsid w:val="0039675A"/>
    <w:rsid w:val="003970D6"/>
    <w:rsid w:val="0039717F"/>
    <w:rsid w:val="0039782C"/>
    <w:rsid w:val="00397B0A"/>
    <w:rsid w:val="003A02CD"/>
    <w:rsid w:val="003A13A6"/>
    <w:rsid w:val="003A26BA"/>
    <w:rsid w:val="003A2B05"/>
    <w:rsid w:val="003A374D"/>
    <w:rsid w:val="003A39EC"/>
    <w:rsid w:val="003A540C"/>
    <w:rsid w:val="003A5B3F"/>
    <w:rsid w:val="003A5B4A"/>
    <w:rsid w:val="003A5C29"/>
    <w:rsid w:val="003A5D95"/>
    <w:rsid w:val="003A60C1"/>
    <w:rsid w:val="003A62E7"/>
    <w:rsid w:val="003A64BC"/>
    <w:rsid w:val="003A6A79"/>
    <w:rsid w:val="003A6E85"/>
    <w:rsid w:val="003A7075"/>
    <w:rsid w:val="003A7438"/>
    <w:rsid w:val="003B0050"/>
    <w:rsid w:val="003B0123"/>
    <w:rsid w:val="003B0D3A"/>
    <w:rsid w:val="003B1FDF"/>
    <w:rsid w:val="003B2302"/>
    <w:rsid w:val="003B23C5"/>
    <w:rsid w:val="003B2624"/>
    <w:rsid w:val="003B2903"/>
    <w:rsid w:val="003B2A75"/>
    <w:rsid w:val="003B2B64"/>
    <w:rsid w:val="003B3033"/>
    <w:rsid w:val="003B3C42"/>
    <w:rsid w:val="003B424B"/>
    <w:rsid w:val="003B49B2"/>
    <w:rsid w:val="003B57CF"/>
    <w:rsid w:val="003B5E68"/>
    <w:rsid w:val="003B6124"/>
    <w:rsid w:val="003B7018"/>
    <w:rsid w:val="003B7525"/>
    <w:rsid w:val="003B7774"/>
    <w:rsid w:val="003B7960"/>
    <w:rsid w:val="003C04FD"/>
    <w:rsid w:val="003C05FC"/>
    <w:rsid w:val="003C0851"/>
    <w:rsid w:val="003C093A"/>
    <w:rsid w:val="003C1355"/>
    <w:rsid w:val="003C1413"/>
    <w:rsid w:val="003C1A4A"/>
    <w:rsid w:val="003C1ECF"/>
    <w:rsid w:val="003C214A"/>
    <w:rsid w:val="003C26B4"/>
    <w:rsid w:val="003C285E"/>
    <w:rsid w:val="003C2921"/>
    <w:rsid w:val="003C2FB5"/>
    <w:rsid w:val="003C3E25"/>
    <w:rsid w:val="003C3E2E"/>
    <w:rsid w:val="003C4440"/>
    <w:rsid w:val="003C52C5"/>
    <w:rsid w:val="003C59BF"/>
    <w:rsid w:val="003C5C15"/>
    <w:rsid w:val="003C6A90"/>
    <w:rsid w:val="003C6F9D"/>
    <w:rsid w:val="003D0FE0"/>
    <w:rsid w:val="003D1615"/>
    <w:rsid w:val="003D24C5"/>
    <w:rsid w:val="003D25E4"/>
    <w:rsid w:val="003D3605"/>
    <w:rsid w:val="003D3A34"/>
    <w:rsid w:val="003D4594"/>
    <w:rsid w:val="003D4AC4"/>
    <w:rsid w:val="003D5416"/>
    <w:rsid w:val="003D5ED9"/>
    <w:rsid w:val="003D63B7"/>
    <w:rsid w:val="003D66D5"/>
    <w:rsid w:val="003D6B73"/>
    <w:rsid w:val="003D74C5"/>
    <w:rsid w:val="003D7945"/>
    <w:rsid w:val="003D7C2A"/>
    <w:rsid w:val="003E0657"/>
    <w:rsid w:val="003E0D0A"/>
    <w:rsid w:val="003E1211"/>
    <w:rsid w:val="003E14F8"/>
    <w:rsid w:val="003E1A22"/>
    <w:rsid w:val="003E1B6E"/>
    <w:rsid w:val="003E2A08"/>
    <w:rsid w:val="003E35D6"/>
    <w:rsid w:val="003E3A17"/>
    <w:rsid w:val="003E3A26"/>
    <w:rsid w:val="003E3AB6"/>
    <w:rsid w:val="003E3C10"/>
    <w:rsid w:val="003E3F09"/>
    <w:rsid w:val="003E4374"/>
    <w:rsid w:val="003E468B"/>
    <w:rsid w:val="003E4DF8"/>
    <w:rsid w:val="003E4EFC"/>
    <w:rsid w:val="003E5759"/>
    <w:rsid w:val="003E62BD"/>
    <w:rsid w:val="003E6F27"/>
    <w:rsid w:val="003E7CED"/>
    <w:rsid w:val="003F000A"/>
    <w:rsid w:val="003F03E4"/>
    <w:rsid w:val="003F044F"/>
    <w:rsid w:val="003F066B"/>
    <w:rsid w:val="003F0C3A"/>
    <w:rsid w:val="003F0C7D"/>
    <w:rsid w:val="003F0F8A"/>
    <w:rsid w:val="003F11EA"/>
    <w:rsid w:val="003F15F0"/>
    <w:rsid w:val="003F2310"/>
    <w:rsid w:val="003F253A"/>
    <w:rsid w:val="003F2579"/>
    <w:rsid w:val="003F2B46"/>
    <w:rsid w:val="003F3228"/>
    <w:rsid w:val="003F3903"/>
    <w:rsid w:val="003F394A"/>
    <w:rsid w:val="003F3DEF"/>
    <w:rsid w:val="003F423A"/>
    <w:rsid w:val="003F47C2"/>
    <w:rsid w:val="003F4886"/>
    <w:rsid w:val="003F4AF1"/>
    <w:rsid w:val="003F52F7"/>
    <w:rsid w:val="003F59B9"/>
    <w:rsid w:val="003F5C8C"/>
    <w:rsid w:val="003F63CE"/>
    <w:rsid w:val="003F63CF"/>
    <w:rsid w:val="003F6B5F"/>
    <w:rsid w:val="003F6D55"/>
    <w:rsid w:val="003F775A"/>
    <w:rsid w:val="00400E55"/>
    <w:rsid w:val="0040128E"/>
    <w:rsid w:val="004016E5"/>
    <w:rsid w:val="00401A04"/>
    <w:rsid w:val="0040216B"/>
    <w:rsid w:val="004024F6"/>
    <w:rsid w:val="00402547"/>
    <w:rsid w:val="00402BB3"/>
    <w:rsid w:val="004046E7"/>
    <w:rsid w:val="00404F91"/>
    <w:rsid w:val="004054DA"/>
    <w:rsid w:val="00405722"/>
    <w:rsid w:val="00405C6A"/>
    <w:rsid w:val="00406728"/>
    <w:rsid w:val="0040681E"/>
    <w:rsid w:val="00407663"/>
    <w:rsid w:val="004076CA"/>
    <w:rsid w:val="00407BC6"/>
    <w:rsid w:val="00407EBA"/>
    <w:rsid w:val="0041058A"/>
    <w:rsid w:val="004107F5"/>
    <w:rsid w:val="00410A6D"/>
    <w:rsid w:val="004123A6"/>
    <w:rsid w:val="00412643"/>
    <w:rsid w:val="004143DE"/>
    <w:rsid w:val="00414511"/>
    <w:rsid w:val="004157C0"/>
    <w:rsid w:val="00416391"/>
    <w:rsid w:val="00416C1B"/>
    <w:rsid w:val="00417212"/>
    <w:rsid w:val="00417545"/>
    <w:rsid w:val="004177D0"/>
    <w:rsid w:val="00417F56"/>
    <w:rsid w:val="00420096"/>
    <w:rsid w:val="00420400"/>
    <w:rsid w:val="00420E1F"/>
    <w:rsid w:val="00421A5E"/>
    <w:rsid w:val="004227CD"/>
    <w:rsid w:val="004232CD"/>
    <w:rsid w:val="00423BB0"/>
    <w:rsid w:val="00424A0F"/>
    <w:rsid w:val="00424FA2"/>
    <w:rsid w:val="004252EC"/>
    <w:rsid w:val="00425994"/>
    <w:rsid w:val="00426ACD"/>
    <w:rsid w:val="00426C8D"/>
    <w:rsid w:val="00426CA5"/>
    <w:rsid w:val="00430B50"/>
    <w:rsid w:val="00430D39"/>
    <w:rsid w:val="00431405"/>
    <w:rsid w:val="004317DF"/>
    <w:rsid w:val="00432B9F"/>
    <w:rsid w:val="00433844"/>
    <w:rsid w:val="00433B6A"/>
    <w:rsid w:val="0043412C"/>
    <w:rsid w:val="00435D9E"/>
    <w:rsid w:val="004404A0"/>
    <w:rsid w:val="004406DF"/>
    <w:rsid w:val="004406FE"/>
    <w:rsid w:val="00441774"/>
    <w:rsid w:val="00441CD1"/>
    <w:rsid w:val="00442459"/>
    <w:rsid w:val="004428E7"/>
    <w:rsid w:val="00442C91"/>
    <w:rsid w:val="0044349C"/>
    <w:rsid w:val="004439E8"/>
    <w:rsid w:val="004440C4"/>
    <w:rsid w:val="00445010"/>
    <w:rsid w:val="00445449"/>
    <w:rsid w:val="0044553B"/>
    <w:rsid w:val="004465BD"/>
    <w:rsid w:val="00446938"/>
    <w:rsid w:val="0044716A"/>
    <w:rsid w:val="00447187"/>
    <w:rsid w:val="00447D58"/>
    <w:rsid w:val="0045067E"/>
    <w:rsid w:val="00451BF9"/>
    <w:rsid w:val="004527D7"/>
    <w:rsid w:val="004528B3"/>
    <w:rsid w:val="004528FA"/>
    <w:rsid w:val="00453FE0"/>
    <w:rsid w:val="00455B52"/>
    <w:rsid w:val="00456106"/>
    <w:rsid w:val="004563FE"/>
    <w:rsid w:val="00456FD9"/>
    <w:rsid w:val="004570CE"/>
    <w:rsid w:val="00460790"/>
    <w:rsid w:val="0046184E"/>
    <w:rsid w:val="00461A44"/>
    <w:rsid w:val="00462CF4"/>
    <w:rsid w:val="00462D26"/>
    <w:rsid w:val="0046385A"/>
    <w:rsid w:val="00463F88"/>
    <w:rsid w:val="004641F1"/>
    <w:rsid w:val="004649DC"/>
    <w:rsid w:val="00464F48"/>
    <w:rsid w:val="00465B4B"/>
    <w:rsid w:val="00466068"/>
    <w:rsid w:val="00466255"/>
    <w:rsid w:val="00466556"/>
    <w:rsid w:val="00466ADA"/>
    <w:rsid w:val="00466D84"/>
    <w:rsid w:val="004674C5"/>
    <w:rsid w:val="00467F5A"/>
    <w:rsid w:val="004702BB"/>
    <w:rsid w:val="00470FC4"/>
    <w:rsid w:val="0047108B"/>
    <w:rsid w:val="00471093"/>
    <w:rsid w:val="00471504"/>
    <w:rsid w:val="004730F9"/>
    <w:rsid w:val="00473815"/>
    <w:rsid w:val="004746EE"/>
    <w:rsid w:val="0047494B"/>
    <w:rsid w:val="00474B40"/>
    <w:rsid w:val="004753EF"/>
    <w:rsid w:val="004754F5"/>
    <w:rsid w:val="004755D5"/>
    <w:rsid w:val="00476178"/>
    <w:rsid w:val="00476245"/>
    <w:rsid w:val="004766D6"/>
    <w:rsid w:val="00476BC3"/>
    <w:rsid w:val="00477A9B"/>
    <w:rsid w:val="004808E0"/>
    <w:rsid w:val="004811C3"/>
    <w:rsid w:val="00481C27"/>
    <w:rsid w:val="00481E1D"/>
    <w:rsid w:val="0048209C"/>
    <w:rsid w:val="00483035"/>
    <w:rsid w:val="00483074"/>
    <w:rsid w:val="00483380"/>
    <w:rsid w:val="004837FA"/>
    <w:rsid w:val="0048390F"/>
    <w:rsid w:val="00485940"/>
    <w:rsid w:val="004859CF"/>
    <w:rsid w:val="00486B9C"/>
    <w:rsid w:val="00486C95"/>
    <w:rsid w:val="004870C2"/>
    <w:rsid w:val="004877C2"/>
    <w:rsid w:val="00487FA9"/>
    <w:rsid w:val="004904B9"/>
    <w:rsid w:val="00490CD4"/>
    <w:rsid w:val="00490CE2"/>
    <w:rsid w:val="00490EB6"/>
    <w:rsid w:val="00491656"/>
    <w:rsid w:val="00491E48"/>
    <w:rsid w:val="004941D9"/>
    <w:rsid w:val="004945DC"/>
    <w:rsid w:val="00494A98"/>
    <w:rsid w:val="00495B49"/>
    <w:rsid w:val="00495F61"/>
    <w:rsid w:val="00496662"/>
    <w:rsid w:val="004A036A"/>
    <w:rsid w:val="004A0494"/>
    <w:rsid w:val="004A0A40"/>
    <w:rsid w:val="004A108D"/>
    <w:rsid w:val="004A2301"/>
    <w:rsid w:val="004A242A"/>
    <w:rsid w:val="004A2484"/>
    <w:rsid w:val="004A248F"/>
    <w:rsid w:val="004A2A54"/>
    <w:rsid w:val="004A2CE6"/>
    <w:rsid w:val="004A376B"/>
    <w:rsid w:val="004A3DD4"/>
    <w:rsid w:val="004A4944"/>
    <w:rsid w:val="004A4A18"/>
    <w:rsid w:val="004A5143"/>
    <w:rsid w:val="004A5A85"/>
    <w:rsid w:val="004A6001"/>
    <w:rsid w:val="004A650C"/>
    <w:rsid w:val="004A68CC"/>
    <w:rsid w:val="004A71D1"/>
    <w:rsid w:val="004A74EE"/>
    <w:rsid w:val="004A7A9B"/>
    <w:rsid w:val="004A7B7C"/>
    <w:rsid w:val="004A7C5B"/>
    <w:rsid w:val="004B0588"/>
    <w:rsid w:val="004B0A51"/>
    <w:rsid w:val="004B0DCE"/>
    <w:rsid w:val="004B0FE7"/>
    <w:rsid w:val="004B1522"/>
    <w:rsid w:val="004B1845"/>
    <w:rsid w:val="004B1ACB"/>
    <w:rsid w:val="004B1C72"/>
    <w:rsid w:val="004B2348"/>
    <w:rsid w:val="004B2B49"/>
    <w:rsid w:val="004B2E01"/>
    <w:rsid w:val="004B2E98"/>
    <w:rsid w:val="004B37E0"/>
    <w:rsid w:val="004B44D5"/>
    <w:rsid w:val="004B4EAF"/>
    <w:rsid w:val="004B5102"/>
    <w:rsid w:val="004B5640"/>
    <w:rsid w:val="004B57F7"/>
    <w:rsid w:val="004B6084"/>
    <w:rsid w:val="004B65D6"/>
    <w:rsid w:val="004B6CB9"/>
    <w:rsid w:val="004B7126"/>
    <w:rsid w:val="004BCF29"/>
    <w:rsid w:val="004C030A"/>
    <w:rsid w:val="004C0358"/>
    <w:rsid w:val="004C03D0"/>
    <w:rsid w:val="004C14A8"/>
    <w:rsid w:val="004C1919"/>
    <w:rsid w:val="004C1BD7"/>
    <w:rsid w:val="004C1C67"/>
    <w:rsid w:val="004C20FA"/>
    <w:rsid w:val="004C239C"/>
    <w:rsid w:val="004C2E86"/>
    <w:rsid w:val="004C31FE"/>
    <w:rsid w:val="004C34D2"/>
    <w:rsid w:val="004C3C99"/>
    <w:rsid w:val="004C5136"/>
    <w:rsid w:val="004C524C"/>
    <w:rsid w:val="004C5FFA"/>
    <w:rsid w:val="004C609F"/>
    <w:rsid w:val="004C644E"/>
    <w:rsid w:val="004C691D"/>
    <w:rsid w:val="004C6C07"/>
    <w:rsid w:val="004C7E15"/>
    <w:rsid w:val="004D0341"/>
    <w:rsid w:val="004D1125"/>
    <w:rsid w:val="004D206B"/>
    <w:rsid w:val="004D282C"/>
    <w:rsid w:val="004D2CAD"/>
    <w:rsid w:val="004D2CD1"/>
    <w:rsid w:val="004D3472"/>
    <w:rsid w:val="004D4A8A"/>
    <w:rsid w:val="004D4B7F"/>
    <w:rsid w:val="004D4D81"/>
    <w:rsid w:val="004D4FF6"/>
    <w:rsid w:val="004D5ADD"/>
    <w:rsid w:val="004D664A"/>
    <w:rsid w:val="004D6AAD"/>
    <w:rsid w:val="004D7B82"/>
    <w:rsid w:val="004D7E55"/>
    <w:rsid w:val="004E04DE"/>
    <w:rsid w:val="004E062A"/>
    <w:rsid w:val="004E0C14"/>
    <w:rsid w:val="004E0ECD"/>
    <w:rsid w:val="004E1760"/>
    <w:rsid w:val="004E18A7"/>
    <w:rsid w:val="004E1A19"/>
    <w:rsid w:val="004E1B22"/>
    <w:rsid w:val="004E256B"/>
    <w:rsid w:val="004E2BE9"/>
    <w:rsid w:val="004E2ED9"/>
    <w:rsid w:val="004E3AD5"/>
    <w:rsid w:val="004E3F5E"/>
    <w:rsid w:val="004E4405"/>
    <w:rsid w:val="004E457F"/>
    <w:rsid w:val="004E5026"/>
    <w:rsid w:val="004E5BD7"/>
    <w:rsid w:val="004E637B"/>
    <w:rsid w:val="004E692D"/>
    <w:rsid w:val="004E7230"/>
    <w:rsid w:val="004E7540"/>
    <w:rsid w:val="004E7C2C"/>
    <w:rsid w:val="004E7D87"/>
    <w:rsid w:val="004F11C4"/>
    <w:rsid w:val="004F1420"/>
    <w:rsid w:val="004F1CD1"/>
    <w:rsid w:val="004F1CE6"/>
    <w:rsid w:val="004F2553"/>
    <w:rsid w:val="004F306A"/>
    <w:rsid w:val="004F4434"/>
    <w:rsid w:val="004F4B9B"/>
    <w:rsid w:val="004F5C3B"/>
    <w:rsid w:val="004F5E57"/>
    <w:rsid w:val="004F5F19"/>
    <w:rsid w:val="004F6160"/>
    <w:rsid w:val="004F63ED"/>
    <w:rsid w:val="004F6BD0"/>
    <w:rsid w:val="004F77BD"/>
    <w:rsid w:val="004F7886"/>
    <w:rsid w:val="004F7AC0"/>
    <w:rsid w:val="004F7B05"/>
    <w:rsid w:val="004F7D35"/>
    <w:rsid w:val="004F7F0A"/>
    <w:rsid w:val="004F7FC0"/>
    <w:rsid w:val="0050062E"/>
    <w:rsid w:val="00500633"/>
    <w:rsid w:val="00500BBD"/>
    <w:rsid w:val="00501554"/>
    <w:rsid w:val="00501D24"/>
    <w:rsid w:val="00501D9E"/>
    <w:rsid w:val="00502854"/>
    <w:rsid w:val="00502AFE"/>
    <w:rsid w:val="00502E64"/>
    <w:rsid w:val="00503AD7"/>
    <w:rsid w:val="00504459"/>
    <w:rsid w:val="00504B92"/>
    <w:rsid w:val="00504E0C"/>
    <w:rsid w:val="00504E13"/>
    <w:rsid w:val="00504F59"/>
    <w:rsid w:val="00505605"/>
    <w:rsid w:val="0050590D"/>
    <w:rsid w:val="005059FA"/>
    <w:rsid w:val="00505AE6"/>
    <w:rsid w:val="00506255"/>
    <w:rsid w:val="00506CD8"/>
    <w:rsid w:val="005078A8"/>
    <w:rsid w:val="005109D4"/>
    <w:rsid w:val="00510F41"/>
    <w:rsid w:val="00511234"/>
    <w:rsid w:val="00511438"/>
    <w:rsid w:val="00511A1A"/>
    <w:rsid w:val="00511A5B"/>
    <w:rsid w:val="00511E84"/>
    <w:rsid w:val="0051206D"/>
    <w:rsid w:val="00512225"/>
    <w:rsid w:val="0051224B"/>
    <w:rsid w:val="00512E36"/>
    <w:rsid w:val="0051325A"/>
    <w:rsid w:val="00513334"/>
    <w:rsid w:val="005139E1"/>
    <w:rsid w:val="00513AA7"/>
    <w:rsid w:val="00514CD7"/>
    <w:rsid w:val="00514DF2"/>
    <w:rsid w:val="00515108"/>
    <w:rsid w:val="00515755"/>
    <w:rsid w:val="005166BE"/>
    <w:rsid w:val="005167EC"/>
    <w:rsid w:val="00516D89"/>
    <w:rsid w:val="00516DBF"/>
    <w:rsid w:val="005170DA"/>
    <w:rsid w:val="0051784D"/>
    <w:rsid w:val="00517E87"/>
    <w:rsid w:val="0052092B"/>
    <w:rsid w:val="00520B66"/>
    <w:rsid w:val="00520C0C"/>
    <w:rsid w:val="00520D4C"/>
    <w:rsid w:val="00520D6A"/>
    <w:rsid w:val="00521711"/>
    <w:rsid w:val="00521AA1"/>
    <w:rsid w:val="00521FCE"/>
    <w:rsid w:val="00522AD2"/>
    <w:rsid w:val="00522DB6"/>
    <w:rsid w:val="005244C8"/>
    <w:rsid w:val="005252D6"/>
    <w:rsid w:val="005264A7"/>
    <w:rsid w:val="00526E46"/>
    <w:rsid w:val="0052792D"/>
    <w:rsid w:val="00527DC6"/>
    <w:rsid w:val="005306E8"/>
    <w:rsid w:val="0053126B"/>
    <w:rsid w:val="00531445"/>
    <w:rsid w:val="005317EC"/>
    <w:rsid w:val="005319B2"/>
    <w:rsid w:val="00531C69"/>
    <w:rsid w:val="005323BE"/>
    <w:rsid w:val="005323C5"/>
    <w:rsid w:val="00532402"/>
    <w:rsid w:val="00532C74"/>
    <w:rsid w:val="00532D49"/>
    <w:rsid w:val="00533D83"/>
    <w:rsid w:val="00534018"/>
    <w:rsid w:val="00534E2E"/>
    <w:rsid w:val="00535430"/>
    <w:rsid w:val="0053557B"/>
    <w:rsid w:val="005355A7"/>
    <w:rsid w:val="00535F65"/>
    <w:rsid w:val="00536026"/>
    <w:rsid w:val="005362CB"/>
    <w:rsid w:val="00536545"/>
    <w:rsid w:val="00536CD3"/>
    <w:rsid w:val="00537BA2"/>
    <w:rsid w:val="005400E1"/>
    <w:rsid w:val="0054064C"/>
    <w:rsid w:val="00540C23"/>
    <w:rsid w:val="00541330"/>
    <w:rsid w:val="005416A2"/>
    <w:rsid w:val="00541809"/>
    <w:rsid w:val="0054277F"/>
    <w:rsid w:val="005429D6"/>
    <w:rsid w:val="00543FE5"/>
    <w:rsid w:val="005443AE"/>
    <w:rsid w:val="00544552"/>
    <w:rsid w:val="00544CB7"/>
    <w:rsid w:val="00545130"/>
    <w:rsid w:val="00545324"/>
    <w:rsid w:val="0054622E"/>
    <w:rsid w:val="00546F34"/>
    <w:rsid w:val="00546FF7"/>
    <w:rsid w:val="00547101"/>
    <w:rsid w:val="00547BED"/>
    <w:rsid w:val="0055031B"/>
    <w:rsid w:val="00550CDD"/>
    <w:rsid w:val="005510E9"/>
    <w:rsid w:val="0055116E"/>
    <w:rsid w:val="005517B1"/>
    <w:rsid w:val="0055286A"/>
    <w:rsid w:val="00553407"/>
    <w:rsid w:val="0055420B"/>
    <w:rsid w:val="00555745"/>
    <w:rsid w:val="0055692A"/>
    <w:rsid w:val="00556C7C"/>
    <w:rsid w:val="0055737F"/>
    <w:rsid w:val="00557C73"/>
    <w:rsid w:val="00557D4F"/>
    <w:rsid w:val="00557F48"/>
    <w:rsid w:val="005600C1"/>
    <w:rsid w:val="00560EF3"/>
    <w:rsid w:val="0056122E"/>
    <w:rsid w:val="00563092"/>
    <w:rsid w:val="00563104"/>
    <w:rsid w:val="00563495"/>
    <w:rsid w:val="00563809"/>
    <w:rsid w:val="00563B2B"/>
    <w:rsid w:val="0056484E"/>
    <w:rsid w:val="00564C90"/>
    <w:rsid w:val="00564DE5"/>
    <w:rsid w:val="00564E4C"/>
    <w:rsid w:val="00566142"/>
    <w:rsid w:val="0056664B"/>
    <w:rsid w:val="005666B3"/>
    <w:rsid w:val="0056681F"/>
    <w:rsid w:val="005669A6"/>
    <w:rsid w:val="00566B22"/>
    <w:rsid w:val="0056724A"/>
    <w:rsid w:val="0056751F"/>
    <w:rsid w:val="00567B21"/>
    <w:rsid w:val="00567D8A"/>
    <w:rsid w:val="005700B5"/>
    <w:rsid w:val="00571BA8"/>
    <w:rsid w:val="00571D38"/>
    <w:rsid w:val="00573082"/>
    <w:rsid w:val="005745F7"/>
    <w:rsid w:val="00574B45"/>
    <w:rsid w:val="005754FF"/>
    <w:rsid w:val="00575F5C"/>
    <w:rsid w:val="005764CD"/>
    <w:rsid w:val="005765F5"/>
    <w:rsid w:val="00577548"/>
    <w:rsid w:val="00577C4D"/>
    <w:rsid w:val="00577D98"/>
    <w:rsid w:val="00577E8D"/>
    <w:rsid w:val="00580532"/>
    <w:rsid w:val="0058099E"/>
    <w:rsid w:val="00580A6C"/>
    <w:rsid w:val="00580C48"/>
    <w:rsid w:val="00581932"/>
    <w:rsid w:val="00581A92"/>
    <w:rsid w:val="005840FD"/>
    <w:rsid w:val="00584304"/>
    <w:rsid w:val="005847A8"/>
    <w:rsid w:val="00584887"/>
    <w:rsid w:val="005853C0"/>
    <w:rsid w:val="00585CB2"/>
    <w:rsid w:val="00586C9B"/>
    <w:rsid w:val="005872D2"/>
    <w:rsid w:val="00587F20"/>
    <w:rsid w:val="005903A9"/>
    <w:rsid w:val="0059137B"/>
    <w:rsid w:val="0059186B"/>
    <w:rsid w:val="00591D7A"/>
    <w:rsid w:val="00592C97"/>
    <w:rsid w:val="00593688"/>
    <w:rsid w:val="00594698"/>
    <w:rsid w:val="00594D95"/>
    <w:rsid w:val="00594F2A"/>
    <w:rsid w:val="00595A1C"/>
    <w:rsid w:val="005963BB"/>
    <w:rsid w:val="00596F5B"/>
    <w:rsid w:val="00597C09"/>
    <w:rsid w:val="005A0A00"/>
    <w:rsid w:val="005A294A"/>
    <w:rsid w:val="005A3173"/>
    <w:rsid w:val="005A3223"/>
    <w:rsid w:val="005A378D"/>
    <w:rsid w:val="005A3796"/>
    <w:rsid w:val="005A3DA3"/>
    <w:rsid w:val="005A4EE3"/>
    <w:rsid w:val="005A52C4"/>
    <w:rsid w:val="005A53D7"/>
    <w:rsid w:val="005A55C6"/>
    <w:rsid w:val="005A63A1"/>
    <w:rsid w:val="005A66C4"/>
    <w:rsid w:val="005A7E54"/>
    <w:rsid w:val="005B075A"/>
    <w:rsid w:val="005B1543"/>
    <w:rsid w:val="005B165B"/>
    <w:rsid w:val="005B2A33"/>
    <w:rsid w:val="005B2BFE"/>
    <w:rsid w:val="005B31FB"/>
    <w:rsid w:val="005B325E"/>
    <w:rsid w:val="005B34B4"/>
    <w:rsid w:val="005B3933"/>
    <w:rsid w:val="005B4436"/>
    <w:rsid w:val="005B467E"/>
    <w:rsid w:val="005B5B80"/>
    <w:rsid w:val="005B5F25"/>
    <w:rsid w:val="005C12E4"/>
    <w:rsid w:val="005C1939"/>
    <w:rsid w:val="005C2137"/>
    <w:rsid w:val="005C278B"/>
    <w:rsid w:val="005C44ED"/>
    <w:rsid w:val="005C4933"/>
    <w:rsid w:val="005C4F73"/>
    <w:rsid w:val="005C5385"/>
    <w:rsid w:val="005C53CA"/>
    <w:rsid w:val="005C59BE"/>
    <w:rsid w:val="005C5CC2"/>
    <w:rsid w:val="005C6500"/>
    <w:rsid w:val="005C650B"/>
    <w:rsid w:val="005C6528"/>
    <w:rsid w:val="005C6CE4"/>
    <w:rsid w:val="005C6D0C"/>
    <w:rsid w:val="005C73D5"/>
    <w:rsid w:val="005C7735"/>
    <w:rsid w:val="005C790A"/>
    <w:rsid w:val="005C7B58"/>
    <w:rsid w:val="005C7D0A"/>
    <w:rsid w:val="005D014A"/>
    <w:rsid w:val="005D03AB"/>
    <w:rsid w:val="005D0F8B"/>
    <w:rsid w:val="005D1DD0"/>
    <w:rsid w:val="005D298D"/>
    <w:rsid w:val="005D401D"/>
    <w:rsid w:val="005D5017"/>
    <w:rsid w:val="005D599A"/>
    <w:rsid w:val="005D609C"/>
    <w:rsid w:val="005D63FA"/>
    <w:rsid w:val="005D73C7"/>
    <w:rsid w:val="005D7AD2"/>
    <w:rsid w:val="005E0274"/>
    <w:rsid w:val="005E0C2D"/>
    <w:rsid w:val="005E0D82"/>
    <w:rsid w:val="005E0E90"/>
    <w:rsid w:val="005E1143"/>
    <w:rsid w:val="005E11F7"/>
    <w:rsid w:val="005E1333"/>
    <w:rsid w:val="005E278A"/>
    <w:rsid w:val="005E2EA2"/>
    <w:rsid w:val="005E3131"/>
    <w:rsid w:val="005E3136"/>
    <w:rsid w:val="005E369F"/>
    <w:rsid w:val="005E4B87"/>
    <w:rsid w:val="005E507D"/>
    <w:rsid w:val="005E7042"/>
    <w:rsid w:val="005E7861"/>
    <w:rsid w:val="005E7947"/>
    <w:rsid w:val="005F01D2"/>
    <w:rsid w:val="005F0AD0"/>
    <w:rsid w:val="005F0F78"/>
    <w:rsid w:val="005F160A"/>
    <w:rsid w:val="005F1881"/>
    <w:rsid w:val="005F28B6"/>
    <w:rsid w:val="005F2E8C"/>
    <w:rsid w:val="005F32A9"/>
    <w:rsid w:val="005F45FA"/>
    <w:rsid w:val="005F46DA"/>
    <w:rsid w:val="005F4F77"/>
    <w:rsid w:val="005F5B47"/>
    <w:rsid w:val="005F5EDB"/>
    <w:rsid w:val="005F6501"/>
    <w:rsid w:val="005F6542"/>
    <w:rsid w:val="005F694E"/>
    <w:rsid w:val="00601A91"/>
    <w:rsid w:val="00601AE9"/>
    <w:rsid w:val="00601F02"/>
    <w:rsid w:val="00602BA3"/>
    <w:rsid w:val="00602C2C"/>
    <w:rsid w:val="00602D31"/>
    <w:rsid w:val="006038B7"/>
    <w:rsid w:val="00603C13"/>
    <w:rsid w:val="00604683"/>
    <w:rsid w:val="006052F2"/>
    <w:rsid w:val="00605647"/>
    <w:rsid w:val="00605A8D"/>
    <w:rsid w:val="00605AA7"/>
    <w:rsid w:val="00605B63"/>
    <w:rsid w:val="00605F9A"/>
    <w:rsid w:val="00606442"/>
    <w:rsid w:val="00606CC9"/>
    <w:rsid w:val="00606EED"/>
    <w:rsid w:val="00607424"/>
    <w:rsid w:val="0060764A"/>
    <w:rsid w:val="0060787A"/>
    <w:rsid w:val="006101B3"/>
    <w:rsid w:val="006104A4"/>
    <w:rsid w:val="006106AF"/>
    <w:rsid w:val="00610F5E"/>
    <w:rsid w:val="00611356"/>
    <w:rsid w:val="00611F6C"/>
    <w:rsid w:val="00612275"/>
    <w:rsid w:val="00612A95"/>
    <w:rsid w:val="00612D21"/>
    <w:rsid w:val="00612E34"/>
    <w:rsid w:val="006130FC"/>
    <w:rsid w:val="00613E07"/>
    <w:rsid w:val="00614159"/>
    <w:rsid w:val="006144D2"/>
    <w:rsid w:val="00614D64"/>
    <w:rsid w:val="006152AD"/>
    <w:rsid w:val="00615360"/>
    <w:rsid w:val="006158A3"/>
    <w:rsid w:val="006158B1"/>
    <w:rsid w:val="00615A0F"/>
    <w:rsid w:val="00616016"/>
    <w:rsid w:val="006167C7"/>
    <w:rsid w:val="00616828"/>
    <w:rsid w:val="00616C5F"/>
    <w:rsid w:val="00616D0A"/>
    <w:rsid w:val="00616DAC"/>
    <w:rsid w:val="00617725"/>
    <w:rsid w:val="00617C00"/>
    <w:rsid w:val="00617C7C"/>
    <w:rsid w:val="00617CC2"/>
    <w:rsid w:val="00620418"/>
    <w:rsid w:val="006208EC"/>
    <w:rsid w:val="00620D01"/>
    <w:rsid w:val="006219CC"/>
    <w:rsid w:val="00621AED"/>
    <w:rsid w:val="006229C7"/>
    <w:rsid w:val="0062316A"/>
    <w:rsid w:val="00623C69"/>
    <w:rsid w:val="006251EE"/>
    <w:rsid w:val="006258B8"/>
    <w:rsid w:val="00625B8A"/>
    <w:rsid w:val="006263BF"/>
    <w:rsid w:val="00626F24"/>
    <w:rsid w:val="00626F71"/>
    <w:rsid w:val="0062748A"/>
    <w:rsid w:val="00627E95"/>
    <w:rsid w:val="0063018A"/>
    <w:rsid w:val="00630884"/>
    <w:rsid w:val="00630A2C"/>
    <w:rsid w:val="006312AC"/>
    <w:rsid w:val="00631B39"/>
    <w:rsid w:val="00631F25"/>
    <w:rsid w:val="006327E1"/>
    <w:rsid w:val="00632CE1"/>
    <w:rsid w:val="00633680"/>
    <w:rsid w:val="006339B2"/>
    <w:rsid w:val="006342D0"/>
    <w:rsid w:val="00634341"/>
    <w:rsid w:val="00634B68"/>
    <w:rsid w:val="00635A76"/>
    <w:rsid w:val="00636178"/>
    <w:rsid w:val="006365B2"/>
    <w:rsid w:val="0063682E"/>
    <w:rsid w:val="00637014"/>
    <w:rsid w:val="006370BE"/>
    <w:rsid w:val="006375DF"/>
    <w:rsid w:val="00637A22"/>
    <w:rsid w:val="00637D80"/>
    <w:rsid w:val="00640088"/>
    <w:rsid w:val="006403D4"/>
    <w:rsid w:val="006407FB"/>
    <w:rsid w:val="006409F6"/>
    <w:rsid w:val="0064184A"/>
    <w:rsid w:val="006418BC"/>
    <w:rsid w:val="00641F8B"/>
    <w:rsid w:val="006423A6"/>
    <w:rsid w:val="00642672"/>
    <w:rsid w:val="00642DA8"/>
    <w:rsid w:val="00643126"/>
    <w:rsid w:val="006436CD"/>
    <w:rsid w:val="006445FA"/>
    <w:rsid w:val="0064465E"/>
    <w:rsid w:val="006447B2"/>
    <w:rsid w:val="0064493A"/>
    <w:rsid w:val="00644A40"/>
    <w:rsid w:val="00645340"/>
    <w:rsid w:val="00645404"/>
    <w:rsid w:val="0064555B"/>
    <w:rsid w:val="00645BD6"/>
    <w:rsid w:val="00645F34"/>
    <w:rsid w:val="00646252"/>
    <w:rsid w:val="00646528"/>
    <w:rsid w:val="00646DC0"/>
    <w:rsid w:val="00647A18"/>
    <w:rsid w:val="006502BF"/>
    <w:rsid w:val="006506E7"/>
    <w:rsid w:val="00651169"/>
    <w:rsid w:val="00651E46"/>
    <w:rsid w:val="006523FA"/>
    <w:rsid w:val="00652583"/>
    <w:rsid w:val="00652878"/>
    <w:rsid w:val="006530B0"/>
    <w:rsid w:val="006536C2"/>
    <w:rsid w:val="00653983"/>
    <w:rsid w:val="00653B19"/>
    <w:rsid w:val="00653D69"/>
    <w:rsid w:val="006545F9"/>
    <w:rsid w:val="00654A34"/>
    <w:rsid w:val="006552E6"/>
    <w:rsid w:val="006554A1"/>
    <w:rsid w:val="00655794"/>
    <w:rsid w:val="006568AA"/>
    <w:rsid w:val="00656ED0"/>
    <w:rsid w:val="006571FB"/>
    <w:rsid w:val="00657C63"/>
    <w:rsid w:val="00660FBC"/>
    <w:rsid w:val="00661620"/>
    <w:rsid w:val="00661CBC"/>
    <w:rsid w:val="0066212F"/>
    <w:rsid w:val="0066237A"/>
    <w:rsid w:val="00662B85"/>
    <w:rsid w:val="00663D72"/>
    <w:rsid w:val="00663DE6"/>
    <w:rsid w:val="006640C7"/>
    <w:rsid w:val="00664C51"/>
    <w:rsid w:val="00665B3D"/>
    <w:rsid w:val="0066610D"/>
    <w:rsid w:val="00666229"/>
    <w:rsid w:val="0066684D"/>
    <w:rsid w:val="00666C49"/>
    <w:rsid w:val="006670BE"/>
    <w:rsid w:val="00670099"/>
    <w:rsid w:val="006701B6"/>
    <w:rsid w:val="00670A76"/>
    <w:rsid w:val="00670D50"/>
    <w:rsid w:val="006711AA"/>
    <w:rsid w:val="00672B57"/>
    <w:rsid w:val="00672FEA"/>
    <w:rsid w:val="006739DE"/>
    <w:rsid w:val="00673CDC"/>
    <w:rsid w:val="00673F1F"/>
    <w:rsid w:val="00674EAD"/>
    <w:rsid w:val="00675622"/>
    <w:rsid w:val="00675D36"/>
    <w:rsid w:val="00676762"/>
    <w:rsid w:val="00677127"/>
    <w:rsid w:val="0067747D"/>
    <w:rsid w:val="00677790"/>
    <w:rsid w:val="00677D85"/>
    <w:rsid w:val="00677E2C"/>
    <w:rsid w:val="0068013D"/>
    <w:rsid w:val="006818D5"/>
    <w:rsid w:val="00681CA4"/>
    <w:rsid w:val="00681DD1"/>
    <w:rsid w:val="006836C7"/>
    <w:rsid w:val="00683E1E"/>
    <w:rsid w:val="006855B8"/>
    <w:rsid w:val="00686345"/>
    <w:rsid w:val="00687BC0"/>
    <w:rsid w:val="00690109"/>
    <w:rsid w:val="0069039D"/>
    <w:rsid w:val="0069046C"/>
    <w:rsid w:val="0069050D"/>
    <w:rsid w:val="006906DB"/>
    <w:rsid w:val="00690D2C"/>
    <w:rsid w:val="006914FF"/>
    <w:rsid w:val="00691900"/>
    <w:rsid w:val="00691E6C"/>
    <w:rsid w:val="006930E6"/>
    <w:rsid w:val="006931AF"/>
    <w:rsid w:val="0069342D"/>
    <w:rsid w:val="00693DFB"/>
    <w:rsid w:val="00693EBC"/>
    <w:rsid w:val="006947D6"/>
    <w:rsid w:val="0069501D"/>
    <w:rsid w:val="00695488"/>
    <w:rsid w:val="00695926"/>
    <w:rsid w:val="00696129"/>
    <w:rsid w:val="00696922"/>
    <w:rsid w:val="00696E68"/>
    <w:rsid w:val="00697CF2"/>
    <w:rsid w:val="006A05F5"/>
    <w:rsid w:val="006A12A5"/>
    <w:rsid w:val="006A1D42"/>
    <w:rsid w:val="006A2515"/>
    <w:rsid w:val="006A285C"/>
    <w:rsid w:val="006A2CED"/>
    <w:rsid w:val="006A3614"/>
    <w:rsid w:val="006A566C"/>
    <w:rsid w:val="006A581A"/>
    <w:rsid w:val="006A5939"/>
    <w:rsid w:val="006A59CC"/>
    <w:rsid w:val="006A5DFA"/>
    <w:rsid w:val="006A5E20"/>
    <w:rsid w:val="006A700E"/>
    <w:rsid w:val="006A7762"/>
    <w:rsid w:val="006B00BA"/>
    <w:rsid w:val="006B0D94"/>
    <w:rsid w:val="006B10C5"/>
    <w:rsid w:val="006B14E1"/>
    <w:rsid w:val="006B159F"/>
    <w:rsid w:val="006B160E"/>
    <w:rsid w:val="006B2571"/>
    <w:rsid w:val="006B35D8"/>
    <w:rsid w:val="006B40B9"/>
    <w:rsid w:val="006B4727"/>
    <w:rsid w:val="006B485D"/>
    <w:rsid w:val="006B4E0A"/>
    <w:rsid w:val="006B6769"/>
    <w:rsid w:val="006B6F5C"/>
    <w:rsid w:val="006C0135"/>
    <w:rsid w:val="006C02F6"/>
    <w:rsid w:val="006C09B1"/>
    <w:rsid w:val="006C0C45"/>
    <w:rsid w:val="006C19A9"/>
    <w:rsid w:val="006C241F"/>
    <w:rsid w:val="006C2947"/>
    <w:rsid w:val="006C29AC"/>
    <w:rsid w:val="006C3193"/>
    <w:rsid w:val="006C334C"/>
    <w:rsid w:val="006C33ED"/>
    <w:rsid w:val="006C3B62"/>
    <w:rsid w:val="006C3D74"/>
    <w:rsid w:val="006C4364"/>
    <w:rsid w:val="006C4EE0"/>
    <w:rsid w:val="006C5004"/>
    <w:rsid w:val="006C5B33"/>
    <w:rsid w:val="006C6089"/>
    <w:rsid w:val="006C6C10"/>
    <w:rsid w:val="006C708E"/>
    <w:rsid w:val="006C73AF"/>
    <w:rsid w:val="006C78A2"/>
    <w:rsid w:val="006D05C2"/>
    <w:rsid w:val="006D14E7"/>
    <w:rsid w:val="006D291B"/>
    <w:rsid w:val="006D3EA5"/>
    <w:rsid w:val="006D4444"/>
    <w:rsid w:val="006D464E"/>
    <w:rsid w:val="006D4DBC"/>
    <w:rsid w:val="006D6493"/>
    <w:rsid w:val="006D6EC7"/>
    <w:rsid w:val="006D73B1"/>
    <w:rsid w:val="006D77EA"/>
    <w:rsid w:val="006E0561"/>
    <w:rsid w:val="006E0B47"/>
    <w:rsid w:val="006E0D17"/>
    <w:rsid w:val="006E1822"/>
    <w:rsid w:val="006E1BCD"/>
    <w:rsid w:val="006E221F"/>
    <w:rsid w:val="006E2494"/>
    <w:rsid w:val="006E2732"/>
    <w:rsid w:val="006E2AFE"/>
    <w:rsid w:val="006E3231"/>
    <w:rsid w:val="006E377B"/>
    <w:rsid w:val="006E39B1"/>
    <w:rsid w:val="006E3B91"/>
    <w:rsid w:val="006E3EBA"/>
    <w:rsid w:val="006E42B5"/>
    <w:rsid w:val="006E439C"/>
    <w:rsid w:val="006E4478"/>
    <w:rsid w:val="006E4A22"/>
    <w:rsid w:val="006E4EF3"/>
    <w:rsid w:val="006E521D"/>
    <w:rsid w:val="006E55C1"/>
    <w:rsid w:val="006E59CD"/>
    <w:rsid w:val="006E6376"/>
    <w:rsid w:val="006E6E84"/>
    <w:rsid w:val="006E72F8"/>
    <w:rsid w:val="006E7963"/>
    <w:rsid w:val="006F0959"/>
    <w:rsid w:val="006F0A71"/>
    <w:rsid w:val="006F111F"/>
    <w:rsid w:val="006F1BDC"/>
    <w:rsid w:val="006F1E6C"/>
    <w:rsid w:val="006F40C2"/>
    <w:rsid w:val="006F5125"/>
    <w:rsid w:val="006F5637"/>
    <w:rsid w:val="006F5A50"/>
    <w:rsid w:val="006F5AC2"/>
    <w:rsid w:val="006F733D"/>
    <w:rsid w:val="006F75C6"/>
    <w:rsid w:val="006F7631"/>
    <w:rsid w:val="007000C6"/>
    <w:rsid w:val="00701785"/>
    <w:rsid w:val="0070233F"/>
    <w:rsid w:val="007026B9"/>
    <w:rsid w:val="00702B6F"/>
    <w:rsid w:val="00702F87"/>
    <w:rsid w:val="00703DBC"/>
    <w:rsid w:val="00704069"/>
    <w:rsid w:val="007041C0"/>
    <w:rsid w:val="00704304"/>
    <w:rsid w:val="007055BC"/>
    <w:rsid w:val="0070569E"/>
    <w:rsid w:val="00705DDB"/>
    <w:rsid w:val="0070661A"/>
    <w:rsid w:val="00706A2F"/>
    <w:rsid w:val="0070718E"/>
    <w:rsid w:val="00707E52"/>
    <w:rsid w:val="00710259"/>
    <w:rsid w:val="0071031F"/>
    <w:rsid w:val="0071074B"/>
    <w:rsid w:val="007110E0"/>
    <w:rsid w:val="00711236"/>
    <w:rsid w:val="007116BD"/>
    <w:rsid w:val="0071224E"/>
    <w:rsid w:val="00712489"/>
    <w:rsid w:val="00712A10"/>
    <w:rsid w:val="00712AF7"/>
    <w:rsid w:val="0071340B"/>
    <w:rsid w:val="0071384C"/>
    <w:rsid w:val="007139D3"/>
    <w:rsid w:val="0071436D"/>
    <w:rsid w:val="00714D35"/>
    <w:rsid w:val="00715A0C"/>
    <w:rsid w:val="00715A0E"/>
    <w:rsid w:val="00715BBB"/>
    <w:rsid w:val="00715E7A"/>
    <w:rsid w:val="00715F2C"/>
    <w:rsid w:val="00716E85"/>
    <w:rsid w:val="00716FAF"/>
    <w:rsid w:val="0071712E"/>
    <w:rsid w:val="007174BB"/>
    <w:rsid w:val="00717F90"/>
    <w:rsid w:val="0072025D"/>
    <w:rsid w:val="00722B84"/>
    <w:rsid w:val="00723328"/>
    <w:rsid w:val="00723CFC"/>
    <w:rsid w:val="00724E4B"/>
    <w:rsid w:val="0072542F"/>
    <w:rsid w:val="00725CCC"/>
    <w:rsid w:val="00726133"/>
    <w:rsid w:val="00726BF2"/>
    <w:rsid w:val="00726EFD"/>
    <w:rsid w:val="0072745F"/>
    <w:rsid w:val="007277E8"/>
    <w:rsid w:val="00730AE6"/>
    <w:rsid w:val="00731113"/>
    <w:rsid w:val="0073137C"/>
    <w:rsid w:val="007315BD"/>
    <w:rsid w:val="00732713"/>
    <w:rsid w:val="00732772"/>
    <w:rsid w:val="00732FB5"/>
    <w:rsid w:val="00733184"/>
    <w:rsid w:val="007340B8"/>
    <w:rsid w:val="007340B9"/>
    <w:rsid w:val="0073432E"/>
    <w:rsid w:val="007353D3"/>
    <w:rsid w:val="00736D6F"/>
    <w:rsid w:val="00737B40"/>
    <w:rsid w:val="007402DF"/>
    <w:rsid w:val="00740623"/>
    <w:rsid w:val="00740AF1"/>
    <w:rsid w:val="00740D78"/>
    <w:rsid w:val="0074156B"/>
    <w:rsid w:val="00741619"/>
    <w:rsid w:val="00741717"/>
    <w:rsid w:val="00742F5A"/>
    <w:rsid w:val="0074336C"/>
    <w:rsid w:val="00745D31"/>
    <w:rsid w:val="00746054"/>
    <w:rsid w:val="007463E6"/>
    <w:rsid w:val="00747092"/>
    <w:rsid w:val="00747D01"/>
    <w:rsid w:val="007507BF"/>
    <w:rsid w:val="00750A85"/>
    <w:rsid w:val="00750AC1"/>
    <w:rsid w:val="007513D4"/>
    <w:rsid w:val="007519FC"/>
    <w:rsid w:val="007526E6"/>
    <w:rsid w:val="00752ED7"/>
    <w:rsid w:val="00753799"/>
    <w:rsid w:val="00754DF9"/>
    <w:rsid w:val="007555E8"/>
    <w:rsid w:val="00755CC5"/>
    <w:rsid w:val="0075742A"/>
    <w:rsid w:val="007612D3"/>
    <w:rsid w:val="00761FDF"/>
    <w:rsid w:val="007620BE"/>
    <w:rsid w:val="0076225F"/>
    <w:rsid w:val="007624C0"/>
    <w:rsid w:val="00762528"/>
    <w:rsid w:val="00762930"/>
    <w:rsid w:val="00762A24"/>
    <w:rsid w:val="00763624"/>
    <w:rsid w:val="00763B46"/>
    <w:rsid w:val="00763FE8"/>
    <w:rsid w:val="00764204"/>
    <w:rsid w:val="0076420C"/>
    <w:rsid w:val="00765435"/>
    <w:rsid w:val="00765AE4"/>
    <w:rsid w:val="00765D74"/>
    <w:rsid w:val="00766026"/>
    <w:rsid w:val="007662B2"/>
    <w:rsid w:val="0076630C"/>
    <w:rsid w:val="007671DA"/>
    <w:rsid w:val="007700BE"/>
    <w:rsid w:val="00770151"/>
    <w:rsid w:val="0077188A"/>
    <w:rsid w:val="00771D07"/>
    <w:rsid w:val="00772054"/>
    <w:rsid w:val="007720E0"/>
    <w:rsid w:val="007729C2"/>
    <w:rsid w:val="00773BE3"/>
    <w:rsid w:val="00773DEF"/>
    <w:rsid w:val="007743DD"/>
    <w:rsid w:val="00774465"/>
    <w:rsid w:val="007748A8"/>
    <w:rsid w:val="00774E2C"/>
    <w:rsid w:val="0077518D"/>
    <w:rsid w:val="00775354"/>
    <w:rsid w:val="007753C2"/>
    <w:rsid w:val="00775537"/>
    <w:rsid w:val="007761BD"/>
    <w:rsid w:val="007761D9"/>
    <w:rsid w:val="0077687F"/>
    <w:rsid w:val="0077705F"/>
    <w:rsid w:val="0077761F"/>
    <w:rsid w:val="007778D1"/>
    <w:rsid w:val="00781A71"/>
    <w:rsid w:val="0078236F"/>
    <w:rsid w:val="00782DB9"/>
    <w:rsid w:val="0078313E"/>
    <w:rsid w:val="007838B8"/>
    <w:rsid w:val="0078570B"/>
    <w:rsid w:val="007858CC"/>
    <w:rsid w:val="0079033D"/>
    <w:rsid w:val="007908EA"/>
    <w:rsid w:val="00791297"/>
    <w:rsid w:val="007915BA"/>
    <w:rsid w:val="007917C9"/>
    <w:rsid w:val="00791844"/>
    <w:rsid w:val="00791C06"/>
    <w:rsid w:val="00792177"/>
    <w:rsid w:val="00792676"/>
    <w:rsid w:val="007928C2"/>
    <w:rsid w:val="007928DF"/>
    <w:rsid w:val="007929D5"/>
    <w:rsid w:val="00792D0D"/>
    <w:rsid w:val="00792D4C"/>
    <w:rsid w:val="007961C1"/>
    <w:rsid w:val="0079674A"/>
    <w:rsid w:val="00797515"/>
    <w:rsid w:val="007979BD"/>
    <w:rsid w:val="007A03C6"/>
    <w:rsid w:val="007A0F71"/>
    <w:rsid w:val="007A10D5"/>
    <w:rsid w:val="007A112E"/>
    <w:rsid w:val="007A2775"/>
    <w:rsid w:val="007A2784"/>
    <w:rsid w:val="007A292F"/>
    <w:rsid w:val="007A3C92"/>
    <w:rsid w:val="007A4709"/>
    <w:rsid w:val="007A4EFD"/>
    <w:rsid w:val="007A6A04"/>
    <w:rsid w:val="007A6A2F"/>
    <w:rsid w:val="007A7537"/>
    <w:rsid w:val="007B024E"/>
    <w:rsid w:val="007B0839"/>
    <w:rsid w:val="007B110A"/>
    <w:rsid w:val="007B12D7"/>
    <w:rsid w:val="007B13A5"/>
    <w:rsid w:val="007B15CA"/>
    <w:rsid w:val="007B18AC"/>
    <w:rsid w:val="007B1C01"/>
    <w:rsid w:val="007B1F24"/>
    <w:rsid w:val="007B2348"/>
    <w:rsid w:val="007B237C"/>
    <w:rsid w:val="007B3149"/>
    <w:rsid w:val="007B33F1"/>
    <w:rsid w:val="007B3640"/>
    <w:rsid w:val="007B3A5D"/>
    <w:rsid w:val="007B3BEA"/>
    <w:rsid w:val="007B3DDC"/>
    <w:rsid w:val="007B3E8A"/>
    <w:rsid w:val="007B4098"/>
    <w:rsid w:val="007B4A26"/>
    <w:rsid w:val="007B4C42"/>
    <w:rsid w:val="007B5023"/>
    <w:rsid w:val="007B5391"/>
    <w:rsid w:val="007B62F1"/>
    <w:rsid w:val="007B646A"/>
    <w:rsid w:val="007B6EDD"/>
    <w:rsid w:val="007B72A6"/>
    <w:rsid w:val="007B78B8"/>
    <w:rsid w:val="007B7C77"/>
    <w:rsid w:val="007C06D2"/>
    <w:rsid w:val="007C08E0"/>
    <w:rsid w:val="007C0C0E"/>
    <w:rsid w:val="007C0F57"/>
    <w:rsid w:val="007C36E7"/>
    <w:rsid w:val="007C40B6"/>
    <w:rsid w:val="007C6878"/>
    <w:rsid w:val="007C6CD6"/>
    <w:rsid w:val="007C729F"/>
    <w:rsid w:val="007C78BD"/>
    <w:rsid w:val="007D01D6"/>
    <w:rsid w:val="007D1D8A"/>
    <w:rsid w:val="007D262E"/>
    <w:rsid w:val="007D2DFD"/>
    <w:rsid w:val="007D3CE9"/>
    <w:rsid w:val="007D503D"/>
    <w:rsid w:val="007D5178"/>
    <w:rsid w:val="007D5766"/>
    <w:rsid w:val="007D57ED"/>
    <w:rsid w:val="007D59E7"/>
    <w:rsid w:val="007D5F2A"/>
    <w:rsid w:val="007D61DB"/>
    <w:rsid w:val="007D6800"/>
    <w:rsid w:val="007D6934"/>
    <w:rsid w:val="007D6BD8"/>
    <w:rsid w:val="007D6C56"/>
    <w:rsid w:val="007D7BA9"/>
    <w:rsid w:val="007D7FC7"/>
    <w:rsid w:val="007E0080"/>
    <w:rsid w:val="007E0159"/>
    <w:rsid w:val="007E0AE9"/>
    <w:rsid w:val="007E0C40"/>
    <w:rsid w:val="007E1127"/>
    <w:rsid w:val="007E1540"/>
    <w:rsid w:val="007E1C1B"/>
    <w:rsid w:val="007E1D28"/>
    <w:rsid w:val="007E33A5"/>
    <w:rsid w:val="007E3D6C"/>
    <w:rsid w:val="007E5844"/>
    <w:rsid w:val="007E63D9"/>
    <w:rsid w:val="007E715F"/>
    <w:rsid w:val="007F0021"/>
    <w:rsid w:val="007F13B3"/>
    <w:rsid w:val="007F1440"/>
    <w:rsid w:val="007F1735"/>
    <w:rsid w:val="007F2641"/>
    <w:rsid w:val="007F2AEB"/>
    <w:rsid w:val="007F33F2"/>
    <w:rsid w:val="007F34EC"/>
    <w:rsid w:val="007F4FF1"/>
    <w:rsid w:val="007F5EFE"/>
    <w:rsid w:val="007F5F6C"/>
    <w:rsid w:val="007F5FAD"/>
    <w:rsid w:val="007F60D4"/>
    <w:rsid w:val="007F653C"/>
    <w:rsid w:val="007F6A25"/>
    <w:rsid w:val="007F7638"/>
    <w:rsid w:val="007F776C"/>
    <w:rsid w:val="007F7C36"/>
    <w:rsid w:val="008016FB"/>
    <w:rsid w:val="00801C31"/>
    <w:rsid w:val="00802158"/>
    <w:rsid w:val="00802D35"/>
    <w:rsid w:val="00803BB0"/>
    <w:rsid w:val="00804058"/>
    <w:rsid w:val="008055AF"/>
    <w:rsid w:val="008057CD"/>
    <w:rsid w:val="00805DDA"/>
    <w:rsid w:val="00805DE4"/>
    <w:rsid w:val="00806796"/>
    <w:rsid w:val="00810112"/>
    <w:rsid w:val="00810167"/>
    <w:rsid w:val="00811073"/>
    <w:rsid w:val="00811851"/>
    <w:rsid w:val="00811B5A"/>
    <w:rsid w:val="00811CC0"/>
    <w:rsid w:val="0081242F"/>
    <w:rsid w:val="00813AD9"/>
    <w:rsid w:val="0081423B"/>
    <w:rsid w:val="008147AE"/>
    <w:rsid w:val="00814BC6"/>
    <w:rsid w:val="008151D6"/>
    <w:rsid w:val="008153A4"/>
    <w:rsid w:val="00815ABB"/>
    <w:rsid w:val="00815B02"/>
    <w:rsid w:val="00815D27"/>
    <w:rsid w:val="00817338"/>
    <w:rsid w:val="0082049B"/>
    <w:rsid w:val="00820543"/>
    <w:rsid w:val="00820E10"/>
    <w:rsid w:val="00820E5D"/>
    <w:rsid w:val="008211C3"/>
    <w:rsid w:val="00821527"/>
    <w:rsid w:val="008215A3"/>
    <w:rsid w:val="00821950"/>
    <w:rsid w:val="00821A82"/>
    <w:rsid w:val="00821EDA"/>
    <w:rsid w:val="00822099"/>
    <w:rsid w:val="00822175"/>
    <w:rsid w:val="00822696"/>
    <w:rsid w:val="0082276B"/>
    <w:rsid w:val="0082317A"/>
    <w:rsid w:val="00823549"/>
    <w:rsid w:val="00823550"/>
    <w:rsid w:val="00823F51"/>
    <w:rsid w:val="00824173"/>
    <w:rsid w:val="00824CBB"/>
    <w:rsid w:val="00825A6C"/>
    <w:rsid w:val="0082617E"/>
    <w:rsid w:val="008265BB"/>
    <w:rsid w:val="008268BB"/>
    <w:rsid w:val="00826BF9"/>
    <w:rsid w:val="00826DA1"/>
    <w:rsid w:val="00826F6D"/>
    <w:rsid w:val="008277E2"/>
    <w:rsid w:val="00827806"/>
    <w:rsid w:val="00827AF2"/>
    <w:rsid w:val="00827C8F"/>
    <w:rsid w:val="008301C4"/>
    <w:rsid w:val="00830204"/>
    <w:rsid w:val="00830366"/>
    <w:rsid w:val="008306F3"/>
    <w:rsid w:val="0083088C"/>
    <w:rsid w:val="00830E40"/>
    <w:rsid w:val="00831686"/>
    <w:rsid w:val="00831785"/>
    <w:rsid w:val="00831AE3"/>
    <w:rsid w:val="008325ED"/>
    <w:rsid w:val="00832CDF"/>
    <w:rsid w:val="00832D9A"/>
    <w:rsid w:val="00832F72"/>
    <w:rsid w:val="00833215"/>
    <w:rsid w:val="0083404C"/>
    <w:rsid w:val="008349D2"/>
    <w:rsid w:val="00835704"/>
    <w:rsid w:val="00835AC3"/>
    <w:rsid w:val="00835C62"/>
    <w:rsid w:val="00836021"/>
    <w:rsid w:val="00836315"/>
    <w:rsid w:val="008368A1"/>
    <w:rsid w:val="00836CD0"/>
    <w:rsid w:val="00840A39"/>
    <w:rsid w:val="00840C40"/>
    <w:rsid w:val="00840EF7"/>
    <w:rsid w:val="008417EE"/>
    <w:rsid w:val="00841CE2"/>
    <w:rsid w:val="0084229F"/>
    <w:rsid w:val="008445D9"/>
    <w:rsid w:val="00844C0A"/>
    <w:rsid w:val="008455F4"/>
    <w:rsid w:val="00846056"/>
    <w:rsid w:val="008464E2"/>
    <w:rsid w:val="0084681F"/>
    <w:rsid w:val="00847904"/>
    <w:rsid w:val="00847EC0"/>
    <w:rsid w:val="008500DA"/>
    <w:rsid w:val="008504DF"/>
    <w:rsid w:val="00850B06"/>
    <w:rsid w:val="00850BB3"/>
    <w:rsid w:val="008524F8"/>
    <w:rsid w:val="0085289E"/>
    <w:rsid w:val="00852E69"/>
    <w:rsid w:val="0085313D"/>
    <w:rsid w:val="008537C1"/>
    <w:rsid w:val="00853EA1"/>
    <w:rsid w:val="008555AC"/>
    <w:rsid w:val="008559BF"/>
    <w:rsid w:val="00855C0D"/>
    <w:rsid w:val="00855FD6"/>
    <w:rsid w:val="0085659B"/>
    <w:rsid w:val="00856C70"/>
    <w:rsid w:val="00856DDD"/>
    <w:rsid w:val="00857A4E"/>
    <w:rsid w:val="00857FE7"/>
    <w:rsid w:val="008602A7"/>
    <w:rsid w:val="00860580"/>
    <w:rsid w:val="00860A02"/>
    <w:rsid w:val="0086169C"/>
    <w:rsid w:val="008621D3"/>
    <w:rsid w:val="008625C6"/>
    <w:rsid w:val="00862EF8"/>
    <w:rsid w:val="00863E68"/>
    <w:rsid w:val="00863F2E"/>
    <w:rsid w:val="00864230"/>
    <w:rsid w:val="008647B5"/>
    <w:rsid w:val="00864905"/>
    <w:rsid w:val="00864D51"/>
    <w:rsid w:val="00865954"/>
    <w:rsid w:val="0086716B"/>
    <w:rsid w:val="00867969"/>
    <w:rsid w:val="00867D64"/>
    <w:rsid w:val="0087129C"/>
    <w:rsid w:val="00871328"/>
    <w:rsid w:val="008723BA"/>
    <w:rsid w:val="00872744"/>
    <w:rsid w:val="00872B3D"/>
    <w:rsid w:val="0087303F"/>
    <w:rsid w:val="008731B0"/>
    <w:rsid w:val="00873C66"/>
    <w:rsid w:val="008745B0"/>
    <w:rsid w:val="00874FE3"/>
    <w:rsid w:val="00875DCB"/>
    <w:rsid w:val="00875DF9"/>
    <w:rsid w:val="0087755A"/>
    <w:rsid w:val="0087797B"/>
    <w:rsid w:val="00877AFB"/>
    <w:rsid w:val="0088022A"/>
    <w:rsid w:val="008803EC"/>
    <w:rsid w:val="008815CD"/>
    <w:rsid w:val="0088193A"/>
    <w:rsid w:val="008819B6"/>
    <w:rsid w:val="00882085"/>
    <w:rsid w:val="00882282"/>
    <w:rsid w:val="00883188"/>
    <w:rsid w:val="008838B5"/>
    <w:rsid w:val="008849B4"/>
    <w:rsid w:val="00884A0C"/>
    <w:rsid w:val="0088517E"/>
    <w:rsid w:val="008853A9"/>
    <w:rsid w:val="0088559A"/>
    <w:rsid w:val="00885CDB"/>
    <w:rsid w:val="00886271"/>
    <w:rsid w:val="00886928"/>
    <w:rsid w:val="00886ACA"/>
    <w:rsid w:val="00886CE9"/>
    <w:rsid w:val="00886E59"/>
    <w:rsid w:val="0089031E"/>
    <w:rsid w:val="0089088F"/>
    <w:rsid w:val="008911EB"/>
    <w:rsid w:val="0089232A"/>
    <w:rsid w:val="00893DE9"/>
    <w:rsid w:val="00894005"/>
    <w:rsid w:val="008942F5"/>
    <w:rsid w:val="0089460B"/>
    <w:rsid w:val="008956BF"/>
    <w:rsid w:val="008970C1"/>
    <w:rsid w:val="00897CF2"/>
    <w:rsid w:val="00897D58"/>
    <w:rsid w:val="00897E8E"/>
    <w:rsid w:val="00897F22"/>
    <w:rsid w:val="008A0698"/>
    <w:rsid w:val="008A0B39"/>
    <w:rsid w:val="008A15E5"/>
    <w:rsid w:val="008A17A3"/>
    <w:rsid w:val="008A1956"/>
    <w:rsid w:val="008A1D74"/>
    <w:rsid w:val="008A1E85"/>
    <w:rsid w:val="008A2419"/>
    <w:rsid w:val="008A2888"/>
    <w:rsid w:val="008A356C"/>
    <w:rsid w:val="008A4314"/>
    <w:rsid w:val="008A4937"/>
    <w:rsid w:val="008A50F1"/>
    <w:rsid w:val="008A59D9"/>
    <w:rsid w:val="008A643E"/>
    <w:rsid w:val="008A6819"/>
    <w:rsid w:val="008A6FBC"/>
    <w:rsid w:val="008B0B0E"/>
    <w:rsid w:val="008B0D27"/>
    <w:rsid w:val="008B0E34"/>
    <w:rsid w:val="008B160A"/>
    <w:rsid w:val="008B2140"/>
    <w:rsid w:val="008B2224"/>
    <w:rsid w:val="008B2EC0"/>
    <w:rsid w:val="008B3DCF"/>
    <w:rsid w:val="008B406E"/>
    <w:rsid w:val="008B42E2"/>
    <w:rsid w:val="008B4718"/>
    <w:rsid w:val="008B4848"/>
    <w:rsid w:val="008B4D56"/>
    <w:rsid w:val="008B613F"/>
    <w:rsid w:val="008B6DCF"/>
    <w:rsid w:val="008B7950"/>
    <w:rsid w:val="008C0074"/>
    <w:rsid w:val="008C174C"/>
    <w:rsid w:val="008C2BD2"/>
    <w:rsid w:val="008C30A3"/>
    <w:rsid w:val="008C3960"/>
    <w:rsid w:val="008C3966"/>
    <w:rsid w:val="008C3E86"/>
    <w:rsid w:val="008C5AB0"/>
    <w:rsid w:val="008C5C8A"/>
    <w:rsid w:val="008D0945"/>
    <w:rsid w:val="008D0CA0"/>
    <w:rsid w:val="008D1409"/>
    <w:rsid w:val="008D15CC"/>
    <w:rsid w:val="008D1729"/>
    <w:rsid w:val="008D1B5C"/>
    <w:rsid w:val="008D21AA"/>
    <w:rsid w:val="008D2512"/>
    <w:rsid w:val="008D3AE9"/>
    <w:rsid w:val="008D3C82"/>
    <w:rsid w:val="008D417C"/>
    <w:rsid w:val="008D4427"/>
    <w:rsid w:val="008D447E"/>
    <w:rsid w:val="008D5210"/>
    <w:rsid w:val="008D59ED"/>
    <w:rsid w:val="008D6864"/>
    <w:rsid w:val="008D6ACF"/>
    <w:rsid w:val="008D7984"/>
    <w:rsid w:val="008D7A41"/>
    <w:rsid w:val="008D7C9D"/>
    <w:rsid w:val="008E0570"/>
    <w:rsid w:val="008E06F8"/>
    <w:rsid w:val="008E0C68"/>
    <w:rsid w:val="008E0D3D"/>
    <w:rsid w:val="008E2237"/>
    <w:rsid w:val="008E2C72"/>
    <w:rsid w:val="008E2F50"/>
    <w:rsid w:val="008E3565"/>
    <w:rsid w:val="008E3584"/>
    <w:rsid w:val="008E3680"/>
    <w:rsid w:val="008E45EC"/>
    <w:rsid w:val="008E5870"/>
    <w:rsid w:val="008E61D9"/>
    <w:rsid w:val="008E65DD"/>
    <w:rsid w:val="008E68ED"/>
    <w:rsid w:val="008E77E4"/>
    <w:rsid w:val="008E7DA5"/>
    <w:rsid w:val="008F0213"/>
    <w:rsid w:val="008F0294"/>
    <w:rsid w:val="008F056C"/>
    <w:rsid w:val="008F07ED"/>
    <w:rsid w:val="008F102C"/>
    <w:rsid w:val="008F11F8"/>
    <w:rsid w:val="008F1434"/>
    <w:rsid w:val="008F14AC"/>
    <w:rsid w:val="008F25B5"/>
    <w:rsid w:val="008F298C"/>
    <w:rsid w:val="008F2BB9"/>
    <w:rsid w:val="008F2D62"/>
    <w:rsid w:val="008F30A7"/>
    <w:rsid w:val="008F3460"/>
    <w:rsid w:val="008F3D6A"/>
    <w:rsid w:val="008F3E2F"/>
    <w:rsid w:val="008F4A2D"/>
    <w:rsid w:val="008F4DBC"/>
    <w:rsid w:val="008F54C3"/>
    <w:rsid w:val="008F5595"/>
    <w:rsid w:val="008F5AAE"/>
    <w:rsid w:val="008F5B2F"/>
    <w:rsid w:val="008F5B6C"/>
    <w:rsid w:val="008F5FB1"/>
    <w:rsid w:val="008F68A1"/>
    <w:rsid w:val="008F6D4F"/>
    <w:rsid w:val="008F7251"/>
    <w:rsid w:val="008F7355"/>
    <w:rsid w:val="008F759E"/>
    <w:rsid w:val="008F7C8C"/>
    <w:rsid w:val="008F7EAB"/>
    <w:rsid w:val="00900CC1"/>
    <w:rsid w:val="00901007"/>
    <w:rsid w:val="00901A9E"/>
    <w:rsid w:val="009023DC"/>
    <w:rsid w:val="009027C5"/>
    <w:rsid w:val="00902D10"/>
    <w:rsid w:val="009033A6"/>
    <w:rsid w:val="0090396D"/>
    <w:rsid w:val="00903FDB"/>
    <w:rsid w:val="00904413"/>
    <w:rsid w:val="00904C37"/>
    <w:rsid w:val="00905BB7"/>
    <w:rsid w:val="00905E8B"/>
    <w:rsid w:val="00905EC6"/>
    <w:rsid w:val="009060E5"/>
    <w:rsid w:val="009067B7"/>
    <w:rsid w:val="00907578"/>
    <w:rsid w:val="0090775A"/>
    <w:rsid w:val="00907929"/>
    <w:rsid w:val="00907DFD"/>
    <w:rsid w:val="00910388"/>
    <w:rsid w:val="00910B89"/>
    <w:rsid w:val="00910CBC"/>
    <w:rsid w:val="00910E6A"/>
    <w:rsid w:val="0091204E"/>
    <w:rsid w:val="00912CC7"/>
    <w:rsid w:val="00913CCC"/>
    <w:rsid w:val="00913D5A"/>
    <w:rsid w:val="00914F1A"/>
    <w:rsid w:val="0091547C"/>
    <w:rsid w:val="009157DE"/>
    <w:rsid w:val="009158F6"/>
    <w:rsid w:val="009164E6"/>
    <w:rsid w:val="00917D69"/>
    <w:rsid w:val="00920B6D"/>
    <w:rsid w:val="0092245D"/>
    <w:rsid w:val="00922CEE"/>
    <w:rsid w:val="009230F4"/>
    <w:rsid w:val="00924C37"/>
    <w:rsid w:val="009259B0"/>
    <w:rsid w:val="00925A85"/>
    <w:rsid w:val="00926560"/>
    <w:rsid w:val="0092662B"/>
    <w:rsid w:val="0092668C"/>
    <w:rsid w:val="00926798"/>
    <w:rsid w:val="00926B15"/>
    <w:rsid w:val="00926CE3"/>
    <w:rsid w:val="009277D1"/>
    <w:rsid w:val="00930291"/>
    <w:rsid w:val="009304A2"/>
    <w:rsid w:val="00930601"/>
    <w:rsid w:val="00930937"/>
    <w:rsid w:val="00931480"/>
    <w:rsid w:val="009317AE"/>
    <w:rsid w:val="009324A6"/>
    <w:rsid w:val="009324F3"/>
    <w:rsid w:val="00932833"/>
    <w:rsid w:val="00932BC8"/>
    <w:rsid w:val="00932F33"/>
    <w:rsid w:val="0093329A"/>
    <w:rsid w:val="0093357E"/>
    <w:rsid w:val="00933E6C"/>
    <w:rsid w:val="009351CA"/>
    <w:rsid w:val="00935363"/>
    <w:rsid w:val="00935A6E"/>
    <w:rsid w:val="00937958"/>
    <w:rsid w:val="00940150"/>
    <w:rsid w:val="00940541"/>
    <w:rsid w:val="009406E5"/>
    <w:rsid w:val="009408B0"/>
    <w:rsid w:val="00940C40"/>
    <w:rsid w:val="00940E83"/>
    <w:rsid w:val="00941602"/>
    <w:rsid w:val="00941DE9"/>
    <w:rsid w:val="009420C7"/>
    <w:rsid w:val="00942160"/>
    <w:rsid w:val="00942CE5"/>
    <w:rsid w:val="00942E0C"/>
    <w:rsid w:val="00942FF5"/>
    <w:rsid w:val="00943E18"/>
    <w:rsid w:val="00945BE5"/>
    <w:rsid w:val="00945CCE"/>
    <w:rsid w:val="00945E1D"/>
    <w:rsid w:val="00946254"/>
    <w:rsid w:val="00946921"/>
    <w:rsid w:val="009503AC"/>
    <w:rsid w:val="0095146F"/>
    <w:rsid w:val="0095223B"/>
    <w:rsid w:val="0095277E"/>
    <w:rsid w:val="00953ADC"/>
    <w:rsid w:val="009543A1"/>
    <w:rsid w:val="00954AD2"/>
    <w:rsid w:val="00954F32"/>
    <w:rsid w:val="0095541C"/>
    <w:rsid w:val="00956943"/>
    <w:rsid w:val="00956CD2"/>
    <w:rsid w:val="00956D7F"/>
    <w:rsid w:val="00957944"/>
    <w:rsid w:val="00957E11"/>
    <w:rsid w:val="009602C5"/>
    <w:rsid w:val="00960B5F"/>
    <w:rsid w:val="00961501"/>
    <w:rsid w:val="00962223"/>
    <w:rsid w:val="0096252B"/>
    <w:rsid w:val="00962E6A"/>
    <w:rsid w:val="009656C7"/>
    <w:rsid w:val="0096699C"/>
    <w:rsid w:val="00966D0D"/>
    <w:rsid w:val="00967732"/>
    <w:rsid w:val="0096783C"/>
    <w:rsid w:val="009678B1"/>
    <w:rsid w:val="00967C6B"/>
    <w:rsid w:val="00967F17"/>
    <w:rsid w:val="009700B5"/>
    <w:rsid w:val="0097036C"/>
    <w:rsid w:val="00970918"/>
    <w:rsid w:val="009714D4"/>
    <w:rsid w:val="00971CD5"/>
    <w:rsid w:val="00971D2A"/>
    <w:rsid w:val="00971EDA"/>
    <w:rsid w:val="00972071"/>
    <w:rsid w:val="009722B3"/>
    <w:rsid w:val="00972451"/>
    <w:rsid w:val="009730A0"/>
    <w:rsid w:val="00973E24"/>
    <w:rsid w:val="00974222"/>
    <w:rsid w:val="00974C21"/>
    <w:rsid w:val="00975948"/>
    <w:rsid w:val="00975A9A"/>
    <w:rsid w:val="00975B81"/>
    <w:rsid w:val="00975B83"/>
    <w:rsid w:val="00975EA8"/>
    <w:rsid w:val="00976004"/>
    <w:rsid w:val="009771EA"/>
    <w:rsid w:val="00977BF3"/>
    <w:rsid w:val="00977E07"/>
    <w:rsid w:val="00977E3F"/>
    <w:rsid w:val="00977F6C"/>
    <w:rsid w:val="009803E4"/>
    <w:rsid w:val="00980B0E"/>
    <w:rsid w:val="00980FEE"/>
    <w:rsid w:val="00981005"/>
    <w:rsid w:val="00981867"/>
    <w:rsid w:val="00981A93"/>
    <w:rsid w:val="00981B80"/>
    <w:rsid w:val="0098277F"/>
    <w:rsid w:val="009836A3"/>
    <w:rsid w:val="00983759"/>
    <w:rsid w:val="00984A23"/>
    <w:rsid w:val="00984DAF"/>
    <w:rsid w:val="0098518C"/>
    <w:rsid w:val="009855A8"/>
    <w:rsid w:val="009855B6"/>
    <w:rsid w:val="009858C7"/>
    <w:rsid w:val="00985D1A"/>
    <w:rsid w:val="00985E4D"/>
    <w:rsid w:val="0098619C"/>
    <w:rsid w:val="009861F1"/>
    <w:rsid w:val="00987057"/>
    <w:rsid w:val="00987064"/>
    <w:rsid w:val="009871C6"/>
    <w:rsid w:val="00987CE3"/>
    <w:rsid w:val="00987D4A"/>
    <w:rsid w:val="00987E74"/>
    <w:rsid w:val="00990C8F"/>
    <w:rsid w:val="009913F4"/>
    <w:rsid w:val="00991782"/>
    <w:rsid w:val="00991A08"/>
    <w:rsid w:val="00992680"/>
    <w:rsid w:val="00992889"/>
    <w:rsid w:val="00992F3E"/>
    <w:rsid w:val="0099352B"/>
    <w:rsid w:val="009937F7"/>
    <w:rsid w:val="00993A25"/>
    <w:rsid w:val="00993AC9"/>
    <w:rsid w:val="0099465B"/>
    <w:rsid w:val="00994D2A"/>
    <w:rsid w:val="009951A1"/>
    <w:rsid w:val="00995B04"/>
    <w:rsid w:val="00995FA3"/>
    <w:rsid w:val="00997598"/>
    <w:rsid w:val="00997656"/>
    <w:rsid w:val="00997A44"/>
    <w:rsid w:val="00997E57"/>
    <w:rsid w:val="009A0160"/>
    <w:rsid w:val="009A05DF"/>
    <w:rsid w:val="009A0CDD"/>
    <w:rsid w:val="009A0DE8"/>
    <w:rsid w:val="009A12D4"/>
    <w:rsid w:val="009A19BC"/>
    <w:rsid w:val="009A1B8B"/>
    <w:rsid w:val="009A1E32"/>
    <w:rsid w:val="009A1E81"/>
    <w:rsid w:val="009A2A82"/>
    <w:rsid w:val="009A2C0F"/>
    <w:rsid w:val="009A3168"/>
    <w:rsid w:val="009A3282"/>
    <w:rsid w:val="009A38B2"/>
    <w:rsid w:val="009A3AA7"/>
    <w:rsid w:val="009A4EDE"/>
    <w:rsid w:val="009A51B6"/>
    <w:rsid w:val="009A5570"/>
    <w:rsid w:val="009A55E0"/>
    <w:rsid w:val="009A5D04"/>
    <w:rsid w:val="009A61CA"/>
    <w:rsid w:val="009A65D9"/>
    <w:rsid w:val="009A6C3B"/>
    <w:rsid w:val="009A713A"/>
    <w:rsid w:val="009A7903"/>
    <w:rsid w:val="009A7DA0"/>
    <w:rsid w:val="009B0C64"/>
    <w:rsid w:val="009B0D31"/>
    <w:rsid w:val="009B0EB8"/>
    <w:rsid w:val="009B0F67"/>
    <w:rsid w:val="009B1C4C"/>
    <w:rsid w:val="009B381A"/>
    <w:rsid w:val="009B383C"/>
    <w:rsid w:val="009B3F8C"/>
    <w:rsid w:val="009B44D7"/>
    <w:rsid w:val="009B47E8"/>
    <w:rsid w:val="009B4D43"/>
    <w:rsid w:val="009B4D52"/>
    <w:rsid w:val="009B506E"/>
    <w:rsid w:val="009B54B4"/>
    <w:rsid w:val="009B5F39"/>
    <w:rsid w:val="009B6526"/>
    <w:rsid w:val="009B6642"/>
    <w:rsid w:val="009B7124"/>
    <w:rsid w:val="009B750F"/>
    <w:rsid w:val="009C0964"/>
    <w:rsid w:val="009C0CD3"/>
    <w:rsid w:val="009C2404"/>
    <w:rsid w:val="009C25F0"/>
    <w:rsid w:val="009C295D"/>
    <w:rsid w:val="009C2C38"/>
    <w:rsid w:val="009C4034"/>
    <w:rsid w:val="009C45A0"/>
    <w:rsid w:val="009C59CF"/>
    <w:rsid w:val="009C5B72"/>
    <w:rsid w:val="009C6425"/>
    <w:rsid w:val="009C703C"/>
    <w:rsid w:val="009C77F7"/>
    <w:rsid w:val="009C7BBD"/>
    <w:rsid w:val="009D030B"/>
    <w:rsid w:val="009D03BB"/>
    <w:rsid w:val="009D0BCE"/>
    <w:rsid w:val="009D0E67"/>
    <w:rsid w:val="009D206E"/>
    <w:rsid w:val="009D2074"/>
    <w:rsid w:val="009D2849"/>
    <w:rsid w:val="009D320C"/>
    <w:rsid w:val="009D34D2"/>
    <w:rsid w:val="009D358A"/>
    <w:rsid w:val="009D3CAA"/>
    <w:rsid w:val="009D3CC4"/>
    <w:rsid w:val="009D4690"/>
    <w:rsid w:val="009D4AA0"/>
    <w:rsid w:val="009D4FF8"/>
    <w:rsid w:val="009D55E2"/>
    <w:rsid w:val="009D61A0"/>
    <w:rsid w:val="009D6532"/>
    <w:rsid w:val="009D6D08"/>
    <w:rsid w:val="009D71FD"/>
    <w:rsid w:val="009E00AD"/>
    <w:rsid w:val="009E0178"/>
    <w:rsid w:val="009E1D22"/>
    <w:rsid w:val="009E1EB7"/>
    <w:rsid w:val="009E2588"/>
    <w:rsid w:val="009E2E8E"/>
    <w:rsid w:val="009E4085"/>
    <w:rsid w:val="009E40E1"/>
    <w:rsid w:val="009E413B"/>
    <w:rsid w:val="009E423E"/>
    <w:rsid w:val="009E42D7"/>
    <w:rsid w:val="009E4BE3"/>
    <w:rsid w:val="009E5752"/>
    <w:rsid w:val="009E58E8"/>
    <w:rsid w:val="009E5B0D"/>
    <w:rsid w:val="009E7321"/>
    <w:rsid w:val="009F09ED"/>
    <w:rsid w:val="009F0EFA"/>
    <w:rsid w:val="009F1BE2"/>
    <w:rsid w:val="009F3D79"/>
    <w:rsid w:val="009F449A"/>
    <w:rsid w:val="009F4807"/>
    <w:rsid w:val="009F48B9"/>
    <w:rsid w:val="009F4E46"/>
    <w:rsid w:val="009F512B"/>
    <w:rsid w:val="009F5B65"/>
    <w:rsid w:val="009F5C00"/>
    <w:rsid w:val="009F5E25"/>
    <w:rsid w:val="009F5F2E"/>
    <w:rsid w:val="009F632B"/>
    <w:rsid w:val="009F6896"/>
    <w:rsid w:val="009F72A6"/>
    <w:rsid w:val="009F7588"/>
    <w:rsid w:val="009F7C8A"/>
    <w:rsid w:val="009F7D9C"/>
    <w:rsid w:val="00A01432"/>
    <w:rsid w:val="00A01C20"/>
    <w:rsid w:val="00A0283F"/>
    <w:rsid w:val="00A02DA5"/>
    <w:rsid w:val="00A031C2"/>
    <w:rsid w:val="00A0389A"/>
    <w:rsid w:val="00A03DA8"/>
    <w:rsid w:val="00A03FD8"/>
    <w:rsid w:val="00A043ED"/>
    <w:rsid w:val="00A047DE"/>
    <w:rsid w:val="00A05A56"/>
    <w:rsid w:val="00A05EA6"/>
    <w:rsid w:val="00A06100"/>
    <w:rsid w:val="00A06225"/>
    <w:rsid w:val="00A063D3"/>
    <w:rsid w:val="00A0658C"/>
    <w:rsid w:val="00A0796B"/>
    <w:rsid w:val="00A07C4C"/>
    <w:rsid w:val="00A110D1"/>
    <w:rsid w:val="00A11A3A"/>
    <w:rsid w:val="00A12587"/>
    <w:rsid w:val="00A128E6"/>
    <w:rsid w:val="00A12AFA"/>
    <w:rsid w:val="00A12B5D"/>
    <w:rsid w:val="00A1369B"/>
    <w:rsid w:val="00A13D81"/>
    <w:rsid w:val="00A14145"/>
    <w:rsid w:val="00A144D0"/>
    <w:rsid w:val="00A144D3"/>
    <w:rsid w:val="00A145F9"/>
    <w:rsid w:val="00A1480A"/>
    <w:rsid w:val="00A14AC2"/>
    <w:rsid w:val="00A15C5D"/>
    <w:rsid w:val="00A15E92"/>
    <w:rsid w:val="00A17C6A"/>
    <w:rsid w:val="00A2038F"/>
    <w:rsid w:val="00A2091E"/>
    <w:rsid w:val="00A20A07"/>
    <w:rsid w:val="00A20B00"/>
    <w:rsid w:val="00A20DCB"/>
    <w:rsid w:val="00A22617"/>
    <w:rsid w:val="00A228D1"/>
    <w:rsid w:val="00A22AC3"/>
    <w:rsid w:val="00A22AC8"/>
    <w:rsid w:val="00A2317F"/>
    <w:rsid w:val="00A2380F"/>
    <w:rsid w:val="00A23BC6"/>
    <w:rsid w:val="00A23F3F"/>
    <w:rsid w:val="00A24067"/>
    <w:rsid w:val="00A24A4B"/>
    <w:rsid w:val="00A25171"/>
    <w:rsid w:val="00A26CA0"/>
    <w:rsid w:val="00A2744D"/>
    <w:rsid w:val="00A27F67"/>
    <w:rsid w:val="00A3076C"/>
    <w:rsid w:val="00A30C54"/>
    <w:rsid w:val="00A30D16"/>
    <w:rsid w:val="00A31D74"/>
    <w:rsid w:val="00A328F5"/>
    <w:rsid w:val="00A34123"/>
    <w:rsid w:val="00A34E6C"/>
    <w:rsid w:val="00A34FD0"/>
    <w:rsid w:val="00A3541C"/>
    <w:rsid w:val="00A358D6"/>
    <w:rsid w:val="00A35A57"/>
    <w:rsid w:val="00A36398"/>
    <w:rsid w:val="00A365D0"/>
    <w:rsid w:val="00A375D6"/>
    <w:rsid w:val="00A37C8D"/>
    <w:rsid w:val="00A4020E"/>
    <w:rsid w:val="00A40FB5"/>
    <w:rsid w:val="00A41265"/>
    <w:rsid w:val="00A41F61"/>
    <w:rsid w:val="00A42826"/>
    <w:rsid w:val="00A429B3"/>
    <w:rsid w:val="00A4317F"/>
    <w:rsid w:val="00A448D1"/>
    <w:rsid w:val="00A44D5D"/>
    <w:rsid w:val="00A44EC1"/>
    <w:rsid w:val="00A4535D"/>
    <w:rsid w:val="00A45807"/>
    <w:rsid w:val="00A45C4C"/>
    <w:rsid w:val="00A460C0"/>
    <w:rsid w:val="00A4619B"/>
    <w:rsid w:val="00A46A4D"/>
    <w:rsid w:val="00A47969"/>
    <w:rsid w:val="00A479FD"/>
    <w:rsid w:val="00A50F45"/>
    <w:rsid w:val="00A510E4"/>
    <w:rsid w:val="00A5192E"/>
    <w:rsid w:val="00A51CDB"/>
    <w:rsid w:val="00A52381"/>
    <w:rsid w:val="00A5273B"/>
    <w:rsid w:val="00A52E3C"/>
    <w:rsid w:val="00A53A9D"/>
    <w:rsid w:val="00A53CC2"/>
    <w:rsid w:val="00A53EFD"/>
    <w:rsid w:val="00A53FC1"/>
    <w:rsid w:val="00A54DDD"/>
    <w:rsid w:val="00A55589"/>
    <w:rsid w:val="00A55FEE"/>
    <w:rsid w:val="00A56D2D"/>
    <w:rsid w:val="00A57422"/>
    <w:rsid w:val="00A57B8B"/>
    <w:rsid w:val="00A57EDA"/>
    <w:rsid w:val="00A61FD0"/>
    <w:rsid w:val="00A6203A"/>
    <w:rsid w:val="00A62C1A"/>
    <w:rsid w:val="00A632A5"/>
    <w:rsid w:val="00A6333F"/>
    <w:rsid w:val="00A6426D"/>
    <w:rsid w:val="00A645EE"/>
    <w:rsid w:val="00A6502D"/>
    <w:rsid w:val="00A65332"/>
    <w:rsid w:val="00A65946"/>
    <w:rsid w:val="00A665C1"/>
    <w:rsid w:val="00A66B41"/>
    <w:rsid w:val="00A67301"/>
    <w:rsid w:val="00A673A4"/>
    <w:rsid w:val="00A6767A"/>
    <w:rsid w:val="00A7001A"/>
    <w:rsid w:val="00A70622"/>
    <w:rsid w:val="00A70977"/>
    <w:rsid w:val="00A70D58"/>
    <w:rsid w:val="00A71B73"/>
    <w:rsid w:val="00A7212E"/>
    <w:rsid w:val="00A72976"/>
    <w:rsid w:val="00A72D6A"/>
    <w:rsid w:val="00A737B4"/>
    <w:rsid w:val="00A73E0A"/>
    <w:rsid w:val="00A7445A"/>
    <w:rsid w:val="00A744F9"/>
    <w:rsid w:val="00A74954"/>
    <w:rsid w:val="00A754D4"/>
    <w:rsid w:val="00A75D6C"/>
    <w:rsid w:val="00A77033"/>
    <w:rsid w:val="00A77613"/>
    <w:rsid w:val="00A77B87"/>
    <w:rsid w:val="00A8154F"/>
    <w:rsid w:val="00A81851"/>
    <w:rsid w:val="00A818D3"/>
    <w:rsid w:val="00A823D6"/>
    <w:rsid w:val="00A830CE"/>
    <w:rsid w:val="00A8378F"/>
    <w:rsid w:val="00A8390C"/>
    <w:rsid w:val="00A8567D"/>
    <w:rsid w:val="00A867BF"/>
    <w:rsid w:val="00A86AE0"/>
    <w:rsid w:val="00A8791E"/>
    <w:rsid w:val="00A87CAA"/>
    <w:rsid w:val="00A91362"/>
    <w:rsid w:val="00A9151C"/>
    <w:rsid w:val="00A919C6"/>
    <w:rsid w:val="00A91AB1"/>
    <w:rsid w:val="00A91CF5"/>
    <w:rsid w:val="00A91D6A"/>
    <w:rsid w:val="00A928BD"/>
    <w:rsid w:val="00A92B56"/>
    <w:rsid w:val="00A92FE1"/>
    <w:rsid w:val="00A93124"/>
    <w:rsid w:val="00A93E03"/>
    <w:rsid w:val="00A94CF7"/>
    <w:rsid w:val="00A95620"/>
    <w:rsid w:val="00A9616B"/>
    <w:rsid w:val="00A97B45"/>
    <w:rsid w:val="00A97DE9"/>
    <w:rsid w:val="00AA0B6E"/>
    <w:rsid w:val="00AA0B9F"/>
    <w:rsid w:val="00AA12CD"/>
    <w:rsid w:val="00AA1418"/>
    <w:rsid w:val="00AA16EA"/>
    <w:rsid w:val="00AA1B01"/>
    <w:rsid w:val="00AA1D2F"/>
    <w:rsid w:val="00AA2540"/>
    <w:rsid w:val="00AA29F3"/>
    <w:rsid w:val="00AA412D"/>
    <w:rsid w:val="00AA4CB9"/>
    <w:rsid w:val="00AA4D1C"/>
    <w:rsid w:val="00AA52FD"/>
    <w:rsid w:val="00AA606F"/>
    <w:rsid w:val="00AA68A1"/>
    <w:rsid w:val="00AA6B5E"/>
    <w:rsid w:val="00AA6C05"/>
    <w:rsid w:val="00AA6E89"/>
    <w:rsid w:val="00AA7006"/>
    <w:rsid w:val="00AA7BFD"/>
    <w:rsid w:val="00AB0110"/>
    <w:rsid w:val="00AB16E1"/>
    <w:rsid w:val="00AB22A5"/>
    <w:rsid w:val="00AB3FDF"/>
    <w:rsid w:val="00AB5121"/>
    <w:rsid w:val="00AB5388"/>
    <w:rsid w:val="00AB5856"/>
    <w:rsid w:val="00AB5E5F"/>
    <w:rsid w:val="00AB7223"/>
    <w:rsid w:val="00AB7B1F"/>
    <w:rsid w:val="00AB7CC2"/>
    <w:rsid w:val="00AC02BA"/>
    <w:rsid w:val="00AC05E7"/>
    <w:rsid w:val="00AC09D1"/>
    <w:rsid w:val="00AC11D6"/>
    <w:rsid w:val="00AC193C"/>
    <w:rsid w:val="00AC2244"/>
    <w:rsid w:val="00AC30C1"/>
    <w:rsid w:val="00AC455C"/>
    <w:rsid w:val="00AC49F5"/>
    <w:rsid w:val="00AC4DE5"/>
    <w:rsid w:val="00AC5206"/>
    <w:rsid w:val="00AC5EF6"/>
    <w:rsid w:val="00AC7510"/>
    <w:rsid w:val="00AC7846"/>
    <w:rsid w:val="00AD1D56"/>
    <w:rsid w:val="00AD3106"/>
    <w:rsid w:val="00AD33CF"/>
    <w:rsid w:val="00AD3D6E"/>
    <w:rsid w:val="00AD3E5F"/>
    <w:rsid w:val="00AD4322"/>
    <w:rsid w:val="00AD44B1"/>
    <w:rsid w:val="00AD4B03"/>
    <w:rsid w:val="00AD68D6"/>
    <w:rsid w:val="00AD6A3B"/>
    <w:rsid w:val="00AD6AE4"/>
    <w:rsid w:val="00AD722B"/>
    <w:rsid w:val="00AD7CFA"/>
    <w:rsid w:val="00AD7ED2"/>
    <w:rsid w:val="00AE007B"/>
    <w:rsid w:val="00AE11A5"/>
    <w:rsid w:val="00AE1286"/>
    <w:rsid w:val="00AE13E2"/>
    <w:rsid w:val="00AE1593"/>
    <w:rsid w:val="00AE2017"/>
    <w:rsid w:val="00AE21F5"/>
    <w:rsid w:val="00AE22D3"/>
    <w:rsid w:val="00AE27AC"/>
    <w:rsid w:val="00AE3FB7"/>
    <w:rsid w:val="00AE445E"/>
    <w:rsid w:val="00AE547A"/>
    <w:rsid w:val="00AE59BE"/>
    <w:rsid w:val="00AE5A49"/>
    <w:rsid w:val="00AE6752"/>
    <w:rsid w:val="00AE680A"/>
    <w:rsid w:val="00AE6E54"/>
    <w:rsid w:val="00AE6F87"/>
    <w:rsid w:val="00AE717A"/>
    <w:rsid w:val="00AE7229"/>
    <w:rsid w:val="00AE73C4"/>
    <w:rsid w:val="00AE77A8"/>
    <w:rsid w:val="00AF0148"/>
    <w:rsid w:val="00AF09EE"/>
    <w:rsid w:val="00AF11D8"/>
    <w:rsid w:val="00AF1ACB"/>
    <w:rsid w:val="00AF203A"/>
    <w:rsid w:val="00AF2B04"/>
    <w:rsid w:val="00AF3737"/>
    <w:rsid w:val="00AF3A46"/>
    <w:rsid w:val="00AF4AE8"/>
    <w:rsid w:val="00AF4F8B"/>
    <w:rsid w:val="00AF5174"/>
    <w:rsid w:val="00AF5644"/>
    <w:rsid w:val="00AF5867"/>
    <w:rsid w:val="00AF5F7B"/>
    <w:rsid w:val="00AF62DF"/>
    <w:rsid w:val="00AF68CC"/>
    <w:rsid w:val="00AF70D7"/>
    <w:rsid w:val="00AF78BF"/>
    <w:rsid w:val="00B000FD"/>
    <w:rsid w:val="00B00B2D"/>
    <w:rsid w:val="00B00CD9"/>
    <w:rsid w:val="00B01FDB"/>
    <w:rsid w:val="00B01FF4"/>
    <w:rsid w:val="00B0326D"/>
    <w:rsid w:val="00B045CF"/>
    <w:rsid w:val="00B049DD"/>
    <w:rsid w:val="00B04B80"/>
    <w:rsid w:val="00B050BB"/>
    <w:rsid w:val="00B05F4D"/>
    <w:rsid w:val="00B062F9"/>
    <w:rsid w:val="00B06478"/>
    <w:rsid w:val="00B064DC"/>
    <w:rsid w:val="00B07533"/>
    <w:rsid w:val="00B07CFB"/>
    <w:rsid w:val="00B10281"/>
    <w:rsid w:val="00B1059E"/>
    <w:rsid w:val="00B11331"/>
    <w:rsid w:val="00B12618"/>
    <w:rsid w:val="00B14A36"/>
    <w:rsid w:val="00B14D5A"/>
    <w:rsid w:val="00B16273"/>
    <w:rsid w:val="00B1645E"/>
    <w:rsid w:val="00B164B5"/>
    <w:rsid w:val="00B16535"/>
    <w:rsid w:val="00B166ED"/>
    <w:rsid w:val="00B168B9"/>
    <w:rsid w:val="00B16915"/>
    <w:rsid w:val="00B16F3C"/>
    <w:rsid w:val="00B170A5"/>
    <w:rsid w:val="00B176C8"/>
    <w:rsid w:val="00B17771"/>
    <w:rsid w:val="00B17EE5"/>
    <w:rsid w:val="00B20295"/>
    <w:rsid w:val="00B205AA"/>
    <w:rsid w:val="00B20B0C"/>
    <w:rsid w:val="00B20F5F"/>
    <w:rsid w:val="00B210D9"/>
    <w:rsid w:val="00B2205E"/>
    <w:rsid w:val="00B220D6"/>
    <w:rsid w:val="00B22873"/>
    <w:rsid w:val="00B22E84"/>
    <w:rsid w:val="00B233AD"/>
    <w:rsid w:val="00B23B30"/>
    <w:rsid w:val="00B23E25"/>
    <w:rsid w:val="00B24929"/>
    <w:rsid w:val="00B24EA7"/>
    <w:rsid w:val="00B2513B"/>
    <w:rsid w:val="00B25F75"/>
    <w:rsid w:val="00B26207"/>
    <w:rsid w:val="00B26940"/>
    <w:rsid w:val="00B26B3F"/>
    <w:rsid w:val="00B26B6B"/>
    <w:rsid w:val="00B2778F"/>
    <w:rsid w:val="00B30335"/>
    <w:rsid w:val="00B303C6"/>
    <w:rsid w:val="00B30B08"/>
    <w:rsid w:val="00B322CA"/>
    <w:rsid w:val="00B327E2"/>
    <w:rsid w:val="00B33635"/>
    <w:rsid w:val="00B33B85"/>
    <w:rsid w:val="00B34762"/>
    <w:rsid w:val="00B35648"/>
    <w:rsid w:val="00B366E1"/>
    <w:rsid w:val="00B36735"/>
    <w:rsid w:val="00B369E9"/>
    <w:rsid w:val="00B36E84"/>
    <w:rsid w:val="00B375B7"/>
    <w:rsid w:val="00B40E29"/>
    <w:rsid w:val="00B40F4A"/>
    <w:rsid w:val="00B412F4"/>
    <w:rsid w:val="00B4147E"/>
    <w:rsid w:val="00B42AF4"/>
    <w:rsid w:val="00B4305E"/>
    <w:rsid w:val="00B43412"/>
    <w:rsid w:val="00B43E90"/>
    <w:rsid w:val="00B443F4"/>
    <w:rsid w:val="00B4472B"/>
    <w:rsid w:val="00B45C7B"/>
    <w:rsid w:val="00B46799"/>
    <w:rsid w:val="00B467DC"/>
    <w:rsid w:val="00B46D05"/>
    <w:rsid w:val="00B476BE"/>
    <w:rsid w:val="00B47F81"/>
    <w:rsid w:val="00B51A96"/>
    <w:rsid w:val="00B51D8C"/>
    <w:rsid w:val="00B5392A"/>
    <w:rsid w:val="00B54730"/>
    <w:rsid w:val="00B54B3C"/>
    <w:rsid w:val="00B54C48"/>
    <w:rsid w:val="00B55534"/>
    <w:rsid w:val="00B55CB3"/>
    <w:rsid w:val="00B56118"/>
    <w:rsid w:val="00B566E1"/>
    <w:rsid w:val="00B567AE"/>
    <w:rsid w:val="00B5773F"/>
    <w:rsid w:val="00B60178"/>
    <w:rsid w:val="00B60287"/>
    <w:rsid w:val="00B60462"/>
    <w:rsid w:val="00B60AB6"/>
    <w:rsid w:val="00B60B98"/>
    <w:rsid w:val="00B60F40"/>
    <w:rsid w:val="00B63DD6"/>
    <w:rsid w:val="00B64433"/>
    <w:rsid w:val="00B64A5C"/>
    <w:rsid w:val="00B64F91"/>
    <w:rsid w:val="00B65DE2"/>
    <w:rsid w:val="00B66AC0"/>
    <w:rsid w:val="00B66D55"/>
    <w:rsid w:val="00B66D5C"/>
    <w:rsid w:val="00B6773F"/>
    <w:rsid w:val="00B678F0"/>
    <w:rsid w:val="00B70772"/>
    <w:rsid w:val="00B70EB3"/>
    <w:rsid w:val="00B717D8"/>
    <w:rsid w:val="00B7286D"/>
    <w:rsid w:val="00B728F5"/>
    <w:rsid w:val="00B72906"/>
    <w:rsid w:val="00B741C8"/>
    <w:rsid w:val="00B74F2E"/>
    <w:rsid w:val="00B7525E"/>
    <w:rsid w:val="00B75A4E"/>
    <w:rsid w:val="00B760FB"/>
    <w:rsid w:val="00B76518"/>
    <w:rsid w:val="00B767AB"/>
    <w:rsid w:val="00B76A92"/>
    <w:rsid w:val="00B77314"/>
    <w:rsid w:val="00B801BA"/>
    <w:rsid w:val="00B80351"/>
    <w:rsid w:val="00B803DD"/>
    <w:rsid w:val="00B805D0"/>
    <w:rsid w:val="00B80A0B"/>
    <w:rsid w:val="00B80A49"/>
    <w:rsid w:val="00B812D6"/>
    <w:rsid w:val="00B81D3F"/>
    <w:rsid w:val="00B81EEC"/>
    <w:rsid w:val="00B8281F"/>
    <w:rsid w:val="00B83370"/>
    <w:rsid w:val="00B83CC3"/>
    <w:rsid w:val="00B83F62"/>
    <w:rsid w:val="00B83F7D"/>
    <w:rsid w:val="00B8424E"/>
    <w:rsid w:val="00B8465A"/>
    <w:rsid w:val="00B84D5C"/>
    <w:rsid w:val="00B8565D"/>
    <w:rsid w:val="00B85AAB"/>
    <w:rsid w:val="00B85AF6"/>
    <w:rsid w:val="00B863D5"/>
    <w:rsid w:val="00B8642C"/>
    <w:rsid w:val="00B868A5"/>
    <w:rsid w:val="00B86D7C"/>
    <w:rsid w:val="00B86E94"/>
    <w:rsid w:val="00B86FDC"/>
    <w:rsid w:val="00B87AEA"/>
    <w:rsid w:val="00B908E3"/>
    <w:rsid w:val="00B926F5"/>
    <w:rsid w:val="00B92F9C"/>
    <w:rsid w:val="00B94039"/>
    <w:rsid w:val="00B956ED"/>
    <w:rsid w:val="00B95766"/>
    <w:rsid w:val="00B9624F"/>
    <w:rsid w:val="00B97924"/>
    <w:rsid w:val="00B97AED"/>
    <w:rsid w:val="00BA0EE2"/>
    <w:rsid w:val="00BA1A7E"/>
    <w:rsid w:val="00BA1AE7"/>
    <w:rsid w:val="00BA2486"/>
    <w:rsid w:val="00BA2C14"/>
    <w:rsid w:val="00BA2DA8"/>
    <w:rsid w:val="00BA347C"/>
    <w:rsid w:val="00BA4E7A"/>
    <w:rsid w:val="00BA5F16"/>
    <w:rsid w:val="00BA6200"/>
    <w:rsid w:val="00BA652F"/>
    <w:rsid w:val="00BA69D3"/>
    <w:rsid w:val="00BA7B83"/>
    <w:rsid w:val="00BB06F9"/>
    <w:rsid w:val="00BB0737"/>
    <w:rsid w:val="00BB0C4A"/>
    <w:rsid w:val="00BB0ED4"/>
    <w:rsid w:val="00BB1C83"/>
    <w:rsid w:val="00BB3469"/>
    <w:rsid w:val="00BB41A5"/>
    <w:rsid w:val="00BB4A0A"/>
    <w:rsid w:val="00BB5C49"/>
    <w:rsid w:val="00BB5D3B"/>
    <w:rsid w:val="00BB6240"/>
    <w:rsid w:val="00BB6285"/>
    <w:rsid w:val="00BB696A"/>
    <w:rsid w:val="00BB69F5"/>
    <w:rsid w:val="00BB6B3A"/>
    <w:rsid w:val="00BB7EC3"/>
    <w:rsid w:val="00BC0014"/>
    <w:rsid w:val="00BC14A8"/>
    <w:rsid w:val="00BC1CF6"/>
    <w:rsid w:val="00BC20B9"/>
    <w:rsid w:val="00BC288A"/>
    <w:rsid w:val="00BC2D96"/>
    <w:rsid w:val="00BC4425"/>
    <w:rsid w:val="00BC470E"/>
    <w:rsid w:val="00BC4A26"/>
    <w:rsid w:val="00BC4B9A"/>
    <w:rsid w:val="00BC4F6B"/>
    <w:rsid w:val="00BC5258"/>
    <w:rsid w:val="00BC5452"/>
    <w:rsid w:val="00BC5784"/>
    <w:rsid w:val="00BC5F7B"/>
    <w:rsid w:val="00BC6538"/>
    <w:rsid w:val="00BC65B1"/>
    <w:rsid w:val="00BC6769"/>
    <w:rsid w:val="00BC6E83"/>
    <w:rsid w:val="00BC74AB"/>
    <w:rsid w:val="00BD02C3"/>
    <w:rsid w:val="00BD0AAB"/>
    <w:rsid w:val="00BD0AE8"/>
    <w:rsid w:val="00BD1156"/>
    <w:rsid w:val="00BD13EC"/>
    <w:rsid w:val="00BD17C2"/>
    <w:rsid w:val="00BD1962"/>
    <w:rsid w:val="00BD1D47"/>
    <w:rsid w:val="00BD24D0"/>
    <w:rsid w:val="00BD3E47"/>
    <w:rsid w:val="00BD460A"/>
    <w:rsid w:val="00BD4B3B"/>
    <w:rsid w:val="00BD523F"/>
    <w:rsid w:val="00BD551F"/>
    <w:rsid w:val="00BD5985"/>
    <w:rsid w:val="00BD5ED5"/>
    <w:rsid w:val="00BD604A"/>
    <w:rsid w:val="00BD60B0"/>
    <w:rsid w:val="00BD60DC"/>
    <w:rsid w:val="00BD711A"/>
    <w:rsid w:val="00BD7483"/>
    <w:rsid w:val="00BD784C"/>
    <w:rsid w:val="00BD799E"/>
    <w:rsid w:val="00BE01CC"/>
    <w:rsid w:val="00BE020A"/>
    <w:rsid w:val="00BE0467"/>
    <w:rsid w:val="00BE04B7"/>
    <w:rsid w:val="00BE07E4"/>
    <w:rsid w:val="00BE1205"/>
    <w:rsid w:val="00BE1339"/>
    <w:rsid w:val="00BE13DF"/>
    <w:rsid w:val="00BE1BEE"/>
    <w:rsid w:val="00BE1C43"/>
    <w:rsid w:val="00BE25D7"/>
    <w:rsid w:val="00BE3CE0"/>
    <w:rsid w:val="00BE501C"/>
    <w:rsid w:val="00BE53FE"/>
    <w:rsid w:val="00BE58C7"/>
    <w:rsid w:val="00BE5F3F"/>
    <w:rsid w:val="00BE6813"/>
    <w:rsid w:val="00BE72FF"/>
    <w:rsid w:val="00BE7787"/>
    <w:rsid w:val="00BE7CEE"/>
    <w:rsid w:val="00BF092C"/>
    <w:rsid w:val="00BF12AA"/>
    <w:rsid w:val="00BF180E"/>
    <w:rsid w:val="00BF27A0"/>
    <w:rsid w:val="00BF2A2D"/>
    <w:rsid w:val="00BF2E32"/>
    <w:rsid w:val="00BF2F82"/>
    <w:rsid w:val="00BF30C7"/>
    <w:rsid w:val="00BF4CB6"/>
    <w:rsid w:val="00BF4EA4"/>
    <w:rsid w:val="00BF573B"/>
    <w:rsid w:val="00BF585E"/>
    <w:rsid w:val="00BF6902"/>
    <w:rsid w:val="00BF7204"/>
    <w:rsid w:val="00C00DA7"/>
    <w:rsid w:val="00C015FF"/>
    <w:rsid w:val="00C026F5"/>
    <w:rsid w:val="00C0295B"/>
    <w:rsid w:val="00C038C0"/>
    <w:rsid w:val="00C04A26"/>
    <w:rsid w:val="00C04CDE"/>
    <w:rsid w:val="00C04DFF"/>
    <w:rsid w:val="00C054ED"/>
    <w:rsid w:val="00C068A6"/>
    <w:rsid w:val="00C075C1"/>
    <w:rsid w:val="00C0779A"/>
    <w:rsid w:val="00C07BEB"/>
    <w:rsid w:val="00C10092"/>
    <w:rsid w:val="00C102DF"/>
    <w:rsid w:val="00C10770"/>
    <w:rsid w:val="00C115CD"/>
    <w:rsid w:val="00C11612"/>
    <w:rsid w:val="00C11AA8"/>
    <w:rsid w:val="00C11BFA"/>
    <w:rsid w:val="00C11F65"/>
    <w:rsid w:val="00C12768"/>
    <w:rsid w:val="00C12862"/>
    <w:rsid w:val="00C12D70"/>
    <w:rsid w:val="00C13B40"/>
    <w:rsid w:val="00C13DDC"/>
    <w:rsid w:val="00C14215"/>
    <w:rsid w:val="00C147FC"/>
    <w:rsid w:val="00C14A41"/>
    <w:rsid w:val="00C14FC7"/>
    <w:rsid w:val="00C15A61"/>
    <w:rsid w:val="00C165FC"/>
    <w:rsid w:val="00C16724"/>
    <w:rsid w:val="00C170F9"/>
    <w:rsid w:val="00C17200"/>
    <w:rsid w:val="00C17F91"/>
    <w:rsid w:val="00C17FB7"/>
    <w:rsid w:val="00C200A9"/>
    <w:rsid w:val="00C2079F"/>
    <w:rsid w:val="00C2121C"/>
    <w:rsid w:val="00C21312"/>
    <w:rsid w:val="00C21B09"/>
    <w:rsid w:val="00C22740"/>
    <w:rsid w:val="00C23CC1"/>
    <w:rsid w:val="00C24669"/>
    <w:rsid w:val="00C24B47"/>
    <w:rsid w:val="00C25206"/>
    <w:rsid w:val="00C256CF"/>
    <w:rsid w:val="00C2673A"/>
    <w:rsid w:val="00C27B58"/>
    <w:rsid w:val="00C27BA2"/>
    <w:rsid w:val="00C27FFC"/>
    <w:rsid w:val="00C30219"/>
    <w:rsid w:val="00C30913"/>
    <w:rsid w:val="00C31899"/>
    <w:rsid w:val="00C319EC"/>
    <w:rsid w:val="00C32909"/>
    <w:rsid w:val="00C32E4A"/>
    <w:rsid w:val="00C32ED4"/>
    <w:rsid w:val="00C33186"/>
    <w:rsid w:val="00C34063"/>
    <w:rsid w:val="00C343CF"/>
    <w:rsid w:val="00C34611"/>
    <w:rsid w:val="00C34897"/>
    <w:rsid w:val="00C34AF2"/>
    <w:rsid w:val="00C34DA4"/>
    <w:rsid w:val="00C34F20"/>
    <w:rsid w:val="00C3520A"/>
    <w:rsid w:val="00C35314"/>
    <w:rsid w:val="00C3552B"/>
    <w:rsid w:val="00C35996"/>
    <w:rsid w:val="00C363C7"/>
    <w:rsid w:val="00C36AC8"/>
    <w:rsid w:val="00C372DD"/>
    <w:rsid w:val="00C37721"/>
    <w:rsid w:val="00C402A8"/>
    <w:rsid w:val="00C40820"/>
    <w:rsid w:val="00C40C18"/>
    <w:rsid w:val="00C415E4"/>
    <w:rsid w:val="00C41D39"/>
    <w:rsid w:val="00C42731"/>
    <w:rsid w:val="00C429E2"/>
    <w:rsid w:val="00C4404B"/>
    <w:rsid w:val="00C44A5A"/>
    <w:rsid w:val="00C44BAA"/>
    <w:rsid w:val="00C46D88"/>
    <w:rsid w:val="00C4747E"/>
    <w:rsid w:val="00C47B27"/>
    <w:rsid w:val="00C5087B"/>
    <w:rsid w:val="00C50D22"/>
    <w:rsid w:val="00C50D96"/>
    <w:rsid w:val="00C5151E"/>
    <w:rsid w:val="00C51DEA"/>
    <w:rsid w:val="00C520B3"/>
    <w:rsid w:val="00C52F61"/>
    <w:rsid w:val="00C53123"/>
    <w:rsid w:val="00C5342C"/>
    <w:rsid w:val="00C53B2B"/>
    <w:rsid w:val="00C541D3"/>
    <w:rsid w:val="00C54212"/>
    <w:rsid w:val="00C56221"/>
    <w:rsid w:val="00C56290"/>
    <w:rsid w:val="00C56932"/>
    <w:rsid w:val="00C5733B"/>
    <w:rsid w:val="00C57465"/>
    <w:rsid w:val="00C5775D"/>
    <w:rsid w:val="00C577AC"/>
    <w:rsid w:val="00C57D13"/>
    <w:rsid w:val="00C60272"/>
    <w:rsid w:val="00C603D4"/>
    <w:rsid w:val="00C603D8"/>
    <w:rsid w:val="00C60530"/>
    <w:rsid w:val="00C60C84"/>
    <w:rsid w:val="00C60D03"/>
    <w:rsid w:val="00C610EC"/>
    <w:rsid w:val="00C61482"/>
    <w:rsid w:val="00C61D40"/>
    <w:rsid w:val="00C62203"/>
    <w:rsid w:val="00C6221D"/>
    <w:rsid w:val="00C6256A"/>
    <w:rsid w:val="00C633D9"/>
    <w:rsid w:val="00C63F44"/>
    <w:rsid w:val="00C6470F"/>
    <w:rsid w:val="00C64954"/>
    <w:rsid w:val="00C64EBC"/>
    <w:rsid w:val="00C65A9A"/>
    <w:rsid w:val="00C66296"/>
    <w:rsid w:val="00C664D2"/>
    <w:rsid w:val="00C6679A"/>
    <w:rsid w:val="00C679B7"/>
    <w:rsid w:val="00C701DA"/>
    <w:rsid w:val="00C703E9"/>
    <w:rsid w:val="00C70B2D"/>
    <w:rsid w:val="00C710E2"/>
    <w:rsid w:val="00C71791"/>
    <w:rsid w:val="00C71AA9"/>
    <w:rsid w:val="00C71C3F"/>
    <w:rsid w:val="00C724CF"/>
    <w:rsid w:val="00C732EE"/>
    <w:rsid w:val="00C733EF"/>
    <w:rsid w:val="00C73743"/>
    <w:rsid w:val="00C7409E"/>
    <w:rsid w:val="00C74A74"/>
    <w:rsid w:val="00C74C7D"/>
    <w:rsid w:val="00C74D6D"/>
    <w:rsid w:val="00C76215"/>
    <w:rsid w:val="00C76320"/>
    <w:rsid w:val="00C76657"/>
    <w:rsid w:val="00C76C44"/>
    <w:rsid w:val="00C76E76"/>
    <w:rsid w:val="00C77891"/>
    <w:rsid w:val="00C77B58"/>
    <w:rsid w:val="00C80337"/>
    <w:rsid w:val="00C81A53"/>
    <w:rsid w:val="00C81B17"/>
    <w:rsid w:val="00C824A4"/>
    <w:rsid w:val="00C82931"/>
    <w:rsid w:val="00C829A9"/>
    <w:rsid w:val="00C8345E"/>
    <w:rsid w:val="00C83EAD"/>
    <w:rsid w:val="00C850BD"/>
    <w:rsid w:val="00C85163"/>
    <w:rsid w:val="00C8599F"/>
    <w:rsid w:val="00C85C82"/>
    <w:rsid w:val="00C8623B"/>
    <w:rsid w:val="00C86BC4"/>
    <w:rsid w:val="00C87ADA"/>
    <w:rsid w:val="00C87B80"/>
    <w:rsid w:val="00C87FC6"/>
    <w:rsid w:val="00C905AC"/>
    <w:rsid w:val="00C90DEC"/>
    <w:rsid w:val="00C91449"/>
    <w:rsid w:val="00C916B9"/>
    <w:rsid w:val="00C91979"/>
    <w:rsid w:val="00C91ADE"/>
    <w:rsid w:val="00C9274C"/>
    <w:rsid w:val="00C92D10"/>
    <w:rsid w:val="00C93999"/>
    <w:rsid w:val="00C94756"/>
    <w:rsid w:val="00C958F0"/>
    <w:rsid w:val="00C95EE0"/>
    <w:rsid w:val="00C979AD"/>
    <w:rsid w:val="00CA0CC5"/>
    <w:rsid w:val="00CA0D26"/>
    <w:rsid w:val="00CA1900"/>
    <w:rsid w:val="00CA22B0"/>
    <w:rsid w:val="00CA2378"/>
    <w:rsid w:val="00CA2884"/>
    <w:rsid w:val="00CA2DCA"/>
    <w:rsid w:val="00CA3811"/>
    <w:rsid w:val="00CA4417"/>
    <w:rsid w:val="00CA48D9"/>
    <w:rsid w:val="00CA5522"/>
    <w:rsid w:val="00CA5BC1"/>
    <w:rsid w:val="00CA5CC4"/>
    <w:rsid w:val="00CB0B3A"/>
    <w:rsid w:val="00CB0F78"/>
    <w:rsid w:val="00CB118A"/>
    <w:rsid w:val="00CB1193"/>
    <w:rsid w:val="00CB1A20"/>
    <w:rsid w:val="00CB1A3D"/>
    <w:rsid w:val="00CB1CB3"/>
    <w:rsid w:val="00CB1DA2"/>
    <w:rsid w:val="00CB2961"/>
    <w:rsid w:val="00CB420D"/>
    <w:rsid w:val="00CB44D9"/>
    <w:rsid w:val="00CB4767"/>
    <w:rsid w:val="00CB493D"/>
    <w:rsid w:val="00CB4B5D"/>
    <w:rsid w:val="00CB4BC6"/>
    <w:rsid w:val="00CB4C0B"/>
    <w:rsid w:val="00CB4E85"/>
    <w:rsid w:val="00CB5C3B"/>
    <w:rsid w:val="00CB68DF"/>
    <w:rsid w:val="00CB7A99"/>
    <w:rsid w:val="00CC02A0"/>
    <w:rsid w:val="00CC02B8"/>
    <w:rsid w:val="00CC2253"/>
    <w:rsid w:val="00CC2902"/>
    <w:rsid w:val="00CC3525"/>
    <w:rsid w:val="00CC3715"/>
    <w:rsid w:val="00CC3A79"/>
    <w:rsid w:val="00CC3AD2"/>
    <w:rsid w:val="00CC3B97"/>
    <w:rsid w:val="00CC3CA3"/>
    <w:rsid w:val="00CC639E"/>
    <w:rsid w:val="00CC6638"/>
    <w:rsid w:val="00CC6E1B"/>
    <w:rsid w:val="00CC6FC9"/>
    <w:rsid w:val="00CC7A19"/>
    <w:rsid w:val="00CD0A6C"/>
    <w:rsid w:val="00CD0AC7"/>
    <w:rsid w:val="00CD17DD"/>
    <w:rsid w:val="00CD1B9E"/>
    <w:rsid w:val="00CD1FB4"/>
    <w:rsid w:val="00CD2020"/>
    <w:rsid w:val="00CD28DE"/>
    <w:rsid w:val="00CD2BCD"/>
    <w:rsid w:val="00CD3498"/>
    <w:rsid w:val="00CD3C12"/>
    <w:rsid w:val="00CD3E7C"/>
    <w:rsid w:val="00CD3EEA"/>
    <w:rsid w:val="00CD526E"/>
    <w:rsid w:val="00CD7C0B"/>
    <w:rsid w:val="00CE029A"/>
    <w:rsid w:val="00CE0F8F"/>
    <w:rsid w:val="00CE10C4"/>
    <w:rsid w:val="00CE27B5"/>
    <w:rsid w:val="00CE29D5"/>
    <w:rsid w:val="00CE307C"/>
    <w:rsid w:val="00CE30AC"/>
    <w:rsid w:val="00CE3885"/>
    <w:rsid w:val="00CE53DB"/>
    <w:rsid w:val="00CE5F67"/>
    <w:rsid w:val="00CE6151"/>
    <w:rsid w:val="00CE6724"/>
    <w:rsid w:val="00CE6DAF"/>
    <w:rsid w:val="00CE6EE9"/>
    <w:rsid w:val="00CE6FC1"/>
    <w:rsid w:val="00CE77EF"/>
    <w:rsid w:val="00CE7B2D"/>
    <w:rsid w:val="00CE7C62"/>
    <w:rsid w:val="00CF0058"/>
    <w:rsid w:val="00CF0553"/>
    <w:rsid w:val="00CF066B"/>
    <w:rsid w:val="00CF0E9B"/>
    <w:rsid w:val="00CF1A73"/>
    <w:rsid w:val="00CF1DDD"/>
    <w:rsid w:val="00CF262A"/>
    <w:rsid w:val="00CF265C"/>
    <w:rsid w:val="00CF2B4B"/>
    <w:rsid w:val="00CF3EA3"/>
    <w:rsid w:val="00CF410A"/>
    <w:rsid w:val="00CF419E"/>
    <w:rsid w:val="00CF4205"/>
    <w:rsid w:val="00CF5DBD"/>
    <w:rsid w:val="00CF77BC"/>
    <w:rsid w:val="00D00D8B"/>
    <w:rsid w:val="00D0130C"/>
    <w:rsid w:val="00D01E4D"/>
    <w:rsid w:val="00D01F03"/>
    <w:rsid w:val="00D02AFA"/>
    <w:rsid w:val="00D0321E"/>
    <w:rsid w:val="00D0425D"/>
    <w:rsid w:val="00D046BB"/>
    <w:rsid w:val="00D04947"/>
    <w:rsid w:val="00D069EB"/>
    <w:rsid w:val="00D06EA0"/>
    <w:rsid w:val="00D06EE7"/>
    <w:rsid w:val="00D0764E"/>
    <w:rsid w:val="00D076FC"/>
    <w:rsid w:val="00D07A8A"/>
    <w:rsid w:val="00D07DC0"/>
    <w:rsid w:val="00D101DC"/>
    <w:rsid w:val="00D11162"/>
    <w:rsid w:val="00D11199"/>
    <w:rsid w:val="00D117D2"/>
    <w:rsid w:val="00D13AE8"/>
    <w:rsid w:val="00D1455A"/>
    <w:rsid w:val="00D14A70"/>
    <w:rsid w:val="00D14D49"/>
    <w:rsid w:val="00D14E89"/>
    <w:rsid w:val="00D14F15"/>
    <w:rsid w:val="00D15899"/>
    <w:rsid w:val="00D15CB1"/>
    <w:rsid w:val="00D16B87"/>
    <w:rsid w:val="00D1793A"/>
    <w:rsid w:val="00D17F95"/>
    <w:rsid w:val="00D2000F"/>
    <w:rsid w:val="00D20368"/>
    <w:rsid w:val="00D205F3"/>
    <w:rsid w:val="00D20D5B"/>
    <w:rsid w:val="00D22093"/>
    <w:rsid w:val="00D224B3"/>
    <w:rsid w:val="00D234F8"/>
    <w:rsid w:val="00D24C42"/>
    <w:rsid w:val="00D25E88"/>
    <w:rsid w:val="00D261FD"/>
    <w:rsid w:val="00D26612"/>
    <w:rsid w:val="00D27FC8"/>
    <w:rsid w:val="00D30DA7"/>
    <w:rsid w:val="00D30E7B"/>
    <w:rsid w:val="00D31150"/>
    <w:rsid w:val="00D31223"/>
    <w:rsid w:val="00D3138B"/>
    <w:rsid w:val="00D31FCE"/>
    <w:rsid w:val="00D32035"/>
    <w:rsid w:val="00D32455"/>
    <w:rsid w:val="00D3280C"/>
    <w:rsid w:val="00D3297F"/>
    <w:rsid w:val="00D336C0"/>
    <w:rsid w:val="00D34011"/>
    <w:rsid w:val="00D3406A"/>
    <w:rsid w:val="00D34A17"/>
    <w:rsid w:val="00D34AF8"/>
    <w:rsid w:val="00D35E34"/>
    <w:rsid w:val="00D40B11"/>
    <w:rsid w:val="00D4140E"/>
    <w:rsid w:val="00D414E4"/>
    <w:rsid w:val="00D4160F"/>
    <w:rsid w:val="00D429EC"/>
    <w:rsid w:val="00D43065"/>
    <w:rsid w:val="00D43328"/>
    <w:rsid w:val="00D43F05"/>
    <w:rsid w:val="00D441F1"/>
    <w:rsid w:val="00D4443B"/>
    <w:rsid w:val="00D44CF2"/>
    <w:rsid w:val="00D453F8"/>
    <w:rsid w:val="00D4572C"/>
    <w:rsid w:val="00D4625E"/>
    <w:rsid w:val="00D46508"/>
    <w:rsid w:val="00D465DC"/>
    <w:rsid w:val="00D467C6"/>
    <w:rsid w:val="00D469B2"/>
    <w:rsid w:val="00D46A2C"/>
    <w:rsid w:val="00D50A97"/>
    <w:rsid w:val="00D50C3F"/>
    <w:rsid w:val="00D5100A"/>
    <w:rsid w:val="00D51644"/>
    <w:rsid w:val="00D51D87"/>
    <w:rsid w:val="00D5250D"/>
    <w:rsid w:val="00D5335B"/>
    <w:rsid w:val="00D53A49"/>
    <w:rsid w:val="00D53E31"/>
    <w:rsid w:val="00D54B09"/>
    <w:rsid w:val="00D54C11"/>
    <w:rsid w:val="00D550DC"/>
    <w:rsid w:val="00D554C6"/>
    <w:rsid w:val="00D55C0A"/>
    <w:rsid w:val="00D56119"/>
    <w:rsid w:val="00D56242"/>
    <w:rsid w:val="00D56CA2"/>
    <w:rsid w:val="00D5744F"/>
    <w:rsid w:val="00D61848"/>
    <w:rsid w:val="00D61F58"/>
    <w:rsid w:val="00D6243E"/>
    <w:rsid w:val="00D6369A"/>
    <w:rsid w:val="00D6371B"/>
    <w:rsid w:val="00D63E72"/>
    <w:rsid w:val="00D64EA1"/>
    <w:rsid w:val="00D65658"/>
    <w:rsid w:val="00D65926"/>
    <w:rsid w:val="00D66F75"/>
    <w:rsid w:val="00D671F1"/>
    <w:rsid w:val="00D67891"/>
    <w:rsid w:val="00D67EB2"/>
    <w:rsid w:val="00D67EFE"/>
    <w:rsid w:val="00D70AC3"/>
    <w:rsid w:val="00D70C22"/>
    <w:rsid w:val="00D72772"/>
    <w:rsid w:val="00D729A3"/>
    <w:rsid w:val="00D72B6F"/>
    <w:rsid w:val="00D741EB"/>
    <w:rsid w:val="00D74EC0"/>
    <w:rsid w:val="00D7679C"/>
    <w:rsid w:val="00D76C3B"/>
    <w:rsid w:val="00D76FAB"/>
    <w:rsid w:val="00D775F1"/>
    <w:rsid w:val="00D77AC4"/>
    <w:rsid w:val="00D77D8B"/>
    <w:rsid w:val="00D77FD8"/>
    <w:rsid w:val="00D803C4"/>
    <w:rsid w:val="00D8047F"/>
    <w:rsid w:val="00D81A06"/>
    <w:rsid w:val="00D81EB5"/>
    <w:rsid w:val="00D820F3"/>
    <w:rsid w:val="00D82C59"/>
    <w:rsid w:val="00D82ECE"/>
    <w:rsid w:val="00D831E6"/>
    <w:rsid w:val="00D83605"/>
    <w:rsid w:val="00D84934"/>
    <w:rsid w:val="00D84CB5"/>
    <w:rsid w:val="00D866EB"/>
    <w:rsid w:val="00D87043"/>
    <w:rsid w:val="00D8796A"/>
    <w:rsid w:val="00D87D1A"/>
    <w:rsid w:val="00D9090A"/>
    <w:rsid w:val="00D91117"/>
    <w:rsid w:val="00D911F5"/>
    <w:rsid w:val="00D91271"/>
    <w:rsid w:val="00D9146F"/>
    <w:rsid w:val="00D91817"/>
    <w:rsid w:val="00D919F5"/>
    <w:rsid w:val="00D9261C"/>
    <w:rsid w:val="00D9346E"/>
    <w:rsid w:val="00D93FE0"/>
    <w:rsid w:val="00D944EA"/>
    <w:rsid w:val="00D945F6"/>
    <w:rsid w:val="00D9489F"/>
    <w:rsid w:val="00D94F03"/>
    <w:rsid w:val="00D94F6F"/>
    <w:rsid w:val="00D95161"/>
    <w:rsid w:val="00D958AE"/>
    <w:rsid w:val="00D96089"/>
    <w:rsid w:val="00D96681"/>
    <w:rsid w:val="00D96D24"/>
    <w:rsid w:val="00D977AD"/>
    <w:rsid w:val="00D97CC5"/>
    <w:rsid w:val="00DA0393"/>
    <w:rsid w:val="00DA072C"/>
    <w:rsid w:val="00DA0A82"/>
    <w:rsid w:val="00DA0D14"/>
    <w:rsid w:val="00DA1190"/>
    <w:rsid w:val="00DA1FC9"/>
    <w:rsid w:val="00DA2106"/>
    <w:rsid w:val="00DA24CA"/>
    <w:rsid w:val="00DA28D8"/>
    <w:rsid w:val="00DA2CB5"/>
    <w:rsid w:val="00DA3717"/>
    <w:rsid w:val="00DA3B2A"/>
    <w:rsid w:val="00DA3E06"/>
    <w:rsid w:val="00DA4BAC"/>
    <w:rsid w:val="00DA5A26"/>
    <w:rsid w:val="00DA5C9C"/>
    <w:rsid w:val="00DA6884"/>
    <w:rsid w:val="00DA694D"/>
    <w:rsid w:val="00DA6AAB"/>
    <w:rsid w:val="00DB0151"/>
    <w:rsid w:val="00DB112D"/>
    <w:rsid w:val="00DB13D5"/>
    <w:rsid w:val="00DB1B5E"/>
    <w:rsid w:val="00DB1F84"/>
    <w:rsid w:val="00DB31A9"/>
    <w:rsid w:val="00DB40EB"/>
    <w:rsid w:val="00DB433A"/>
    <w:rsid w:val="00DB45DF"/>
    <w:rsid w:val="00DB50E1"/>
    <w:rsid w:val="00DB51E3"/>
    <w:rsid w:val="00DB7748"/>
    <w:rsid w:val="00DC0166"/>
    <w:rsid w:val="00DC0566"/>
    <w:rsid w:val="00DC0F27"/>
    <w:rsid w:val="00DC0FB1"/>
    <w:rsid w:val="00DC1499"/>
    <w:rsid w:val="00DC1D31"/>
    <w:rsid w:val="00DC23D5"/>
    <w:rsid w:val="00DC2409"/>
    <w:rsid w:val="00DC24FA"/>
    <w:rsid w:val="00DC2C3E"/>
    <w:rsid w:val="00DC3137"/>
    <w:rsid w:val="00DC39D9"/>
    <w:rsid w:val="00DC3CFB"/>
    <w:rsid w:val="00DC40EE"/>
    <w:rsid w:val="00DC4707"/>
    <w:rsid w:val="00DC4880"/>
    <w:rsid w:val="00DC4A3F"/>
    <w:rsid w:val="00DC4E7F"/>
    <w:rsid w:val="00DC4ECF"/>
    <w:rsid w:val="00DC5147"/>
    <w:rsid w:val="00DC534B"/>
    <w:rsid w:val="00DC549F"/>
    <w:rsid w:val="00DC5B40"/>
    <w:rsid w:val="00DC77BC"/>
    <w:rsid w:val="00DC7F6B"/>
    <w:rsid w:val="00DD00B9"/>
    <w:rsid w:val="00DD0851"/>
    <w:rsid w:val="00DD1A48"/>
    <w:rsid w:val="00DD2081"/>
    <w:rsid w:val="00DD2105"/>
    <w:rsid w:val="00DD22A5"/>
    <w:rsid w:val="00DD2487"/>
    <w:rsid w:val="00DD2907"/>
    <w:rsid w:val="00DD2973"/>
    <w:rsid w:val="00DD2C67"/>
    <w:rsid w:val="00DD30C3"/>
    <w:rsid w:val="00DD3174"/>
    <w:rsid w:val="00DD354A"/>
    <w:rsid w:val="00DD3BA0"/>
    <w:rsid w:val="00DD3EC0"/>
    <w:rsid w:val="00DD42AB"/>
    <w:rsid w:val="00DD51C5"/>
    <w:rsid w:val="00DD77BD"/>
    <w:rsid w:val="00DE06AF"/>
    <w:rsid w:val="00DE209C"/>
    <w:rsid w:val="00DE29C1"/>
    <w:rsid w:val="00DE38EE"/>
    <w:rsid w:val="00DE3EE5"/>
    <w:rsid w:val="00DE423F"/>
    <w:rsid w:val="00DE495C"/>
    <w:rsid w:val="00DE49ED"/>
    <w:rsid w:val="00DE4F90"/>
    <w:rsid w:val="00DE4FA5"/>
    <w:rsid w:val="00DE5C43"/>
    <w:rsid w:val="00DE625B"/>
    <w:rsid w:val="00DE6355"/>
    <w:rsid w:val="00DE6CF2"/>
    <w:rsid w:val="00DE6D27"/>
    <w:rsid w:val="00DE7774"/>
    <w:rsid w:val="00DE7F82"/>
    <w:rsid w:val="00DF01F8"/>
    <w:rsid w:val="00DF021D"/>
    <w:rsid w:val="00DF0247"/>
    <w:rsid w:val="00DF07E4"/>
    <w:rsid w:val="00DF0DDC"/>
    <w:rsid w:val="00DF1F2C"/>
    <w:rsid w:val="00DF217D"/>
    <w:rsid w:val="00DF26A7"/>
    <w:rsid w:val="00DF2771"/>
    <w:rsid w:val="00DF2A16"/>
    <w:rsid w:val="00DF2A32"/>
    <w:rsid w:val="00DF3277"/>
    <w:rsid w:val="00DF420B"/>
    <w:rsid w:val="00DF4567"/>
    <w:rsid w:val="00DF4821"/>
    <w:rsid w:val="00DF48C3"/>
    <w:rsid w:val="00DF77A1"/>
    <w:rsid w:val="00DF77EE"/>
    <w:rsid w:val="00DF7919"/>
    <w:rsid w:val="00DF7AEA"/>
    <w:rsid w:val="00E00390"/>
    <w:rsid w:val="00E0207E"/>
    <w:rsid w:val="00E02334"/>
    <w:rsid w:val="00E02785"/>
    <w:rsid w:val="00E0296E"/>
    <w:rsid w:val="00E02AE6"/>
    <w:rsid w:val="00E02B83"/>
    <w:rsid w:val="00E0336B"/>
    <w:rsid w:val="00E0382D"/>
    <w:rsid w:val="00E0389E"/>
    <w:rsid w:val="00E03912"/>
    <w:rsid w:val="00E04748"/>
    <w:rsid w:val="00E04FB7"/>
    <w:rsid w:val="00E0532C"/>
    <w:rsid w:val="00E056F9"/>
    <w:rsid w:val="00E0579F"/>
    <w:rsid w:val="00E05B1E"/>
    <w:rsid w:val="00E06608"/>
    <w:rsid w:val="00E066A5"/>
    <w:rsid w:val="00E068F8"/>
    <w:rsid w:val="00E06EE8"/>
    <w:rsid w:val="00E078D9"/>
    <w:rsid w:val="00E07F47"/>
    <w:rsid w:val="00E10293"/>
    <w:rsid w:val="00E103A0"/>
    <w:rsid w:val="00E10985"/>
    <w:rsid w:val="00E12A76"/>
    <w:rsid w:val="00E12B11"/>
    <w:rsid w:val="00E12BD7"/>
    <w:rsid w:val="00E130B3"/>
    <w:rsid w:val="00E13498"/>
    <w:rsid w:val="00E1351A"/>
    <w:rsid w:val="00E13E60"/>
    <w:rsid w:val="00E141B5"/>
    <w:rsid w:val="00E149C0"/>
    <w:rsid w:val="00E15627"/>
    <w:rsid w:val="00E15D22"/>
    <w:rsid w:val="00E161D3"/>
    <w:rsid w:val="00E164B3"/>
    <w:rsid w:val="00E16910"/>
    <w:rsid w:val="00E16C00"/>
    <w:rsid w:val="00E172E9"/>
    <w:rsid w:val="00E173BB"/>
    <w:rsid w:val="00E17CF4"/>
    <w:rsid w:val="00E20951"/>
    <w:rsid w:val="00E20B77"/>
    <w:rsid w:val="00E2244A"/>
    <w:rsid w:val="00E229E8"/>
    <w:rsid w:val="00E22C93"/>
    <w:rsid w:val="00E23976"/>
    <w:rsid w:val="00E239E2"/>
    <w:rsid w:val="00E23BFE"/>
    <w:rsid w:val="00E24E09"/>
    <w:rsid w:val="00E27234"/>
    <w:rsid w:val="00E2774A"/>
    <w:rsid w:val="00E27928"/>
    <w:rsid w:val="00E27B60"/>
    <w:rsid w:val="00E3047F"/>
    <w:rsid w:val="00E313AF"/>
    <w:rsid w:val="00E32690"/>
    <w:rsid w:val="00E32A17"/>
    <w:rsid w:val="00E331A9"/>
    <w:rsid w:val="00E33735"/>
    <w:rsid w:val="00E33845"/>
    <w:rsid w:val="00E33BC4"/>
    <w:rsid w:val="00E344E0"/>
    <w:rsid w:val="00E346DA"/>
    <w:rsid w:val="00E3495C"/>
    <w:rsid w:val="00E34ADF"/>
    <w:rsid w:val="00E34D39"/>
    <w:rsid w:val="00E35619"/>
    <w:rsid w:val="00E365BA"/>
    <w:rsid w:val="00E3681D"/>
    <w:rsid w:val="00E3688A"/>
    <w:rsid w:val="00E3688D"/>
    <w:rsid w:val="00E371BA"/>
    <w:rsid w:val="00E371DE"/>
    <w:rsid w:val="00E40080"/>
    <w:rsid w:val="00E41B53"/>
    <w:rsid w:val="00E42137"/>
    <w:rsid w:val="00E426FD"/>
    <w:rsid w:val="00E42B03"/>
    <w:rsid w:val="00E42BDB"/>
    <w:rsid w:val="00E43438"/>
    <w:rsid w:val="00E43AED"/>
    <w:rsid w:val="00E44F4E"/>
    <w:rsid w:val="00E457EC"/>
    <w:rsid w:val="00E45833"/>
    <w:rsid w:val="00E45B3D"/>
    <w:rsid w:val="00E467BA"/>
    <w:rsid w:val="00E468AA"/>
    <w:rsid w:val="00E47772"/>
    <w:rsid w:val="00E47CF7"/>
    <w:rsid w:val="00E51520"/>
    <w:rsid w:val="00E525F3"/>
    <w:rsid w:val="00E529F6"/>
    <w:rsid w:val="00E52CBF"/>
    <w:rsid w:val="00E54349"/>
    <w:rsid w:val="00E57113"/>
    <w:rsid w:val="00E5726D"/>
    <w:rsid w:val="00E57E58"/>
    <w:rsid w:val="00E57EEB"/>
    <w:rsid w:val="00E60C45"/>
    <w:rsid w:val="00E60CF1"/>
    <w:rsid w:val="00E61645"/>
    <w:rsid w:val="00E619A0"/>
    <w:rsid w:val="00E62D94"/>
    <w:rsid w:val="00E63F81"/>
    <w:rsid w:val="00E64F37"/>
    <w:rsid w:val="00E65091"/>
    <w:rsid w:val="00E65E54"/>
    <w:rsid w:val="00E65F97"/>
    <w:rsid w:val="00E661C7"/>
    <w:rsid w:val="00E6677F"/>
    <w:rsid w:val="00E67006"/>
    <w:rsid w:val="00E6715E"/>
    <w:rsid w:val="00E674D9"/>
    <w:rsid w:val="00E67BFC"/>
    <w:rsid w:val="00E67CC5"/>
    <w:rsid w:val="00E67CEB"/>
    <w:rsid w:val="00E7042A"/>
    <w:rsid w:val="00E70BA8"/>
    <w:rsid w:val="00E70E89"/>
    <w:rsid w:val="00E711C5"/>
    <w:rsid w:val="00E72B84"/>
    <w:rsid w:val="00E73EE3"/>
    <w:rsid w:val="00E74498"/>
    <w:rsid w:val="00E7455B"/>
    <w:rsid w:val="00E74E41"/>
    <w:rsid w:val="00E757C7"/>
    <w:rsid w:val="00E75B0C"/>
    <w:rsid w:val="00E772A3"/>
    <w:rsid w:val="00E80155"/>
    <w:rsid w:val="00E801C9"/>
    <w:rsid w:val="00E809B6"/>
    <w:rsid w:val="00E80F89"/>
    <w:rsid w:val="00E8134B"/>
    <w:rsid w:val="00E815F5"/>
    <w:rsid w:val="00E81A36"/>
    <w:rsid w:val="00E81E0D"/>
    <w:rsid w:val="00E81F28"/>
    <w:rsid w:val="00E82583"/>
    <w:rsid w:val="00E826F4"/>
    <w:rsid w:val="00E82EEF"/>
    <w:rsid w:val="00E83F92"/>
    <w:rsid w:val="00E848C0"/>
    <w:rsid w:val="00E8540C"/>
    <w:rsid w:val="00E85B76"/>
    <w:rsid w:val="00E85BDD"/>
    <w:rsid w:val="00E865AC"/>
    <w:rsid w:val="00E867A6"/>
    <w:rsid w:val="00E907CD"/>
    <w:rsid w:val="00E915DF"/>
    <w:rsid w:val="00E91B96"/>
    <w:rsid w:val="00E92208"/>
    <w:rsid w:val="00E92422"/>
    <w:rsid w:val="00E92666"/>
    <w:rsid w:val="00E92667"/>
    <w:rsid w:val="00E93033"/>
    <w:rsid w:val="00E935DA"/>
    <w:rsid w:val="00E93D1E"/>
    <w:rsid w:val="00E941A1"/>
    <w:rsid w:val="00E95114"/>
    <w:rsid w:val="00E95CE3"/>
    <w:rsid w:val="00E9694D"/>
    <w:rsid w:val="00EA00F9"/>
    <w:rsid w:val="00EA0856"/>
    <w:rsid w:val="00EA0B43"/>
    <w:rsid w:val="00EA1A03"/>
    <w:rsid w:val="00EA1E7C"/>
    <w:rsid w:val="00EA252F"/>
    <w:rsid w:val="00EA2825"/>
    <w:rsid w:val="00EA37FF"/>
    <w:rsid w:val="00EA3975"/>
    <w:rsid w:val="00EA43EF"/>
    <w:rsid w:val="00EA45DC"/>
    <w:rsid w:val="00EA56F0"/>
    <w:rsid w:val="00EA6518"/>
    <w:rsid w:val="00EA6C20"/>
    <w:rsid w:val="00EA70FF"/>
    <w:rsid w:val="00EA71A2"/>
    <w:rsid w:val="00EA7466"/>
    <w:rsid w:val="00EA76DC"/>
    <w:rsid w:val="00EA77F2"/>
    <w:rsid w:val="00EA7EDE"/>
    <w:rsid w:val="00EB0241"/>
    <w:rsid w:val="00EB0B63"/>
    <w:rsid w:val="00EB1936"/>
    <w:rsid w:val="00EB23AA"/>
    <w:rsid w:val="00EB23E1"/>
    <w:rsid w:val="00EB2A7C"/>
    <w:rsid w:val="00EB3545"/>
    <w:rsid w:val="00EB37BE"/>
    <w:rsid w:val="00EB3DA8"/>
    <w:rsid w:val="00EB4BEE"/>
    <w:rsid w:val="00EB4BFE"/>
    <w:rsid w:val="00EB5088"/>
    <w:rsid w:val="00EB552F"/>
    <w:rsid w:val="00EB5A2D"/>
    <w:rsid w:val="00EB663D"/>
    <w:rsid w:val="00EB69EC"/>
    <w:rsid w:val="00EB795B"/>
    <w:rsid w:val="00EB7D5D"/>
    <w:rsid w:val="00EC04AB"/>
    <w:rsid w:val="00EC146F"/>
    <w:rsid w:val="00EC174E"/>
    <w:rsid w:val="00EC184E"/>
    <w:rsid w:val="00EC2726"/>
    <w:rsid w:val="00EC2916"/>
    <w:rsid w:val="00EC3997"/>
    <w:rsid w:val="00EC5B8C"/>
    <w:rsid w:val="00EC5D59"/>
    <w:rsid w:val="00EC5ECF"/>
    <w:rsid w:val="00EC5F8E"/>
    <w:rsid w:val="00EC612E"/>
    <w:rsid w:val="00EC6D63"/>
    <w:rsid w:val="00EC716B"/>
    <w:rsid w:val="00EC7ACA"/>
    <w:rsid w:val="00EC7B2B"/>
    <w:rsid w:val="00EC7D56"/>
    <w:rsid w:val="00ED0461"/>
    <w:rsid w:val="00ED0950"/>
    <w:rsid w:val="00ED1644"/>
    <w:rsid w:val="00ED206D"/>
    <w:rsid w:val="00ED2593"/>
    <w:rsid w:val="00ED429E"/>
    <w:rsid w:val="00ED4338"/>
    <w:rsid w:val="00ED4BB7"/>
    <w:rsid w:val="00ED5438"/>
    <w:rsid w:val="00ED548E"/>
    <w:rsid w:val="00ED5694"/>
    <w:rsid w:val="00ED59FA"/>
    <w:rsid w:val="00ED6637"/>
    <w:rsid w:val="00ED71F1"/>
    <w:rsid w:val="00ED728C"/>
    <w:rsid w:val="00ED7448"/>
    <w:rsid w:val="00ED7D55"/>
    <w:rsid w:val="00ED7D9C"/>
    <w:rsid w:val="00EE0DA7"/>
    <w:rsid w:val="00EE1351"/>
    <w:rsid w:val="00EE23B7"/>
    <w:rsid w:val="00EE2889"/>
    <w:rsid w:val="00EE2DBF"/>
    <w:rsid w:val="00EE2F90"/>
    <w:rsid w:val="00EE31A2"/>
    <w:rsid w:val="00EE3363"/>
    <w:rsid w:val="00EE3624"/>
    <w:rsid w:val="00EE391A"/>
    <w:rsid w:val="00EE3E7A"/>
    <w:rsid w:val="00EE439A"/>
    <w:rsid w:val="00EE48B1"/>
    <w:rsid w:val="00EE4990"/>
    <w:rsid w:val="00EE4EC4"/>
    <w:rsid w:val="00EE60F9"/>
    <w:rsid w:val="00EE61E3"/>
    <w:rsid w:val="00EE627E"/>
    <w:rsid w:val="00EE6794"/>
    <w:rsid w:val="00EE6A19"/>
    <w:rsid w:val="00EE71F3"/>
    <w:rsid w:val="00EE74DD"/>
    <w:rsid w:val="00EE7601"/>
    <w:rsid w:val="00EE7AB0"/>
    <w:rsid w:val="00EE7B23"/>
    <w:rsid w:val="00EF0069"/>
    <w:rsid w:val="00EF0196"/>
    <w:rsid w:val="00EF0DB9"/>
    <w:rsid w:val="00EF0DC9"/>
    <w:rsid w:val="00EF13E0"/>
    <w:rsid w:val="00EF1E3A"/>
    <w:rsid w:val="00EF204D"/>
    <w:rsid w:val="00EF4097"/>
    <w:rsid w:val="00EF44A0"/>
    <w:rsid w:val="00EF4580"/>
    <w:rsid w:val="00EF4CC7"/>
    <w:rsid w:val="00EF4FED"/>
    <w:rsid w:val="00EF5610"/>
    <w:rsid w:val="00EF5F45"/>
    <w:rsid w:val="00EF63AD"/>
    <w:rsid w:val="00EF6843"/>
    <w:rsid w:val="00EF6FB3"/>
    <w:rsid w:val="00EF708B"/>
    <w:rsid w:val="00EF77BD"/>
    <w:rsid w:val="00EF7D6F"/>
    <w:rsid w:val="00F007C6"/>
    <w:rsid w:val="00F00EEA"/>
    <w:rsid w:val="00F0172E"/>
    <w:rsid w:val="00F02242"/>
    <w:rsid w:val="00F02908"/>
    <w:rsid w:val="00F034B7"/>
    <w:rsid w:val="00F03627"/>
    <w:rsid w:val="00F03DE7"/>
    <w:rsid w:val="00F03F05"/>
    <w:rsid w:val="00F0509A"/>
    <w:rsid w:val="00F050BD"/>
    <w:rsid w:val="00F05363"/>
    <w:rsid w:val="00F0553E"/>
    <w:rsid w:val="00F05657"/>
    <w:rsid w:val="00F05AB0"/>
    <w:rsid w:val="00F05BDF"/>
    <w:rsid w:val="00F0674C"/>
    <w:rsid w:val="00F06895"/>
    <w:rsid w:val="00F06FBD"/>
    <w:rsid w:val="00F07218"/>
    <w:rsid w:val="00F07FA0"/>
    <w:rsid w:val="00F10EED"/>
    <w:rsid w:val="00F1105A"/>
    <w:rsid w:val="00F11FCD"/>
    <w:rsid w:val="00F12B27"/>
    <w:rsid w:val="00F14BCA"/>
    <w:rsid w:val="00F1559A"/>
    <w:rsid w:val="00F15A9A"/>
    <w:rsid w:val="00F169B2"/>
    <w:rsid w:val="00F17ED6"/>
    <w:rsid w:val="00F20114"/>
    <w:rsid w:val="00F20676"/>
    <w:rsid w:val="00F209E2"/>
    <w:rsid w:val="00F20EC5"/>
    <w:rsid w:val="00F212CB"/>
    <w:rsid w:val="00F21580"/>
    <w:rsid w:val="00F21907"/>
    <w:rsid w:val="00F21A50"/>
    <w:rsid w:val="00F21C0C"/>
    <w:rsid w:val="00F23090"/>
    <w:rsid w:val="00F23D9E"/>
    <w:rsid w:val="00F24185"/>
    <w:rsid w:val="00F241BA"/>
    <w:rsid w:val="00F24522"/>
    <w:rsid w:val="00F2511D"/>
    <w:rsid w:val="00F2545C"/>
    <w:rsid w:val="00F25578"/>
    <w:rsid w:val="00F258E5"/>
    <w:rsid w:val="00F25937"/>
    <w:rsid w:val="00F25B9C"/>
    <w:rsid w:val="00F26247"/>
    <w:rsid w:val="00F2675A"/>
    <w:rsid w:val="00F26CC6"/>
    <w:rsid w:val="00F26DC4"/>
    <w:rsid w:val="00F2759E"/>
    <w:rsid w:val="00F27758"/>
    <w:rsid w:val="00F300B3"/>
    <w:rsid w:val="00F300BC"/>
    <w:rsid w:val="00F300F4"/>
    <w:rsid w:val="00F30248"/>
    <w:rsid w:val="00F318C0"/>
    <w:rsid w:val="00F31E49"/>
    <w:rsid w:val="00F31FBD"/>
    <w:rsid w:val="00F3217F"/>
    <w:rsid w:val="00F3263C"/>
    <w:rsid w:val="00F3334E"/>
    <w:rsid w:val="00F3372F"/>
    <w:rsid w:val="00F34455"/>
    <w:rsid w:val="00F35068"/>
    <w:rsid w:val="00F3512F"/>
    <w:rsid w:val="00F35563"/>
    <w:rsid w:val="00F3589E"/>
    <w:rsid w:val="00F35A40"/>
    <w:rsid w:val="00F36648"/>
    <w:rsid w:val="00F366BB"/>
    <w:rsid w:val="00F36735"/>
    <w:rsid w:val="00F36AF7"/>
    <w:rsid w:val="00F36CCB"/>
    <w:rsid w:val="00F374E5"/>
    <w:rsid w:val="00F3773E"/>
    <w:rsid w:val="00F37B93"/>
    <w:rsid w:val="00F37BAD"/>
    <w:rsid w:val="00F37D9C"/>
    <w:rsid w:val="00F37ECA"/>
    <w:rsid w:val="00F40A1C"/>
    <w:rsid w:val="00F40CF2"/>
    <w:rsid w:val="00F42066"/>
    <w:rsid w:val="00F42A57"/>
    <w:rsid w:val="00F42D67"/>
    <w:rsid w:val="00F43013"/>
    <w:rsid w:val="00F43AF2"/>
    <w:rsid w:val="00F43EF3"/>
    <w:rsid w:val="00F44266"/>
    <w:rsid w:val="00F4519A"/>
    <w:rsid w:val="00F45216"/>
    <w:rsid w:val="00F45587"/>
    <w:rsid w:val="00F45E6D"/>
    <w:rsid w:val="00F46642"/>
    <w:rsid w:val="00F468CB"/>
    <w:rsid w:val="00F46FDA"/>
    <w:rsid w:val="00F5007E"/>
    <w:rsid w:val="00F50239"/>
    <w:rsid w:val="00F50DD8"/>
    <w:rsid w:val="00F50EC4"/>
    <w:rsid w:val="00F50FCA"/>
    <w:rsid w:val="00F51015"/>
    <w:rsid w:val="00F514B0"/>
    <w:rsid w:val="00F51AFC"/>
    <w:rsid w:val="00F51BB2"/>
    <w:rsid w:val="00F52232"/>
    <w:rsid w:val="00F523C7"/>
    <w:rsid w:val="00F526DB"/>
    <w:rsid w:val="00F52719"/>
    <w:rsid w:val="00F52880"/>
    <w:rsid w:val="00F52DC2"/>
    <w:rsid w:val="00F52DEA"/>
    <w:rsid w:val="00F535E0"/>
    <w:rsid w:val="00F53F4E"/>
    <w:rsid w:val="00F53F65"/>
    <w:rsid w:val="00F550CF"/>
    <w:rsid w:val="00F553D2"/>
    <w:rsid w:val="00F55783"/>
    <w:rsid w:val="00F55AC1"/>
    <w:rsid w:val="00F55D91"/>
    <w:rsid w:val="00F56721"/>
    <w:rsid w:val="00F57122"/>
    <w:rsid w:val="00F57214"/>
    <w:rsid w:val="00F57A6D"/>
    <w:rsid w:val="00F6234F"/>
    <w:rsid w:val="00F62A10"/>
    <w:rsid w:val="00F62F19"/>
    <w:rsid w:val="00F6366B"/>
    <w:rsid w:val="00F638CC"/>
    <w:rsid w:val="00F63A7B"/>
    <w:rsid w:val="00F63EB0"/>
    <w:rsid w:val="00F63EDE"/>
    <w:rsid w:val="00F64BA4"/>
    <w:rsid w:val="00F64C9E"/>
    <w:rsid w:val="00F64CC1"/>
    <w:rsid w:val="00F64D5E"/>
    <w:rsid w:val="00F65023"/>
    <w:rsid w:val="00F6742D"/>
    <w:rsid w:val="00F7182C"/>
    <w:rsid w:val="00F71BDE"/>
    <w:rsid w:val="00F7218F"/>
    <w:rsid w:val="00F722CF"/>
    <w:rsid w:val="00F72317"/>
    <w:rsid w:val="00F72AC0"/>
    <w:rsid w:val="00F72BCC"/>
    <w:rsid w:val="00F73321"/>
    <w:rsid w:val="00F73DC1"/>
    <w:rsid w:val="00F7499A"/>
    <w:rsid w:val="00F75A57"/>
    <w:rsid w:val="00F75BB8"/>
    <w:rsid w:val="00F75EB4"/>
    <w:rsid w:val="00F771DF"/>
    <w:rsid w:val="00F77235"/>
    <w:rsid w:val="00F77E21"/>
    <w:rsid w:val="00F80475"/>
    <w:rsid w:val="00F80BE6"/>
    <w:rsid w:val="00F81390"/>
    <w:rsid w:val="00F81F7A"/>
    <w:rsid w:val="00F8247A"/>
    <w:rsid w:val="00F82E5C"/>
    <w:rsid w:val="00F82E76"/>
    <w:rsid w:val="00F83F58"/>
    <w:rsid w:val="00F848B9"/>
    <w:rsid w:val="00F854F7"/>
    <w:rsid w:val="00F8610A"/>
    <w:rsid w:val="00F8782C"/>
    <w:rsid w:val="00F87CEA"/>
    <w:rsid w:val="00F9163A"/>
    <w:rsid w:val="00F92F97"/>
    <w:rsid w:val="00F93301"/>
    <w:rsid w:val="00F933CA"/>
    <w:rsid w:val="00F93931"/>
    <w:rsid w:val="00F93CA5"/>
    <w:rsid w:val="00F93E67"/>
    <w:rsid w:val="00F94008"/>
    <w:rsid w:val="00F944F2"/>
    <w:rsid w:val="00F94FCA"/>
    <w:rsid w:val="00F95F94"/>
    <w:rsid w:val="00F9626A"/>
    <w:rsid w:val="00F9629A"/>
    <w:rsid w:val="00F974E5"/>
    <w:rsid w:val="00F97EFC"/>
    <w:rsid w:val="00FA03B9"/>
    <w:rsid w:val="00FA0529"/>
    <w:rsid w:val="00FA0C7C"/>
    <w:rsid w:val="00FA1BDD"/>
    <w:rsid w:val="00FA28EB"/>
    <w:rsid w:val="00FA2A57"/>
    <w:rsid w:val="00FA305C"/>
    <w:rsid w:val="00FA3568"/>
    <w:rsid w:val="00FA3BF8"/>
    <w:rsid w:val="00FA3C24"/>
    <w:rsid w:val="00FA462E"/>
    <w:rsid w:val="00FA4DD5"/>
    <w:rsid w:val="00FA5535"/>
    <w:rsid w:val="00FA581D"/>
    <w:rsid w:val="00FA5883"/>
    <w:rsid w:val="00FA5EF8"/>
    <w:rsid w:val="00FA6055"/>
    <w:rsid w:val="00FA7578"/>
    <w:rsid w:val="00FA784B"/>
    <w:rsid w:val="00FA7D28"/>
    <w:rsid w:val="00FB00BD"/>
    <w:rsid w:val="00FB0B39"/>
    <w:rsid w:val="00FB10F7"/>
    <w:rsid w:val="00FB1512"/>
    <w:rsid w:val="00FB15E8"/>
    <w:rsid w:val="00FB18FF"/>
    <w:rsid w:val="00FB2345"/>
    <w:rsid w:val="00FB2914"/>
    <w:rsid w:val="00FB322F"/>
    <w:rsid w:val="00FB3232"/>
    <w:rsid w:val="00FB337A"/>
    <w:rsid w:val="00FB3963"/>
    <w:rsid w:val="00FB3A39"/>
    <w:rsid w:val="00FB3A6C"/>
    <w:rsid w:val="00FB3D33"/>
    <w:rsid w:val="00FB442F"/>
    <w:rsid w:val="00FB473F"/>
    <w:rsid w:val="00FB50FE"/>
    <w:rsid w:val="00FB521B"/>
    <w:rsid w:val="00FB578F"/>
    <w:rsid w:val="00FB64BA"/>
    <w:rsid w:val="00FB673A"/>
    <w:rsid w:val="00FB6A58"/>
    <w:rsid w:val="00FB7B6B"/>
    <w:rsid w:val="00FC056A"/>
    <w:rsid w:val="00FC0BF9"/>
    <w:rsid w:val="00FC0DAD"/>
    <w:rsid w:val="00FC0E1F"/>
    <w:rsid w:val="00FC112B"/>
    <w:rsid w:val="00FC118C"/>
    <w:rsid w:val="00FC1929"/>
    <w:rsid w:val="00FC1AC6"/>
    <w:rsid w:val="00FC20BB"/>
    <w:rsid w:val="00FC221B"/>
    <w:rsid w:val="00FC2E36"/>
    <w:rsid w:val="00FC2F24"/>
    <w:rsid w:val="00FC3DA8"/>
    <w:rsid w:val="00FC3DC8"/>
    <w:rsid w:val="00FC42E3"/>
    <w:rsid w:val="00FC5213"/>
    <w:rsid w:val="00FC5B46"/>
    <w:rsid w:val="00FC6705"/>
    <w:rsid w:val="00FC6814"/>
    <w:rsid w:val="00FC710F"/>
    <w:rsid w:val="00FC74D9"/>
    <w:rsid w:val="00FC7A9D"/>
    <w:rsid w:val="00FD0059"/>
    <w:rsid w:val="00FD0DDE"/>
    <w:rsid w:val="00FD1930"/>
    <w:rsid w:val="00FD1D4F"/>
    <w:rsid w:val="00FD24BF"/>
    <w:rsid w:val="00FD27CB"/>
    <w:rsid w:val="00FD35CC"/>
    <w:rsid w:val="00FD3B6E"/>
    <w:rsid w:val="00FD47B3"/>
    <w:rsid w:val="00FD4D2C"/>
    <w:rsid w:val="00FD57EB"/>
    <w:rsid w:val="00FD598B"/>
    <w:rsid w:val="00FD678A"/>
    <w:rsid w:val="00FD6B6A"/>
    <w:rsid w:val="00FD6D8E"/>
    <w:rsid w:val="00FD7573"/>
    <w:rsid w:val="00FD7A8D"/>
    <w:rsid w:val="00FE025B"/>
    <w:rsid w:val="00FE031B"/>
    <w:rsid w:val="00FE0663"/>
    <w:rsid w:val="00FE0E94"/>
    <w:rsid w:val="00FE135A"/>
    <w:rsid w:val="00FE1668"/>
    <w:rsid w:val="00FE20B5"/>
    <w:rsid w:val="00FE369C"/>
    <w:rsid w:val="00FE3C05"/>
    <w:rsid w:val="00FE3CD9"/>
    <w:rsid w:val="00FE3D7A"/>
    <w:rsid w:val="00FE4176"/>
    <w:rsid w:val="00FE4555"/>
    <w:rsid w:val="00FE4970"/>
    <w:rsid w:val="00FE4FCE"/>
    <w:rsid w:val="00FE5060"/>
    <w:rsid w:val="00FE5C56"/>
    <w:rsid w:val="00FE5D24"/>
    <w:rsid w:val="00FE70E0"/>
    <w:rsid w:val="00FF00BD"/>
    <w:rsid w:val="00FF054A"/>
    <w:rsid w:val="00FF0B13"/>
    <w:rsid w:val="00FF1ED4"/>
    <w:rsid w:val="00FF2801"/>
    <w:rsid w:val="00FF2B47"/>
    <w:rsid w:val="00FF41AE"/>
    <w:rsid w:val="00FF4A6B"/>
    <w:rsid w:val="00FF50FE"/>
    <w:rsid w:val="00FF5281"/>
    <w:rsid w:val="00FF54BA"/>
    <w:rsid w:val="00FF5CC1"/>
    <w:rsid w:val="00FF61C4"/>
    <w:rsid w:val="00FF79EF"/>
    <w:rsid w:val="00FF7A75"/>
    <w:rsid w:val="012A7082"/>
    <w:rsid w:val="0143FC8B"/>
    <w:rsid w:val="01BAC867"/>
    <w:rsid w:val="0254441C"/>
    <w:rsid w:val="02E816C3"/>
    <w:rsid w:val="032394EB"/>
    <w:rsid w:val="033B2F40"/>
    <w:rsid w:val="04A12F4E"/>
    <w:rsid w:val="04DBE9EA"/>
    <w:rsid w:val="05182518"/>
    <w:rsid w:val="051D99F9"/>
    <w:rsid w:val="05B612E3"/>
    <w:rsid w:val="0605216C"/>
    <w:rsid w:val="0610BB74"/>
    <w:rsid w:val="063EE9F7"/>
    <w:rsid w:val="069F379E"/>
    <w:rsid w:val="08185FB9"/>
    <w:rsid w:val="082A09EB"/>
    <w:rsid w:val="0A0C7AE1"/>
    <w:rsid w:val="0A663D94"/>
    <w:rsid w:val="0A84FB5A"/>
    <w:rsid w:val="0B1BF5E7"/>
    <w:rsid w:val="0CF130DF"/>
    <w:rsid w:val="0CFE1DFD"/>
    <w:rsid w:val="0D4FC7CF"/>
    <w:rsid w:val="0DC4E36E"/>
    <w:rsid w:val="0E5E506F"/>
    <w:rsid w:val="0F5CF529"/>
    <w:rsid w:val="0FC31246"/>
    <w:rsid w:val="1023E0F9"/>
    <w:rsid w:val="1272477B"/>
    <w:rsid w:val="12B95C68"/>
    <w:rsid w:val="15107A79"/>
    <w:rsid w:val="1559BAC6"/>
    <w:rsid w:val="162998A6"/>
    <w:rsid w:val="1632051E"/>
    <w:rsid w:val="17FD5F39"/>
    <w:rsid w:val="18657CF4"/>
    <w:rsid w:val="19B44400"/>
    <w:rsid w:val="19F2311B"/>
    <w:rsid w:val="1A0D3C6A"/>
    <w:rsid w:val="1A2D1BE7"/>
    <w:rsid w:val="1A8A0C43"/>
    <w:rsid w:val="1B0BFFE7"/>
    <w:rsid w:val="1B4DABE9"/>
    <w:rsid w:val="1D4E7C25"/>
    <w:rsid w:val="1D6033D6"/>
    <w:rsid w:val="1DDBDA0D"/>
    <w:rsid w:val="1E382E8C"/>
    <w:rsid w:val="1E938E64"/>
    <w:rsid w:val="1F19E991"/>
    <w:rsid w:val="1F3EECBD"/>
    <w:rsid w:val="1FB6E350"/>
    <w:rsid w:val="1FF3162D"/>
    <w:rsid w:val="2009EB8A"/>
    <w:rsid w:val="210F5AF1"/>
    <w:rsid w:val="212CBC64"/>
    <w:rsid w:val="231C3354"/>
    <w:rsid w:val="238CC620"/>
    <w:rsid w:val="244B8CF8"/>
    <w:rsid w:val="24C0A041"/>
    <w:rsid w:val="24CA5046"/>
    <w:rsid w:val="24F49182"/>
    <w:rsid w:val="24FBD839"/>
    <w:rsid w:val="26615FE7"/>
    <w:rsid w:val="2678B15D"/>
    <w:rsid w:val="27394882"/>
    <w:rsid w:val="29365BD7"/>
    <w:rsid w:val="29882150"/>
    <w:rsid w:val="29E0E709"/>
    <w:rsid w:val="2AA490C3"/>
    <w:rsid w:val="2C4C1D68"/>
    <w:rsid w:val="2C7C3DFB"/>
    <w:rsid w:val="2D470254"/>
    <w:rsid w:val="2D8C7A21"/>
    <w:rsid w:val="2E4579D6"/>
    <w:rsid w:val="2EF0545B"/>
    <w:rsid w:val="2FC97F8A"/>
    <w:rsid w:val="300EDF22"/>
    <w:rsid w:val="3079EB0D"/>
    <w:rsid w:val="307D714D"/>
    <w:rsid w:val="3093AC95"/>
    <w:rsid w:val="31857241"/>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07B0F5"/>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3D9737"/>
    <w:rsid w:val="4DA14906"/>
    <w:rsid w:val="4DD74500"/>
    <w:rsid w:val="4EE3854C"/>
    <w:rsid w:val="4F28A562"/>
    <w:rsid w:val="5057B658"/>
    <w:rsid w:val="517C50E5"/>
    <w:rsid w:val="51A107A9"/>
    <w:rsid w:val="531CBF78"/>
    <w:rsid w:val="53229BC9"/>
    <w:rsid w:val="53B39A2E"/>
    <w:rsid w:val="54C17BA2"/>
    <w:rsid w:val="553311EF"/>
    <w:rsid w:val="55ACD1A0"/>
    <w:rsid w:val="56AFA43F"/>
    <w:rsid w:val="58963761"/>
    <w:rsid w:val="593F501C"/>
    <w:rsid w:val="5A05D725"/>
    <w:rsid w:val="5B9D8C93"/>
    <w:rsid w:val="5BF93FD3"/>
    <w:rsid w:val="5CB076C8"/>
    <w:rsid w:val="5D5832E9"/>
    <w:rsid w:val="5D80A09E"/>
    <w:rsid w:val="5DF2A876"/>
    <w:rsid w:val="5EBDDC85"/>
    <w:rsid w:val="5F8C18FC"/>
    <w:rsid w:val="600E03FD"/>
    <w:rsid w:val="60BB09D9"/>
    <w:rsid w:val="62AD93BA"/>
    <w:rsid w:val="63555756"/>
    <w:rsid w:val="643C7E13"/>
    <w:rsid w:val="644E444D"/>
    <w:rsid w:val="65573E26"/>
    <w:rsid w:val="65AD35BA"/>
    <w:rsid w:val="65C2D45A"/>
    <w:rsid w:val="6657D135"/>
    <w:rsid w:val="66D9E62A"/>
    <w:rsid w:val="66DC4ED3"/>
    <w:rsid w:val="6728F4B3"/>
    <w:rsid w:val="673BE400"/>
    <w:rsid w:val="67B6BAF7"/>
    <w:rsid w:val="68E0347C"/>
    <w:rsid w:val="699B3EBB"/>
    <w:rsid w:val="6A2AAF49"/>
    <w:rsid w:val="6BAD574D"/>
    <w:rsid w:val="6CA77350"/>
    <w:rsid w:val="709A626A"/>
    <w:rsid w:val="716D6D8F"/>
    <w:rsid w:val="720A32A5"/>
    <w:rsid w:val="731BA24E"/>
    <w:rsid w:val="73E7CF48"/>
    <w:rsid w:val="7451969B"/>
    <w:rsid w:val="753F050A"/>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uiPriority="9" w:qFormat="1"/>
    <w:lsdException w:name="heading 6" w:uiPriority="9"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qFormat/>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qFormat/>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qFormat/>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qFormat/>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qFormat/>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PBAC ES Paragraph,Styl moj,Akapit z listą11,ES Paragraph,PBAC normal points,Bullet List,Figure_name,l"/>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PBAC ES Paragraph Char,Styl moj Char,l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link w:val="BalloonTextChar"/>
    <w:semiHidden/>
    <w:rPr>
      <w:rFonts w:ascii="Tahoma" w:hAnsi="Tahoma" w:cs="Tahoma"/>
      <w:sz w:val="16"/>
      <w:szCs w:val="16"/>
    </w:rPr>
  </w:style>
  <w:style w:type="table" w:styleId="TableGrid">
    <w:name w:val="Table Grid"/>
    <w:aliases w:val="Summary box,Table Gridbeth,new style,ASD Table,HTAtableplain,CMA Table Template,MSD Table Grid,RTI AMCP Table,HealthConsult,PBAC table,Dossier table,Summary Table,PHE Table Grid,Lash Style Table,Section 3- footnotes,Header 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1"/>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Table HEADER PBAC,-H18"/>
    <w:basedOn w:val="DefaultParagraphFont"/>
    <w:uiPriority w:val="99"/>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NoSpacing">
    <w:name w:val="No Spacing"/>
    <w:basedOn w:val="Normal"/>
    <w:link w:val="NoSpacingChar"/>
    <w:uiPriority w:val="1"/>
    <w:qFormat/>
    <w:rsid w:val="00774465"/>
    <w:rPr>
      <w:rFonts w:ascii="Arial" w:hAnsi="Arial"/>
      <w:sz w:val="22"/>
      <w:szCs w:val="22"/>
    </w:rPr>
  </w:style>
  <w:style w:type="character" w:customStyle="1" w:styleId="NoSpacingChar">
    <w:name w:val="No Spacing Char"/>
    <w:basedOn w:val="DefaultParagraphFont"/>
    <w:link w:val="NoSpacing"/>
    <w:uiPriority w:val="1"/>
    <w:rsid w:val="00774465"/>
    <w:rPr>
      <w:rFonts w:ascii="Arial" w:hAnsi="Arial"/>
      <w:sz w:val="22"/>
      <w:szCs w:val="22"/>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APTION"/>
    <w:basedOn w:val="Normal"/>
    <w:next w:val="Normal"/>
    <w:link w:val="CaptionChar"/>
    <w:unhideWhenUsed/>
    <w:qFormat/>
    <w:rsid w:val="001712C5"/>
    <w:pPr>
      <w:spacing w:after="200"/>
    </w:pPr>
    <w:rPr>
      <w:i/>
      <w:iCs/>
      <w:color w:val="1F497D" w:themeColor="text2"/>
      <w:sz w:val="18"/>
      <w:szCs w:val="18"/>
    </w:rPr>
  </w:style>
  <w:style w:type="character" w:customStyle="1" w:styleId="CaptionFootnoteChar">
    <w:name w:val="Caption Footnote Char"/>
    <w:basedOn w:val="DefaultParagraphFont"/>
    <w:link w:val="CaptionFootnote"/>
    <w:rsid w:val="00654A34"/>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654A34"/>
    <w:rPr>
      <w:rFonts w:asciiTheme="minorHAnsi" w:hAnsiTheme="minorHAnsi"/>
      <w:kern w:val="28"/>
      <w:sz w:val="16"/>
      <w:lang w:eastAsia="en-GB"/>
    </w:rPr>
  </w:style>
  <w:style w:type="character" w:styleId="FootnoteReference">
    <w:name w:val="footnote reference"/>
    <w:basedOn w:val="DefaultParagraphFont"/>
    <w:uiPriority w:val="99"/>
    <w:unhideWhenUsed/>
    <w:rsid w:val="00654A34"/>
    <w:rPr>
      <w:vertAlign w:val="superscript"/>
    </w:rPr>
  </w:style>
  <w:style w:type="paragraph" w:customStyle="1" w:styleId="TableFooter">
    <w:name w:val="Table Footer"/>
    <w:basedOn w:val="Normal"/>
    <w:link w:val="TableFooterChar"/>
    <w:qFormat/>
    <w:rsid w:val="009F1BE2"/>
    <w:pPr>
      <w:widowControl w:val="0"/>
      <w:contextualSpacing/>
    </w:pPr>
    <w:rPr>
      <w:rFonts w:ascii="Arial Narrow" w:hAnsi="Arial Narrow" w:cs="Arial"/>
      <w:snapToGrid w:val="0"/>
      <w:sz w:val="18"/>
      <w:szCs w:val="20"/>
      <w:lang w:eastAsia="en-US"/>
    </w:rPr>
  </w:style>
  <w:style w:type="character" w:customStyle="1" w:styleId="TableFooterChar">
    <w:name w:val="Table Footer Char"/>
    <w:link w:val="TableFooter"/>
    <w:rsid w:val="009F1BE2"/>
    <w:rPr>
      <w:rFonts w:ascii="Arial Narrow" w:hAnsi="Arial Narrow" w:cs="Arial"/>
      <w:snapToGrid w:val="0"/>
      <w:sz w:val="18"/>
      <w:lang w:eastAsia="en-US"/>
    </w:rPr>
  </w:style>
  <w:style w:type="table" w:customStyle="1" w:styleId="PBACTableStyle">
    <w:name w:val="PBAC Table Style"/>
    <w:basedOn w:val="TableGrid1"/>
    <w:uiPriority w:val="99"/>
    <w:rsid w:val="009F1BE2"/>
    <w:pPr>
      <w:widowControl w:val="0"/>
      <w:spacing w:before="120"/>
      <w:contextualSpacing/>
      <w:jc w:val="center"/>
    </w:pPr>
    <w:rPr>
      <w:rFonts w:ascii="Arial Narrow" w:eastAsiaTheme="minorHAnsi" w:hAnsi="Arial Narrow" w:cstheme="minorBidi"/>
      <w:color w:val="000000" w:themeColor="text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l2br w:val="none" w:sz="0" w:space="0" w:color="auto"/>
          <w:tr2bl w:val="none" w:sz="0" w:space="0" w:color="auto"/>
        </w:tcBorders>
      </w:tcPr>
    </w:tblStylePr>
  </w:style>
  <w:style w:type="table" w:styleId="TableGrid1">
    <w:name w:val="Table Grid 1"/>
    <w:basedOn w:val="TableNormal"/>
    <w:semiHidden/>
    <w:unhideWhenUsed/>
    <w:rsid w:val="009F1BE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EA43EF"/>
    <w:pPr>
      <w:keepNext w:val="0"/>
      <w:widowControl w:val="0"/>
      <w:tabs>
        <w:tab w:val="decimal" w:pos="396"/>
      </w:tabs>
      <w:jc w:val="center"/>
    </w:pPr>
    <w:rPr>
      <w:rFonts w:eastAsiaTheme="minorHAnsi" w:cstheme="minorBidi"/>
      <w:bCs w:val="0"/>
      <w:szCs w:val="22"/>
      <w:lang w:eastAsia="en-US"/>
    </w:rPr>
  </w:style>
  <w:style w:type="character" w:customStyle="1" w:styleId="TableNumberChar">
    <w:name w:val="Table Number Char"/>
    <w:basedOn w:val="TableTextChar"/>
    <w:link w:val="TableNumber"/>
    <w:rsid w:val="00EA43EF"/>
    <w:rPr>
      <w:rFonts w:ascii="Arial Narrow" w:eastAsiaTheme="minorHAnsi" w:hAnsi="Arial Narrow" w:cstheme="minorBidi"/>
      <w:bCs w:val="0"/>
      <w:szCs w:val="22"/>
      <w:lang w:eastAsia="en-US"/>
    </w:rPr>
  </w:style>
  <w:style w:type="paragraph" w:customStyle="1" w:styleId="OutlineHeading2">
    <w:name w:val="Outline Heading 2"/>
    <w:basedOn w:val="Heading2"/>
    <w:link w:val="OutlineHeading2Char"/>
    <w:uiPriority w:val="3"/>
    <w:qFormat/>
    <w:rsid w:val="00977E3F"/>
    <w:pPr>
      <w:spacing w:before="360" w:after="120"/>
    </w:pPr>
    <w:rPr>
      <w:rFonts w:ascii="Arial" w:hAnsi="Arial"/>
      <w:b/>
      <w:i/>
      <w:snapToGrid w:val="0"/>
      <w:sz w:val="28"/>
      <w:szCs w:val="28"/>
    </w:rPr>
  </w:style>
  <w:style w:type="character" w:customStyle="1" w:styleId="OutlineHeading2Char">
    <w:name w:val="Outline Heading 2 Char"/>
    <w:basedOn w:val="Heading2Char"/>
    <w:link w:val="OutlineHeading2"/>
    <w:uiPriority w:val="3"/>
    <w:rsid w:val="00977E3F"/>
    <w:rPr>
      <w:rFonts w:ascii="Arial" w:eastAsiaTheme="majorEastAsia" w:hAnsi="Arial" w:cstheme="majorBidi"/>
      <w:b/>
      <w:i/>
      <w:snapToGrid w:val="0"/>
      <w:color w:val="365F91" w:themeColor="accent1" w:themeShade="BF"/>
      <w:sz w:val="28"/>
      <w:szCs w:val="28"/>
      <w:lang w:eastAsia="en-US"/>
    </w:rPr>
  </w:style>
  <w:style w:type="paragraph" w:customStyle="1" w:styleId="PBACESHeading1">
    <w:name w:val="PBAC ES Heading 1"/>
    <w:basedOn w:val="Heading1"/>
    <w:next w:val="ListParagraph"/>
    <w:uiPriority w:val="1"/>
    <w:qFormat/>
    <w:rsid w:val="00B17771"/>
    <w:pPr>
      <w:tabs>
        <w:tab w:val="left" w:pos="1077"/>
      </w:tabs>
      <w:spacing w:before="240" w:after="120"/>
      <w:ind w:left="720" w:hanging="720"/>
    </w:pPr>
    <w:rPr>
      <w:rFonts w:asciiTheme="minorHAnsi" w:eastAsia="Times New Roman" w:hAnsiTheme="minorHAnsi" w:cs="Arial"/>
      <w:b/>
      <w:snapToGrid w:val="0"/>
      <w:color w:val="auto"/>
      <w:sz w:val="32"/>
      <w:szCs w:val="32"/>
    </w:rPr>
  </w:style>
  <w:style w:type="paragraph" w:customStyle="1" w:styleId="PBACESHeading2">
    <w:name w:val="PBAC ES Heading 2"/>
    <w:basedOn w:val="Heading2"/>
    <w:uiPriority w:val="1"/>
    <w:qFormat/>
    <w:rsid w:val="00B17771"/>
    <w:pPr>
      <w:spacing w:before="360" w:after="120"/>
      <w:ind w:left="720" w:hanging="720"/>
    </w:pPr>
    <w:rPr>
      <w:b/>
      <w:i/>
      <w:snapToGrid w:val="0"/>
      <w:color w:val="auto"/>
      <w:sz w:val="28"/>
      <w:szCs w:val="28"/>
    </w:rPr>
  </w:style>
  <w:style w:type="paragraph" w:customStyle="1" w:styleId="PBACESHeadingCAPS">
    <w:name w:val="PBAC ES Heading CAPS"/>
    <w:basedOn w:val="PBACESHeading2"/>
    <w:uiPriority w:val="1"/>
    <w:qFormat/>
    <w:rsid w:val="00B17771"/>
    <w:rPr>
      <w:i w:val="0"/>
      <w:smallCaps/>
      <w:sz w:val="32"/>
    </w:rPr>
  </w:style>
  <w:style w:type="paragraph" w:customStyle="1" w:styleId="PBACESHeading3">
    <w:name w:val="PBAC ES Heading 3"/>
    <w:basedOn w:val="PBACESHeading2"/>
    <w:uiPriority w:val="1"/>
    <w:qFormat/>
    <w:rsid w:val="00B17771"/>
    <w:pPr>
      <w:ind w:left="1080" w:hanging="1080"/>
    </w:pPr>
    <w:rPr>
      <w:i w:val="0"/>
      <w:sz w:val="24"/>
    </w:rPr>
  </w:style>
  <w:style w:type="paragraph" w:customStyle="1" w:styleId="MSACHeading1">
    <w:name w:val="MSAC Heading 1"/>
    <w:basedOn w:val="Heading1"/>
    <w:next w:val="Normal"/>
    <w:uiPriority w:val="1"/>
    <w:qFormat/>
    <w:rsid w:val="00B17771"/>
    <w:pPr>
      <w:spacing w:before="160" w:after="240" w:line="259" w:lineRule="auto"/>
      <w:ind w:left="720" w:hanging="720"/>
    </w:pPr>
    <w:rPr>
      <w:rFonts w:ascii="Arial" w:hAnsi="Arial"/>
      <w:b/>
      <w:color w:val="auto"/>
      <w:sz w:val="24"/>
      <w:szCs w:val="28"/>
    </w:rPr>
  </w:style>
  <w:style w:type="paragraph" w:customStyle="1" w:styleId="MSACESHeading2">
    <w:name w:val="MSAC ES Heading 2"/>
    <w:basedOn w:val="Heading2"/>
    <w:next w:val="Normal"/>
    <w:uiPriority w:val="1"/>
    <w:qFormat/>
    <w:rsid w:val="00B17771"/>
    <w:pPr>
      <w:spacing w:before="360" w:after="120"/>
      <w:ind w:left="720" w:hanging="720"/>
    </w:pPr>
    <w:rPr>
      <w:rFonts w:ascii="Cambria" w:hAnsi="Cambria"/>
      <w:b/>
      <w:snapToGrid w:val="0"/>
      <w:color w:val="auto"/>
      <w:sz w:val="24"/>
      <w:szCs w:val="28"/>
    </w:rPr>
  </w:style>
  <w:style w:type="numbering" w:customStyle="1" w:styleId="Style3">
    <w:name w:val="Style3"/>
    <w:uiPriority w:val="99"/>
    <w:rsid w:val="00B17771"/>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w:link w:val="Caption"/>
    <w:qFormat/>
    <w:rsid w:val="00DF77EE"/>
    <w:rPr>
      <w:rFonts w:ascii="Calibri" w:hAnsi="Calibri"/>
      <w:i/>
      <w:iCs/>
      <w:color w:val="1F497D" w:themeColor="text2"/>
      <w:sz w:val="18"/>
      <w:szCs w:val="18"/>
    </w:rPr>
  </w:style>
  <w:style w:type="paragraph" w:styleId="FootnoteText">
    <w:name w:val="footnote text"/>
    <w:basedOn w:val="Normal"/>
    <w:link w:val="FootnoteTextChar"/>
    <w:rsid w:val="006A2CED"/>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rsid w:val="006A2CED"/>
    <w:rPr>
      <w:rFonts w:asciiTheme="minorHAnsi" w:eastAsiaTheme="minorHAnsi" w:hAnsiTheme="minorHAnsi" w:cstheme="minorBidi"/>
      <w:sz w:val="18"/>
      <w:lang w:eastAsia="en-US"/>
    </w:rPr>
  </w:style>
  <w:style w:type="character" w:styleId="Mention">
    <w:name w:val="Mention"/>
    <w:basedOn w:val="DefaultParagraphFont"/>
    <w:uiPriority w:val="99"/>
    <w:unhideWhenUsed/>
    <w:rsid w:val="004A2A54"/>
    <w:rPr>
      <w:color w:val="2B579A"/>
      <w:shd w:val="clear" w:color="auto" w:fill="E1DFDD"/>
    </w:rPr>
  </w:style>
  <w:style w:type="paragraph" w:customStyle="1" w:styleId="3-SubsectionHeading">
    <w:name w:val="3-Subsection Heading"/>
    <w:basedOn w:val="Heading2"/>
    <w:next w:val="Normal"/>
    <w:link w:val="3-SubsectionHeadingChar"/>
    <w:qFormat/>
    <w:rsid w:val="00E65F97"/>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E65F97"/>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PBACESParagraphBulletPoint">
    <w:name w:val="PBAC ES Paragraph Bullet Point"/>
    <w:basedOn w:val="ListParagraph"/>
    <w:link w:val="PBACESParagraphBulletPointChar"/>
    <w:uiPriority w:val="1"/>
    <w:qFormat/>
    <w:rsid w:val="00EE7B23"/>
    <w:pPr>
      <w:numPr>
        <w:numId w:val="6"/>
      </w:numPr>
      <w:spacing w:before="120"/>
      <w:ind w:left="1491" w:hanging="357"/>
      <w:jc w:val="both"/>
    </w:pPr>
    <w:rPr>
      <w:rFonts w:eastAsiaTheme="minorHAnsi" w:cstheme="minorBidi"/>
      <w:snapToGrid/>
      <w:color w:val="000000" w:themeColor="text1"/>
      <w:szCs w:val="22"/>
      <w:lang w:eastAsia="en-US"/>
    </w:rPr>
  </w:style>
  <w:style w:type="character" w:customStyle="1" w:styleId="PBACESParagraphBulletPointChar">
    <w:name w:val="PBAC ES Paragraph Bullet Point Char"/>
    <w:basedOn w:val="ListParagraphChar"/>
    <w:link w:val="PBACESParagraphBulletPoint"/>
    <w:uiPriority w:val="1"/>
    <w:rsid w:val="00EE7B23"/>
    <w:rPr>
      <w:rFonts w:asciiTheme="minorHAnsi" w:eastAsiaTheme="minorHAnsi" w:hAnsiTheme="minorHAnsi" w:cstheme="minorBidi"/>
      <w:snapToGrid/>
      <w:color w:val="000000" w:themeColor="text1"/>
      <w:sz w:val="24"/>
      <w:szCs w:val="22"/>
      <w:lang w:eastAsia="en-US"/>
    </w:rPr>
  </w:style>
  <w:style w:type="character" w:styleId="UnresolvedMention">
    <w:name w:val="Unresolved Mention"/>
    <w:basedOn w:val="DefaultParagraphFont"/>
    <w:uiPriority w:val="99"/>
    <w:semiHidden/>
    <w:unhideWhenUsed/>
    <w:rsid w:val="00380038"/>
    <w:rPr>
      <w:color w:val="605E5C"/>
      <w:shd w:val="clear" w:color="auto" w:fill="E1DFDD"/>
    </w:rPr>
  </w:style>
  <w:style w:type="paragraph" w:styleId="ListBullet">
    <w:name w:val="List Bullet"/>
    <w:basedOn w:val="Normal"/>
    <w:autoRedefine/>
    <w:rsid w:val="006C73AF"/>
    <w:pPr>
      <w:jc w:val="left"/>
    </w:pPr>
    <w:rPr>
      <w:rFonts w:ascii="Arial" w:hAnsi="Arial" w:cs="Arial"/>
      <w:snapToGrid w:val="0"/>
      <w:color w:val="FF0000"/>
      <w:sz w:val="20"/>
      <w:szCs w:val="20"/>
      <w:lang w:eastAsia="en-US"/>
    </w:rPr>
  </w:style>
  <w:style w:type="paragraph" w:customStyle="1" w:styleId="1-MainHeading0">
    <w:name w:val="1- Main Heading"/>
    <w:link w:val="1-MainHeadingChar0"/>
    <w:rsid w:val="0018105A"/>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0">
    <w:name w:val="1- Main Heading Char"/>
    <w:basedOn w:val="DefaultParagraphFont"/>
    <w:link w:val="1-MainHeading0"/>
    <w:rsid w:val="0018105A"/>
    <w:rPr>
      <w:rFonts w:asciiTheme="minorHAnsi" w:eastAsiaTheme="majorEastAsia" w:hAnsiTheme="minorHAnsi" w:cstheme="majorBidi"/>
      <w:b/>
      <w:spacing w:val="5"/>
      <w:kern w:val="28"/>
      <w:sz w:val="36"/>
      <w:szCs w:val="36"/>
    </w:rPr>
  </w:style>
  <w:style w:type="paragraph" w:customStyle="1" w:styleId="Default">
    <w:name w:val="Default"/>
    <w:rsid w:val="00B51A96"/>
    <w:pPr>
      <w:autoSpaceDE w:val="0"/>
      <w:autoSpaceDN w:val="0"/>
      <w:adjustRightInd w:val="0"/>
    </w:pPr>
    <w:rPr>
      <w:rFonts w:ascii="Calibri" w:hAnsi="Calibri" w:cs="Calibri"/>
      <w:color w:val="000000"/>
      <w:sz w:val="24"/>
      <w:szCs w:val="24"/>
    </w:rPr>
  </w:style>
  <w:style w:type="paragraph" w:customStyle="1" w:styleId="msonormal0">
    <w:name w:val="msonormal"/>
    <w:basedOn w:val="Normal"/>
    <w:rsid w:val="00DA3E06"/>
    <w:pPr>
      <w:spacing w:before="100" w:beforeAutospacing="1" w:after="100" w:afterAutospacing="1"/>
      <w:jc w:val="left"/>
    </w:pPr>
    <w:rPr>
      <w:rFonts w:ascii="Times New Roman" w:hAnsi="Times New Roman"/>
    </w:rPr>
  </w:style>
  <w:style w:type="character" w:customStyle="1" w:styleId="HeaderChar1">
    <w:name w:val="Header Char1"/>
    <w:aliases w:val="Page Header Char1,Header title Char1,he=header Char1,cntr/bld Char1"/>
    <w:basedOn w:val="DefaultParagraphFont"/>
    <w:uiPriority w:val="99"/>
    <w:semiHidden/>
    <w:rsid w:val="00DA3E06"/>
    <w:rPr>
      <w:rFonts w:ascii="Calibri" w:hAnsi="Calibri"/>
      <w:sz w:val="24"/>
      <w:szCs w:val="24"/>
    </w:rPr>
  </w:style>
  <w:style w:type="character" w:customStyle="1" w:styleId="BalloonTextChar">
    <w:name w:val="Balloon Text Char"/>
    <w:basedOn w:val="DefaultParagraphFont"/>
    <w:link w:val="BalloonText"/>
    <w:semiHidden/>
    <w:rsid w:val="00DA3E06"/>
    <w:rPr>
      <w:rFonts w:ascii="Tahoma" w:hAnsi="Tahoma" w:cs="Tahoma"/>
      <w:sz w:val="16"/>
      <w:szCs w:val="16"/>
    </w:rPr>
  </w:style>
  <w:style w:type="table" w:customStyle="1" w:styleId="TableGrid11">
    <w:name w:val="Table Grid 11"/>
    <w:basedOn w:val="TableNormal"/>
    <w:next w:val="TableGrid1"/>
    <w:semiHidden/>
    <w:unhideWhenUsed/>
    <w:rsid w:val="00DA3E06"/>
    <w:pPr>
      <w:jc w:val="both"/>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BACTableStyle1">
    <w:name w:val="PBAC Table Style1"/>
    <w:basedOn w:val="TableGrid1"/>
    <w:uiPriority w:val="99"/>
    <w:rsid w:val="00DA3E06"/>
    <w:pPr>
      <w:widowControl w:val="0"/>
      <w:spacing w:before="120"/>
      <w:contextualSpacing/>
      <w:jc w:val="center"/>
    </w:pPr>
    <w:rPr>
      <w:rFonts w:ascii="Arial Narrow" w:eastAsia="Calibri" w:hAnsi="Arial Narrow" w:cs="Arial"/>
      <w:color w:val="000000" w:themeColor="text1"/>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nil"/>
    </w:tc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Yu Gothic Light" w:eastAsia="Yu Gothic Light" w:hAnsi="Yu Gothic Light" w:hint="eastAsia"/>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Yu Gothic Light" w:eastAsia="Yu Gothic Light" w:hAnsi="Yu Gothic Light" w:hint="eastAsia"/>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Yu Gothic Light" w:eastAsia="Yu Gothic Light" w:hAnsi="Yu Gothic Light" w:hint="eastAsia"/>
        <w:i/>
        <w:iCs/>
        <w:sz w:val="20"/>
        <w:szCs w:val="2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customXml/itemProps2.xml><?xml version="1.0" encoding="utf-8"?>
<ds:datastoreItem xmlns:ds="http://schemas.openxmlformats.org/officeDocument/2006/customXml" ds:itemID="{06951231-5643-4034-B631-9A2D77A8505F}">
  <ds:schemaRefs>
    <ds:schemaRef ds:uri="http://schemas.microsoft.com/sharepoint/v3/contenttype/forms"/>
  </ds:schemaRefs>
</ds:datastoreItem>
</file>

<file path=customXml/itemProps3.xml><?xml version="1.0" encoding="utf-8"?>
<ds:datastoreItem xmlns:ds="http://schemas.openxmlformats.org/officeDocument/2006/customXml" ds:itemID="{E8D542A2-89CC-414B-AB10-73082AED939B}">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4.xml><?xml version="1.0" encoding="utf-8"?>
<ds:datastoreItem xmlns:ds="http://schemas.openxmlformats.org/officeDocument/2006/customXml" ds:itemID="{6042FE39-16CB-4622-A7A6-DFE69FF43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7787</Words>
  <Characters>44391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2026-01-19T00:53:00Z</dcterms:created>
  <dcterms:modified xsi:type="dcterms:W3CDTF">2026-03-02T06:48:00Z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7fc1f01d,6c7a5672,68afe1b2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3006c529,2e39b454,d73a444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2026-01-19T00:53:39Z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67f5845c-533a-44a1-ae72-22b5aed4bb1b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